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charts/chart7.xml" ContentType="application/vnd.openxmlformats-officedocument.drawingml.chart+xml"/>
  <Override PartName="/word/theme/themeOverride5.xml" ContentType="application/vnd.openxmlformats-officedocument.themeOverride+xml"/>
  <Override PartName="/word/drawings/drawing1.xml" ContentType="application/vnd.openxmlformats-officedocument.drawingml.chartshapes+xml"/>
  <Override PartName="/word/charts/chart8.xml" ContentType="application/vnd.openxmlformats-officedocument.drawingml.chart+xml"/>
  <Override PartName="/word/theme/themeOverride6.xml" ContentType="application/vnd.openxmlformats-officedocument.themeOverride+xml"/>
  <Override PartName="/word/footer6.xml" ContentType="application/vnd.openxmlformats-officedocument.wordprocessingml.footer+xml"/>
  <Override PartName="/word/charts/chart9.xml" ContentType="application/vnd.openxmlformats-officedocument.drawingml.chart+xml"/>
  <Override PartName="/word/theme/themeOverride7.xml" ContentType="application/vnd.openxmlformats-officedocument.themeOverride+xml"/>
  <Override PartName="/word/charts/chart10.xml" ContentType="application/vnd.openxmlformats-officedocument.drawingml.chart+xml"/>
  <Override PartName="/word/theme/themeOverride8.xml" ContentType="application/vnd.openxmlformats-officedocument.themeOverride+xml"/>
  <Override PartName="/word/charts/chart11.xml" ContentType="application/vnd.openxmlformats-officedocument.drawingml.chart+xml"/>
  <Override PartName="/word/theme/themeOverride9.xml" ContentType="application/vnd.openxmlformats-officedocument.themeOverride+xml"/>
  <Override PartName="/word/charts/chart12.xml" ContentType="application/vnd.openxmlformats-officedocument.drawingml.chart+xml"/>
  <Override PartName="/word/theme/themeOverride10.xml" ContentType="application/vnd.openxmlformats-officedocument.themeOverride+xml"/>
  <Override PartName="/word/charts/chart13.xml" ContentType="application/vnd.openxmlformats-officedocument.drawingml.chart+xml"/>
  <Override PartName="/word/theme/themeOverride11.xml" ContentType="application/vnd.openxmlformats-officedocument.themeOverride+xml"/>
  <Override PartName="/word/charts/chart14.xml" ContentType="application/vnd.openxmlformats-officedocument.drawingml.chart+xml"/>
  <Override PartName="/word/theme/themeOverride12.xml" ContentType="application/vnd.openxmlformats-officedocument.themeOverride+xml"/>
  <Override PartName="/word/charts/chart15.xml" ContentType="application/vnd.openxmlformats-officedocument.drawingml.chart+xml"/>
  <Override PartName="/word/theme/themeOverride13.xml" ContentType="application/vnd.openxmlformats-officedocument.themeOverride+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C4B3F" w:rsidRDefault="005C4B3F" w:rsidP="005C4B3F">
      <w:pPr>
        <w:jc w:val="center"/>
        <w:rPr>
          <w:rFonts w:asciiTheme="majorHAnsi" w:hAnsiTheme="majorHAnsi"/>
          <w:color w:val="365F91" w:themeColor="accent1" w:themeShade="BF"/>
          <w:sz w:val="36"/>
          <w:szCs w:val="36"/>
        </w:rPr>
      </w:pPr>
      <w:r w:rsidRPr="005C4B3F">
        <w:rPr>
          <w:rFonts w:asciiTheme="majorHAnsi" w:hAnsiTheme="majorHAnsi"/>
          <w:color w:val="365F91" w:themeColor="accent1" w:themeShade="BF"/>
          <w:sz w:val="36"/>
          <w:szCs w:val="36"/>
        </w:rPr>
        <w:t>Analýza stavu výzkumu, vývoje a inovací v České republice a</w:t>
      </w:r>
      <w:r w:rsidR="00F10606">
        <w:rPr>
          <w:rFonts w:asciiTheme="majorHAnsi" w:hAnsiTheme="majorHAnsi"/>
          <w:color w:val="365F91" w:themeColor="accent1" w:themeShade="BF"/>
          <w:sz w:val="36"/>
          <w:szCs w:val="36"/>
        </w:rPr>
        <w:t> </w:t>
      </w:r>
      <w:r w:rsidRPr="005C4B3F">
        <w:rPr>
          <w:rFonts w:asciiTheme="majorHAnsi" w:hAnsiTheme="majorHAnsi"/>
          <w:color w:val="365F91" w:themeColor="accent1" w:themeShade="BF"/>
          <w:sz w:val="36"/>
          <w:szCs w:val="36"/>
        </w:rPr>
        <w:t>jejich srovnání se zahraničím v roce 2014</w:t>
      </w:r>
    </w:p>
    <w:p w:rsidR="005C4B3F" w:rsidRPr="005C4B3F" w:rsidRDefault="005C4B3F" w:rsidP="005C4B3F"/>
    <w:sdt>
      <w:sdtPr>
        <w:rPr>
          <w:rFonts w:asciiTheme="minorHAnsi" w:eastAsiaTheme="minorHAnsi" w:hAnsiTheme="minorHAnsi" w:cstheme="minorBidi"/>
          <w:b w:val="0"/>
          <w:bCs w:val="0"/>
          <w:color w:val="auto"/>
          <w:sz w:val="22"/>
          <w:szCs w:val="22"/>
          <w:lang w:eastAsia="en-US"/>
        </w:rPr>
        <w:id w:val="-248124863"/>
        <w:docPartObj>
          <w:docPartGallery w:val="Table of Contents"/>
          <w:docPartUnique/>
        </w:docPartObj>
      </w:sdtPr>
      <w:sdtContent>
        <w:p w:rsidR="005C4B3F" w:rsidRDefault="005C4B3F">
          <w:pPr>
            <w:pStyle w:val="Nadpisobsahu"/>
          </w:pPr>
          <w:r>
            <w:t>Obsah</w:t>
          </w:r>
        </w:p>
        <w:p w:rsidR="00D72528" w:rsidRDefault="005C4B3F">
          <w:pPr>
            <w:pStyle w:val="Obsah1"/>
            <w:tabs>
              <w:tab w:val="right" w:leader="dot" w:pos="9628"/>
            </w:tabs>
            <w:rPr>
              <w:rFonts w:asciiTheme="minorHAnsi" w:eastAsiaTheme="minorEastAsia" w:hAnsiTheme="minorHAnsi"/>
              <w:noProof/>
              <w:lang w:eastAsia="cs-CZ"/>
            </w:rPr>
          </w:pPr>
          <w:r>
            <w:fldChar w:fldCharType="begin"/>
          </w:r>
          <w:r>
            <w:instrText xml:space="preserve"> TOC \o "1-3" \h \z \u </w:instrText>
          </w:r>
          <w:r>
            <w:fldChar w:fldCharType="separate"/>
          </w:r>
          <w:hyperlink w:anchor="_Toc427676891" w:history="1">
            <w:r w:rsidR="00D72528" w:rsidRPr="007B0814">
              <w:rPr>
                <w:rStyle w:val="Hypertextovodkaz"/>
                <w:noProof/>
              </w:rPr>
              <w:t>SOUHRN</w:t>
            </w:r>
            <w:r w:rsidR="00D72528">
              <w:rPr>
                <w:noProof/>
                <w:webHidden/>
              </w:rPr>
              <w:tab/>
            </w:r>
            <w:r w:rsidR="00D72528">
              <w:rPr>
                <w:noProof/>
                <w:webHidden/>
              </w:rPr>
              <w:fldChar w:fldCharType="begin"/>
            </w:r>
            <w:r w:rsidR="00D72528">
              <w:rPr>
                <w:noProof/>
                <w:webHidden/>
              </w:rPr>
              <w:instrText xml:space="preserve"> PAGEREF _Toc427676891 \h </w:instrText>
            </w:r>
            <w:r w:rsidR="00D72528">
              <w:rPr>
                <w:noProof/>
                <w:webHidden/>
              </w:rPr>
            </w:r>
            <w:r w:rsidR="00D72528">
              <w:rPr>
                <w:noProof/>
                <w:webHidden/>
              </w:rPr>
              <w:fldChar w:fldCharType="separate"/>
            </w:r>
            <w:r w:rsidR="001C57AC">
              <w:rPr>
                <w:noProof/>
                <w:webHidden/>
              </w:rPr>
              <w:t>2</w:t>
            </w:r>
            <w:r w:rsidR="00D72528">
              <w:rPr>
                <w:noProof/>
                <w:webHidden/>
              </w:rPr>
              <w:fldChar w:fldCharType="end"/>
            </w:r>
          </w:hyperlink>
        </w:p>
        <w:p w:rsidR="00D72528" w:rsidRDefault="006F678C">
          <w:pPr>
            <w:pStyle w:val="Obsah1"/>
            <w:tabs>
              <w:tab w:val="right" w:leader="dot" w:pos="9628"/>
            </w:tabs>
            <w:rPr>
              <w:rFonts w:asciiTheme="minorHAnsi" w:eastAsiaTheme="minorEastAsia" w:hAnsiTheme="minorHAnsi"/>
              <w:noProof/>
              <w:lang w:eastAsia="cs-CZ"/>
            </w:rPr>
          </w:pPr>
          <w:hyperlink w:anchor="_Toc427676892" w:history="1">
            <w:r w:rsidR="00D72528" w:rsidRPr="007B0814">
              <w:rPr>
                <w:rStyle w:val="Hypertextovodkaz"/>
                <w:noProof/>
              </w:rPr>
              <w:t>VÝKLADOVÁ ČÁST</w:t>
            </w:r>
            <w:r w:rsidR="00D72528">
              <w:rPr>
                <w:noProof/>
                <w:webHidden/>
              </w:rPr>
              <w:tab/>
            </w:r>
            <w:r w:rsidR="00D72528">
              <w:rPr>
                <w:noProof/>
                <w:webHidden/>
              </w:rPr>
              <w:fldChar w:fldCharType="begin"/>
            </w:r>
            <w:r w:rsidR="00D72528">
              <w:rPr>
                <w:noProof/>
                <w:webHidden/>
              </w:rPr>
              <w:instrText xml:space="preserve"> PAGEREF _Toc427676892 \h </w:instrText>
            </w:r>
            <w:r w:rsidR="00D72528">
              <w:rPr>
                <w:noProof/>
                <w:webHidden/>
              </w:rPr>
            </w:r>
            <w:r w:rsidR="00D72528">
              <w:rPr>
                <w:noProof/>
                <w:webHidden/>
              </w:rPr>
              <w:fldChar w:fldCharType="separate"/>
            </w:r>
            <w:r w:rsidR="001C57AC">
              <w:rPr>
                <w:noProof/>
                <w:webHidden/>
              </w:rPr>
              <w:t>8</w:t>
            </w:r>
            <w:r w:rsidR="00D72528">
              <w:rPr>
                <w:noProof/>
                <w:webHidden/>
              </w:rPr>
              <w:fldChar w:fldCharType="end"/>
            </w:r>
          </w:hyperlink>
        </w:p>
        <w:p w:rsidR="00D72528" w:rsidRDefault="006F678C">
          <w:pPr>
            <w:pStyle w:val="Obsah2"/>
            <w:tabs>
              <w:tab w:val="right" w:leader="dot" w:pos="9628"/>
            </w:tabs>
            <w:rPr>
              <w:rFonts w:asciiTheme="minorHAnsi" w:hAnsiTheme="minorHAnsi"/>
              <w:noProof/>
            </w:rPr>
          </w:pPr>
          <w:hyperlink w:anchor="_Toc427676893" w:history="1">
            <w:r w:rsidR="00D72528" w:rsidRPr="007B0814">
              <w:rPr>
                <w:rStyle w:val="Hypertextovodkaz"/>
                <w:noProof/>
              </w:rPr>
              <w:t>1. Finanční toky</w:t>
            </w:r>
            <w:r w:rsidR="00D72528">
              <w:rPr>
                <w:noProof/>
                <w:webHidden/>
              </w:rPr>
              <w:tab/>
            </w:r>
            <w:r w:rsidR="00D72528">
              <w:rPr>
                <w:noProof/>
                <w:webHidden/>
              </w:rPr>
              <w:fldChar w:fldCharType="begin"/>
            </w:r>
            <w:r w:rsidR="00D72528">
              <w:rPr>
                <w:noProof/>
                <w:webHidden/>
              </w:rPr>
              <w:instrText xml:space="preserve"> PAGEREF _Toc427676893 \h </w:instrText>
            </w:r>
            <w:r w:rsidR="00D72528">
              <w:rPr>
                <w:noProof/>
                <w:webHidden/>
              </w:rPr>
            </w:r>
            <w:r w:rsidR="00D72528">
              <w:rPr>
                <w:noProof/>
                <w:webHidden/>
              </w:rPr>
              <w:fldChar w:fldCharType="separate"/>
            </w:r>
            <w:r w:rsidR="001C57AC">
              <w:rPr>
                <w:noProof/>
                <w:webHidden/>
              </w:rPr>
              <w:t>8</w:t>
            </w:r>
            <w:r w:rsidR="00D72528">
              <w:rPr>
                <w:noProof/>
                <w:webHidden/>
              </w:rPr>
              <w:fldChar w:fldCharType="end"/>
            </w:r>
          </w:hyperlink>
        </w:p>
        <w:p w:rsidR="00D72528" w:rsidRDefault="006F678C">
          <w:pPr>
            <w:pStyle w:val="Obsah2"/>
            <w:tabs>
              <w:tab w:val="right" w:leader="dot" w:pos="9628"/>
            </w:tabs>
            <w:rPr>
              <w:rFonts w:asciiTheme="minorHAnsi" w:hAnsiTheme="minorHAnsi"/>
              <w:noProof/>
            </w:rPr>
          </w:pPr>
          <w:hyperlink w:anchor="_Toc427676894" w:history="1">
            <w:r w:rsidR="00D72528" w:rsidRPr="007B0814">
              <w:rPr>
                <w:rStyle w:val="Hypertextovodkaz"/>
                <w:noProof/>
              </w:rPr>
              <w:t>2. Financování VaVaI ze státního rozpočtu</w:t>
            </w:r>
            <w:r w:rsidR="00D72528">
              <w:rPr>
                <w:noProof/>
                <w:webHidden/>
              </w:rPr>
              <w:tab/>
            </w:r>
            <w:r w:rsidR="00D72528">
              <w:rPr>
                <w:noProof/>
                <w:webHidden/>
              </w:rPr>
              <w:fldChar w:fldCharType="begin"/>
            </w:r>
            <w:r w:rsidR="00D72528">
              <w:rPr>
                <w:noProof/>
                <w:webHidden/>
              </w:rPr>
              <w:instrText xml:space="preserve"> PAGEREF _Toc427676894 \h </w:instrText>
            </w:r>
            <w:r w:rsidR="00D72528">
              <w:rPr>
                <w:noProof/>
                <w:webHidden/>
              </w:rPr>
            </w:r>
            <w:r w:rsidR="00D72528">
              <w:rPr>
                <w:noProof/>
                <w:webHidden/>
              </w:rPr>
              <w:fldChar w:fldCharType="separate"/>
            </w:r>
            <w:r w:rsidR="001C57AC">
              <w:rPr>
                <w:noProof/>
                <w:webHidden/>
              </w:rPr>
              <w:t>18</w:t>
            </w:r>
            <w:r w:rsidR="00D72528">
              <w:rPr>
                <w:noProof/>
                <w:webHidden/>
              </w:rPr>
              <w:fldChar w:fldCharType="end"/>
            </w:r>
          </w:hyperlink>
        </w:p>
        <w:p w:rsidR="00D72528" w:rsidRDefault="006F678C">
          <w:pPr>
            <w:pStyle w:val="Obsah2"/>
            <w:tabs>
              <w:tab w:val="right" w:leader="dot" w:pos="9628"/>
            </w:tabs>
            <w:rPr>
              <w:rFonts w:asciiTheme="minorHAnsi" w:hAnsiTheme="minorHAnsi"/>
              <w:noProof/>
            </w:rPr>
          </w:pPr>
          <w:hyperlink w:anchor="_Toc427676895" w:history="1">
            <w:r w:rsidR="00D72528" w:rsidRPr="007B0814">
              <w:rPr>
                <w:rStyle w:val="Hypertextovodkaz"/>
                <w:noProof/>
              </w:rPr>
              <w:t>3. Podpora VaVaI v ČR z evropských prostředků</w:t>
            </w:r>
            <w:r w:rsidR="00D72528">
              <w:rPr>
                <w:noProof/>
                <w:webHidden/>
              </w:rPr>
              <w:tab/>
            </w:r>
            <w:r w:rsidR="00D72528">
              <w:rPr>
                <w:noProof/>
                <w:webHidden/>
              </w:rPr>
              <w:fldChar w:fldCharType="begin"/>
            </w:r>
            <w:r w:rsidR="00D72528">
              <w:rPr>
                <w:noProof/>
                <w:webHidden/>
              </w:rPr>
              <w:instrText xml:space="preserve"> PAGEREF _Toc427676895 \h </w:instrText>
            </w:r>
            <w:r w:rsidR="00D72528">
              <w:rPr>
                <w:noProof/>
                <w:webHidden/>
              </w:rPr>
            </w:r>
            <w:r w:rsidR="00D72528">
              <w:rPr>
                <w:noProof/>
                <w:webHidden/>
              </w:rPr>
              <w:fldChar w:fldCharType="separate"/>
            </w:r>
            <w:r w:rsidR="001C57AC">
              <w:rPr>
                <w:noProof/>
                <w:webHidden/>
              </w:rPr>
              <w:t>31</w:t>
            </w:r>
            <w:r w:rsidR="00D72528">
              <w:rPr>
                <w:noProof/>
                <w:webHidden/>
              </w:rPr>
              <w:fldChar w:fldCharType="end"/>
            </w:r>
          </w:hyperlink>
        </w:p>
        <w:p w:rsidR="00D72528" w:rsidRDefault="006F678C">
          <w:pPr>
            <w:pStyle w:val="Obsah3"/>
            <w:tabs>
              <w:tab w:val="right" w:leader="dot" w:pos="9628"/>
            </w:tabs>
            <w:rPr>
              <w:rFonts w:asciiTheme="minorHAnsi" w:hAnsiTheme="minorHAnsi"/>
              <w:noProof/>
            </w:rPr>
          </w:pPr>
          <w:hyperlink w:anchor="_Toc427676896" w:history="1">
            <w:r w:rsidR="00D72528" w:rsidRPr="007B0814">
              <w:rPr>
                <w:rStyle w:val="Hypertextovodkaz"/>
                <w:noProof/>
              </w:rPr>
              <w:t>3.1. Strategický rámec podpory VaVaI z ESI fondů</w:t>
            </w:r>
            <w:r w:rsidR="00D72528">
              <w:rPr>
                <w:noProof/>
                <w:webHidden/>
              </w:rPr>
              <w:tab/>
            </w:r>
            <w:r w:rsidR="00D72528">
              <w:rPr>
                <w:noProof/>
                <w:webHidden/>
              </w:rPr>
              <w:fldChar w:fldCharType="begin"/>
            </w:r>
            <w:r w:rsidR="00D72528">
              <w:rPr>
                <w:noProof/>
                <w:webHidden/>
              </w:rPr>
              <w:instrText xml:space="preserve"> PAGEREF _Toc427676896 \h </w:instrText>
            </w:r>
            <w:r w:rsidR="00D72528">
              <w:rPr>
                <w:noProof/>
                <w:webHidden/>
              </w:rPr>
            </w:r>
            <w:r w:rsidR="00D72528">
              <w:rPr>
                <w:noProof/>
                <w:webHidden/>
              </w:rPr>
              <w:fldChar w:fldCharType="separate"/>
            </w:r>
            <w:r w:rsidR="001C57AC">
              <w:rPr>
                <w:noProof/>
                <w:webHidden/>
              </w:rPr>
              <w:t>36</w:t>
            </w:r>
            <w:r w:rsidR="00D72528">
              <w:rPr>
                <w:noProof/>
                <w:webHidden/>
              </w:rPr>
              <w:fldChar w:fldCharType="end"/>
            </w:r>
          </w:hyperlink>
        </w:p>
        <w:p w:rsidR="00D72528" w:rsidRDefault="006F678C">
          <w:pPr>
            <w:pStyle w:val="Obsah3"/>
            <w:tabs>
              <w:tab w:val="right" w:leader="dot" w:pos="9628"/>
            </w:tabs>
            <w:rPr>
              <w:rFonts w:asciiTheme="minorHAnsi" w:hAnsiTheme="minorHAnsi"/>
              <w:noProof/>
            </w:rPr>
          </w:pPr>
          <w:hyperlink w:anchor="_Toc427676897" w:history="1">
            <w:r w:rsidR="00D72528" w:rsidRPr="007B0814">
              <w:rPr>
                <w:rStyle w:val="Hypertextovodkaz"/>
                <w:noProof/>
              </w:rPr>
              <w:t>3.2. Nový rámcový program HORIZONT 2020</w:t>
            </w:r>
            <w:r w:rsidR="00D72528">
              <w:rPr>
                <w:noProof/>
                <w:webHidden/>
              </w:rPr>
              <w:tab/>
            </w:r>
            <w:r w:rsidR="00D72528">
              <w:rPr>
                <w:noProof/>
                <w:webHidden/>
              </w:rPr>
              <w:fldChar w:fldCharType="begin"/>
            </w:r>
            <w:r w:rsidR="00D72528">
              <w:rPr>
                <w:noProof/>
                <w:webHidden/>
              </w:rPr>
              <w:instrText xml:space="preserve"> PAGEREF _Toc427676897 \h </w:instrText>
            </w:r>
            <w:r w:rsidR="00D72528">
              <w:rPr>
                <w:noProof/>
                <w:webHidden/>
              </w:rPr>
            </w:r>
            <w:r w:rsidR="00D72528">
              <w:rPr>
                <w:noProof/>
                <w:webHidden/>
              </w:rPr>
              <w:fldChar w:fldCharType="separate"/>
            </w:r>
            <w:r w:rsidR="001C57AC">
              <w:rPr>
                <w:noProof/>
                <w:webHidden/>
              </w:rPr>
              <w:t>37</w:t>
            </w:r>
            <w:r w:rsidR="00D72528">
              <w:rPr>
                <w:noProof/>
                <w:webHidden/>
              </w:rPr>
              <w:fldChar w:fldCharType="end"/>
            </w:r>
          </w:hyperlink>
        </w:p>
        <w:p w:rsidR="00D72528" w:rsidRDefault="006F678C">
          <w:pPr>
            <w:pStyle w:val="Obsah2"/>
            <w:tabs>
              <w:tab w:val="right" w:leader="dot" w:pos="9628"/>
            </w:tabs>
            <w:rPr>
              <w:rFonts w:asciiTheme="minorHAnsi" w:hAnsiTheme="minorHAnsi"/>
              <w:noProof/>
            </w:rPr>
          </w:pPr>
          <w:hyperlink w:anchor="_Toc427676898" w:history="1">
            <w:r w:rsidR="00D72528" w:rsidRPr="007B0814">
              <w:rPr>
                <w:rStyle w:val="Hypertextovodkaz"/>
                <w:noProof/>
              </w:rPr>
              <w:t>4. Lidské zdroje ve výzkumu a vývoji</w:t>
            </w:r>
            <w:r w:rsidR="00D72528">
              <w:rPr>
                <w:noProof/>
                <w:webHidden/>
              </w:rPr>
              <w:tab/>
            </w:r>
            <w:r w:rsidR="00D72528">
              <w:rPr>
                <w:noProof/>
                <w:webHidden/>
              </w:rPr>
              <w:fldChar w:fldCharType="begin"/>
            </w:r>
            <w:r w:rsidR="00D72528">
              <w:rPr>
                <w:noProof/>
                <w:webHidden/>
              </w:rPr>
              <w:instrText xml:space="preserve"> PAGEREF _Toc427676898 \h </w:instrText>
            </w:r>
            <w:r w:rsidR="00D72528">
              <w:rPr>
                <w:noProof/>
                <w:webHidden/>
              </w:rPr>
            </w:r>
            <w:r w:rsidR="00D72528">
              <w:rPr>
                <w:noProof/>
                <w:webHidden/>
              </w:rPr>
              <w:fldChar w:fldCharType="separate"/>
            </w:r>
            <w:r w:rsidR="001C57AC">
              <w:rPr>
                <w:noProof/>
                <w:webHidden/>
              </w:rPr>
              <w:t>42</w:t>
            </w:r>
            <w:r w:rsidR="00D72528">
              <w:rPr>
                <w:noProof/>
                <w:webHidden/>
              </w:rPr>
              <w:fldChar w:fldCharType="end"/>
            </w:r>
          </w:hyperlink>
        </w:p>
        <w:p w:rsidR="00D72528" w:rsidRDefault="006F678C">
          <w:pPr>
            <w:pStyle w:val="Obsah2"/>
            <w:tabs>
              <w:tab w:val="right" w:leader="dot" w:pos="9628"/>
            </w:tabs>
            <w:rPr>
              <w:rFonts w:asciiTheme="minorHAnsi" w:hAnsiTheme="minorHAnsi"/>
              <w:noProof/>
            </w:rPr>
          </w:pPr>
          <w:hyperlink w:anchor="_Toc427676899" w:history="1">
            <w:r w:rsidR="00D72528" w:rsidRPr="007B0814">
              <w:rPr>
                <w:rStyle w:val="Hypertextovodkaz"/>
                <w:noProof/>
              </w:rPr>
              <w:t>5. Infrastruktury VaVaI</w:t>
            </w:r>
            <w:r w:rsidR="00D72528">
              <w:rPr>
                <w:noProof/>
                <w:webHidden/>
              </w:rPr>
              <w:tab/>
            </w:r>
            <w:r w:rsidR="00D72528">
              <w:rPr>
                <w:noProof/>
                <w:webHidden/>
              </w:rPr>
              <w:fldChar w:fldCharType="begin"/>
            </w:r>
            <w:r w:rsidR="00D72528">
              <w:rPr>
                <w:noProof/>
                <w:webHidden/>
              </w:rPr>
              <w:instrText xml:space="preserve"> PAGEREF _Toc427676899 \h </w:instrText>
            </w:r>
            <w:r w:rsidR="00D72528">
              <w:rPr>
                <w:noProof/>
                <w:webHidden/>
              </w:rPr>
            </w:r>
            <w:r w:rsidR="00D72528">
              <w:rPr>
                <w:noProof/>
                <w:webHidden/>
              </w:rPr>
              <w:fldChar w:fldCharType="separate"/>
            </w:r>
            <w:r w:rsidR="001C57AC">
              <w:rPr>
                <w:noProof/>
                <w:webHidden/>
              </w:rPr>
              <w:t>51</w:t>
            </w:r>
            <w:r w:rsidR="00D72528">
              <w:rPr>
                <w:noProof/>
                <w:webHidden/>
              </w:rPr>
              <w:fldChar w:fldCharType="end"/>
            </w:r>
          </w:hyperlink>
        </w:p>
        <w:p w:rsidR="00D72528" w:rsidRDefault="006F678C">
          <w:pPr>
            <w:pStyle w:val="Obsah2"/>
            <w:tabs>
              <w:tab w:val="right" w:leader="dot" w:pos="9628"/>
            </w:tabs>
            <w:rPr>
              <w:rFonts w:asciiTheme="minorHAnsi" w:hAnsiTheme="minorHAnsi"/>
              <w:noProof/>
            </w:rPr>
          </w:pPr>
          <w:hyperlink w:anchor="_Toc427676900" w:history="1">
            <w:r w:rsidR="00D72528" w:rsidRPr="007B0814">
              <w:rPr>
                <w:rStyle w:val="Hypertextovodkaz"/>
                <w:noProof/>
              </w:rPr>
              <w:t>6. Výsledky výzkumu a vývoje</w:t>
            </w:r>
            <w:r w:rsidR="00D72528">
              <w:rPr>
                <w:noProof/>
                <w:webHidden/>
              </w:rPr>
              <w:tab/>
            </w:r>
            <w:r w:rsidR="00D72528">
              <w:rPr>
                <w:noProof/>
                <w:webHidden/>
              </w:rPr>
              <w:fldChar w:fldCharType="begin"/>
            </w:r>
            <w:r w:rsidR="00D72528">
              <w:rPr>
                <w:noProof/>
                <w:webHidden/>
              </w:rPr>
              <w:instrText xml:space="preserve"> PAGEREF _Toc427676900 \h </w:instrText>
            </w:r>
            <w:r w:rsidR="00D72528">
              <w:rPr>
                <w:noProof/>
                <w:webHidden/>
              </w:rPr>
            </w:r>
            <w:r w:rsidR="00D72528">
              <w:rPr>
                <w:noProof/>
                <w:webHidden/>
              </w:rPr>
              <w:fldChar w:fldCharType="separate"/>
            </w:r>
            <w:r w:rsidR="001C57AC">
              <w:rPr>
                <w:noProof/>
                <w:webHidden/>
              </w:rPr>
              <w:t>62</w:t>
            </w:r>
            <w:r w:rsidR="00D72528">
              <w:rPr>
                <w:noProof/>
                <w:webHidden/>
              </w:rPr>
              <w:fldChar w:fldCharType="end"/>
            </w:r>
          </w:hyperlink>
        </w:p>
        <w:p w:rsidR="00D72528" w:rsidRDefault="006F678C">
          <w:pPr>
            <w:pStyle w:val="Obsah3"/>
            <w:tabs>
              <w:tab w:val="right" w:leader="dot" w:pos="9628"/>
            </w:tabs>
            <w:rPr>
              <w:rFonts w:asciiTheme="minorHAnsi" w:hAnsiTheme="minorHAnsi"/>
              <w:noProof/>
            </w:rPr>
          </w:pPr>
          <w:hyperlink w:anchor="_Toc427676901" w:history="1">
            <w:r w:rsidR="00D72528" w:rsidRPr="007B0814">
              <w:rPr>
                <w:rStyle w:val="Hypertextovodkaz"/>
                <w:noProof/>
              </w:rPr>
              <w:t>6.1. Druhy výsledků a časový trend jejich počtů</w:t>
            </w:r>
            <w:r w:rsidR="00D72528">
              <w:rPr>
                <w:noProof/>
                <w:webHidden/>
              </w:rPr>
              <w:tab/>
            </w:r>
            <w:r w:rsidR="00D72528">
              <w:rPr>
                <w:noProof/>
                <w:webHidden/>
              </w:rPr>
              <w:fldChar w:fldCharType="begin"/>
            </w:r>
            <w:r w:rsidR="00D72528">
              <w:rPr>
                <w:noProof/>
                <w:webHidden/>
              </w:rPr>
              <w:instrText xml:space="preserve"> PAGEREF _Toc427676901 \h </w:instrText>
            </w:r>
            <w:r w:rsidR="00D72528">
              <w:rPr>
                <w:noProof/>
                <w:webHidden/>
              </w:rPr>
            </w:r>
            <w:r w:rsidR="00D72528">
              <w:rPr>
                <w:noProof/>
                <w:webHidden/>
              </w:rPr>
              <w:fldChar w:fldCharType="separate"/>
            </w:r>
            <w:r w:rsidR="001C57AC">
              <w:rPr>
                <w:noProof/>
                <w:webHidden/>
              </w:rPr>
              <w:t>63</w:t>
            </w:r>
            <w:r w:rsidR="00D72528">
              <w:rPr>
                <w:noProof/>
                <w:webHidden/>
              </w:rPr>
              <w:fldChar w:fldCharType="end"/>
            </w:r>
          </w:hyperlink>
        </w:p>
        <w:p w:rsidR="00D72528" w:rsidRDefault="006F678C">
          <w:pPr>
            <w:pStyle w:val="Obsah3"/>
            <w:tabs>
              <w:tab w:val="right" w:leader="dot" w:pos="9628"/>
            </w:tabs>
            <w:rPr>
              <w:rFonts w:asciiTheme="minorHAnsi" w:hAnsiTheme="minorHAnsi"/>
              <w:noProof/>
            </w:rPr>
          </w:pPr>
          <w:hyperlink w:anchor="_Toc427676902" w:history="1">
            <w:r w:rsidR="00D72528" w:rsidRPr="007B0814">
              <w:rPr>
                <w:rStyle w:val="Hypertextovodkaz"/>
                <w:noProof/>
              </w:rPr>
              <w:t>6.2. Oborová struktura výsledků a její změny v čase</w:t>
            </w:r>
            <w:r w:rsidR="00D72528">
              <w:rPr>
                <w:noProof/>
                <w:webHidden/>
              </w:rPr>
              <w:tab/>
            </w:r>
            <w:r w:rsidR="00D72528">
              <w:rPr>
                <w:noProof/>
                <w:webHidden/>
              </w:rPr>
              <w:fldChar w:fldCharType="begin"/>
            </w:r>
            <w:r w:rsidR="00D72528">
              <w:rPr>
                <w:noProof/>
                <w:webHidden/>
              </w:rPr>
              <w:instrText xml:space="preserve"> PAGEREF _Toc427676902 \h </w:instrText>
            </w:r>
            <w:r w:rsidR="00D72528">
              <w:rPr>
                <w:noProof/>
                <w:webHidden/>
              </w:rPr>
            </w:r>
            <w:r w:rsidR="00D72528">
              <w:rPr>
                <w:noProof/>
                <w:webHidden/>
              </w:rPr>
              <w:fldChar w:fldCharType="separate"/>
            </w:r>
            <w:r w:rsidR="001C57AC">
              <w:rPr>
                <w:noProof/>
                <w:webHidden/>
              </w:rPr>
              <w:t>67</w:t>
            </w:r>
            <w:r w:rsidR="00D72528">
              <w:rPr>
                <w:noProof/>
                <w:webHidden/>
              </w:rPr>
              <w:fldChar w:fldCharType="end"/>
            </w:r>
          </w:hyperlink>
        </w:p>
        <w:p w:rsidR="00D72528" w:rsidRDefault="006F678C">
          <w:pPr>
            <w:pStyle w:val="Obsah3"/>
            <w:tabs>
              <w:tab w:val="right" w:leader="dot" w:pos="9628"/>
            </w:tabs>
            <w:rPr>
              <w:rFonts w:asciiTheme="minorHAnsi" w:hAnsiTheme="minorHAnsi"/>
              <w:noProof/>
            </w:rPr>
          </w:pPr>
          <w:hyperlink w:anchor="_Toc427676903" w:history="1">
            <w:r w:rsidR="00D72528" w:rsidRPr="007B0814">
              <w:rPr>
                <w:rStyle w:val="Hypertextovodkaz"/>
                <w:noProof/>
              </w:rPr>
              <w:t>6.3. Kvalita výsledků a jejich mezinárodní srovnání</w:t>
            </w:r>
            <w:r w:rsidR="00D72528">
              <w:rPr>
                <w:noProof/>
                <w:webHidden/>
              </w:rPr>
              <w:tab/>
            </w:r>
            <w:r w:rsidR="00D72528">
              <w:rPr>
                <w:noProof/>
                <w:webHidden/>
              </w:rPr>
              <w:fldChar w:fldCharType="begin"/>
            </w:r>
            <w:r w:rsidR="00D72528">
              <w:rPr>
                <w:noProof/>
                <w:webHidden/>
              </w:rPr>
              <w:instrText xml:space="preserve"> PAGEREF _Toc427676903 \h </w:instrText>
            </w:r>
            <w:r w:rsidR="00D72528">
              <w:rPr>
                <w:noProof/>
                <w:webHidden/>
              </w:rPr>
            </w:r>
            <w:r w:rsidR="00D72528">
              <w:rPr>
                <w:noProof/>
                <w:webHidden/>
              </w:rPr>
              <w:fldChar w:fldCharType="separate"/>
            </w:r>
            <w:r w:rsidR="001C57AC">
              <w:rPr>
                <w:noProof/>
                <w:webHidden/>
              </w:rPr>
              <w:t>73</w:t>
            </w:r>
            <w:r w:rsidR="00D72528">
              <w:rPr>
                <w:noProof/>
                <w:webHidden/>
              </w:rPr>
              <w:fldChar w:fldCharType="end"/>
            </w:r>
          </w:hyperlink>
        </w:p>
        <w:p w:rsidR="00D72528" w:rsidRDefault="006F678C">
          <w:pPr>
            <w:pStyle w:val="Obsah2"/>
            <w:tabs>
              <w:tab w:val="right" w:leader="dot" w:pos="9628"/>
            </w:tabs>
            <w:rPr>
              <w:rFonts w:asciiTheme="minorHAnsi" w:hAnsiTheme="minorHAnsi"/>
              <w:noProof/>
            </w:rPr>
          </w:pPr>
          <w:hyperlink w:anchor="_Toc427676904" w:history="1">
            <w:r w:rsidR="00D72528" w:rsidRPr="007B0814">
              <w:rPr>
                <w:rStyle w:val="Hypertextovodkaz"/>
                <w:noProof/>
              </w:rPr>
              <w:t>7. Inovační výkonnost české ekonomiky a její mezinárodní srovnání</w:t>
            </w:r>
            <w:r w:rsidR="00D72528">
              <w:rPr>
                <w:noProof/>
                <w:webHidden/>
              </w:rPr>
              <w:tab/>
            </w:r>
            <w:r w:rsidR="00D72528">
              <w:rPr>
                <w:noProof/>
                <w:webHidden/>
              </w:rPr>
              <w:fldChar w:fldCharType="begin"/>
            </w:r>
            <w:r w:rsidR="00D72528">
              <w:rPr>
                <w:noProof/>
                <w:webHidden/>
              </w:rPr>
              <w:instrText xml:space="preserve"> PAGEREF _Toc427676904 \h </w:instrText>
            </w:r>
            <w:r w:rsidR="00D72528">
              <w:rPr>
                <w:noProof/>
                <w:webHidden/>
              </w:rPr>
            </w:r>
            <w:r w:rsidR="00D72528">
              <w:rPr>
                <w:noProof/>
                <w:webHidden/>
              </w:rPr>
              <w:fldChar w:fldCharType="separate"/>
            </w:r>
            <w:r w:rsidR="001C57AC">
              <w:rPr>
                <w:noProof/>
                <w:webHidden/>
              </w:rPr>
              <w:t>78</w:t>
            </w:r>
            <w:r w:rsidR="00D72528">
              <w:rPr>
                <w:noProof/>
                <w:webHidden/>
              </w:rPr>
              <w:fldChar w:fldCharType="end"/>
            </w:r>
          </w:hyperlink>
        </w:p>
        <w:p w:rsidR="00D72528" w:rsidRDefault="006F678C">
          <w:pPr>
            <w:pStyle w:val="Obsah3"/>
            <w:tabs>
              <w:tab w:val="right" w:leader="dot" w:pos="9628"/>
            </w:tabs>
            <w:rPr>
              <w:rFonts w:asciiTheme="minorHAnsi" w:hAnsiTheme="minorHAnsi"/>
              <w:noProof/>
            </w:rPr>
          </w:pPr>
          <w:hyperlink w:anchor="_Toc427676905" w:history="1">
            <w:r w:rsidR="00D72528" w:rsidRPr="007B0814">
              <w:rPr>
                <w:rStyle w:val="Hypertextovodkaz"/>
                <w:noProof/>
              </w:rPr>
              <w:t>7.1. Inovační výkon na základě jednoduchých indikátorů</w:t>
            </w:r>
            <w:r w:rsidR="00D72528">
              <w:rPr>
                <w:noProof/>
                <w:webHidden/>
              </w:rPr>
              <w:tab/>
            </w:r>
            <w:r w:rsidR="00D72528">
              <w:rPr>
                <w:noProof/>
                <w:webHidden/>
              </w:rPr>
              <w:fldChar w:fldCharType="begin"/>
            </w:r>
            <w:r w:rsidR="00D72528">
              <w:rPr>
                <w:noProof/>
                <w:webHidden/>
              </w:rPr>
              <w:instrText xml:space="preserve"> PAGEREF _Toc427676905 \h </w:instrText>
            </w:r>
            <w:r w:rsidR="00D72528">
              <w:rPr>
                <w:noProof/>
                <w:webHidden/>
              </w:rPr>
            </w:r>
            <w:r w:rsidR="00D72528">
              <w:rPr>
                <w:noProof/>
                <w:webHidden/>
              </w:rPr>
              <w:fldChar w:fldCharType="separate"/>
            </w:r>
            <w:r w:rsidR="001C57AC">
              <w:rPr>
                <w:noProof/>
                <w:webHidden/>
              </w:rPr>
              <w:t>78</w:t>
            </w:r>
            <w:r w:rsidR="00D72528">
              <w:rPr>
                <w:noProof/>
                <w:webHidden/>
              </w:rPr>
              <w:fldChar w:fldCharType="end"/>
            </w:r>
          </w:hyperlink>
        </w:p>
        <w:p w:rsidR="00D72528" w:rsidRDefault="006F678C">
          <w:pPr>
            <w:pStyle w:val="Obsah3"/>
            <w:tabs>
              <w:tab w:val="right" w:leader="dot" w:pos="9628"/>
            </w:tabs>
            <w:rPr>
              <w:rFonts w:asciiTheme="minorHAnsi" w:hAnsiTheme="minorHAnsi"/>
              <w:noProof/>
            </w:rPr>
          </w:pPr>
          <w:hyperlink w:anchor="_Toc427676906" w:history="1">
            <w:r w:rsidR="00D72528" w:rsidRPr="007B0814">
              <w:rPr>
                <w:rStyle w:val="Hypertextovodkaz"/>
                <w:rFonts w:eastAsia="Times New Roman"/>
                <w:noProof/>
              </w:rPr>
              <w:t>7.2. Inovační výkon na základě složených indikátorů</w:t>
            </w:r>
            <w:r w:rsidR="00D72528">
              <w:rPr>
                <w:noProof/>
                <w:webHidden/>
              </w:rPr>
              <w:tab/>
            </w:r>
            <w:r w:rsidR="00D72528">
              <w:rPr>
                <w:noProof/>
                <w:webHidden/>
              </w:rPr>
              <w:fldChar w:fldCharType="begin"/>
            </w:r>
            <w:r w:rsidR="00D72528">
              <w:rPr>
                <w:noProof/>
                <w:webHidden/>
              </w:rPr>
              <w:instrText xml:space="preserve"> PAGEREF _Toc427676906 \h </w:instrText>
            </w:r>
            <w:r w:rsidR="00D72528">
              <w:rPr>
                <w:noProof/>
                <w:webHidden/>
              </w:rPr>
            </w:r>
            <w:r w:rsidR="00D72528">
              <w:rPr>
                <w:noProof/>
                <w:webHidden/>
              </w:rPr>
              <w:fldChar w:fldCharType="separate"/>
            </w:r>
            <w:r w:rsidR="001C57AC">
              <w:rPr>
                <w:noProof/>
                <w:webHidden/>
              </w:rPr>
              <w:t>80</w:t>
            </w:r>
            <w:r w:rsidR="00D72528">
              <w:rPr>
                <w:noProof/>
                <w:webHidden/>
              </w:rPr>
              <w:fldChar w:fldCharType="end"/>
            </w:r>
          </w:hyperlink>
        </w:p>
        <w:p w:rsidR="00D72528" w:rsidRDefault="006F678C">
          <w:pPr>
            <w:pStyle w:val="Obsah2"/>
            <w:tabs>
              <w:tab w:val="right" w:leader="dot" w:pos="9628"/>
            </w:tabs>
            <w:rPr>
              <w:rFonts w:asciiTheme="minorHAnsi" w:hAnsiTheme="minorHAnsi"/>
              <w:noProof/>
            </w:rPr>
          </w:pPr>
          <w:hyperlink w:anchor="_Toc427676907" w:history="1">
            <w:r w:rsidR="00D72528" w:rsidRPr="007B0814">
              <w:rPr>
                <w:rStyle w:val="Hypertextovodkaz"/>
                <w:noProof/>
              </w:rPr>
              <w:t>8. Odvětví národního hospodářství ve vazbě na VaVaI</w:t>
            </w:r>
            <w:r w:rsidR="00D72528">
              <w:rPr>
                <w:noProof/>
                <w:webHidden/>
              </w:rPr>
              <w:tab/>
            </w:r>
            <w:r w:rsidR="00D72528">
              <w:rPr>
                <w:noProof/>
                <w:webHidden/>
              </w:rPr>
              <w:fldChar w:fldCharType="begin"/>
            </w:r>
            <w:r w:rsidR="00D72528">
              <w:rPr>
                <w:noProof/>
                <w:webHidden/>
              </w:rPr>
              <w:instrText xml:space="preserve"> PAGEREF _Toc427676907 \h </w:instrText>
            </w:r>
            <w:r w:rsidR="00D72528">
              <w:rPr>
                <w:noProof/>
                <w:webHidden/>
              </w:rPr>
            </w:r>
            <w:r w:rsidR="00D72528">
              <w:rPr>
                <w:noProof/>
                <w:webHidden/>
              </w:rPr>
              <w:fldChar w:fldCharType="separate"/>
            </w:r>
            <w:r w:rsidR="001C57AC">
              <w:rPr>
                <w:noProof/>
                <w:webHidden/>
              </w:rPr>
              <w:t>90</w:t>
            </w:r>
            <w:r w:rsidR="00D72528">
              <w:rPr>
                <w:noProof/>
                <w:webHidden/>
              </w:rPr>
              <w:fldChar w:fldCharType="end"/>
            </w:r>
          </w:hyperlink>
        </w:p>
        <w:p w:rsidR="00D72528" w:rsidRDefault="006F678C">
          <w:pPr>
            <w:pStyle w:val="Obsah2"/>
            <w:tabs>
              <w:tab w:val="right" w:leader="dot" w:pos="9628"/>
            </w:tabs>
            <w:rPr>
              <w:rFonts w:asciiTheme="minorHAnsi" w:hAnsiTheme="minorHAnsi"/>
              <w:noProof/>
            </w:rPr>
          </w:pPr>
          <w:hyperlink w:anchor="_Toc427676908" w:history="1">
            <w:r w:rsidR="00D72528" w:rsidRPr="007B0814">
              <w:rPr>
                <w:rStyle w:val="Hypertextovodkaz"/>
                <w:noProof/>
              </w:rPr>
              <w:t>9. Datové zdroje ve VaVaI</w:t>
            </w:r>
            <w:r w:rsidR="00D72528">
              <w:rPr>
                <w:noProof/>
                <w:webHidden/>
              </w:rPr>
              <w:tab/>
            </w:r>
            <w:r w:rsidR="00D72528">
              <w:rPr>
                <w:noProof/>
                <w:webHidden/>
              </w:rPr>
              <w:fldChar w:fldCharType="begin"/>
            </w:r>
            <w:r w:rsidR="00D72528">
              <w:rPr>
                <w:noProof/>
                <w:webHidden/>
              </w:rPr>
              <w:instrText xml:space="preserve"> PAGEREF _Toc427676908 \h </w:instrText>
            </w:r>
            <w:r w:rsidR="00D72528">
              <w:rPr>
                <w:noProof/>
                <w:webHidden/>
              </w:rPr>
            </w:r>
            <w:r w:rsidR="00D72528">
              <w:rPr>
                <w:noProof/>
                <w:webHidden/>
              </w:rPr>
              <w:fldChar w:fldCharType="separate"/>
            </w:r>
            <w:r w:rsidR="001C57AC">
              <w:rPr>
                <w:noProof/>
                <w:webHidden/>
              </w:rPr>
              <w:t>97</w:t>
            </w:r>
            <w:r w:rsidR="00D72528">
              <w:rPr>
                <w:noProof/>
                <w:webHidden/>
              </w:rPr>
              <w:fldChar w:fldCharType="end"/>
            </w:r>
          </w:hyperlink>
        </w:p>
        <w:p w:rsidR="00D72528" w:rsidRDefault="006F678C">
          <w:pPr>
            <w:pStyle w:val="Obsah1"/>
            <w:tabs>
              <w:tab w:val="right" w:leader="dot" w:pos="9628"/>
            </w:tabs>
            <w:rPr>
              <w:rFonts w:asciiTheme="minorHAnsi" w:eastAsiaTheme="minorEastAsia" w:hAnsiTheme="minorHAnsi"/>
              <w:noProof/>
              <w:lang w:eastAsia="cs-CZ"/>
            </w:rPr>
          </w:pPr>
          <w:hyperlink w:anchor="_Toc427676909" w:history="1">
            <w:r w:rsidR="00D72528" w:rsidRPr="007B0814">
              <w:rPr>
                <w:rStyle w:val="Hypertextovodkaz"/>
                <w:noProof/>
              </w:rPr>
              <w:t>STRATEGICKÁ DOPORUČENÍ</w:t>
            </w:r>
            <w:r w:rsidR="00D72528">
              <w:rPr>
                <w:noProof/>
                <w:webHidden/>
              </w:rPr>
              <w:tab/>
            </w:r>
            <w:r w:rsidR="00D72528">
              <w:rPr>
                <w:noProof/>
                <w:webHidden/>
              </w:rPr>
              <w:fldChar w:fldCharType="begin"/>
            </w:r>
            <w:r w:rsidR="00D72528">
              <w:rPr>
                <w:noProof/>
                <w:webHidden/>
              </w:rPr>
              <w:instrText xml:space="preserve"> PAGEREF _Toc427676909 \h </w:instrText>
            </w:r>
            <w:r w:rsidR="00D72528">
              <w:rPr>
                <w:noProof/>
                <w:webHidden/>
              </w:rPr>
            </w:r>
            <w:r w:rsidR="00D72528">
              <w:rPr>
                <w:noProof/>
                <w:webHidden/>
              </w:rPr>
              <w:fldChar w:fldCharType="separate"/>
            </w:r>
            <w:r w:rsidR="001C57AC">
              <w:rPr>
                <w:noProof/>
                <w:webHidden/>
              </w:rPr>
              <w:t>99</w:t>
            </w:r>
            <w:r w:rsidR="00D72528">
              <w:rPr>
                <w:noProof/>
                <w:webHidden/>
              </w:rPr>
              <w:fldChar w:fldCharType="end"/>
            </w:r>
          </w:hyperlink>
        </w:p>
        <w:p w:rsidR="00D72528" w:rsidRDefault="006F678C">
          <w:pPr>
            <w:pStyle w:val="Obsah1"/>
            <w:tabs>
              <w:tab w:val="right" w:leader="dot" w:pos="9628"/>
            </w:tabs>
            <w:rPr>
              <w:rFonts w:asciiTheme="minorHAnsi" w:eastAsiaTheme="minorEastAsia" w:hAnsiTheme="minorHAnsi"/>
              <w:noProof/>
              <w:lang w:eastAsia="cs-CZ"/>
            </w:rPr>
          </w:pPr>
          <w:hyperlink w:anchor="_Toc427676910" w:history="1">
            <w:r w:rsidR="00D72528" w:rsidRPr="007B0814">
              <w:rPr>
                <w:rStyle w:val="Hypertextovodkaz"/>
                <w:noProof/>
              </w:rPr>
              <w:t>Seznam zkratek</w:t>
            </w:r>
            <w:r w:rsidR="00D72528">
              <w:rPr>
                <w:noProof/>
                <w:webHidden/>
              </w:rPr>
              <w:tab/>
            </w:r>
            <w:r w:rsidR="00D72528">
              <w:rPr>
                <w:noProof/>
                <w:webHidden/>
              </w:rPr>
              <w:fldChar w:fldCharType="begin"/>
            </w:r>
            <w:r w:rsidR="00D72528">
              <w:rPr>
                <w:noProof/>
                <w:webHidden/>
              </w:rPr>
              <w:instrText xml:space="preserve"> PAGEREF _Toc427676910 \h </w:instrText>
            </w:r>
            <w:r w:rsidR="00D72528">
              <w:rPr>
                <w:noProof/>
                <w:webHidden/>
              </w:rPr>
            </w:r>
            <w:r w:rsidR="00D72528">
              <w:rPr>
                <w:noProof/>
                <w:webHidden/>
              </w:rPr>
              <w:fldChar w:fldCharType="separate"/>
            </w:r>
            <w:r w:rsidR="001C57AC">
              <w:rPr>
                <w:noProof/>
                <w:webHidden/>
              </w:rPr>
              <w:t>101</w:t>
            </w:r>
            <w:r w:rsidR="00D72528">
              <w:rPr>
                <w:noProof/>
                <w:webHidden/>
              </w:rPr>
              <w:fldChar w:fldCharType="end"/>
            </w:r>
          </w:hyperlink>
        </w:p>
        <w:p w:rsidR="005C4B3F" w:rsidRDefault="005C4B3F">
          <w:r>
            <w:rPr>
              <w:b/>
              <w:bCs/>
            </w:rPr>
            <w:fldChar w:fldCharType="end"/>
          </w:r>
        </w:p>
      </w:sdtContent>
    </w:sdt>
    <w:p w:rsidR="005C4B3F" w:rsidRDefault="005C4B3F"/>
    <w:p w:rsidR="005C4B3F" w:rsidRDefault="005C4B3F"/>
    <w:p w:rsidR="001309B5" w:rsidRDefault="001309B5">
      <w:pPr>
        <w:rPr>
          <w:rFonts w:asciiTheme="majorHAnsi" w:eastAsiaTheme="majorEastAsia" w:hAnsiTheme="majorHAnsi" w:cstheme="majorBidi"/>
          <w:b/>
          <w:bCs/>
          <w:color w:val="365F91" w:themeColor="accent1" w:themeShade="BF"/>
          <w:sz w:val="28"/>
          <w:szCs w:val="28"/>
          <w:lang w:eastAsia="cs-CZ"/>
        </w:rPr>
      </w:pPr>
      <w:r>
        <w:br w:type="page"/>
      </w:r>
    </w:p>
    <w:p w:rsidR="005A1090" w:rsidRDefault="002B71BE" w:rsidP="00956D00">
      <w:pPr>
        <w:pStyle w:val="Nadpis1"/>
      </w:pPr>
      <w:bookmarkStart w:id="0" w:name="_Toc427676891"/>
      <w:r>
        <w:lastRenderedPageBreak/>
        <w:t>SOUHRN</w:t>
      </w:r>
      <w:bookmarkEnd w:id="0"/>
    </w:p>
    <w:p w:rsidR="002B71BE" w:rsidRDefault="002B71BE" w:rsidP="00D93393">
      <w:pPr>
        <w:spacing w:after="0" w:line="360" w:lineRule="auto"/>
        <w:ind w:firstLine="357"/>
        <w:jc w:val="both"/>
        <w:rPr>
          <w:rFonts w:ascii="Arial" w:eastAsia="Times New Roman" w:hAnsi="Arial" w:cs="Arial"/>
          <w:lang w:eastAsia="cs-CZ"/>
        </w:rPr>
      </w:pPr>
      <w:r w:rsidRPr="002B71BE">
        <w:rPr>
          <w:rFonts w:ascii="Arial" w:eastAsia="Times New Roman" w:hAnsi="Arial" w:cs="Arial"/>
          <w:lang w:eastAsia="cs-CZ"/>
        </w:rPr>
        <w:t>Analýza stavu výzkumu, vývoje a inovací v České republice a jejich srovnání se zahraničím v</w:t>
      </w:r>
      <w:r>
        <w:rPr>
          <w:rFonts w:ascii="Arial" w:eastAsia="Times New Roman" w:hAnsi="Arial" w:cs="Arial"/>
          <w:lang w:eastAsia="cs-CZ"/>
        </w:rPr>
        <w:t> </w:t>
      </w:r>
      <w:r w:rsidRPr="002B71BE">
        <w:rPr>
          <w:rFonts w:ascii="Arial" w:eastAsia="Times New Roman" w:hAnsi="Arial" w:cs="Arial"/>
          <w:lang w:eastAsia="cs-CZ"/>
        </w:rPr>
        <w:t>roce 2014</w:t>
      </w:r>
      <w:r>
        <w:rPr>
          <w:rFonts w:ascii="Arial" w:eastAsia="Times New Roman" w:hAnsi="Arial" w:cs="Arial"/>
          <w:lang w:eastAsia="cs-CZ"/>
        </w:rPr>
        <w:t xml:space="preserve"> dospěla k následujícím nejvýznamnějším zjištěním, která jsou v dalším textu podrobně komentována a doplněna grafickými výstupy.</w:t>
      </w:r>
    </w:p>
    <w:p w:rsidR="002B71BE" w:rsidRDefault="002B71BE" w:rsidP="00D93393">
      <w:pPr>
        <w:spacing w:after="0" w:line="360" w:lineRule="auto"/>
        <w:ind w:firstLine="357"/>
        <w:jc w:val="both"/>
        <w:rPr>
          <w:rFonts w:ascii="Arial" w:eastAsia="Times New Roman" w:hAnsi="Arial" w:cs="Arial"/>
          <w:b/>
          <w:lang w:eastAsia="cs-CZ"/>
        </w:rPr>
      </w:pPr>
      <w:r w:rsidRPr="002B71BE">
        <w:rPr>
          <w:rFonts w:ascii="Arial" w:eastAsia="Times New Roman" w:hAnsi="Arial" w:cs="Arial"/>
          <w:b/>
          <w:lang w:eastAsia="cs-CZ"/>
        </w:rPr>
        <w:t>Kapitola Finanční toky</w:t>
      </w:r>
      <w:r>
        <w:rPr>
          <w:rFonts w:ascii="Arial" w:eastAsia="Times New Roman" w:hAnsi="Arial" w:cs="Arial"/>
          <w:b/>
          <w:lang w:eastAsia="cs-CZ"/>
        </w:rPr>
        <w:t>:</w:t>
      </w:r>
    </w:p>
    <w:p w:rsidR="002B71BE" w:rsidRDefault="002239EE"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 xml:space="preserve">Celkové výdaje na VaVaI </w:t>
      </w:r>
      <w:r w:rsidR="002B71BE" w:rsidRPr="000A22D2">
        <w:rPr>
          <w:rFonts w:ascii="Arial" w:eastAsia="Times New Roman" w:hAnsi="Arial" w:cs="Arial"/>
          <w:lang w:eastAsia="cs-CZ"/>
        </w:rPr>
        <w:t>v ČR v roce 2013 činily bezmála 78 mld. Kč, což představuje 1,91</w:t>
      </w:r>
      <w:r w:rsidR="00F53673">
        <w:rPr>
          <w:rFonts w:ascii="Arial" w:eastAsia="Times New Roman" w:hAnsi="Arial" w:cs="Arial"/>
          <w:lang w:eastAsia="cs-CZ"/>
        </w:rPr>
        <w:t> </w:t>
      </w:r>
      <w:r w:rsidR="002B71BE" w:rsidRPr="000A22D2">
        <w:rPr>
          <w:rFonts w:ascii="Arial" w:eastAsia="Times New Roman" w:hAnsi="Arial" w:cs="Arial"/>
          <w:lang w:eastAsia="cs-CZ"/>
        </w:rPr>
        <w:t>% h</w:t>
      </w:r>
      <w:r>
        <w:rPr>
          <w:rFonts w:ascii="Arial" w:eastAsia="Times New Roman" w:hAnsi="Arial" w:cs="Arial"/>
          <w:lang w:eastAsia="cs-CZ"/>
        </w:rPr>
        <w:t>rubého domácího produktu.</w:t>
      </w:r>
    </w:p>
    <w:p w:rsidR="002B71BE" w:rsidRDefault="002B71BE" w:rsidP="00D93393">
      <w:pPr>
        <w:pStyle w:val="Odstavecseseznamem"/>
        <w:numPr>
          <w:ilvl w:val="0"/>
          <w:numId w:val="18"/>
        </w:numPr>
        <w:spacing w:after="0" w:line="360" w:lineRule="auto"/>
        <w:jc w:val="both"/>
        <w:rPr>
          <w:rFonts w:ascii="Arial" w:eastAsia="Times New Roman" w:hAnsi="Arial" w:cs="Arial"/>
          <w:lang w:eastAsia="cs-CZ"/>
        </w:rPr>
      </w:pPr>
      <w:r w:rsidRPr="000A22D2">
        <w:rPr>
          <w:rFonts w:ascii="Arial" w:eastAsia="Times New Roman" w:hAnsi="Arial" w:cs="Arial"/>
          <w:lang w:eastAsia="cs-CZ"/>
        </w:rPr>
        <w:t>GERD dlouhodobě meziročně rostou, pouze v posledním roce nebyl nárůst tak intenzivní, jako v předchozích letech.</w:t>
      </w:r>
    </w:p>
    <w:p w:rsidR="002B71BE" w:rsidRDefault="002B71BE" w:rsidP="00D93393">
      <w:pPr>
        <w:pStyle w:val="Odstavecseseznamem"/>
        <w:numPr>
          <w:ilvl w:val="0"/>
          <w:numId w:val="18"/>
        </w:numPr>
        <w:spacing w:after="0" w:line="360" w:lineRule="auto"/>
        <w:jc w:val="both"/>
        <w:rPr>
          <w:rFonts w:ascii="Arial" w:eastAsia="Times New Roman" w:hAnsi="Arial" w:cs="Arial"/>
          <w:lang w:eastAsia="cs-CZ"/>
        </w:rPr>
      </w:pPr>
      <w:r w:rsidRPr="0053104B">
        <w:rPr>
          <w:rFonts w:ascii="Arial" w:eastAsia="Times New Roman" w:hAnsi="Arial" w:cs="Arial"/>
          <w:lang w:eastAsia="cs-CZ"/>
        </w:rPr>
        <w:t>V</w:t>
      </w:r>
      <w:r>
        <w:rPr>
          <w:rFonts w:ascii="Arial" w:eastAsia="Times New Roman" w:hAnsi="Arial" w:cs="Arial"/>
          <w:lang w:eastAsia="cs-CZ"/>
        </w:rPr>
        <w:t xml:space="preserve"> mezinárodním srovnání </w:t>
      </w:r>
      <w:r w:rsidRPr="0053104B">
        <w:rPr>
          <w:rFonts w:ascii="Arial" w:eastAsia="Times New Roman" w:hAnsi="Arial" w:cs="Arial"/>
          <w:lang w:eastAsia="cs-CZ"/>
        </w:rPr>
        <w:t>představuje ČR</w:t>
      </w:r>
      <w:r>
        <w:rPr>
          <w:rFonts w:ascii="Arial" w:eastAsia="Times New Roman" w:hAnsi="Arial" w:cs="Arial"/>
          <w:lang w:eastAsia="cs-CZ"/>
        </w:rPr>
        <w:t xml:space="preserve"> z hlediska GERD </w:t>
      </w:r>
      <w:r w:rsidRPr="0053104B">
        <w:rPr>
          <w:rFonts w:ascii="Arial" w:eastAsia="Times New Roman" w:hAnsi="Arial" w:cs="Arial"/>
          <w:lang w:eastAsia="cs-CZ"/>
        </w:rPr>
        <w:t>evropský průměr</w:t>
      </w:r>
      <w:r>
        <w:rPr>
          <w:rFonts w:ascii="Arial" w:eastAsia="Times New Roman" w:hAnsi="Arial" w:cs="Arial"/>
          <w:lang w:eastAsia="cs-CZ"/>
        </w:rPr>
        <w:t>.</w:t>
      </w:r>
    </w:p>
    <w:p w:rsidR="002B71BE" w:rsidRDefault="002B71BE" w:rsidP="00D93393">
      <w:pPr>
        <w:pStyle w:val="Odstavecseseznamem"/>
        <w:numPr>
          <w:ilvl w:val="0"/>
          <w:numId w:val="18"/>
        </w:numPr>
        <w:spacing w:after="0" w:line="360" w:lineRule="auto"/>
        <w:jc w:val="both"/>
        <w:rPr>
          <w:rFonts w:ascii="Arial" w:eastAsia="Times New Roman" w:hAnsi="Arial" w:cs="Arial"/>
          <w:lang w:eastAsia="cs-CZ"/>
        </w:rPr>
      </w:pPr>
      <w:r w:rsidRPr="00554055">
        <w:rPr>
          <w:rFonts w:ascii="Arial" w:eastAsia="Times New Roman" w:hAnsi="Arial" w:cs="Arial"/>
          <w:lang w:eastAsia="cs-CZ"/>
        </w:rPr>
        <w:t>Ve skupině srovnatelné s ČR se nacházejí rovněž státy se silnou ekonomikou, jako je</w:t>
      </w:r>
      <w:r w:rsidR="00F53673">
        <w:rPr>
          <w:rFonts w:ascii="Arial" w:eastAsia="Times New Roman" w:hAnsi="Arial" w:cs="Arial"/>
          <w:lang w:eastAsia="cs-CZ"/>
        </w:rPr>
        <w:t> </w:t>
      </w:r>
      <w:r w:rsidRPr="00554055">
        <w:rPr>
          <w:rFonts w:ascii="Arial" w:eastAsia="Times New Roman" w:hAnsi="Arial" w:cs="Arial"/>
          <w:lang w:eastAsia="cs-CZ"/>
        </w:rPr>
        <w:t xml:space="preserve">Holandsko, Belgie, Francie. ČR dokonce předčila Velkou Británii, Norsko či Irsko. </w:t>
      </w:r>
    </w:p>
    <w:p w:rsidR="002B71BE" w:rsidRPr="00554055" w:rsidRDefault="002B71BE" w:rsidP="00D93393">
      <w:pPr>
        <w:pStyle w:val="Odstavecseseznamem"/>
        <w:numPr>
          <w:ilvl w:val="0"/>
          <w:numId w:val="18"/>
        </w:numPr>
        <w:spacing w:after="0" w:line="360" w:lineRule="auto"/>
        <w:jc w:val="both"/>
        <w:rPr>
          <w:rFonts w:ascii="Arial" w:eastAsia="Times New Roman" w:hAnsi="Arial" w:cs="Arial"/>
          <w:lang w:eastAsia="cs-CZ"/>
        </w:rPr>
      </w:pPr>
      <w:r w:rsidRPr="00554055">
        <w:rPr>
          <w:rFonts w:ascii="Arial" w:eastAsia="Times New Roman" w:hAnsi="Arial" w:cs="Arial"/>
          <w:lang w:eastAsia="cs-CZ"/>
        </w:rPr>
        <w:t>Z jednotlivých složek GERD nejintenzivněji rostou zahraniční veřejné finance, zejména vlivem ESF.</w:t>
      </w:r>
    </w:p>
    <w:p w:rsidR="002B71BE" w:rsidRDefault="002B71BE"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 xml:space="preserve">Cíl </w:t>
      </w:r>
      <w:r w:rsidRPr="000A22D2">
        <w:rPr>
          <w:rFonts w:ascii="Arial" w:eastAsia="Times New Roman" w:hAnsi="Arial" w:cs="Arial"/>
          <w:lang w:eastAsia="cs-CZ"/>
        </w:rPr>
        <w:t xml:space="preserve">ČR ve strategii Evropa 2020 </w:t>
      </w:r>
      <w:r>
        <w:rPr>
          <w:rFonts w:ascii="Arial" w:eastAsia="Times New Roman" w:hAnsi="Arial" w:cs="Arial"/>
          <w:lang w:eastAsia="cs-CZ"/>
        </w:rPr>
        <w:t>v podobě</w:t>
      </w:r>
      <w:r w:rsidRPr="000A22D2">
        <w:rPr>
          <w:rFonts w:ascii="Arial" w:eastAsia="Times New Roman" w:hAnsi="Arial" w:cs="Arial"/>
          <w:lang w:eastAsia="cs-CZ"/>
        </w:rPr>
        <w:t xml:space="preserve"> každoroční investice veřejných prostředků do</w:t>
      </w:r>
      <w:r w:rsidR="00F53673">
        <w:rPr>
          <w:rFonts w:ascii="Arial" w:eastAsia="Times New Roman" w:hAnsi="Arial" w:cs="Arial"/>
          <w:lang w:eastAsia="cs-CZ"/>
        </w:rPr>
        <w:t> </w:t>
      </w:r>
      <w:r w:rsidRPr="000A22D2">
        <w:rPr>
          <w:rFonts w:ascii="Arial" w:eastAsia="Times New Roman" w:hAnsi="Arial" w:cs="Arial"/>
          <w:lang w:eastAsia="cs-CZ"/>
        </w:rPr>
        <w:t>VaVaI na úrovni 1</w:t>
      </w:r>
      <w:r w:rsidR="000C1800">
        <w:rPr>
          <w:rFonts w:ascii="Arial" w:eastAsia="Times New Roman" w:hAnsi="Arial" w:cs="Arial"/>
          <w:lang w:eastAsia="cs-CZ"/>
        </w:rPr>
        <w:t> </w:t>
      </w:r>
      <w:r w:rsidRPr="000A22D2">
        <w:rPr>
          <w:rFonts w:ascii="Arial" w:eastAsia="Times New Roman" w:hAnsi="Arial" w:cs="Arial"/>
          <w:lang w:eastAsia="cs-CZ"/>
        </w:rPr>
        <w:t>% HDP</w:t>
      </w:r>
      <w:r>
        <w:rPr>
          <w:rFonts w:ascii="Arial" w:eastAsia="Times New Roman" w:hAnsi="Arial" w:cs="Arial"/>
          <w:lang w:eastAsia="cs-CZ"/>
        </w:rPr>
        <w:t xml:space="preserve"> </w:t>
      </w:r>
      <w:r w:rsidRPr="000A22D2">
        <w:rPr>
          <w:rFonts w:ascii="Arial" w:eastAsia="Times New Roman" w:hAnsi="Arial" w:cs="Arial"/>
          <w:lang w:eastAsia="cs-CZ"/>
        </w:rPr>
        <w:t xml:space="preserve">je plněn díky </w:t>
      </w:r>
      <w:r>
        <w:rPr>
          <w:rFonts w:ascii="Arial" w:eastAsia="Times New Roman" w:hAnsi="Arial" w:cs="Arial"/>
          <w:lang w:eastAsia="cs-CZ"/>
        </w:rPr>
        <w:t>ESF, které tvoří 0,3</w:t>
      </w:r>
      <w:r w:rsidR="000C1800">
        <w:rPr>
          <w:rFonts w:ascii="Arial" w:eastAsia="Times New Roman" w:hAnsi="Arial" w:cs="Arial"/>
          <w:lang w:eastAsia="cs-CZ"/>
        </w:rPr>
        <w:t> </w:t>
      </w:r>
      <w:r>
        <w:rPr>
          <w:rFonts w:ascii="Arial" w:eastAsia="Times New Roman" w:hAnsi="Arial" w:cs="Arial"/>
          <w:lang w:eastAsia="cs-CZ"/>
        </w:rPr>
        <w:t>% HDP.</w:t>
      </w:r>
      <w:r w:rsidRPr="00586C97">
        <w:rPr>
          <w:rFonts w:ascii="Arial" w:eastAsia="Times New Roman" w:hAnsi="Arial" w:cs="Arial"/>
          <w:lang w:eastAsia="cs-CZ"/>
        </w:rPr>
        <w:t xml:space="preserve"> </w:t>
      </w:r>
    </w:p>
    <w:p w:rsidR="002B71BE" w:rsidRDefault="002B71BE" w:rsidP="00D93393">
      <w:pPr>
        <w:pStyle w:val="Odstavecseseznamem"/>
        <w:numPr>
          <w:ilvl w:val="0"/>
          <w:numId w:val="18"/>
        </w:numPr>
        <w:spacing w:after="0" w:line="360" w:lineRule="auto"/>
        <w:jc w:val="both"/>
        <w:rPr>
          <w:rFonts w:ascii="Arial" w:eastAsia="Times New Roman" w:hAnsi="Arial" w:cs="Arial"/>
          <w:lang w:eastAsia="cs-CZ"/>
        </w:rPr>
      </w:pPr>
      <w:r w:rsidRPr="0053104B">
        <w:rPr>
          <w:rFonts w:ascii="Arial" w:eastAsia="Times New Roman" w:hAnsi="Arial" w:cs="Arial"/>
          <w:lang w:eastAsia="cs-CZ"/>
        </w:rPr>
        <w:t xml:space="preserve">Podnikatelské zdroje </w:t>
      </w:r>
      <w:r>
        <w:rPr>
          <w:rFonts w:ascii="Arial" w:eastAsia="Times New Roman" w:hAnsi="Arial" w:cs="Arial"/>
          <w:lang w:eastAsia="cs-CZ"/>
        </w:rPr>
        <w:t>jsou</w:t>
      </w:r>
      <w:r w:rsidRPr="0053104B">
        <w:rPr>
          <w:rFonts w:ascii="Arial" w:eastAsia="Times New Roman" w:hAnsi="Arial" w:cs="Arial"/>
          <w:lang w:eastAsia="cs-CZ"/>
        </w:rPr>
        <w:t xml:space="preserve"> téměř výhradně využ</w:t>
      </w:r>
      <w:r>
        <w:rPr>
          <w:rFonts w:ascii="Arial" w:eastAsia="Times New Roman" w:hAnsi="Arial" w:cs="Arial"/>
          <w:lang w:eastAsia="cs-CZ"/>
        </w:rPr>
        <w:t>ívány</w:t>
      </w:r>
      <w:r w:rsidRPr="0053104B">
        <w:rPr>
          <w:rFonts w:ascii="Arial" w:eastAsia="Times New Roman" w:hAnsi="Arial" w:cs="Arial"/>
          <w:lang w:eastAsia="cs-CZ"/>
        </w:rPr>
        <w:t xml:space="preserve"> v podnikatelském sektoru, podpora veřejného VaVaI byla velmi malá, v součtu za vysokoškolský a vládní sektor činila necelou 1 mld. Kč.</w:t>
      </w:r>
    </w:p>
    <w:p w:rsidR="002B71BE" w:rsidRPr="002B2C14" w:rsidRDefault="002B71BE" w:rsidP="00D93393">
      <w:pPr>
        <w:pStyle w:val="Odstavecseseznamem"/>
        <w:numPr>
          <w:ilvl w:val="0"/>
          <w:numId w:val="18"/>
        </w:numPr>
        <w:spacing w:after="0" w:line="360" w:lineRule="auto"/>
        <w:jc w:val="both"/>
        <w:rPr>
          <w:rFonts w:ascii="Arial" w:eastAsia="Times New Roman" w:hAnsi="Arial" w:cs="Arial"/>
          <w:lang w:eastAsia="cs-CZ"/>
        </w:rPr>
      </w:pPr>
      <w:r w:rsidRPr="002B2C14">
        <w:rPr>
          <w:rFonts w:ascii="Arial" w:eastAsia="Times New Roman" w:hAnsi="Arial" w:cs="Arial"/>
          <w:lang w:eastAsia="cs-CZ"/>
        </w:rPr>
        <w:t>Veřejn</w:t>
      </w:r>
      <w:r w:rsidR="0074008A" w:rsidRPr="002B2C14">
        <w:rPr>
          <w:rFonts w:ascii="Arial" w:eastAsia="Times New Roman" w:hAnsi="Arial" w:cs="Arial"/>
          <w:lang w:eastAsia="cs-CZ"/>
        </w:rPr>
        <w:t>é</w:t>
      </w:r>
      <w:r w:rsidRPr="002B2C14">
        <w:rPr>
          <w:rFonts w:ascii="Arial" w:eastAsia="Times New Roman" w:hAnsi="Arial" w:cs="Arial"/>
          <w:lang w:eastAsia="cs-CZ"/>
        </w:rPr>
        <w:t xml:space="preserve"> finanční zdroje směřovaly především do veřejného sektoru (12,5 mld. Kč do</w:t>
      </w:r>
      <w:r w:rsidR="00F53673">
        <w:rPr>
          <w:rFonts w:ascii="Arial" w:eastAsia="Times New Roman" w:hAnsi="Arial" w:cs="Arial"/>
          <w:lang w:eastAsia="cs-CZ"/>
        </w:rPr>
        <w:t> </w:t>
      </w:r>
      <w:r w:rsidRPr="002B2C14">
        <w:rPr>
          <w:rFonts w:ascii="Arial" w:eastAsia="Times New Roman" w:hAnsi="Arial" w:cs="Arial"/>
          <w:lang w:eastAsia="cs-CZ"/>
        </w:rPr>
        <w:t>vysokoškolského a 9,5 mld. Kč do vládního).</w:t>
      </w:r>
      <w:r w:rsidR="002B2C14">
        <w:rPr>
          <w:rFonts w:ascii="Arial" w:eastAsia="Times New Roman" w:hAnsi="Arial" w:cs="Arial"/>
          <w:lang w:eastAsia="cs-CZ"/>
        </w:rPr>
        <w:t xml:space="preserve"> </w:t>
      </w:r>
      <w:r w:rsidRPr="002B2C14">
        <w:rPr>
          <w:rFonts w:ascii="Arial" w:eastAsia="Times New Roman" w:hAnsi="Arial" w:cs="Arial"/>
          <w:lang w:eastAsia="cs-CZ"/>
        </w:rPr>
        <w:t>Podnikatelskému sektoru</w:t>
      </w:r>
      <w:r w:rsidR="007E308E">
        <w:rPr>
          <w:rFonts w:ascii="Arial" w:eastAsia="Times New Roman" w:hAnsi="Arial" w:cs="Arial"/>
          <w:lang w:eastAsia="cs-CZ"/>
        </w:rPr>
        <w:t xml:space="preserve"> bylo alokováno téměř 5 mld. Kč</w:t>
      </w:r>
      <w:r w:rsidRPr="002B2C14">
        <w:rPr>
          <w:rFonts w:ascii="Arial" w:eastAsia="Times New Roman" w:hAnsi="Arial" w:cs="Arial"/>
          <w:lang w:eastAsia="cs-CZ"/>
        </w:rPr>
        <w:t xml:space="preserve">. Zhruba </w:t>
      </w:r>
      <w:r w:rsidR="007E308E">
        <w:rPr>
          <w:rFonts w:ascii="Arial" w:eastAsia="Times New Roman" w:hAnsi="Arial" w:cs="Arial"/>
          <w:lang w:eastAsia="cs-CZ"/>
        </w:rPr>
        <w:t>68 % této</w:t>
      </w:r>
      <w:r w:rsidRPr="002B2C14">
        <w:rPr>
          <w:rFonts w:ascii="Arial" w:eastAsia="Times New Roman" w:hAnsi="Arial" w:cs="Arial"/>
          <w:lang w:eastAsia="cs-CZ"/>
        </w:rPr>
        <w:t xml:space="preserve"> alokace využívají </w:t>
      </w:r>
      <w:r w:rsidR="007E308E">
        <w:rPr>
          <w:rFonts w:ascii="Arial" w:eastAsia="Times New Roman" w:hAnsi="Arial" w:cs="Arial"/>
          <w:lang w:eastAsia="cs-CZ"/>
        </w:rPr>
        <w:t>výrobní podniky, 55 % MSP</w:t>
      </w:r>
      <w:r w:rsidRPr="002B2C14">
        <w:rPr>
          <w:rFonts w:ascii="Arial" w:eastAsia="Times New Roman" w:hAnsi="Arial" w:cs="Arial"/>
          <w:lang w:eastAsia="cs-CZ"/>
        </w:rPr>
        <w:t>.</w:t>
      </w:r>
    </w:p>
    <w:p w:rsidR="002B71BE" w:rsidRPr="007E308E" w:rsidRDefault="002B71BE" w:rsidP="00D93393">
      <w:pPr>
        <w:pStyle w:val="Odstavecseseznamem"/>
        <w:numPr>
          <w:ilvl w:val="0"/>
          <w:numId w:val="18"/>
        </w:numPr>
        <w:spacing w:after="0" w:line="360" w:lineRule="auto"/>
        <w:jc w:val="both"/>
        <w:rPr>
          <w:rFonts w:ascii="Arial" w:eastAsia="Times New Roman" w:hAnsi="Arial" w:cs="Arial"/>
          <w:lang w:eastAsia="cs-CZ"/>
        </w:rPr>
      </w:pPr>
      <w:r w:rsidRPr="007E308E">
        <w:rPr>
          <w:rFonts w:ascii="Arial" w:eastAsia="Times New Roman" w:hAnsi="Arial" w:cs="Arial"/>
          <w:lang w:eastAsia="cs-CZ"/>
        </w:rPr>
        <w:t>Podnikatelský sektor je v ČR v souvislosti s veřejnými prostředky podporován také nepřímo formou položek odčitatelných od základu daně z příjmů právnických osob.</w:t>
      </w:r>
      <w:r w:rsidR="007E308E">
        <w:rPr>
          <w:rFonts w:ascii="Arial" w:eastAsia="Times New Roman" w:hAnsi="Arial" w:cs="Arial"/>
          <w:lang w:eastAsia="cs-CZ"/>
        </w:rPr>
        <w:t xml:space="preserve"> </w:t>
      </w:r>
      <w:r w:rsidRPr="007E308E">
        <w:rPr>
          <w:rFonts w:ascii="Arial" w:eastAsia="Times New Roman" w:hAnsi="Arial" w:cs="Arial"/>
          <w:lang w:eastAsia="cs-CZ"/>
        </w:rPr>
        <w:t>Nepřímá podpora VaVaI v podnikatelském sektoru dosáhla v roce 2013 výše 2,3 mld. Kč, v meziročním srovnání je patrný rostoucí trend jak v počtu subjektů, které nepřímou podporu využily, tak v celkové uspořené částce. Této formy podpory však využívají především velké podniky (70 % v roce 2013).</w:t>
      </w:r>
    </w:p>
    <w:p w:rsidR="002B71BE" w:rsidRDefault="002B71BE" w:rsidP="00D93393">
      <w:pPr>
        <w:pStyle w:val="Odstavecseseznamem"/>
        <w:numPr>
          <w:ilvl w:val="0"/>
          <w:numId w:val="18"/>
        </w:numPr>
        <w:spacing w:after="0" w:line="360" w:lineRule="auto"/>
        <w:jc w:val="both"/>
        <w:rPr>
          <w:rFonts w:ascii="Arial" w:eastAsia="Times New Roman" w:hAnsi="Arial" w:cs="Arial"/>
          <w:lang w:eastAsia="cs-CZ"/>
        </w:rPr>
      </w:pPr>
      <w:r w:rsidRPr="002B71BE">
        <w:rPr>
          <w:rFonts w:ascii="Arial" w:eastAsia="Times New Roman" w:hAnsi="Arial" w:cs="Arial"/>
          <w:lang w:eastAsia="cs-CZ"/>
        </w:rPr>
        <w:t>V mezinárodním srovnání podpory VaVaI v podnikatelském sektoru při zohlednění přímé i</w:t>
      </w:r>
      <w:r w:rsidR="00F53673">
        <w:rPr>
          <w:rFonts w:ascii="Arial" w:eastAsia="Times New Roman" w:hAnsi="Arial" w:cs="Arial"/>
          <w:lang w:eastAsia="cs-CZ"/>
        </w:rPr>
        <w:t> </w:t>
      </w:r>
      <w:r w:rsidRPr="002B71BE">
        <w:rPr>
          <w:rFonts w:ascii="Arial" w:eastAsia="Times New Roman" w:hAnsi="Arial" w:cs="Arial"/>
          <w:lang w:eastAsia="cs-CZ"/>
        </w:rPr>
        <w:t>nepřímé podpory je v ČR podobná situace, jako v Rakousku, Maďarsku, nebo Norsku.</w:t>
      </w:r>
    </w:p>
    <w:p w:rsidR="002B71BE" w:rsidRPr="002B71BE" w:rsidRDefault="002B71BE" w:rsidP="00D93393">
      <w:pPr>
        <w:pStyle w:val="Odstavecseseznamem"/>
        <w:numPr>
          <w:ilvl w:val="0"/>
          <w:numId w:val="18"/>
        </w:numPr>
        <w:spacing w:after="0" w:line="360" w:lineRule="auto"/>
        <w:jc w:val="both"/>
        <w:rPr>
          <w:rFonts w:ascii="Arial" w:eastAsia="Times New Roman" w:hAnsi="Arial" w:cs="Arial"/>
          <w:lang w:eastAsia="cs-CZ"/>
        </w:rPr>
      </w:pPr>
      <w:r w:rsidRPr="002B71BE">
        <w:rPr>
          <w:rFonts w:ascii="Arial" w:eastAsia="Times New Roman" w:hAnsi="Arial" w:cs="Arial"/>
          <w:lang w:eastAsia="cs-CZ"/>
        </w:rPr>
        <w:t>Disproporce v distribuci jednotlivých finančních zdrojů mezi sektory, které VaVaI provádějí, značí špatně fungující spolupráci podniků s veřejným sektorem, přestože je tato spolupráce podporována ze státního rozpočtu.</w:t>
      </w:r>
    </w:p>
    <w:p w:rsidR="002B71BE" w:rsidRDefault="002B71BE" w:rsidP="00D93393">
      <w:pPr>
        <w:pStyle w:val="Odstavecseseznamem"/>
        <w:numPr>
          <w:ilvl w:val="0"/>
          <w:numId w:val="18"/>
        </w:numPr>
        <w:spacing w:after="0" w:line="360" w:lineRule="auto"/>
        <w:jc w:val="both"/>
        <w:rPr>
          <w:rFonts w:ascii="Arial" w:eastAsia="Times New Roman" w:hAnsi="Arial" w:cs="Arial"/>
          <w:lang w:eastAsia="cs-CZ"/>
        </w:rPr>
      </w:pPr>
      <w:r w:rsidRPr="002B71BE">
        <w:rPr>
          <w:rFonts w:ascii="Arial" w:eastAsia="Times New Roman" w:hAnsi="Arial" w:cs="Arial"/>
          <w:lang w:eastAsia="cs-CZ"/>
        </w:rPr>
        <w:t>Iniciační fáze spolupráce financovaná ze státního rozpočtu nezvýšila důvěru podnikatelského sektoru vůči veřejnému, jež by se projevila navýšením podnikatelského kapitálu ve veřejném výzkumu.</w:t>
      </w:r>
    </w:p>
    <w:p w:rsidR="00407F77" w:rsidRPr="00407F77" w:rsidRDefault="00407F77" w:rsidP="00407F77">
      <w:pPr>
        <w:spacing w:after="0" w:line="360" w:lineRule="auto"/>
        <w:ind w:left="360"/>
        <w:jc w:val="both"/>
        <w:rPr>
          <w:rFonts w:ascii="Arial" w:eastAsia="Times New Roman" w:hAnsi="Arial" w:cs="Arial"/>
          <w:lang w:eastAsia="cs-CZ"/>
        </w:rPr>
      </w:pPr>
    </w:p>
    <w:p w:rsidR="002B71BE" w:rsidRDefault="002B71BE" w:rsidP="00D93393">
      <w:pPr>
        <w:spacing w:after="0" w:line="360" w:lineRule="auto"/>
        <w:ind w:firstLine="357"/>
        <w:jc w:val="both"/>
        <w:rPr>
          <w:rFonts w:ascii="Arial" w:eastAsia="Times New Roman" w:hAnsi="Arial" w:cs="Arial"/>
          <w:b/>
          <w:lang w:eastAsia="cs-CZ"/>
        </w:rPr>
      </w:pPr>
      <w:r w:rsidRPr="002B71BE">
        <w:rPr>
          <w:rFonts w:ascii="Arial" w:eastAsia="Times New Roman" w:hAnsi="Arial" w:cs="Arial"/>
          <w:b/>
          <w:lang w:eastAsia="cs-CZ"/>
        </w:rPr>
        <w:lastRenderedPageBreak/>
        <w:t>Kapitola Finan</w:t>
      </w:r>
      <w:r>
        <w:rPr>
          <w:rFonts w:ascii="Arial" w:eastAsia="Times New Roman" w:hAnsi="Arial" w:cs="Arial"/>
          <w:b/>
          <w:lang w:eastAsia="cs-CZ"/>
        </w:rPr>
        <w:t>cování VaVaI ze státního rozpočtu</w:t>
      </w:r>
      <w:r w:rsidRPr="002B71BE">
        <w:rPr>
          <w:rFonts w:ascii="Arial" w:eastAsia="Times New Roman" w:hAnsi="Arial" w:cs="Arial"/>
          <w:b/>
          <w:lang w:eastAsia="cs-CZ"/>
        </w:rPr>
        <w:t>:</w:t>
      </w:r>
    </w:p>
    <w:p w:rsidR="00350176" w:rsidRPr="00572EEF" w:rsidRDefault="00350176" w:rsidP="00D93393">
      <w:pPr>
        <w:pStyle w:val="Odstavecseseznamem"/>
        <w:numPr>
          <w:ilvl w:val="0"/>
          <w:numId w:val="22"/>
        </w:numPr>
        <w:spacing w:after="0" w:line="360" w:lineRule="auto"/>
        <w:jc w:val="both"/>
        <w:rPr>
          <w:rFonts w:ascii="Arial" w:eastAsia="Times New Roman" w:hAnsi="Arial" w:cs="Arial"/>
          <w:lang w:eastAsia="cs-CZ"/>
        </w:rPr>
      </w:pPr>
      <w:r w:rsidRPr="00BD5157">
        <w:rPr>
          <w:rFonts w:ascii="Arial" w:eastAsia="Times New Roman" w:hAnsi="Arial" w:cs="Arial"/>
          <w:lang w:eastAsia="cs-CZ"/>
        </w:rPr>
        <w:t>Veřejné tuzemské zdroje určené k provádění VaVaI v ČR tvoří především státní rozpočet na výzkum, vývoj a inovace, který v roce 2014 činil 26</w:t>
      </w:r>
      <w:r w:rsidR="00572EEF">
        <w:rPr>
          <w:rFonts w:ascii="Arial" w:eastAsia="Times New Roman" w:hAnsi="Arial" w:cs="Arial"/>
          <w:lang w:eastAsia="cs-CZ"/>
        </w:rPr>
        <w:t>,</w:t>
      </w:r>
      <w:r w:rsidRPr="00BD5157">
        <w:rPr>
          <w:rFonts w:ascii="Arial" w:eastAsia="Times New Roman" w:hAnsi="Arial" w:cs="Arial"/>
          <w:lang w:eastAsia="cs-CZ"/>
        </w:rPr>
        <w:t>6</w:t>
      </w:r>
      <w:r w:rsidR="00572EEF">
        <w:rPr>
          <w:rFonts w:ascii="Arial" w:eastAsia="Times New Roman" w:hAnsi="Arial" w:cs="Arial"/>
          <w:lang w:eastAsia="cs-CZ"/>
        </w:rPr>
        <w:t xml:space="preserve"> mld.</w:t>
      </w:r>
      <w:r w:rsidRPr="00BD5157">
        <w:rPr>
          <w:rFonts w:ascii="Arial" w:eastAsia="Times New Roman" w:hAnsi="Arial" w:cs="Arial"/>
          <w:lang w:eastAsia="cs-CZ"/>
        </w:rPr>
        <w:t xml:space="preserve"> </w:t>
      </w:r>
      <w:r w:rsidRPr="00572EEF">
        <w:rPr>
          <w:rFonts w:ascii="Arial" w:eastAsia="Times New Roman" w:hAnsi="Arial" w:cs="Arial"/>
          <w:lang w:eastAsia="cs-CZ"/>
        </w:rPr>
        <w:t>Kč</w:t>
      </w:r>
      <w:r w:rsidR="00572EEF">
        <w:rPr>
          <w:rFonts w:ascii="Arial" w:eastAsia="Times New Roman" w:hAnsi="Arial" w:cs="Arial"/>
          <w:lang w:eastAsia="cs-CZ"/>
        </w:rPr>
        <w:t>.</w:t>
      </w:r>
    </w:p>
    <w:p w:rsidR="00350176" w:rsidRPr="00160322" w:rsidRDefault="00160322" w:rsidP="00D93393">
      <w:pPr>
        <w:pStyle w:val="Odstavecseseznamem"/>
        <w:numPr>
          <w:ilvl w:val="0"/>
          <w:numId w:val="22"/>
        </w:numPr>
        <w:spacing w:after="0" w:line="360" w:lineRule="auto"/>
        <w:jc w:val="both"/>
        <w:rPr>
          <w:rFonts w:ascii="Arial" w:eastAsia="Times New Roman" w:hAnsi="Arial" w:cs="Arial"/>
          <w:lang w:eastAsia="cs-CZ"/>
        </w:rPr>
      </w:pPr>
      <w:r w:rsidRPr="00160322">
        <w:rPr>
          <w:rFonts w:ascii="Arial" w:eastAsia="Times New Roman" w:hAnsi="Arial" w:cs="Arial"/>
          <w:lang w:eastAsia="cs-CZ"/>
        </w:rPr>
        <w:t xml:space="preserve">Zabezpečení zpracování </w:t>
      </w:r>
      <w:r w:rsidR="00350176" w:rsidRPr="00160322">
        <w:rPr>
          <w:rFonts w:ascii="Arial" w:eastAsia="Times New Roman" w:hAnsi="Arial" w:cs="Arial"/>
          <w:lang w:eastAsia="cs-CZ"/>
        </w:rPr>
        <w:t xml:space="preserve">návrhu výdajů státního rozpočtu a jejich střednědobý výhled je v kompetenci RVVI. </w:t>
      </w:r>
    </w:p>
    <w:p w:rsidR="00350176" w:rsidRDefault="00350176" w:rsidP="00D93393">
      <w:pPr>
        <w:pStyle w:val="Odstavecseseznamem"/>
        <w:numPr>
          <w:ilvl w:val="0"/>
          <w:numId w:val="22"/>
        </w:numPr>
        <w:spacing w:after="0" w:line="360" w:lineRule="auto"/>
        <w:jc w:val="both"/>
        <w:rPr>
          <w:rFonts w:ascii="Arial" w:eastAsia="Times New Roman" w:hAnsi="Arial" w:cs="Arial"/>
          <w:lang w:eastAsia="cs-CZ"/>
        </w:rPr>
      </w:pPr>
      <w:r w:rsidRPr="00BD5157">
        <w:rPr>
          <w:rFonts w:ascii="Arial" w:eastAsia="Times New Roman" w:hAnsi="Arial" w:cs="Arial"/>
          <w:lang w:eastAsia="cs-CZ"/>
        </w:rPr>
        <w:t>Návrh je strukturován do 11 rozpočtových kapitol</w:t>
      </w:r>
      <w:r>
        <w:rPr>
          <w:rFonts w:ascii="Arial" w:eastAsia="Times New Roman" w:hAnsi="Arial" w:cs="Arial"/>
          <w:lang w:eastAsia="cs-CZ"/>
        </w:rPr>
        <w:t>:</w:t>
      </w:r>
      <w:r w:rsidRPr="00BD5157">
        <w:rPr>
          <w:rFonts w:ascii="Arial" w:eastAsia="Times New Roman" w:hAnsi="Arial" w:cs="Arial"/>
          <w:lang w:eastAsia="cs-CZ"/>
        </w:rPr>
        <w:t xml:space="preserve"> </w:t>
      </w:r>
      <w:r>
        <w:rPr>
          <w:rFonts w:ascii="Arial" w:eastAsia="Times New Roman" w:hAnsi="Arial" w:cs="Arial"/>
          <w:lang w:eastAsia="cs-CZ"/>
        </w:rPr>
        <w:t>Ministerstvo školství, mládeže a</w:t>
      </w:r>
      <w:r w:rsidR="00F53673">
        <w:rPr>
          <w:rFonts w:ascii="Arial" w:eastAsia="Times New Roman" w:hAnsi="Arial" w:cs="Arial"/>
          <w:lang w:eastAsia="cs-CZ"/>
        </w:rPr>
        <w:t> </w:t>
      </w:r>
      <w:r>
        <w:rPr>
          <w:rFonts w:ascii="Arial" w:eastAsia="Times New Roman" w:hAnsi="Arial" w:cs="Arial"/>
          <w:lang w:eastAsia="cs-CZ"/>
        </w:rPr>
        <w:t xml:space="preserve">tělovýchovy, Akademie věd ČR, Ministerstvo průmyslu a obchodu, Ministerstvo zdravotnictví, Ministerstvo vnitra, Ministerstvo obrany, Ministerstvo zemědělství, Ministerstvo kultury, Grantová agentura ČR, Technologická agentura ČR a </w:t>
      </w:r>
      <w:r w:rsidRPr="00BD5157">
        <w:rPr>
          <w:rFonts w:ascii="Arial" w:eastAsia="Times New Roman" w:hAnsi="Arial" w:cs="Arial"/>
          <w:lang w:eastAsia="cs-CZ"/>
        </w:rPr>
        <w:t>Úřad vlády ČR</w:t>
      </w:r>
      <w:r w:rsidR="00F53673">
        <w:rPr>
          <w:rFonts w:ascii="Arial" w:eastAsia="Times New Roman" w:hAnsi="Arial" w:cs="Arial"/>
          <w:lang w:eastAsia="cs-CZ"/>
        </w:rPr>
        <w:t>.</w:t>
      </w:r>
    </w:p>
    <w:p w:rsidR="00350176" w:rsidRDefault="00350176" w:rsidP="00D93393">
      <w:pPr>
        <w:pStyle w:val="Odstavecseseznamem"/>
        <w:numPr>
          <w:ilvl w:val="0"/>
          <w:numId w:val="22"/>
        </w:numPr>
        <w:spacing w:after="0" w:line="360" w:lineRule="auto"/>
        <w:jc w:val="both"/>
        <w:rPr>
          <w:rFonts w:ascii="Arial" w:eastAsia="Times New Roman" w:hAnsi="Arial" w:cs="Arial"/>
          <w:lang w:eastAsia="cs-CZ"/>
        </w:rPr>
      </w:pPr>
      <w:r w:rsidRPr="004B754B">
        <w:rPr>
          <w:rFonts w:ascii="Arial" w:eastAsia="Times New Roman" w:hAnsi="Arial" w:cs="Arial"/>
          <w:lang w:eastAsia="cs-CZ"/>
        </w:rPr>
        <w:t>V roce 2014 byly pro zpřesnění komunikace s jednotlivými rozpočtovými kapitolami při</w:t>
      </w:r>
      <w:r w:rsidR="00F53673">
        <w:rPr>
          <w:rFonts w:ascii="Arial" w:eastAsia="Times New Roman" w:hAnsi="Arial" w:cs="Arial"/>
          <w:lang w:eastAsia="cs-CZ"/>
        </w:rPr>
        <w:t> </w:t>
      </w:r>
      <w:r w:rsidRPr="004B754B">
        <w:rPr>
          <w:rFonts w:ascii="Arial" w:eastAsia="Times New Roman" w:hAnsi="Arial" w:cs="Arial"/>
          <w:lang w:eastAsia="cs-CZ"/>
        </w:rPr>
        <w:t>přípravě návrhu státního rozpočtu zřízeny dvě pracovní skupiny koordinované Sekcí pro</w:t>
      </w:r>
      <w:r w:rsidR="00F53673">
        <w:rPr>
          <w:rFonts w:ascii="Arial" w:eastAsia="Times New Roman" w:hAnsi="Arial" w:cs="Arial"/>
          <w:lang w:eastAsia="cs-CZ"/>
        </w:rPr>
        <w:t> </w:t>
      </w:r>
      <w:r w:rsidRPr="004B754B">
        <w:rPr>
          <w:rFonts w:ascii="Arial" w:eastAsia="Times New Roman" w:hAnsi="Arial" w:cs="Arial"/>
          <w:lang w:eastAsia="cs-CZ"/>
        </w:rPr>
        <w:t>vědu, v</w:t>
      </w:r>
      <w:r w:rsidR="002239EE">
        <w:rPr>
          <w:rFonts w:ascii="Arial" w:eastAsia="Times New Roman" w:hAnsi="Arial" w:cs="Arial"/>
          <w:lang w:eastAsia="cs-CZ"/>
        </w:rPr>
        <w:t>ýzkum a inovace Úřadu vlády ČR.</w:t>
      </w:r>
    </w:p>
    <w:p w:rsidR="00350176" w:rsidRDefault="00350176" w:rsidP="00D93393">
      <w:pPr>
        <w:pStyle w:val="Odstavecseseznamem"/>
        <w:numPr>
          <w:ilvl w:val="0"/>
          <w:numId w:val="22"/>
        </w:numPr>
        <w:spacing w:after="0" w:line="360" w:lineRule="auto"/>
        <w:jc w:val="both"/>
        <w:rPr>
          <w:rFonts w:ascii="Arial" w:eastAsia="Times New Roman" w:hAnsi="Arial" w:cs="Arial"/>
          <w:lang w:eastAsia="cs-CZ"/>
        </w:rPr>
      </w:pPr>
      <w:r>
        <w:rPr>
          <w:rFonts w:ascii="Arial" w:eastAsia="Times New Roman" w:hAnsi="Arial" w:cs="Arial"/>
          <w:lang w:eastAsia="cs-CZ"/>
        </w:rPr>
        <w:t>K distribuci prostředků státního rozpočtu</w:t>
      </w:r>
      <w:r w:rsidR="00870955">
        <w:rPr>
          <w:rFonts w:ascii="Arial" w:eastAsia="Times New Roman" w:hAnsi="Arial" w:cs="Arial"/>
          <w:lang w:eastAsia="cs-CZ"/>
        </w:rPr>
        <w:t xml:space="preserve"> </w:t>
      </w:r>
      <w:r w:rsidR="000C1800">
        <w:rPr>
          <w:rFonts w:ascii="Arial" w:eastAsia="Times New Roman" w:hAnsi="Arial" w:cs="Arial"/>
          <w:lang w:eastAsia="cs-CZ"/>
        </w:rPr>
        <w:t xml:space="preserve">dle zákona o podpoře výzkumu, experimentálního vývoje a inovací </w:t>
      </w:r>
      <w:r>
        <w:rPr>
          <w:rFonts w:ascii="Arial" w:eastAsia="Times New Roman" w:hAnsi="Arial" w:cs="Arial"/>
          <w:lang w:eastAsia="cs-CZ"/>
        </w:rPr>
        <w:t>slouží 7 finančních nástrojů odlišného charakteru.</w:t>
      </w:r>
    </w:p>
    <w:p w:rsidR="00350176" w:rsidRPr="00380950" w:rsidRDefault="00350176" w:rsidP="00D93393">
      <w:pPr>
        <w:pStyle w:val="Odstavecseseznamem"/>
        <w:numPr>
          <w:ilvl w:val="0"/>
          <w:numId w:val="22"/>
        </w:numPr>
        <w:spacing w:after="0" w:line="360" w:lineRule="auto"/>
        <w:jc w:val="both"/>
        <w:rPr>
          <w:rFonts w:ascii="Arial" w:eastAsia="Times New Roman" w:hAnsi="Arial" w:cs="Arial"/>
          <w:lang w:eastAsia="cs-CZ"/>
        </w:rPr>
      </w:pPr>
      <w:r w:rsidRPr="00380950">
        <w:rPr>
          <w:rFonts w:ascii="Arial" w:eastAsia="Times New Roman" w:hAnsi="Arial" w:cs="Arial"/>
          <w:lang w:eastAsia="cs-CZ"/>
        </w:rPr>
        <w:t>Instituce provádějící výzkum a vývoj jsou financovány vícezdrojově,</w:t>
      </w:r>
      <w:r>
        <w:rPr>
          <w:rFonts w:ascii="Arial" w:eastAsia="Times New Roman" w:hAnsi="Arial" w:cs="Arial"/>
          <w:lang w:eastAsia="cs-CZ"/>
        </w:rPr>
        <w:t xml:space="preserve"> přičemž p</w:t>
      </w:r>
      <w:r w:rsidRPr="00380950">
        <w:rPr>
          <w:rFonts w:ascii="Arial" w:eastAsia="Times New Roman" w:hAnsi="Arial" w:cs="Arial"/>
          <w:lang w:eastAsia="cs-CZ"/>
        </w:rPr>
        <w:t>odíl finančních nástrojů účelového charakteru dlouhodobě převažuje nad institucionálními, a to i</w:t>
      </w:r>
      <w:r w:rsidR="00F53673">
        <w:rPr>
          <w:rFonts w:ascii="Arial" w:eastAsia="Times New Roman" w:hAnsi="Arial" w:cs="Arial"/>
          <w:lang w:eastAsia="cs-CZ"/>
        </w:rPr>
        <w:t> </w:t>
      </w:r>
      <w:r w:rsidRPr="00380950">
        <w:rPr>
          <w:rFonts w:ascii="Arial" w:eastAsia="Times New Roman" w:hAnsi="Arial" w:cs="Arial"/>
          <w:lang w:eastAsia="cs-CZ"/>
        </w:rPr>
        <w:t>ve veřejném sektoru (vládním a vysokoškolském).</w:t>
      </w:r>
    </w:p>
    <w:p w:rsidR="00350176" w:rsidRDefault="00350176" w:rsidP="00D93393">
      <w:pPr>
        <w:pStyle w:val="Odstavecseseznamem"/>
        <w:numPr>
          <w:ilvl w:val="0"/>
          <w:numId w:val="22"/>
        </w:numPr>
        <w:spacing w:after="0" w:line="360" w:lineRule="auto"/>
        <w:jc w:val="both"/>
        <w:rPr>
          <w:rFonts w:ascii="Arial" w:eastAsia="Times New Roman" w:hAnsi="Arial" w:cs="Arial"/>
          <w:lang w:eastAsia="cs-CZ"/>
        </w:rPr>
      </w:pPr>
      <w:r>
        <w:rPr>
          <w:rFonts w:ascii="Arial" w:eastAsia="Times New Roman" w:hAnsi="Arial" w:cs="Arial"/>
          <w:lang w:eastAsia="cs-CZ"/>
        </w:rPr>
        <w:t>Institucionální podporu poskytují v ČR především MŠMT (v roce 2014 přibližně 7,5 mld. Kč vysokým školám) a AV ČR (</w:t>
      </w:r>
      <w:r w:rsidRPr="00F57A5E">
        <w:rPr>
          <w:rFonts w:ascii="Arial" w:eastAsia="Times New Roman" w:hAnsi="Arial" w:cs="Arial"/>
          <w:lang w:eastAsia="cs-CZ"/>
        </w:rPr>
        <w:t>3 ml</w:t>
      </w:r>
      <w:r>
        <w:rPr>
          <w:rFonts w:ascii="Arial" w:eastAsia="Times New Roman" w:hAnsi="Arial" w:cs="Arial"/>
          <w:lang w:eastAsia="cs-CZ"/>
        </w:rPr>
        <w:t>d</w:t>
      </w:r>
      <w:r w:rsidRPr="00F57A5E">
        <w:rPr>
          <w:rFonts w:ascii="Arial" w:eastAsia="Times New Roman" w:hAnsi="Arial" w:cs="Arial"/>
          <w:lang w:eastAsia="cs-CZ"/>
        </w:rPr>
        <w:t>. Kč</w:t>
      </w:r>
      <w:r>
        <w:rPr>
          <w:rFonts w:ascii="Arial" w:eastAsia="Times New Roman" w:hAnsi="Arial" w:cs="Arial"/>
          <w:lang w:eastAsia="cs-CZ"/>
        </w:rPr>
        <w:t xml:space="preserve"> v roce 2014 pro ústavy AV ČR).</w:t>
      </w:r>
    </w:p>
    <w:p w:rsidR="00350176" w:rsidRPr="00845AD8" w:rsidRDefault="00350176" w:rsidP="00D93393">
      <w:pPr>
        <w:pStyle w:val="Odstavecseseznamem"/>
        <w:numPr>
          <w:ilvl w:val="0"/>
          <w:numId w:val="22"/>
        </w:numPr>
        <w:spacing w:after="0" w:line="360" w:lineRule="auto"/>
        <w:jc w:val="both"/>
        <w:rPr>
          <w:rFonts w:ascii="Arial" w:eastAsia="Times New Roman" w:hAnsi="Arial" w:cs="Arial"/>
          <w:lang w:eastAsia="cs-CZ"/>
        </w:rPr>
      </w:pPr>
      <w:r w:rsidRPr="00845AD8">
        <w:rPr>
          <w:rFonts w:ascii="Arial" w:eastAsia="Times New Roman" w:hAnsi="Arial" w:cs="Arial"/>
          <w:lang w:eastAsia="cs-CZ"/>
        </w:rPr>
        <w:t>Účelovou podporu poskytují zejména GA ČR (využívají ji především vysoké školy a ústavy AV ČR), TA ČR (směřuje především do podniků</w:t>
      </w:r>
      <w:r w:rsidR="007A1384">
        <w:rPr>
          <w:rFonts w:ascii="Arial" w:eastAsia="Times New Roman" w:hAnsi="Arial" w:cs="Arial"/>
          <w:lang w:eastAsia="cs-CZ"/>
        </w:rPr>
        <w:t xml:space="preserve"> a vysokých škol</w:t>
      </w:r>
      <w:r w:rsidRPr="00845AD8">
        <w:rPr>
          <w:rFonts w:ascii="Arial" w:eastAsia="Times New Roman" w:hAnsi="Arial" w:cs="Arial"/>
          <w:lang w:eastAsia="cs-CZ"/>
        </w:rPr>
        <w:t>) a MŠMT (nejvíce vysokým školám).</w:t>
      </w:r>
    </w:p>
    <w:p w:rsidR="00350176" w:rsidRDefault="00350176" w:rsidP="00D93393">
      <w:pPr>
        <w:pStyle w:val="Odstavecseseznamem"/>
        <w:numPr>
          <w:ilvl w:val="0"/>
          <w:numId w:val="22"/>
        </w:numPr>
        <w:spacing w:after="0" w:line="360" w:lineRule="auto"/>
        <w:jc w:val="both"/>
        <w:rPr>
          <w:rFonts w:ascii="Arial" w:eastAsia="Times New Roman" w:hAnsi="Arial" w:cs="Arial"/>
          <w:lang w:eastAsia="cs-CZ"/>
        </w:rPr>
      </w:pPr>
      <w:r w:rsidRPr="00F57A5E">
        <w:rPr>
          <w:rFonts w:ascii="Arial" w:eastAsia="Times New Roman" w:hAnsi="Arial" w:cs="Arial"/>
          <w:lang w:eastAsia="cs-CZ"/>
        </w:rPr>
        <w:t xml:space="preserve">Účelovou podporu </w:t>
      </w:r>
      <w:r>
        <w:rPr>
          <w:rFonts w:ascii="Arial" w:eastAsia="Times New Roman" w:hAnsi="Arial" w:cs="Arial"/>
          <w:lang w:eastAsia="cs-CZ"/>
        </w:rPr>
        <w:t>ostatních resortů</w:t>
      </w:r>
      <w:r w:rsidRPr="00F57A5E">
        <w:rPr>
          <w:rFonts w:ascii="Arial" w:eastAsia="Times New Roman" w:hAnsi="Arial" w:cs="Arial"/>
          <w:lang w:eastAsia="cs-CZ"/>
        </w:rPr>
        <w:t xml:space="preserve"> </w:t>
      </w:r>
      <w:r>
        <w:rPr>
          <w:rFonts w:ascii="Arial" w:eastAsia="Times New Roman" w:hAnsi="Arial" w:cs="Arial"/>
          <w:lang w:eastAsia="cs-CZ"/>
        </w:rPr>
        <w:t xml:space="preserve">kromě jimi zřízených subjektů </w:t>
      </w:r>
      <w:r w:rsidRPr="00F57A5E">
        <w:rPr>
          <w:rFonts w:ascii="Arial" w:eastAsia="Times New Roman" w:hAnsi="Arial" w:cs="Arial"/>
          <w:lang w:eastAsia="cs-CZ"/>
        </w:rPr>
        <w:t>s úspěchem využívají také vysoké školy.</w:t>
      </w:r>
    </w:p>
    <w:p w:rsidR="00350176" w:rsidRDefault="00350176" w:rsidP="00D93393">
      <w:pPr>
        <w:pStyle w:val="Odstavecseseznamem"/>
        <w:numPr>
          <w:ilvl w:val="0"/>
          <w:numId w:val="22"/>
        </w:numPr>
        <w:spacing w:after="0" w:line="360" w:lineRule="auto"/>
        <w:jc w:val="both"/>
        <w:rPr>
          <w:rFonts w:ascii="Arial" w:eastAsia="Times New Roman" w:hAnsi="Arial" w:cs="Arial"/>
          <w:lang w:eastAsia="cs-CZ"/>
        </w:rPr>
      </w:pPr>
      <w:r>
        <w:rPr>
          <w:rFonts w:ascii="Arial" w:eastAsia="Times New Roman" w:hAnsi="Arial" w:cs="Arial"/>
          <w:lang w:eastAsia="cs-CZ"/>
        </w:rPr>
        <w:t>Systém podpory ze státního rozpočtu je roztříštěný z důvodu kombinace mnoha poskytovatelů a velkého počtu finančních nástrojů.</w:t>
      </w:r>
    </w:p>
    <w:p w:rsidR="00350176" w:rsidRDefault="00350176" w:rsidP="00D93393">
      <w:pPr>
        <w:pStyle w:val="Odstavecseseznamem"/>
        <w:numPr>
          <w:ilvl w:val="0"/>
          <w:numId w:val="22"/>
        </w:numPr>
        <w:spacing w:after="0" w:line="360" w:lineRule="auto"/>
        <w:jc w:val="both"/>
        <w:rPr>
          <w:rFonts w:ascii="Arial" w:eastAsia="Times New Roman" w:hAnsi="Arial" w:cs="Arial"/>
          <w:lang w:eastAsia="cs-CZ"/>
        </w:rPr>
      </w:pPr>
      <w:r>
        <w:rPr>
          <w:rFonts w:ascii="Arial" w:eastAsia="Times New Roman" w:hAnsi="Arial" w:cs="Arial"/>
          <w:lang w:eastAsia="cs-CZ"/>
        </w:rPr>
        <w:t xml:space="preserve">Z oborového hlediska směřuje účelová podpora v ČR především do oborových skupin Průmysl, </w:t>
      </w:r>
      <w:r w:rsidRPr="00F57A5E">
        <w:rPr>
          <w:rFonts w:ascii="Arial" w:eastAsia="Times New Roman" w:hAnsi="Arial" w:cs="Arial"/>
          <w:lang w:eastAsia="cs-CZ"/>
        </w:rPr>
        <w:t>Společensk</w:t>
      </w:r>
      <w:r>
        <w:rPr>
          <w:rFonts w:ascii="Arial" w:eastAsia="Times New Roman" w:hAnsi="Arial" w:cs="Arial"/>
          <w:lang w:eastAsia="cs-CZ"/>
        </w:rPr>
        <w:t>é</w:t>
      </w:r>
      <w:r w:rsidRPr="00F57A5E">
        <w:rPr>
          <w:rFonts w:ascii="Arial" w:eastAsia="Times New Roman" w:hAnsi="Arial" w:cs="Arial"/>
          <w:lang w:eastAsia="cs-CZ"/>
        </w:rPr>
        <w:t xml:space="preserve"> </w:t>
      </w:r>
      <w:r w:rsidR="00030DDA">
        <w:rPr>
          <w:rFonts w:ascii="Arial" w:eastAsia="Times New Roman" w:hAnsi="Arial" w:cs="Arial"/>
          <w:lang w:eastAsia="cs-CZ"/>
        </w:rPr>
        <w:t xml:space="preserve">a humanitní </w:t>
      </w:r>
      <w:r w:rsidRPr="00F57A5E">
        <w:rPr>
          <w:rFonts w:ascii="Arial" w:eastAsia="Times New Roman" w:hAnsi="Arial" w:cs="Arial"/>
          <w:lang w:eastAsia="cs-CZ"/>
        </w:rPr>
        <w:t>věd</w:t>
      </w:r>
      <w:r>
        <w:rPr>
          <w:rFonts w:ascii="Arial" w:eastAsia="Times New Roman" w:hAnsi="Arial" w:cs="Arial"/>
          <w:lang w:eastAsia="cs-CZ"/>
        </w:rPr>
        <w:t xml:space="preserve">y, </w:t>
      </w:r>
      <w:proofErr w:type="spellStart"/>
      <w:r>
        <w:rPr>
          <w:rFonts w:ascii="Arial" w:eastAsia="Times New Roman" w:hAnsi="Arial" w:cs="Arial"/>
          <w:lang w:eastAsia="cs-CZ"/>
        </w:rPr>
        <w:t>Biovědy</w:t>
      </w:r>
      <w:proofErr w:type="spellEnd"/>
      <w:r w:rsidRPr="00F57A5E">
        <w:rPr>
          <w:rFonts w:ascii="Arial" w:eastAsia="Times New Roman" w:hAnsi="Arial" w:cs="Arial"/>
          <w:lang w:eastAsia="cs-CZ"/>
        </w:rPr>
        <w:t xml:space="preserve"> a Lékařsk</w:t>
      </w:r>
      <w:r>
        <w:rPr>
          <w:rFonts w:ascii="Arial" w:eastAsia="Times New Roman" w:hAnsi="Arial" w:cs="Arial"/>
          <w:lang w:eastAsia="cs-CZ"/>
        </w:rPr>
        <w:t>é</w:t>
      </w:r>
      <w:r w:rsidRPr="00F57A5E">
        <w:rPr>
          <w:rFonts w:ascii="Arial" w:eastAsia="Times New Roman" w:hAnsi="Arial" w:cs="Arial"/>
          <w:lang w:eastAsia="cs-CZ"/>
        </w:rPr>
        <w:t xml:space="preserve"> věd</w:t>
      </w:r>
      <w:r>
        <w:rPr>
          <w:rFonts w:ascii="Arial" w:eastAsia="Times New Roman" w:hAnsi="Arial" w:cs="Arial"/>
          <w:lang w:eastAsia="cs-CZ"/>
        </w:rPr>
        <w:t xml:space="preserve">y (podpora každé z nich v roce 2014 překročila 1 mld. Kč). </w:t>
      </w:r>
    </w:p>
    <w:p w:rsidR="00350176" w:rsidRPr="00845AD8" w:rsidRDefault="00350176" w:rsidP="00D93393">
      <w:pPr>
        <w:pStyle w:val="Odstavecseseznamem"/>
        <w:numPr>
          <w:ilvl w:val="0"/>
          <w:numId w:val="22"/>
        </w:numPr>
        <w:spacing w:after="0" w:line="360" w:lineRule="auto"/>
        <w:jc w:val="both"/>
        <w:rPr>
          <w:rFonts w:ascii="Arial" w:eastAsia="Times New Roman" w:hAnsi="Arial" w:cs="Arial"/>
          <w:lang w:eastAsia="cs-CZ"/>
        </w:rPr>
      </w:pPr>
      <w:r>
        <w:rPr>
          <w:rFonts w:ascii="Arial" w:eastAsia="Times New Roman" w:hAnsi="Arial" w:cs="Arial"/>
          <w:lang w:eastAsia="cs-CZ"/>
        </w:rPr>
        <w:t xml:space="preserve">Z jednotlivých vědních oborů byly nejvíce podpořeny </w:t>
      </w:r>
      <w:r w:rsidRPr="00F57A5E">
        <w:rPr>
          <w:rFonts w:ascii="Arial" w:eastAsia="Times New Roman" w:hAnsi="Arial" w:cs="Arial"/>
          <w:lang w:eastAsia="cs-CZ"/>
        </w:rPr>
        <w:t>Genetika a molekulár</w:t>
      </w:r>
      <w:r>
        <w:rPr>
          <w:rFonts w:ascii="Arial" w:eastAsia="Times New Roman" w:hAnsi="Arial" w:cs="Arial"/>
          <w:lang w:eastAsia="cs-CZ"/>
        </w:rPr>
        <w:t xml:space="preserve">ní biologie, </w:t>
      </w:r>
      <w:r w:rsidRPr="00F57A5E">
        <w:rPr>
          <w:rFonts w:ascii="Arial" w:eastAsia="Times New Roman" w:hAnsi="Arial" w:cs="Arial"/>
          <w:lang w:eastAsia="cs-CZ"/>
        </w:rPr>
        <w:t xml:space="preserve">Elektronika a optoelektronika, elektrotechnika, Nejaderná </w:t>
      </w:r>
      <w:r>
        <w:rPr>
          <w:rFonts w:ascii="Arial" w:eastAsia="Times New Roman" w:hAnsi="Arial" w:cs="Arial"/>
          <w:lang w:eastAsia="cs-CZ"/>
        </w:rPr>
        <w:t xml:space="preserve">i Jaderná </w:t>
      </w:r>
      <w:r w:rsidRPr="00F57A5E">
        <w:rPr>
          <w:rFonts w:ascii="Arial" w:eastAsia="Times New Roman" w:hAnsi="Arial" w:cs="Arial"/>
          <w:lang w:eastAsia="cs-CZ"/>
        </w:rPr>
        <w:t xml:space="preserve">energetika, Umění, </w:t>
      </w:r>
      <w:r w:rsidRPr="00845AD8">
        <w:rPr>
          <w:rFonts w:ascii="Arial" w:eastAsia="Times New Roman" w:hAnsi="Arial" w:cs="Arial"/>
          <w:lang w:eastAsia="cs-CZ"/>
        </w:rPr>
        <w:t>architektura, kulturní dědictví a Onkologie a hematologie.</w:t>
      </w:r>
    </w:p>
    <w:p w:rsidR="00F53673" w:rsidRDefault="00350176" w:rsidP="005230AC">
      <w:pPr>
        <w:pStyle w:val="Odstavecseseznamem"/>
        <w:numPr>
          <w:ilvl w:val="0"/>
          <w:numId w:val="22"/>
        </w:numPr>
        <w:spacing w:after="0" w:line="360" w:lineRule="auto"/>
        <w:jc w:val="both"/>
        <w:rPr>
          <w:rFonts w:ascii="Arial" w:eastAsia="Times New Roman" w:hAnsi="Arial" w:cs="Arial"/>
          <w:lang w:eastAsia="cs-CZ"/>
        </w:rPr>
      </w:pPr>
      <w:r w:rsidRPr="00845AD8">
        <w:rPr>
          <w:rFonts w:ascii="Arial" w:eastAsia="Times New Roman" w:hAnsi="Arial" w:cs="Arial"/>
          <w:lang w:eastAsia="cs-CZ"/>
        </w:rPr>
        <w:t xml:space="preserve">Institucionální podporu nelze v současnosti </w:t>
      </w:r>
      <w:r w:rsidR="0075032C" w:rsidRPr="00845AD8">
        <w:rPr>
          <w:rFonts w:ascii="Arial" w:eastAsia="Times New Roman" w:hAnsi="Arial" w:cs="Arial"/>
          <w:lang w:eastAsia="cs-CZ"/>
        </w:rPr>
        <w:t xml:space="preserve">spolehlivě </w:t>
      </w:r>
      <w:r w:rsidRPr="00845AD8">
        <w:rPr>
          <w:rFonts w:ascii="Arial" w:eastAsia="Times New Roman" w:hAnsi="Arial" w:cs="Arial"/>
          <w:lang w:eastAsia="cs-CZ"/>
        </w:rPr>
        <w:t>oborově členit z důvodu chybějících dat o distribuci uvnitř subjektů, zejména vysokých škol.</w:t>
      </w:r>
      <w:r w:rsidR="00F53673">
        <w:rPr>
          <w:rFonts w:ascii="Arial" w:eastAsia="Times New Roman" w:hAnsi="Arial" w:cs="Arial"/>
          <w:lang w:eastAsia="cs-CZ"/>
        </w:rPr>
        <w:t xml:space="preserve"> </w:t>
      </w:r>
    </w:p>
    <w:p w:rsidR="005030AA" w:rsidRDefault="00350176" w:rsidP="00003A86">
      <w:pPr>
        <w:pStyle w:val="Odstavecseseznamem"/>
        <w:numPr>
          <w:ilvl w:val="0"/>
          <w:numId w:val="22"/>
        </w:numPr>
        <w:spacing w:after="0" w:line="360" w:lineRule="auto"/>
        <w:jc w:val="both"/>
        <w:rPr>
          <w:rFonts w:ascii="Arial" w:eastAsia="Times New Roman" w:hAnsi="Arial" w:cs="Arial"/>
          <w:lang w:eastAsia="cs-CZ"/>
        </w:rPr>
      </w:pPr>
      <w:r w:rsidRPr="00F53673">
        <w:rPr>
          <w:rFonts w:ascii="Arial" w:eastAsia="Times New Roman" w:hAnsi="Arial" w:cs="Arial"/>
          <w:lang w:eastAsia="cs-CZ"/>
        </w:rPr>
        <w:t>V současnosti je velmi obtížné interpretovat objem podpory ve vztahu k výsledkům a jejich kvalitě z důvodu odlišného členění oborů v českém IS VaVaI</w:t>
      </w:r>
      <w:r w:rsidR="00A361AA" w:rsidRPr="00F53673">
        <w:rPr>
          <w:rFonts w:ascii="Arial" w:eastAsia="Times New Roman" w:hAnsi="Arial" w:cs="Arial"/>
          <w:lang w:eastAsia="cs-CZ"/>
        </w:rPr>
        <w:t xml:space="preserve"> </w:t>
      </w:r>
      <w:r w:rsidR="007A1384" w:rsidRPr="00F53673">
        <w:rPr>
          <w:rFonts w:ascii="Arial" w:eastAsia="Times New Roman" w:hAnsi="Arial" w:cs="Arial"/>
          <w:lang w:eastAsia="cs-CZ"/>
        </w:rPr>
        <w:t>a v mezinárodních databázích. O</w:t>
      </w:r>
      <w:r w:rsidR="00A361AA" w:rsidRPr="00F53673">
        <w:rPr>
          <w:rFonts w:ascii="Arial" w:eastAsia="Times New Roman" w:hAnsi="Arial" w:cs="Arial"/>
          <w:lang w:eastAsia="cs-CZ"/>
        </w:rPr>
        <w:t xml:space="preserve">borové skupiny jsou </w:t>
      </w:r>
      <w:r w:rsidR="007A1384" w:rsidRPr="00F53673">
        <w:rPr>
          <w:rFonts w:ascii="Arial" w:eastAsia="Times New Roman" w:hAnsi="Arial" w:cs="Arial"/>
          <w:lang w:eastAsia="cs-CZ"/>
        </w:rPr>
        <w:t xml:space="preserve">navíc </w:t>
      </w:r>
      <w:r w:rsidR="00A361AA" w:rsidRPr="00F53673">
        <w:rPr>
          <w:rFonts w:ascii="Arial" w:eastAsia="Times New Roman" w:hAnsi="Arial" w:cs="Arial"/>
          <w:lang w:eastAsia="cs-CZ"/>
        </w:rPr>
        <w:t>odlišně konstruovány pro účely evidence a</w:t>
      </w:r>
      <w:r w:rsidR="00F53673" w:rsidRPr="00F53673">
        <w:rPr>
          <w:rFonts w:ascii="Arial" w:eastAsia="Times New Roman" w:hAnsi="Arial" w:cs="Arial"/>
          <w:lang w:eastAsia="cs-CZ"/>
        </w:rPr>
        <w:t> </w:t>
      </w:r>
      <w:r w:rsidR="00A361AA" w:rsidRPr="00F53673">
        <w:rPr>
          <w:rFonts w:ascii="Arial" w:eastAsia="Times New Roman" w:hAnsi="Arial" w:cs="Arial"/>
          <w:lang w:eastAsia="cs-CZ"/>
        </w:rPr>
        <w:t>pro</w:t>
      </w:r>
      <w:r w:rsidR="00F53673" w:rsidRPr="00F53673">
        <w:rPr>
          <w:rFonts w:ascii="Arial" w:eastAsia="Times New Roman" w:hAnsi="Arial" w:cs="Arial"/>
          <w:lang w:eastAsia="cs-CZ"/>
        </w:rPr>
        <w:t> </w:t>
      </w:r>
      <w:r w:rsidR="00A361AA" w:rsidRPr="00F53673">
        <w:rPr>
          <w:rFonts w:ascii="Arial" w:eastAsia="Times New Roman" w:hAnsi="Arial" w:cs="Arial"/>
          <w:lang w:eastAsia="cs-CZ"/>
        </w:rPr>
        <w:t>účely hodnocení</w:t>
      </w:r>
      <w:r w:rsidR="007A1384" w:rsidRPr="00F53673">
        <w:rPr>
          <w:rFonts w:ascii="Arial" w:eastAsia="Times New Roman" w:hAnsi="Arial" w:cs="Arial"/>
          <w:lang w:eastAsia="cs-CZ"/>
        </w:rPr>
        <w:t>.</w:t>
      </w:r>
      <w:r w:rsidRPr="00F53673">
        <w:rPr>
          <w:rFonts w:ascii="Arial" w:eastAsia="Times New Roman" w:hAnsi="Arial" w:cs="Arial"/>
          <w:lang w:eastAsia="cs-CZ"/>
        </w:rPr>
        <w:t xml:space="preserve"> </w:t>
      </w:r>
    </w:p>
    <w:p w:rsidR="00F53673" w:rsidRPr="00F53673" w:rsidRDefault="00F53673" w:rsidP="00F53673">
      <w:pPr>
        <w:spacing w:after="0" w:line="360" w:lineRule="auto"/>
        <w:jc w:val="both"/>
        <w:rPr>
          <w:rFonts w:ascii="Arial" w:eastAsia="Times New Roman" w:hAnsi="Arial" w:cs="Arial"/>
          <w:lang w:eastAsia="cs-CZ"/>
        </w:rPr>
      </w:pPr>
    </w:p>
    <w:p w:rsidR="00350176" w:rsidRDefault="00350176" w:rsidP="00D93393">
      <w:pPr>
        <w:spacing w:after="0" w:line="360" w:lineRule="auto"/>
        <w:ind w:firstLine="357"/>
        <w:jc w:val="both"/>
        <w:rPr>
          <w:rFonts w:ascii="Arial" w:eastAsia="Times New Roman" w:hAnsi="Arial" w:cs="Arial"/>
          <w:b/>
          <w:lang w:eastAsia="cs-CZ"/>
        </w:rPr>
      </w:pPr>
      <w:r>
        <w:rPr>
          <w:rFonts w:ascii="Arial" w:eastAsia="Times New Roman" w:hAnsi="Arial" w:cs="Arial"/>
          <w:b/>
          <w:lang w:eastAsia="cs-CZ"/>
        </w:rPr>
        <w:t xml:space="preserve">Kapitola </w:t>
      </w:r>
      <w:r w:rsidRPr="00350176">
        <w:rPr>
          <w:rFonts w:ascii="Arial" w:eastAsia="Times New Roman" w:hAnsi="Arial" w:cs="Arial"/>
          <w:b/>
          <w:lang w:eastAsia="cs-CZ"/>
        </w:rPr>
        <w:t>Podpora VaVaI v ČR z evropských prostředků</w:t>
      </w:r>
      <w:r w:rsidR="00EB3508">
        <w:rPr>
          <w:rFonts w:ascii="Arial" w:eastAsia="Times New Roman" w:hAnsi="Arial" w:cs="Arial"/>
          <w:b/>
          <w:lang w:eastAsia="cs-CZ"/>
        </w:rPr>
        <w:t>:</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163835">
        <w:rPr>
          <w:rFonts w:ascii="Arial" w:eastAsia="Times New Roman" w:hAnsi="Arial" w:cs="Arial"/>
          <w:lang w:eastAsia="cs-CZ"/>
        </w:rPr>
        <w:t xml:space="preserve">Veřejné zahraniční zdroje představují významnou složku financování VaVaI v ČR (téměř 12,58 mld. Kč v roce 2013), navíc meziročně rostou. </w:t>
      </w:r>
      <w:r>
        <w:rPr>
          <w:rFonts w:ascii="Arial" w:eastAsia="Times New Roman" w:hAnsi="Arial" w:cs="Arial"/>
          <w:lang w:eastAsia="cs-CZ"/>
        </w:rPr>
        <w:t>Hlavními zdroji jsou operační programy. Velký potenciál rovněž představuje rámcový program Horizont 2020.</w:t>
      </w:r>
    </w:p>
    <w:p w:rsidR="00350176" w:rsidRPr="00163835"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163835">
        <w:rPr>
          <w:rFonts w:ascii="Arial" w:eastAsia="Times New Roman" w:hAnsi="Arial" w:cs="Arial"/>
          <w:lang w:eastAsia="cs-CZ"/>
        </w:rPr>
        <w:t>U vybraných oblastí podpory pěti operačních programů s</w:t>
      </w:r>
      <w:r w:rsidR="00F53673">
        <w:rPr>
          <w:rFonts w:ascii="Arial" w:eastAsia="Times New Roman" w:hAnsi="Arial" w:cs="Arial"/>
          <w:lang w:eastAsia="cs-CZ"/>
        </w:rPr>
        <w:t xml:space="preserve"> přímou vazbou na VaVaI bylo do </w:t>
      </w:r>
      <w:r w:rsidRPr="00163835">
        <w:rPr>
          <w:rFonts w:ascii="Arial" w:eastAsia="Times New Roman" w:hAnsi="Arial" w:cs="Arial"/>
          <w:lang w:eastAsia="cs-CZ"/>
        </w:rPr>
        <w:t>konce prvního čtvrtletí 2015 vydáno rozhodnutí u 3</w:t>
      </w:r>
      <w:r w:rsidR="00003A86">
        <w:rPr>
          <w:rFonts w:ascii="Arial" w:eastAsia="Times New Roman" w:hAnsi="Arial" w:cs="Arial"/>
          <w:lang w:eastAsia="cs-CZ"/>
        </w:rPr>
        <w:t> </w:t>
      </w:r>
      <w:r w:rsidRPr="00163835">
        <w:rPr>
          <w:rFonts w:ascii="Arial" w:eastAsia="Times New Roman" w:hAnsi="Arial" w:cs="Arial"/>
          <w:lang w:eastAsia="cs-CZ"/>
        </w:rPr>
        <w:t>600 projektů ve finančním objemu 98,63 mld. Kč.</w:t>
      </w:r>
    </w:p>
    <w:p w:rsidR="00350176" w:rsidRPr="009F4DE2"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9F4DE2">
        <w:rPr>
          <w:rFonts w:ascii="Arial" w:eastAsia="Times New Roman" w:hAnsi="Arial" w:cs="Arial"/>
          <w:lang w:eastAsia="cs-CZ"/>
        </w:rPr>
        <w:t>Největší podíl na podpoře má OP Výzkum a vývo</w:t>
      </w:r>
      <w:r w:rsidR="00003A86">
        <w:rPr>
          <w:rFonts w:ascii="Arial" w:eastAsia="Times New Roman" w:hAnsi="Arial" w:cs="Arial"/>
          <w:lang w:eastAsia="cs-CZ"/>
        </w:rPr>
        <w:t>j pro inovace (49,41 mld. Kč) a </w:t>
      </w:r>
      <w:r w:rsidRPr="009F4DE2">
        <w:rPr>
          <w:rFonts w:ascii="Arial" w:eastAsia="Times New Roman" w:hAnsi="Arial" w:cs="Arial"/>
          <w:lang w:eastAsia="cs-CZ"/>
        </w:rPr>
        <w:t>OP</w:t>
      </w:r>
      <w:r w:rsidR="00F53673">
        <w:rPr>
          <w:rFonts w:ascii="Arial" w:eastAsia="Times New Roman" w:hAnsi="Arial" w:cs="Arial"/>
          <w:lang w:eastAsia="cs-CZ"/>
        </w:rPr>
        <w:t> </w:t>
      </w:r>
      <w:r w:rsidRPr="009F4DE2">
        <w:rPr>
          <w:rFonts w:ascii="Arial" w:eastAsia="Times New Roman" w:hAnsi="Arial" w:cs="Arial"/>
          <w:lang w:eastAsia="cs-CZ"/>
        </w:rPr>
        <w:t>Podnikání a inovace (35,91 mld. Kč).</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9F4DE2">
        <w:rPr>
          <w:rFonts w:ascii="Arial" w:eastAsia="Times New Roman" w:hAnsi="Arial" w:cs="Arial"/>
          <w:lang w:eastAsia="cs-CZ"/>
        </w:rPr>
        <w:t xml:space="preserve">RIS 3 je určena pro efektivní zacílení veškerých disponibilních finančních prostředků pro oblast </w:t>
      </w:r>
      <w:proofErr w:type="spellStart"/>
      <w:r w:rsidRPr="009F4DE2">
        <w:rPr>
          <w:rFonts w:ascii="Arial" w:eastAsia="Times New Roman" w:hAnsi="Arial" w:cs="Arial"/>
          <w:lang w:eastAsia="cs-CZ"/>
        </w:rPr>
        <w:t>VaV</w:t>
      </w:r>
      <w:proofErr w:type="spellEnd"/>
      <w:r w:rsidRPr="009F4DE2">
        <w:rPr>
          <w:rFonts w:ascii="Arial" w:eastAsia="Times New Roman" w:hAnsi="Arial" w:cs="Arial"/>
          <w:lang w:eastAsia="cs-CZ"/>
        </w:rPr>
        <w:t xml:space="preserve"> a jejím cílem je, aby došlo k efektivní alokaci těchto zdrojů do oblastí, jež budou identifikovány jako nejperspektivnější pro využití znalostního a inovačního potenciálu ČR.</w:t>
      </w:r>
    </w:p>
    <w:p w:rsidR="00E76BA4" w:rsidRDefault="00E76BA4" w:rsidP="00E76BA4">
      <w:pPr>
        <w:pStyle w:val="Odstavecseseznamem"/>
        <w:numPr>
          <w:ilvl w:val="0"/>
          <w:numId w:val="18"/>
        </w:numPr>
        <w:spacing w:after="0" w:line="360" w:lineRule="auto"/>
        <w:jc w:val="both"/>
        <w:rPr>
          <w:rFonts w:ascii="Arial" w:eastAsia="Times New Roman" w:hAnsi="Arial" w:cs="Arial"/>
          <w:lang w:eastAsia="cs-CZ"/>
        </w:rPr>
      </w:pPr>
      <w:r w:rsidRPr="00E76BA4">
        <w:rPr>
          <w:rFonts w:ascii="Arial" w:eastAsia="Times New Roman" w:hAnsi="Arial" w:cs="Arial"/>
          <w:lang w:eastAsia="cs-CZ"/>
        </w:rPr>
        <w:t>V polovině roku 2013 byl schválen rozpočet Rámcového programu EU pro výzkum</w:t>
      </w:r>
      <w:r w:rsidR="00214E69">
        <w:rPr>
          <w:rFonts w:ascii="Arial" w:eastAsia="Times New Roman" w:hAnsi="Arial" w:cs="Arial"/>
          <w:lang w:eastAsia="cs-CZ"/>
        </w:rPr>
        <w:t xml:space="preserve"> a inovace Horizont 2020</w:t>
      </w:r>
      <w:r w:rsidRPr="00E76BA4">
        <w:rPr>
          <w:rFonts w:ascii="Arial" w:eastAsia="Times New Roman" w:hAnsi="Arial" w:cs="Arial"/>
          <w:lang w:eastAsia="cs-CZ"/>
        </w:rPr>
        <w:t>, který tvoří více než 77,028 mld. Eur</w:t>
      </w:r>
      <w:r>
        <w:rPr>
          <w:rFonts w:ascii="Arial" w:eastAsia="Times New Roman" w:hAnsi="Arial" w:cs="Arial"/>
          <w:lang w:eastAsia="cs-CZ"/>
        </w:rPr>
        <w:t>. ČR dosáhla zatím celkové projektové úspěšnosti 18,1 % a finanční podpory zhruba 38 215 tis. Eur.</w:t>
      </w:r>
    </w:p>
    <w:p w:rsidR="00350176" w:rsidRDefault="00350176" w:rsidP="00D93393">
      <w:pPr>
        <w:spacing w:after="0" w:line="360" w:lineRule="auto"/>
        <w:ind w:firstLine="357"/>
        <w:jc w:val="both"/>
        <w:rPr>
          <w:rFonts w:ascii="Arial" w:eastAsia="Times New Roman" w:hAnsi="Arial" w:cs="Arial"/>
          <w:b/>
          <w:lang w:eastAsia="cs-CZ"/>
        </w:rPr>
      </w:pPr>
      <w:r>
        <w:rPr>
          <w:rFonts w:ascii="Arial" w:eastAsia="Times New Roman" w:hAnsi="Arial" w:cs="Arial"/>
          <w:b/>
          <w:lang w:eastAsia="cs-CZ"/>
        </w:rPr>
        <w:t xml:space="preserve">Kapitola </w:t>
      </w:r>
      <w:r w:rsidRPr="00350176">
        <w:rPr>
          <w:rFonts w:ascii="Arial" w:eastAsia="Times New Roman" w:hAnsi="Arial" w:cs="Arial"/>
          <w:b/>
          <w:lang w:eastAsia="cs-CZ"/>
        </w:rPr>
        <w:t>Lidské zdroje ve výzkumu a vývoji</w:t>
      </w:r>
      <w:r w:rsidR="00EB3508">
        <w:rPr>
          <w:rFonts w:ascii="Arial" w:eastAsia="Times New Roman" w:hAnsi="Arial" w:cs="Arial"/>
          <w:b/>
          <w:lang w:eastAsia="cs-CZ"/>
        </w:rPr>
        <w:t>:</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D006CA">
        <w:rPr>
          <w:rFonts w:ascii="Arial" w:eastAsia="Times New Roman" w:hAnsi="Arial" w:cs="Arial"/>
          <w:lang w:eastAsia="cs-CZ"/>
        </w:rPr>
        <w:t xml:space="preserve">Klíčový význam lidských zdrojů </w:t>
      </w:r>
      <w:r>
        <w:rPr>
          <w:rFonts w:ascii="Arial" w:eastAsia="Times New Roman" w:hAnsi="Arial" w:cs="Arial"/>
          <w:lang w:eastAsia="cs-CZ"/>
        </w:rPr>
        <w:t xml:space="preserve">pro výzkum a vývoj </w:t>
      </w:r>
      <w:r w:rsidRPr="00D006CA">
        <w:rPr>
          <w:rFonts w:ascii="Arial" w:eastAsia="Times New Roman" w:hAnsi="Arial" w:cs="Arial"/>
          <w:lang w:eastAsia="cs-CZ"/>
        </w:rPr>
        <w:t xml:space="preserve">je patrný </w:t>
      </w:r>
      <w:r>
        <w:rPr>
          <w:rFonts w:ascii="Arial" w:eastAsia="Times New Roman" w:hAnsi="Arial" w:cs="Arial"/>
          <w:lang w:eastAsia="cs-CZ"/>
        </w:rPr>
        <w:t>mimo jiné</w:t>
      </w:r>
      <w:r w:rsidRPr="00D006CA">
        <w:rPr>
          <w:rFonts w:ascii="Arial" w:eastAsia="Times New Roman" w:hAnsi="Arial" w:cs="Arial"/>
          <w:lang w:eastAsia="cs-CZ"/>
        </w:rPr>
        <w:t xml:space="preserve"> z množství statistických dat, která jsou o nich shromažďována.</w:t>
      </w:r>
      <w:r>
        <w:rPr>
          <w:rFonts w:ascii="Arial" w:eastAsia="Times New Roman" w:hAnsi="Arial" w:cs="Arial"/>
          <w:lang w:eastAsia="cs-CZ"/>
        </w:rPr>
        <w:t xml:space="preserve"> Chybí však např. údaje o trhu práce v oblasti </w:t>
      </w:r>
      <w:r w:rsidR="00AD09A4">
        <w:rPr>
          <w:rFonts w:ascii="Arial" w:eastAsia="Times New Roman" w:hAnsi="Arial" w:cs="Arial"/>
          <w:lang w:eastAsia="cs-CZ"/>
        </w:rPr>
        <w:t>v</w:t>
      </w:r>
      <w:r>
        <w:rPr>
          <w:rFonts w:ascii="Arial" w:eastAsia="Times New Roman" w:hAnsi="Arial" w:cs="Arial"/>
          <w:lang w:eastAsia="cs-CZ"/>
        </w:rPr>
        <w:t>ýzkumu a vývoje, věkové struktuře fluktuaci zaměstnanců a podrobnější genderové statistiky.</w:t>
      </w:r>
    </w:p>
    <w:p w:rsidR="00350176" w:rsidRDefault="00772C66"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C</w:t>
      </w:r>
      <w:r w:rsidR="00350176" w:rsidRPr="00042042">
        <w:rPr>
          <w:rFonts w:ascii="Arial" w:eastAsia="Times New Roman" w:hAnsi="Arial" w:cs="Arial"/>
          <w:lang w:eastAsia="cs-CZ"/>
        </w:rPr>
        <w:t xml:space="preserve">elkový počet </w:t>
      </w:r>
      <w:r w:rsidR="00350176">
        <w:rPr>
          <w:rFonts w:ascii="Arial" w:eastAsia="Times New Roman" w:hAnsi="Arial" w:cs="Arial"/>
          <w:lang w:eastAsia="cs-CZ"/>
        </w:rPr>
        <w:t>zaměstnanců ve výzkumu a vývoji</w:t>
      </w:r>
      <w:r w:rsidR="00350176" w:rsidRPr="00042042">
        <w:rPr>
          <w:rFonts w:ascii="Arial" w:eastAsia="Times New Roman" w:hAnsi="Arial" w:cs="Arial"/>
          <w:lang w:eastAsia="cs-CZ"/>
        </w:rPr>
        <w:t xml:space="preserve"> evidovaný k 31. 12. 2013 čin</w:t>
      </w:r>
      <w:r w:rsidR="00003A86">
        <w:rPr>
          <w:rFonts w:ascii="Arial" w:eastAsia="Times New Roman" w:hAnsi="Arial" w:cs="Arial"/>
          <w:lang w:eastAsia="cs-CZ"/>
        </w:rPr>
        <w:t>il 92 </w:t>
      </w:r>
      <w:r w:rsidR="00350176" w:rsidRPr="00042042">
        <w:rPr>
          <w:rFonts w:ascii="Arial" w:eastAsia="Times New Roman" w:hAnsi="Arial" w:cs="Arial"/>
          <w:lang w:eastAsia="cs-CZ"/>
        </w:rPr>
        <w:t>714. Ve</w:t>
      </w:r>
      <w:r w:rsidR="00F53673">
        <w:rPr>
          <w:rFonts w:ascii="Arial" w:eastAsia="Times New Roman" w:hAnsi="Arial" w:cs="Arial"/>
          <w:lang w:eastAsia="cs-CZ"/>
        </w:rPr>
        <w:t> </w:t>
      </w:r>
      <w:r w:rsidR="00350176" w:rsidRPr="00042042">
        <w:rPr>
          <w:rFonts w:ascii="Arial" w:eastAsia="Times New Roman" w:hAnsi="Arial" w:cs="Arial"/>
          <w:lang w:eastAsia="cs-CZ"/>
        </w:rPr>
        <w:t xml:space="preserve">srovnání s předchozím rokem se jedná o nárůst o 5,9 %. </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042042">
        <w:rPr>
          <w:rFonts w:ascii="Arial" w:eastAsia="Times New Roman" w:hAnsi="Arial" w:cs="Arial"/>
          <w:lang w:eastAsia="cs-CZ"/>
        </w:rPr>
        <w:t>Většinu zaměstnanců tvoří výzkumníci (přibližně 55 %), následují techničtí pracovníci (cca</w:t>
      </w:r>
      <w:r w:rsidR="00F53673">
        <w:rPr>
          <w:rFonts w:ascii="Arial" w:eastAsia="Times New Roman" w:hAnsi="Arial" w:cs="Arial"/>
          <w:lang w:eastAsia="cs-CZ"/>
        </w:rPr>
        <w:t> </w:t>
      </w:r>
      <w:r w:rsidRPr="00042042">
        <w:rPr>
          <w:rFonts w:ascii="Arial" w:eastAsia="Times New Roman" w:hAnsi="Arial" w:cs="Arial"/>
          <w:lang w:eastAsia="cs-CZ"/>
        </w:rPr>
        <w:t>30 %) a ostatní pracovníci (15 %)</w:t>
      </w:r>
      <w:r w:rsidR="00AD09A4">
        <w:rPr>
          <w:rFonts w:ascii="Arial" w:eastAsia="Times New Roman" w:hAnsi="Arial" w:cs="Arial"/>
          <w:lang w:eastAsia="cs-CZ"/>
        </w:rPr>
        <w:t>.</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Nejvyšší počet zaměstnanců ve výzkumu a vývoji vykazuje podnikatelský sektor (téměř 50</w:t>
      </w:r>
      <w:r w:rsidR="00003A86">
        <w:rPr>
          <w:rFonts w:ascii="Arial" w:eastAsia="Times New Roman" w:hAnsi="Arial" w:cs="Arial"/>
          <w:lang w:eastAsia="cs-CZ"/>
        </w:rPr>
        <w:t> </w:t>
      </w:r>
      <w:r>
        <w:rPr>
          <w:rFonts w:ascii="Arial" w:eastAsia="Times New Roman" w:hAnsi="Arial" w:cs="Arial"/>
          <w:lang w:eastAsia="cs-CZ"/>
        </w:rPr>
        <w:t xml:space="preserve">% podíl na celkové zaměstnanosti ve </w:t>
      </w:r>
      <w:proofErr w:type="spellStart"/>
      <w:r>
        <w:rPr>
          <w:rFonts w:ascii="Arial" w:eastAsia="Times New Roman" w:hAnsi="Arial" w:cs="Arial"/>
          <w:lang w:eastAsia="cs-CZ"/>
        </w:rPr>
        <w:t>VaV</w:t>
      </w:r>
      <w:proofErr w:type="spellEnd"/>
      <w:r>
        <w:rPr>
          <w:rFonts w:ascii="Arial" w:eastAsia="Times New Roman" w:hAnsi="Arial" w:cs="Arial"/>
          <w:lang w:eastAsia="cs-CZ"/>
        </w:rPr>
        <w:t>), nejvíce výzkumných pracovníků pracuje ve</w:t>
      </w:r>
      <w:r w:rsidR="00F53673">
        <w:rPr>
          <w:rFonts w:ascii="Arial" w:eastAsia="Times New Roman" w:hAnsi="Arial" w:cs="Arial"/>
          <w:lang w:eastAsia="cs-CZ"/>
        </w:rPr>
        <w:t> </w:t>
      </w:r>
      <w:r>
        <w:rPr>
          <w:rFonts w:ascii="Arial" w:eastAsia="Times New Roman" w:hAnsi="Arial" w:cs="Arial"/>
          <w:lang w:eastAsia="cs-CZ"/>
        </w:rPr>
        <w:t xml:space="preserve">vysokoškolském sektoru (23 tis. v roce 2013). </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Ve vysokoškolském i v podnikatelském sektoru počet výzkumníků meziročně roste, ve</w:t>
      </w:r>
      <w:r w:rsidR="00F53673">
        <w:rPr>
          <w:rFonts w:ascii="Arial" w:eastAsia="Times New Roman" w:hAnsi="Arial" w:cs="Arial"/>
          <w:lang w:eastAsia="cs-CZ"/>
        </w:rPr>
        <w:t> </w:t>
      </w:r>
      <w:r>
        <w:rPr>
          <w:rFonts w:ascii="Arial" w:eastAsia="Times New Roman" w:hAnsi="Arial" w:cs="Arial"/>
          <w:lang w:eastAsia="cs-CZ"/>
        </w:rPr>
        <w:t>vládním sektoru stagnuje.</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 xml:space="preserve">V mezinárodním srovnání počtu zaměstnanců ve výzkumu a vývoji se ČR přibližuje Belgii nebo Francii, kde je zároveň patrná, stejně jako v ČR, </w:t>
      </w:r>
      <w:r w:rsidRPr="007C6D35">
        <w:rPr>
          <w:rFonts w:ascii="Arial" w:eastAsia="Times New Roman" w:hAnsi="Arial" w:cs="Arial"/>
          <w:lang w:eastAsia="cs-CZ"/>
        </w:rPr>
        <w:t>mírná převaha zaměstnanců v</w:t>
      </w:r>
      <w:r>
        <w:rPr>
          <w:rFonts w:ascii="Arial" w:eastAsia="Times New Roman" w:hAnsi="Arial" w:cs="Arial"/>
          <w:lang w:eastAsia="cs-CZ"/>
        </w:rPr>
        <w:t> </w:t>
      </w:r>
      <w:r w:rsidRPr="007C6D35">
        <w:rPr>
          <w:rFonts w:ascii="Arial" w:eastAsia="Times New Roman" w:hAnsi="Arial" w:cs="Arial"/>
          <w:lang w:eastAsia="cs-CZ"/>
        </w:rPr>
        <w:t>podnikatelském sektoru nad veřejným</w:t>
      </w:r>
      <w:r>
        <w:rPr>
          <w:rFonts w:ascii="Arial" w:eastAsia="Times New Roman" w:hAnsi="Arial" w:cs="Arial"/>
          <w:lang w:eastAsia="cs-CZ"/>
        </w:rPr>
        <w:t xml:space="preserve"> (vysokoškolským a vládním)</w:t>
      </w:r>
      <w:r w:rsidRPr="007C6D35">
        <w:rPr>
          <w:rFonts w:ascii="Arial" w:eastAsia="Times New Roman" w:hAnsi="Arial" w:cs="Arial"/>
          <w:lang w:eastAsia="cs-CZ"/>
        </w:rPr>
        <w:t>.</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042042">
        <w:rPr>
          <w:rFonts w:ascii="Arial" w:eastAsia="Times New Roman" w:hAnsi="Arial" w:cs="Arial"/>
          <w:lang w:eastAsia="cs-CZ"/>
        </w:rPr>
        <w:t>Ve vysokoškolském sektoru jednoznačně dominují výzkumníci s doktorským vzděláním (65</w:t>
      </w:r>
      <w:r>
        <w:rPr>
          <w:rFonts w:ascii="Arial" w:eastAsia="Times New Roman" w:hAnsi="Arial" w:cs="Arial"/>
          <w:lang w:eastAsia="cs-CZ"/>
        </w:rPr>
        <w:t> </w:t>
      </w:r>
      <w:r w:rsidRPr="00042042">
        <w:rPr>
          <w:rFonts w:ascii="Arial" w:eastAsia="Times New Roman" w:hAnsi="Arial" w:cs="Arial"/>
          <w:lang w:eastAsia="cs-CZ"/>
        </w:rPr>
        <w:t xml:space="preserve">% v roce 2013), </w:t>
      </w:r>
      <w:r>
        <w:rPr>
          <w:rFonts w:ascii="Arial" w:eastAsia="Times New Roman" w:hAnsi="Arial" w:cs="Arial"/>
          <w:lang w:eastAsia="cs-CZ"/>
        </w:rPr>
        <w:t>naopak</w:t>
      </w:r>
      <w:r w:rsidRPr="00042042">
        <w:rPr>
          <w:rFonts w:ascii="Arial" w:eastAsia="Times New Roman" w:hAnsi="Arial" w:cs="Arial"/>
          <w:lang w:eastAsia="cs-CZ"/>
        </w:rPr>
        <w:t xml:space="preserve"> v podnikatelském sektoru tvoří výzkumníci s doktorským vzděláním </w:t>
      </w:r>
      <w:r>
        <w:rPr>
          <w:rFonts w:ascii="Arial" w:eastAsia="Times New Roman" w:hAnsi="Arial" w:cs="Arial"/>
          <w:lang w:eastAsia="cs-CZ"/>
        </w:rPr>
        <w:t>pouze cca</w:t>
      </w:r>
      <w:r w:rsidRPr="00042042">
        <w:rPr>
          <w:rFonts w:ascii="Arial" w:eastAsia="Times New Roman" w:hAnsi="Arial" w:cs="Arial"/>
          <w:lang w:eastAsia="cs-CZ"/>
        </w:rPr>
        <w:t xml:space="preserve"> 10 % a jejich podíl výrazněji neroste</w:t>
      </w:r>
      <w:r>
        <w:rPr>
          <w:rFonts w:ascii="Arial" w:eastAsia="Times New Roman" w:hAnsi="Arial" w:cs="Arial"/>
          <w:lang w:eastAsia="cs-CZ"/>
        </w:rPr>
        <w:t xml:space="preserve">. </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B54E44">
        <w:rPr>
          <w:rFonts w:ascii="Arial" w:eastAsia="Times New Roman" w:hAnsi="Arial" w:cs="Arial"/>
          <w:lang w:eastAsia="cs-CZ"/>
        </w:rPr>
        <w:t>V technických a přírodních vědách je výrazně vyšší poměr mezi počty současných výzkumníků a počty studentů</w:t>
      </w:r>
      <w:r>
        <w:rPr>
          <w:rFonts w:ascii="Arial" w:eastAsia="Times New Roman" w:hAnsi="Arial" w:cs="Arial"/>
          <w:lang w:eastAsia="cs-CZ"/>
        </w:rPr>
        <w:t xml:space="preserve"> v doktorských programech</w:t>
      </w:r>
      <w:r w:rsidRPr="00B54E44">
        <w:rPr>
          <w:rFonts w:ascii="Arial" w:eastAsia="Times New Roman" w:hAnsi="Arial" w:cs="Arial"/>
          <w:lang w:eastAsia="cs-CZ"/>
        </w:rPr>
        <w:t xml:space="preserve"> (zhruba trojnásobný)</w:t>
      </w:r>
      <w:r>
        <w:rPr>
          <w:rFonts w:ascii="Arial" w:eastAsia="Times New Roman" w:hAnsi="Arial" w:cs="Arial"/>
          <w:lang w:eastAsia="cs-CZ"/>
        </w:rPr>
        <w:t xml:space="preserve">, než </w:t>
      </w:r>
      <w:r>
        <w:rPr>
          <w:rFonts w:ascii="Arial" w:eastAsia="Times New Roman" w:hAnsi="Arial" w:cs="Arial"/>
          <w:lang w:eastAsia="cs-CZ"/>
        </w:rPr>
        <w:lastRenderedPageBreak/>
        <w:t>v</w:t>
      </w:r>
      <w:r w:rsidR="00870955">
        <w:rPr>
          <w:rFonts w:ascii="Arial" w:eastAsia="Times New Roman" w:hAnsi="Arial" w:cs="Arial"/>
          <w:lang w:eastAsia="cs-CZ"/>
        </w:rPr>
        <w:t>e</w:t>
      </w:r>
      <w:r w:rsidR="00F53673">
        <w:rPr>
          <w:rFonts w:ascii="Arial" w:eastAsia="Times New Roman" w:hAnsi="Arial" w:cs="Arial"/>
          <w:lang w:eastAsia="cs-CZ"/>
        </w:rPr>
        <w:t> </w:t>
      </w:r>
      <w:r w:rsidR="00870955">
        <w:rPr>
          <w:rFonts w:ascii="Arial" w:eastAsia="Times New Roman" w:hAnsi="Arial" w:cs="Arial"/>
          <w:lang w:eastAsia="cs-CZ"/>
        </w:rPr>
        <w:t>společenských</w:t>
      </w:r>
      <w:r w:rsidR="007A1384">
        <w:rPr>
          <w:rFonts w:ascii="Arial" w:eastAsia="Times New Roman" w:hAnsi="Arial" w:cs="Arial"/>
          <w:lang w:eastAsia="cs-CZ"/>
        </w:rPr>
        <w:t xml:space="preserve"> </w:t>
      </w:r>
      <w:r w:rsidRPr="00B54E44">
        <w:rPr>
          <w:rFonts w:ascii="Arial" w:eastAsia="Times New Roman" w:hAnsi="Arial" w:cs="Arial"/>
          <w:lang w:eastAsia="cs-CZ"/>
        </w:rPr>
        <w:t>a zejména v humanitních oborech</w:t>
      </w:r>
      <w:r>
        <w:rPr>
          <w:rFonts w:ascii="Arial" w:eastAsia="Times New Roman" w:hAnsi="Arial" w:cs="Arial"/>
          <w:lang w:eastAsia="cs-CZ"/>
        </w:rPr>
        <w:t>, kde počet studentů převyšuje počet výzkumníků.</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B54E44">
        <w:rPr>
          <w:rFonts w:ascii="Arial" w:eastAsia="Times New Roman" w:hAnsi="Arial" w:cs="Arial"/>
          <w:lang w:eastAsia="cs-CZ"/>
        </w:rPr>
        <w:t>Stále trvá genderová nevyváženost výzkumných pracovníků, zejména v podnikatelském sektoru (85</w:t>
      </w:r>
      <w:r w:rsidR="00003A86">
        <w:rPr>
          <w:rFonts w:ascii="Arial" w:eastAsia="Times New Roman" w:hAnsi="Arial" w:cs="Arial"/>
          <w:lang w:eastAsia="cs-CZ"/>
        </w:rPr>
        <w:t> </w:t>
      </w:r>
      <w:r w:rsidRPr="00B54E44">
        <w:rPr>
          <w:rFonts w:ascii="Arial" w:eastAsia="Times New Roman" w:hAnsi="Arial" w:cs="Arial"/>
          <w:lang w:eastAsia="cs-CZ"/>
        </w:rPr>
        <w:t>% výzkumných pracovníků tvoří muži).</w:t>
      </w:r>
    </w:p>
    <w:p w:rsidR="00350176" w:rsidRDefault="00350176" w:rsidP="00D93393">
      <w:pPr>
        <w:spacing w:after="0" w:line="360" w:lineRule="auto"/>
        <w:ind w:firstLine="357"/>
        <w:jc w:val="both"/>
        <w:rPr>
          <w:rFonts w:ascii="Arial" w:eastAsia="Times New Roman" w:hAnsi="Arial" w:cs="Arial"/>
          <w:b/>
          <w:lang w:eastAsia="cs-CZ"/>
        </w:rPr>
      </w:pPr>
      <w:r>
        <w:rPr>
          <w:rFonts w:ascii="Arial" w:eastAsia="Times New Roman" w:hAnsi="Arial" w:cs="Arial"/>
          <w:b/>
          <w:lang w:eastAsia="cs-CZ"/>
        </w:rPr>
        <w:t xml:space="preserve">Kapitola </w:t>
      </w:r>
      <w:r w:rsidRPr="00350176">
        <w:rPr>
          <w:rFonts w:ascii="Arial" w:eastAsia="Times New Roman" w:hAnsi="Arial" w:cs="Arial"/>
          <w:b/>
          <w:lang w:eastAsia="cs-CZ"/>
        </w:rPr>
        <w:t>Infrastruktury VaVaI</w:t>
      </w:r>
      <w:r w:rsidR="00EB3508">
        <w:rPr>
          <w:rFonts w:ascii="Arial" w:eastAsia="Times New Roman" w:hAnsi="Arial" w:cs="Arial"/>
          <w:b/>
          <w:lang w:eastAsia="cs-CZ"/>
        </w:rPr>
        <w:t>:</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F57A5E">
        <w:rPr>
          <w:rFonts w:ascii="Arial" w:eastAsia="Times New Roman" w:hAnsi="Arial" w:cs="Arial"/>
          <w:lang w:eastAsia="cs-CZ"/>
        </w:rPr>
        <w:t>Infrastruktury VaVaI představují místa, v nichž dochází k efektivnímu propojování všech segmentů inovačního řetězce a interakci subjektů zapojených do vzdělávání a veřejného výzkumu a podnikatelské sféry s finálním efektem v podobě zboží a služeb s vysokou přidanou hodnotou.</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Infrastruktury lze považovat za základní složku základny VaVaI v ČR, nemají však právní subjektivitu.</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Infrastruktury v ČR jsou podobně jako subjekty provádějící VaVaI financovány vícezdrojově z prostředků veřejných i podnikatelských, národních i zahraničních.</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 xml:space="preserve">V období 2005 – 2014 bylo na podporu 289 projektů s vazbou na infrastruktury VaVaI vynaloženo téměř 84 mld. Kč, z toho </w:t>
      </w:r>
      <w:r w:rsidRPr="00F57A5E">
        <w:rPr>
          <w:rFonts w:ascii="Arial" w:eastAsia="Times New Roman" w:hAnsi="Arial" w:cs="Arial"/>
          <w:lang w:eastAsia="cs-CZ"/>
        </w:rPr>
        <w:t>více než 34,5 mld. Kč</w:t>
      </w:r>
      <w:r>
        <w:rPr>
          <w:rFonts w:ascii="Arial" w:eastAsia="Times New Roman" w:hAnsi="Arial" w:cs="Arial"/>
          <w:lang w:eastAsia="cs-CZ"/>
        </w:rPr>
        <w:t xml:space="preserve"> ze státního rozpočtu.</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Významným zdrojem financí pro tvorbu a rozvoj představují prostředky ESF. Vybudování 8</w:t>
      </w:r>
      <w:r w:rsidRPr="00F57A5E">
        <w:rPr>
          <w:rFonts w:ascii="Arial" w:eastAsia="Times New Roman" w:hAnsi="Arial" w:cs="Arial"/>
          <w:lang w:eastAsia="cs-CZ"/>
        </w:rPr>
        <w:t> evropských center excelence a 40 regionálních center výzkumu a vývoje</w:t>
      </w:r>
      <w:r>
        <w:rPr>
          <w:rFonts w:ascii="Arial" w:eastAsia="Times New Roman" w:hAnsi="Arial" w:cs="Arial"/>
          <w:lang w:eastAsia="cs-CZ"/>
        </w:rPr>
        <w:t xml:space="preserve"> bylo podpořeno částkou přes 41 mld. Kč převážně z prostředků OP </w:t>
      </w:r>
      <w:proofErr w:type="spellStart"/>
      <w:r>
        <w:rPr>
          <w:rFonts w:ascii="Arial" w:eastAsia="Times New Roman" w:hAnsi="Arial" w:cs="Arial"/>
          <w:lang w:eastAsia="cs-CZ"/>
        </w:rPr>
        <w:t>VaVpI</w:t>
      </w:r>
      <w:proofErr w:type="spellEnd"/>
      <w:r>
        <w:rPr>
          <w:rFonts w:ascii="Arial" w:eastAsia="Times New Roman" w:hAnsi="Arial" w:cs="Arial"/>
          <w:lang w:eastAsia="cs-CZ"/>
        </w:rPr>
        <w:t>.</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J</w:t>
      </w:r>
      <w:r w:rsidRPr="00F57A5E">
        <w:rPr>
          <w:rFonts w:ascii="Arial" w:eastAsia="Times New Roman" w:hAnsi="Arial" w:cs="Arial"/>
          <w:lang w:eastAsia="cs-CZ"/>
        </w:rPr>
        <w:t>ak počtem projektů, tak finančním objemem</w:t>
      </w:r>
      <w:r>
        <w:rPr>
          <w:rFonts w:ascii="Arial" w:eastAsia="Times New Roman" w:hAnsi="Arial" w:cs="Arial"/>
          <w:lang w:eastAsia="cs-CZ"/>
        </w:rPr>
        <w:t>,</w:t>
      </w:r>
      <w:r w:rsidRPr="00F57A5E">
        <w:rPr>
          <w:rFonts w:ascii="Arial" w:eastAsia="Times New Roman" w:hAnsi="Arial" w:cs="Arial"/>
          <w:lang w:eastAsia="cs-CZ"/>
        </w:rPr>
        <w:t xml:space="preserve"> jsou v ČR dominantními příjemci </w:t>
      </w:r>
      <w:r>
        <w:rPr>
          <w:rFonts w:ascii="Arial" w:eastAsia="Times New Roman" w:hAnsi="Arial" w:cs="Arial"/>
          <w:lang w:eastAsia="cs-CZ"/>
        </w:rPr>
        <w:t xml:space="preserve">podpory </w:t>
      </w:r>
      <w:r w:rsidRPr="00F57A5E">
        <w:rPr>
          <w:rFonts w:ascii="Arial" w:eastAsia="Times New Roman" w:hAnsi="Arial" w:cs="Arial"/>
          <w:lang w:eastAsia="cs-CZ"/>
        </w:rPr>
        <w:t>subjekty / organizační složky zaměřené na přírodní vědy, technické vědy</w:t>
      </w:r>
      <w:r>
        <w:rPr>
          <w:rFonts w:ascii="Arial" w:eastAsia="Times New Roman" w:hAnsi="Arial" w:cs="Arial"/>
          <w:lang w:eastAsia="cs-CZ"/>
        </w:rPr>
        <w:t xml:space="preserve"> a</w:t>
      </w:r>
      <w:r w:rsidRPr="00F57A5E">
        <w:rPr>
          <w:rFonts w:ascii="Arial" w:eastAsia="Times New Roman" w:hAnsi="Arial" w:cs="Arial"/>
          <w:lang w:eastAsia="cs-CZ"/>
        </w:rPr>
        <w:t xml:space="preserve"> lékařské vědy.</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 xml:space="preserve">Velké množství infrastruktur </w:t>
      </w:r>
      <w:r w:rsidR="002A09E8">
        <w:rPr>
          <w:rFonts w:ascii="Arial" w:eastAsia="Times New Roman" w:hAnsi="Arial" w:cs="Arial"/>
          <w:lang w:eastAsia="cs-CZ"/>
        </w:rPr>
        <w:t>v</w:t>
      </w:r>
      <w:r>
        <w:rPr>
          <w:rFonts w:ascii="Arial" w:eastAsia="Times New Roman" w:hAnsi="Arial" w:cs="Arial"/>
          <w:lang w:eastAsia="cs-CZ"/>
        </w:rPr>
        <w:t> ČR představuje potenciál pro zvýšení kvality VaVaI a</w:t>
      </w:r>
      <w:r w:rsidR="00F53673">
        <w:rPr>
          <w:rFonts w:ascii="Arial" w:eastAsia="Times New Roman" w:hAnsi="Arial" w:cs="Arial"/>
          <w:lang w:eastAsia="cs-CZ"/>
        </w:rPr>
        <w:t> </w:t>
      </w:r>
      <w:r>
        <w:rPr>
          <w:rFonts w:ascii="Arial" w:eastAsia="Times New Roman" w:hAnsi="Arial" w:cs="Arial"/>
          <w:lang w:eastAsia="cs-CZ"/>
        </w:rPr>
        <w:t>konkurenceschopnosti, zároveň však klad</w:t>
      </w:r>
      <w:r w:rsidR="0027278C">
        <w:rPr>
          <w:rFonts w:ascii="Arial" w:eastAsia="Times New Roman" w:hAnsi="Arial" w:cs="Arial"/>
          <w:lang w:eastAsia="cs-CZ"/>
        </w:rPr>
        <w:t>e</w:t>
      </w:r>
      <w:r>
        <w:rPr>
          <w:rFonts w:ascii="Arial" w:eastAsia="Times New Roman" w:hAnsi="Arial" w:cs="Arial"/>
          <w:lang w:eastAsia="cs-CZ"/>
        </w:rPr>
        <w:t xml:space="preserve"> vysoké nároky na finanční prostředky a</w:t>
      </w:r>
      <w:r w:rsidR="00F53673">
        <w:rPr>
          <w:rFonts w:ascii="Arial" w:eastAsia="Times New Roman" w:hAnsi="Arial" w:cs="Arial"/>
          <w:lang w:eastAsia="cs-CZ"/>
        </w:rPr>
        <w:t> </w:t>
      </w:r>
      <w:r>
        <w:rPr>
          <w:rFonts w:ascii="Arial" w:eastAsia="Times New Roman" w:hAnsi="Arial" w:cs="Arial"/>
          <w:lang w:eastAsia="cs-CZ"/>
        </w:rPr>
        <w:t>kvalifikované lidské zdroje v budoucnu.</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Provozní potřeby nejvýznamnějších infrastruktur v ČR jsou financovány ze státního rozpočtu prostřednictvím specifického nástroje, tzv. projektů velkých infrastruktur. Za</w:t>
      </w:r>
      <w:r w:rsidR="00F53673">
        <w:rPr>
          <w:rFonts w:ascii="Arial" w:eastAsia="Times New Roman" w:hAnsi="Arial" w:cs="Arial"/>
          <w:lang w:eastAsia="cs-CZ"/>
        </w:rPr>
        <w:t> </w:t>
      </w:r>
      <w:r>
        <w:rPr>
          <w:rFonts w:ascii="Arial" w:eastAsia="Times New Roman" w:hAnsi="Arial" w:cs="Arial"/>
          <w:lang w:eastAsia="cs-CZ"/>
        </w:rPr>
        <w:t xml:space="preserve">účelem výběru vhodných infrastruktur proběhlo v roce 2014 mezinárodní hodnocení, které doporučilo financovat </w:t>
      </w:r>
      <w:r w:rsidR="00542059">
        <w:rPr>
          <w:rFonts w:ascii="Arial" w:eastAsia="Times New Roman" w:hAnsi="Arial" w:cs="Arial"/>
          <w:lang w:eastAsia="cs-CZ"/>
        </w:rPr>
        <w:t>5</w:t>
      </w:r>
      <w:r>
        <w:rPr>
          <w:rFonts w:ascii="Arial" w:eastAsia="Times New Roman" w:hAnsi="Arial" w:cs="Arial"/>
          <w:lang w:eastAsia="cs-CZ"/>
        </w:rPr>
        <w:t>8 infrastruktur (42 z nich jako vysoce prioritní).</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Doposud chybí vazba infrastruktur na výzkumné a vývojové potřeby nejvýznamnějších odvětví národního hospodářství.</w:t>
      </w:r>
    </w:p>
    <w:p w:rsidR="00350176" w:rsidRDefault="00350176" w:rsidP="00D93393">
      <w:pPr>
        <w:spacing w:after="0" w:line="360" w:lineRule="auto"/>
        <w:ind w:firstLine="357"/>
        <w:jc w:val="both"/>
        <w:rPr>
          <w:rFonts w:ascii="Arial" w:eastAsia="Times New Roman" w:hAnsi="Arial" w:cs="Arial"/>
          <w:b/>
          <w:lang w:eastAsia="cs-CZ"/>
        </w:rPr>
      </w:pPr>
      <w:r>
        <w:rPr>
          <w:rFonts w:ascii="Arial" w:eastAsia="Times New Roman" w:hAnsi="Arial" w:cs="Arial"/>
          <w:b/>
          <w:lang w:eastAsia="cs-CZ"/>
        </w:rPr>
        <w:t xml:space="preserve">Kapitola </w:t>
      </w:r>
      <w:r w:rsidRPr="00350176">
        <w:rPr>
          <w:rFonts w:ascii="Arial" w:eastAsia="Times New Roman" w:hAnsi="Arial" w:cs="Arial"/>
          <w:b/>
          <w:lang w:eastAsia="cs-CZ"/>
        </w:rPr>
        <w:t>Výsledky výzkumu a vývoje</w:t>
      </w:r>
      <w:r w:rsidR="00EB3508">
        <w:rPr>
          <w:rFonts w:ascii="Arial" w:eastAsia="Times New Roman" w:hAnsi="Arial" w:cs="Arial"/>
          <w:b/>
          <w:lang w:eastAsia="cs-CZ"/>
        </w:rPr>
        <w:t>:</w:t>
      </w:r>
    </w:p>
    <w:p w:rsidR="00350176" w:rsidRPr="0027278C"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DD6016">
        <w:rPr>
          <w:rFonts w:ascii="Arial" w:eastAsia="Times New Roman" w:hAnsi="Arial" w:cs="Arial"/>
          <w:lang w:eastAsia="cs-CZ"/>
        </w:rPr>
        <w:t xml:space="preserve">V ČR jsou definovány druhy výsledků, které jsou centrálně shromažďovány v informačním systému výzkumu, vývoje a inovací (IS VaVaI). Tyto výsledky lze rozdělit na skupinu výsledků </w:t>
      </w:r>
      <w:r w:rsidRPr="0027278C">
        <w:rPr>
          <w:rFonts w:ascii="Arial" w:eastAsia="Times New Roman" w:hAnsi="Arial" w:cs="Arial"/>
          <w:lang w:eastAsia="cs-CZ"/>
        </w:rPr>
        <w:t>publikačních a nepublikačních, která se dělí na výsledky aplikované a ostatní.</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07448A">
        <w:rPr>
          <w:rFonts w:ascii="Arial" w:eastAsia="Times New Roman" w:hAnsi="Arial" w:cs="Arial"/>
          <w:lang w:eastAsia="cs-CZ"/>
        </w:rPr>
        <w:t xml:space="preserve">Tvorba výsledků má v ČR dlouhodobě rostoucí trend. </w:t>
      </w:r>
      <w:r>
        <w:rPr>
          <w:rFonts w:ascii="Arial" w:eastAsia="Times New Roman" w:hAnsi="Arial" w:cs="Arial"/>
          <w:lang w:eastAsia="cs-CZ"/>
        </w:rPr>
        <w:t>N</w:t>
      </w:r>
      <w:r w:rsidRPr="0007448A">
        <w:rPr>
          <w:rFonts w:ascii="Arial" w:eastAsia="Times New Roman" w:hAnsi="Arial" w:cs="Arial"/>
          <w:lang w:eastAsia="cs-CZ"/>
        </w:rPr>
        <w:t>arůstá jak počet publikačních výsledků, tak počet výsledků aplikovaných</w:t>
      </w:r>
      <w:r>
        <w:rPr>
          <w:rFonts w:ascii="Arial" w:eastAsia="Times New Roman" w:hAnsi="Arial" w:cs="Arial"/>
          <w:lang w:eastAsia="cs-CZ"/>
        </w:rPr>
        <w:t>, maxima bylo dosaženo v roce 2012</w:t>
      </w:r>
      <w:r w:rsidRPr="0007448A">
        <w:rPr>
          <w:rFonts w:ascii="Arial" w:eastAsia="Times New Roman" w:hAnsi="Arial" w:cs="Arial"/>
          <w:lang w:eastAsia="cs-CZ"/>
        </w:rPr>
        <w:t xml:space="preserve">. </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07448A">
        <w:rPr>
          <w:rFonts w:ascii="Arial" w:eastAsia="Times New Roman" w:hAnsi="Arial" w:cs="Arial"/>
          <w:lang w:eastAsia="cs-CZ"/>
        </w:rPr>
        <w:t>Jednoznačně největší počet výsledků vzniká ve Společenských a humanitních vědách</w:t>
      </w:r>
      <w:r>
        <w:rPr>
          <w:rFonts w:ascii="Arial" w:eastAsia="Times New Roman" w:hAnsi="Arial" w:cs="Arial"/>
          <w:lang w:eastAsia="cs-CZ"/>
        </w:rPr>
        <w:t xml:space="preserve"> (jedná se převážně o publikace), d</w:t>
      </w:r>
      <w:r w:rsidRPr="0007448A">
        <w:rPr>
          <w:rFonts w:ascii="Arial" w:eastAsia="Times New Roman" w:hAnsi="Arial" w:cs="Arial"/>
          <w:lang w:eastAsia="cs-CZ"/>
        </w:rPr>
        <w:t>ruhou nejvýznamnější skupinou oborů z hlediska počtu výsledků je Průmysl</w:t>
      </w:r>
      <w:r>
        <w:rPr>
          <w:rFonts w:ascii="Arial" w:eastAsia="Times New Roman" w:hAnsi="Arial" w:cs="Arial"/>
          <w:lang w:eastAsia="cs-CZ"/>
        </w:rPr>
        <w:t>.</w:t>
      </w:r>
    </w:p>
    <w:p w:rsidR="00350176" w:rsidRPr="0007448A" w:rsidRDefault="00350176"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lastRenderedPageBreak/>
        <w:t xml:space="preserve">Největší podíl na počtu </w:t>
      </w:r>
      <w:r w:rsidRPr="00694D02">
        <w:rPr>
          <w:rFonts w:ascii="Arial" w:eastAsia="Times New Roman" w:hAnsi="Arial" w:cs="Arial"/>
          <w:lang w:eastAsia="cs-CZ"/>
        </w:rPr>
        <w:t>výsledků</w:t>
      </w:r>
      <w:r>
        <w:rPr>
          <w:rFonts w:ascii="Arial" w:eastAsia="Times New Roman" w:hAnsi="Arial" w:cs="Arial"/>
          <w:lang w:eastAsia="cs-CZ"/>
        </w:rPr>
        <w:t xml:space="preserve"> </w:t>
      </w:r>
      <w:r w:rsidRPr="00694D02">
        <w:rPr>
          <w:rFonts w:ascii="Arial" w:eastAsia="Times New Roman" w:hAnsi="Arial" w:cs="Arial"/>
          <w:lang w:eastAsia="cs-CZ"/>
        </w:rPr>
        <w:t xml:space="preserve">v jednotlivých oborových skupinách </w:t>
      </w:r>
      <w:r>
        <w:rPr>
          <w:rFonts w:ascii="Arial" w:eastAsia="Times New Roman" w:hAnsi="Arial" w:cs="Arial"/>
          <w:lang w:eastAsia="cs-CZ"/>
        </w:rPr>
        <w:t>vykazují</w:t>
      </w:r>
      <w:r w:rsidRPr="00694D02">
        <w:rPr>
          <w:rFonts w:ascii="Arial" w:eastAsia="Times New Roman" w:hAnsi="Arial" w:cs="Arial"/>
          <w:lang w:eastAsia="cs-CZ"/>
        </w:rPr>
        <w:t xml:space="preserve"> vysoké školy, a to zejména technického a přírodovědného zaměření</w:t>
      </w:r>
      <w:r>
        <w:rPr>
          <w:rFonts w:ascii="Arial" w:eastAsia="Times New Roman" w:hAnsi="Arial" w:cs="Arial"/>
          <w:lang w:eastAsia="cs-CZ"/>
        </w:rPr>
        <w:t>.</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07448A">
        <w:rPr>
          <w:rFonts w:ascii="Arial" w:eastAsia="Times New Roman" w:hAnsi="Arial" w:cs="Arial"/>
          <w:lang w:eastAsia="cs-CZ"/>
        </w:rPr>
        <w:t>Dlouhodobě je zaznamenáván nízký podíl aplikovaných výsledků na celkovém počtu výsledků (v současnosti necelých 11 %). V rámci aplikovaných výsledků je navíc velmi málo patentů</w:t>
      </w:r>
      <w:r>
        <w:rPr>
          <w:rFonts w:ascii="Arial" w:eastAsia="Times New Roman" w:hAnsi="Arial" w:cs="Arial"/>
          <w:lang w:eastAsia="cs-CZ"/>
        </w:rPr>
        <w:t>.</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694D02">
        <w:rPr>
          <w:rFonts w:ascii="Arial" w:eastAsia="Times New Roman" w:hAnsi="Arial" w:cs="Arial"/>
          <w:lang w:eastAsia="cs-CZ"/>
        </w:rPr>
        <w:t xml:space="preserve">V </w:t>
      </w:r>
      <w:r w:rsidR="0027278C">
        <w:rPr>
          <w:rFonts w:ascii="Arial" w:eastAsia="Times New Roman" w:hAnsi="Arial" w:cs="Arial"/>
          <w:lang w:eastAsia="cs-CZ"/>
        </w:rPr>
        <w:t>p</w:t>
      </w:r>
      <w:r w:rsidRPr="00694D02">
        <w:rPr>
          <w:rFonts w:ascii="Arial" w:eastAsia="Times New Roman" w:hAnsi="Arial" w:cs="Arial"/>
          <w:lang w:eastAsia="cs-CZ"/>
        </w:rPr>
        <w:t xml:space="preserve">růmyslových oborech je podíl aplikovaných výsledků </w:t>
      </w:r>
      <w:r>
        <w:rPr>
          <w:rFonts w:ascii="Arial" w:eastAsia="Times New Roman" w:hAnsi="Arial" w:cs="Arial"/>
          <w:lang w:eastAsia="cs-CZ"/>
        </w:rPr>
        <w:t>nej</w:t>
      </w:r>
      <w:r w:rsidRPr="00694D02">
        <w:rPr>
          <w:rFonts w:ascii="Arial" w:eastAsia="Times New Roman" w:hAnsi="Arial" w:cs="Arial"/>
          <w:lang w:eastAsia="cs-CZ"/>
        </w:rPr>
        <w:t>významnější, ani zde však nedosahuje 50 %.</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Meziročně roste kvalita publikací i úroveň mezinárodní spolupráce.</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 xml:space="preserve">Z pohledu kvality je patrný nárůst podílu publikací v periodikách indexovaných ve </w:t>
      </w:r>
      <w:proofErr w:type="gramStart"/>
      <w:r>
        <w:rPr>
          <w:rFonts w:ascii="Arial" w:eastAsia="Times New Roman" w:hAnsi="Arial" w:cs="Arial"/>
          <w:lang w:eastAsia="cs-CZ"/>
        </w:rPr>
        <w:t>Web</w:t>
      </w:r>
      <w:proofErr w:type="gramEnd"/>
      <w:r>
        <w:rPr>
          <w:rFonts w:ascii="Arial" w:eastAsia="Times New Roman" w:hAnsi="Arial" w:cs="Arial"/>
          <w:lang w:eastAsia="cs-CZ"/>
        </w:rPr>
        <w:t xml:space="preserve"> </w:t>
      </w:r>
      <w:proofErr w:type="spellStart"/>
      <w:r>
        <w:rPr>
          <w:rFonts w:ascii="Arial" w:eastAsia="Times New Roman" w:hAnsi="Arial" w:cs="Arial"/>
          <w:lang w:eastAsia="cs-CZ"/>
        </w:rPr>
        <w:t>of</w:t>
      </w:r>
      <w:proofErr w:type="spellEnd"/>
      <w:r w:rsidR="00C90DA6">
        <w:rPr>
          <w:rFonts w:ascii="Arial" w:eastAsia="Times New Roman" w:hAnsi="Arial" w:cs="Arial"/>
          <w:lang w:eastAsia="cs-CZ"/>
        </w:rPr>
        <w:t> </w:t>
      </w:r>
      <w:r>
        <w:rPr>
          <w:rFonts w:ascii="Arial" w:eastAsia="Times New Roman" w:hAnsi="Arial" w:cs="Arial"/>
          <w:lang w:eastAsia="cs-CZ"/>
        </w:rPr>
        <w:t>Science. Největší počet takových publikací vykazují vysoké školy, nejvyšší poměr vůči ostatním publikacím ústavy AV ČR.</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E8061E">
        <w:rPr>
          <w:rFonts w:ascii="Arial" w:eastAsia="Times New Roman" w:hAnsi="Arial" w:cs="Arial"/>
          <w:lang w:eastAsia="cs-CZ"/>
        </w:rPr>
        <w:t xml:space="preserve">Nejvíce kvalitních publikací vzniká v oborech </w:t>
      </w:r>
      <w:r w:rsidRPr="00D65B7A">
        <w:rPr>
          <w:rFonts w:ascii="Arial" w:eastAsia="Times New Roman" w:hAnsi="Arial" w:cs="Arial"/>
          <w:lang w:eastAsia="cs-CZ"/>
        </w:rPr>
        <w:t>Biologické vědy, Chemické vědy, Fyzikální vědy a astronomie a Klinická medicína</w:t>
      </w:r>
      <w:r w:rsidRPr="00E8061E">
        <w:rPr>
          <w:rFonts w:ascii="Arial" w:eastAsia="Times New Roman" w:hAnsi="Arial" w:cs="Arial"/>
          <w:lang w:eastAsia="cs-CZ"/>
        </w:rPr>
        <w:t xml:space="preserve">. Publikace </w:t>
      </w:r>
      <w:r>
        <w:rPr>
          <w:rFonts w:ascii="Arial" w:eastAsia="Times New Roman" w:hAnsi="Arial" w:cs="Arial"/>
          <w:lang w:eastAsia="cs-CZ"/>
        </w:rPr>
        <w:t>v Klinické medicíně a ve Fyzice a</w:t>
      </w:r>
      <w:r w:rsidR="00C90DA6">
        <w:rPr>
          <w:rFonts w:ascii="Arial" w:eastAsia="Times New Roman" w:hAnsi="Arial" w:cs="Arial"/>
          <w:lang w:eastAsia="cs-CZ"/>
        </w:rPr>
        <w:t> </w:t>
      </w:r>
      <w:r>
        <w:rPr>
          <w:rFonts w:ascii="Arial" w:eastAsia="Times New Roman" w:hAnsi="Arial" w:cs="Arial"/>
          <w:lang w:eastAsia="cs-CZ"/>
        </w:rPr>
        <w:t>Astronomii</w:t>
      </w:r>
      <w:r w:rsidRPr="00E8061E">
        <w:rPr>
          <w:rFonts w:ascii="Arial" w:eastAsia="Times New Roman" w:hAnsi="Arial" w:cs="Arial"/>
          <w:lang w:eastAsia="cs-CZ"/>
        </w:rPr>
        <w:t xml:space="preserve"> jsou </w:t>
      </w:r>
      <w:r>
        <w:rPr>
          <w:rFonts w:ascii="Arial" w:eastAsia="Times New Roman" w:hAnsi="Arial" w:cs="Arial"/>
          <w:lang w:eastAsia="cs-CZ"/>
        </w:rPr>
        <w:t xml:space="preserve">navíc </w:t>
      </w:r>
      <w:r w:rsidRPr="00E8061E">
        <w:rPr>
          <w:rFonts w:ascii="Arial" w:eastAsia="Times New Roman" w:hAnsi="Arial" w:cs="Arial"/>
          <w:lang w:eastAsia="cs-CZ"/>
        </w:rPr>
        <w:t>významně více citovány ve srovnání se světovým průměrem</w:t>
      </w:r>
      <w:r>
        <w:rPr>
          <w:rFonts w:ascii="Arial" w:eastAsia="Times New Roman" w:hAnsi="Arial" w:cs="Arial"/>
          <w:lang w:eastAsia="cs-CZ"/>
        </w:rPr>
        <w:t>.</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E8061E">
        <w:rPr>
          <w:rFonts w:ascii="Arial" w:eastAsia="Times New Roman" w:hAnsi="Arial" w:cs="Arial"/>
          <w:lang w:eastAsia="cs-CZ"/>
        </w:rPr>
        <w:t xml:space="preserve">Z hlediska mezinárodní spolupráce měřené počty </w:t>
      </w:r>
      <w:proofErr w:type="spellStart"/>
      <w:r w:rsidRPr="00E8061E">
        <w:rPr>
          <w:rFonts w:ascii="Arial" w:eastAsia="Times New Roman" w:hAnsi="Arial" w:cs="Arial"/>
          <w:lang w:eastAsia="cs-CZ"/>
        </w:rPr>
        <w:t>kolaborativních</w:t>
      </w:r>
      <w:proofErr w:type="spellEnd"/>
      <w:r w:rsidRPr="00E8061E">
        <w:rPr>
          <w:rFonts w:ascii="Arial" w:eastAsia="Times New Roman" w:hAnsi="Arial" w:cs="Arial"/>
          <w:lang w:eastAsia="cs-CZ"/>
        </w:rPr>
        <w:t xml:space="preserve"> publikací je ČR na</w:t>
      </w:r>
      <w:r w:rsidR="00C90DA6">
        <w:rPr>
          <w:rFonts w:ascii="Arial" w:eastAsia="Times New Roman" w:hAnsi="Arial" w:cs="Arial"/>
          <w:lang w:eastAsia="cs-CZ"/>
        </w:rPr>
        <w:t> </w:t>
      </w:r>
      <w:r w:rsidRPr="00E8061E">
        <w:rPr>
          <w:rFonts w:ascii="Arial" w:eastAsia="Times New Roman" w:hAnsi="Arial" w:cs="Arial"/>
          <w:lang w:eastAsia="cs-CZ"/>
        </w:rPr>
        <w:t>srovnatelné úrovni např. s Německem a Velkou Británií, mírně předčí Itálii a Španělsko. Výrazněji však ztrácí na státy, jako je Dánsko, Belgie, Rakousko, nebo Švýcarsko.</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 xml:space="preserve">Nejvíce společných publikací vytvářejí čeští vědci ve spolupráci s americkými, německými, anglickými </w:t>
      </w:r>
      <w:r w:rsidR="0027278C">
        <w:rPr>
          <w:rFonts w:ascii="Arial" w:eastAsia="Times New Roman" w:hAnsi="Arial" w:cs="Arial"/>
          <w:lang w:eastAsia="cs-CZ"/>
        </w:rPr>
        <w:t xml:space="preserve">a </w:t>
      </w:r>
      <w:r>
        <w:rPr>
          <w:rFonts w:ascii="Arial" w:eastAsia="Times New Roman" w:hAnsi="Arial" w:cs="Arial"/>
          <w:lang w:eastAsia="cs-CZ"/>
        </w:rPr>
        <w:t>francouzskými.</w:t>
      </w:r>
    </w:p>
    <w:p w:rsidR="00407F77" w:rsidRDefault="00F301D1"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Dosud není uspokojivě vyřešeno</w:t>
      </w:r>
      <w:r w:rsidR="00407F77">
        <w:rPr>
          <w:rFonts w:ascii="Arial" w:eastAsia="Times New Roman" w:hAnsi="Arial" w:cs="Arial"/>
          <w:lang w:eastAsia="cs-CZ"/>
        </w:rPr>
        <w:t xml:space="preserve"> hodnocení kvality výsledků a </w:t>
      </w:r>
      <w:r>
        <w:rPr>
          <w:rFonts w:ascii="Arial" w:eastAsia="Times New Roman" w:hAnsi="Arial" w:cs="Arial"/>
          <w:lang w:eastAsia="cs-CZ"/>
        </w:rPr>
        <w:t>jeho vazba</w:t>
      </w:r>
      <w:r w:rsidR="00407F77">
        <w:rPr>
          <w:rFonts w:ascii="Arial" w:eastAsia="Times New Roman" w:hAnsi="Arial" w:cs="Arial"/>
          <w:lang w:eastAsia="cs-CZ"/>
        </w:rPr>
        <w:t xml:space="preserve"> na poskytování prostředků státního rozpočtu </w:t>
      </w:r>
      <w:r>
        <w:rPr>
          <w:rFonts w:ascii="Arial" w:eastAsia="Times New Roman" w:hAnsi="Arial" w:cs="Arial"/>
          <w:lang w:eastAsia="cs-CZ"/>
        </w:rPr>
        <w:t>subjektům, které je vytvořily, zejména v aplikovaném výzkumu</w:t>
      </w:r>
      <w:r w:rsidR="00407F77">
        <w:rPr>
          <w:rFonts w:ascii="Arial" w:eastAsia="Times New Roman" w:hAnsi="Arial" w:cs="Arial"/>
          <w:lang w:eastAsia="cs-CZ"/>
        </w:rPr>
        <w:t xml:space="preserve">. Nejsou kvantifikovány přínosy </w:t>
      </w:r>
      <w:r>
        <w:rPr>
          <w:rFonts w:ascii="Arial" w:eastAsia="Times New Roman" w:hAnsi="Arial" w:cs="Arial"/>
          <w:lang w:eastAsia="cs-CZ"/>
        </w:rPr>
        <w:t>aplikovaného výzkumu a experimentálního vývoje.</w:t>
      </w:r>
    </w:p>
    <w:p w:rsidR="00350176" w:rsidRDefault="00350176" w:rsidP="00D93393">
      <w:pPr>
        <w:spacing w:after="0" w:line="360" w:lineRule="auto"/>
        <w:ind w:firstLine="357"/>
        <w:jc w:val="both"/>
        <w:rPr>
          <w:rFonts w:ascii="Arial" w:eastAsia="Times New Roman" w:hAnsi="Arial" w:cs="Arial"/>
          <w:b/>
          <w:lang w:eastAsia="cs-CZ"/>
        </w:rPr>
      </w:pPr>
      <w:r>
        <w:rPr>
          <w:rFonts w:ascii="Arial" w:eastAsia="Times New Roman" w:hAnsi="Arial" w:cs="Arial"/>
          <w:b/>
          <w:lang w:eastAsia="cs-CZ"/>
        </w:rPr>
        <w:t xml:space="preserve">Kapitola </w:t>
      </w:r>
      <w:r w:rsidRPr="00350176">
        <w:rPr>
          <w:rFonts w:ascii="Arial" w:eastAsia="Times New Roman" w:hAnsi="Arial" w:cs="Arial"/>
          <w:b/>
          <w:lang w:eastAsia="cs-CZ"/>
        </w:rPr>
        <w:t>Inovační výkonnost české ekonomiky a její mezinárodní srovnání</w:t>
      </w:r>
      <w:r w:rsidR="00EB3508">
        <w:rPr>
          <w:rFonts w:ascii="Arial" w:eastAsia="Times New Roman" w:hAnsi="Arial" w:cs="Arial"/>
          <w:b/>
          <w:lang w:eastAsia="cs-CZ"/>
        </w:rPr>
        <w:t>:</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Pro posouzení i</w:t>
      </w:r>
      <w:r w:rsidRPr="00F57A5E">
        <w:rPr>
          <w:rFonts w:ascii="Arial" w:eastAsia="Times New Roman" w:hAnsi="Arial" w:cs="Arial"/>
          <w:lang w:eastAsia="cs-CZ"/>
        </w:rPr>
        <w:t>novační</w:t>
      </w:r>
      <w:r w:rsidR="0027278C">
        <w:rPr>
          <w:rFonts w:ascii="Arial" w:eastAsia="Times New Roman" w:hAnsi="Arial" w:cs="Arial"/>
          <w:lang w:eastAsia="cs-CZ"/>
        </w:rPr>
        <w:t>ho</w:t>
      </w:r>
      <w:r w:rsidRPr="00F57A5E">
        <w:rPr>
          <w:rFonts w:ascii="Arial" w:eastAsia="Times New Roman" w:hAnsi="Arial" w:cs="Arial"/>
          <w:lang w:eastAsia="cs-CZ"/>
        </w:rPr>
        <w:t xml:space="preserve"> výkon</w:t>
      </w:r>
      <w:r>
        <w:rPr>
          <w:rFonts w:ascii="Arial" w:eastAsia="Times New Roman" w:hAnsi="Arial" w:cs="Arial"/>
          <w:lang w:eastAsia="cs-CZ"/>
        </w:rPr>
        <w:t>u ekonomik</w:t>
      </w:r>
      <w:r w:rsidR="0027278C">
        <w:rPr>
          <w:rFonts w:ascii="Arial" w:eastAsia="Times New Roman" w:hAnsi="Arial" w:cs="Arial"/>
          <w:lang w:eastAsia="cs-CZ"/>
        </w:rPr>
        <w:t>y</w:t>
      </w:r>
      <w:r>
        <w:rPr>
          <w:rFonts w:ascii="Arial" w:eastAsia="Times New Roman" w:hAnsi="Arial" w:cs="Arial"/>
          <w:lang w:eastAsia="cs-CZ"/>
        </w:rPr>
        <w:t xml:space="preserve"> jsou </w:t>
      </w:r>
      <w:r w:rsidR="00083A27">
        <w:rPr>
          <w:rFonts w:ascii="Arial" w:eastAsia="Times New Roman" w:hAnsi="Arial" w:cs="Arial"/>
          <w:lang w:eastAsia="cs-CZ"/>
        </w:rPr>
        <w:t xml:space="preserve">používány </w:t>
      </w:r>
      <w:r w:rsidRPr="00F57A5E">
        <w:rPr>
          <w:rFonts w:ascii="Arial" w:eastAsia="Times New Roman" w:hAnsi="Arial" w:cs="Arial"/>
          <w:lang w:eastAsia="cs-CZ"/>
        </w:rPr>
        <w:t>jednoduché indikátory nebo indikátory složené i z několika desítek dílčích ukazatelů.</w:t>
      </w:r>
    </w:p>
    <w:p w:rsid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Na základě jednoduchých indikátorů, jako je znalostní intenzita odvozená od celkových výdajů na VaVaI, předčí ČR státy, jako je Polsko nebo Maďarsko, naopak za silnějšími ekonomikami Německa či Rakouska výrazně zaostává.</w:t>
      </w:r>
    </w:p>
    <w:p w:rsidR="00350176" w:rsidRPr="00C7201C"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402BEE">
        <w:rPr>
          <w:rFonts w:ascii="Arial" w:eastAsia="Times New Roman" w:hAnsi="Arial" w:cs="Arial"/>
          <w:lang w:eastAsia="cs-CZ"/>
        </w:rPr>
        <w:t>Věrohodnější srovnání poskytují složené indikátory, z nichž nejrespektovanější js</w:t>
      </w:r>
      <w:r w:rsidR="002239EE">
        <w:rPr>
          <w:rFonts w:ascii="Arial" w:eastAsia="Times New Roman" w:hAnsi="Arial" w:cs="Arial"/>
          <w:lang w:eastAsia="cs-CZ"/>
        </w:rPr>
        <w:t>ou Souhrnný inovační index</w:t>
      </w:r>
      <w:r w:rsidR="004F4CF5">
        <w:rPr>
          <w:rFonts w:ascii="Arial" w:eastAsia="Times New Roman" w:hAnsi="Arial" w:cs="Arial"/>
          <w:lang w:eastAsia="cs-CZ"/>
        </w:rPr>
        <w:t xml:space="preserve"> </w:t>
      </w:r>
      <w:r w:rsidR="00271B9E">
        <w:rPr>
          <w:rFonts w:ascii="Arial" w:eastAsia="Times New Roman" w:hAnsi="Arial" w:cs="Arial"/>
          <w:lang w:eastAsia="cs-CZ"/>
        </w:rPr>
        <w:t xml:space="preserve">(SII) </w:t>
      </w:r>
      <w:r w:rsidR="004F4CF5">
        <w:rPr>
          <w:rFonts w:ascii="Arial" w:eastAsia="Times New Roman" w:hAnsi="Arial" w:cs="Arial"/>
          <w:lang w:eastAsia="cs-CZ"/>
        </w:rPr>
        <w:t>a</w:t>
      </w:r>
      <w:r>
        <w:rPr>
          <w:rFonts w:ascii="Arial" w:eastAsia="Times New Roman" w:hAnsi="Arial" w:cs="Arial"/>
          <w:lang w:eastAsia="cs-CZ"/>
        </w:rPr>
        <w:t xml:space="preserve"> </w:t>
      </w:r>
      <w:proofErr w:type="spellStart"/>
      <w:r w:rsidRPr="00402BEE">
        <w:rPr>
          <w:rFonts w:ascii="Arial" w:eastAsia="Times New Roman" w:hAnsi="Arial" w:cs="Arial"/>
          <w:lang w:eastAsia="cs-CZ"/>
        </w:rPr>
        <w:t>I</w:t>
      </w:r>
      <w:r w:rsidR="002239EE">
        <w:rPr>
          <w:rFonts w:ascii="Arial" w:eastAsia="Times New Roman" w:hAnsi="Arial" w:cs="Arial"/>
          <w:lang w:eastAsia="cs-CZ"/>
        </w:rPr>
        <w:t>nnovation</w:t>
      </w:r>
      <w:proofErr w:type="spellEnd"/>
      <w:r w:rsidR="003E38D2">
        <w:rPr>
          <w:rFonts w:ascii="Arial" w:eastAsia="Times New Roman" w:hAnsi="Arial" w:cs="Arial"/>
          <w:lang w:eastAsia="cs-CZ"/>
        </w:rPr>
        <w:t xml:space="preserve"> </w:t>
      </w:r>
      <w:r w:rsidR="002239EE">
        <w:rPr>
          <w:rFonts w:ascii="Arial" w:eastAsia="Times New Roman" w:hAnsi="Arial" w:cs="Arial"/>
          <w:lang w:eastAsia="cs-CZ"/>
        </w:rPr>
        <w:t xml:space="preserve"> output </w:t>
      </w:r>
      <w:proofErr w:type="spellStart"/>
      <w:r w:rsidR="002239EE">
        <w:rPr>
          <w:rFonts w:ascii="Arial" w:eastAsia="Times New Roman" w:hAnsi="Arial" w:cs="Arial"/>
          <w:lang w:eastAsia="cs-CZ"/>
        </w:rPr>
        <w:t>indicator</w:t>
      </w:r>
      <w:proofErr w:type="spellEnd"/>
      <w:r w:rsidR="003E38D2">
        <w:rPr>
          <w:rFonts w:ascii="Arial" w:eastAsia="Times New Roman" w:hAnsi="Arial" w:cs="Arial"/>
          <w:lang w:eastAsia="cs-CZ"/>
        </w:rPr>
        <w:t xml:space="preserve"> (IOI)</w:t>
      </w:r>
      <w:r w:rsidRPr="00402BEE">
        <w:rPr>
          <w:rFonts w:ascii="Arial" w:eastAsia="Times New Roman" w:hAnsi="Arial" w:cs="Arial"/>
          <w:lang w:eastAsia="cs-CZ"/>
        </w:rPr>
        <w:t>.</w:t>
      </w:r>
      <w:r>
        <w:rPr>
          <w:rFonts w:ascii="Arial" w:eastAsia="Times New Roman" w:hAnsi="Arial" w:cs="Arial"/>
          <w:lang w:eastAsia="cs-CZ"/>
        </w:rPr>
        <w:t xml:space="preserve"> Tyto indikátory se</w:t>
      </w:r>
      <w:r w:rsidR="00271B9E">
        <w:rPr>
          <w:rFonts w:ascii="Arial" w:eastAsia="Times New Roman" w:hAnsi="Arial" w:cs="Arial"/>
          <w:lang w:eastAsia="cs-CZ"/>
        </w:rPr>
        <w:t> </w:t>
      </w:r>
      <w:r>
        <w:rPr>
          <w:rFonts w:ascii="Arial" w:eastAsia="Times New Roman" w:hAnsi="Arial" w:cs="Arial"/>
          <w:lang w:eastAsia="cs-CZ"/>
        </w:rPr>
        <w:t xml:space="preserve">vzájemně liší zejména v přístupu k </w:t>
      </w:r>
      <w:r w:rsidRPr="00350176">
        <w:rPr>
          <w:rFonts w:ascii="Arial" w:eastAsia="Times New Roman" w:hAnsi="Arial" w:cs="Arial"/>
          <w:lang w:eastAsia="cs-CZ"/>
        </w:rPr>
        <w:t>investicím veřejného sektoru do VaVaI a vzdělávání.</w:t>
      </w:r>
    </w:p>
    <w:p w:rsidR="00350176" w:rsidRPr="009F6F59" w:rsidRDefault="00350176" w:rsidP="009F6F59">
      <w:pPr>
        <w:pStyle w:val="Odstavecseseznamem"/>
        <w:numPr>
          <w:ilvl w:val="0"/>
          <w:numId w:val="18"/>
        </w:numPr>
        <w:spacing w:after="0" w:line="360" w:lineRule="auto"/>
        <w:jc w:val="both"/>
        <w:rPr>
          <w:rFonts w:ascii="Arial" w:eastAsia="Times New Roman" w:hAnsi="Arial" w:cs="Arial"/>
          <w:lang w:eastAsia="cs-CZ"/>
        </w:rPr>
      </w:pPr>
      <w:r w:rsidRPr="009F6F59">
        <w:rPr>
          <w:rFonts w:ascii="Arial" w:eastAsia="Times New Roman" w:hAnsi="Arial" w:cs="Arial"/>
          <w:lang w:eastAsia="cs-CZ"/>
        </w:rPr>
        <w:t xml:space="preserve">Na základě složeného indikátoru SII jsou členské státy EU rozděleny do 4 skupin dle úrovně inovativnosti ekonomiky – </w:t>
      </w:r>
      <w:proofErr w:type="spellStart"/>
      <w:r w:rsidRPr="009F6F59">
        <w:rPr>
          <w:rFonts w:ascii="Arial" w:eastAsia="Times New Roman" w:hAnsi="Arial" w:cs="Arial"/>
          <w:lang w:eastAsia="cs-CZ"/>
        </w:rPr>
        <w:t>Innovation</w:t>
      </w:r>
      <w:proofErr w:type="spellEnd"/>
      <w:r w:rsidRPr="009F6F59">
        <w:rPr>
          <w:rFonts w:ascii="Arial" w:eastAsia="Times New Roman" w:hAnsi="Arial" w:cs="Arial"/>
          <w:lang w:eastAsia="cs-CZ"/>
        </w:rPr>
        <w:t xml:space="preserve"> </w:t>
      </w:r>
      <w:proofErr w:type="spellStart"/>
      <w:r w:rsidRPr="009F6F59">
        <w:rPr>
          <w:rFonts w:ascii="Arial" w:eastAsia="Times New Roman" w:hAnsi="Arial" w:cs="Arial"/>
          <w:lang w:eastAsia="cs-CZ"/>
        </w:rPr>
        <w:t>Leaders</w:t>
      </w:r>
      <w:proofErr w:type="spellEnd"/>
      <w:r w:rsidRPr="009F6F59">
        <w:rPr>
          <w:rFonts w:ascii="Arial" w:eastAsia="Times New Roman" w:hAnsi="Arial" w:cs="Arial"/>
          <w:lang w:eastAsia="cs-CZ"/>
        </w:rPr>
        <w:t xml:space="preserve">, </w:t>
      </w:r>
      <w:proofErr w:type="spellStart"/>
      <w:r w:rsidRPr="009F6F59">
        <w:rPr>
          <w:rFonts w:ascii="Arial" w:eastAsia="Times New Roman" w:hAnsi="Arial" w:cs="Arial"/>
          <w:lang w:eastAsia="cs-CZ"/>
        </w:rPr>
        <w:t>Innovation</w:t>
      </w:r>
      <w:proofErr w:type="spellEnd"/>
      <w:r w:rsidRPr="009F6F59">
        <w:rPr>
          <w:rFonts w:ascii="Arial" w:eastAsia="Times New Roman" w:hAnsi="Arial" w:cs="Arial"/>
          <w:lang w:eastAsia="cs-CZ"/>
        </w:rPr>
        <w:t xml:space="preserve"> </w:t>
      </w:r>
      <w:proofErr w:type="spellStart"/>
      <w:r w:rsidRPr="009F6F59">
        <w:rPr>
          <w:rFonts w:ascii="Arial" w:eastAsia="Times New Roman" w:hAnsi="Arial" w:cs="Arial"/>
          <w:lang w:eastAsia="cs-CZ"/>
        </w:rPr>
        <w:t>Followers</w:t>
      </w:r>
      <w:proofErr w:type="spellEnd"/>
      <w:r w:rsidRPr="009F6F59">
        <w:rPr>
          <w:rFonts w:ascii="Arial" w:eastAsia="Times New Roman" w:hAnsi="Arial" w:cs="Arial"/>
          <w:lang w:eastAsia="cs-CZ"/>
        </w:rPr>
        <w:t xml:space="preserve">, </w:t>
      </w:r>
      <w:proofErr w:type="spellStart"/>
      <w:r w:rsidRPr="009F6F59">
        <w:rPr>
          <w:rFonts w:ascii="Arial" w:eastAsia="Times New Roman" w:hAnsi="Arial" w:cs="Arial"/>
          <w:lang w:eastAsia="cs-CZ"/>
        </w:rPr>
        <w:t>Moderate</w:t>
      </w:r>
      <w:proofErr w:type="spellEnd"/>
      <w:r w:rsidRPr="009F6F59">
        <w:rPr>
          <w:rFonts w:ascii="Arial" w:eastAsia="Times New Roman" w:hAnsi="Arial" w:cs="Arial"/>
          <w:lang w:eastAsia="cs-CZ"/>
        </w:rPr>
        <w:t xml:space="preserve"> </w:t>
      </w:r>
      <w:proofErr w:type="spellStart"/>
      <w:r w:rsidRPr="009F6F59">
        <w:rPr>
          <w:rFonts w:ascii="Arial" w:eastAsia="Times New Roman" w:hAnsi="Arial" w:cs="Arial"/>
          <w:lang w:eastAsia="cs-CZ"/>
        </w:rPr>
        <w:t>Innovators</w:t>
      </w:r>
      <w:proofErr w:type="spellEnd"/>
      <w:r w:rsidRPr="009F6F59">
        <w:rPr>
          <w:rFonts w:ascii="Arial" w:eastAsia="Times New Roman" w:hAnsi="Arial" w:cs="Arial"/>
          <w:lang w:eastAsia="cs-CZ"/>
        </w:rPr>
        <w:t xml:space="preserve">, </w:t>
      </w:r>
      <w:proofErr w:type="spellStart"/>
      <w:r w:rsidRPr="009F6F59">
        <w:rPr>
          <w:rFonts w:ascii="Arial" w:eastAsia="Times New Roman" w:hAnsi="Arial" w:cs="Arial"/>
          <w:lang w:eastAsia="cs-CZ"/>
        </w:rPr>
        <w:t>Modest</w:t>
      </w:r>
      <w:proofErr w:type="spellEnd"/>
      <w:r w:rsidRPr="009F6F59">
        <w:rPr>
          <w:rFonts w:ascii="Arial" w:eastAsia="Times New Roman" w:hAnsi="Arial" w:cs="Arial"/>
          <w:lang w:eastAsia="cs-CZ"/>
        </w:rPr>
        <w:t xml:space="preserve"> </w:t>
      </w:r>
      <w:proofErr w:type="spellStart"/>
      <w:r w:rsidRPr="009F6F59">
        <w:rPr>
          <w:rFonts w:ascii="Arial" w:eastAsia="Times New Roman" w:hAnsi="Arial" w:cs="Arial"/>
          <w:lang w:eastAsia="cs-CZ"/>
        </w:rPr>
        <w:t>Innovators</w:t>
      </w:r>
      <w:proofErr w:type="spellEnd"/>
      <w:r w:rsidRPr="009F6F59">
        <w:rPr>
          <w:rFonts w:ascii="Arial" w:eastAsia="Times New Roman" w:hAnsi="Arial" w:cs="Arial"/>
          <w:lang w:eastAsia="cs-CZ"/>
        </w:rPr>
        <w:t>.</w:t>
      </w:r>
      <w:r w:rsidR="009F6F59" w:rsidRPr="009F6F59">
        <w:rPr>
          <w:rFonts w:ascii="Arial" w:eastAsia="Times New Roman" w:hAnsi="Arial" w:cs="Arial"/>
          <w:lang w:eastAsia="cs-CZ"/>
        </w:rPr>
        <w:t xml:space="preserve"> </w:t>
      </w:r>
      <w:r w:rsidRPr="009F6F59">
        <w:rPr>
          <w:rFonts w:ascii="Arial" w:eastAsia="Times New Roman" w:hAnsi="Arial" w:cs="Arial"/>
          <w:lang w:eastAsia="cs-CZ"/>
        </w:rPr>
        <w:t xml:space="preserve">ČR je </w:t>
      </w:r>
      <w:r w:rsidR="00271B9E">
        <w:rPr>
          <w:rFonts w:ascii="Arial" w:eastAsia="Times New Roman" w:hAnsi="Arial" w:cs="Arial"/>
          <w:lang w:eastAsia="cs-CZ"/>
        </w:rPr>
        <w:t>za</w:t>
      </w:r>
      <w:r w:rsidRPr="009F6F59">
        <w:rPr>
          <w:rFonts w:ascii="Arial" w:eastAsia="Times New Roman" w:hAnsi="Arial" w:cs="Arial"/>
          <w:lang w:eastAsia="cs-CZ"/>
        </w:rPr>
        <w:t xml:space="preserve">řazena pouze </w:t>
      </w:r>
      <w:r w:rsidR="00271B9E">
        <w:rPr>
          <w:rFonts w:ascii="Arial" w:eastAsia="Times New Roman" w:hAnsi="Arial" w:cs="Arial"/>
          <w:lang w:eastAsia="cs-CZ"/>
        </w:rPr>
        <w:t>v</w:t>
      </w:r>
      <w:r w:rsidRPr="009F6F59">
        <w:rPr>
          <w:rFonts w:ascii="Arial" w:eastAsia="Times New Roman" w:hAnsi="Arial" w:cs="Arial"/>
          <w:lang w:eastAsia="cs-CZ"/>
        </w:rPr>
        <w:t>e skupině „</w:t>
      </w:r>
      <w:proofErr w:type="spellStart"/>
      <w:r w:rsidRPr="009F6F59">
        <w:rPr>
          <w:rFonts w:ascii="Arial" w:eastAsia="Times New Roman" w:hAnsi="Arial" w:cs="Arial"/>
          <w:lang w:eastAsia="cs-CZ"/>
        </w:rPr>
        <w:t>Moderate</w:t>
      </w:r>
      <w:proofErr w:type="spellEnd"/>
      <w:r w:rsidRPr="009F6F59">
        <w:rPr>
          <w:rFonts w:ascii="Arial" w:eastAsia="Times New Roman" w:hAnsi="Arial" w:cs="Arial"/>
          <w:lang w:eastAsia="cs-CZ"/>
        </w:rPr>
        <w:t xml:space="preserve"> </w:t>
      </w:r>
      <w:proofErr w:type="spellStart"/>
      <w:r w:rsidRPr="009F6F59">
        <w:rPr>
          <w:rFonts w:ascii="Arial" w:eastAsia="Times New Roman" w:hAnsi="Arial" w:cs="Arial"/>
          <w:lang w:eastAsia="cs-CZ"/>
        </w:rPr>
        <w:t>Innovators</w:t>
      </w:r>
      <w:proofErr w:type="spellEnd"/>
      <w:r w:rsidRPr="009F6F59">
        <w:rPr>
          <w:rFonts w:ascii="Arial" w:eastAsia="Times New Roman" w:hAnsi="Arial" w:cs="Arial"/>
          <w:lang w:eastAsia="cs-CZ"/>
        </w:rPr>
        <w:t>“. ČR je na srovnatelné úrovni se Španělskem nebo Itálií, výrazně zaostává za Švédskem, Německem, Dánskem, Holandskem, Belgií nebo Rakouskem.</w:t>
      </w:r>
      <w:r w:rsidR="009F6F59" w:rsidRPr="009F6F59">
        <w:rPr>
          <w:rFonts w:ascii="Arial" w:eastAsia="Times New Roman" w:hAnsi="Arial" w:cs="Arial"/>
          <w:lang w:eastAsia="cs-CZ"/>
        </w:rPr>
        <w:t xml:space="preserve"> </w:t>
      </w:r>
      <w:r w:rsidRPr="009F6F59">
        <w:rPr>
          <w:rFonts w:ascii="Arial" w:eastAsia="Times New Roman" w:hAnsi="Arial" w:cs="Arial"/>
          <w:lang w:eastAsia="cs-CZ"/>
        </w:rPr>
        <w:t>Na základě meziročního vývoje nelze očekávat výrazné zlepšení pozice ČR a případný posun do vyšší skupiny „</w:t>
      </w:r>
      <w:proofErr w:type="spellStart"/>
      <w:r w:rsidRPr="009F6F59">
        <w:rPr>
          <w:rFonts w:ascii="Arial" w:eastAsia="Times New Roman" w:hAnsi="Arial" w:cs="Arial"/>
          <w:lang w:eastAsia="cs-CZ"/>
        </w:rPr>
        <w:t>Innovation</w:t>
      </w:r>
      <w:proofErr w:type="spellEnd"/>
      <w:r w:rsidRPr="009F6F59">
        <w:rPr>
          <w:rFonts w:ascii="Arial" w:eastAsia="Times New Roman" w:hAnsi="Arial" w:cs="Arial"/>
          <w:lang w:eastAsia="cs-CZ"/>
        </w:rPr>
        <w:t xml:space="preserve"> </w:t>
      </w:r>
      <w:proofErr w:type="spellStart"/>
      <w:r w:rsidRPr="009F6F59">
        <w:rPr>
          <w:rFonts w:ascii="Arial" w:eastAsia="Times New Roman" w:hAnsi="Arial" w:cs="Arial"/>
          <w:lang w:eastAsia="cs-CZ"/>
        </w:rPr>
        <w:t>Followers</w:t>
      </w:r>
      <w:proofErr w:type="spellEnd"/>
      <w:r w:rsidRPr="009F6F59">
        <w:rPr>
          <w:rFonts w:ascii="Arial" w:eastAsia="Times New Roman" w:hAnsi="Arial" w:cs="Arial"/>
          <w:lang w:eastAsia="cs-CZ"/>
        </w:rPr>
        <w:t>“, např. na úroveň Rakouska.</w:t>
      </w:r>
    </w:p>
    <w:p w:rsidR="00350176" w:rsidRP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8E7BFB">
        <w:rPr>
          <w:rFonts w:ascii="Arial" w:eastAsia="Times New Roman" w:hAnsi="Arial" w:cs="Arial"/>
          <w:lang w:eastAsia="cs-CZ"/>
        </w:rPr>
        <w:lastRenderedPageBreak/>
        <w:t xml:space="preserve">ČR </w:t>
      </w:r>
      <w:r>
        <w:rPr>
          <w:rFonts w:ascii="Arial" w:eastAsia="Times New Roman" w:hAnsi="Arial" w:cs="Arial"/>
          <w:lang w:eastAsia="cs-CZ"/>
        </w:rPr>
        <w:t xml:space="preserve">zaostává za Rakouskem </w:t>
      </w:r>
      <w:r w:rsidRPr="008E7BFB">
        <w:rPr>
          <w:rFonts w:ascii="Arial" w:eastAsia="Times New Roman" w:hAnsi="Arial" w:cs="Arial"/>
          <w:lang w:eastAsia="cs-CZ"/>
        </w:rPr>
        <w:t>zejména v </w:t>
      </w:r>
      <w:r>
        <w:rPr>
          <w:rFonts w:ascii="Arial" w:eastAsia="Times New Roman" w:hAnsi="Arial" w:cs="Arial"/>
          <w:lang w:eastAsia="cs-CZ"/>
        </w:rPr>
        <w:t>investicích</w:t>
      </w:r>
      <w:r w:rsidRPr="008E7BFB">
        <w:rPr>
          <w:rFonts w:ascii="Arial" w:eastAsia="Times New Roman" w:hAnsi="Arial" w:cs="Arial"/>
          <w:lang w:eastAsia="cs-CZ"/>
        </w:rPr>
        <w:t xml:space="preserve"> rizikového kapitálu (výraznější</w:t>
      </w:r>
      <w:r w:rsidR="00083A27">
        <w:rPr>
          <w:rFonts w:ascii="Arial" w:eastAsia="Times New Roman" w:hAnsi="Arial" w:cs="Arial"/>
          <w:lang w:eastAsia="cs-CZ"/>
        </w:rPr>
        <w:t xml:space="preserve"> meziroční</w:t>
      </w:r>
      <w:r w:rsidRPr="008E7BFB">
        <w:rPr>
          <w:rFonts w:ascii="Arial" w:eastAsia="Times New Roman" w:hAnsi="Arial" w:cs="Arial"/>
          <w:lang w:eastAsia="cs-CZ"/>
        </w:rPr>
        <w:t xml:space="preserve"> pokles než v Rakousku), počtu mezinárodních patentů a spoluprác</w:t>
      </w:r>
      <w:r>
        <w:rPr>
          <w:rFonts w:ascii="Arial" w:eastAsia="Times New Roman" w:hAnsi="Arial" w:cs="Arial"/>
          <w:lang w:eastAsia="cs-CZ"/>
        </w:rPr>
        <w:t>i</w:t>
      </w:r>
      <w:r w:rsidRPr="008E7BFB">
        <w:rPr>
          <w:rFonts w:ascii="Arial" w:eastAsia="Times New Roman" w:hAnsi="Arial" w:cs="Arial"/>
          <w:lang w:eastAsia="cs-CZ"/>
        </w:rPr>
        <w:t xml:space="preserve"> mezi inovujícími </w:t>
      </w:r>
      <w:r w:rsidR="00271B9E">
        <w:rPr>
          <w:rFonts w:ascii="Arial" w:eastAsia="Times New Roman" w:hAnsi="Arial" w:cs="Arial"/>
          <w:lang w:eastAsia="cs-CZ"/>
        </w:rPr>
        <w:t>MSP</w:t>
      </w:r>
      <w:r w:rsidRPr="008E7BFB">
        <w:rPr>
          <w:rFonts w:ascii="Arial" w:eastAsia="Times New Roman" w:hAnsi="Arial" w:cs="Arial"/>
          <w:lang w:eastAsia="cs-CZ"/>
        </w:rPr>
        <w:t xml:space="preserve"> (v ČR pokles, v Rakousku nárůst). Výdaje na VaVaI (jak veřejné, tak podnikatelské) naopak rostou rychleji</w:t>
      </w:r>
      <w:r w:rsidRPr="006B6CDE">
        <w:rPr>
          <w:rFonts w:ascii="Arial" w:eastAsia="Times New Roman" w:hAnsi="Arial" w:cs="Arial"/>
          <w:lang w:eastAsia="cs-CZ"/>
        </w:rPr>
        <w:t xml:space="preserve"> </w:t>
      </w:r>
      <w:r w:rsidRPr="008E7BFB">
        <w:rPr>
          <w:rFonts w:ascii="Arial" w:eastAsia="Times New Roman" w:hAnsi="Arial" w:cs="Arial"/>
          <w:lang w:eastAsia="cs-CZ"/>
        </w:rPr>
        <w:t>v ČR.</w:t>
      </w:r>
    </w:p>
    <w:p w:rsidR="00350176" w:rsidRP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350176">
        <w:rPr>
          <w:rFonts w:ascii="Arial" w:eastAsia="Times New Roman" w:hAnsi="Arial" w:cs="Arial"/>
          <w:lang w:eastAsia="cs-CZ"/>
        </w:rPr>
        <w:t xml:space="preserve">Rovněž dle indikátoru IOI ČR dosahuje o třetinu až polovinu nižších hodnot než země, které se pravidelně umisťují na předních místech žebříčků inovativnosti či konkurenceschopnosti. </w:t>
      </w:r>
    </w:p>
    <w:p w:rsidR="00350176" w:rsidRPr="00350176" w:rsidRDefault="002A09E8"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Z</w:t>
      </w:r>
      <w:r w:rsidR="00350176" w:rsidRPr="00350176">
        <w:rPr>
          <w:rFonts w:ascii="Arial" w:eastAsia="Times New Roman" w:hAnsi="Arial" w:cs="Arial"/>
          <w:lang w:eastAsia="cs-CZ"/>
        </w:rPr>
        <w:t xml:space="preserve"> dílčích indikátorů IOI ČR překonává evropský průměr i úroveň Rakouska v inovativnosti rychle rostoucích podniků a ve vývozu </w:t>
      </w:r>
      <w:proofErr w:type="spellStart"/>
      <w:r w:rsidR="00350176" w:rsidRPr="00350176">
        <w:rPr>
          <w:rFonts w:ascii="Arial" w:eastAsia="Times New Roman" w:hAnsi="Arial" w:cs="Arial"/>
          <w:lang w:eastAsia="cs-CZ"/>
        </w:rPr>
        <w:t>high-tech</w:t>
      </w:r>
      <w:proofErr w:type="spellEnd"/>
      <w:r w:rsidR="00350176" w:rsidRPr="00350176">
        <w:rPr>
          <w:rFonts w:ascii="Arial" w:eastAsia="Times New Roman" w:hAnsi="Arial" w:cs="Arial"/>
          <w:lang w:eastAsia="cs-CZ"/>
        </w:rPr>
        <w:t xml:space="preserve"> a medium-</w:t>
      </w:r>
      <w:proofErr w:type="spellStart"/>
      <w:r w:rsidR="00350176" w:rsidRPr="00350176">
        <w:rPr>
          <w:rFonts w:ascii="Arial" w:eastAsia="Times New Roman" w:hAnsi="Arial" w:cs="Arial"/>
          <w:lang w:eastAsia="cs-CZ"/>
        </w:rPr>
        <w:t>tech</w:t>
      </w:r>
      <w:proofErr w:type="spellEnd"/>
      <w:r w:rsidR="00350176" w:rsidRPr="00350176">
        <w:rPr>
          <w:rFonts w:ascii="Arial" w:eastAsia="Times New Roman" w:hAnsi="Arial" w:cs="Arial"/>
          <w:lang w:eastAsia="cs-CZ"/>
        </w:rPr>
        <w:t xml:space="preserve"> zboží. ČR naopak nejvýrazněji ztrácí v počtu mezinárodních patentových přihlášek.</w:t>
      </w:r>
    </w:p>
    <w:p w:rsidR="00350176" w:rsidRDefault="00350176" w:rsidP="00D93393">
      <w:pPr>
        <w:spacing w:after="0" w:line="360" w:lineRule="auto"/>
        <w:ind w:firstLine="357"/>
        <w:jc w:val="both"/>
        <w:rPr>
          <w:rFonts w:ascii="Arial" w:eastAsia="Times New Roman" w:hAnsi="Arial" w:cs="Arial"/>
          <w:b/>
          <w:lang w:eastAsia="cs-CZ"/>
        </w:rPr>
      </w:pPr>
      <w:r>
        <w:rPr>
          <w:rFonts w:ascii="Arial" w:eastAsia="Times New Roman" w:hAnsi="Arial" w:cs="Arial"/>
          <w:b/>
          <w:lang w:eastAsia="cs-CZ"/>
        </w:rPr>
        <w:t xml:space="preserve">Kapitola </w:t>
      </w:r>
      <w:r w:rsidRPr="00350176">
        <w:rPr>
          <w:rFonts w:ascii="Arial" w:eastAsia="Times New Roman" w:hAnsi="Arial" w:cs="Arial"/>
          <w:b/>
          <w:lang w:eastAsia="cs-CZ"/>
        </w:rPr>
        <w:t>Odvětví národního hospodářství ve vazbě na VaVaI</w:t>
      </w:r>
      <w:r w:rsidR="00EB3508">
        <w:rPr>
          <w:rFonts w:ascii="Arial" w:eastAsia="Times New Roman" w:hAnsi="Arial" w:cs="Arial"/>
          <w:b/>
          <w:lang w:eastAsia="cs-CZ"/>
        </w:rPr>
        <w:t>:</w:t>
      </w:r>
    </w:p>
    <w:p w:rsidR="00350176" w:rsidRP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350176">
        <w:rPr>
          <w:rFonts w:ascii="Arial" w:eastAsia="Times New Roman" w:hAnsi="Arial" w:cs="Arial"/>
          <w:lang w:eastAsia="cs-CZ"/>
        </w:rPr>
        <w:t>Ekonomiku ČR pohání podniky, které vyrábějí produkty s vysokou přidanou hodnotou, investující velký objem finančních prostředků do vlastního výzkumu, vývoje a inovací.</w:t>
      </w:r>
    </w:p>
    <w:p w:rsidR="00350176" w:rsidRP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350176">
        <w:rPr>
          <w:rFonts w:ascii="Arial" w:eastAsia="Times New Roman" w:hAnsi="Arial" w:cs="Arial"/>
          <w:lang w:eastAsia="cs-CZ"/>
        </w:rPr>
        <w:t>Jedním z nástrojů efektivního řízení oblasti VaV</w:t>
      </w:r>
      <w:r w:rsidR="00EC48D7">
        <w:rPr>
          <w:rFonts w:ascii="Arial" w:eastAsia="Times New Roman" w:hAnsi="Arial" w:cs="Arial"/>
          <w:lang w:eastAsia="cs-CZ"/>
        </w:rPr>
        <w:t>aI</w:t>
      </w:r>
      <w:r w:rsidRPr="00350176">
        <w:rPr>
          <w:rFonts w:ascii="Arial" w:eastAsia="Times New Roman" w:hAnsi="Arial" w:cs="Arial"/>
          <w:lang w:eastAsia="cs-CZ"/>
        </w:rPr>
        <w:t xml:space="preserve"> na národní a regionální úrovni by měla být </w:t>
      </w:r>
      <w:r w:rsidR="00301801">
        <w:rPr>
          <w:rFonts w:ascii="Arial" w:eastAsia="Times New Roman" w:hAnsi="Arial" w:cs="Arial"/>
          <w:lang w:eastAsia="cs-CZ"/>
        </w:rPr>
        <w:t>RIS 3</w:t>
      </w:r>
      <w:r w:rsidRPr="00350176">
        <w:rPr>
          <w:rFonts w:ascii="Arial" w:eastAsia="Times New Roman" w:hAnsi="Arial" w:cs="Arial"/>
          <w:lang w:eastAsia="cs-CZ"/>
        </w:rPr>
        <w:t>, jež má za cíl smysluplné zaměření finančních prostředků (evropských, národních a soukromých) na tyto účely.</w:t>
      </w:r>
    </w:p>
    <w:p w:rsidR="00350176" w:rsidRP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350176">
        <w:rPr>
          <w:rFonts w:ascii="Arial" w:eastAsia="Times New Roman" w:hAnsi="Arial" w:cs="Arial"/>
          <w:lang w:eastAsia="cs-CZ"/>
        </w:rPr>
        <w:t>Na základě příspěvku k HDP a intenzity výzkumu a vývoje měřeného vyna</w:t>
      </w:r>
      <w:r w:rsidR="002239EE">
        <w:rPr>
          <w:rFonts w:ascii="Arial" w:eastAsia="Times New Roman" w:hAnsi="Arial" w:cs="Arial"/>
          <w:lang w:eastAsia="cs-CZ"/>
        </w:rPr>
        <w:t>loženými finančními prostředky</w:t>
      </w:r>
      <w:r w:rsidRPr="00350176">
        <w:rPr>
          <w:rFonts w:ascii="Arial" w:eastAsia="Times New Roman" w:hAnsi="Arial" w:cs="Arial"/>
          <w:lang w:eastAsia="cs-CZ"/>
        </w:rPr>
        <w:t xml:space="preserve"> byla proto identifikována významná odvětví ekonomiky ČR. </w:t>
      </w:r>
    </w:p>
    <w:p w:rsidR="00350176" w:rsidRP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350176">
        <w:rPr>
          <w:rFonts w:ascii="Arial" w:eastAsia="Times New Roman" w:hAnsi="Arial" w:cs="Arial"/>
          <w:lang w:eastAsia="cs-CZ"/>
        </w:rPr>
        <w:t xml:space="preserve">Uvedená metoda však vykazuje jisté nedostatky: datový limit v souvislosti s využitím agregovaných dat, dále např. nezohlednění jiného významu subjektů kromě finančního, nezahrnutí nově vznikajících průmyslů založených na nejnovějších technologiích. </w:t>
      </w:r>
    </w:p>
    <w:p w:rsidR="00350176" w:rsidRPr="00350176" w:rsidRDefault="00083A27" w:rsidP="00D93393">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 xml:space="preserve">Navržení </w:t>
      </w:r>
      <w:r w:rsidR="00350176" w:rsidRPr="00350176">
        <w:rPr>
          <w:rFonts w:ascii="Arial" w:eastAsia="Times New Roman" w:hAnsi="Arial" w:cs="Arial"/>
          <w:lang w:eastAsia="cs-CZ"/>
        </w:rPr>
        <w:t>oborové finanční podpory podle analýzy, jež se omezuje pouze na známou strukturu účelové podpory, tak neodpovídá významu odvětví pro národní hospodářství.</w:t>
      </w:r>
    </w:p>
    <w:p w:rsidR="00350176" w:rsidRP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350176">
        <w:rPr>
          <w:rFonts w:ascii="Arial" w:eastAsia="Times New Roman" w:hAnsi="Arial" w:cs="Arial"/>
          <w:lang w:eastAsia="cs-CZ"/>
        </w:rPr>
        <w:t>Oborové zaměření institucionální podpory a zahraničních finančních zdrojů dosud nelze objektivně určit. Změna této situace je také jedním z cílů RIS 3 strategie.</w:t>
      </w:r>
    </w:p>
    <w:p w:rsidR="00350176" w:rsidRPr="00350176" w:rsidRDefault="00350176" w:rsidP="00D93393">
      <w:pPr>
        <w:pStyle w:val="Odstavecseseznamem"/>
        <w:numPr>
          <w:ilvl w:val="0"/>
          <w:numId w:val="18"/>
        </w:numPr>
        <w:spacing w:after="0" w:line="360" w:lineRule="auto"/>
        <w:jc w:val="both"/>
        <w:rPr>
          <w:rFonts w:ascii="Arial" w:eastAsia="Times New Roman" w:hAnsi="Arial" w:cs="Arial"/>
          <w:lang w:eastAsia="cs-CZ"/>
        </w:rPr>
      </w:pPr>
      <w:r w:rsidRPr="00350176">
        <w:rPr>
          <w:rFonts w:ascii="Arial" w:eastAsia="Times New Roman" w:hAnsi="Arial" w:cs="Arial"/>
          <w:lang w:eastAsia="cs-CZ"/>
        </w:rPr>
        <w:t>Úřad vlády</w:t>
      </w:r>
      <w:r w:rsidR="00CA5023">
        <w:rPr>
          <w:rFonts w:ascii="Arial" w:eastAsia="Times New Roman" w:hAnsi="Arial" w:cs="Arial"/>
          <w:lang w:eastAsia="cs-CZ"/>
        </w:rPr>
        <w:t xml:space="preserve"> v rámci</w:t>
      </w:r>
      <w:r w:rsidRPr="00350176">
        <w:rPr>
          <w:rFonts w:ascii="Arial" w:eastAsia="Times New Roman" w:hAnsi="Arial" w:cs="Arial"/>
          <w:lang w:eastAsia="cs-CZ"/>
        </w:rPr>
        <w:t xml:space="preserve"> Sekce VVI proto pilotně sestavil 10 sektorových platforem pro zjišťování sektorových priorit a trendů směřování jednotlivých odvětví při zohlednění výdajů na </w:t>
      </w:r>
      <w:proofErr w:type="spellStart"/>
      <w:r w:rsidRPr="00350176">
        <w:rPr>
          <w:rFonts w:ascii="Arial" w:eastAsia="Times New Roman" w:hAnsi="Arial" w:cs="Arial"/>
          <w:lang w:eastAsia="cs-CZ"/>
        </w:rPr>
        <w:t>VaV</w:t>
      </w:r>
      <w:proofErr w:type="spellEnd"/>
      <w:r w:rsidRPr="00350176">
        <w:rPr>
          <w:rFonts w:ascii="Arial" w:eastAsia="Times New Roman" w:hAnsi="Arial" w:cs="Arial"/>
          <w:lang w:eastAsia="cs-CZ"/>
        </w:rPr>
        <w:t xml:space="preserve"> v</w:t>
      </w:r>
      <w:r w:rsidR="00271B9E">
        <w:rPr>
          <w:rFonts w:ascii="Arial" w:eastAsia="Times New Roman" w:hAnsi="Arial" w:cs="Arial"/>
          <w:lang w:eastAsia="cs-CZ"/>
        </w:rPr>
        <w:t> </w:t>
      </w:r>
      <w:r w:rsidRPr="00350176">
        <w:rPr>
          <w:rFonts w:ascii="Arial" w:eastAsia="Times New Roman" w:hAnsi="Arial" w:cs="Arial"/>
          <w:lang w:eastAsia="cs-CZ"/>
        </w:rPr>
        <w:t>odvětvích podnikatelského sektoru a strategických vazeb a využívání nejnovějších technologií.</w:t>
      </w:r>
    </w:p>
    <w:p w:rsidR="00350176" w:rsidRDefault="00350176">
      <w:pPr>
        <w:rPr>
          <w:rFonts w:ascii="Arial" w:eastAsia="Times New Roman" w:hAnsi="Arial" w:cs="Arial"/>
          <w:b/>
          <w:lang w:eastAsia="cs-CZ"/>
        </w:rPr>
      </w:pPr>
      <w:r>
        <w:rPr>
          <w:rFonts w:ascii="Arial" w:eastAsia="Times New Roman" w:hAnsi="Arial" w:cs="Arial"/>
          <w:b/>
          <w:lang w:eastAsia="cs-CZ"/>
        </w:rPr>
        <w:br w:type="page"/>
      </w:r>
    </w:p>
    <w:p w:rsidR="00156F20" w:rsidRDefault="00156F20" w:rsidP="00956D00">
      <w:pPr>
        <w:pStyle w:val="Nadpis1"/>
      </w:pPr>
      <w:bookmarkStart w:id="1" w:name="_Toc427676892"/>
      <w:r>
        <w:lastRenderedPageBreak/>
        <w:t>VÝKLADOVÁ ČÁST</w:t>
      </w:r>
      <w:bookmarkEnd w:id="1"/>
    </w:p>
    <w:p w:rsidR="002B71BE" w:rsidRPr="000822A0" w:rsidRDefault="00350176" w:rsidP="00956D00">
      <w:pPr>
        <w:pStyle w:val="Nadpis2"/>
      </w:pPr>
      <w:bookmarkStart w:id="2" w:name="_Toc427676893"/>
      <w:r w:rsidRPr="00350176">
        <w:rPr>
          <w:color w:val="365F91" w:themeColor="accent1" w:themeShade="BF"/>
          <w:sz w:val="28"/>
          <w:szCs w:val="28"/>
          <w:lang w:eastAsia="cs-CZ"/>
        </w:rPr>
        <w:t>1.</w:t>
      </w:r>
      <w:r>
        <w:t xml:space="preserve"> </w:t>
      </w:r>
      <w:r w:rsidR="002B71BE">
        <w:t>Finanční toky</w:t>
      </w:r>
      <w:bookmarkEnd w:id="2"/>
    </w:p>
    <w:p w:rsidR="000822A0" w:rsidRDefault="00F1475C" w:rsidP="00E03AF6">
      <w:pPr>
        <w:spacing w:after="0" w:line="360" w:lineRule="auto"/>
        <w:ind w:firstLine="709"/>
        <w:jc w:val="both"/>
        <w:rPr>
          <w:rFonts w:ascii="Arial" w:eastAsia="Times New Roman" w:hAnsi="Arial" w:cs="Arial"/>
          <w:lang w:eastAsia="cs-CZ"/>
        </w:rPr>
      </w:pPr>
      <w:r>
        <w:rPr>
          <w:rFonts w:ascii="Arial" w:eastAsia="Times New Roman" w:hAnsi="Arial" w:cs="Arial"/>
          <w:lang w:eastAsia="cs-CZ"/>
        </w:rPr>
        <w:t xml:space="preserve">Celkové výdaje na VaVaI </w:t>
      </w:r>
      <w:r w:rsidR="000822A0" w:rsidRPr="0053104B">
        <w:rPr>
          <w:rFonts w:ascii="Arial" w:eastAsia="Times New Roman" w:hAnsi="Arial" w:cs="Arial"/>
          <w:lang w:eastAsia="cs-CZ"/>
        </w:rPr>
        <w:t>v ČR v roce 2013 činily bezmála 78 mld. Kč (obr</w:t>
      </w:r>
      <w:r w:rsidR="00D36A6E">
        <w:rPr>
          <w:rFonts w:ascii="Arial" w:eastAsia="Times New Roman" w:hAnsi="Arial" w:cs="Arial"/>
          <w:lang w:eastAsia="cs-CZ"/>
        </w:rPr>
        <w:t>ázek</w:t>
      </w:r>
      <w:r w:rsidR="000822A0" w:rsidRPr="0053104B">
        <w:rPr>
          <w:rFonts w:ascii="Arial" w:eastAsia="Times New Roman" w:hAnsi="Arial" w:cs="Arial"/>
          <w:lang w:eastAsia="cs-CZ"/>
        </w:rPr>
        <w:t xml:space="preserve"> 1</w:t>
      </w:r>
      <w:r w:rsidR="0083134A">
        <w:rPr>
          <w:rFonts w:ascii="Arial" w:eastAsia="Times New Roman" w:hAnsi="Arial" w:cs="Arial"/>
          <w:lang w:eastAsia="cs-CZ"/>
        </w:rPr>
        <w:t>.1</w:t>
      </w:r>
      <w:r w:rsidR="000822A0" w:rsidRPr="0053104B">
        <w:rPr>
          <w:rFonts w:ascii="Arial" w:eastAsia="Times New Roman" w:hAnsi="Arial" w:cs="Arial"/>
          <w:lang w:eastAsia="cs-CZ"/>
        </w:rPr>
        <w:t>). Oproti roku 2012 došlo k meziročnímu nárůstu o 7,6 %. Nárůst byl zapříčiněn zejména růstem zahraničních (12,7 %)</w:t>
      </w:r>
      <w:r w:rsidR="00EC48D7">
        <w:rPr>
          <w:rFonts w:ascii="Arial" w:eastAsia="Times New Roman" w:hAnsi="Arial" w:cs="Arial"/>
          <w:lang w:eastAsia="cs-CZ"/>
        </w:rPr>
        <w:t xml:space="preserve"> a</w:t>
      </w:r>
      <w:r w:rsidR="000822A0" w:rsidRPr="0053104B">
        <w:rPr>
          <w:rFonts w:ascii="Arial" w:eastAsia="Times New Roman" w:hAnsi="Arial" w:cs="Arial"/>
          <w:lang w:eastAsia="cs-CZ"/>
        </w:rPr>
        <w:t xml:space="preserve"> podnikatelských (11,2 %) zdrojů, tuzemské veřejné zdroje narostly pouze o 1,4 %. V poměru k</w:t>
      </w:r>
      <w:r>
        <w:rPr>
          <w:rFonts w:ascii="Arial" w:eastAsia="Times New Roman" w:hAnsi="Arial" w:cs="Arial"/>
          <w:lang w:eastAsia="cs-CZ"/>
        </w:rPr>
        <w:t> hrubému domácímu produktu</w:t>
      </w:r>
      <w:r w:rsidR="000822A0" w:rsidRPr="0053104B">
        <w:rPr>
          <w:rFonts w:ascii="Arial" w:eastAsia="Times New Roman" w:hAnsi="Arial" w:cs="Arial"/>
          <w:lang w:eastAsia="cs-CZ"/>
        </w:rPr>
        <w:t xml:space="preserve"> představovaly celkové výdaje na VaVaI v roce 2013 1,91 %, což je hodnota téměř odpovídající roku 2012 (1,88 %). Intenzita růstu z předchozích let tedy poklesla.</w:t>
      </w:r>
    </w:p>
    <w:p w:rsidR="00D80689" w:rsidRPr="000822A0" w:rsidRDefault="00D80689" w:rsidP="00D80689">
      <w:pPr>
        <w:pStyle w:val="Obrzek-nadpis"/>
      </w:pPr>
      <w:r w:rsidRPr="000822A0">
        <w:t>Obr. 1</w:t>
      </w:r>
      <w:r>
        <w:t>.1</w:t>
      </w:r>
      <w:r w:rsidR="00F1475C">
        <w:t>: Celkové výdaje na VaVaI (GERD)</w:t>
      </w:r>
      <w:r w:rsidRPr="000822A0">
        <w:t xml:space="preserve"> v ČR v letech 2000 – 2013 podle zdrojů financování (v běžných cenách)</w:t>
      </w:r>
    </w:p>
    <w:p w:rsidR="00D80689" w:rsidRPr="000822A0" w:rsidRDefault="00D80689" w:rsidP="00D80689">
      <w:pPr>
        <w:spacing w:after="240" w:line="240" w:lineRule="auto"/>
        <w:jc w:val="center"/>
        <w:rPr>
          <w:rFonts w:ascii="Times New Roman" w:eastAsia="Times New Roman" w:hAnsi="Times New Roman" w:cs="Times New Roman"/>
          <w:b/>
          <w:sz w:val="24"/>
          <w:szCs w:val="24"/>
          <w:lang w:eastAsia="cs-CZ"/>
        </w:rPr>
      </w:pPr>
      <w:r w:rsidRPr="000822A0">
        <w:rPr>
          <w:rFonts w:ascii="Times New Roman" w:eastAsia="Times New Roman" w:hAnsi="Times New Roman" w:cs="Times New Roman"/>
          <w:noProof/>
          <w:sz w:val="24"/>
          <w:szCs w:val="24"/>
          <w:lang w:eastAsia="cs-CZ"/>
        </w:rPr>
        <w:drawing>
          <wp:inline distT="0" distB="0" distL="0" distR="0" wp14:anchorId="4297DE77" wp14:editId="573E5CF0">
            <wp:extent cx="3744000" cy="2160000"/>
            <wp:effectExtent l="19050" t="19050" r="27940" b="1206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44000" cy="2160000"/>
                    </a:xfrm>
                    <a:prstGeom prst="rect">
                      <a:avLst/>
                    </a:prstGeom>
                    <a:noFill/>
                    <a:ln>
                      <a:solidFill>
                        <a:sysClr val="windowText" lastClr="000000"/>
                      </a:solidFill>
                    </a:ln>
                  </pic:spPr>
                </pic:pic>
              </a:graphicData>
            </a:graphic>
          </wp:inline>
        </w:drawing>
      </w:r>
    </w:p>
    <w:p w:rsidR="00D80689" w:rsidRPr="000822A0" w:rsidRDefault="00D80689" w:rsidP="00D80689">
      <w:pPr>
        <w:pStyle w:val="Zdroj"/>
      </w:pPr>
      <w:r w:rsidRPr="000822A0">
        <w:t>Zdroj dat: ČSÚ</w:t>
      </w:r>
    </w:p>
    <w:p w:rsidR="000822A0" w:rsidRPr="0053104B" w:rsidRDefault="000822A0" w:rsidP="008E7BFB">
      <w:pPr>
        <w:spacing w:after="0" w:line="360" w:lineRule="auto"/>
        <w:ind w:firstLine="708"/>
        <w:jc w:val="both"/>
        <w:rPr>
          <w:rFonts w:ascii="Arial" w:eastAsia="Times New Roman" w:hAnsi="Arial" w:cs="Arial"/>
          <w:lang w:eastAsia="cs-CZ"/>
        </w:rPr>
      </w:pPr>
      <w:r w:rsidRPr="0053104B">
        <w:rPr>
          <w:rFonts w:ascii="Arial" w:eastAsia="Times New Roman" w:hAnsi="Arial" w:cs="Arial"/>
          <w:lang w:eastAsia="cs-CZ"/>
        </w:rPr>
        <w:t>Vývoj jednotlivých složek GERD podle zdrojů jejich financování v čase je patrný z obr</w:t>
      </w:r>
      <w:r w:rsidR="00D36A6E">
        <w:rPr>
          <w:rFonts w:ascii="Arial" w:eastAsia="Times New Roman" w:hAnsi="Arial" w:cs="Arial"/>
          <w:lang w:eastAsia="cs-CZ"/>
        </w:rPr>
        <w:t>ázku</w:t>
      </w:r>
      <w:r w:rsidRPr="0053104B">
        <w:rPr>
          <w:rFonts w:ascii="Arial" w:eastAsia="Times New Roman" w:hAnsi="Arial" w:cs="Arial"/>
          <w:lang w:eastAsia="cs-CZ"/>
        </w:rPr>
        <w:t xml:space="preserve"> </w:t>
      </w:r>
      <w:r w:rsidR="0083134A">
        <w:rPr>
          <w:rFonts w:ascii="Arial" w:eastAsia="Times New Roman" w:hAnsi="Arial" w:cs="Arial"/>
          <w:lang w:eastAsia="cs-CZ"/>
        </w:rPr>
        <w:t>1.</w:t>
      </w:r>
      <w:r w:rsidRPr="0053104B">
        <w:rPr>
          <w:rFonts w:ascii="Arial" w:eastAsia="Times New Roman" w:hAnsi="Arial" w:cs="Arial"/>
          <w:lang w:eastAsia="cs-CZ"/>
        </w:rPr>
        <w:t>2. Veřejné domácí zdroje vykazovaly rostoucí trend od roku 2002, kdy nabyl účinnosti zákon o</w:t>
      </w:r>
      <w:r w:rsidR="00271B9E">
        <w:rPr>
          <w:rFonts w:ascii="Arial" w:eastAsia="Times New Roman" w:hAnsi="Arial" w:cs="Arial"/>
          <w:lang w:eastAsia="cs-CZ"/>
        </w:rPr>
        <w:t> </w:t>
      </w:r>
      <w:r w:rsidRPr="0053104B">
        <w:rPr>
          <w:rFonts w:ascii="Arial" w:eastAsia="Times New Roman" w:hAnsi="Arial" w:cs="Arial"/>
          <w:lang w:eastAsia="cs-CZ"/>
        </w:rPr>
        <w:t>podpoře výzkumu, experimentálního vývoje a inovací. V posledních dvou letech je však patrná stagnace na hodnotách kolem 0,7 % HDP. Tuzemské podnikatelské zdroje mírně rostly v období do roku 2008. Následně došlo k jejich prudkému poklesu, pravděpodobně v reakci na globální ekonomickou krizi. Od roku 2010 je však patrný meziroční nárůst, který znamenal převýšení hodnoty z roku 2008. Zahraniční soukromé výdaje od roku 2007 trvale mírně meziročně rostou. V posledních pěti letech jsou velmi významným zdrojem prostředků na VaVaI zahraniční veřejné finance, zejména z</w:t>
      </w:r>
      <w:r w:rsidR="00E54BB7">
        <w:rPr>
          <w:rFonts w:ascii="Arial" w:eastAsia="Times New Roman" w:hAnsi="Arial" w:cs="Arial"/>
          <w:lang w:eastAsia="cs-CZ"/>
        </w:rPr>
        <w:t>e</w:t>
      </w:r>
      <w:r w:rsidR="00F54E2A">
        <w:rPr>
          <w:rFonts w:ascii="Arial" w:eastAsia="Times New Roman" w:hAnsi="Arial" w:cs="Arial"/>
          <w:lang w:eastAsia="cs-CZ"/>
        </w:rPr>
        <w:t xml:space="preserve"> strukturálních fondů EU</w:t>
      </w:r>
      <w:r w:rsidRPr="0053104B">
        <w:rPr>
          <w:rFonts w:ascii="Arial" w:eastAsia="Times New Roman" w:hAnsi="Arial" w:cs="Arial"/>
          <w:lang w:eastAsia="cs-CZ"/>
        </w:rPr>
        <w:t>. Z obr</w:t>
      </w:r>
      <w:r w:rsidR="00D36A6E">
        <w:rPr>
          <w:rFonts w:ascii="Arial" w:eastAsia="Times New Roman" w:hAnsi="Arial" w:cs="Arial"/>
          <w:lang w:eastAsia="cs-CZ"/>
        </w:rPr>
        <w:t>ázku</w:t>
      </w:r>
      <w:r w:rsidRPr="0053104B">
        <w:rPr>
          <w:rFonts w:ascii="Arial" w:eastAsia="Times New Roman" w:hAnsi="Arial" w:cs="Arial"/>
          <w:lang w:eastAsia="cs-CZ"/>
        </w:rPr>
        <w:t xml:space="preserve"> </w:t>
      </w:r>
      <w:r w:rsidR="003F5D8D">
        <w:rPr>
          <w:rFonts w:ascii="Arial" w:eastAsia="Times New Roman" w:hAnsi="Arial" w:cs="Arial"/>
          <w:lang w:eastAsia="cs-CZ"/>
        </w:rPr>
        <w:t>1.</w:t>
      </w:r>
      <w:r w:rsidRPr="0053104B">
        <w:rPr>
          <w:rFonts w:ascii="Arial" w:eastAsia="Times New Roman" w:hAnsi="Arial" w:cs="Arial"/>
          <w:lang w:eastAsia="cs-CZ"/>
        </w:rPr>
        <w:t>2 je patrný jejich prudký nárůst mezi roky 2010, 2011 a 2012 až na hodnotu 0,30 % HDP. V roce 2013 již nárůst nebyl tak markantní (0,31 % HDP). ČR si ve strategii Evropa 2020 vytyčila cíl každoroční investice veřejných prostředků do VaVaI na úrovni 1</w:t>
      </w:r>
      <w:r w:rsidR="003227BD">
        <w:rPr>
          <w:rFonts w:ascii="Arial" w:eastAsia="Times New Roman" w:hAnsi="Arial" w:cs="Arial"/>
          <w:lang w:eastAsia="cs-CZ"/>
        </w:rPr>
        <w:t> </w:t>
      </w:r>
      <w:r w:rsidRPr="0053104B">
        <w:rPr>
          <w:rFonts w:ascii="Arial" w:eastAsia="Times New Roman" w:hAnsi="Arial" w:cs="Arial"/>
          <w:lang w:eastAsia="cs-CZ"/>
        </w:rPr>
        <w:t>% HDP. Tento cíl je však v současnosti plněn pouze díky zahraničním veřejným prostředkům (zejména z</w:t>
      </w:r>
      <w:r w:rsidR="00E54BB7">
        <w:rPr>
          <w:rFonts w:ascii="Arial" w:eastAsia="Times New Roman" w:hAnsi="Arial" w:cs="Arial"/>
          <w:lang w:eastAsia="cs-CZ"/>
        </w:rPr>
        <w:t>e</w:t>
      </w:r>
      <w:r w:rsidRPr="0053104B">
        <w:rPr>
          <w:rFonts w:ascii="Arial" w:eastAsia="Times New Roman" w:hAnsi="Arial" w:cs="Arial"/>
          <w:lang w:eastAsia="cs-CZ"/>
        </w:rPr>
        <w:t> SF</w:t>
      </w:r>
      <w:r w:rsidR="00E54BB7">
        <w:rPr>
          <w:rFonts w:ascii="Arial" w:eastAsia="Times New Roman" w:hAnsi="Arial" w:cs="Arial"/>
          <w:lang w:eastAsia="cs-CZ"/>
        </w:rPr>
        <w:t xml:space="preserve"> EU</w:t>
      </w:r>
      <w:r w:rsidRPr="0053104B">
        <w:rPr>
          <w:rFonts w:ascii="Arial" w:eastAsia="Times New Roman" w:hAnsi="Arial" w:cs="Arial"/>
          <w:lang w:eastAsia="cs-CZ"/>
        </w:rPr>
        <w:t xml:space="preserve">), které tvoří v současnosti 0,3 % HDP. Výdaje pocházející z veřejných rozpočtů (státní rozpočet, rozpočty územních samosprávných celků) tvoří v současnosti pouze 0,7 % HDP. Proto je třeba připravit systém VaVaI, tj. zejména </w:t>
      </w:r>
      <w:r w:rsidRPr="0053104B">
        <w:rPr>
          <w:rFonts w:ascii="Arial" w:eastAsia="Times New Roman" w:hAnsi="Arial" w:cs="Arial"/>
          <w:lang w:eastAsia="cs-CZ"/>
        </w:rPr>
        <w:lastRenderedPageBreak/>
        <w:t>nastavit národní veřejné zdroje, na období po roce 2020, kdy finanční prostředky z ESIF nebudou k dispozici.</w:t>
      </w:r>
    </w:p>
    <w:p w:rsidR="00D80689" w:rsidRPr="000822A0" w:rsidRDefault="00D80689" w:rsidP="00D80689">
      <w:pPr>
        <w:pStyle w:val="Obrzek-nadpis"/>
      </w:pPr>
      <w:r w:rsidRPr="000822A0">
        <w:t xml:space="preserve">Obr. </w:t>
      </w:r>
      <w:r>
        <w:t>1.</w:t>
      </w:r>
      <w:r w:rsidRPr="000822A0">
        <w:t xml:space="preserve">2: Zdroje financování celkových výdajů </w:t>
      </w:r>
      <w:proofErr w:type="spellStart"/>
      <w:r w:rsidRPr="000822A0">
        <w:t>VaV</w:t>
      </w:r>
      <w:proofErr w:type="spellEnd"/>
      <w:r w:rsidRPr="000822A0">
        <w:t xml:space="preserve"> (GERD) v běžných cenách vyjádřené </w:t>
      </w:r>
      <w:r>
        <w:br/>
      </w:r>
      <w:r w:rsidRPr="000822A0">
        <w:t>jako % HDP</w:t>
      </w:r>
    </w:p>
    <w:p w:rsidR="00D80689" w:rsidRPr="000822A0" w:rsidRDefault="00D80689" w:rsidP="00D80689">
      <w:pPr>
        <w:spacing w:after="0" w:line="240" w:lineRule="auto"/>
        <w:jc w:val="center"/>
        <w:rPr>
          <w:rFonts w:ascii="Times New Roman" w:eastAsia="Times New Roman" w:hAnsi="Times New Roman" w:cs="Times New Roman"/>
          <w:i/>
          <w:sz w:val="24"/>
          <w:szCs w:val="24"/>
          <w:lang w:eastAsia="cs-CZ"/>
        </w:rPr>
      </w:pPr>
      <w:r w:rsidRPr="000822A0">
        <w:rPr>
          <w:rFonts w:ascii="Times New Roman" w:eastAsia="Times New Roman" w:hAnsi="Times New Roman" w:cs="Times New Roman"/>
          <w:noProof/>
          <w:sz w:val="24"/>
          <w:szCs w:val="24"/>
          <w:lang w:eastAsia="cs-CZ"/>
        </w:rPr>
        <w:drawing>
          <wp:inline distT="0" distB="0" distL="0" distR="0" wp14:anchorId="0E8037A3" wp14:editId="67E31086">
            <wp:extent cx="4936488" cy="2847975"/>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39356" cy="2849629"/>
                    </a:xfrm>
                    <a:prstGeom prst="rect">
                      <a:avLst/>
                    </a:prstGeom>
                    <a:noFill/>
                    <a:ln>
                      <a:noFill/>
                    </a:ln>
                  </pic:spPr>
                </pic:pic>
              </a:graphicData>
            </a:graphic>
          </wp:inline>
        </w:drawing>
      </w:r>
    </w:p>
    <w:p w:rsidR="00D80689" w:rsidRPr="000822A0" w:rsidRDefault="00D80689" w:rsidP="00D80689">
      <w:pPr>
        <w:pStyle w:val="Zdroj"/>
        <w:rPr>
          <w:rFonts w:ascii="Times New Roman" w:hAnsi="Times New Roman"/>
          <w:i w:val="0"/>
          <w:sz w:val="24"/>
        </w:rPr>
      </w:pPr>
      <w:r w:rsidRPr="000822A0">
        <w:t>Zdroj dat: ČSÚ</w:t>
      </w:r>
    </w:p>
    <w:p w:rsidR="000822A0" w:rsidRDefault="000822A0" w:rsidP="00FC6C7A">
      <w:pPr>
        <w:spacing w:after="0" w:line="360" w:lineRule="auto"/>
        <w:ind w:firstLine="709"/>
        <w:jc w:val="both"/>
        <w:rPr>
          <w:rFonts w:ascii="Arial" w:eastAsia="Times New Roman" w:hAnsi="Arial" w:cs="Arial"/>
          <w:lang w:eastAsia="cs-CZ"/>
        </w:rPr>
      </w:pPr>
      <w:r w:rsidRPr="0053104B">
        <w:rPr>
          <w:rFonts w:ascii="Arial" w:eastAsia="Times New Roman" w:hAnsi="Arial" w:cs="Arial"/>
          <w:lang w:eastAsia="cs-CZ"/>
        </w:rPr>
        <w:t>Ve srovnání s jinými zeměmi představuje ČR z hlediska celkových výdajů na VaVaI vyjádřených jako procento HDP evropský průměr (obr</w:t>
      </w:r>
      <w:r w:rsidR="00D36A6E">
        <w:rPr>
          <w:rFonts w:ascii="Arial" w:eastAsia="Times New Roman" w:hAnsi="Arial" w:cs="Arial"/>
          <w:lang w:eastAsia="cs-CZ"/>
        </w:rPr>
        <w:t>ázek</w:t>
      </w:r>
      <w:r w:rsidRPr="0053104B">
        <w:rPr>
          <w:rFonts w:ascii="Arial" w:eastAsia="Times New Roman" w:hAnsi="Arial" w:cs="Arial"/>
          <w:lang w:eastAsia="cs-CZ"/>
        </w:rPr>
        <w:t xml:space="preserve"> </w:t>
      </w:r>
      <w:r w:rsidR="003F5D8D">
        <w:rPr>
          <w:rFonts w:ascii="Arial" w:eastAsia="Times New Roman" w:hAnsi="Arial" w:cs="Arial"/>
          <w:lang w:eastAsia="cs-CZ"/>
        </w:rPr>
        <w:t>1.</w:t>
      </w:r>
      <w:r w:rsidRPr="0053104B">
        <w:rPr>
          <w:rFonts w:ascii="Arial" w:eastAsia="Times New Roman" w:hAnsi="Arial" w:cs="Arial"/>
          <w:lang w:eastAsia="cs-CZ"/>
        </w:rPr>
        <w:t>3). Ve skupině srovnatelné s ČR se</w:t>
      </w:r>
      <w:r w:rsidR="00271B9E">
        <w:rPr>
          <w:rFonts w:ascii="Arial" w:eastAsia="Times New Roman" w:hAnsi="Arial" w:cs="Arial"/>
          <w:lang w:eastAsia="cs-CZ"/>
        </w:rPr>
        <w:t> </w:t>
      </w:r>
      <w:r w:rsidRPr="0053104B">
        <w:rPr>
          <w:rFonts w:ascii="Arial" w:eastAsia="Times New Roman" w:hAnsi="Arial" w:cs="Arial"/>
          <w:lang w:eastAsia="cs-CZ"/>
        </w:rPr>
        <w:t>nacházejí rovněž státy se silnou ekonomikou, jako je Holandsko, Belgie, Francie. ČR dokonce předčila Velkou Británii, Norsko či Irsko. Státy, jako je Polsko, Slovensko, ale také Španělsko a</w:t>
      </w:r>
      <w:r w:rsidR="00271B9E">
        <w:rPr>
          <w:rFonts w:ascii="Arial" w:eastAsia="Times New Roman" w:hAnsi="Arial" w:cs="Arial"/>
          <w:lang w:eastAsia="cs-CZ"/>
        </w:rPr>
        <w:t> </w:t>
      </w:r>
      <w:r w:rsidRPr="0053104B">
        <w:rPr>
          <w:rFonts w:ascii="Arial" w:eastAsia="Times New Roman" w:hAnsi="Arial" w:cs="Arial"/>
          <w:lang w:eastAsia="cs-CZ"/>
        </w:rPr>
        <w:t>Itálie, za ČR výrazně zaostávají. Mezi evropské státy, které podporují VaVaI výrazně více než ČR (kolem 3 % HDP), patří Německo, Švýcarsko, Rakousko, Dánsko, Finsko a Švédsko. Podobnou úroveň podpory vykazují také USA a Japonsko. Pokud jde o trend celkové podpory VaVaI v zahraničí, u většiny států silně podporujících VaVaI (s výjimkou Švédska) je rostoucí.</w:t>
      </w:r>
    </w:p>
    <w:p w:rsidR="00D80689" w:rsidRDefault="00D80689" w:rsidP="00FC6C7A">
      <w:pPr>
        <w:spacing w:after="0" w:line="360" w:lineRule="auto"/>
        <w:ind w:firstLine="709"/>
        <w:jc w:val="both"/>
        <w:rPr>
          <w:rFonts w:ascii="Arial" w:eastAsia="Times New Roman" w:hAnsi="Arial" w:cs="Arial"/>
          <w:lang w:eastAsia="cs-CZ"/>
        </w:rPr>
      </w:pPr>
      <w:r w:rsidRPr="0053104B">
        <w:rPr>
          <w:rFonts w:ascii="Arial" w:eastAsia="Times New Roman" w:hAnsi="Arial" w:cs="Arial"/>
          <w:lang w:eastAsia="cs-CZ"/>
        </w:rPr>
        <w:t>Nejvýznamnějším zdrojem financí pro provádění VaVaI byly v roce 2013 (</w:t>
      </w:r>
      <w:r w:rsidR="005030AA">
        <w:rPr>
          <w:rFonts w:ascii="Arial" w:eastAsia="Times New Roman" w:hAnsi="Arial" w:cs="Arial"/>
          <w:lang w:eastAsia="cs-CZ"/>
        </w:rPr>
        <w:t>tabulka</w:t>
      </w:r>
      <w:r w:rsidRPr="0053104B">
        <w:rPr>
          <w:rFonts w:ascii="Arial" w:eastAsia="Times New Roman" w:hAnsi="Arial" w:cs="Arial"/>
          <w:lang w:eastAsia="cs-CZ"/>
        </w:rPr>
        <w:t xml:space="preserve"> </w:t>
      </w:r>
      <w:r>
        <w:rPr>
          <w:rFonts w:ascii="Arial" w:eastAsia="Times New Roman" w:hAnsi="Arial" w:cs="Arial"/>
          <w:lang w:eastAsia="cs-CZ"/>
        </w:rPr>
        <w:t>1.</w:t>
      </w:r>
      <w:r w:rsidRPr="0053104B">
        <w:rPr>
          <w:rFonts w:ascii="Arial" w:eastAsia="Times New Roman" w:hAnsi="Arial" w:cs="Arial"/>
          <w:lang w:eastAsia="cs-CZ"/>
        </w:rPr>
        <w:t>4) tuzemské podnikatelské zdroje ve výši přesahující 29 mld. Kč. Následovaly domácí veřejné zdroje, tj. zejména státní rozpočet, v celkové výši téměř 27 mld. Kč. Velmi významný byl podíl zahraničních zdrojů a to jak veřejných (12,5 mld. Kč), tak soukromých (8,5 mld. Kč).</w:t>
      </w:r>
    </w:p>
    <w:p w:rsidR="00D80689" w:rsidRDefault="00D80689" w:rsidP="00FC6C7A">
      <w:pPr>
        <w:spacing w:after="0" w:line="360" w:lineRule="auto"/>
        <w:ind w:firstLine="709"/>
        <w:jc w:val="both"/>
        <w:rPr>
          <w:rFonts w:ascii="Arial" w:eastAsia="Times New Roman" w:hAnsi="Arial" w:cs="Arial"/>
          <w:lang w:eastAsia="cs-CZ"/>
        </w:rPr>
      </w:pPr>
      <w:r w:rsidRPr="00845AD8">
        <w:rPr>
          <w:rFonts w:ascii="Arial" w:eastAsia="Times New Roman" w:hAnsi="Arial" w:cs="Arial"/>
          <w:lang w:eastAsia="cs-CZ"/>
        </w:rPr>
        <w:t>Byly zaznamenány velké disproporce v distribuci jednotlivých finančních zdrojů mezi sektory, které VaVaI provádějí.</w:t>
      </w:r>
      <w:r w:rsidRPr="0053104B">
        <w:rPr>
          <w:rFonts w:ascii="Arial" w:eastAsia="Times New Roman" w:hAnsi="Arial" w:cs="Arial"/>
          <w:lang w:eastAsia="cs-CZ"/>
        </w:rPr>
        <w:t xml:space="preserve"> Podnikatelské zdroje byly téměř výhradně využity v podnikatelském sektoru, podpora veřejného VaVaI byla velmi malá, v součtu za vysokoškolský a vládní sektor činila necelou 1 mld. Kč. Naproti tomu u veřejných finančních zdrojů, přestože směřovaly především do veřejného sektoru (12,5 mld. Kč do vysokoškolského a 9,5 mld. Kč do vládního), </w:t>
      </w:r>
      <w:r>
        <w:rPr>
          <w:rFonts w:ascii="Arial" w:eastAsia="Times New Roman" w:hAnsi="Arial" w:cs="Arial"/>
          <w:lang w:eastAsia="cs-CZ"/>
        </w:rPr>
        <w:t>bylo</w:t>
      </w:r>
      <w:r w:rsidRPr="0053104B">
        <w:rPr>
          <w:rFonts w:ascii="Arial" w:eastAsia="Times New Roman" w:hAnsi="Arial" w:cs="Arial"/>
          <w:lang w:eastAsia="cs-CZ"/>
        </w:rPr>
        <w:t xml:space="preserve"> alokováno téměř 5 mld. Kč podnikatelskému sektoru.</w:t>
      </w:r>
    </w:p>
    <w:p w:rsidR="00D80689" w:rsidRPr="000822A0" w:rsidRDefault="00D80689" w:rsidP="00D80689">
      <w:pPr>
        <w:pStyle w:val="Obrzek-nadpis"/>
      </w:pPr>
      <w:r w:rsidRPr="000822A0">
        <w:lastRenderedPageBreak/>
        <w:t xml:space="preserve">Obr. </w:t>
      </w:r>
      <w:r>
        <w:t>1.</w:t>
      </w:r>
      <w:r w:rsidRPr="000822A0">
        <w:t>3: Celkové výdaje na VaVaI (GERD) v letech 2000 – 2013 v zemích EU a OECD</w:t>
      </w:r>
    </w:p>
    <w:p w:rsidR="00D80689" w:rsidRPr="000822A0" w:rsidRDefault="00F53673" w:rsidP="00D80689">
      <w:pPr>
        <w:spacing w:after="0" w:line="240" w:lineRule="auto"/>
        <w:jc w:val="center"/>
        <w:rPr>
          <w:rFonts w:ascii="Times New Roman" w:eastAsia="Times New Roman" w:hAnsi="Times New Roman" w:cs="Times New Roman"/>
          <w:i/>
          <w:sz w:val="24"/>
          <w:szCs w:val="24"/>
          <w:lang w:eastAsia="cs-CZ"/>
        </w:rPr>
      </w:pPr>
      <w:r w:rsidRPr="00F53673">
        <w:rPr>
          <w:noProof/>
          <w:lang w:eastAsia="cs-CZ"/>
        </w:rPr>
        <w:drawing>
          <wp:inline distT="0" distB="0" distL="0" distR="0" wp14:anchorId="05A2668A" wp14:editId="4244687E">
            <wp:extent cx="4748400" cy="3265200"/>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extLst>
                        <a:ext uri="{28A0092B-C50C-407E-A947-70E740481C1C}">
                          <a14:useLocalDpi xmlns:a14="http://schemas.microsoft.com/office/drawing/2010/main" val="0"/>
                        </a:ext>
                      </a:extLst>
                    </a:blip>
                    <a:srcRect l="-44" r="-44"/>
                    <a:stretch/>
                  </pic:blipFill>
                  <pic:spPr bwMode="auto">
                    <a:xfrm>
                      <a:off x="0" y="0"/>
                      <a:ext cx="4748400" cy="3265200"/>
                    </a:xfrm>
                    <a:prstGeom prst="rect">
                      <a:avLst/>
                    </a:prstGeom>
                    <a:noFill/>
                    <a:ln>
                      <a:noFill/>
                    </a:ln>
                  </pic:spPr>
                </pic:pic>
              </a:graphicData>
            </a:graphic>
          </wp:inline>
        </w:drawing>
      </w:r>
    </w:p>
    <w:p w:rsidR="00D80689" w:rsidRPr="000822A0" w:rsidRDefault="00D80689" w:rsidP="00D80689">
      <w:pPr>
        <w:pStyle w:val="Zdroj"/>
      </w:pPr>
      <w:r w:rsidRPr="000822A0">
        <w:t xml:space="preserve">Zdroj dat: OECD – </w:t>
      </w:r>
      <w:proofErr w:type="spellStart"/>
      <w:r w:rsidRPr="000822A0">
        <w:t>Main</w:t>
      </w:r>
      <w:proofErr w:type="spellEnd"/>
      <w:r w:rsidRPr="000822A0">
        <w:t xml:space="preserve"> Science and Technology </w:t>
      </w:r>
      <w:proofErr w:type="spellStart"/>
      <w:r w:rsidRPr="000822A0">
        <w:t>Indicators</w:t>
      </w:r>
      <w:proofErr w:type="spellEnd"/>
    </w:p>
    <w:p w:rsidR="00D80689" w:rsidRPr="000822A0" w:rsidRDefault="00D80689" w:rsidP="00D80689">
      <w:pPr>
        <w:pStyle w:val="komentzaobrzkem"/>
      </w:pPr>
      <w:r w:rsidRPr="000822A0">
        <w:t>Horizontální osa: hodnota GERD v roce 2013 jako % HDP</w:t>
      </w:r>
    </w:p>
    <w:p w:rsidR="00D80689" w:rsidRPr="000822A0" w:rsidRDefault="00D80689" w:rsidP="00D80689">
      <w:pPr>
        <w:pStyle w:val="komentzaobrzkem"/>
      </w:pPr>
      <w:r w:rsidRPr="000822A0">
        <w:t>Vertikální osa: intenzita růstu / poklesu v období let 2000 - 2013 vyjádřená jako směrnice regresní přímky (kladná hodnota značí rostoucí trend, záporná hodnota klesající)</w:t>
      </w:r>
    </w:p>
    <w:p w:rsidR="00D80689" w:rsidRPr="000822A0" w:rsidRDefault="00D80689" w:rsidP="00D80689">
      <w:pPr>
        <w:pStyle w:val="komentzaobrzkem"/>
      </w:pPr>
      <w:r w:rsidRPr="000822A0">
        <w:t>Průsečík os značí teoretickou pozici EU 28</w:t>
      </w:r>
      <w:r>
        <w:t>.</w:t>
      </w:r>
    </w:p>
    <w:p w:rsidR="00D80689" w:rsidRDefault="00D80689" w:rsidP="00055617">
      <w:pPr>
        <w:pStyle w:val="komentzaobrzkem"/>
        <w:spacing w:after="240"/>
      </w:pPr>
      <w:r w:rsidRPr="000822A0">
        <w:t>Výřez vlevo dole demonstruje průběh v jednotlivých letech v</w:t>
      </w:r>
      <w:r>
        <w:t> </w:t>
      </w:r>
      <w:r w:rsidRPr="000822A0">
        <w:t>Č</w:t>
      </w:r>
      <w:r>
        <w:t>R.</w:t>
      </w:r>
    </w:p>
    <w:p w:rsidR="00E2654D" w:rsidRDefault="000822A0" w:rsidP="008E7BFB">
      <w:pPr>
        <w:spacing w:after="0" w:line="360" w:lineRule="auto"/>
        <w:ind w:firstLine="708"/>
        <w:jc w:val="both"/>
        <w:rPr>
          <w:rFonts w:ascii="Arial" w:eastAsia="Times New Roman" w:hAnsi="Arial" w:cs="Arial"/>
          <w:lang w:eastAsia="cs-CZ"/>
        </w:rPr>
      </w:pPr>
      <w:r w:rsidRPr="0053104B">
        <w:rPr>
          <w:rFonts w:ascii="Arial" w:eastAsia="Times New Roman" w:hAnsi="Arial" w:cs="Arial"/>
          <w:lang w:eastAsia="cs-CZ"/>
        </w:rPr>
        <w:t>Uveden</w:t>
      </w:r>
      <w:r w:rsidR="00040353" w:rsidRPr="0053104B">
        <w:rPr>
          <w:rFonts w:ascii="Arial" w:eastAsia="Times New Roman" w:hAnsi="Arial" w:cs="Arial"/>
          <w:lang w:eastAsia="cs-CZ"/>
        </w:rPr>
        <w:t>ých</w:t>
      </w:r>
      <w:r w:rsidRPr="0053104B">
        <w:rPr>
          <w:rFonts w:ascii="Arial" w:eastAsia="Times New Roman" w:hAnsi="Arial" w:cs="Arial"/>
          <w:lang w:eastAsia="cs-CZ"/>
        </w:rPr>
        <w:t xml:space="preserve"> 5 mld. Kč </w:t>
      </w:r>
      <w:r w:rsidR="003E60D8">
        <w:rPr>
          <w:rFonts w:ascii="Arial" w:eastAsia="Times New Roman" w:hAnsi="Arial" w:cs="Arial"/>
          <w:lang w:eastAsia="cs-CZ"/>
        </w:rPr>
        <w:t xml:space="preserve">za rok 2013 </w:t>
      </w:r>
      <w:r w:rsidRPr="0053104B">
        <w:rPr>
          <w:rFonts w:ascii="Arial" w:eastAsia="Times New Roman" w:hAnsi="Arial" w:cs="Arial"/>
          <w:lang w:eastAsia="cs-CZ"/>
        </w:rPr>
        <w:t>však nevyjadřuje výdaje skutečných výrobních podniků. Do podnikatelského sektoru jsou řazeny rovněž veřejné podniky</w:t>
      </w:r>
      <w:r w:rsidRPr="0053104B">
        <w:rPr>
          <w:rFonts w:ascii="Arial" w:eastAsia="Times New Roman" w:hAnsi="Arial" w:cs="Arial"/>
          <w:vertAlign w:val="superscript"/>
          <w:lang w:eastAsia="cs-CZ"/>
        </w:rPr>
        <w:footnoteReference w:id="1"/>
      </w:r>
      <w:r w:rsidRPr="0053104B">
        <w:rPr>
          <w:rFonts w:ascii="Arial" w:eastAsia="Times New Roman" w:hAnsi="Arial" w:cs="Arial"/>
          <w:lang w:eastAsia="cs-CZ"/>
        </w:rPr>
        <w:t xml:space="preserve"> (např. zdravotnická zařízení</w:t>
      </w:r>
      <w:r w:rsidR="00040353" w:rsidRPr="0053104B">
        <w:rPr>
          <w:rFonts w:ascii="Arial" w:eastAsia="Times New Roman" w:hAnsi="Arial" w:cs="Arial"/>
          <w:lang w:eastAsia="cs-CZ"/>
        </w:rPr>
        <w:t>,</w:t>
      </w:r>
      <w:r w:rsidRPr="0053104B">
        <w:rPr>
          <w:rFonts w:ascii="Arial" w:eastAsia="Times New Roman" w:hAnsi="Arial" w:cs="Arial"/>
          <w:lang w:eastAsia="cs-CZ"/>
        </w:rPr>
        <w:t xml:space="preserve"> kromě fakultních nemocnic</w:t>
      </w:r>
      <w:r w:rsidR="00040353" w:rsidRPr="0053104B">
        <w:rPr>
          <w:rFonts w:ascii="Arial" w:eastAsia="Times New Roman" w:hAnsi="Arial" w:cs="Arial"/>
          <w:lang w:eastAsia="cs-CZ"/>
        </w:rPr>
        <w:t xml:space="preserve"> nebo</w:t>
      </w:r>
      <w:r w:rsidRPr="0053104B">
        <w:rPr>
          <w:rFonts w:ascii="Arial" w:eastAsia="Times New Roman" w:hAnsi="Arial" w:cs="Arial"/>
          <w:lang w:eastAsia="cs-CZ"/>
        </w:rPr>
        <w:t xml:space="preserve"> státní podniky), a jeho součástí jsou také některé subjekty splňující definici výzkumných organizací, které nespadají do vysokoškolského či vládního sektoru, ale mohou být v souladu se zákonem o podpoře výzkumu, experimentálního vývoje a inovací institucionálně podporovány (např. Institut klinické a experimentální medicíny, Výzkumný a</w:t>
      </w:r>
      <w:r w:rsidR="00271B9E">
        <w:rPr>
          <w:rFonts w:ascii="Arial" w:eastAsia="Times New Roman" w:hAnsi="Arial" w:cs="Arial"/>
          <w:lang w:eastAsia="cs-CZ"/>
        </w:rPr>
        <w:t> </w:t>
      </w:r>
      <w:r w:rsidRPr="0053104B">
        <w:rPr>
          <w:rFonts w:ascii="Arial" w:eastAsia="Times New Roman" w:hAnsi="Arial" w:cs="Arial"/>
          <w:lang w:eastAsia="cs-CZ"/>
        </w:rPr>
        <w:t xml:space="preserve">zkušební letecký ústav, a.s.). Uvedené subjekty </w:t>
      </w:r>
      <w:r w:rsidR="00040353" w:rsidRPr="0053104B">
        <w:rPr>
          <w:rFonts w:ascii="Arial" w:eastAsia="Times New Roman" w:hAnsi="Arial" w:cs="Arial"/>
          <w:lang w:eastAsia="cs-CZ"/>
        </w:rPr>
        <w:t xml:space="preserve">tak </w:t>
      </w:r>
      <w:r w:rsidR="007E740F" w:rsidRPr="0053104B">
        <w:rPr>
          <w:rFonts w:ascii="Arial" w:eastAsia="Times New Roman" w:hAnsi="Arial" w:cs="Arial"/>
          <w:lang w:eastAsia="cs-CZ"/>
        </w:rPr>
        <w:t xml:space="preserve">značně </w:t>
      </w:r>
      <w:r w:rsidRPr="0053104B">
        <w:rPr>
          <w:rFonts w:ascii="Arial" w:eastAsia="Times New Roman" w:hAnsi="Arial" w:cs="Arial"/>
          <w:lang w:eastAsia="cs-CZ"/>
        </w:rPr>
        <w:t>zkreslují obraz o podpoře VaVaI v podnicích.</w:t>
      </w:r>
    </w:p>
    <w:p w:rsidR="00E2654D" w:rsidRDefault="00E2654D">
      <w:pPr>
        <w:rPr>
          <w:rFonts w:ascii="Arial" w:eastAsia="Times New Roman" w:hAnsi="Arial" w:cs="Arial"/>
          <w:lang w:eastAsia="cs-CZ"/>
        </w:rPr>
      </w:pPr>
      <w:r>
        <w:rPr>
          <w:rFonts w:ascii="Arial" w:eastAsia="Times New Roman" w:hAnsi="Arial" w:cs="Arial"/>
          <w:lang w:eastAsia="cs-CZ"/>
        </w:rPr>
        <w:br w:type="page"/>
      </w:r>
    </w:p>
    <w:p w:rsidR="00E2654D" w:rsidRPr="000822A0" w:rsidRDefault="00E2654D" w:rsidP="00E2654D">
      <w:pPr>
        <w:pStyle w:val="Obrzek-nadpis"/>
      </w:pPr>
      <w:r>
        <w:lastRenderedPageBreak/>
        <w:t xml:space="preserve">Tab. 1.4: </w:t>
      </w:r>
      <w:r w:rsidRPr="000822A0">
        <w:t>Finanční toky ve VaVaI v roce 2013 (v mil. Kč)</w:t>
      </w:r>
    </w:p>
    <w:tbl>
      <w:tblPr>
        <w:tblW w:w="9060" w:type="dxa"/>
        <w:jc w:val="center"/>
        <w:tblInd w:w="60" w:type="dxa"/>
        <w:tblCellMar>
          <w:left w:w="70" w:type="dxa"/>
          <w:right w:w="70" w:type="dxa"/>
        </w:tblCellMar>
        <w:tblLook w:val="04A0" w:firstRow="1" w:lastRow="0" w:firstColumn="1" w:lastColumn="0" w:noHBand="0" w:noVBand="1"/>
      </w:tblPr>
      <w:tblGrid>
        <w:gridCol w:w="422"/>
        <w:gridCol w:w="1868"/>
        <w:gridCol w:w="866"/>
        <w:gridCol w:w="1491"/>
        <w:gridCol w:w="1409"/>
        <w:gridCol w:w="1505"/>
        <w:gridCol w:w="1508"/>
      </w:tblGrid>
      <w:tr w:rsidR="00E2654D" w:rsidRPr="00D21714" w:rsidTr="006F678C">
        <w:trPr>
          <w:trHeight w:val="450"/>
          <w:jc w:val="center"/>
        </w:trPr>
        <w:tc>
          <w:tcPr>
            <w:tcW w:w="9060" w:type="dxa"/>
            <w:gridSpan w:val="7"/>
            <w:tcBorders>
              <w:top w:val="single" w:sz="12" w:space="0" w:color="auto"/>
              <w:left w:val="single" w:sz="12" w:space="0" w:color="auto"/>
              <w:bottom w:val="single" w:sz="4" w:space="0" w:color="auto"/>
              <w:right w:val="single" w:sz="12"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b/>
                <w:bCs/>
                <w:color w:val="000000"/>
                <w:lang w:eastAsia="cs-CZ"/>
              </w:rPr>
            </w:pPr>
            <w:r w:rsidRPr="00D21714">
              <w:rPr>
                <w:rFonts w:ascii="Calibri" w:eastAsia="Times New Roman" w:hAnsi="Calibri" w:cs="Times New Roman"/>
                <w:b/>
                <w:bCs/>
                <w:color w:val="000000"/>
                <w:lang w:eastAsia="cs-CZ"/>
              </w:rPr>
              <w:t>rok 2013 - mil. Kč</w:t>
            </w:r>
          </w:p>
        </w:tc>
      </w:tr>
      <w:tr w:rsidR="00E2654D" w:rsidRPr="00D21714" w:rsidTr="006F678C">
        <w:trPr>
          <w:trHeight w:val="600"/>
          <w:jc w:val="center"/>
        </w:trPr>
        <w:tc>
          <w:tcPr>
            <w:tcW w:w="413" w:type="dxa"/>
            <w:vMerge w:val="restart"/>
            <w:tcBorders>
              <w:top w:val="nil"/>
              <w:left w:val="single" w:sz="12" w:space="0" w:color="auto"/>
              <w:bottom w:val="single" w:sz="4" w:space="0" w:color="auto"/>
              <w:right w:val="single" w:sz="4" w:space="0" w:color="auto"/>
            </w:tcBorders>
            <w:shd w:val="clear" w:color="auto" w:fill="auto"/>
            <w:noWrap/>
            <w:textDirection w:val="btLr"/>
            <w:vAlign w:val="center"/>
            <w:hideMark/>
          </w:tcPr>
          <w:p w:rsidR="00E2654D" w:rsidRPr="00D21714" w:rsidRDefault="00E2654D" w:rsidP="006F678C">
            <w:pPr>
              <w:spacing w:after="0" w:line="240" w:lineRule="auto"/>
              <w:jc w:val="center"/>
              <w:rPr>
                <w:rFonts w:ascii="Calibri" w:eastAsia="Times New Roman" w:hAnsi="Calibri" w:cs="Times New Roman"/>
                <w:b/>
                <w:bCs/>
                <w:color w:val="000000"/>
                <w:lang w:eastAsia="cs-CZ"/>
              </w:rPr>
            </w:pPr>
            <w:r w:rsidRPr="00D21714">
              <w:rPr>
                <w:rFonts w:ascii="Calibri" w:eastAsia="Times New Roman" w:hAnsi="Calibri" w:cs="Times New Roman"/>
                <w:b/>
                <w:bCs/>
                <w:color w:val="000000"/>
                <w:lang w:eastAsia="cs-CZ"/>
              </w:rPr>
              <w:t>subjekty provádějící VaVaI</w:t>
            </w:r>
          </w:p>
        </w:tc>
        <w:tc>
          <w:tcPr>
            <w:tcW w:w="1868" w:type="dxa"/>
            <w:tcBorders>
              <w:top w:val="nil"/>
              <w:left w:val="nil"/>
              <w:bottom w:val="single" w:sz="4" w:space="0" w:color="auto"/>
              <w:right w:val="single" w:sz="4" w:space="0" w:color="auto"/>
            </w:tcBorders>
            <w:shd w:val="clear" w:color="auto" w:fill="auto"/>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neziskové organizace</w:t>
            </w:r>
          </w:p>
        </w:tc>
        <w:tc>
          <w:tcPr>
            <w:tcW w:w="866" w:type="dxa"/>
            <w:tcBorders>
              <w:top w:val="nil"/>
              <w:left w:val="nil"/>
              <w:bottom w:val="single" w:sz="4" w:space="0" w:color="auto"/>
              <w:right w:val="single" w:sz="12"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264</w:t>
            </w:r>
          </w:p>
        </w:tc>
        <w:tc>
          <w:tcPr>
            <w:tcW w:w="1491" w:type="dxa"/>
            <w:tcBorders>
              <w:top w:val="nil"/>
              <w:left w:val="single" w:sz="12" w:space="0" w:color="auto"/>
              <w:bottom w:val="single" w:sz="4" w:space="0" w:color="auto"/>
              <w:right w:val="single" w:sz="4"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80</w:t>
            </w:r>
          </w:p>
        </w:tc>
        <w:tc>
          <w:tcPr>
            <w:tcW w:w="1409" w:type="dxa"/>
            <w:tcBorders>
              <w:top w:val="nil"/>
              <w:left w:val="nil"/>
              <w:bottom w:val="single" w:sz="4" w:space="0" w:color="auto"/>
              <w:right w:val="single" w:sz="4"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129</w:t>
            </w:r>
          </w:p>
        </w:tc>
        <w:tc>
          <w:tcPr>
            <w:tcW w:w="1505" w:type="dxa"/>
            <w:tcBorders>
              <w:top w:val="nil"/>
              <w:left w:val="nil"/>
              <w:bottom w:val="single" w:sz="4" w:space="0" w:color="auto"/>
              <w:right w:val="single" w:sz="4"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41</w:t>
            </w:r>
          </w:p>
        </w:tc>
        <w:tc>
          <w:tcPr>
            <w:tcW w:w="1508" w:type="dxa"/>
            <w:tcBorders>
              <w:top w:val="nil"/>
              <w:left w:val="nil"/>
              <w:bottom w:val="single" w:sz="4" w:space="0" w:color="auto"/>
              <w:right w:val="single" w:sz="12"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14</w:t>
            </w:r>
          </w:p>
        </w:tc>
      </w:tr>
      <w:tr w:rsidR="00E2654D" w:rsidRPr="00D21714" w:rsidTr="006F678C">
        <w:trPr>
          <w:trHeight w:val="900"/>
          <w:jc w:val="center"/>
        </w:trPr>
        <w:tc>
          <w:tcPr>
            <w:tcW w:w="413" w:type="dxa"/>
            <w:vMerge/>
            <w:tcBorders>
              <w:top w:val="nil"/>
              <w:left w:val="single" w:sz="12" w:space="0" w:color="auto"/>
              <w:bottom w:val="single" w:sz="4" w:space="0" w:color="auto"/>
              <w:right w:val="single" w:sz="4" w:space="0" w:color="auto"/>
            </w:tcBorders>
            <w:vAlign w:val="center"/>
            <w:hideMark/>
          </w:tcPr>
          <w:p w:rsidR="00E2654D" w:rsidRPr="00D21714" w:rsidRDefault="00E2654D" w:rsidP="006F678C">
            <w:pPr>
              <w:spacing w:after="0" w:line="240" w:lineRule="auto"/>
              <w:rPr>
                <w:rFonts w:ascii="Calibri" w:eastAsia="Times New Roman" w:hAnsi="Calibri" w:cs="Times New Roman"/>
                <w:b/>
                <w:bCs/>
                <w:color w:val="000000"/>
                <w:lang w:eastAsia="cs-CZ"/>
              </w:rPr>
            </w:pPr>
          </w:p>
        </w:tc>
        <w:tc>
          <w:tcPr>
            <w:tcW w:w="1868" w:type="dxa"/>
            <w:tcBorders>
              <w:top w:val="nil"/>
              <w:left w:val="nil"/>
              <w:bottom w:val="single" w:sz="4" w:space="0" w:color="auto"/>
              <w:right w:val="single" w:sz="4" w:space="0" w:color="auto"/>
            </w:tcBorders>
            <w:shd w:val="clear" w:color="auto" w:fill="auto"/>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vysoké školy, fakultní nemocnice</w:t>
            </w:r>
          </w:p>
        </w:tc>
        <w:tc>
          <w:tcPr>
            <w:tcW w:w="866" w:type="dxa"/>
            <w:tcBorders>
              <w:top w:val="nil"/>
              <w:left w:val="nil"/>
              <w:bottom w:val="single" w:sz="4" w:space="0" w:color="auto"/>
              <w:right w:val="single" w:sz="12"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20 793</w:t>
            </w:r>
          </w:p>
        </w:tc>
        <w:tc>
          <w:tcPr>
            <w:tcW w:w="1491" w:type="dxa"/>
            <w:tcBorders>
              <w:top w:val="nil"/>
              <w:left w:val="single" w:sz="12" w:space="0" w:color="auto"/>
              <w:bottom w:val="single" w:sz="4" w:space="0" w:color="auto"/>
              <w:right w:val="single" w:sz="4"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417</w:t>
            </w:r>
          </w:p>
        </w:tc>
        <w:tc>
          <w:tcPr>
            <w:tcW w:w="1409" w:type="dxa"/>
            <w:tcBorders>
              <w:top w:val="nil"/>
              <w:left w:val="nil"/>
              <w:bottom w:val="single" w:sz="4" w:space="0" w:color="auto"/>
              <w:right w:val="single" w:sz="4"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12 529</w:t>
            </w:r>
          </w:p>
        </w:tc>
        <w:tc>
          <w:tcPr>
            <w:tcW w:w="1505" w:type="dxa"/>
            <w:tcBorders>
              <w:top w:val="nil"/>
              <w:left w:val="nil"/>
              <w:bottom w:val="single" w:sz="4" w:space="0" w:color="auto"/>
              <w:right w:val="single" w:sz="4"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7 830</w:t>
            </w:r>
          </w:p>
        </w:tc>
        <w:tc>
          <w:tcPr>
            <w:tcW w:w="1508" w:type="dxa"/>
            <w:tcBorders>
              <w:top w:val="nil"/>
              <w:left w:val="nil"/>
              <w:bottom w:val="single" w:sz="4" w:space="0" w:color="auto"/>
              <w:right w:val="single" w:sz="12"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17</w:t>
            </w:r>
          </w:p>
        </w:tc>
      </w:tr>
      <w:tr w:rsidR="00E2654D" w:rsidRPr="00D21714" w:rsidTr="006F678C">
        <w:trPr>
          <w:trHeight w:val="900"/>
          <w:jc w:val="center"/>
        </w:trPr>
        <w:tc>
          <w:tcPr>
            <w:tcW w:w="413" w:type="dxa"/>
            <w:vMerge/>
            <w:tcBorders>
              <w:top w:val="nil"/>
              <w:left w:val="single" w:sz="12" w:space="0" w:color="auto"/>
              <w:bottom w:val="single" w:sz="4" w:space="0" w:color="auto"/>
              <w:right w:val="single" w:sz="4" w:space="0" w:color="auto"/>
            </w:tcBorders>
            <w:vAlign w:val="center"/>
            <w:hideMark/>
          </w:tcPr>
          <w:p w:rsidR="00E2654D" w:rsidRPr="00D21714" w:rsidRDefault="00E2654D" w:rsidP="006F678C">
            <w:pPr>
              <w:spacing w:after="0" w:line="240" w:lineRule="auto"/>
              <w:rPr>
                <w:rFonts w:ascii="Calibri" w:eastAsia="Times New Roman" w:hAnsi="Calibri" w:cs="Times New Roman"/>
                <w:b/>
                <w:bCs/>
                <w:color w:val="000000"/>
                <w:lang w:eastAsia="cs-CZ"/>
              </w:rPr>
            </w:pPr>
          </w:p>
        </w:tc>
        <w:tc>
          <w:tcPr>
            <w:tcW w:w="1868" w:type="dxa"/>
            <w:tcBorders>
              <w:top w:val="nil"/>
              <w:left w:val="nil"/>
              <w:bottom w:val="single" w:sz="4" w:space="0" w:color="auto"/>
              <w:right w:val="single" w:sz="4" w:space="0" w:color="auto"/>
            </w:tcBorders>
            <w:shd w:val="clear" w:color="auto" w:fill="auto"/>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ústavy AV ČR, resortní VO</w:t>
            </w:r>
          </w:p>
        </w:tc>
        <w:tc>
          <w:tcPr>
            <w:tcW w:w="866" w:type="dxa"/>
            <w:tcBorders>
              <w:top w:val="nil"/>
              <w:left w:val="nil"/>
              <w:bottom w:val="single" w:sz="4" w:space="0" w:color="auto"/>
              <w:right w:val="single" w:sz="12"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14 240</w:t>
            </w:r>
          </w:p>
        </w:tc>
        <w:tc>
          <w:tcPr>
            <w:tcW w:w="1491" w:type="dxa"/>
            <w:tcBorders>
              <w:top w:val="nil"/>
              <w:left w:val="single" w:sz="12" w:space="0" w:color="auto"/>
              <w:bottom w:val="single" w:sz="4" w:space="0" w:color="auto"/>
              <w:right w:val="single" w:sz="4"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465</w:t>
            </w:r>
          </w:p>
        </w:tc>
        <w:tc>
          <w:tcPr>
            <w:tcW w:w="1409" w:type="dxa"/>
            <w:tcBorders>
              <w:top w:val="nil"/>
              <w:left w:val="nil"/>
              <w:bottom w:val="single" w:sz="4" w:space="0" w:color="auto"/>
              <w:right w:val="single" w:sz="4"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9 449</w:t>
            </w:r>
          </w:p>
        </w:tc>
        <w:tc>
          <w:tcPr>
            <w:tcW w:w="1505" w:type="dxa"/>
            <w:tcBorders>
              <w:top w:val="nil"/>
              <w:left w:val="nil"/>
              <w:bottom w:val="single" w:sz="4" w:space="0" w:color="auto"/>
              <w:right w:val="single" w:sz="4"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2 845</w:t>
            </w:r>
          </w:p>
        </w:tc>
        <w:tc>
          <w:tcPr>
            <w:tcW w:w="1508" w:type="dxa"/>
            <w:tcBorders>
              <w:top w:val="nil"/>
              <w:left w:val="nil"/>
              <w:bottom w:val="single" w:sz="4" w:space="0" w:color="auto"/>
              <w:right w:val="single" w:sz="12"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1 481</w:t>
            </w:r>
          </w:p>
        </w:tc>
      </w:tr>
      <w:tr w:rsidR="00E2654D" w:rsidRPr="00D21714" w:rsidTr="006F678C">
        <w:trPr>
          <w:trHeight w:val="900"/>
          <w:jc w:val="center"/>
        </w:trPr>
        <w:tc>
          <w:tcPr>
            <w:tcW w:w="413" w:type="dxa"/>
            <w:vMerge/>
            <w:tcBorders>
              <w:top w:val="nil"/>
              <w:left w:val="single" w:sz="12" w:space="0" w:color="auto"/>
              <w:bottom w:val="single" w:sz="4" w:space="0" w:color="auto"/>
              <w:right w:val="single" w:sz="4" w:space="0" w:color="auto"/>
            </w:tcBorders>
            <w:vAlign w:val="center"/>
            <w:hideMark/>
          </w:tcPr>
          <w:p w:rsidR="00E2654D" w:rsidRPr="00D21714" w:rsidRDefault="00E2654D" w:rsidP="006F678C">
            <w:pPr>
              <w:spacing w:after="0" w:line="240" w:lineRule="auto"/>
              <w:rPr>
                <w:rFonts w:ascii="Calibri" w:eastAsia="Times New Roman" w:hAnsi="Calibri" w:cs="Times New Roman"/>
                <w:b/>
                <w:bCs/>
                <w:color w:val="000000"/>
                <w:lang w:eastAsia="cs-CZ"/>
              </w:rPr>
            </w:pPr>
          </w:p>
        </w:tc>
        <w:tc>
          <w:tcPr>
            <w:tcW w:w="1868" w:type="dxa"/>
            <w:tcBorders>
              <w:top w:val="nil"/>
              <w:left w:val="nil"/>
              <w:bottom w:val="single" w:sz="4" w:space="0" w:color="auto"/>
              <w:right w:val="single" w:sz="4" w:space="0" w:color="auto"/>
            </w:tcBorders>
            <w:shd w:val="clear" w:color="auto" w:fill="auto"/>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podniky, soukromé VO</w:t>
            </w:r>
          </w:p>
        </w:tc>
        <w:tc>
          <w:tcPr>
            <w:tcW w:w="866" w:type="dxa"/>
            <w:tcBorders>
              <w:top w:val="nil"/>
              <w:left w:val="nil"/>
              <w:bottom w:val="single" w:sz="4" w:space="0" w:color="auto"/>
              <w:right w:val="single" w:sz="12"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42 097</w:t>
            </w:r>
          </w:p>
        </w:tc>
        <w:tc>
          <w:tcPr>
            <w:tcW w:w="1491" w:type="dxa"/>
            <w:tcBorders>
              <w:top w:val="nil"/>
              <w:left w:val="single" w:sz="12" w:space="0" w:color="auto"/>
              <w:bottom w:val="nil"/>
              <w:right w:val="single" w:sz="4"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28 306</w:t>
            </w:r>
          </w:p>
        </w:tc>
        <w:tc>
          <w:tcPr>
            <w:tcW w:w="1409" w:type="dxa"/>
            <w:tcBorders>
              <w:top w:val="nil"/>
              <w:left w:val="nil"/>
              <w:bottom w:val="nil"/>
              <w:right w:val="single" w:sz="4"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4 880</w:t>
            </w:r>
          </w:p>
        </w:tc>
        <w:tc>
          <w:tcPr>
            <w:tcW w:w="1505" w:type="dxa"/>
            <w:tcBorders>
              <w:top w:val="nil"/>
              <w:left w:val="nil"/>
              <w:bottom w:val="nil"/>
              <w:right w:val="single" w:sz="4"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1 860</w:t>
            </w:r>
          </w:p>
        </w:tc>
        <w:tc>
          <w:tcPr>
            <w:tcW w:w="1508" w:type="dxa"/>
            <w:tcBorders>
              <w:top w:val="nil"/>
              <w:left w:val="nil"/>
              <w:bottom w:val="nil"/>
              <w:right w:val="single" w:sz="12"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7 051</w:t>
            </w:r>
          </w:p>
        </w:tc>
      </w:tr>
      <w:tr w:rsidR="00E2654D" w:rsidRPr="00D21714" w:rsidTr="006F678C">
        <w:trPr>
          <w:trHeight w:val="900"/>
          <w:jc w:val="center"/>
        </w:trPr>
        <w:tc>
          <w:tcPr>
            <w:tcW w:w="413" w:type="dxa"/>
            <w:tcBorders>
              <w:top w:val="nil"/>
              <w:left w:val="single" w:sz="12" w:space="0" w:color="auto"/>
              <w:bottom w:val="nil"/>
              <w:right w:val="nil"/>
            </w:tcBorders>
            <w:shd w:val="clear" w:color="auto" w:fill="auto"/>
            <w:noWrap/>
            <w:vAlign w:val="bottom"/>
            <w:hideMark/>
          </w:tcPr>
          <w:p w:rsidR="00E2654D" w:rsidRPr="00D21714" w:rsidRDefault="00E2654D" w:rsidP="006F678C">
            <w:pPr>
              <w:spacing w:after="0" w:line="240" w:lineRule="auto"/>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 </w:t>
            </w:r>
          </w:p>
        </w:tc>
        <w:tc>
          <w:tcPr>
            <w:tcW w:w="1868" w:type="dxa"/>
            <w:tcBorders>
              <w:top w:val="nil"/>
              <w:left w:val="nil"/>
              <w:bottom w:val="nil"/>
              <w:right w:val="nil"/>
            </w:tcBorders>
            <w:shd w:val="clear" w:color="auto" w:fill="auto"/>
            <w:noWrap/>
            <w:vAlign w:val="bottom"/>
            <w:hideMark/>
          </w:tcPr>
          <w:p w:rsidR="00E2654D" w:rsidRPr="00D21714" w:rsidRDefault="00E2654D" w:rsidP="006F678C">
            <w:pPr>
              <w:spacing w:after="0" w:line="240" w:lineRule="auto"/>
              <w:rPr>
                <w:rFonts w:ascii="Calibri" w:eastAsia="Times New Roman" w:hAnsi="Calibri" w:cs="Times New Roman"/>
                <w:color w:val="000000"/>
                <w:lang w:eastAsia="cs-CZ"/>
              </w:rPr>
            </w:pPr>
          </w:p>
        </w:tc>
        <w:tc>
          <w:tcPr>
            <w:tcW w:w="866" w:type="dxa"/>
            <w:tcBorders>
              <w:top w:val="nil"/>
              <w:left w:val="single" w:sz="4" w:space="0" w:color="auto"/>
              <w:bottom w:val="single" w:sz="4" w:space="0" w:color="auto"/>
              <w:right w:val="single" w:sz="4"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suma</w:t>
            </w:r>
          </w:p>
        </w:tc>
        <w:tc>
          <w:tcPr>
            <w:tcW w:w="1491" w:type="dxa"/>
            <w:tcBorders>
              <w:top w:val="single" w:sz="12" w:space="0" w:color="auto"/>
              <w:left w:val="nil"/>
              <w:bottom w:val="single" w:sz="4" w:space="0" w:color="auto"/>
              <w:right w:val="single" w:sz="4"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29 269</w:t>
            </w:r>
          </w:p>
        </w:tc>
        <w:tc>
          <w:tcPr>
            <w:tcW w:w="1409" w:type="dxa"/>
            <w:tcBorders>
              <w:top w:val="single" w:sz="12" w:space="0" w:color="auto"/>
              <w:left w:val="nil"/>
              <w:bottom w:val="single" w:sz="4" w:space="0" w:color="auto"/>
              <w:right w:val="single" w:sz="4"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26 987</w:t>
            </w:r>
          </w:p>
        </w:tc>
        <w:tc>
          <w:tcPr>
            <w:tcW w:w="1505" w:type="dxa"/>
            <w:tcBorders>
              <w:top w:val="single" w:sz="12" w:space="0" w:color="auto"/>
              <w:left w:val="nil"/>
              <w:bottom w:val="single" w:sz="4" w:space="0" w:color="auto"/>
              <w:right w:val="single" w:sz="4"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12 576</w:t>
            </w:r>
          </w:p>
        </w:tc>
        <w:tc>
          <w:tcPr>
            <w:tcW w:w="1508" w:type="dxa"/>
            <w:tcBorders>
              <w:top w:val="single" w:sz="12" w:space="0" w:color="auto"/>
              <w:left w:val="nil"/>
              <w:bottom w:val="single" w:sz="4" w:space="0" w:color="auto"/>
              <w:right w:val="single" w:sz="12"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8 563</w:t>
            </w:r>
          </w:p>
        </w:tc>
      </w:tr>
      <w:tr w:rsidR="00E2654D" w:rsidRPr="00D21714" w:rsidTr="006F678C">
        <w:trPr>
          <w:trHeight w:val="600"/>
          <w:jc w:val="center"/>
        </w:trPr>
        <w:tc>
          <w:tcPr>
            <w:tcW w:w="413" w:type="dxa"/>
            <w:tcBorders>
              <w:top w:val="nil"/>
              <w:left w:val="single" w:sz="12" w:space="0" w:color="auto"/>
              <w:bottom w:val="nil"/>
              <w:right w:val="nil"/>
            </w:tcBorders>
            <w:shd w:val="clear" w:color="auto" w:fill="auto"/>
            <w:noWrap/>
            <w:vAlign w:val="bottom"/>
            <w:hideMark/>
          </w:tcPr>
          <w:p w:rsidR="00E2654D" w:rsidRPr="00D21714" w:rsidRDefault="00E2654D" w:rsidP="006F678C">
            <w:pPr>
              <w:spacing w:after="0" w:line="240" w:lineRule="auto"/>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 </w:t>
            </w:r>
          </w:p>
        </w:tc>
        <w:tc>
          <w:tcPr>
            <w:tcW w:w="1868" w:type="dxa"/>
            <w:tcBorders>
              <w:top w:val="nil"/>
              <w:left w:val="nil"/>
              <w:bottom w:val="nil"/>
              <w:right w:val="nil"/>
            </w:tcBorders>
            <w:shd w:val="clear" w:color="auto" w:fill="auto"/>
            <w:noWrap/>
            <w:vAlign w:val="bottom"/>
            <w:hideMark/>
          </w:tcPr>
          <w:p w:rsidR="00E2654D" w:rsidRPr="00D21714" w:rsidRDefault="00E2654D" w:rsidP="006F678C">
            <w:pPr>
              <w:spacing w:after="0" w:line="240" w:lineRule="auto"/>
              <w:rPr>
                <w:rFonts w:ascii="Calibri" w:eastAsia="Times New Roman" w:hAnsi="Calibri" w:cs="Times New Roman"/>
                <w:color w:val="000000"/>
                <w:lang w:eastAsia="cs-CZ"/>
              </w:rPr>
            </w:pPr>
          </w:p>
        </w:tc>
        <w:tc>
          <w:tcPr>
            <w:tcW w:w="866" w:type="dxa"/>
            <w:tcBorders>
              <w:top w:val="nil"/>
              <w:left w:val="nil"/>
              <w:bottom w:val="nil"/>
              <w:right w:val="nil"/>
            </w:tcBorders>
            <w:shd w:val="clear" w:color="auto" w:fill="auto"/>
            <w:noWrap/>
            <w:vAlign w:val="bottom"/>
            <w:hideMark/>
          </w:tcPr>
          <w:p w:rsidR="00E2654D" w:rsidRPr="00D21714" w:rsidRDefault="00E2654D" w:rsidP="006F678C">
            <w:pPr>
              <w:spacing w:after="0" w:line="240" w:lineRule="auto"/>
              <w:rPr>
                <w:rFonts w:ascii="Calibri" w:eastAsia="Times New Roman" w:hAnsi="Calibri" w:cs="Times New Roman"/>
                <w:color w:val="000000"/>
                <w:lang w:eastAsia="cs-CZ"/>
              </w:rPr>
            </w:pPr>
          </w:p>
        </w:tc>
        <w:tc>
          <w:tcPr>
            <w:tcW w:w="1491" w:type="dxa"/>
            <w:tcBorders>
              <w:top w:val="nil"/>
              <w:left w:val="single" w:sz="4" w:space="0" w:color="auto"/>
              <w:bottom w:val="single" w:sz="4" w:space="0" w:color="auto"/>
              <w:right w:val="single" w:sz="4" w:space="0" w:color="auto"/>
            </w:tcBorders>
            <w:shd w:val="clear" w:color="auto" w:fill="auto"/>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domácí soukromé</w:t>
            </w:r>
          </w:p>
        </w:tc>
        <w:tc>
          <w:tcPr>
            <w:tcW w:w="1409" w:type="dxa"/>
            <w:tcBorders>
              <w:top w:val="nil"/>
              <w:left w:val="nil"/>
              <w:bottom w:val="single" w:sz="4" w:space="0" w:color="auto"/>
              <w:right w:val="single" w:sz="4" w:space="0" w:color="auto"/>
            </w:tcBorders>
            <w:shd w:val="clear" w:color="auto" w:fill="auto"/>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veřejné rozpočty ČR</w:t>
            </w:r>
          </w:p>
        </w:tc>
        <w:tc>
          <w:tcPr>
            <w:tcW w:w="1505" w:type="dxa"/>
            <w:tcBorders>
              <w:top w:val="nil"/>
              <w:left w:val="nil"/>
              <w:bottom w:val="single" w:sz="4" w:space="0" w:color="auto"/>
              <w:right w:val="single" w:sz="4" w:space="0" w:color="auto"/>
            </w:tcBorders>
            <w:shd w:val="clear" w:color="auto" w:fill="auto"/>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veřejné zahraniční</w:t>
            </w:r>
          </w:p>
        </w:tc>
        <w:tc>
          <w:tcPr>
            <w:tcW w:w="1508" w:type="dxa"/>
            <w:tcBorders>
              <w:top w:val="nil"/>
              <w:left w:val="nil"/>
              <w:bottom w:val="single" w:sz="4" w:space="0" w:color="auto"/>
              <w:right w:val="single" w:sz="12" w:space="0" w:color="auto"/>
            </w:tcBorders>
            <w:shd w:val="clear" w:color="auto" w:fill="auto"/>
            <w:vAlign w:val="center"/>
            <w:hideMark/>
          </w:tcPr>
          <w:p w:rsidR="00E2654D" w:rsidRPr="00D21714" w:rsidRDefault="00E2654D" w:rsidP="006F678C">
            <w:pPr>
              <w:spacing w:after="0" w:line="240" w:lineRule="auto"/>
              <w:jc w:val="center"/>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soukromé zahraniční</w:t>
            </w:r>
          </w:p>
        </w:tc>
      </w:tr>
      <w:tr w:rsidR="00E2654D" w:rsidRPr="00D21714" w:rsidTr="006F678C">
        <w:trPr>
          <w:trHeight w:val="720"/>
          <w:jc w:val="center"/>
        </w:trPr>
        <w:tc>
          <w:tcPr>
            <w:tcW w:w="413" w:type="dxa"/>
            <w:tcBorders>
              <w:top w:val="nil"/>
              <w:left w:val="single" w:sz="12" w:space="0" w:color="auto"/>
              <w:bottom w:val="single" w:sz="12" w:space="0" w:color="auto"/>
              <w:right w:val="nil"/>
            </w:tcBorders>
            <w:shd w:val="clear" w:color="auto" w:fill="auto"/>
            <w:noWrap/>
            <w:vAlign w:val="bottom"/>
            <w:hideMark/>
          </w:tcPr>
          <w:p w:rsidR="00E2654D" w:rsidRPr="00D21714" w:rsidRDefault="00E2654D" w:rsidP="006F678C">
            <w:pPr>
              <w:spacing w:after="0" w:line="240" w:lineRule="auto"/>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 </w:t>
            </w:r>
          </w:p>
        </w:tc>
        <w:tc>
          <w:tcPr>
            <w:tcW w:w="1868" w:type="dxa"/>
            <w:tcBorders>
              <w:top w:val="nil"/>
              <w:left w:val="nil"/>
              <w:bottom w:val="single" w:sz="12" w:space="0" w:color="auto"/>
              <w:right w:val="nil"/>
            </w:tcBorders>
            <w:shd w:val="clear" w:color="auto" w:fill="auto"/>
            <w:noWrap/>
            <w:vAlign w:val="bottom"/>
            <w:hideMark/>
          </w:tcPr>
          <w:p w:rsidR="00E2654D" w:rsidRPr="00D21714" w:rsidRDefault="00E2654D" w:rsidP="006F678C">
            <w:pPr>
              <w:spacing w:after="0" w:line="240" w:lineRule="auto"/>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 </w:t>
            </w:r>
          </w:p>
        </w:tc>
        <w:tc>
          <w:tcPr>
            <w:tcW w:w="866" w:type="dxa"/>
            <w:tcBorders>
              <w:top w:val="nil"/>
              <w:left w:val="nil"/>
              <w:bottom w:val="single" w:sz="12" w:space="0" w:color="auto"/>
              <w:right w:val="nil"/>
            </w:tcBorders>
            <w:shd w:val="clear" w:color="auto" w:fill="auto"/>
            <w:noWrap/>
            <w:vAlign w:val="bottom"/>
            <w:hideMark/>
          </w:tcPr>
          <w:p w:rsidR="00E2654D" w:rsidRPr="00D21714" w:rsidRDefault="00E2654D" w:rsidP="006F678C">
            <w:pPr>
              <w:spacing w:after="0" w:line="240" w:lineRule="auto"/>
              <w:rPr>
                <w:rFonts w:ascii="Calibri" w:eastAsia="Times New Roman" w:hAnsi="Calibri" w:cs="Times New Roman"/>
                <w:color w:val="000000"/>
                <w:lang w:eastAsia="cs-CZ"/>
              </w:rPr>
            </w:pPr>
            <w:r w:rsidRPr="00D21714">
              <w:rPr>
                <w:rFonts w:ascii="Calibri" w:eastAsia="Times New Roman" w:hAnsi="Calibri" w:cs="Times New Roman"/>
                <w:color w:val="000000"/>
                <w:lang w:eastAsia="cs-CZ"/>
              </w:rPr>
              <w:t> </w:t>
            </w:r>
          </w:p>
        </w:tc>
        <w:tc>
          <w:tcPr>
            <w:tcW w:w="5913" w:type="dxa"/>
            <w:gridSpan w:val="4"/>
            <w:tcBorders>
              <w:top w:val="single" w:sz="4" w:space="0" w:color="auto"/>
              <w:left w:val="single" w:sz="4" w:space="0" w:color="auto"/>
              <w:bottom w:val="single" w:sz="12" w:space="0" w:color="auto"/>
              <w:right w:val="single" w:sz="12" w:space="0" w:color="auto"/>
            </w:tcBorders>
            <w:shd w:val="clear" w:color="auto" w:fill="auto"/>
            <w:noWrap/>
            <w:vAlign w:val="center"/>
            <w:hideMark/>
          </w:tcPr>
          <w:p w:rsidR="00E2654D" w:rsidRPr="00D21714" w:rsidRDefault="00E2654D" w:rsidP="006F678C">
            <w:pPr>
              <w:spacing w:after="0" w:line="240" w:lineRule="auto"/>
              <w:jc w:val="center"/>
              <w:rPr>
                <w:rFonts w:ascii="Calibri" w:eastAsia="Times New Roman" w:hAnsi="Calibri" w:cs="Times New Roman"/>
                <w:b/>
                <w:bCs/>
                <w:color w:val="000000"/>
                <w:lang w:eastAsia="cs-CZ"/>
              </w:rPr>
            </w:pPr>
            <w:r w:rsidRPr="00D21714">
              <w:rPr>
                <w:rFonts w:ascii="Calibri" w:eastAsia="Times New Roman" w:hAnsi="Calibri" w:cs="Times New Roman"/>
                <w:b/>
                <w:bCs/>
                <w:color w:val="000000"/>
                <w:lang w:eastAsia="cs-CZ"/>
              </w:rPr>
              <w:t>zdroje finančních prostředků na VaVaI</w:t>
            </w:r>
          </w:p>
        </w:tc>
      </w:tr>
    </w:tbl>
    <w:p w:rsidR="00E2654D" w:rsidRPr="000822A0" w:rsidRDefault="00E2654D" w:rsidP="00E2654D">
      <w:pPr>
        <w:pStyle w:val="Zdroj"/>
      </w:pPr>
      <w:r w:rsidRPr="000822A0">
        <w:t>Zdroj dat: ČSÚ</w:t>
      </w:r>
    </w:p>
    <w:p w:rsidR="00E2654D" w:rsidRDefault="00E2654D" w:rsidP="00E2654D">
      <w:pPr>
        <w:pStyle w:val="komentzaobrzkem"/>
        <w:spacing w:after="240"/>
      </w:pPr>
      <w:r>
        <w:t>Ve zdrojích finančních prostředků na VaVaI nejsou zahrnuty ostatní zdroje (např. příjmy za poplatky</w:t>
      </w:r>
      <w:r w:rsidRPr="00887C8D">
        <w:t xml:space="preserve"> studentů, předplatné časopisů, publikační činnost</w:t>
      </w:r>
      <w:r>
        <w:t>i) v celkové výši 459 mil. Kč</w:t>
      </w:r>
    </w:p>
    <w:p w:rsidR="000822A0" w:rsidRPr="0053104B" w:rsidRDefault="000822A0" w:rsidP="008E7BFB">
      <w:pPr>
        <w:spacing w:after="0" w:line="360" w:lineRule="auto"/>
        <w:ind w:firstLine="708"/>
        <w:jc w:val="both"/>
        <w:rPr>
          <w:rFonts w:ascii="Arial" w:eastAsia="Times New Roman" w:hAnsi="Arial" w:cs="Arial"/>
          <w:lang w:eastAsia="cs-CZ"/>
        </w:rPr>
      </w:pPr>
      <w:r w:rsidRPr="0053104B">
        <w:rPr>
          <w:rFonts w:ascii="Arial" w:eastAsia="Times New Roman" w:hAnsi="Arial" w:cs="Arial"/>
          <w:lang w:eastAsia="cs-CZ"/>
        </w:rPr>
        <w:t>Při podrobném rozboru přímé podpory podnikatelského sektoru na základě dat z IS VaVaI (po provedení harmonizace dat</w:t>
      </w:r>
      <w:r w:rsidRPr="0053104B">
        <w:rPr>
          <w:rFonts w:ascii="Arial" w:eastAsia="Times New Roman" w:hAnsi="Arial" w:cs="Arial"/>
          <w:vertAlign w:val="superscript"/>
          <w:lang w:eastAsia="cs-CZ"/>
        </w:rPr>
        <w:footnoteReference w:id="2"/>
      </w:r>
      <w:r w:rsidRPr="0053104B">
        <w:rPr>
          <w:rFonts w:ascii="Arial" w:eastAsia="Times New Roman" w:hAnsi="Arial" w:cs="Arial"/>
          <w:lang w:eastAsia="cs-CZ"/>
        </w:rPr>
        <w:t>) pro rok 2014 (obr</w:t>
      </w:r>
      <w:r w:rsidR="00D36A6E">
        <w:rPr>
          <w:rFonts w:ascii="Arial" w:eastAsia="Times New Roman" w:hAnsi="Arial" w:cs="Arial"/>
          <w:lang w:eastAsia="cs-CZ"/>
        </w:rPr>
        <w:t>ázek</w:t>
      </w:r>
      <w:r w:rsidRPr="0053104B">
        <w:rPr>
          <w:rFonts w:ascii="Arial" w:eastAsia="Times New Roman" w:hAnsi="Arial" w:cs="Arial"/>
          <w:lang w:eastAsia="cs-CZ"/>
        </w:rPr>
        <w:t xml:space="preserve"> </w:t>
      </w:r>
      <w:r w:rsidR="003F5D8D">
        <w:rPr>
          <w:rFonts w:ascii="Arial" w:eastAsia="Times New Roman" w:hAnsi="Arial" w:cs="Arial"/>
          <w:lang w:eastAsia="cs-CZ"/>
        </w:rPr>
        <w:t>1.</w:t>
      </w:r>
      <w:r w:rsidRPr="0053104B">
        <w:rPr>
          <w:rFonts w:ascii="Arial" w:eastAsia="Times New Roman" w:hAnsi="Arial" w:cs="Arial"/>
          <w:lang w:eastAsia="cs-CZ"/>
        </w:rPr>
        <w:t>5) platí, že z celkové podpory podnikatelskému sektoru ve výši 4,03 mld. Kč bylo 369 mil. Kč (9 %) vynaloženo na podporu dlouhodobého koncepčního rozvoje 27 subjektů splňujících definici výzkumné organizace</w:t>
      </w:r>
      <w:r w:rsidRPr="0053104B">
        <w:rPr>
          <w:rFonts w:ascii="Arial" w:eastAsia="Times New Roman" w:hAnsi="Arial" w:cs="Arial"/>
          <w:vertAlign w:val="superscript"/>
          <w:lang w:eastAsia="cs-CZ"/>
        </w:rPr>
        <w:footnoteReference w:id="3"/>
      </w:r>
      <w:r w:rsidRPr="0053104B">
        <w:rPr>
          <w:rFonts w:ascii="Arial" w:eastAsia="Times New Roman" w:hAnsi="Arial" w:cs="Arial"/>
          <w:lang w:eastAsia="cs-CZ"/>
        </w:rPr>
        <w:t>. Zbylých 3,66 mld. Kč bylo využito na podporu projektů ve VaVaI, přičemž částkou 933 mil. Kč (23 % celkové podpory podnikatelského sektoru) byly podpořeny veřejné podniky v počtu 140</w:t>
      </w:r>
      <w:r w:rsidR="00133488" w:rsidRPr="0053104B">
        <w:rPr>
          <w:rFonts w:ascii="Arial" w:eastAsia="Times New Roman" w:hAnsi="Arial" w:cs="Arial"/>
          <w:lang w:eastAsia="cs-CZ"/>
        </w:rPr>
        <w:t xml:space="preserve"> subjektů</w:t>
      </w:r>
      <w:r w:rsidRPr="0053104B">
        <w:rPr>
          <w:rFonts w:ascii="Arial" w:eastAsia="Times New Roman" w:hAnsi="Arial" w:cs="Arial"/>
          <w:lang w:eastAsia="cs-CZ"/>
        </w:rPr>
        <w:t>, 54 velkých podniků disponovalo částkou 518 mil. Kč (13 %) a 957 malých a středních podniků (MSP) získalo prostředky v celkové výši 2,21 mld. Kč (55 %).</w:t>
      </w:r>
    </w:p>
    <w:p w:rsidR="000822A0" w:rsidRPr="0053104B" w:rsidRDefault="000822A0" w:rsidP="00E2654D">
      <w:pPr>
        <w:spacing w:after="0" w:line="360" w:lineRule="auto"/>
        <w:ind w:firstLine="708"/>
        <w:jc w:val="both"/>
        <w:rPr>
          <w:rFonts w:ascii="Arial" w:eastAsia="Times New Roman" w:hAnsi="Arial" w:cs="Arial"/>
          <w:lang w:eastAsia="cs-CZ"/>
        </w:rPr>
      </w:pPr>
      <w:r w:rsidRPr="0053104B">
        <w:rPr>
          <w:rFonts w:ascii="Arial" w:eastAsia="Times New Roman" w:hAnsi="Arial" w:cs="Arial"/>
          <w:lang w:eastAsia="cs-CZ"/>
        </w:rPr>
        <w:t xml:space="preserve">Veřejné zahraniční zdroje byly směřovány hlavně do vysokoškolského sektoru (téměř 8 mld. Kč). Vládní sektor čerpal necelé 3 mld. Kč, podnikatelský bezmála 2 mld. Kč. </w:t>
      </w:r>
      <w:r w:rsidR="008A6D1D" w:rsidRPr="0053104B">
        <w:rPr>
          <w:rFonts w:ascii="Arial" w:eastAsia="Times New Roman" w:hAnsi="Arial" w:cs="Arial"/>
          <w:lang w:eastAsia="cs-CZ"/>
        </w:rPr>
        <w:t>Tato podpora s</w:t>
      </w:r>
      <w:r w:rsidRPr="0053104B">
        <w:rPr>
          <w:rFonts w:ascii="Arial" w:eastAsia="Times New Roman" w:hAnsi="Arial" w:cs="Arial"/>
          <w:lang w:eastAsia="cs-CZ"/>
        </w:rPr>
        <w:t xml:space="preserve">ouvisí zejména s čerpáním Operačních programů, </w:t>
      </w:r>
      <w:r w:rsidR="00DD6F06">
        <w:rPr>
          <w:rFonts w:ascii="Arial" w:eastAsia="Times New Roman" w:hAnsi="Arial" w:cs="Arial"/>
          <w:lang w:eastAsia="cs-CZ"/>
        </w:rPr>
        <w:t>především</w:t>
      </w:r>
      <w:r w:rsidRPr="0053104B">
        <w:rPr>
          <w:rFonts w:ascii="Arial" w:eastAsia="Times New Roman" w:hAnsi="Arial" w:cs="Arial"/>
          <w:lang w:eastAsia="cs-CZ"/>
        </w:rPr>
        <w:t xml:space="preserve"> OP </w:t>
      </w:r>
      <w:proofErr w:type="spellStart"/>
      <w:r w:rsidRPr="0053104B">
        <w:rPr>
          <w:rFonts w:ascii="Arial" w:eastAsia="Times New Roman" w:hAnsi="Arial" w:cs="Arial"/>
          <w:lang w:eastAsia="cs-CZ"/>
        </w:rPr>
        <w:t>VaVpI</w:t>
      </w:r>
      <w:proofErr w:type="spellEnd"/>
      <w:r w:rsidRPr="0053104B">
        <w:rPr>
          <w:rFonts w:ascii="Arial" w:eastAsia="Times New Roman" w:hAnsi="Arial" w:cs="Arial"/>
          <w:lang w:eastAsia="cs-CZ"/>
        </w:rPr>
        <w:t xml:space="preserve"> a OP PI. </w:t>
      </w:r>
    </w:p>
    <w:p w:rsidR="000822A0" w:rsidRDefault="000822A0" w:rsidP="00E2654D">
      <w:pPr>
        <w:spacing w:after="0" w:line="360" w:lineRule="auto"/>
        <w:ind w:firstLine="708"/>
        <w:jc w:val="both"/>
        <w:rPr>
          <w:rFonts w:ascii="Arial" w:eastAsia="Times New Roman" w:hAnsi="Arial" w:cs="Arial"/>
          <w:lang w:eastAsia="cs-CZ"/>
        </w:rPr>
      </w:pPr>
      <w:r w:rsidRPr="0053104B">
        <w:rPr>
          <w:rFonts w:ascii="Arial" w:eastAsia="Times New Roman" w:hAnsi="Arial" w:cs="Arial"/>
          <w:lang w:eastAsia="cs-CZ"/>
        </w:rPr>
        <w:t>Soukromé zahraniční zdroje směřovaly především do podniků (7 mld. Kč) a také do</w:t>
      </w:r>
      <w:r w:rsidR="00BF5EAF">
        <w:rPr>
          <w:rFonts w:ascii="Arial" w:eastAsia="Times New Roman" w:hAnsi="Arial" w:cs="Arial"/>
          <w:lang w:eastAsia="cs-CZ"/>
        </w:rPr>
        <w:t> </w:t>
      </w:r>
      <w:r w:rsidRPr="0053104B">
        <w:rPr>
          <w:rFonts w:ascii="Arial" w:eastAsia="Times New Roman" w:hAnsi="Arial" w:cs="Arial"/>
          <w:lang w:eastAsia="cs-CZ"/>
        </w:rPr>
        <w:t xml:space="preserve">vládního sektoru (1,5 mld. Kč). </w:t>
      </w:r>
      <w:r w:rsidR="008A6D1D" w:rsidRPr="00DD6F06">
        <w:rPr>
          <w:rFonts w:ascii="Arial" w:eastAsia="Times New Roman" w:hAnsi="Arial" w:cs="Arial"/>
          <w:lang w:eastAsia="cs-CZ"/>
        </w:rPr>
        <w:t>V největší míře jimi byly uhrazeny</w:t>
      </w:r>
      <w:r w:rsidRPr="00DD6F06">
        <w:rPr>
          <w:rFonts w:ascii="Arial" w:eastAsia="Times New Roman" w:hAnsi="Arial" w:cs="Arial"/>
          <w:lang w:eastAsia="cs-CZ"/>
        </w:rPr>
        <w:t xml:space="preserve"> licenční poplatky Ústavu organické chemie a biochemie AV ČR, </w:t>
      </w:r>
      <w:proofErr w:type="spellStart"/>
      <w:proofErr w:type="gramStart"/>
      <w:r w:rsidRPr="00DD6F06">
        <w:rPr>
          <w:rFonts w:ascii="Arial" w:eastAsia="Times New Roman" w:hAnsi="Arial" w:cs="Arial"/>
          <w:lang w:eastAsia="cs-CZ"/>
        </w:rPr>
        <w:t>v.v.</w:t>
      </w:r>
      <w:proofErr w:type="gramEnd"/>
      <w:r w:rsidRPr="00DD6F06">
        <w:rPr>
          <w:rFonts w:ascii="Arial" w:eastAsia="Times New Roman" w:hAnsi="Arial" w:cs="Arial"/>
          <w:lang w:eastAsia="cs-CZ"/>
        </w:rPr>
        <w:t>i</w:t>
      </w:r>
      <w:proofErr w:type="spellEnd"/>
      <w:r w:rsidRPr="00DD6F06">
        <w:rPr>
          <w:rFonts w:ascii="Arial" w:eastAsia="Times New Roman" w:hAnsi="Arial" w:cs="Arial"/>
          <w:lang w:eastAsia="cs-CZ"/>
        </w:rPr>
        <w:t>.</w:t>
      </w:r>
      <w:r w:rsidRPr="0053104B">
        <w:rPr>
          <w:rFonts w:ascii="Arial" w:eastAsia="Times New Roman" w:hAnsi="Arial" w:cs="Arial"/>
          <w:lang w:eastAsia="cs-CZ"/>
        </w:rPr>
        <w:t xml:space="preserve"> </w:t>
      </w:r>
    </w:p>
    <w:p w:rsidR="00E2654D" w:rsidRPr="000822A0" w:rsidRDefault="00E2654D" w:rsidP="00E2654D">
      <w:pPr>
        <w:pStyle w:val="Obrzek-nadpis"/>
      </w:pPr>
      <w:r w:rsidRPr="000822A0">
        <w:lastRenderedPageBreak/>
        <w:t xml:space="preserve">Obr. </w:t>
      </w:r>
      <w:r>
        <w:t>1.</w:t>
      </w:r>
      <w:r w:rsidRPr="000822A0">
        <w:t>5: Přímá podpora VaVaI v podnikatelském sektoru ze SR v roce 2014</w:t>
      </w:r>
    </w:p>
    <w:p w:rsidR="00E2654D" w:rsidRPr="000822A0" w:rsidRDefault="00E2654D" w:rsidP="00E2654D">
      <w:pPr>
        <w:spacing w:after="0" w:line="240" w:lineRule="auto"/>
        <w:jc w:val="center"/>
        <w:rPr>
          <w:rFonts w:ascii="Times New Roman" w:eastAsia="Times New Roman" w:hAnsi="Times New Roman" w:cs="Times New Roman"/>
          <w:i/>
          <w:sz w:val="24"/>
          <w:szCs w:val="24"/>
          <w:lang w:eastAsia="cs-CZ"/>
        </w:rPr>
      </w:pPr>
      <w:r w:rsidRPr="000822A0">
        <w:rPr>
          <w:rFonts w:ascii="Times New Roman" w:eastAsia="Times New Roman" w:hAnsi="Times New Roman" w:cs="Times New Roman"/>
          <w:noProof/>
          <w:sz w:val="24"/>
          <w:szCs w:val="24"/>
          <w:lang w:eastAsia="cs-CZ"/>
        </w:rPr>
        <w:drawing>
          <wp:inline distT="0" distB="0" distL="0" distR="0" wp14:anchorId="1F6C90EF" wp14:editId="2300F5DF">
            <wp:extent cx="4010400" cy="288000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10400" cy="2880000"/>
                    </a:xfrm>
                    <a:prstGeom prst="rect">
                      <a:avLst/>
                    </a:prstGeom>
                    <a:noFill/>
                    <a:ln>
                      <a:noFill/>
                    </a:ln>
                  </pic:spPr>
                </pic:pic>
              </a:graphicData>
            </a:graphic>
          </wp:inline>
        </w:drawing>
      </w:r>
    </w:p>
    <w:p w:rsidR="00E2654D" w:rsidRPr="000822A0" w:rsidRDefault="00E2654D" w:rsidP="00E2654D">
      <w:pPr>
        <w:pStyle w:val="Zdroj"/>
        <w:spacing w:after="240"/>
      </w:pPr>
      <w:r w:rsidRPr="000822A0">
        <w:t>Zdroj dat: IS VaVaI po úpravě kategorií subjektů dle metodiky pro statistická zjišťování ČSÚ</w:t>
      </w:r>
    </w:p>
    <w:p w:rsidR="000822A0" w:rsidRDefault="000822A0" w:rsidP="008E7BFB">
      <w:pPr>
        <w:spacing w:after="0" w:line="360" w:lineRule="auto"/>
        <w:ind w:firstLine="708"/>
        <w:jc w:val="both"/>
        <w:rPr>
          <w:rFonts w:ascii="Arial" w:eastAsia="Times New Roman" w:hAnsi="Arial" w:cs="Arial"/>
          <w:lang w:eastAsia="cs-CZ"/>
        </w:rPr>
      </w:pPr>
      <w:r w:rsidRPr="0053104B">
        <w:rPr>
          <w:rFonts w:ascii="Arial" w:eastAsia="Times New Roman" w:hAnsi="Arial" w:cs="Arial"/>
          <w:lang w:eastAsia="cs-CZ"/>
        </w:rPr>
        <w:t>Jak je dále patrné z </w:t>
      </w:r>
      <w:r w:rsidR="005030AA">
        <w:rPr>
          <w:rFonts w:ascii="Arial" w:eastAsia="Times New Roman" w:hAnsi="Arial" w:cs="Arial"/>
          <w:lang w:eastAsia="cs-CZ"/>
        </w:rPr>
        <w:t>tabulky</w:t>
      </w:r>
      <w:r w:rsidRPr="0053104B">
        <w:rPr>
          <w:rFonts w:ascii="Arial" w:eastAsia="Times New Roman" w:hAnsi="Arial" w:cs="Arial"/>
          <w:lang w:eastAsia="cs-CZ"/>
        </w:rPr>
        <w:t xml:space="preserve"> </w:t>
      </w:r>
      <w:r w:rsidR="003F5D8D">
        <w:rPr>
          <w:rFonts w:ascii="Arial" w:eastAsia="Times New Roman" w:hAnsi="Arial" w:cs="Arial"/>
          <w:lang w:eastAsia="cs-CZ"/>
        </w:rPr>
        <w:t>1.</w:t>
      </w:r>
      <w:r w:rsidRPr="0053104B">
        <w:rPr>
          <w:rFonts w:ascii="Arial" w:eastAsia="Times New Roman" w:hAnsi="Arial" w:cs="Arial"/>
          <w:lang w:eastAsia="cs-CZ"/>
        </w:rPr>
        <w:t>4, podnikatelský sektor měl v roce 2013 k dispozici největší objem finančních prostředků</w:t>
      </w:r>
      <w:r w:rsidR="008A6D1D" w:rsidRPr="0053104B">
        <w:rPr>
          <w:rFonts w:ascii="Arial" w:eastAsia="Times New Roman" w:hAnsi="Arial" w:cs="Arial"/>
          <w:lang w:eastAsia="cs-CZ"/>
        </w:rPr>
        <w:t xml:space="preserve">, sumu </w:t>
      </w:r>
      <w:r w:rsidRPr="0053104B">
        <w:rPr>
          <w:rFonts w:ascii="Arial" w:eastAsia="Times New Roman" w:hAnsi="Arial" w:cs="Arial"/>
          <w:lang w:eastAsia="cs-CZ"/>
        </w:rPr>
        <w:t xml:space="preserve">přesahující 42 mld. Kč, </w:t>
      </w:r>
      <w:r w:rsidR="008A6D1D" w:rsidRPr="0053104B">
        <w:rPr>
          <w:rFonts w:ascii="Arial" w:eastAsia="Times New Roman" w:hAnsi="Arial" w:cs="Arial"/>
          <w:lang w:eastAsia="cs-CZ"/>
        </w:rPr>
        <w:t>ve větší míře</w:t>
      </w:r>
      <w:r w:rsidRPr="0053104B">
        <w:rPr>
          <w:rFonts w:ascii="Arial" w:eastAsia="Times New Roman" w:hAnsi="Arial" w:cs="Arial"/>
          <w:lang w:eastAsia="cs-CZ"/>
        </w:rPr>
        <w:t xml:space="preserve"> z vlastních (67 %) a</w:t>
      </w:r>
      <w:r w:rsidR="00271B9E">
        <w:rPr>
          <w:rFonts w:ascii="Arial" w:eastAsia="Times New Roman" w:hAnsi="Arial" w:cs="Arial"/>
          <w:lang w:eastAsia="cs-CZ"/>
        </w:rPr>
        <w:t> </w:t>
      </w:r>
      <w:r w:rsidRPr="0053104B">
        <w:rPr>
          <w:rFonts w:ascii="Arial" w:eastAsia="Times New Roman" w:hAnsi="Arial" w:cs="Arial"/>
          <w:lang w:eastAsia="cs-CZ"/>
        </w:rPr>
        <w:t>z podnikatelských zahraničních zdrojů (17 %). Celých 12 % financí navíc obdržely subjekty podnikatelského sektoru ze státního rozpočtu a 4 % z</w:t>
      </w:r>
      <w:r w:rsidR="008A6D1D" w:rsidRPr="0053104B">
        <w:rPr>
          <w:rFonts w:ascii="Arial" w:eastAsia="Times New Roman" w:hAnsi="Arial" w:cs="Arial"/>
          <w:lang w:eastAsia="cs-CZ"/>
        </w:rPr>
        <w:t>e</w:t>
      </w:r>
      <w:r w:rsidRPr="0053104B">
        <w:rPr>
          <w:rFonts w:ascii="Arial" w:eastAsia="Times New Roman" w:hAnsi="Arial" w:cs="Arial"/>
          <w:lang w:eastAsia="cs-CZ"/>
        </w:rPr>
        <w:t> </w:t>
      </w:r>
      <w:r w:rsidR="008A6D1D" w:rsidRPr="0053104B">
        <w:rPr>
          <w:rFonts w:ascii="Arial" w:eastAsia="Times New Roman" w:hAnsi="Arial" w:cs="Arial"/>
          <w:lang w:eastAsia="cs-CZ"/>
        </w:rPr>
        <w:t xml:space="preserve">zahraničních </w:t>
      </w:r>
      <w:r w:rsidRPr="0053104B">
        <w:rPr>
          <w:rFonts w:ascii="Arial" w:eastAsia="Times New Roman" w:hAnsi="Arial" w:cs="Arial"/>
          <w:lang w:eastAsia="cs-CZ"/>
        </w:rPr>
        <w:t xml:space="preserve">veřejných zdrojů. </w:t>
      </w:r>
    </w:p>
    <w:p w:rsidR="000822A0" w:rsidRPr="0053104B" w:rsidRDefault="000822A0" w:rsidP="0053104B">
      <w:pPr>
        <w:spacing w:after="0" w:line="360" w:lineRule="auto"/>
        <w:jc w:val="both"/>
        <w:rPr>
          <w:rFonts w:ascii="Arial" w:eastAsia="Times New Roman" w:hAnsi="Arial" w:cs="Arial"/>
          <w:lang w:eastAsia="cs-CZ"/>
        </w:rPr>
      </w:pPr>
      <w:r w:rsidRPr="0053104B">
        <w:rPr>
          <w:rFonts w:ascii="Arial" w:eastAsia="Times New Roman" w:hAnsi="Arial" w:cs="Arial"/>
          <w:lang w:eastAsia="cs-CZ"/>
        </w:rPr>
        <w:t xml:space="preserve">Vysokoškolský sektor vynaložil na VaVaI </w:t>
      </w:r>
      <w:r w:rsidR="00B20909">
        <w:rPr>
          <w:rFonts w:ascii="Arial" w:eastAsia="Times New Roman" w:hAnsi="Arial" w:cs="Arial"/>
          <w:lang w:eastAsia="cs-CZ"/>
        </w:rPr>
        <w:t xml:space="preserve">přibližně </w:t>
      </w:r>
      <w:r w:rsidRPr="0053104B">
        <w:rPr>
          <w:rFonts w:ascii="Arial" w:eastAsia="Times New Roman" w:hAnsi="Arial" w:cs="Arial"/>
          <w:lang w:eastAsia="cs-CZ"/>
        </w:rPr>
        <w:t xml:space="preserve">21 mld. Kč, přičemž 60 % tvořily </w:t>
      </w:r>
      <w:r w:rsidR="008A6D1D" w:rsidRPr="0053104B">
        <w:rPr>
          <w:rFonts w:ascii="Arial" w:eastAsia="Times New Roman" w:hAnsi="Arial" w:cs="Arial"/>
          <w:lang w:eastAsia="cs-CZ"/>
        </w:rPr>
        <w:t xml:space="preserve">domácí </w:t>
      </w:r>
      <w:r w:rsidRPr="0053104B">
        <w:rPr>
          <w:rFonts w:ascii="Arial" w:eastAsia="Times New Roman" w:hAnsi="Arial" w:cs="Arial"/>
          <w:lang w:eastAsia="cs-CZ"/>
        </w:rPr>
        <w:t xml:space="preserve">veřejné zdroje, 38 % </w:t>
      </w:r>
      <w:r w:rsidR="008A6D1D" w:rsidRPr="0053104B">
        <w:rPr>
          <w:rFonts w:ascii="Arial" w:eastAsia="Times New Roman" w:hAnsi="Arial" w:cs="Arial"/>
          <w:lang w:eastAsia="cs-CZ"/>
        </w:rPr>
        <w:t xml:space="preserve">zahraniční </w:t>
      </w:r>
      <w:r w:rsidRPr="0053104B">
        <w:rPr>
          <w:rFonts w:ascii="Arial" w:eastAsia="Times New Roman" w:hAnsi="Arial" w:cs="Arial"/>
          <w:lang w:eastAsia="cs-CZ"/>
        </w:rPr>
        <w:t>veřejné zdroje a pouhá 2 % podnikatelské zdroje. Ze 14 mld. Kč vynaložených vládním sektorem tvořily 66 % tuzemské veřejné zdroje, 20 % veřejné zahraniční zdroje, 11 % zahraniční podnikatelské zdroje a pouhá 3 % domácí podnikatelské zdroje.</w:t>
      </w:r>
    </w:p>
    <w:p w:rsidR="000822A0" w:rsidRDefault="000822A0" w:rsidP="008E7BFB">
      <w:pPr>
        <w:spacing w:after="0" w:line="360" w:lineRule="auto"/>
        <w:ind w:firstLine="708"/>
        <w:jc w:val="both"/>
        <w:rPr>
          <w:rFonts w:ascii="Arial" w:eastAsia="Times New Roman" w:hAnsi="Arial" w:cs="Arial"/>
          <w:lang w:eastAsia="cs-CZ"/>
        </w:rPr>
      </w:pPr>
      <w:r w:rsidRPr="0053104B">
        <w:rPr>
          <w:rFonts w:ascii="Arial" w:eastAsia="Times New Roman" w:hAnsi="Arial" w:cs="Arial"/>
          <w:lang w:eastAsia="cs-CZ"/>
        </w:rPr>
        <w:t>V mezinárodním srovnání je patrná nevyváženost mezi prostředky směřujícími od podniků k veřejným subjektům a financemi poskytovanými podnikům ze státního rozpočtu</w:t>
      </w:r>
      <w:r w:rsidR="000B10EB">
        <w:rPr>
          <w:rFonts w:ascii="Arial" w:eastAsia="Times New Roman" w:hAnsi="Arial" w:cs="Arial"/>
          <w:lang w:eastAsia="cs-CZ"/>
        </w:rPr>
        <w:t>. Nízký podíl soukromých prostředků pro veřejný (vysokoškolský a vládní) sektor pravděpodobně svědčí o</w:t>
      </w:r>
      <w:r w:rsidR="00271B9E">
        <w:rPr>
          <w:rFonts w:ascii="Arial" w:eastAsia="Times New Roman" w:hAnsi="Arial" w:cs="Arial"/>
          <w:lang w:eastAsia="cs-CZ"/>
        </w:rPr>
        <w:t> </w:t>
      </w:r>
      <w:r w:rsidRPr="0053104B">
        <w:rPr>
          <w:rFonts w:ascii="Arial" w:eastAsia="Times New Roman" w:hAnsi="Arial" w:cs="Arial"/>
          <w:lang w:eastAsia="cs-CZ"/>
        </w:rPr>
        <w:t>nedostatečně fungující spolupráci mezi podnikatelským a veřejným sektorem při provádění VaVaI.</w:t>
      </w:r>
      <w:r w:rsidR="000B10EB">
        <w:rPr>
          <w:rFonts w:ascii="Arial" w:eastAsia="Times New Roman" w:hAnsi="Arial" w:cs="Arial"/>
          <w:lang w:eastAsia="cs-CZ"/>
        </w:rPr>
        <w:t xml:space="preserve"> Oba sektory mají výrazně odlišné představy o spoluprác</w:t>
      </w:r>
      <w:r w:rsidR="00FA686C">
        <w:rPr>
          <w:rFonts w:ascii="Arial" w:eastAsia="Times New Roman" w:hAnsi="Arial" w:cs="Arial"/>
          <w:lang w:eastAsia="cs-CZ"/>
        </w:rPr>
        <w:t>i</w:t>
      </w:r>
      <w:r w:rsidR="000B10EB">
        <w:rPr>
          <w:rFonts w:ascii="Arial" w:eastAsia="Times New Roman" w:hAnsi="Arial" w:cs="Arial"/>
          <w:lang w:eastAsia="cs-CZ"/>
        </w:rPr>
        <w:t xml:space="preserve">. </w:t>
      </w:r>
      <w:r w:rsidR="000B10EB" w:rsidRPr="00A24B39">
        <w:rPr>
          <w:rFonts w:ascii="Arial" w:eastAsia="Times New Roman" w:hAnsi="Arial" w:cs="Arial"/>
          <w:lang w:eastAsia="cs-CZ"/>
        </w:rPr>
        <w:t xml:space="preserve">Veřejný sektor </w:t>
      </w:r>
      <w:r w:rsidR="00FA686C" w:rsidRPr="00A24B39">
        <w:rPr>
          <w:rFonts w:ascii="Arial" w:eastAsia="Times New Roman" w:hAnsi="Arial" w:cs="Arial"/>
          <w:lang w:eastAsia="cs-CZ"/>
        </w:rPr>
        <w:t>má snahu sám definovat cíle a výsledky spolupráce</w:t>
      </w:r>
      <w:r w:rsidR="000B10EB" w:rsidRPr="00A24B39">
        <w:rPr>
          <w:rFonts w:ascii="Arial" w:eastAsia="Times New Roman" w:hAnsi="Arial" w:cs="Arial"/>
          <w:lang w:eastAsia="cs-CZ"/>
        </w:rPr>
        <w:t xml:space="preserve"> </w:t>
      </w:r>
      <w:r w:rsidR="00FA686C" w:rsidRPr="00A24B39">
        <w:rPr>
          <w:rFonts w:ascii="Arial" w:eastAsia="Times New Roman" w:hAnsi="Arial" w:cs="Arial"/>
          <w:lang w:eastAsia="cs-CZ"/>
        </w:rPr>
        <w:t>s ohledem na rozvoj vědního oboru</w:t>
      </w:r>
      <w:r w:rsidR="000B10EB" w:rsidRPr="00A24B39">
        <w:rPr>
          <w:rFonts w:ascii="Arial" w:eastAsia="Times New Roman" w:hAnsi="Arial" w:cs="Arial"/>
          <w:lang w:eastAsia="cs-CZ"/>
        </w:rPr>
        <w:t xml:space="preserve">, zatímco podnikatelský sektor cílí spíše na </w:t>
      </w:r>
      <w:r w:rsidR="00FA686C" w:rsidRPr="00A24B39">
        <w:rPr>
          <w:rFonts w:ascii="Arial" w:eastAsia="Times New Roman" w:hAnsi="Arial" w:cs="Arial"/>
          <w:lang w:eastAsia="cs-CZ"/>
        </w:rPr>
        <w:t xml:space="preserve">konkrétní ekonomický efekt a </w:t>
      </w:r>
      <w:r w:rsidR="000B10EB" w:rsidRPr="00A24B39">
        <w:rPr>
          <w:rFonts w:ascii="Arial" w:eastAsia="Times New Roman" w:hAnsi="Arial" w:cs="Arial"/>
          <w:lang w:eastAsia="cs-CZ"/>
        </w:rPr>
        <w:t xml:space="preserve">rychlost </w:t>
      </w:r>
      <w:r w:rsidR="00FA686C" w:rsidRPr="00A24B39">
        <w:rPr>
          <w:rFonts w:ascii="Arial" w:eastAsia="Times New Roman" w:hAnsi="Arial" w:cs="Arial"/>
          <w:lang w:eastAsia="cs-CZ"/>
        </w:rPr>
        <w:t>jeho dosažení</w:t>
      </w:r>
      <w:r w:rsidR="000B10EB" w:rsidRPr="00A24B39">
        <w:rPr>
          <w:rFonts w:ascii="Arial" w:eastAsia="Times New Roman" w:hAnsi="Arial" w:cs="Arial"/>
          <w:lang w:eastAsia="cs-CZ"/>
        </w:rPr>
        <w:t>.</w:t>
      </w:r>
      <w:r w:rsidR="000B10EB">
        <w:rPr>
          <w:rFonts w:ascii="Arial" w:eastAsia="Times New Roman" w:hAnsi="Arial" w:cs="Arial"/>
          <w:lang w:eastAsia="cs-CZ"/>
        </w:rPr>
        <w:t xml:space="preserve"> Příčinou neúčinné spolupráce může být také skutečnost, že podnikatelský sektor je ve svých výzkumných potřebách saturován z veřejných zdrojů. </w:t>
      </w:r>
    </w:p>
    <w:p w:rsidR="000822A0" w:rsidRDefault="000822A0" w:rsidP="00D72475">
      <w:pPr>
        <w:spacing w:after="0" w:line="360" w:lineRule="auto"/>
        <w:ind w:firstLine="709"/>
        <w:jc w:val="both"/>
        <w:rPr>
          <w:rFonts w:ascii="Arial" w:eastAsia="Times New Roman" w:hAnsi="Arial" w:cs="Arial"/>
          <w:lang w:eastAsia="cs-CZ"/>
        </w:rPr>
      </w:pPr>
      <w:r w:rsidRPr="0053104B">
        <w:rPr>
          <w:rFonts w:ascii="Arial" w:eastAsia="Times New Roman" w:hAnsi="Arial" w:cs="Arial"/>
          <w:lang w:eastAsia="cs-CZ"/>
        </w:rPr>
        <w:t>Pokud jde o podíl domácích podnikatelských zdrojů poskytnutých veřejnému vysokoškolskému sektoru (obr</w:t>
      </w:r>
      <w:r w:rsidR="00D36A6E">
        <w:rPr>
          <w:rFonts w:ascii="Arial" w:eastAsia="Times New Roman" w:hAnsi="Arial" w:cs="Arial"/>
          <w:lang w:eastAsia="cs-CZ"/>
        </w:rPr>
        <w:t>ázek</w:t>
      </w:r>
      <w:r w:rsidRPr="0053104B">
        <w:rPr>
          <w:rFonts w:ascii="Arial" w:eastAsia="Times New Roman" w:hAnsi="Arial" w:cs="Arial"/>
          <w:lang w:eastAsia="cs-CZ"/>
        </w:rPr>
        <w:t xml:space="preserve"> </w:t>
      </w:r>
      <w:r w:rsidR="003F5D8D">
        <w:rPr>
          <w:rFonts w:ascii="Arial" w:eastAsia="Times New Roman" w:hAnsi="Arial" w:cs="Arial"/>
          <w:lang w:eastAsia="cs-CZ"/>
        </w:rPr>
        <w:t>1.</w:t>
      </w:r>
      <w:r w:rsidRPr="0053104B">
        <w:rPr>
          <w:rFonts w:ascii="Arial" w:eastAsia="Times New Roman" w:hAnsi="Arial" w:cs="Arial"/>
          <w:lang w:eastAsia="cs-CZ"/>
        </w:rPr>
        <w:t xml:space="preserve">6), je v ČR nejmenší ze všech zemí EU. Trend tohoto ukazatele v období 2000 – 2013 je v ČR setrvalý s mírnými výkyvy v rozmezí 0,6 – 1,1 %, mírný nárůst ve druhé polovině období je způsoben hodnotou v roce 2013 dosahující téměř 2 %. I tento objem je však velmi nízký ve srovnání s ostatními státy EU (střední hodnota EU je nad 6 %). </w:t>
      </w:r>
      <w:r w:rsidRPr="0053104B">
        <w:rPr>
          <w:rFonts w:ascii="Arial" w:eastAsia="Times New Roman" w:hAnsi="Arial" w:cs="Arial"/>
          <w:lang w:eastAsia="cs-CZ"/>
        </w:rPr>
        <w:lastRenderedPageBreak/>
        <w:t>Za</w:t>
      </w:r>
      <w:r w:rsidR="00271B9E">
        <w:rPr>
          <w:rFonts w:ascii="Arial" w:eastAsia="Times New Roman" w:hAnsi="Arial" w:cs="Arial"/>
          <w:lang w:eastAsia="cs-CZ"/>
        </w:rPr>
        <w:t> </w:t>
      </w:r>
      <w:r w:rsidRPr="0053104B">
        <w:rPr>
          <w:rFonts w:ascii="Arial" w:eastAsia="Times New Roman" w:hAnsi="Arial" w:cs="Arial"/>
          <w:lang w:eastAsia="cs-CZ"/>
        </w:rPr>
        <w:t xml:space="preserve">stávajícího nastavení systému VaVaI nelze </w:t>
      </w:r>
      <w:r w:rsidR="00D6317B">
        <w:rPr>
          <w:rFonts w:ascii="Arial" w:eastAsia="Times New Roman" w:hAnsi="Arial" w:cs="Arial"/>
          <w:lang w:eastAsia="cs-CZ"/>
        </w:rPr>
        <w:t xml:space="preserve">na základě trendu </w:t>
      </w:r>
      <w:r w:rsidRPr="0053104B">
        <w:rPr>
          <w:rFonts w:ascii="Arial" w:eastAsia="Times New Roman" w:hAnsi="Arial" w:cs="Arial"/>
          <w:lang w:eastAsia="cs-CZ"/>
        </w:rPr>
        <w:t>předpokládat výrazné zlepšení po</w:t>
      </w:r>
      <w:r w:rsidR="0053104B" w:rsidRPr="0053104B">
        <w:rPr>
          <w:rFonts w:ascii="Arial" w:eastAsia="Times New Roman" w:hAnsi="Arial" w:cs="Arial"/>
          <w:lang w:eastAsia="cs-CZ"/>
        </w:rPr>
        <w:t>zice ČR v následujících letech.</w:t>
      </w:r>
    </w:p>
    <w:p w:rsidR="00D23EB5" w:rsidRPr="000822A0" w:rsidRDefault="00D23EB5" w:rsidP="00D23EB5">
      <w:pPr>
        <w:pStyle w:val="Obrzek-nadpis"/>
      </w:pPr>
      <w:r w:rsidRPr="000822A0">
        <w:t xml:space="preserve">Obr. </w:t>
      </w:r>
      <w:r>
        <w:t>1.</w:t>
      </w:r>
      <w:r w:rsidRPr="000822A0">
        <w:t>6: Podíl podnikatelských zdrojů na výdajích na VaVaI ve vysokoškolském sektoru (HERD) v zemích EU a OECD (v %)</w:t>
      </w:r>
    </w:p>
    <w:p w:rsidR="00D23EB5" w:rsidRDefault="00BF5EAF" w:rsidP="00D23EB5">
      <w:pPr>
        <w:spacing w:after="0" w:line="240" w:lineRule="auto"/>
        <w:jc w:val="center"/>
        <w:rPr>
          <w:rFonts w:ascii="Times New Roman" w:eastAsia="Times New Roman" w:hAnsi="Times New Roman" w:cs="Times New Roman"/>
          <w:i/>
          <w:sz w:val="24"/>
          <w:szCs w:val="24"/>
          <w:lang w:eastAsia="cs-CZ"/>
        </w:rPr>
      </w:pPr>
      <w:r w:rsidRPr="00BF5EAF">
        <w:rPr>
          <w:noProof/>
          <w:lang w:eastAsia="cs-CZ"/>
        </w:rPr>
        <w:drawing>
          <wp:inline distT="0" distB="0" distL="0" distR="0">
            <wp:extent cx="4608000" cy="3312000"/>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a:extLst>
                        <a:ext uri="{28A0092B-C50C-407E-A947-70E740481C1C}">
                          <a14:useLocalDpi xmlns:a14="http://schemas.microsoft.com/office/drawing/2010/main" val="0"/>
                        </a:ext>
                      </a:extLst>
                    </a:blip>
                    <a:srcRect l="-46" r="-46"/>
                    <a:stretch/>
                  </pic:blipFill>
                  <pic:spPr bwMode="auto">
                    <a:xfrm>
                      <a:off x="0" y="0"/>
                      <a:ext cx="4608000" cy="3312000"/>
                    </a:xfrm>
                    <a:prstGeom prst="rect">
                      <a:avLst/>
                    </a:prstGeom>
                    <a:noFill/>
                    <a:ln>
                      <a:noFill/>
                    </a:ln>
                  </pic:spPr>
                </pic:pic>
              </a:graphicData>
            </a:graphic>
          </wp:inline>
        </w:drawing>
      </w:r>
    </w:p>
    <w:p w:rsidR="00D23EB5" w:rsidRPr="000822A0" w:rsidRDefault="00D23EB5" w:rsidP="005F1913">
      <w:pPr>
        <w:pStyle w:val="Zdroj"/>
        <w:spacing w:before="0"/>
      </w:pPr>
      <w:r w:rsidRPr="000822A0">
        <w:t xml:space="preserve">Zdroj dat: OECD – </w:t>
      </w:r>
      <w:proofErr w:type="spellStart"/>
      <w:r w:rsidRPr="000822A0">
        <w:t>Main</w:t>
      </w:r>
      <w:proofErr w:type="spellEnd"/>
      <w:r w:rsidRPr="000822A0">
        <w:t xml:space="preserve"> Science and Technology </w:t>
      </w:r>
      <w:proofErr w:type="spellStart"/>
      <w:r w:rsidRPr="000822A0">
        <w:t>Indicators</w:t>
      </w:r>
      <w:proofErr w:type="spellEnd"/>
    </w:p>
    <w:p w:rsidR="00D23EB5" w:rsidRPr="000822A0" w:rsidRDefault="00D23EB5" w:rsidP="00D23EB5">
      <w:pPr>
        <w:pStyle w:val="komentzaobrzkem"/>
      </w:pPr>
      <w:r w:rsidRPr="000822A0">
        <w:t>Horizontální osa: střední hodnota (medián) za období 2000 – 2013 v %</w:t>
      </w:r>
    </w:p>
    <w:p w:rsidR="00D23EB5" w:rsidRPr="000822A0" w:rsidRDefault="00D23EB5" w:rsidP="00D23EB5">
      <w:pPr>
        <w:pStyle w:val="komentzaobrzkem"/>
      </w:pPr>
      <w:r w:rsidRPr="000822A0">
        <w:t>Vertikální osa: intenzita růstu / poklesu v období let 2000 - 2013 vyjádřená jako směrnice regresní přímky (kladná hodnota značí rostoucí trend, záporná hodnota klesající)</w:t>
      </w:r>
    </w:p>
    <w:p w:rsidR="00D23EB5" w:rsidRPr="000822A0" w:rsidRDefault="00D23EB5" w:rsidP="00D23EB5">
      <w:pPr>
        <w:pStyle w:val="komentzaobrzkem"/>
      </w:pPr>
      <w:r w:rsidRPr="000822A0">
        <w:t>Průsečík os značí teoretickou pozici EU 28</w:t>
      </w:r>
      <w:r>
        <w:t>.</w:t>
      </w:r>
    </w:p>
    <w:p w:rsidR="00D23EB5" w:rsidRPr="000822A0" w:rsidRDefault="00D23EB5" w:rsidP="00D23EB5">
      <w:pPr>
        <w:pStyle w:val="komentzaobrzkem"/>
      </w:pPr>
      <w:r w:rsidRPr="000822A0">
        <w:t>Výřez vpravo dole demonstruje průběh v jednotlivých letech v</w:t>
      </w:r>
      <w:r>
        <w:t> </w:t>
      </w:r>
      <w:r w:rsidRPr="000822A0">
        <w:t>ČR</w:t>
      </w:r>
      <w:r>
        <w:t>.</w:t>
      </w:r>
    </w:p>
    <w:p w:rsidR="00D23EB5" w:rsidRPr="000822A0" w:rsidRDefault="00D23EB5" w:rsidP="00D23EB5">
      <w:pPr>
        <w:pStyle w:val="komentzaobrzkem"/>
      </w:pPr>
      <w:r w:rsidRPr="000822A0">
        <w:t xml:space="preserve">Součástí podnikatelských zdrojů jsou následující finanční prostředky: </w:t>
      </w:r>
    </w:p>
    <w:p w:rsidR="00D23EB5" w:rsidRPr="00E15D9A" w:rsidRDefault="00D23EB5" w:rsidP="00D23EB5">
      <w:pPr>
        <w:pStyle w:val="komentzaobrzkem-odrky"/>
      </w:pPr>
      <w:r>
        <w:t>p</w:t>
      </w:r>
      <w:r w:rsidRPr="00E15D9A">
        <w:t>říjmy z prodeje služeb výzkumu a vývoje (výzkum pro potřeby podniků)</w:t>
      </w:r>
      <w:r>
        <w:t>,</w:t>
      </w:r>
    </w:p>
    <w:p w:rsidR="00D23EB5" w:rsidRPr="00E15D9A" w:rsidRDefault="00D23EB5" w:rsidP="00D23EB5">
      <w:pPr>
        <w:pStyle w:val="komentzaobrzkem-odrky"/>
      </w:pPr>
      <w:r>
        <w:t>p</w:t>
      </w:r>
      <w:r w:rsidRPr="00E15D9A">
        <w:t>říjmy z licenčních poplatků (např. za patenty, know-how)</w:t>
      </w:r>
      <w:r>
        <w:t>,</w:t>
      </w:r>
    </w:p>
    <w:p w:rsidR="00D23EB5" w:rsidRPr="00E15D9A" w:rsidRDefault="00D23EB5" w:rsidP="00BF5EAF">
      <w:pPr>
        <w:pStyle w:val="komentzaobrzkem-odrky"/>
        <w:spacing w:after="240"/>
      </w:pPr>
      <w:r w:rsidRPr="00E15D9A">
        <w:t>ostatní příjmy (např. pronájem budov a zařízení, tržby z prodeje majetku, placené kurzy, konzultace a</w:t>
      </w:r>
      <w:r w:rsidR="00BF5EAF">
        <w:t> </w:t>
      </w:r>
      <w:r w:rsidRPr="00E15D9A">
        <w:t>poradenství, finanční dary</w:t>
      </w:r>
      <w:r>
        <w:t>).</w:t>
      </w:r>
    </w:p>
    <w:p w:rsidR="00BF5EAF" w:rsidRDefault="000822A0" w:rsidP="006B4254">
      <w:pPr>
        <w:spacing w:after="0" w:line="360" w:lineRule="auto"/>
        <w:ind w:firstLine="708"/>
        <w:jc w:val="both"/>
        <w:rPr>
          <w:rFonts w:ascii="Arial" w:eastAsia="Times New Roman" w:hAnsi="Arial" w:cs="Arial"/>
          <w:lang w:eastAsia="cs-CZ"/>
        </w:rPr>
      </w:pPr>
      <w:r w:rsidRPr="0053104B">
        <w:rPr>
          <w:rFonts w:ascii="Arial" w:eastAsia="Times New Roman" w:hAnsi="Arial" w:cs="Arial"/>
          <w:lang w:eastAsia="cs-CZ"/>
        </w:rPr>
        <w:t>Podíl domácích podnikatelských zdrojů poskytnutých vládnímu sektoru není tak kriticky nízký, jako v případě vysokoškolského sektoru (obr</w:t>
      </w:r>
      <w:r w:rsidR="00D36A6E">
        <w:rPr>
          <w:rFonts w:ascii="Arial" w:eastAsia="Times New Roman" w:hAnsi="Arial" w:cs="Arial"/>
          <w:lang w:eastAsia="cs-CZ"/>
        </w:rPr>
        <w:t>ázek</w:t>
      </w:r>
      <w:r w:rsidRPr="0053104B">
        <w:rPr>
          <w:rFonts w:ascii="Arial" w:eastAsia="Times New Roman" w:hAnsi="Arial" w:cs="Arial"/>
          <w:lang w:eastAsia="cs-CZ"/>
        </w:rPr>
        <w:t xml:space="preserve"> </w:t>
      </w:r>
      <w:r w:rsidR="003F5D8D">
        <w:rPr>
          <w:rFonts w:ascii="Arial" w:eastAsia="Times New Roman" w:hAnsi="Arial" w:cs="Arial"/>
          <w:lang w:eastAsia="cs-CZ"/>
        </w:rPr>
        <w:t>1.</w:t>
      </w:r>
      <w:r w:rsidRPr="0053104B">
        <w:rPr>
          <w:rFonts w:ascii="Arial" w:eastAsia="Times New Roman" w:hAnsi="Arial" w:cs="Arial"/>
          <w:lang w:eastAsia="cs-CZ"/>
        </w:rPr>
        <w:t>7). I v tomto ukazateli však ČR s hodnotou 6,5 % dlouhodobě zaostává za střední hodnotou členských států EU (8 %). Na</w:t>
      </w:r>
      <w:r w:rsidR="00271B9E">
        <w:rPr>
          <w:rFonts w:ascii="Arial" w:eastAsia="Times New Roman" w:hAnsi="Arial" w:cs="Arial"/>
          <w:lang w:eastAsia="cs-CZ"/>
        </w:rPr>
        <w:t> </w:t>
      </w:r>
      <w:r w:rsidRPr="0053104B">
        <w:rPr>
          <w:rFonts w:ascii="Arial" w:eastAsia="Times New Roman" w:hAnsi="Arial" w:cs="Arial"/>
          <w:lang w:eastAsia="cs-CZ"/>
        </w:rPr>
        <w:t>srovnatelné úrovni jako v ČR se nachází podpora vládního sektoru z podnikatelských zdrojů ve</w:t>
      </w:r>
      <w:r w:rsidR="00271B9E">
        <w:rPr>
          <w:rFonts w:ascii="Arial" w:eastAsia="Times New Roman" w:hAnsi="Arial" w:cs="Arial"/>
          <w:lang w:eastAsia="cs-CZ"/>
        </w:rPr>
        <w:t> </w:t>
      </w:r>
      <w:r w:rsidRPr="0053104B">
        <w:rPr>
          <w:rFonts w:ascii="Arial" w:eastAsia="Times New Roman" w:hAnsi="Arial" w:cs="Arial"/>
          <w:lang w:eastAsia="cs-CZ"/>
        </w:rPr>
        <w:t>Francii, Rakousku a Španělsku. Na rozdíl od uvedených zemí</w:t>
      </w:r>
      <w:r w:rsidR="00271B9E">
        <w:rPr>
          <w:rFonts w:ascii="Arial" w:eastAsia="Times New Roman" w:hAnsi="Arial" w:cs="Arial"/>
          <w:lang w:eastAsia="cs-CZ"/>
        </w:rPr>
        <w:t xml:space="preserve"> však ČR vykázala v období 2002 </w:t>
      </w:r>
      <w:r w:rsidRPr="0053104B">
        <w:rPr>
          <w:rFonts w:ascii="Arial" w:eastAsia="Times New Roman" w:hAnsi="Arial" w:cs="Arial"/>
          <w:lang w:eastAsia="cs-CZ"/>
        </w:rPr>
        <w:t>–</w:t>
      </w:r>
      <w:r w:rsidR="00271B9E">
        <w:rPr>
          <w:rFonts w:ascii="Arial" w:eastAsia="Times New Roman" w:hAnsi="Arial" w:cs="Arial"/>
          <w:lang w:eastAsia="cs-CZ"/>
        </w:rPr>
        <w:t> </w:t>
      </w:r>
      <w:r w:rsidRPr="0053104B">
        <w:rPr>
          <w:rFonts w:ascii="Arial" w:eastAsia="Times New Roman" w:hAnsi="Arial" w:cs="Arial"/>
          <w:lang w:eastAsia="cs-CZ"/>
        </w:rPr>
        <w:t xml:space="preserve">2013 klesající trend (z 10 % na 3 %), jehož intenzita je třetí nejvýraznější v EU. Bez strategického zásahu na národní úrovni nelze v nejbližších letech očekávat zlepšení situace. </w:t>
      </w:r>
      <w:r w:rsidR="00257DF1" w:rsidRPr="006B4254">
        <w:rPr>
          <w:rFonts w:ascii="Arial" w:eastAsia="Times New Roman" w:hAnsi="Arial" w:cs="Arial"/>
          <w:lang w:eastAsia="cs-CZ"/>
        </w:rPr>
        <w:t>P</w:t>
      </w:r>
      <w:r w:rsidRPr="006B4254">
        <w:rPr>
          <w:rFonts w:ascii="Arial" w:eastAsia="Times New Roman" w:hAnsi="Arial" w:cs="Arial"/>
          <w:lang w:eastAsia="cs-CZ"/>
        </w:rPr>
        <w:t>odíl financí podnikatelského sektoru pocházejících ze státního rozpočtu (obr</w:t>
      </w:r>
      <w:r w:rsidR="00D36A6E">
        <w:rPr>
          <w:rFonts w:ascii="Arial" w:eastAsia="Times New Roman" w:hAnsi="Arial" w:cs="Arial"/>
          <w:lang w:eastAsia="cs-CZ"/>
        </w:rPr>
        <w:t>ázek</w:t>
      </w:r>
      <w:r w:rsidRPr="006B4254">
        <w:rPr>
          <w:rFonts w:ascii="Arial" w:eastAsia="Times New Roman" w:hAnsi="Arial" w:cs="Arial"/>
          <w:lang w:eastAsia="cs-CZ"/>
        </w:rPr>
        <w:t xml:space="preserve"> </w:t>
      </w:r>
      <w:r w:rsidR="003F5D8D">
        <w:rPr>
          <w:rFonts w:ascii="Arial" w:eastAsia="Times New Roman" w:hAnsi="Arial" w:cs="Arial"/>
          <w:lang w:eastAsia="cs-CZ"/>
        </w:rPr>
        <w:t>1.</w:t>
      </w:r>
      <w:r w:rsidRPr="006B4254">
        <w:rPr>
          <w:rFonts w:ascii="Arial" w:eastAsia="Times New Roman" w:hAnsi="Arial" w:cs="Arial"/>
          <w:lang w:eastAsia="cs-CZ"/>
        </w:rPr>
        <w:t xml:space="preserve">8) je v ČR </w:t>
      </w:r>
      <w:r w:rsidR="00257DF1" w:rsidRPr="006B4254">
        <w:rPr>
          <w:rFonts w:ascii="Arial" w:eastAsia="Times New Roman" w:hAnsi="Arial" w:cs="Arial"/>
          <w:lang w:eastAsia="cs-CZ"/>
        </w:rPr>
        <w:t xml:space="preserve">naopak </w:t>
      </w:r>
      <w:r w:rsidRPr="006B4254">
        <w:rPr>
          <w:rFonts w:ascii="Arial" w:eastAsia="Times New Roman" w:hAnsi="Arial" w:cs="Arial"/>
          <w:lang w:eastAsia="cs-CZ"/>
        </w:rPr>
        <w:t xml:space="preserve">druhý nejvyšší po Slovensku. Na rozdíl od Slovenska, Francie, Itálie nebo Polska, což jsou země přesahující v horizontu let 2000 – 2013 hodnotu 10 %, </w:t>
      </w:r>
      <w:r w:rsidR="00257DF1" w:rsidRPr="006B4254">
        <w:rPr>
          <w:rFonts w:ascii="Arial" w:eastAsia="Times New Roman" w:hAnsi="Arial" w:cs="Arial"/>
          <w:lang w:eastAsia="cs-CZ"/>
        </w:rPr>
        <w:t xml:space="preserve">přestože u nich </w:t>
      </w:r>
      <w:r w:rsidRPr="006B4254">
        <w:rPr>
          <w:rFonts w:ascii="Arial" w:eastAsia="Times New Roman" w:hAnsi="Arial" w:cs="Arial"/>
          <w:lang w:eastAsia="cs-CZ"/>
        </w:rPr>
        <w:t xml:space="preserve">dochází k výraznému poklesu, </w:t>
      </w:r>
      <w:r w:rsidR="00257DF1" w:rsidRPr="006B4254">
        <w:rPr>
          <w:rFonts w:ascii="Arial" w:eastAsia="Times New Roman" w:hAnsi="Arial" w:cs="Arial"/>
          <w:lang w:eastAsia="cs-CZ"/>
        </w:rPr>
        <w:t xml:space="preserve">vykazoval </w:t>
      </w:r>
      <w:r w:rsidRPr="006B4254">
        <w:rPr>
          <w:rFonts w:ascii="Arial" w:eastAsia="Times New Roman" w:hAnsi="Arial" w:cs="Arial"/>
          <w:lang w:eastAsia="cs-CZ"/>
        </w:rPr>
        <w:t>v ČR uvedený podíl vyrovnaný trend.</w:t>
      </w:r>
      <w:r w:rsidRPr="0053104B">
        <w:rPr>
          <w:rFonts w:ascii="Arial" w:eastAsia="Times New Roman" w:hAnsi="Arial" w:cs="Arial"/>
          <w:lang w:eastAsia="cs-CZ"/>
        </w:rPr>
        <w:t xml:space="preserve"> Podrobnější pohled na průběh </w:t>
      </w:r>
      <w:r w:rsidR="00257DF1" w:rsidRPr="0053104B">
        <w:rPr>
          <w:rFonts w:ascii="Arial" w:eastAsia="Times New Roman" w:hAnsi="Arial" w:cs="Arial"/>
          <w:lang w:eastAsia="cs-CZ"/>
        </w:rPr>
        <w:t xml:space="preserve">vývoje </w:t>
      </w:r>
      <w:r w:rsidRPr="0053104B">
        <w:rPr>
          <w:rFonts w:ascii="Arial" w:eastAsia="Times New Roman" w:hAnsi="Arial" w:cs="Arial"/>
          <w:lang w:eastAsia="cs-CZ"/>
        </w:rPr>
        <w:t xml:space="preserve">v ČR indikuje od počátku období mírný nárůst s maximem na úrovni 17 % v roce 2009. Až </w:t>
      </w:r>
      <w:r w:rsidRPr="0053104B">
        <w:rPr>
          <w:rFonts w:ascii="Arial" w:eastAsia="Times New Roman" w:hAnsi="Arial" w:cs="Arial"/>
          <w:lang w:eastAsia="cs-CZ"/>
        </w:rPr>
        <w:lastRenderedPageBreak/>
        <w:t>v posledních čtyřech letech uvedeného období došlo k mírnému poklesu pod 15 %. Výše uvedené parametry v ČR indikují neochotu podniků spolupracovat ve VaVaI s veřejným sektorem, přestože je tato spolupráce podporována ze státního rozpočtu. Zatímco podpora podnikatelského sektoru ze</w:t>
      </w:r>
      <w:r w:rsidR="00271B9E">
        <w:rPr>
          <w:rFonts w:ascii="Arial" w:eastAsia="Times New Roman" w:hAnsi="Arial" w:cs="Arial"/>
          <w:lang w:eastAsia="cs-CZ"/>
        </w:rPr>
        <w:t> </w:t>
      </w:r>
      <w:r w:rsidRPr="0053104B">
        <w:rPr>
          <w:rFonts w:ascii="Arial" w:eastAsia="Times New Roman" w:hAnsi="Arial" w:cs="Arial"/>
          <w:lang w:eastAsia="cs-CZ"/>
        </w:rPr>
        <w:t>státního rozpočtu činila v období 2000 – 2013 přibližně 15 % objemu prostředků vynaložených podnikatelským sektorem na VaVaI (obr</w:t>
      </w:r>
      <w:r w:rsidR="00D36A6E">
        <w:rPr>
          <w:rFonts w:ascii="Arial" w:eastAsia="Times New Roman" w:hAnsi="Arial" w:cs="Arial"/>
          <w:lang w:eastAsia="cs-CZ"/>
        </w:rPr>
        <w:t>ázek</w:t>
      </w:r>
      <w:r w:rsidRPr="0053104B">
        <w:rPr>
          <w:rFonts w:ascii="Arial" w:eastAsia="Times New Roman" w:hAnsi="Arial" w:cs="Arial"/>
          <w:lang w:eastAsia="cs-CZ"/>
        </w:rPr>
        <w:t xml:space="preserve"> </w:t>
      </w:r>
      <w:r w:rsidR="003F5D8D">
        <w:rPr>
          <w:rFonts w:ascii="Arial" w:eastAsia="Times New Roman" w:hAnsi="Arial" w:cs="Arial"/>
          <w:lang w:eastAsia="cs-CZ"/>
        </w:rPr>
        <w:t>1.</w:t>
      </w:r>
      <w:r w:rsidRPr="0053104B">
        <w:rPr>
          <w:rFonts w:ascii="Arial" w:eastAsia="Times New Roman" w:hAnsi="Arial" w:cs="Arial"/>
          <w:lang w:eastAsia="cs-CZ"/>
        </w:rPr>
        <w:t xml:space="preserve">8), podniky podpořily veřejný sektor částkou tvořící pouze 1 % </w:t>
      </w:r>
      <w:r w:rsidR="00612C45" w:rsidRPr="0053104B">
        <w:rPr>
          <w:rFonts w:ascii="Arial" w:eastAsia="Times New Roman" w:hAnsi="Arial" w:cs="Arial"/>
          <w:lang w:eastAsia="cs-CZ"/>
        </w:rPr>
        <w:t xml:space="preserve">financí </w:t>
      </w:r>
      <w:r w:rsidRPr="0053104B">
        <w:rPr>
          <w:rFonts w:ascii="Arial" w:eastAsia="Times New Roman" w:hAnsi="Arial" w:cs="Arial"/>
          <w:lang w:eastAsia="cs-CZ"/>
        </w:rPr>
        <w:t>(u vysokoškolského, obr</w:t>
      </w:r>
      <w:r w:rsidR="00D36A6E">
        <w:rPr>
          <w:rFonts w:ascii="Arial" w:eastAsia="Times New Roman" w:hAnsi="Arial" w:cs="Arial"/>
          <w:lang w:eastAsia="cs-CZ"/>
        </w:rPr>
        <w:t>ázek</w:t>
      </w:r>
      <w:r w:rsidRPr="0053104B">
        <w:rPr>
          <w:rFonts w:ascii="Arial" w:eastAsia="Times New Roman" w:hAnsi="Arial" w:cs="Arial"/>
          <w:lang w:eastAsia="cs-CZ"/>
        </w:rPr>
        <w:t xml:space="preserve"> </w:t>
      </w:r>
      <w:r w:rsidR="003F5D8D">
        <w:rPr>
          <w:rFonts w:ascii="Arial" w:eastAsia="Times New Roman" w:hAnsi="Arial" w:cs="Arial"/>
          <w:lang w:eastAsia="cs-CZ"/>
        </w:rPr>
        <w:t>1.</w:t>
      </w:r>
      <w:r w:rsidRPr="0053104B">
        <w:rPr>
          <w:rFonts w:ascii="Arial" w:eastAsia="Times New Roman" w:hAnsi="Arial" w:cs="Arial"/>
          <w:lang w:eastAsia="cs-CZ"/>
        </w:rPr>
        <w:t>6) a 6 % (u vládního</w:t>
      </w:r>
      <w:r w:rsidR="00F45410">
        <w:rPr>
          <w:rStyle w:val="Znakapoznpodarou"/>
          <w:rFonts w:ascii="Arial" w:eastAsia="Times New Roman" w:hAnsi="Arial" w:cs="Arial"/>
          <w:lang w:eastAsia="cs-CZ"/>
        </w:rPr>
        <w:footnoteReference w:id="4"/>
      </w:r>
      <w:r w:rsidRPr="0053104B">
        <w:rPr>
          <w:rFonts w:ascii="Arial" w:eastAsia="Times New Roman" w:hAnsi="Arial" w:cs="Arial"/>
          <w:lang w:eastAsia="cs-CZ"/>
        </w:rPr>
        <w:t xml:space="preserve"> sektoru, obr</w:t>
      </w:r>
      <w:r w:rsidR="00D36A6E">
        <w:rPr>
          <w:rFonts w:ascii="Arial" w:eastAsia="Times New Roman" w:hAnsi="Arial" w:cs="Arial"/>
          <w:lang w:eastAsia="cs-CZ"/>
        </w:rPr>
        <w:t>ázek</w:t>
      </w:r>
      <w:r w:rsidRPr="0053104B">
        <w:rPr>
          <w:rFonts w:ascii="Arial" w:eastAsia="Times New Roman" w:hAnsi="Arial" w:cs="Arial"/>
          <w:lang w:eastAsia="cs-CZ"/>
        </w:rPr>
        <w:t xml:space="preserve"> </w:t>
      </w:r>
      <w:r w:rsidR="003F5D8D">
        <w:rPr>
          <w:rFonts w:ascii="Arial" w:eastAsia="Times New Roman" w:hAnsi="Arial" w:cs="Arial"/>
          <w:lang w:eastAsia="cs-CZ"/>
        </w:rPr>
        <w:t>1.</w:t>
      </w:r>
      <w:r w:rsidRPr="0053104B">
        <w:rPr>
          <w:rFonts w:ascii="Arial" w:eastAsia="Times New Roman" w:hAnsi="Arial" w:cs="Arial"/>
          <w:lang w:eastAsia="cs-CZ"/>
        </w:rPr>
        <w:t>7) vynaložených na VaVaI ve veřejném sektoru. Naproti tomu např. v Německu přímá podpora podniků ze státního rozpočtu činila pouze 4,5 % (obr</w:t>
      </w:r>
      <w:r w:rsidR="002122C6">
        <w:rPr>
          <w:rFonts w:ascii="Arial" w:eastAsia="Times New Roman" w:hAnsi="Arial" w:cs="Arial"/>
          <w:lang w:eastAsia="cs-CZ"/>
        </w:rPr>
        <w:t>ázek</w:t>
      </w:r>
      <w:r w:rsidRPr="0053104B">
        <w:rPr>
          <w:rFonts w:ascii="Arial" w:eastAsia="Times New Roman" w:hAnsi="Arial" w:cs="Arial"/>
          <w:lang w:eastAsia="cs-CZ"/>
        </w:rPr>
        <w:t xml:space="preserve"> </w:t>
      </w:r>
      <w:r w:rsidR="002122C6">
        <w:rPr>
          <w:rFonts w:ascii="Arial" w:eastAsia="Times New Roman" w:hAnsi="Arial" w:cs="Arial"/>
          <w:lang w:eastAsia="cs-CZ"/>
        </w:rPr>
        <w:t>1.</w:t>
      </w:r>
      <w:r w:rsidRPr="0053104B">
        <w:rPr>
          <w:rFonts w:ascii="Arial" w:eastAsia="Times New Roman" w:hAnsi="Arial" w:cs="Arial"/>
          <w:lang w:eastAsia="cs-CZ"/>
        </w:rPr>
        <w:t>8), přičemž podniky podpořily 14 % vysokoškolský sektor (obr</w:t>
      </w:r>
      <w:r w:rsidR="00D36A6E">
        <w:rPr>
          <w:rFonts w:ascii="Arial" w:eastAsia="Times New Roman" w:hAnsi="Arial" w:cs="Arial"/>
          <w:lang w:eastAsia="cs-CZ"/>
        </w:rPr>
        <w:t>ázek</w:t>
      </w:r>
      <w:r w:rsidRPr="0053104B">
        <w:rPr>
          <w:rFonts w:ascii="Arial" w:eastAsia="Times New Roman" w:hAnsi="Arial" w:cs="Arial"/>
          <w:lang w:eastAsia="cs-CZ"/>
        </w:rPr>
        <w:t xml:space="preserve"> </w:t>
      </w:r>
      <w:r w:rsidR="003F5D8D">
        <w:rPr>
          <w:rFonts w:ascii="Arial" w:eastAsia="Times New Roman" w:hAnsi="Arial" w:cs="Arial"/>
          <w:lang w:eastAsia="cs-CZ"/>
        </w:rPr>
        <w:t>1.</w:t>
      </w:r>
      <w:r w:rsidRPr="0053104B">
        <w:rPr>
          <w:rFonts w:ascii="Arial" w:eastAsia="Times New Roman" w:hAnsi="Arial" w:cs="Arial"/>
          <w:lang w:eastAsia="cs-CZ"/>
        </w:rPr>
        <w:t>6) a 9 % vládní sektor (obr</w:t>
      </w:r>
      <w:r w:rsidR="00D36A6E">
        <w:rPr>
          <w:rFonts w:ascii="Arial" w:eastAsia="Times New Roman" w:hAnsi="Arial" w:cs="Arial"/>
          <w:lang w:eastAsia="cs-CZ"/>
        </w:rPr>
        <w:t>ázek</w:t>
      </w:r>
      <w:r w:rsidRPr="0053104B">
        <w:rPr>
          <w:rFonts w:ascii="Arial" w:eastAsia="Times New Roman" w:hAnsi="Arial" w:cs="Arial"/>
          <w:lang w:eastAsia="cs-CZ"/>
        </w:rPr>
        <w:t xml:space="preserve"> </w:t>
      </w:r>
      <w:r w:rsidR="003F5D8D">
        <w:rPr>
          <w:rFonts w:ascii="Arial" w:eastAsia="Times New Roman" w:hAnsi="Arial" w:cs="Arial"/>
          <w:lang w:eastAsia="cs-CZ"/>
        </w:rPr>
        <w:t>1.</w:t>
      </w:r>
      <w:r w:rsidRPr="0053104B">
        <w:rPr>
          <w:rFonts w:ascii="Arial" w:eastAsia="Times New Roman" w:hAnsi="Arial" w:cs="Arial"/>
          <w:lang w:eastAsia="cs-CZ"/>
        </w:rPr>
        <w:t xml:space="preserve">7). Efekt motivace není v ČR zjevně naplněn, protože iniciační fáze spolupráce financovaná ze státního rozpočtu nezvýšila důvěru podnikatelského sektoru vůči veřejnému, </w:t>
      </w:r>
      <w:r w:rsidR="00612C45" w:rsidRPr="0053104B">
        <w:rPr>
          <w:rFonts w:ascii="Arial" w:eastAsia="Times New Roman" w:hAnsi="Arial" w:cs="Arial"/>
          <w:lang w:eastAsia="cs-CZ"/>
        </w:rPr>
        <w:t xml:space="preserve">jež </w:t>
      </w:r>
      <w:r w:rsidRPr="0053104B">
        <w:rPr>
          <w:rFonts w:ascii="Arial" w:eastAsia="Times New Roman" w:hAnsi="Arial" w:cs="Arial"/>
          <w:lang w:eastAsia="cs-CZ"/>
        </w:rPr>
        <w:t>by se projevila navýšením podnikatelského kapitálu ve veřejném výzkumu.</w:t>
      </w:r>
      <w:r w:rsidR="00612C45" w:rsidRPr="0053104B">
        <w:rPr>
          <w:rFonts w:ascii="Arial" w:eastAsia="Times New Roman" w:hAnsi="Arial" w:cs="Arial"/>
          <w:lang w:eastAsia="cs-CZ"/>
        </w:rPr>
        <w:t xml:space="preserve"> </w:t>
      </w:r>
    </w:p>
    <w:p w:rsidR="00BF5EAF" w:rsidRPr="000822A0" w:rsidRDefault="00BF5EAF" w:rsidP="00BF5EAF">
      <w:pPr>
        <w:pStyle w:val="Obrzek-nadpis"/>
      </w:pPr>
      <w:r w:rsidRPr="000822A0">
        <w:t>Obr.</w:t>
      </w:r>
      <w:r>
        <w:t xml:space="preserve"> 1.7: </w:t>
      </w:r>
      <w:r w:rsidRPr="000822A0">
        <w:t>Podíl podnikatelských zdrojů na výdajích na VaVaI ve vládním sektoru (GOVERD) v zemích EU a OECD (v %)</w:t>
      </w:r>
    </w:p>
    <w:p w:rsidR="00BF5EAF" w:rsidRPr="000822A0" w:rsidRDefault="00AC4AFF" w:rsidP="00BF5EAF">
      <w:pPr>
        <w:spacing w:after="0" w:line="240" w:lineRule="auto"/>
        <w:ind w:left="1410" w:hanging="1410"/>
        <w:jc w:val="center"/>
        <w:rPr>
          <w:rFonts w:ascii="Times New Roman" w:eastAsia="Times New Roman" w:hAnsi="Times New Roman" w:cs="Times New Roman"/>
          <w:b/>
          <w:sz w:val="24"/>
          <w:szCs w:val="24"/>
          <w:lang w:eastAsia="cs-CZ"/>
        </w:rPr>
      </w:pPr>
      <w:r w:rsidRPr="00AC4AFF">
        <w:rPr>
          <w:noProof/>
          <w:lang w:eastAsia="cs-CZ"/>
        </w:rPr>
        <w:drawing>
          <wp:inline distT="0" distB="0" distL="0" distR="0">
            <wp:extent cx="4852800" cy="3337200"/>
            <wp:effectExtent l="0" t="0" r="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a:extLst>
                        <a:ext uri="{28A0092B-C50C-407E-A947-70E740481C1C}">
                          <a14:useLocalDpi xmlns:a14="http://schemas.microsoft.com/office/drawing/2010/main" val="0"/>
                        </a:ext>
                      </a:extLst>
                    </a:blip>
                    <a:srcRect l="-44" r="-44"/>
                    <a:stretch/>
                  </pic:blipFill>
                  <pic:spPr bwMode="auto">
                    <a:xfrm>
                      <a:off x="0" y="0"/>
                      <a:ext cx="4852800" cy="3337200"/>
                    </a:xfrm>
                    <a:prstGeom prst="rect">
                      <a:avLst/>
                    </a:prstGeom>
                    <a:noFill/>
                    <a:ln>
                      <a:noFill/>
                    </a:ln>
                  </pic:spPr>
                </pic:pic>
              </a:graphicData>
            </a:graphic>
          </wp:inline>
        </w:drawing>
      </w:r>
    </w:p>
    <w:p w:rsidR="00BF5EAF" w:rsidRPr="000822A0" w:rsidRDefault="00BF5EAF" w:rsidP="00BF5EAF">
      <w:pPr>
        <w:pStyle w:val="Zdroj"/>
      </w:pPr>
      <w:r w:rsidRPr="000822A0">
        <w:t xml:space="preserve">Zdroj dat: OECD – </w:t>
      </w:r>
      <w:proofErr w:type="spellStart"/>
      <w:r w:rsidRPr="000822A0">
        <w:t>Main</w:t>
      </w:r>
      <w:proofErr w:type="spellEnd"/>
      <w:r w:rsidRPr="000822A0">
        <w:t xml:space="preserve"> Science and Technology </w:t>
      </w:r>
      <w:proofErr w:type="spellStart"/>
      <w:r w:rsidRPr="000822A0">
        <w:t>Indicators</w:t>
      </w:r>
      <w:proofErr w:type="spellEnd"/>
    </w:p>
    <w:p w:rsidR="00BF5EAF" w:rsidRPr="000822A0" w:rsidRDefault="00BF5EAF" w:rsidP="00BF5EAF">
      <w:pPr>
        <w:pStyle w:val="komentzaobrzkem"/>
      </w:pPr>
      <w:r w:rsidRPr="000822A0">
        <w:t>Horizontální osa: střední hodnota (medián) za období 2000 – 2013 v %</w:t>
      </w:r>
    </w:p>
    <w:p w:rsidR="00BF5EAF" w:rsidRPr="000822A0" w:rsidRDefault="00BF5EAF" w:rsidP="00BF5EAF">
      <w:pPr>
        <w:pStyle w:val="komentzaobrzkem"/>
      </w:pPr>
      <w:r w:rsidRPr="000822A0">
        <w:t>Vertikální osa: intenzita růstu / poklesu v období let 2000 - 2013 vyjádřená jako směrnice regresní přímky (kladná hodnota značí rostoucí trend, záporná hodnota klesající)</w:t>
      </w:r>
    </w:p>
    <w:p w:rsidR="00BF5EAF" w:rsidRPr="000822A0" w:rsidRDefault="00BF5EAF" w:rsidP="00BF5EAF">
      <w:pPr>
        <w:pStyle w:val="komentzaobrzkem"/>
      </w:pPr>
      <w:r w:rsidRPr="000822A0">
        <w:t>Průsečík os značí teoretickou pozici EU 28</w:t>
      </w:r>
      <w:r>
        <w:t>.</w:t>
      </w:r>
    </w:p>
    <w:p w:rsidR="00BF5EAF" w:rsidRPr="000822A0" w:rsidRDefault="00BF5EAF" w:rsidP="00BF5EAF">
      <w:pPr>
        <w:pStyle w:val="komentzaobrzkem"/>
      </w:pPr>
      <w:r w:rsidRPr="000822A0">
        <w:t>Výřez vpravo nahoře demonstruje průběh v jednotlivých letech v</w:t>
      </w:r>
      <w:r>
        <w:t> </w:t>
      </w:r>
      <w:r w:rsidRPr="000822A0">
        <w:t>ČR</w:t>
      </w:r>
      <w:r>
        <w:t>.</w:t>
      </w:r>
    </w:p>
    <w:p w:rsidR="00BF5EAF" w:rsidRPr="000822A0" w:rsidRDefault="00BF5EAF" w:rsidP="00BF5EAF">
      <w:pPr>
        <w:pStyle w:val="komentzaobrzkem"/>
      </w:pPr>
      <w:r w:rsidRPr="000822A0">
        <w:t xml:space="preserve">Součástí podnikatelských zdrojů jsou následující finanční prostředky: </w:t>
      </w:r>
    </w:p>
    <w:p w:rsidR="00BF5EAF" w:rsidRPr="00E704EB" w:rsidRDefault="00BF5EAF" w:rsidP="00BF5EAF">
      <w:pPr>
        <w:pStyle w:val="komentzaobrzkem-odrky"/>
      </w:pPr>
      <w:r>
        <w:t>p</w:t>
      </w:r>
      <w:r w:rsidRPr="00E704EB">
        <w:t>říjmy z prodeje služeb výzkumu a vývoje (výzkum pro potřeby podniků)</w:t>
      </w:r>
      <w:r>
        <w:t>,</w:t>
      </w:r>
    </w:p>
    <w:p w:rsidR="00BF5EAF" w:rsidRPr="00E704EB" w:rsidRDefault="00BF5EAF" w:rsidP="00BF5EAF">
      <w:pPr>
        <w:pStyle w:val="komentzaobrzkem-odrky"/>
      </w:pPr>
      <w:r>
        <w:t>p</w:t>
      </w:r>
      <w:r w:rsidRPr="00E704EB">
        <w:t>říjmy z licenčních poplatků (např. za patenty, know-how)</w:t>
      </w:r>
      <w:r>
        <w:t>,</w:t>
      </w:r>
    </w:p>
    <w:p w:rsidR="00BF5EAF" w:rsidRDefault="00BF5EAF" w:rsidP="00BF5EAF">
      <w:pPr>
        <w:pStyle w:val="komentzaobrzkem-odrky"/>
      </w:pPr>
      <w:r w:rsidRPr="00E704EB">
        <w:t>ostatní příjmy (např. pronájem budov a zařízení, tržby z prodeje majetku, placené kurzy, konzultace a poradenství, finanční dary</w:t>
      </w:r>
      <w:r>
        <w:t>).</w:t>
      </w:r>
    </w:p>
    <w:p w:rsidR="00BF5EAF" w:rsidRPr="000822A0" w:rsidRDefault="00BF5EAF" w:rsidP="00BF5EAF">
      <w:pPr>
        <w:pStyle w:val="Obrzek-nadpis"/>
      </w:pPr>
      <w:r>
        <w:lastRenderedPageBreak/>
        <w:t xml:space="preserve">Obr. 1.8: </w:t>
      </w:r>
      <w:r w:rsidRPr="000822A0">
        <w:t>Podíl finančních prostředků ze SR na celkových výdajích na VaVaI v podnikatelském sektoru (BERD) v zemích EU a OECD (v %)</w:t>
      </w:r>
    </w:p>
    <w:p w:rsidR="00BF5EAF" w:rsidRPr="000822A0" w:rsidRDefault="00AC4AFF" w:rsidP="00BF5EAF">
      <w:pPr>
        <w:spacing w:after="240" w:line="240" w:lineRule="auto"/>
        <w:jc w:val="center"/>
        <w:rPr>
          <w:rFonts w:ascii="Times New Roman" w:eastAsia="Times New Roman" w:hAnsi="Times New Roman" w:cs="Times New Roman"/>
          <w:b/>
          <w:sz w:val="24"/>
          <w:szCs w:val="24"/>
          <w:lang w:eastAsia="cs-CZ"/>
        </w:rPr>
      </w:pPr>
      <w:r w:rsidRPr="00AC4AFF">
        <w:rPr>
          <w:noProof/>
          <w:lang w:eastAsia="cs-CZ"/>
        </w:rPr>
        <w:drawing>
          <wp:inline distT="0" distB="0" distL="0" distR="0">
            <wp:extent cx="4852800" cy="3337200"/>
            <wp:effectExtent l="0" t="0" r="0" b="0"/>
            <wp:docPr id="78" name="Obráze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52800" cy="3337200"/>
                    </a:xfrm>
                    <a:prstGeom prst="rect">
                      <a:avLst/>
                    </a:prstGeom>
                    <a:noFill/>
                    <a:ln>
                      <a:noFill/>
                    </a:ln>
                  </pic:spPr>
                </pic:pic>
              </a:graphicData>
            </a:graphic>
          </wp:inline>
        </w:drawing>
      </w:r>
    </w:p>
    <w:p w:rsidR="00BF5EAF" w:rsidRPr="000822A0" w:rsidRDefault="00BF5EAF" w:rsidP="00AC4AFF">
      <w:pPr>
        <w:pStyle w:val="Zdroj"/>
        <w:spacing w:before="0"/>
      </w:pPr>
      <w:r w:rsidRPr="000822A0">
        <w:t xml:space="preserve">Zdroj dat: OECD – </w:t>
      </w:r>
      <w:proofErr w:type="spellStart"/>
      <w:r w:rsidRPr="000822A0">
        <w:t>Main</w:t>
      </w:r>
      <w:proofErr w:type="spellEnd"/>
      <w:r w:rsidRPr="000822A0">
        <w:t xml:space="preserve"> Science and Technology </w:t>
      </w:r>
      <w:proofErr w:type="spellStart"/>
      <w:r w:rsidRPr="000822A0">
        <w:t>Indicators</w:t>
      </w:r>
      <w:proofErr w:type="spellEnd"/>
    </w:p>
    <w:p w:rsidR="00BF5EAF" w:rsidRPr="000822A0" w:rsidRDefault="00BF5EAF" w:rsidP="00BF5EAF">
      <w:pPr>
        <w:pStyle w:val="komentzaobrzkem"/>
      </w:pPr>
      <w:r w:rsidRPr="000822A0">
        <w:t>Horizontální osa: střední hodnota (medián) za období 2000 - 2013</w:t>
      </w:r>
    </w:p>
    <w:p w:rsidR="00BF5EAF" w:rsidRPr="000822A0" w:rsidRDefault="00BF5EAF" w:rsidP="00BF5EAF">
      <w:pPr>
        <w:pStyle w:val="komentzaobrzkem"/>
      </w:pPr>
      <w:r w:rsidRPr="000822A0">
        <w:t>Vertikální osa: intenzita růstu / poklesu v období let 2000 - 2013 vyjádřená jako směrnice regresní přímky (kladná hodnota značí rostoucí trend, záporná hodnota klesající)</w:t>
      </w:r>
    </w:p>
    <w:p w:rsidR="00BF5EAF" w:rsidRPr="000822A0" w:rsidRDefault="00BF5EAF" w:rsidP="00BF5EAF">
      <w:pPr>
        <w:pStyle w:val="komentzaobrzkem"/>
      </w:pPr>
      <w:r w:rsidRPr="000822A0">
        <w:t>Průsečík os značí teoretickou pozici EU 28</w:t>
      </w:r>
      <w:r>
        <w:t>.</w:t>
      </w:r>
    </w:p>
    <w:p w:rsidR="00BF5EAF" w:rsidRPr="000822A0" w:rsidRDefault="00BF5EAF" w:rsidP="00BF5EAF">
      <w:pPr>
        <w:pStyle w:val="komentzaobrzkem"/>
      </w:pPr>
      <w:r w:rsidRPr="000822A0">
        <w:t>Výřez vpravo nahoře demonstruje průběh v jednotlivých letech v</w:t>
      </w:r>
      <w:r>
        <w:t> </w:t>
      </w:r>
      <w:r w:rsidRPr="000822A0">
        <w:t>ČR</w:t>
      </w:r>
      <w:r>
        <w:t>.</w:t>
      </w:r>
    </w:p>
    <w:p w:rsidR="00BF5EAF" w:rsidRDefault="00BF5EAF" w:rsidP="00BF5EAF">
      <w:pPr>
        <w:pStyle w:val="komentzaobrzkem"/>
        <w:spacing w:after="240"/>
      </w:pPr>
      <w:r w:rsidRPr="000822A0">
        <w:t>Součástí finančních prostředků ze SR jsou prostředky vynaložené na spolufinancování operačních a rámcových programů EU</w:t>
      </w:r>
      <w:r>
        <w:t>.</w:t>
      </w:r>
    </w:p>
    <w:p w:rsidR="000822A0" w:rsidRDefault="000822A0" w:rsidP="006B4254">
      <w:pPr>
        <w:spacing w:after="0" w:line="360" w:lineRule="auto"/>
        <w:ind w:firstLine="708"/>
        <w:jc w:val="both"/>
        <w:rPr>
          <w:rFonts w:ascii="Arial" w:eastAsia="Times New Roman" w:hAnsi="Arial" w:cs="Arial"/>
          <w:lang w:eastAsia="cs-CZ"/>
        </w:rPr>
      </w:pPr>
      <w:r w:rsidRPr="0053104B">
        <w:rPr>
          <w:rFonts w:ascii="Arial" w:eastAsia="Times New Roman" w:hAnsi="Arial" w:cs="Arial"/>
          <w:lang w:eastAsia="cs-CZ"/>
        </w:rPr>
        <w:t>Výdaje na VaVaI v podnikatelském sektoru, které jsou prezentovány v obr</w:t>
      </w:r>
      <w:r w:rsidR="00D36A6E">
        <w:rPr>
          <w:rFonts w:ascii="Arial" w:eastAsia="Times New Roman" w:hAnsi="Arial" w:cs="Arial"/>
          <w:lang w:eastAsia="cs-CZ"/>
        </w:rPr>
        <w:t>ázku</w:t>
      </w:r>
      <w:r w:rsidRPr="0053104B">
        <w:rPr>
          <w:rFonts w:ascii="Arial" w:eastAsia="Times New Roman" w:hAnsi="Arial" w:cs="Arial"/>
          <w:lang w:eastAsia="cs-CZ"/>
        </w:rPr>
        <w:t xml:space="preserve"> </w:t>
      </w:r>
      <w:r w:rsidR="003F5D8D">
        <w:rPr>
          <w:rFonts w:ascii="Arial" w:eastAsia="Times New Roman" w:hAnsi="Arial" w:cs="Arial"/>
          <w:lang w:eastAsia="cs-CZ"/>
        </w:rPr>
        <w:t>1.</w:t>
      </w:r>
      <w:r w:rsidRPr="0053104B">
        <w:rPr>
          <w:rFonts w:ascii="Arial" w:eastAsia="Times New Roman" w:hAnsi="Arial" w:cs="Arial"/>
          <w:lang w:eastAsia="cs-CZ"/>
        </w:rPr>
        <w:t>7, vycházejí z přímé podpory podnikatelského sektoru, navíc jsou značn</w:t>
      </w:r>
      <w:r w:rsidR="00612C45" w:rsidRPr="0053104B">
        <w:rPr>
          <w:rFonts w:ascii="Arial" w:eastAsia="Times New Roman" w:hAnsi="Arial" w:cs="Arial"/>
          <w:lang w:eastAsia="cs-CZ"/>
        </w:rPr>
        <w:t>ě</w:t>
      </w:r>
      <w:r w:rsidRPr="0053104B">
        <w:rPr>
          <w:rFonts w:ascii="Arial" w:eastAsia="Times New Roman" w:hAnsi="Arial" w:cs="Arial"/>
          <w:lang w:eastAsia="cs-CZ"/>
        </w:rPr>
        <w:t xml:space="preserve"> zkreslen</w:t>
      </w:r>
      <w:r w:rsidR="00612C45" w:rsidRPr="0053104B">
        <w:rPr>
          <w:rFonts w:ascii="Arial" w:eastAsia="Times New Roman" w:hAnsi="Arial" w:cs="Arial"/>
          <w:lang w:eastAsia="cs-CZ"/>
        </w:rPr>
        <w:t>y</w:t>
      </w:r>
      <w:r w:rsidRPr="0053104B">
        <w:rPr>
          <w:rFonts w:ascii="Arial" w:eastAsia="Times New Roman" w:hAnsi="Arial" w:cs="Arial"/>
          <w:lang w:eastAsia="cs-CZ"/>
        </w:rPr>
        <w:t xml:space="preserve"> subjekty náležejícími</w:t>
      </w:r>
      <w:r w:rsidR="00612C45" w:rsidRPr="0053104B">
        <w:rPr>
          <w:rFonts w:ascii="Arial" w:eastAsia="Times New Roman" w:hAnsi="Arial" w:cs="Arial"/>
          <w:lang w:eastAsia="cs-CZ"/>
        </w:rPr>
        <w:t xml:space="preserve"> </w:t>
      </w:r>
      <w:r w:rsidRPr="0053104B">
        <w:rPr>
          <w:rFonts w:ascii="Arial" w:eastAsia="Times New Roman" w:hAnsi="Arial" w:cs="Arial"/>
          <w:lang w:eastAsia="cs-CZ"/>
        </w:rPr>
        <w:t>k podnikatelskému sektoru. Výdaje na VaVaI vykázané výrobními podniky, po očištění o veřejné podniky a výzkumné organizace, jsou ve skutečnosti přibližně o třetinu nižší (viz podrobný rozbor výše).</w:t>
      </w:r>
      <w:r w:rsidR="00612C45" w:rsidRPr="0053104B">
        <w:rPr>
          <w:rFonts w:ascii="Arial" w:eastAsia="Times New Roman" w:hAnsi="Arial" w:cs="Arial"/>
          <w:lang w:eastAsia="cs-CZ"/>
        </w:rPr>
        <w:t xml:space="preserve"> </w:t>
      </w:r>
      <w:r w:rsidRPr="0053104B">
        <w:rPr>
          <w:rFonts w:ascii="Arial" w:eastAsia="Times New Roman" w:hAnsi="Arial" w:cs="Arial"/>
          <w:lang w:eastAsia="cs-CZ"/>
        </w:rPr>
        <w:t>Kromě přímé podpory VaVaI ze státního rozpočtu jsou podniky podporovány také nepřímo formou</w:t>
      </w:r>
      <w:r w:rsidR="00612C45" w:rsidRPr="0053104B">
        <w:rPr>
          <w:rFonts w:ascii="Arial" w:eastAsia="Times New Roman" w:hAnsi="Arial" w:cs="Arial"/>
          <w:lang w:eastAsia="cs-CZ"/>
        </w:rPr>
        <w:t xml:space="preserve"> položek </w:t>
      </w:r>
      <w:r w:rsidRPr="0053104B">
        <w:rPr>
          <w:rFonts w:ascii="Arial" w:eastAsia="Times New Roman" w:hAnsi="Arial" w:cs="Arial"/>
          <w:lang w:eastAsia="cs-CZ"/>
        </w:rPr>
        <w:t>odčitatelných od základu daně z</w:t>
      </w:r>
      <w:r w:rsidR="00271B9E">
        <w:rPr>
          <w:rFonts w:ascii="Arial" w:eastAsia="Times New Roman" w:hAnsi="Arial" w:cs="Arial"/>
          <w:lang w:eastAsia="cs-CZ"/>
        </w:rPr>
        <w:t> </w:t>
      </w:r>
      <w:r w:rsidRPr="0053104B">
        <w:rPr>
          <w:rFonts w:ascii="Arial" w:eastAsia="Times New Roman" w:hAnsi="Arial" w:cs="Arial"/>
          <w:lang w:eastAsia="cs-CZ"/>
        </w:rPr>
        <w:t>příjmů právnických osob</w:t>
      </w:r>
      <w:r w:rsidRPr="0053104B">
        <w:rPr>
          <w:rFonts w:ascii="Arial" w:eastAsia="Times New Roman" w:hAnsi="Arial" w:cs="Arial"/>
          <w:vertAlign w:val="superscript"/>
          <w:lang w:eastAsia="cs-CZ"/>
        </w:rPr>
        <w:footnoteReference w:id="5"/>
      </w:r>
      <w:r w:rsidRPr="0053104B">
        <w:rPr>
          <w:rFonts w:ascii="Arial" w:eastAsia="Times New Roman" w:hAnsi="Arial" w:cs="Arial"/>
          <w:lang w:eastAsia="cs-CZ"/>
        </w:rPr>
        <w:t>. Nepřímá podpora se však nemůže projevit ve výdajích ve sledovaném roce, ale v roce následujícím, kdy se úspora na dani projeví v rozpočtu. Nepřímá podpora VaVaI</w:t>
      </w:r>
      <w:r w:rsidR="00612C45" w:rsidRPr="0053104B">
        <w:rPr>
          <w:rFonts w:ascii="Arial" w:eastAsia="Times New Roman" w:hAnsi="Arial" w:cs="Arial"/>
          <w:lang w:eastAsia="cs-CZ"/>
        </w:rPr>
        <w:t xml:space="preserve"> </w:t>
      </w:r>
      <w:r w:rsidRPr="0053104B">
        <w:rPr>
          <w:rFonts w:ascii="Arial" w:eastAsia="Times New Roman" w:hAnsi="Arial" w:cs="Arial"/>
          <w:lang w:eastAsia="cs-CZ"/>
        </w:rPr>
        <w:t xml:space="preserve">v podnikatelském sektoru v ČR </w:t>
      </w:r>
      <w:r w:rsidR="00612C45" w:rsidRPr="0053104B">
        <w:rPr>
          <w:rFonts w:ascii="Arial" w:eastAsia="Times New Roman" w:hAnsi="Arial" w:cs="Arial"/>
          <w:lang w:eastAsia="cs-CZ"/>
        </w:rPr>
        <w:t xml:space="preserve">dosáhla </w:t>
      </w:r>
      <w:r w:rsidRPr="0053104B">
        <w:rPr>
          <w:rFonts w:ascii="Arial" w:eastAsia="Times New Roman" w:hAnsi="Arial" w:cs="Arial"/>
          <w:lang w:eastAsia="cs-CZ"/>
        </w:rPr>
        <w:t xml:space="preserve">v roce 2013 </w:t>
      </w:r>
      <w:r w:rsidR="00612C45" w:rsidRPr="0053104B">
        <w:rPr>
          <w:rFonts w:ascii="Arial" w:eastAsia="Times New Roman" w:hAnsi="Arial" w:cs="Arial"/>
          <w:lang w:eastAsia="cs-CZ"/>
        </w:rPr>
        <w:t xml:space="preserve">výše </w:t>
      </w:r>
      <w:r w:rsidRPr="0053104B">
        <w:rPr>
          <w:rFonts w:ascii="Arial" w:eastAsia="Times New Roman" w:hAnsi="Arial" w:cs="Arial"/>
          <w:lang w:eastAsia="cs-CZ"/>
        </w:rPr>
        <w:t>2,3 mld. Kč (obr</w:t>
      </w:r>
      <w:r w:rsidR="002122C6">
        <w:rPr>
          <w:rFonts w:ascii="Arial" w:eastAsia="Times New Roman" w:hAnsi="Arial" w:cs="Arial"/>
          <w:lang w:eastAsia="cs-CZ"/>
        </w:rPr>
        <w:t>ázek</w:t>
      </w:r>
      <w:r w:rsidRPr="0053104B">
        <w:rPr>
          <w:rFonts w:ascii="Arial" w:eastAsia="Times New Roman" w:hAnsi="Arial" w:cs="Arial"/>
          <w:lang w:eastAsia="cs-CZ"/>
        </w:rPr>
        <w:t xml:space="preserve"> </w:t>
      </w:r>
      <w:r w:rsidR="003F5D8D">
        <w:rPr>
          <w:rFonts w:ascii="Arial" w:eastAsia="Times New Roman" w:hAnsi="Arial" w:cs="Arial"/>
          <w:lang w:eastAsia="cs-CZ"/>
        </w:rPr>
        <w:t>1.</w:t>
      </w:r>
      <w:r w:rsidRPr="0053104B">
        <w:rPr>
          <w:rFonts w:ascii="Arial" w:eastAsia="Times New Roman" w:hAnsi="Arial" w:cs="Arial"/>
          <w:lang w:eastAsia="cs-CZ"/>
        </w:rPr>
        <w:t>9)</w:t>
      </w:r>
      <w:r w:rsidR="00C87292">
        <w:rPr>
          <w:rFonts w:ascii="Arial" w:eastAsia="Times New Roman" w:hAnsi="Arial" w:cs="Arial"/>
          <w:lang w:eastAsia="cs-CZ"/>
        </w:rPr>
        <w:t>, v součtu obou podpor získaly podniky přibližně 5 mld. Kč (po očištění přímé podpory podnikatelského sektoru o</w:t>
      </w:r>
      <w:r w:rsidR="00271B9E">
        <w:rPr>
          <w:rFonts w:ascii="Arial" w:eastAsia="Times New Roman" w:hAnsi="Arial" w:cs="Arial"/>
          <w:lang w:eastAsia="cs-CZ"/>
        </w:rPr>
        <w:t> </w:t>
      </w:r>
      <w:r w:rsidR="00C87292">
        <w:rPr>
          <w:rFonts w:ascii="Arial" w:eastAsia="Times New Roman" w:hAnsi="Arial" w:cs="Arial"/>
          <w:lang w:eastAsia="cs-CZ"/>
        </w:rPr>
        <w:t>veřejné podniky a výzkumné organizace)</w:t>
      </w:r>
      <w:r w:rsidRPr="0053104B">
        <w:rPr>
          <w:rFonts w:ascii="Arial" w:eastAsia="Times New Roman" w:hAnsi="Arial" w:cs="Arial"/>
          <w:lang w:eastAsia="cs-CZ"/>
        </w:rPr>
        <w:t>. V meziročním srovnání (</w:t>
      </w:r>
      <w:r w:rsidR="00612C45" w:rsidRPr="0053104B">
        <w:rPr>
          <w:rFonts w:ascii="Arial" w:eastAsia="Times New Roman" w:hAnsi="Arial" w:cs="Arial"/>
          <w:lang w:eastAsia="cs-CZ"/>
        </w:rPr>
        <w:t xml:space="preserve">data jsou </w:t>
      </w:r>
      <w:r w:rsidRPr="0053104B">
        <w:rPr>
          <w:rFonts w:ascii="Arial" w:eastAsia="Times New Roman" w:hAnsi="Arial" w:cs="Arial"/>
          <w:lang w:eastAsia="cs-CZ"/>
        </w:rPr>
        <w:t>dostupná od roku 2007) je patrný rostoucí trend jak v počtu subjektů, které nepřímou podporu využily, tak v celkové uspořené částce. Této formy podpory však využívají především velké podniky (70 % v roce 2013).</w:t>
      </w:r>
      <w:r w:rsidR="00A404BD">
        <w:rPr>
          <w:rFonts w:ascii="Arial" w:eastAsia="Times New Roman" w:hAnsi="Arial" w:cs="Arial"/>
          <w:lang w:eastAsia="cs-CZ"/>
        </w:rPr>
        <w:t xml:space="preserve"> Navíc se</w:t>
      </w:r>
      <w:r w:rsidR="00BF5EAF">
        <w:rPr>
          <w:rFonts w:ascii="Arial" w:eastAsia="Times New Roman" w:hAnsi="Arial" w:cs="Arial"/>
          <w:lang w:eastAsia="cs-CZ"/>
        </w:rPr>
        <w:t> </w:t>
      </w:r>
      <w:r w:rsidR="00A404BD">
        <w:rPr>
          <w:rFonts w:ascii="Arial" w:eastAsia="Times New Roman" w:hAnsi="Arial" w:cs="Arial"/>
          <w:lang w:eastAsia="cs-CZ"/>
        </w:rPr>
        <w:t>jedná o podporu s vyšším rizikem zneužití.</w:t>
      </w:r>
    </w:p>
    <w:p w:rsidR="00BF5EAF" w:rsidRPr="000822A0" w:rsidRDefault="00BF5EAF" w:rsidP="00BF5EAF">
      <w:pPr>
        <w:pStyle w:val="Obrzek-nadpis"/>
      </w:pPr>
      <w:r w:rsidRPr="000822A0">
        <w:lastRenderedPageBreak/>
        <w:t xml:space="preserve">Obr. </w:t>
      </w:r>
      <w:r>
        <w:t>1.</w:t>
      </w:r>
      <w:r w:rsidRPr="000822A0">
        <w:t>9</w:t>
      </w:r>
      <w:r>
        <w:t xml:space="preserve">: </w:t>
      </w:r>
      <w:r w:rsidRPr="000822A0">
        <w:t>Nepřímá podpora VaVaI v podnikatelském sektoru v ČR v letech 2007 - 2013</w:t>
      </w:r>
    </w:p>
    <w:p w:rsidR="00BF5EAF" w:rsidRPr="000822A0" w:rsidRDefault="00BF5EAF" w:rsidP="00BF5EAF">
      <w:pPr>
        <w:spacing w:after="0" w:line="240" w:lineRule="auto"/>
        <w:jc w:val="center"/>
        <w:rPr>
          <w:rFonts w:ascii="Times New Roman" w:eastAsia="Times New Roman" w:hAnsi="Times New Roman" w:cs="Times New Roman"/>
          <w:i/>
          <w:sz w:val="24"/>
          <w:szCs w:val="24"/>
          <w:lang w:eastAsia="cs-CZ"/>
        </w:rPr>
      </w:pPr>
      <w:r w:rsidRPr="000822A0">
        <w:rPr>
          <w:rFonts w:ascii="Times New Roman" w:eastAsia="Times New Roman" w:hAnsi="Times New Roman" w:cs="Times New Roman"/>
          <w:noProof/>
          <w:sz w:val="24"/>
          <w:szCs w:val="24"/>
          <w:lang w:eastAsia="cs-CZ"/>
        </w:rPr>
        <w:drawing>
          <wp:inline distT="0" distB="0" distL="0" distR="0" wp14:anchorId="7C6DC408" wp14:editId="1A0663D0">
            <wp:extent cx="4194000" cy="3240000"/>
            <wp:effectExtent l="0" t="0" r="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94000" cy="3240000"/>
                    </a:xfrm>
                    <a:prstGeom prst="rect">
                      <a:avLst/>
                    </a:prstGeom>
                    <a:noFill/>
                    <a:ln>
                      <a:noFill/>
                    </a:ln>
                  </pic:spPr>
                </pic:pic>
              </a:graphicData>
            </a:graphic>
          </wp:inline>
        </w:drawing>
      </w:r>
    </w:p>
    <w:p w:rsidR="00BF5EAF" w:rsidRPr="000822A0" w:rsidRDefault="00BF5EAF" w:rsidP="00BF5EAF">
      <w:pPr>
        <w:pStyle w:val="Zdroj"/>
      </w:pPr>
      <w:r w:rsidRPr="000822A0">
        <w:t>Zdroj dat: ČSÚ podle administrativních dat GFŘ</w:t>
      </w:r>
    </w:p>
    <w:p w:rsidR="00BF5EAF" w:rsidRPr="000822A0" w:rsidRDefault="00BF5EAF" w:rsidP="00BF5EAF">
      <w:pPr>
        <w:pStyle w:val="komentzaobrzkem"/>
      </w:pPr>
      <w:r w:rsidRPr="000822A0">
        <w:t xml:space="preserve">Levá vertikální osa: </w:t>
      </w:r>
      <w:r>
        <w:t>s</w:t>
      </w:r>
      <w:r w:rsidRPr="000822A0">
        <w:t>nížení daně z příjmu právnických za osob za prováděný VaVaI v mil. Kč</w:t>
      </w:r>
    </w:p>
    <w:p w:rsidR="00BF5EAF" w:rsidRDefault="00BF5EAF" w:rsidP="00BF5EAF">
      <w:pPr>
        <w:pStyle w:val="komentzaobrzkem"/>
        <w:spacing w:after="240"/>
      </w:pPr>
      <w:r w:rsidRPr="000822A0">
        <w:t xml:space="preserve">Pravá horizontální osa: </w:t>
      </w:r>
      <w:r>
        <w:t>p</w:t>
      </w:r>
      <w:r w:rsidRPr="000822A0">
        <w:t>očet subjektů, které u</w:t>
      </w:r>
      <w:r>
        <w:t>platnily odečet výdajů na VaVaI</w:t>
      </w:r>
    </w:p>
    <w:p w:rsidR="00271B9E" w:rsidRPr="000822A0" w:rsidRDefault="00271B9E" w:rsidP="00E2654D">
      <w:pPr>
        <w:spacing w:after="0" w:line="360" w:lineRule="auto"/>
        <w:ind w:firstLine="708"/>
        <w:jc w:val="both"/>
      </w:pPr>
      <w:r w:rsidRPr="0053104B">
        <w:rPr>
          <w:rFonts w:ascii="Arial" w:eastAsia="Times New Roman" w:hAnsi="Arial" w:cs="Arial"/>
          <w:lang w:eastAsia="cs-CZ"/>
        </w:rPr>
        <w:t>Pokud budeme sledovat výdaje na VaVaI v podnikatelském sektoru pocházející přímo ze</w:t>
      </w:r>
      <w:r>
        <w:rPr>
          <w:rFonts w:ascii="Arial" w:eastAsia="Times New Roman" w:hAnsi="Arial" w:cs="Arial"/>
          <w:lang w:eastAsia="cs-CZ"/>
        </w:rPr>
        <w:t> </w:t>
      </w:r>
      <w:r w:rsidRPr="0053104B">
        <w:rPr>
          <w:rFonts w:ascii="Arial" w:eastAsia="Times New Roman" w:hAnsi="Arial" w:cs="Arial"/>
          <w:lang w:eastAsia="cs-CZ"/>
        </w:rPr>
        <w:t>státního rozpočtu a zároveň tzv. nepřímou podporou VaVaI v podnikatelském sektoru, bude srovnání v mezinárodním měřítku odlišné, než v případě zohlednění jen výdajů pocházejících z přímé podpory (obr</w:t>
      </w:r>
      <w:r>
        <w:rPr>
          <w:rFonts w:ascii="Arial" w:eastAsia="Times New Roman" w:hAnsi="Arial" w:cs="Arial"/>
          <w:lang w:eastAsia="cs-CZ"/>
        </w:rPr>
        <w:t>ázek</w:t>
      </w:r>
      <w:r w:rsidRPr="0053104B">
        <w:rPr>
          <w:rFonts w:ascii="Arial" w:eastAsia="Times New Roman" w:hAnsi="Arial" w:cs="Arial"/>
          <w:lang w:eastAsia="cs-CZ"/>
        </w:rPr>
        <w:t xml:space="preserve"> </w:t>
      </w:r>
      <w:r>
        <w:rPr>
          <w:rFonts w:ascii="Arial" w:eastAsia="Times New Roman" w:hAnsi="Arial" w:cs="Arial"/>
          <w:lang w:eastAsia="cs-CZ"/>
        </w:rPr>
        <w:t>1.</w:t>
      </w:r>
      <w:r w:rsidRPr="0053104B">
        <w:rPr>
          <w:rFonts w:ascii="Arial" w:eastAsia="Times New Roman" w:hAnsi="Arial" w:cs="Arial"/>
          <w:lang w:eastAsia="cs-CZ"/>
        </w:rPr>
        <w:t>9). Pro mezinárodní srovnání lze využít pouze omezený počet zemí, které nepřímou podporu VaVaI v podnikatelském sektoru evidují a předávají do mezinárodních databází. Navíc nejsou k dispozici delší časové řady, proto je srovnání provedeno pouze za jeden rok (2012, resp. 2011). Z obr</w:t>
      </w:r>
      <w:r>
        <w:rPr>
          <w:rFonts w:ascii="Arial" w:eastAsia="Times New Roman" w:hAnsi="Arial" w:cs="Arial"/>
          <w:lang w:eastAsia="cs-CZ"/>
        </w:rPr>
        <w:t>ázku</w:t>
      </w:r>
      <w:r w:rsidRPr="0053104B">
        <w:rPr>
          <w:rFonts w:ascii="Arial" w:eastAsia="Times New Roman" w:hAnsi="Arial" w:cs="Arial"/>
          <w:lang w:eastAsia="cs-CZ"/>
        </w:rPr>
        <w:t xml:space="preserve"> </w:t>
      </w:r>
      <w:r>
        <w:rPr>
          <w:rFonts w:ascii="Arial" w:eastAsia="Times New Roman" w:hAnsi="Arial" w:cs="Arial"/>
          <w:lang w:eastAsia="cs-CZ"/>
        </w:rPr>
        <w:t>1.</w:t>
      </w:r>
      <w:r w:rsidRPr="0053104B">
        <w:rPr>
          <w:rFonts w:ascii="Arial" w:eastAsia="Times New Roman" w:hAnsi="Arial" w:cs="Arial"/>
          <w:lang w:eastAsia="cs-CZ"/>
        </w:rPr>
        <w:t>10 je patrné, že státy, jako jsou Francie, ale také Belgie, Irsko nebo Holandsko, využívají především nepřímou podporu a to ve výrazně větším podílu než ČR. Přímá podpora je v těchto zemích naopak nižší ve srovnání s ČR. Naproti tomu ve Spojených státech Amerických nebo Slovinsku je poměrně vysoká přímá podpora a zároveň je využívána i</w:t>
      </w:r>
      <w:r>
        <w:rPr>
          <w:rFonts w:ascii="Arial" w:eastAsia="Times New Roman" w:hAnsi="Arial" w:cs="Arial"/>
          <w:lang w:eastAsia="cs-CZ"/>
        </w:rPr>
        <w:t> </w:t>
      </w:r>
      <w:r w:rsidRPr="0053104B">
        <w:rPr>
          <w:rFonts w:ascii="Arial" w:eastAsia="Times New Roman" w:hAnsi="Arial" w:cs="Arial"/>
          <w:lang w:eastAsia="cs-CZ"/>
        </w:rPr>
        <w:t>nepřímá podpora. ČR zaujímá pozici srovnatelnou z hlediska přímé podpory s Rakouskem či Maďarskem, v obou zemích je však nepřímá podpora vyšší než v ČR. Podobnou úroveň nepřímé podpory jako ČR, vykazuje Norsko, avšak s asi o třetinu nižší přímou podporou. V Německu, Finsku, Švédsku, Švýcarsku, ale také na Slovensku, v Polsku, Itálii nebo Španělsku, je přímá podpora nižší než v ČR a nepřímá podpora není využívána vůbec, nebo jen velmi omezeně.</w:t>
      </w:r>
      <w:r>
        <w:rPr>
          <w:rFonts w:ascii="Arial" w:eastAsia="Times New Roman" w:hAnsi="Arial" w:cs="Arial"/>
          <w:lang w:eastAsia="cs-CZ"/>
        </w:rPr>
        <w:t xml:space="preserve"> V součtu přímé a nepřímé podpory vykazuje ČR 0,19 %HDP, což je přibližně desetkrát nad úrovní Slovenska, ale jen o pětinu méně než v Rakousku či Maďarsku.</w:t>
      </w:r>
    </w:p>
    <w:p w:rsidR="000822A0" w:rsidRPr="000822A0" w:rsidRDefault="000822A0" w:rsidP="00D25C7B">
      <w:pPr>
        <w:pStyle w:val="Obrzek-nadpis"/>
      </w:pPr>
      <w:r w:rsidRPr="000822A0">
        <w:lastRenderedPageBreak/>
        <w:t xml:space="preserve">Obr. </w:t>
      </w:r>
      <w:r w:rsidR="0083134A">
        <w:t>1.</w:t>
      </w:r>
      <w:r w:rsidRPr="000822A0">
        <w:t>10: Přímá a nepřímá podpora VaVaI v podnikatelském sektoru jako % HDP v mezinárodním srovnání (referenční rok 2012)</w:t>
      </w:r>
    </w:p>
    <w:p w:rsidR="000822A0" w:rsidRPr="000822A0" w:rsidRDefault="00AC4AFF" w:rsidP="00D25C7B">
      <w:pPr>
        <w:spacing w:after="0" w:line="240" w:lineRule="auto"/>
        <w:jc w:val="center"/>
        <w:rPr>
          <w:rFonts w:ascii="Times New Roman" w:eastAsia="Times New Roman" w:hAnsi="Times New Roman" w:cs="Times New Roman"/>
          <w:sz w:val="24"/>
          <w:szCs w:val="24"/>
          <w:lang w:eastAsia="cs-CZ"/>
        </w:rPr>
      </w:pPr>
      <w:r w:rsidRPr="00AC4AFF">
        <w:rPr>
          <w:noProof/>
          <w:lang w:eastAsia="cs-CZ"/>
        </w:rPr>
        <w:drawing>
          <wp:inline distT="0" distB="0" distL="0" distR="0">
            <wp:extent cx="4698000" cy="3340800"/>
            <wp:effectExtent l="0" t="0" r="7620" b="0"/>
            <wp:docPr id="79" name="Obráze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98000" cy="3340800"/>
                    </a:xfrm>
                    <a:prstGeom prst="rect">
                      <a:avLst/>
                    </a:prstGeom>
                    <a:noFill/>
                    <a:ln>
                      <a:noFill/>
                    </a:ln>
                  </pic:spPr>
                </pic:pic>
              </a:graphicData>
            </a:graphic>
          </wp:inline>
        </w:drawing>
      </w:r>
    </w:p>
    <w:p w:rsidR="000822A0" w:rsidRPr="000822A0" w:rsidRDefault="000822A0" w:rsidP="00E15D9A">
      <w:pPr>
        <w:pStyle w:val="Zdroj"/>
      </w:pPr>
      <w:r w:rsidRPr="000822A0">
        <w:t>Zdroj dat: OECD (</w:t>
      </w:r>
      <w:proofErr w:type="spellStart"/>
      <w:r w:rsidRPr="000822A0">
        <w:t>Main</w:t>
      </w:r>
      <w:proofErr w:type="spellEnd"/>
      <w:r w:rsidRPr="000822A0">
        <w:t xml:space="preserve"> science and technology </w:t>
      </w:r>
      <w:proofErr w:type="spellStart"/>
      <w:r w:rsidRPr="000822A0">
        <w:t>indicators</w:t>
      </w:r>
      <w:proofErr w:type="spellEnd"/>
      <w:r w:rsidRPr="000822A0">
        <w:t xml:space="preserve">, R&amp;D Tax </w:t>
      </w:r>
      <w:proofErr w:type="spellStart"/>
      <w:r w:rsidRPr="000822A0">
        <w:t>Incentive</w:t>
      </w:r>
      <w:proofErr w:type="spellEnd"/>
      <w:r w:rsidRPr="000822A0">
        <w:t xml:space="preserve"> </w:t>
      </w:r>
      <w:proofErr w:type="spellStart"/>
      <w:r w:rsidRPr="000822A0">
        <w:t>Indicators</w:t>
      </w:r>
      <w:proofErr w:type="spellEnd"/>
      <w:r w:rsidRPr="000822A0">
        <w:t>)</w:t>
      </w:r>
    </w:p>
    <w:p w:rsidR="000822A0" w:rsidRDefault="000178D6" w:rsidP="00055617">
      <w:pPr>
        <w:pStyle w:val="komentzaobrzkem"/>
      </w:pPr>
      <w:r>
        <w:t>Na místo</w:t>
      </w:r>
      <w:r w:rsidR="000822A0" w:rsidRPr="000822A0">
        <w:t xml:space="preserve"> chybějících dat za rok 2012 byla </w:t>
      </w:r>
      <w:r w:rsidR="00BF5EAF">
        <w:t xml:space="preserve">u některých států </w:t>
      </w:r>
      <w:r w:rsidR="000822A0" w:rsidRPr="000822A0">
        <w:t>použita data za rok 2011</w:t>
      </w:r>
      <w:r>
        <w:t>.</w:t>
      </w:r>
      <w:r w:rsidR="000822A0">
        <w:br w:type="page"/>
      </w:r>
    </w:p>
    <w:p w:rsidR="000822A0" w:rsidRPr="000822A0" w:rsidRDefault="00AD6656" w:rsidP="00956D00">
      <w:pPr>
        <w:pStyle w:val="Nadpis2"/>
      </w:pPr>
      <w:bookmarkStart w:id="3" w:name="_Toc427676894"/>
      <w:r>
        <w:lastRenderedPageBreak/>
        <w:t xml:space="preserve">2. </w:t>
      </w:r>
      <w:r w:rsidR="000822A0" w:rsidRPr="000822A0">
        <w:t>Financování VaVaI ze státního rozpočtu</w:t>
      </w:r>
      <w:bookmarkEnd w:id="3"/>
    </w:p>
    <w:p w:rsidR="000822A0" w:rsidRPr="0053104B" w:rsidRDefault="000822A0" w:rsidP="00E15D9A">
      <w:pPr>
        <w:spacing w:after="0" w:line="360" w:lineRule="auto"/>
        <w:ind w:firstLine="708"/>
        <w:jc w:val="both"/>
        <w:rPr>
          <w:rFonts w:ascii="Arial" w:eastAsia="Times New Roman" w:hAnsi="Arial" w:cs="Arial"/>
          <w:lang w:eastAsia="cs-CZ"/>
        </w:rPr>
      </w:pPr>
      <w:r w:rsidRPr="0053104B">
        <w:rPr>
          <w:rFonts w:ascii="Arial" w:eastAsia="Times New Roman" w:hAnsi="Arial" w:cs="Arial"/>
          <w:lang w:eastAsia="cs-CZ"/>
        </w:rPr>
        <w:t>Veřejné tuzemské zdroje určené k provádění VaVaI tvoří především státní rozpočet na</w:t>
      </w:r>
      <w:r w:rsidR="00DB5657">
        <w:rPr>
          <w:rFonts w:ascii="Arial" w:eastAsia="Times New Roman" w:hAnsi="Arial" w:cs="Arial"/>
          <w:lang w:eastAsia="cs-CZ"/>
        </w:rPr>
        <w:t> </w:t>
      </w:r>
      <w:r w:rsidRPr="0053104B">
        <w:rPr>
          <w:rFonts w:ascii="Arial" w:eastAsia="Times New Roman" w:hAnsi="Arial" w:cs="Arial"/>
          <w:lang w:eastAsia="cs-CZ"/>
        </w:rPr>
        <w:t>výzkum, vývoj a inovace, jehož návrh každoročně schvaluje vláda způsobem definovaným zákonem 130/2002 Sb. o podpoře výzkumu, experimentálního vývoje a inovací z veřejných prostředků a o změně některých souvisejících zákonů (zákon o podpoře výzkumu, experimentálního vývoje a inovací), ve znění pozdějších předpisů. Výše podpory je každoročně stanovena zákonem o státním rozpočtu, např. pro rok 2014 zákonem č. 475 ze dne 19. prosince 2013 o státním rozpočtu České republiky na rok 2014.</w:t>
      </w:r>
    </w:p>
    <w:p w:rsidR="000822A0" w:rsidRPr="0053104B" w:rsidRDefault="000822A0" w:rsidP="00E15D9A">
      <w:pPr>
        <w:spacing w:after="0" w:line="360" w:lineRule="auto"/>
        <w:ind w:firstLine="708"/>
        <w:jc w:val="both"/>
        <w:rPr>
          <w:rFonts w:ascii="Arial" w:eastAsia="Times New Roman" w:hAnsi="Arial" w:cs="Arial"/>
          <w:lang w:eastAsia="cs-CZ"/>
        </w:rPr>
      </w:pPr>
      <w:r w:rsidRPr="0053104B">
        <w:rPr>
          <w:rFonts w:ascii="Arial" w:eastAsia="Times New Roman" w:hAnsi="Arial" w:cs="Arial"/>
          <w:lang w:eastAsia="cs-CZ"/>
        </w:rPr>
        <w:t xml:space="preserve">Příprava návrhu výdajů státního rozpočtu je kontinuální a komplexní proces ilustrativně popsaný na </w:t>
      </w:r>
      <w:r w:rsidR="00547DC1">
        <w:rPr>
          <w:rFonts w:ascii="Arial" w:eastAsia="Times New Roman" w:hAnsi="Arial" w:cs="Arial"/>
          <w:lang w:eastAsia="cs-CZ"/>
        </w:rPr>
        <w:t>schématu níže</w:t>
      </w:r>
      <w:r w:rsidRPr="0053104B">
        <w:rPr>
          <w:rFonts w:ascii="Arial" w:eastAsia="Times New Roman" w:hAnsi="Arial" w:cs="Arial"/>
          <w:lang w:eastAsia="cs-CZ"/>
        </w:rPr>
        <w:t xml:space="preserve">. Podle § 35 odst. 2 písm. k) a l) zákona o podpoře výzkumu, experimentálního vývoje a inovací </w:t>
      </w:r>
      <w:r w:rsidR="00160322">
        <w:rPr>
          <w:rFonts w:ascii="Arial" w:eastAsia="Times New Roman" w:hAnsi="Arial" w:cs="Arial"/>
          <w:lang w:eastAsia="cs-CZ"/>
        </w:rPr>
        <w:t xml:space="preserve">RVVI </w:t>
      </w:r>
      <w:r w:rsidR="006D2C52">
        <w:rPr>
          <w:rFonts w:ascii="Arial" w:eastAsia="Times New Roman" w:hAnsi="Arial" w:cs="Arial"/>
          <w:lang w:eastAsia="cs-CZ"/>
        </w:rPr>
        <w:t xml:space="preserve">zabezpečuje zpracování </w:t>
      </w:r>
      <w:r w:rsidRPr="0053104B">
        <w:rPr>
          <w:rFonts w:ascii="Arial" w:eastAsia="Times New Roman" w:hAnsi="Arial" w:cs="Arial"/>
          <w:lang w:eastAsia="cs-CZ"/>
        </w:rPr>
        <w:t>návrh</w:t>
      </w:r>
      <w:r w:rsidR="006D2C52">
        <w:rPr>
          <w:rFonts w:ascii="Arial" w:eastAsia="Times New Roman" w:hAnsi="Arial" w:cs="Arial"/>
          <w:lang w:eastAsia="cs-CZ"/>
        </w:rPr>
        <w:t>u</w:t>
      </w:r>
      <w:r w:rsidRPr="0053104B">
        <w:rPr>
          <w:rFonts w:ascii="Arial" w:eastAsia="Times New Roman" w:hAnsi="Arial" w:cs="Arial"/>
          <w:lang w:eastAsia="cs-CZ"/>
        </w:rPr>
        <w:t xml:space="preserve"> výdajů státního rozpočtu na VaVaI a jejich střednědobý výhled. Návrh je strukturován do 11 rozpočtových kapitol. Kapitola Úřadu vlády ČR zahrnuje náklady na činnost RVV</w:t>
      </w:r>
      <w:r w:rsidR="00160322">
        <w:rPr>
          <w:rFonts w:ascii="Arial" w:eastAsia="Times New Roman" w:hAnsi="Arial" w:cs="Arial"/>
          <w:lang w:eastAsia="cs-CZ"/>
        </w:rPr>
        <w:t>I</w:t>
      </w:r>
      <w:r w:rsidRPr="0053104B">
        <w:rPr>
          <w:rFonts w:ascii="Arial" w:eastAsia="Times New Roman" w:hAnsi="Arial" w:cs="Arial"/>
          <w:lang w:eastAsia="cs-CZ"/>
        </w:rPr>
        <w:t xml:space="preserve"> a prostředky na věcné nebo finanční ocenění mimořádných výsledků. Ostatní rozpočtové kapitoly obsahují kromě nákladů na činnost, prostředků na pořádání veřejných soutěží a hodnocení projektů a výdajů na věcné nebo finanční ocenění mimořádných výsledků především výdaje určené k rozdělení jednotlivým subjektům provádějícím VaVaI. </w:t>
      </w:r>
    </w:p>
    <w:p w:rsidR="000822A0" w:rsidRPr="0053104B" w:rsidRDefault="000822A0" w:rsidP="00E15D9A">
      <w:pPr>
        <w:spacing w:after="0" w:line="360" w:lineRule="auto"/>
        <w:ind w:firstLine="708"/>
        <w:jc w:val="both"/>
        <w:rPr>
          <w:rFonts w:ascii="Arial" w:eastAsia="Times New Roman" w:hAnsi="Arial" w:cs="Arial"/>
          <w:lang w:eastAsia="cs-CZ"/>
        </w:rPr>
      </w:pPr>
      <w:r w:rsidRPr="0053104B">
        <w:rPr>
          <w:rFonts w:ascii="Arial" w:eastAsia="Times New Roman" w:hAnsi="Arial" w:cs="Arial"/>
          <w:lang w:eastAsia="cs-CZ"/>
        </w:rPr>
        <w:t>V roce 2014 byly pro zpřesnění komunikace s jednotlivými rozpočtovými kapitolami zřízeny dvě pracovní skupiny (PS rozpočet I a II) koordinované Sekcí pro vědu, výzkum a inovace Úřadu vlády ČR. Jejich zřízení přispělo k tvorbě návrhu rozpočtu pro rok 2015. Nastavená účinná spolupráce nadále pokračuje při přípravě návrhu výdajů na rok 2016 a střednědobého výhledu rozpočtu</w:t>
      </w:r>
      <w:r w:rsidR="00056656">
        <w:rPr>
          <w:rFonts w:ascii="Arial" w:eastAsia="Times New Roman" w:hAnsi="Arial" w:cs="Arial"/>
          <w:lang w:eastAsia="cs-CZ"/>
        </w:rPr>
        <w:t xml:space="preserve"> na roky 2017 a 2018</w:t>
      </w:r>
      <w:r w:rsidRPr="0053104B">
        <w:rPr>
          <w:rFonts w:ascii="Arial" w:eastAsia="Times New Roman" w:hAnsi="Arial" w:cs="Arial"/>
          <w:lang w:eastAsia="cs-CZ"/>
        </w:rPr>
        <w:t xml:space="preserve">. </w:t>
      </w:r>
    </w:p>
    <w:p w:rsidR="000822A0" w:rsidRPr="0053104B" w:rsidRDefault="000822A0" w:rsidP="00E15D9A">
      <w:pPr>
        <w:spacing w:after="0" w:line="360" w:lineRule="auto"/>
        <w:ind w:firstLine="708"/>
        <w:jc w:val="both"/>
        <w:rPr>
          <w:rFonts w:ascii="Arial" w:eastAsia="Times New Roman" w:hAnsi="Arial" w:cs="Arial"/>
          <w:lang w:eastAsia="cs-CZ"/>
        </w:rPr>
      </w:pPr>
      <w:r w:rsidRPr="0053104B">
        <w:rPr>
          <w:rFonts w:ascii="Arial" w:eastAsia="Times New Roman" w:hAnsi="Arial" w:cs="Arial"/>
          <w:lang w:eastAsia="cs-CZ"/>
        </w:rPr>
        <w:t>Prostředky státního rozpočtu jsou distribuovány subjektům provádějícím VaVaI prostřednictvím 10 poskytovatelů (obr</w:t>
      </w:r>
      <w:r w:rsidR="002122C6">
        <w:rPr>
          <w:rFonts w:ascii="Arial" w:eastAsia="Times New Roman" w:hAnsi="Arial" w:cs="Arial"/>
          <w:lang w:eastAsia="cs-CZ"/>
        </w:rPr>
        <w:t>ázek</w:t>
      </w:r>
      <w:r w:rsidRPr="0053104B">
        <w:rPr>
          <w:rFonts w:ascii="Arial" w:eastAsia="Times New Roman" w:hAnsi="Arial" w:cs="Arial"/>
          <w:lang w:eastAsia="cs-CZ"/>
        </w:rPr>
        <w:t xml:space="preserve"> </w:t>
      </w:r>
      <w:r w:rsidR="00547DC1">
        <w:rPr>
          <w:rFonts w:ascii="Arial" w:eastAsia="Times New Roman" w:hAnsi="Arial" w:cs="Arial"/>
          <w:lang w:eastAsia="cs-CZ"/>
        </w:rPr>
        <w:t>2.1</w:t>
      </w:r>
      <w:r w:rsidRPr="0053104B">
        <w:rPr>
          <w:rFonts w:ascii="Arial" w:eastAsia="Times New Roman" w:hAnsi="Arial" w:cs="Arial"/>
          <w:lang w:eastAsia="cs-CZ"/>
        </w:rPr>
        <w:t>). Poskytovatelé k distribuci používají nástroje vymezené zákonem o podpoře výzkumu, experimentálního vývoje a inovací. Většina poskytovatelů využívá projekty (</w:t>
      </w:r>
      <w:r w:rsidRPr="00D72475">
        <w:rPr>
          <w:rFonts w:ascii="Arial" w:eastAsia="Times New Roman" w:hAnsi="Arial" w:cs="Arial"/>
          <w:lang w:eastAsia="cs-CZ"/>
        </w:rPr>
        <w:t>programové nebo grantové v závislosti na tom, zda jsou směřovány do</w:t>
      </w:r>
      <w:r w:rsidR="00DB5657">
        <w:rPr>
          <w:rFonts w:ascii="Arial" w:eastAsia="Times New Roman" w:hAnsi="Arial" w:cs="Arial"/>
          <w:lang w:eastAsia="cs-CZ"/>
        </w:rPr>
        <w:t> </w:t>
      </w:r>
      <w:r w:rsidRPr="00D72475">
        <w:rPr>
          <w:rFonts w:ascii="Arial" w:eastAsia="Times New Roman" w:hAnsi="Arial" w:cs="Arial"/>
          <w:lang w:eastAsia="cs-CZ"/>
        </w:rPr>
        <w:t>základního nebo aplikovaného výzkumu</w:t>
      </w:r>
      <w:r w:rsidRPr="0053104B">
        <w:rPr>
          <w:rFonts w:ascii="Arial" w:eastAsia="Times New Roman" w:hAnsi="Arial" w:cs="Arial"/>
          <w:lang w:eastAsia="cs-CZ"/>
        </w:rPr>
        <w:t>) jako hlavní nástroje účelové podpory a prostředky na</w:t>
      </w:r>
      <w:r w:rsidR="00DB5657">
        <w:rPr>
          <w:rFonts w:ascii="Arial" w:eastAsia="Times New Roman" w:hAnsi="Arial" w:cs="Arial"/>
          <w:lang w:eastAsia="cs-CZ"/>
        </w:rPr>
        <w:t> </w:t>
      </w:r>
      <w:r w:rsidRPr="0053104B">
        <w:rPr>
          <w:rFonts w:ascii="Arial" w:eastAsia="Times New Roman" w:hAnsi="Arial" w:cs="Arial"/>
          <w:lang w:eastAsia="cs-CZ"/>
        </w:rPr>
        <w:t>dlouhodobý koncepční rozvoj výzkumných organizací jako hlavní nástroj institucionální podpory. Nástroj spolufinancování operačních programů ve VaVaI ze státního rozpočtu je vázán na strukturální fondy v oblasti VaVaI, proto s ním nakládají MŠMT a MPO. MŠMT navíc odpovídá za zbylé nástroje vymezené zákonem o podpoře výzkumu, experimentálního vývoje a inovací. Jedná se o podporu velkým infrastrukturám mezinárodní spolupráci ČR ve výzkumu a vývoji realizovanou na základě mezinárodních smluv a podporu na specifický vysokoškolský výzkum</w:t>
      </w:r>
      <w:r w:rsidR="00F54E2A">
        <w:rPr>
          <w:rFonts w:ascii="Arial" w:eastAsia="Times New Roman" w:hAnsi="Arial" w:cs="Arial"/>
          <w:lang w:eastAsia="cs-CZ"/>
        </w:rPr>
        <w:t>.</w:t>
      </w:r>
      <w:r w:rsidRPr="0053104B">
        <w:rPr>
          <w:rFonts w:ascii="Arial" w:eastAsia="Times New Roman" w:hAnsi="Arial" w:cs="Arial"/>
          <w:lang w:eastAsia="cs-CZ"/>
        </w:rPr>
        <w:t xml:space="preserve"> Zvláštní význam mají národní programy udržitelnosti I a II</w:t>
      </w:r>
      <w:r w:rsidR="00F54E2A">
        <w:rPr>
          <w:rFonts w:ascii="Arial" w:eastAsia="Times New Roman" w:hAnsi="Arial" w:cs="Arial"/>
          <w:lang w:eastAsia="cs-CZ"/>
        </w:rPr>
        <w:t>,</w:t>
      </w:r>
      <w:r w:rsidRPr="0053104B">
        <w:rPr>
          <w:rFonts w:ascii="Arial" w:eastAsia="Times New Roman" w:hAnsi="Arial" w:cs="Arial"/>
          <w:lang w:eastAsia="cs-CZ"/>
        </w:rPr>
        <w:t xml:space="preserve"> které jsou ve smyslu zákona o podpoře výzkumu, vývoje a inovací programem účelové podpory, avšak mají pomoci zajistit udržitelnost infrastruktur vybudovaných v prioritní</w:t>
      </w:r>
      <w:r w:rsidR="00E54BB7">
        <w:rPr>
          <w:rFonts w:ascii="Arial" w:eastAsia="Times New Roman" w:hAnsi="Arial" w:cs="Arial"/>
          <w:lang w:eastAsia="cs-CZ"/>
        </w:rPr>
        <w:t>ch</w:t>
      </w:r>
      <w:r w:rsidRPr="0053104B">
        <w:rPr>
          <w:rFonts w:ascii="Arial" w:eastAsia="Times New Roman" w:hAnsi="Arial" w:cs="Arial"/>
          <w:lang w:eastAsia="cs-CZ"/>
        </w:rPr>
        <w:t xml:space="preserve"> os</w:t>
      </w:r>
      <w:r w:rsidR="00E54BB7">
        <w:rPr>
          <w:rFonts w:ascii="Arial" w:eastAsia="Times New Roman" w:hAnsi="Arial" w:cs="Arial"/>
          <w:lang w:eastAsia="cs-CZ"/>
        </w:rPr>
        <w:t>ách</w:t>
      </w:r>
      <w:r w:rsidRPr="0053104B">
        <w:rPr>
          <w:rFonts w:ascii="Arial" w:eastAsia="Times New Roman" w:hAnsi="Arial" w:cs="Arial"/>
          <w:lang w:eastAsia="cs-CZ"/>
        </w:rPr>
        <w:t xml:space="preserve"> 1 a 2 Operačního programu výzkum</w:t>
      </w:r>
      <w:r w:rsidR="00F77A9A">
        <w:rPr>
          <w:rFonts w:ascii="Arial" w:eastAsia="Times New Roman" w:hAnsi="Arial" w:cs="Arial"/>
          <w:lang w:eastAsia="cs-CZ"/>
        </w:rPr>
        <w:t xml:space="preserve"> a</w:t>
      </w:r>
      <w:r w:rsidRPr="0053104B">
        <w:rPr>
          <w:rFonts w:ascii="Arial" w:eastAsia="Times New Roman" w:hAnsi="Arial" w:cs="Arial"/>
          <w:lang w:eastAsia="cs-CZ"/>
        </w:rPr>
        <w:t xml:space="preserve"> vývoj </w:t>
      </w:r>
      <w:r w:rsidR="00F77A9A">
        <w:rPr>
          <w:rFonts w:ascii="Arial" w:eastAsia="Times New Roman" w:hAnsi="Arial" w:cs="Arial"/>
          <w:lang w:eastAsia="cs-CZ"/>
        </w:rPr>
        <w:t>pro</w:t>
      </w:r>
      <w:r w:rsidRPr="0053104B">
        <w:rPr>
          <w:rFonts w:ascii="Arial" w:eastAsia="Times New Roman" w:hAnsi="Arial" w:cs="Arial"/>
          <w:lang w:eastAsia="cs-CZ"/>
        </w:rPr>
        <w:t xml:space="preserve"> inovace, čímž se od jiných program</w:t>
      </w:r>
      <w:r w:rsidR="00F54E2A">
        <w:rPr>
          <w:rFonts w:ascii="Arial" w:eastAsia="Times New Roman" w:hAnsi="Arial" w:cs="Arial"/>
          <w:lang w:eastAsia="cs-CZ"/>
        </w:rPr>
        <w:t>ů výrazně liší.</w:t>
      </w:r>
    </w:p>
    <w:p w:rsidR="000822A0" w:rsidRPr="0053104B" w:rsidRDefault="00EB7966" w:rsidP="00E15D9A">
      <w:pPr>
        <w:spacing w:after="0" w:line="360" w:lineRule="auto"/>
        <w:ind w:firstLine="708"/>
        <w:jc w:val="both"/>
        <w:rPr>
          <w:rFonts w:ascii="Arial" w:eastAsia="Times New Roman" w:hAnsi="Arial" w:cs="Arial"/>
          <w:lang w:eastAsia="cs-CZ"/>
        </w:rPr>
      </w:pPr>
      <w:r>
        <w:rPr>
          <w:rFonts w:ascii="Arial" w:eastAsia="Times New Roman" w:hAnsi="Arial" w:cs="Arial"/>
          <w:lang w:eastAsia="cs-CZ"/>
        </w:rPr>
        <w:lastRenderedPageBreak/>
        <w:t>Obrázek 2.1</w:t>
      </w:r>
      <w:r w:rsidR="0041213B" w:rsidRPr="0053104B">
        <w:rPr>
          <w:rFonts w:ascii="Arial" w:eastAsia="Times New Roman" w:hAnsi="Arial" w:cs="Arial"/>
          <w:lang w:eastAsia="cs-CZ"/>
        </w:rPr>
        <w:t xml:space="preserve"> </w:t>
      </w:r>
      <w:r w:rsidR="000822A0" w:rsidRPr="0053104B">
        <w:rPr>
          <w:rFonts w:ascii="Arial" w:eastAsia="Times New Roman" w:hAnsi="Arial" w:cs="Arial"/>
          <w:lang w:eastAsia="cs-CZ"/>
        </w:rPr>
        <w:t xml:space="preserve">znázorňuje, </w:t>
      </w:r>
      <w:r w:rsidR="0041213B" w:rsidRPr="0053104B">
        <w:rPr>
          <w:rFonts w:ascii="Arial" w:eastAsia="Times New Roman" w:hAnsi="Arial" w:cs="Arial"/>
          <w:lang w:eastAsia="cs-CZ"/>
        </w:rPr>
        <w:t xml:space="preserve">že </w:t>
      </w:r>
      <w:r w:rsidR="000822A0" w:rsidRPr="0053104B">
        <w:rPr>
          <w:rFonts w:ascii="Arial" w:eastAsia="Times New Roman" w:hAnsi="Arial" w:cs="Arial"/>
          <w:lang w:eastAsia="cs-CZ"/>
        </w:rPr>
        <w:t>jednotlivé skupiny příjemců mohou využívat všech nástrojů podpory ze SR s výjimkou SVV, který je určen vysokým školám</w:t>
      </w:r>
      <w:r w:rsidR="000822A0" w:rsidRPr="00076B14">
        <w:rPr>
          <w:rFonts w:ascii="Arial" w:eastAsia="Times New Roman" w:hAnsi="Arial" w:cs="Arial"/>
          <w:vertAlign w:val="superscript"/>
          <w:lang w:eastAsia="cs-CZ"/>
        </w:rPr>
        <w:footnoteReference w:id="6"/>
      </w:r>
      <w:r w:rsidR="000822A0" w:rsidRPr="0053104B">
        <w:rPr>
          <w:rFonts w:ascii="Arial" w:eastAsia="Times New Roman" w:hAnsi="Arial" w:cs="Arial"/>
          <w:lang w:eastAsia="cs-CZ"/>
        </w:rPr>
        <w:t>. Vícezdrojové financování od</w:t>
      </w:r>
      <w:r w:rsidR="00DB5657">
        <w:rPr>
          <w:rFonts w:ascii="Arial" w:eastAsia="Times New Roman" w:hAnsi="Arial" w:cs="Arial"/>
          <w:lang w:eastAsia="cs-CZ"/>
        </w:rPr>
        <w:t> </w:t>
      </w:r>
      <w:r w:rsidR="000822A0" w:rsidRPr="0053104B">
        <w:rPr>
          <w:rFonts w:ascii="Arial" w:eastAsia="Times New Roman" w:hAnsi="Arial" w:cs="Arial"/>
          <w:lang w:eastAsia="cs-CZ"/>
        </w:rPr>
        <w:t>několika poskytovatelů pomocí různých nástrojů má pro příjemce výhody v možnosti kombinování dle potřeb subjektu v souladu s jeho strategií provádění VaVaI. Avšak situace, kdy vysoký podíl finančních prostředků činí velké množství časově nesouběžných účelových podpor, způsobuje finanční nestabilitu subjektů a brání dlouhodobému strategickému plánování v oblasti lidských zdrojů i výzkumných cílů. Navíc je při kombinaci mnoha nástrojů a různých poskytovatelů komplikované předch</w:t>
      </w:r>
      <w:r w:rsidR="00076B14">
        <w:rPr>
          <w:rFonts w:ascii="Arial" w:eastAsia="Times New Roman" w:hAnsi="Arial" w:cs="Arial"/>
          <w:lang w:eastAsia="cs-CZ"/>
        </w:rPr>
        <w:t>ázet duplicitám ve financování.</w:t>
      </w:r>
    </w:p>
    <w:p w:rsidR="000822A0" w:rsidRPr="0053104B" w:rsidRDefault="000822A0" w:rsidP="00E15D9A">
      <w:pPr>
        <w:spacing w:after="0" w:line="360" w:lineRule="auto"/>
        <w:ind w:firstLine="708"/>
        <w:jc w:val="both"/>
        <w:rPr>
          <w:rFonts w:ascii="Arial" w:eastAsia="Times New Roman" w:hAnsi="Arial" w:cs="Arial"/>
          <w:lang w:eastAsia="cs-CZ"/>
        </w:rPr>
      </w:pPr>
      <w:r w:rsidRPr="0053104B">
        <w:rPr>
          <w:rFonts w:ascii="Arial" w:eastAsia="Times New Roman" w:hAnsi="Arial" w:cs="Arial"/>
          <w:lang w:eastAsia="cs-CZ"/>
        </w:rPr>
        <w:t xml:space="preserve">Pro strategické plánování rozpočtových výdajů na VaVaI na národní úrovni je mimo jiné zásadní rozlišovat jednotlivé nástroje ve smyslu jejich potenciálního přínosu. Přínosy jednotlivých nástrojů je vhodné analyzovat a výstupy analýz používat k jejich optimalizaci. </w:t>
      </w:r>
    </w:p>
    <w:p w:rsidR="000822A0" w:rsidRPr="0053104B" w:rsidRDefault="000822A0" w:rsidP="0053104B">
      <w:pPr>
        <w:spacing w:after="0" w:line="360" w:lineRule="auto"/>
        <w:ind w:firstLine="708"/>
        <w:jc w:val="both"/>
        <w:rPr>
          <w:rFonts w:ascii="Arial" w:eastAsia="Times New Roman" w:hAnsi="Arial" w:cs="Arial"/>
          <w:lang w:eastAsia="cs-CZ"/>
        </w:rPr>
      </w:pPr>
      <w:r w:rsidRPr="0053104B">
        <w:rPr>
          <w:rFonts w:ascii="Arial" w:eastAsia="Times New Roman" w:hAnsi="Arial" w:cs="Arial"/>
          <w:lang w:eastAsia="cs-CZ"/>
        </w:rPr>
        <w:t xml:space="preserve">Zákon o podpoře výzkumu, vývoje a inovací striktně odděluje účelové a institucionální financování, avšak některé nástroje jsou řazeny do účelového financování, přestože svým charakterem odpovídají spíše institucionálnímu. Z analytického pohledu by bylo vhodnější řadit nástroje, jako jsou SVV, INFRA a rovněž NPU, k nástrojům institucionálního charakteru. Naopak nástroj SPOLUFIN a částečně také MEZINAR má spíše účelový charakter, protože jsou spolufinancovány projekty vybrané na základě soutěže. </w:t>
      </w:r>
    </w:p>
    <w:p w:rsidR="000822A0" w:rsidRPr="0053104B" w:rsidRDefault="000822A0" w:rsidP="006B4254">
      <w:pPr>
        <w:spacing w:after="0" w:line="360" w:lineRule="auto"/>
        <w:ind w:firstLine="708"/>
        <w:jc w:val="both"/>
        <w:rPr>
          <w:rFonts w:ascii="Arial" w:eastAsia="Times New Roman" w:hAnsi="Arial" w:cs="Arial"/>
          <w:lang w:eastAsia="cs-CZ"/>
        </w:rPr>
      </w:pPr>
      <w:r w:rsidRPr="0053104B">
        <w:rPr>
          <w:rFonts w:ascii="Arial" w:eastAsia="Times New Roman" w:hAnsi="Arial" w:cs="Arial"/>
          <w:lang w:eastAsia="cs-CZ"/>
        </w:rPr>
        <w:t>Nástroje SPECIF, INFRA a NPU mají podobné efekty jako RVO, tj. podporují stabilitu a</w:t>
      </w:r>
      <w:r w:rsidR="00DB5657">
        <w:rPr>
          <w:rFonts w:ascii="Arial" w:eastAsia="Times New Roman" w:hAnsi="Arial" w:cs="Arial"/>
          <w:lang w:eastAsia="cs-CZ"/>
        </w:rPr>
        <w:t> </w:t>
      </w:r>
      <w:r w:rsidRPr="0053104B">
        <w:rPr>
          <w:rFonts w:ascii="Arial" w:eastAsia="Times New Roman" w:hAnsi="Arial" w:cs="Arial"/>
          <w:lang w:eastAsia="cs-CZ"/>
        </w:rPr>
        <w:t>rozvoj výzkumné základny</w:t>
      </w:r>
      <w:r w:rsidRPr="00076B14">
        <w:rPr>
          <w:rFonts w:ascii="Arial" w:eastAsia="Times New Roman" w:hAnsi="Arial" w:cs="Arial"/>
          <w:vertAlign w:val="superscript"/>
          <w:lang w:eastAsia="cs-CZ"/>
        </w:rPr>
        <w:footnoteReference w:id="7"/>
      </w:r>
      <w:r w:rsidRPr="0053104B">
        <w:rPr>
          <w:rFonts w:ascii="Arial" w:eastAsia="Times New Roman" w:hAnsi="Arial" w:cs="Arial"/>
          <w:lang w:eastAsia="cs-CZ"/>
        </w:rPr>
        <w:t>. Pro jejich distribuci je zásadní, který subjekt zmíněnou podporu získá. Naproti tomu projekty mají konkrétní cíle, obvykle oborově specifické a předem vymezené ve strategických dokumentech na národní či resortní úrovni</w:t>
      </w:r>
      <w:r w:rsidRPr="00076B14">
        <w:rPr>
          <w:rFonts w:ascii="Arial" w:eastAsia="Times New Roman" w:hAnsi="Arial" w:cs="Arial"/>
          <w:vertAlign w:val="superscript"/>
          <w:lang w:eastAsia="cs-CZ"/>
        </w:rPr>
        <w:footnoteReference w:id="8"/>
      </w:r>
      <w:r w:rsidRPr="0053104B">
        <w:rPr>
          <w:rFonts w:ascii="Arial" w:eastAsia="Times New Roman" w:hAnsi="Arial" w:cs="Arial"/>
          <w:lang w:eastAsia="cs-CZ"/>
        </w:rPr>
        <w:t xml:space="preserve"> (výjimku tvoří projekty zaměřené na</w:t>
      </w:r>
      <w:r w:rsidR="00DB5657">
        <w:rPr>
          <w:rFonts w:ascii="Arial" w:eastAsia="Times New Roman" w:hAnsi="Arial" w:cs="Arial"/>
          <w:lang w:eastAsia="cs-CZ"/>
        </w:rPr>
        <w:t> </w:t>
      </w:r>
      <w:r w:rsidRPr="0053104B">
        <w:rPr>
          <w:rFonts w:ascii="Arial" w:eastAsia="Times New Roman" w:hAnsi="Arial" w:cs="Arial"/>
          <w:lang w:eastAsia="cs-CZ"/>
        </w:rPr>
        <w:t>podporu tzv. horizontálních aktivit,</w:t>
      </w:r>
      <w:r w:rsidR="0041213B" w:rsidRPr="0053104B">
        <w:rPr>
          <w:rFonts w:ascii="Arial" w:eastAsia="Times New Roman" w:hAnsi="Arial" w:cs="Arial"/>
          <w:lang w:eastAsia="cs-CZ"/>
        </w:rPr>
        <w:t xml:space="preserve"> např. </w:t>
      </w:r>
      <w:r w:rsidRPr="0053104B">
        <w:rPr>
          <w:rFonts w:ascii="Arial" w:eastAsia="Times New Roman" w:hAnsi="Arial" w:cs="Arial"/>
          <w:lang w:eastAsia="cs-CZ"/>
        </w:rPr>
        <w:t>mezinárodní</w:t>
      </w:r>
      <w:r w:rsidR="0041213B" w:rsidRPr="0053104B">
        <w:rPr>
          <w:rFonts w:ascii="Arial" w:eastAsia="Times New Roman" w:hAnsi="Arial" w:cs="Arial"/>
          <w:lang w:eastAsia="cs-CZ"/>
        </w:rPr>
        <w:t xml:space="preserve"> </w:t>
      </w:r>
      <w:r w:rsidRPr="0053104B">
        <w:rPr>
          <w:rFonts w:ascii="Arial" w:eastAsia="Times New Roman" w:hAnsi="Arial" w:cs="Arial"/>
          <w:lang w:eastAsia="cs-CZ"/>
        </w:rPr>
        <w:t xml:space="preserve">spolupráce, excelence, konkurenceschopnost, apod.). Pro úspěch projektu není rozhodující, kdo je příjemcem podpory, ale zda je generován cílový výstup a </w:t>
      </w:r>
      <w:r w:rsidR="0041213B" w:rsidRPr="0053104B">
        <w:rPr>
          <w:rFonts w:ascii="Arial" w:eastAsia="Times New Roman" w:hAnsi="Arial" w:cs="Arial"/>
          <w:lang w:eastAsia="cs-CZ"/>
        </w:rPr>
        <w:t>je-li</w:t>
      </w:r>
      <w:r w:rsidRPr="0053104B">
        <w:rPr>
          <w:rFonts w:ascii="Arial" w:eastAsia="Times New Roman" w:hAnsi="Arial" w:cs="Arial"/>
          <w:lang w:eastAsia="cs-CZ"/>
        </w:rPr>
        <w:t xml:space="preserve"> výstup přínosný pro konkrétní odvětví hospodářské činnosti nebo celou společnost.</w:t>
      </w:r>
    </w:p>
    <w:p w:rsidR="000822A0" w:rsidRPr="0053104B" w:rsidRDefault="00EB7966" w:rsidP="006B4254">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Obr</w:t>
      </w:r>
      <w:r w:rsidR="002122C6">
        <w:rPr>
          <w:rFonts w:ascii="Arial" w:eastAsia="Times New Roman" w:hAnsi="Arial" w:cs="Arial"/>
          <w:lang w:eastAsia="cs-CZ"/>
        </w:rPr>
        <w:t>ázek</w:t>
      </w:r>
      <w:r>
        <w:rPr>
          <w:rFonts w:ascii="Arial" w:eastAsia="Times New Roman" w:hAnsi="Arial" w:cs="Arial"/>
          <w:lang w:eastAsia="cs-CZ"/>
        </w:rPr>
        <w:t xml:space="preserve"> 2.1</w:t>
      </w:r>
      <w:r w:rsidR="000822A0" w:rsidRPr="0053104B">
        <w:rPr>
          <w:rFonts w:ascii="Arial" w:eastAsia="Times New Roman" w:hAnsi="Arial" w:cs="Arial"/>
          <w:lang w:eastAsia="cs-CZ"/>
        </w:rPr>
        <w:t xml:space="preserve"> rovněž uvádí kvantifikované finanční toky za rok 2014. Je z něj patrné rozdělení na jednotlivé rozpočtové kapitoly (levý sloupec obrázku; bez kapitoly Úřadu vlády ČR, která není poskytovatelem) a finanční nástroje (prostřední sloupec obrázku) ve výši schválené zákonem č. 475 ze dne 19. prosince 2013 o státním rozpočtu České republiky na rok 2014, a dále skutečně čerpané finanční objemy podle skupin příjemců na základě údajů z IS VaVaI, části CEA a CEP (pravý sloupec obrázku). Rozdíl celkových výdajů SR a prostředků na finanční nástroje činí prostředky na vlastní činnost poskytovatelů vč. kontrol a </w:t>
      </w:r>
      <w:r w:rsidR="0041213B" w:rsidRPr="0053104B">
        <w:rPr>
          <w:rFonts w:ascii="Arial" w:eastAsia="Times New Roman" w:hAnsi="Arial" w:cs="Arial"/>
          <w:lang w:eastAsia="cs-CZ"/>
        </w:rPr>
        <w:t xml:space="preserve">finance </w:t>
      </w:r>
      <w:r w:rsidR="000822A0" w:rsidRPr="0053104B">
        <w:rPr>
          <w:rFonts w:ascii="Arial" w:eastAsia="Times New Roman" w:hAnsi="Arial" w:cs="Arial"/>
          <w:lang w:eastAsia="cs-CZ"/>
        </w:rPr>
        <w:t>na ocenění mimořádných výsledků VaVaI. Prostředky SR skutečně rozdělené příjemcům v roce 2014 (na základě údajů z</w:t>
      </w:r>
      <w:r w:rsidR="00DB5657">
        <w:rPr>
          <w:rFonts w:ascii="Arial" w:eastAsia="Times New Roman" w:hAnsi="Arial" w:cs="Arial"/>
          <w:lang w:eastAsia="cs-CZ"/>
        </w:rPr>
        <w:t> </w:t>
      </w:r>
      <w:r w:rsidR="000822A0" w:rsidRPr="0053104B">
        <w:rPr>
          <w:rFonts w:ascii="Arial" w:eastAsia="Times New Roman" w:hAnsi="Arial" w:cs="Arial"/>
          <w:lang w:eastAsia="cs-CZ"/>
        </w:rPr>
        <w:t>IS</w:t>
      </w:r>
      <w:r w:rsidR="00DB5657">
        <w:rPr>
          <w:rFonts w:ascii="Arial" w:eastAsia="Times New Roman" w:hAnsi="Arial" w:cs="Arial"/>
          <w:lang w:eastAsia="cs-CZ"/>
        </w:rPr>
        <w:t> </w:t>
      </w:r>
      <w:r w:rsidR="000822A0" w:rsidRPr="0053104B">
        <w:rPr>
          <w:rFonts w:ascii="Arial" w:eastAsia="Times New Roman" w:hAnsi="Arial" w:cs="Arial"/>
          <w:lang w:eastAsia="cs-CZ"/>
        </w:rPr>
        <w:t xml:space="preserve">VaVaI) v součtu za rok 2014 neodpovídaly schváleným, ale byly </w:t>
      </w:r>
      <w:r w:rsidR="0041213B" w:rsidRPr="0053104B">
        <w:rPr>
          <w:rFonts w:ascii="Arial" w:eastAsia="Times New Roman" w:hAnsi="Arial" w:cs="Arial"/>
          <w:lang w:eastAsia="cs-CZ"/>
        </w:rPr>
        <w:t>navýšeny</w:t>
      </w:r>
      <w:r w:rsidR="000822A0" w:rsidRPr="0053104B">
        <w:rPr>
          <w:rFonts w:ascii="Arial" w:eastAsia="Times New Roman" w:hAnsi="Arial" w:cs="Arial"/>
          <w:lang w:eastAsia="cs-CZ"/>
        </w:rPr>
        <w:t xml:space="preserve"> o cca 140 mil. Kč </w:t>
      </w:r>
      <w:r w:rsidR="000822A0" w:rsidRPr="0053104B">
        <w:rPr>
          <w:rFonts w:ascii="Arial" w:eastAsia="Times New Roman" w:hAnsi="Arial" w:cs="Arial"/>
          <w:lang w:eastAsia="cs-CZ"/>
        </w:rPr>
        <w:lastRenderedPageBreak/>
        <w:t>pravděpodobně využití</w:t>
      </w:r>
      <w:r w:rsidR="0041213B" w:rsidRPr="0053104B">
        <w:rPr>
          <w:rFonts w:ascii="Arial" w:eastAsia="Times New Roman" w:hAnsi="Arial" w:cs="Arial"/>
          <w:lang w:eastAsia="cs-CZ"/>
        </w:rPr>
        <w:t>m</w:t>
      </w:r>
      <w:r w:rsidR="000822A0" w:rsidRPr="0053104B">
        <w:rPr>
          <w:rFonts w:ascii="Arial" w:eastAsia="Times New Roman" w:hAnsi="Arial" w:cs="Arial"/>
          <w:lang w:eastAsia="cs-CZ"/>
        </w:rPr>
        <w:t xml:space="preserve"> nespotřebovaných výdajů z předchozích let na úrovni rozpočtových kapitol.</w:t>
      </w:r>
    </w:p>
    <w:p w:rsidR="000822A0" w:rsidRPr="0053104B" w:rsidRDefault="000822A0" w:rsidP="006B4254">
      <w:pPr>
        <w:spacing w:after="0" w:line="360" w:lineRule="auto"/>
        <w:ind w:firstLine="708"/>
        <w:jc w:val="both"/>
        <w:rPr>
          <w:rFonts w:ascii="Arial" w:eastAsia="Times New Roman" w:hAnsi="Arial" w:cs="Arial"/>
          <w:lang w:eastAsia="cs-CZ"/>
        </w:rPr>
      </w:pPr>
      <w:r w:rsidRPr="0053104B">
        <w:rPr>
          <w:rFonts w:ascii="Arial" w:eastAsia="Times New Roman" w:hAnsi="Arial" w:cs="Arial"/>
          <w:lang w:eastAsia="cs-CZ"/>
        </w:rPr>
        <w:t>Konkrétní objemy institucionální a účelové podpory ve smyslu zákona na podporu výzkumu, experimentálního vývoje a inovací v roce 2014 u jednotlivý</w:t>
      </w:r>
      <w:r w:rsidR="00EB7966">
        <w:rPr>
          <w:rFonts w:ascii="Arial" w:eastAsia="Times New Roman" w:hAnsi="Arial" w:cs="Arial"/>
          <w:lang w:eastAsia="cs-CZ"/>
        </w:rPr>
        <w:t>ch skupin příjemců uvádí obr</w:t>
      </w:r>
      <w:r w:rsidR="002122C6">
        <w:rPr>
          <w:rFonts w:ascii="Arial" w:eastAsia="Times New Roman" w:hAnsi="Arial" w:cs="Arial"/>
          <w:lang w:eastAsia="cs-CZ"/>
        </w:rPr>
        <w:t>ázek</w:t>
      </w:r>
      <w:r w:rsidR="00EB7966">
        <w:rPr>
          <w:rFonts w:ascii="Arial" w:eastAsia="Times New Roman" w:hAnsi="Arial" w:cs="Arial"/>
          <w:lang w:eastAsia="cs-CZ"/>
        </w:rPr>
        <w:t xml:space="preserve"> 2.2</w:t>
      </w:r>
      <w:r w:rsidRPr="0053104B">
        <w:rPr>
          <w:rFonts w:ascii="Arial" w:eastAsia="Times New Roman" w:hAnsi="Arial" w:cs="Arial"/>
          <w:lang w:eastAsia="cs-CZ"/>
        </w:rPr>
        <w:t xml:space="preserve">. Je patrné, že u všech skupin příjemců tvoří účelová složka vysoký podíl celkové podpory. Zatímco v případě podniků lze její zásadní převahu (84 %) považovat za žádoucí, u veřejných subjektů indikuje zvýšené riziko meziroční nestability ve financování. </w:t>
      </w:r>
      <w:r w:rsidR="00D459EF">
        <w:rPr>
          <w:rFonts w:ascii="Arial" w:eastAsia="Times New Roman" w:hAnsi="Arial" w:cs="Arial"/>
          <w:lang w:eastAsia="cs-CZ"/>
        </w:rPr>
        <w:t>Nestabilita je navíc zvýšena způsobem stanovení výše institucionálních prostředků, na což poukazují závěry mezinárodního auditu systému VaVaI v ČR</w:t>
      </w:r>
      <w:r w:rsidR="00D459EF">
        <w:rPr>
          <w:rStyle w:val="Znakapoznpodarou"/>
          <w:rFonts w:ascii="Arial" w:eastAsia="Times New Roman" w:hAnsi="Arial" w:cs="Arial"/>
          <w:lang w:eastAsia="cs-CZ"/>
        </w:rPr>
        <w:footnoteReference w:id="9"/>
      </w:r>
      <w:r w:rsidR="00D459EF">
        <w:rPr>
          <w:rFonts w:ascii="Arial" w:eastAsia="Times New Roman" w:hAnsi="Arial" w:cs="Arial"/>
          <w:lang w:eastAsia="cs-CZ"/>
        </w:rPr>
        <w:t>, provedeného v roce 201</w:t>
      </w:r>
      <w:r w:rsidR="00F335CF">
        <w:rPr>
          <w:rFonts w:ascii="Arial" w:eastAsia="Times New Roman" w:hAnsi="Arial" w:cs="Arial"/>
          <w:lang w:eastAsia="cs-CZ"/>
        </w:rPr>
        <w:t>1.</w:t>
      </w:r>
      <w:r w:rsidR="00D459EF">
        <w:rPr>
          <w:rFonts w:ascii="Arial" w:eastAsia="Times New Roman" w:hAnsi="Arial" w:cs="Arial"/>
          <w:lang w:eastAsia="cs-CZ"/>
        </w:rPr>
        <w:t xml:space="preserve"> </w:t>
      </w:r>
      <w:r w:rsidRPr="0053104B">
        <w:rPr>
          <w:rFonts w:ascii="Arial" w:eastAsia="Times New Roman" w:hAnsi="Arial" w:cs="Arial"/>
          <w:lang w:eastAsia="cs-CZ"/>
        </w:rPr>
        <w:t>U vysokých škol činil v roce 2014 podíl účelového financování 42 %, u příspěvkových organizací státu dokonce 53 %. Ústavy Akademie věd vykázaly pouze mírnou (60 %) převahu institucionální podpory. Interpretace je ovlivněna začleněním nástrojů institucionálního char</w:t>
      </w:r>
      <w:r w:rsidR="00055617">
        <w:rPr>
          <w:rFonts w:ascii="Arial" w:eastAsia="Times New Roman" w:hAnsi="Arial" w:cs="Arial"/>
          <w:lang w:eastAsia="cs-CZ"/>
        </w:rPr>
        <w:t>akteru do účelové podpory.</w:t>
      </w:r>
    </w:p>
    <w:p w:rsidR="000822A0" w:rsidRPr="000822A0" w:rsidRDefault="000822A0" w:rsidP="000822A0">
      <w:pPr>
        <w:spacing w:after="0" w:line="240" w:lineRule="auto"/>
        <w:rPr>
          <w:rFonts w:ascii="Times New Roman" w:eastAsia="Times New Roman" w:hAnsi="Times New Roman" w:cs="Times New Roman"/>
          <w:sz w:val="24"/>
          <w:szCs w:val="24"/>
          <w:lang w:eastAsia="cs-CZ"/>
        </w:rPr>
        <w:sectPr w:rsidR="000822A0" w:rsidRPr="000822A0" w:rsidSect="00E540D1">
          <w:headerReference w:type="default" r:id="rId18"/>
          <w:footerReference w:type="default" r:id="rId19"/>
          <w:pgSz w:w="11906" w:h="16838"/>
          <w:pgMar w:top="1134" w:right="1134" w:bottom="1134" w:left="1134" w:header="709" w:footer="709" w:gutter="0"/>
          <w:cols w:space="708"/>
          <w:docGrid w:linePitch="360"/>
        </w:sectPr>
      </w:pPr>
    </w:p>
    <w:p w:rsidR="000822A0" w:rsidRPr="000822A0" w:rsidRDefault="00E15D9A" w:rsidP="00E15D9A">
      <w:pPr>
        <w:spacing w:after="0" w:line="240" w:lineRule="auto"/>
        <w:jc w:val="center"/>
        <w:rPr>
          <w:rFonts w:ascii="Times New Roman" w:eastAsia="Times New Roman" w:hAnsi="Times New Roman" w:cs="Times New Roman"/>
          <w:sz w:val="24"/>
          <w:szCs w:val="24"/>
          <w:lang w:eastAsia="cs-CZ"/>
        </w:rPr>
        <w:sectPr w:rsidR="000822A0" w:rsidRPr="000822A0" w:rsidSect="00E540D1">
          <w:pgSz w:w="16838" w:h="11906" w:orient="landscape"/>
          <w:pgMar w:top="1134" w:right="1134" w:bottom="1134" w:left="1134" w:header="709" w:footer="709" w:gutter="0"/>
          <w:cols w:space="708"/>
          <w:docGrid w:linePitch="360"/>
        </w:sectPr>
      </w:pPr>
      <w:r>
        <w:rPr>
          <w:noProof/>
          <w:lang w:eastAsia="cs-CZ"/>
        </w:rPr>
        <w:lastRenderedPageBreak/>
        <w:drawing>
          <wp:inline distT="0" distB="0" distL="0" distR="0" wp14:anchorId="23947B5C" wp14:editId="124D37D0">
            <wp:extent cx="8488908" cy="5923230"/>
            <wp:effectExtent l="0" t="0" r="7620" b="190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9665" t="16056" r="19053" b="7927"/>
                    <a:stretch/>
                  </pic:blipFill>
                  <pic:spPr bwMode="auto">
                    <a:xfrm>
                      <a:off x="0" y="0"/>
                      <a:ext cx="8495065" cy="5927526"/>
                    </a:xfrm>
                    <a:prstGeom prst="rect">
                      <a:avLst/>
                    </a:prstGeom>
                    <a:ln>
                      <a:noFill/>
                    </a:ln>
                    <a:extLst>
                      <a:ext uri="{53640926-AAD7-44D8-BBD7-CCE9431645EC}">
                        <a14:shadowObscured xmlns:a14="http://schemas.microsoft.com/office/drawing/2010/main"/>
                      </a:ext>
                    </a:extLst>
                  </pic:spPr>
                </pic:pic>
              </a:graphicData>
            </a:graphic>
          </wp:inline>
        </w:drawing>
      </w:r>
    </w:p>
    <w:p w:rsidR="000822A0" w:rsidRPr="000822A0" w:rsidRDefault="000822A0" w:rsidP="00D55CFD">
      <w:pPr>
        <w:pStyle w:val="Obrzek-nadpis"/>
      </w:pPr>
      <w:r w:rsidRPr="000822A0">
        <w:lastRenderedPageBreak/>
        <w:t xml:space="preserve">Obr. </w:t>
      </w:r>
      <w:r w:rsidR="00CA1CD5">
        <w:t>2.1</w:t>
      </w:r>
      <w:r w:rsidRPr="00E63598">
        <w:t>: Schéma způsobu financování VaVaI ze státního rozpočtu (</w:t>
      </w:r>
      <w:r w:rsidR="009B7CC9" w:rsidRPr="00E63598">
        <w:t>J</w:t>
      </w:r>
      <w:r w:rsidRPr="00E63598">
        <w:t xml:space="preserve">sou uvedeny konkrétní výše </w:t>
      </w:r>
      <w:r w:rsidR="007237F2">
        <w:t xml:space="preserve">objemu </w:t>
      </w:r>
      <w:r w:rsidRPr="00E63598">
        <w:t xml:space="preserve">vynaložených </w:t>
      </w:r>
      <w:r w:rsidR="007237F2">
        <w:t>prostředků</w:t>
      </w:r>
      <w:r w:rsidR="007237F2" w:rsidRPr="00E63598">
        <w:t xml:space="preserve"> </w:t>
      </w:r>
      <w:r w:rsidRPr="00E63598">
        <w:t>v roce 2014</w:t>
      </w:r>
      <w:r w:rsidR="009B7CC9" w:rsidRPr="00E63598">
        <w:t>.</w:t>
      </w:r>
      <w:r w:rsidRPr="00E63598">
        <w:t>)</w:t>
      </w:r>
    </w:p>
    <w:p w:rsidR="000822A0" w:rsidRPr="000822A0" w:rsidRDefault="00D55CFD" w:rsidP="009E474E">
      <w:pPr>
        <w:spacing w:after="0" w:line="240" w:lineRule="auto"/>
        <w:jc w:val="center"/>
        <w:rPr>
          <w:rFonts w:ascii="Times New Roman" w:eastAsia="Times New Roman" w:hAnsi="Times New Roman" w:cs="Times New Roman"/>
          <w:sz w:val="24"/>
          <w:szCs w:val="24"/>
          <w:lang w:eastAsia="cs-CZ"/>
        </w:rPr>
      </w:pPr>
      <w:r>
        <w:rPr>
          <w:noProof/>
          <w:lang w:eastAsia="cs-CZ"/>
        </w:rPr>
        <w:drawing>
          <wp:inline distT="0" distB="0" distL="0" distR="0" wp14:anchorId="3762F3AA" wp14:editId="6A2A9713">
            <wp:extent cx="5593654" cy="6520320"/>
            <wp:effectExtent l="0" t="0" r="762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6974" t="15244" r="55067" b="6098"/>
                    <a:stretch/>
                  </pic:blipFill>
                  <pic:spPr bwMode="auto">
                    <a:xfrm>
                      <a:off x="0" y="0"/>
                      <a:ext cx="5602363" cy="6530472"/>
                    </a:xfrm>
                    <a:prstGeom prst="rect">
                      <a:avLst/>
                    </a:prstGeom>
                    <a:ln>
                      <a:noFill/>
                    </a:ln>
                    <a:extLst>
                      <a:ext uri="{53640926-AAD7-44D8-BBD7-CCE9431645EC}">
                        <a14:shadowObscured xmlns:a14="http://schemas.microsoft.com/office/drawing/2010/main"/>
                      </a:ext>
                    </a:extLst>
                  </pic:spPr>
                </pic:pic>
              </a:graphicData>
            </a:graphic>
          </wp:inline>
        </w:drawing>
      </w:r>
    </w:p>
    <w:p w:rsidR="000822A0" w:rsidRPr="000822A0" w:rsidRDefault="000822A0" w:rsidP="00D55CFD">
      <w:pPr>
        <w:pStyle w:val="komentzaobrzkem"/>
      </w:pPr>
      <w:r w:rsidRPr="00845AD8">
        <w:t>Finance jsou uváděny v mil. Kč, bez kapitoly ÚV ČR</w:t>
      </w:r>
      <w:r w:rsidR="00891C14" w:rsidRPr="00845AD8">
        <w:t>.</w:t>
      </w:r>
    </w:p>
    <w:p w:rsidR="000822A0" w:rsidRPr="000822A0" w:rsidRDefault="000822A0" w:rsidP="00D55CFD">
      <w:pPr>
        <w:pStyle w:val="komentzaobrzkem"/>
      </w:pPr>
      <w:r w:rsidRPr="000822A0">
        <w:t>Velikosti polí ve schématu neodpovídají přesně finančním objemům</w:t>
      </w:r>
      <w:r w:rsidR="00891C14">
        <w:t>.</w:t>
      </w:r>
    </w:p>
    <w:p w:rsidR="000822A0" w:rsidRPr="000822A0" w:rsidRDefault="000822A0" w:rsidP="00D55CFD">
      <w:pPr>
        <w:pStyle w:val="komentzaobrzkem"/>
      </w:pPr>
      <w:r w:rsidRPr="000822A0">
        <w:t>Finanční prostředky v pravém sloupci (subjekt provádějící VaVaI) neobsahují:</w:t>
      </w:r>
    </w:p>
    <w:p w:rsidR="000822A0" w:rsidRPr="00D55CFD" w:rsidRDefault="00891C14" w:rsidP="00D55CFD">
      <w:pPr>
        <w:pStyle w:val="komentzaobrzkem-odrky"/>
      </w:pPr>
      <w:r>
        <w:t>f</w:t>
      </w:r>
      <w:r w:rsidR="000822A0" w:rsidRPr="00D55CFD">
        <w:t>inance určené na spolufinancování projektů SF</w:t>
      </w:r>
      <w:r w:rsidR="00F77A9A">
        <w:t xml:space="preserve"> EU</w:t>
      </w:r>
      <w:r w:rsidR="000822A0" w:rsidRPr="00D55CFD">
        <w:t xml:space="preserve"> poskytovatele MPO (schváleny v celkové výši 350 mil Kč), neboť údaje nebyly ze strany MPO předány do IS VaVaI, přestože se dle § 31 zákona o podpoře výzkumu, vývoje a inovací jedná o povinnost poskytovatele</w:t>
      </w:r>
      <w:r>
        <w:t>,</w:t>
      </w:r>
    </w:p>
    <w:p w:rsidR="000822A0" w:rsidRPr="00D55CFD" w:rsidRDefault="00891C14" w:rsidP="00D55CFD">
      <w:pPr>
        <w:pStyle w:val="komentzaobrzkem-odrky"/>
      </w:pPr>
      <w:r>
        <w:t>f</w:t>
      </w:r>
      <w:r w:rsidR="000822A0" w:rsidRPr="00D55CFD">
        <w:t>inance určené na poplatky za členství v mezinárodních organizacích VaVaI. Na uvedené poplatky byla v rozpočtové kapitole MŠMT vyčleněna částka 580,6 mil Kč. Uvedené prostředky nelze na základě dat v IS</w:t>
      </w:r>
      <w:r w:rsidR="00B717D5" w:rsidRPr="00D55CFD">
        <w:t xml:space="preserve"> </w:t>
      </w:r>
      <w:r w:rsidR="000822A0" w:rsidRPr="00D55CFD">
        <w:t>VaVaI rozdělit na skupiny příjemců, přestože je dle § 7 odst. 8 zákona o podpoře výzkumu, vývoje a inovací povinností poskytovatele zmíněné prostředky poskytnout prostřednictvím toho orgánu či organizace, které ČR zastupují.</w:t>
      </w:r>
    </w:p>
    <w:p w:rsidR="000822A0" w:rsidRPr="00D55CFD" w:rsidRDefault="000822A0" w:rsidP="00D55CFD">
      <w:pPr>
        <w:pStyle w:val="komentzaobrzkem"/>
      </w:pPr>
      <w:r w:rsidRPr="00D55CFD">
        <w:t>SP - stá</w:t>
      </w:r>
      <w:r w:rsidR="00F54E2A">
        <w:t>tní příspěvkové organizace</w:t>
      </w:r>
      <w:r w:rsidRPr="00D55CFD">
        <w:t>,</w:t>
      </w:r>
      <w:r w:rsidR="00F54E2A">
        <w:t xml:space="preserve"> organizační složky státu </w:t>
      </w:r>
      <w:r w:rsidRPr="00D55CFD">
        <w:t xml:space="preserve">a </w:t>
      </w:r>
      <w:r w:rsidR="00F54E2A">
        <w:t>veřejné výzkumné instituce mimo ústavů AV ČR</w:t>
      </w:r>
    </w:p>
    <w:p w:rsidR="000822A0" w:rsidRDefault="000822A0" w:rsidP="00D55CFD">
      <w:pPr>
        <w:pStyle w:val="komentzaobrzkem"/>
      </w:pPr>
      <w:r w:rsidRPr="00D55CFD">
        <w:t>PF – právnické a fyzické osoby mimo vysoké školy, SP a ústavy AV ČR</w:t>
      </w:r>
    </w:p>
    <w:p w:rsidR="00D55CFD" w:rsidRDefault="00D55CFD" w:rsidP="00D55CFD">
      <w:pPr>
        <w:pStyle w:val="komentzaobrzkem"/>
        <w:sectPr w:rsidR="00D55CFD" w:rsidSect="00E540D1">
          <w:pgSz w:w="11906" w:h="16838"/>
          <w:pgMar w:top="1134" w:right="1134" w:bottom="1134" w:left="1134" w:header="709" w:footer="709" w:gutter="0"/>
          <w:cols w:space="708"/>
          <w:docGrid w:linePitch="360"/>
        </w:sectPr>
      </w:pPr>
    </w:p>
    <w:p w:rsidR="000822A0" w:rsidRPr="000822A0" w:rsidRDefault="00CA1CD5" w:rsidP="00D55CFD">
      <w:pPr>
        <w:pStyle w:val="Obrzek-nadpis"/>
      </w:pPr>
      <w:r>
        <w:lastRenderedPageBreak/>
        <w:t>Obr. 2.2</w:t>
      </w:r>
      <w:r w:rsidR="000822A0" w:rsidRPr="000822A0">
        <w:t>: Objem prostředků státního rozpočtu skutečně přidělený skupinám příjemců v roce 2014 (v mil. Kč)</w:t>
      </w:r>
    </w:p>
    <w:p w:rsidR="000822A0" w:rsidRPr="000822A0" w:rsidRDefault="000822A0" w:rsidP="000822A0">
      <w:pPr>
        <w:spacing w:after="0" w:line="240" w:lineRule="auto"/>
        <w:jc w:val="center"/>
        <w:rPr>
          <w:rFonts w:ascii="Times New Roman" w:eastAsia="Times New Roman" w:hAnsi="Times New Roman" w:cs="Times New Roman"/>
          <w:sz w:val="24"/>
          <w:szCs w:val="24"/>
          <w:lang w:eastAsia="cs-CZ"/>
        </w:rPr>
      </w:pPr>
      <w:r w:rsidRPr="000822A0">
        <w:rPr>
          <w:rFonts w:ascii="Times New Roman" w:eastAsia="Times New Roman" w:hAnsi="Times New Roman" w:cs="Times New Roman"/>
          <w:noProof/>
          <w:sz w:val="24"/>
          <w:szCs w:val="24"/>
          <w:lang w:eastAsia="cs-CZ"/>
        </w:rPr>
        <w:drawing>
          <wp:inline distT="0" distB="0" distL="0" distR="0" wp14:anchorId="7EF29754" wp14:editId="3BA47324">
            <wp:extent cx="5553075" cy="2743200"/>
            <wp:effectExtent l="0" t="0" r="9525" b="0"/>
            <wp:docPr id="329" name="Obrázek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53075" cy="2743200"/>
                    </a:xfrm>
                    <a:prstGeom prst="rect">
                      <a:avLst/>
                    </a:prstGeom>
                    <a:noFill/>
                    <a:ln>
                      <a:noFill/>
                    </a:ln>
                  </pic:spPr>
                </pic:pic>
              </a:graphicData>
            </a:graphic>
          </wp:inline>
        </w:drawing>
      </w:r>
    </w:p>
    <w:p w:rsidR="003117B8" w:rsidRDefault="003117B8" w:rsidP="003117B8">
      <w:pPr>
        <w:pStyle w:val="Zdroj"/>
      </w:pPr>
      <w:r>
        <w:t>Zdroj dat: IS VaVaI</w:t>
      </w:r>
    </w:p>
    <w:p w:rsidR="003117B8" w:rsidRDefault="003117B8" w:rsidP="003117B8">
      <w:pPr>
        <w:pStyle w:val="komentzaobrzkem"/>
      </w:pPr>
      <w:r>
        <w:t>Nejsou zahrnuty finance určené na spolufinancování projektů ESIF poskytovatele MPO ani finance určené na poplatky za členství v mezinárodních organizacích VaVaI (Nelze je na základě dat v IS VaVaI rozdělit na skupiny příjemců.).</w:t>
      </w:r>
    </w:p>
    <w:p w:rsidR="003117B8" w:rsidRDefault="003117B8" w:rsidP="003117B8">
      <w:pPr>
        <w:pStyle w:val="komentzaobrzkem"/>
      </w:pPr>
      <w:r>
        <w:t>Skupiny příjemců:</w:t>
      </w:r>
    </w:p>
    <w:p w:rsidR="000822A0" w:rsidRPr="003117B8" w:rsidRDefault="000822A0" w:rsidP="003117B8">
      <w:pPr>
        <w:pStyle w:val="komentzaobrzkem"/>
      </w:pPr>
      <w:r w:rsidRPr="003117B8">
        <w:t>AV - veřejné výzkumné instituce, které zřídila AV ČR dle zákona č. 341/2005 Sb.,</w:t>
      </w:r>
    </w:p>
    <w:p w:rsidR="000822A0" w:rsidRPr="003117B8" w:rsidRDefault="000822A0" w:rsidP="003117B8">
      <w:pPr>
        <w:pStyle w:val="komentzaobrzkem"/>
      </w:pPr>
      <w:r w:rsidRPr="003117B8">
        <w:t>VS - vysoké školy (veřejné a soukromé, jejichž zřizovatelem jsou právnické nebo fyzické osoby),</w:t>
      </w:r>
    </w:p>
    <w:p w:rsidR="000822A0" w:rsidRPr="003117B8" w:rsidRDefault="000822A0" w:rsidP="003117B8">
      <w:pPr>
        <w:pStyle w:val="komentzaobrzkem"/>
      </w:pPr>
      <w:r w:rsidRPr="003117B8">
        <w:t>SP - stá</w:t>
      </w:r>
      <w:r w:rsidR="00F54E2A">
        <w:t xml:space="preserve">tní příspěvkové organizace, organizační složky státu </w:t>
      </w:r>
      <w:r w:rsidRPr="003117B8">
        <w:t>a veřejné výzkumné instituce mimo ústavů AV ČR,</w:t>
      </w:r>
    </w:p>
    <w:p w:rsidR="000822A0" w:rsidRPr="003117B8" w:rsidRDefault="000822A0" w:rsidP="003117B8">
      <w:pPr>
        <w:pStyle w:val="komentzaobrzkem"/>
        <w:spacing w:after="120"/>
      </w:pPr>
      <w:r w:rsidRPr="003117B8">
        <w:t>PF - právnické a fyzické osoby, jednotlivci a instituce nespadající do žádné z výše uvedených skupin, např. akciová společnost, společnost s ručením omezeným, obecně prospěšná společnost, nadace, občanské sdružení.</w:t>
      </w:r>
    </w:p>
    <w:p w:rsidR="000822A0" w:rsidRDefault="000822A0" w:rsidP="003117B8">
      <w:pPr>
        <w:spacing w:after="0" w:line="360" w:lineRule="auto"/>
        <w:ind w:firstLine="708"/>
        <w:jc w:val="both"/>
        <w:rPr>
          <w:rFonts w:ascii="Arial" w:eastAsia="Times New Roman" w:hAnsi="Arial" w:cs="Arial"/>
          <w:lang w:eastAsia="cs-CZ"/>
        </w:rPr>
      </w:pPr>
      <w:r w:rsidRPr="00F57A5E">
        <w:rPr>
          <w:rFonts w:ascii="Arial" w:eastAsia="Times New Roman" w:hAnsi="Arial" w:cs="Arial"/>
          <w:lang w:eastAsia="cs-CZ"/>
        </w:rPr>
        <w:t>Podíl jednotlivých poskytovatelů na financování skupin příjemců ze státního rozpočtu v roce 2014 je patrný z obr</w:t>
      </w:r>
      <w:r w:rsidR="002122C6">
        <w:rPr>
          <w:rFonts w:ascii="Arial" w:eastAsia="Times New Roman" w:hAnsi="Arial" w:cs="Arial"/>
          <w:lang w:eastAsia="cs-CZ"/>
        </w:rPr>
        <w:t>ázku</w:t>
      </w:r>
      <w:r w:rsidRPr="00F57A5E">
        <w:rPr>
          <w:rFonts w:ascii="Arial" w:eastAsia="Times New Roman" w:hAnsi="Arial" w:cs="Arial"/>
          <w:lang w:eastAsia="cs-CZ"/>
        </w:rPr>
        <w:t xml:space="preserve"> </w:t>
      </w:r>
      <w:r w:rsidR="00EB7966">
        <w:rPr>
          <w:rFonts w:ascii="Arial" w:eastAsia="Times New Roman" w:hAnsi="Arial" w:cs="Arial"/>
          <w:lang w:eastAsia="cs-CZ"/>
        </w:rPr>
        <w:t>2.3</w:t>
      </w:r>
      <w:r w:rsidRPr="00F57A5E">
        <w:rPr>
          <w:rFonts w:ascii="Arial" w:eastAsia="Times New Roman" w:hAnsi="Arial" w:cs="Arial"/>
          <w:lang w:eastAsia="cs-CZ"/>
        </w:rPr>
        <w:t>. Rozdělení prostředků na institucionální a účelové je v obr</w:t>
      </w:r>
      <w:r w:rsidR="002122C6">
        <w:rPr>
          <w:rFonts w:ascii="Arial" w:eastAsia="Times New Roman" w:hAnsi="Arial" w:cs="Arial"/>
          <w:lang w:eastAsia="cs-CZ"/>
        </w:rPr>
        <w:t>ázku</w:t>
      </w:r>
      <w:r w:rsidRPr="00F57A5E">
        <w:rPr>
          <w:rFonts w:ascii="Arial" w:eastAsia="Times New Roman" w:hAnsi="Arial" w:cs="Arial"/>
          <w:lang w:eastAsia="cs-CZ"/>
        </w:rPr>
        <w:t xml:space="preserve"> </w:t>
      </w:r>
      <w:r w:rsidR="00EB7966">
        <w:rPr>
          <w:rFonts w:ascii="Arial" w:eastAsia="Times New Roman" w:hAnsi="Arial" w:cs="Arial"/>
          <w:lang w:eastAsia="cs-CZ"/>
        </w:rPr>
        <w:t>2.3</w:t>
      </w:r>
      <w:r w:rsidRPr="00F57A5E">
        <w:rPr>
          <w:rFonts w:ascii="Arial" w:eastAsia="Times New Roman" w:hAnsi="Arial" w:cs="Arial"/>
          <w:lang w:eastAsia="cs-CZ"/>
        </w:rPr>
        <w:t xml:space="preserve"> provedeno podle zákona o podpoře výzkumu, experimentálního vývoje a inovací. Účelové prostředky získávají všechny skupiny příjemců od všech poskytovatelů s výjimkou Akademie věd, která poskytuje výhradně</w:t>
      </w:r>
      <w:r w:rsidR="002C43D5">
        <w:rPr>
          <w:rStyle w:val="Znakapoznpodarou"/>
          <w:rFonts w:ascii="Arial" w:eastAsia="Times New Roman" w:hAnsi="Arial" w:cs="Arial"/>
          <w:lang w:eastAsia="cs-CZ"/>
        </w:rPr>
        <w:footnoteReference w:id="10"/>
      </w:r>
      <w:r w:rsidRPr="00F57A5E">
        <w:rPr>
          <w:rFonts w:ascii="Arial" w:eastAsia="Times New Roman" w:hAnsi="Arial" w:cs="Arial"/>
          <w:lang w:eastAsia="cs-CZ"/>
        </w:rPr>
        <w:t xml:space="preserve"> institucionální podporu svým ústavům </w:t>
      </w:r>
      <w:r w:rsidR="0073634D" w:rsidRPr="00F57A5E">
        <w:rPr>
          <w:rFonts w:ascii="Arial" w:eastAsia="Times New Roman" w:hAnsi="Arial" w:cs="Arial"/>
          <w:lang w:eastAsia="cs-CZ"/>
        </w:rPr>
        <w:t xml:space="preserve">a to ve výši </w:t>
      </w:r>
      <w:r w:rsidRPr="00F57A5E">
        <w:rPr>
          <w:rFonts w:ascii="Arial" w:eastAsia="Times New Roman" w:hAnsi="Arial" w:cs="Arial"/>
          <w:lang w:eastAsia="cs-CZ"/>
        </w:rPr>
        <w:t xml:space="preserve">3 002 mil. Kč. Prostředky GA ČR </w:t>
      </w:r>
      <w:r w:rsidR="0041213B" w:rsidRPr="00F57A5E">
        <w:rPr>
          <w:rFonts w:ascii="Arial" w:eastAsia="Times New Roman" w:hAnsi="Arial" w:cs="Arial"/>
          <w:lang w:eastAsia="cs-CZ"/>
        </w:rPr>
        <w:t>využívají</w:t>
      </w:r>
      <w:r w:rsidRPr="00F57A5E">
        <w:rPr>
          <w:rFonts w:ascii="Arial" w:eastAsia="Times New Roman" w:hAnsi="Arial" w:cs="Arial"/>
          <w:lang w:eastAsia="cs-CZ"/>
        </w:rPr>
        <w:t xml:space="preserve"> především vysok</w:t>
      </w:r>
      <w:r w:rsidR="0041213B" w:rsidRPr="00F57A5E">
        <w:rPr>
          <w:rFonts w:ascii="Arial" w:eastAsia="Times New Roman" w:hAnsi="Arial" w:cs="Arial"/>
          <w:lang w:eastAsia="cs-CZ"/>
        </w:rPr>
        <w:t>é</w:t>
      </w:r>
      <w:r w:rsidRPr="00F57A5E">
        <w:rPr>
          <w:rFonts w:ascii="Arial" w:eastAsia="Times New Roman" w:hAnsi="Arial" w:cs="Arial"/>
          <w:lang w:eastAsia="cs-CZ"/>
        </w:rPr>
        <w:t xml:space="preserve"> škol</w:t>
      </w:r>
      <w:r w:rsidR="0041213B" w:rsidRPr="00F57A5E">
        <w:rPr>
          <w:rFonts w:ascii="Arial" w:eastAsia="Times New Roman" w:hAnsi="Arial" w:cs="Arial"/>
          <w:lang w:eastAsia="cs-CZ"/>
        </w:rPr>
        <w:t>y</w:t>
      </w:r>
      <w:r w:rsidRPr="00F57A5E">
        <w:rPr>
          <w:rFonts w:ascii="Arial" w:eastAsia="Times New Roman" w:hAnsi="Arial" w:cs="Arial"/>
          <w:lang w:eastAsia="cs-CZ"/>
        </w:rPr>
        <w:t xml:space="preserve"> (1</w:t>
      </w:r>
      <w:r w:rsidR="0041213B" w:rsidRPr="00F57A5E">
        <w:rPr>
          <w:rFonts w:ascii="Arial" w:eastAsia="Times New Roman" w:hAnsi="Arial" w:cs="Arial"/>
          <w:lang w:eastAsia="cs-CZ"/>
        </w:rPr>
        <w:t> </w:t>
      </w:r>
      <w:r w:rsidRPr="00F57A5E">
        <w:rPr>
          <w:rFonts w:ascii="Arial" w:eastAsia="Times New Roman" w:hAnsi="Arial" w:cs="Arial"/>
          <w:lang w:eastAsia="cs-CZ"/>
        </w:rPr>
        <w:t xml:space="preserve">644 mil. Kč) a ústavy AV ČR (1 546 mil. Kč). Podpora TA ČR směřuje především do podniků (1 441 mil. Kč), ale významnou měrou také vysokým školám (přes 973 mil. Kč). MPO podporuje především podniky a to jak účelově (780 mil. Kč), tak institucionálně (150 mil. Kč). MŠMT, </w:t>
      </w:r>
      <w:r w:rsidR="0073634D" w:rsidRPr="00F57A5E">
        <w:rPr>
          <w:rFonts w:ascii="Arial" w:eastAsia="Times New Roman" w:hAnsi="Arial" w:cs="Arial"/>
          <w:lang w:eastAsia="cs-CZ"/>
        </w:rPr>
        <w:t xml:space="preserve">jež </w:t>
      </w:r>
      <w:r w:rsidRPr="00F57A5E">
        <w:rPr>
          <w:rFonts w:ascii="Arial" w:eastAsia="Times New Roman" w:hAnsi="Arial" w:cs="Arial"/>
          <w:lang w:eastAsia="cs-CZ"/>
        </w:rPr>
        <w:t>je největším poskytovatelem</w:t>
      </w:r>
      <w:r w:rsidR="0041213B" w:rsidRPr="00F57A5E">
        <w:rPr>
          <w:rFonts w:ascii="Arial" w:eastAsia="Times New Roman" w:hAnsi="Arial" w:cs="Arial"/>
          <w:lang w:eastAsia="cs-CZ"/>
        </w:rPr>
        <w:t xml:space="preserve"> z hlediska</w:t>
      </w:r>
      <w:r w:rsidRPr="00F57A5E">
        <w:rPr>
          <w:rFonts w:ascii="Arial" w:eastAsia="Times New Roman" w:hAnsi="Arial" w:cs="Arial"/>
          <w:lang w:eastAsia="cs-CZ"/>
        </w:rPr>
        <w:t xml:space="preserve"> objem</w:t>
      </w:r>
      <w:r w:rsidR="0041213B" w:rsidRPr="00F57A5E">
        <w:rPr>
          <w:rFonts w:ascii="Arial" w:eastAsia="Times New Roman" w:hAnsi="Arial" w:cs="Arial"/>
          <w:lang w:eastAsia="cs-CZ"/>
        </w:rPr>
        <w:t>u</w:t>
      </w:r>
      <w:r w:rsidRPr="00F57A5E">
        <w:rPr>
          <w:rFonts w:ascii="Arial" w:eastAsia="Times New Roman" w:hAnsi="Arial" w:cs="Arial"/>
          <w:lang w:eastAsia="cs-CZ"/>
        </w:rPr>
        <w:t xml:space="preserve"> distribuovaných prostředků, </w:t>
      </w:r>
      <w:r w:rsidR="0041213B" w:rsidRPr="00F57A5E">
        <w:rPr>
          <w:rFonts w:ascii="Arial" w:eastAsia="Times New Roman" w:hAnsi="Arial" w:cs="Arial"/>
          <w:lang w:eastAsia="cs-CZ"/>
        </w:rPr>
        <w:t>rozděl</w:t>
      </w:r>
      <w:r w:rsidRPr="00F57A5E">
        <w:rPr>
          <w:rFonts w:ascii="Arial" w:eastAsia="Times New Roman" w:hAnsi="Arial" w:cs="Arial"/>
          <w:lang w:eastAsia="cs-CZ"/>
        </w:rPr>
        <w:t xml:space="preserve">uje zejména institucionální podporu vysokým školám (7 597 mil. Kč). Účelové prostředky MŠMT využívají nejvíce vysoké školy (1 993 mil. Kč), méně ústavy AV ČR (661 mil. Kč) a podniky (619 mil. Kč). Ostatní resorty, tj. MZ, MO, MV, </w:t>
      </w:r>
      <w:proofErr w:type="spellStart"/>
      <w:r w:rsidRPr="00F57A5E">
        <w:rPr>
          <w:rFonts w:ascii="Arial" w:eastAsia="Times New Roman" w:hAnsi="Arial" w:cs="Arial"/>
          <w:lang w:eastAsia="cs-CZ"/>
        </w:rPr>
        <w:t>MZe</w:t>
      </w:r>
      <w:proofErr w:type="spellEnd"/>
      <w:r w:rsidRPr="00F57A5E">
        <w:rPr>
          <w:rFonts w:ascii="Arial" w:eastAsia="Times New Roman" w:hAnsi="Arial" w:cs="Arial"/>
          <w:lang w:eastAsia="cs-CZ"/>
        </w:rPr>
        <w:t xml:space="preserve"> a MK, jsou zaměřeny především na </w:t>
      </w:r>
      <w:r w:rsidR="0041213B" w:rsidRPr="00F57A5E">
        <w:rPr>
          <w:rFonts w:ascii="Arial" w:eastAsia="Times New Roman" w:hAnsi="Arial" w:cs="Arial"/>
          <w:lang w:eastAsia="cs-CZ"/>
        </w:rPr>
        <w:t xml:space="preserve">ty </w:t>
      </w:r>
      <w:r w:rsidRPr="00F57A5E">
        <w:rPr>
          <w:rFonts w:ascii="Arial" w:eastAsia="Times New Roman" w:hAnsi="Arial" w:cs="Arial"/>
          <w:lang w:eastAsia="cs-CZ"/>
        </w:rPr>
        <w:t>subjekty, jejichž jsou zřizovatel</w:t>
      </w:r>
      <w:r w:rsidR="0041213B" w:rsidRPr="00F57A5E">
        <w:rPr>
          <w:rFonts w:ascii="Arial" w:eastAsia="Times New Roman" w:hAnsi="Arial" w:cs="Arial"/>
          <w:lang w:eastAsia="cs-CZ"/>
        </w:rPr>
        <w:t>i</w:t>
      </w:r>
      <w:r w:rsidRPr="00F57A5E">
        <w:rPr>
          <w:rFonts w:ascii="Arial" w:eastAsia="Times New Roman" w:hAnsi="Arial" w:cs="Arial"/>
          <w:lang w:eastAsia="cs-CZ"/>
        </w:rPr>
        <w:t xml:space="preserve"> (skupina SP). Podporují je institucionálně (928 mil. Kč)</w:t>
      </w:r>
      <w:r w:rsidR="0041213B" w:rsidRPr="00F57A5E">
        <w:rPr>
          <w:rFonts w:ascii="Arial" w:eastAsia="Times New Roman" w:hAnsi="Arial" w:cs="Arial"/>
          <w:lang w:eastAsia="cs-CZ"/>
        </w:rPr>
        <w:t xml:space="preserve"> i</w:t>
      </w:r>
      <w:r w:rsidRPr="00F57A5E">
        <w:rPr>
          <w:rFonts w:ascii="Arial" w:eastAsia="Times New Roman" w:hAnsi="Arial" w:cs="Arial"/>
          <w:lang w:eastAsia="cs-CZ"/>
        </w:rPr>
        <w:t xml:space="preserve"> účelově (1 151 mil. Kč). Účelovou podporu těchto resortů však s úspěchem využívají také vysoké školy (715 mil. Kč) a podniky (414 mil. Kč).</w:t>
      </w:r>
      <w:r w:rsidR="00FF7D5C">
        <w:rPr>
          <w:rFonts w:ascii="Arial" w:eastAsia="Times New Roman" w:hAnsi="Arial" w:cs="Arial"/>
          <w:lang w:eastAsia="cs-CZ"/>
        </w:rPr>
        <w:t xml:space="preserve"> Nízký podíl pracovišť AV ČR na čerpání </w:t>
      </w:r>
      <w:r w:rsidR="00FF7D5C">
        <w:rPr>
          <w:rFonts w:ascii="Arial" w:eastAsia="Times New Roman" w:hAnsi="Arial" w:cs="Arial"/>
          <w:lang w:eastAsia="cs-CZ"/>
        </w:rPr>
        <w:lastRenderedPageBreak/>
        <w:t>účelové podpory z TA ČR a ostatních resortů může indikovat jejich zaměření spíše na základní výzkum, než na aplikovaný.</w:t>
      </w:r>
    </w:p>
    <w:p w:rsidR="000822A0" w:rsidRPr="000822A0" w:rsidRDefault="00CA1CD5" w:rsidP="00837270">
      <w:pPr>
        <w:pStyle w:val="Obrzek-nadpis"/>
      </w:pPr>
      <w:r>
        <w:t>Obr. 2.3</w:t>
      </w:r>
      <w:r w:rsidR="000822A0" w:rsidRPr="000822A0">
        <w:t>: Distribuce prostředků státního rozpočtu skupinám příjemců v roce 2014 jednotlivými poskytovateli (v mil. Kč)</w:t>
      </w:r>
    </w:p>
    <w:p w:rsidR="000822A0" w:rsidRPr="000822A0" w:rsidRDefault="000822A0" w:rsidP="00D25C7B">
      <w:pPr>
        <w:spacing w:after="0" w:line="240" w:lineRule="auto"/>
        <w:jc w:val="center"/>
        <w:rPr>
          <w:rFonts w:ascii="Times New Roman" w:eastAsia="Times New Roman" w:hAnsi="Times New Roman" w:cs="Times New Roman"/>
          <w:sz w:val="24"/>
          <w:szCs w:val="24"/>
          <w:lang w:eastAsia="cs-CZ"/>
        </w:rPr>
      </w:pPr>
      <w:r w:rsidRPr="000822A0">
        <w:rPr>
          <w:rFonts w:ascii="Times New Roman" w:eastAsia="Times New Roman" w:hAnsi="Times New Roman" w:cs="Times New Roman"/>
          <w:noProof/>
          <w:sz w:val="24"/>
          <w:szCs w:val="24"/>
          <w:lang w:eastAsia="cs-CZ"/>
        </w:rPr>
        <w:drawing>
          <wp:inline distT="0" distB="0" distL="0" distR="0" wp14:anchorId="2EE20F0F" wp14:editId="31688A44">
            <wp:extent cx="5220000" cy="2880000"/>
            <wp:effectExtent l="0" t="0" r="0" b="0"/>
            <wp:docPr id="330" name="Obrázek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20000" cy="2880000"/>
                    </a:xfrm>
                    <a:prstGeom prst="rect">
                      <a:avLst/>
                    </a:prstGeom>
                    <a:noFill/>
                    <a:ln>
                      <a:noFill/>
                    </a:ln>
                  </pic:spPr>
                </pic:pic>
              </a:graphicData>
            </a:graphic>
          </wp:inline>
        </w:drawing>
      </w:r>
    </w:p>
    <w:p w:rsidR="000822A0" w:rsidRPr="000822A0" w:rsidRDefault="000822A0" w:rsidP="00837270">
      <w:pPr>
        <w:pStyle w:val="Zdroj"/>
      </w:pPr>
      <w:r w:rsidRPr="000822A0">
        <w:t>Zdroj dat: IS VaVaI</w:t>
      </w:r>
    </w:p>
    <w:p w:rsidR="000822A0" w:rsidRPr="000822A0" w:rsidRDefault="000822A0" w:rsidP="00837270">
      <w:pPr>
        <w:pStyle w:val="komentzaobrzkem"/>
      </w:pPr>
      <w:r w:rsidRPr="000822A0">
        <w:t>Horizontální osa: poskytovatelé</w:t>
      </w:r>
    </w:p>
    <w:p w:rsidR="000822A0" w:rsidRPr="000822A0" w:rsidRDefault="000822A0" w:rsidP="00837270">
      <w:pPr>
        <w:pStyle w:val="komentzaobrzkem"/>
      </w:pPr>
      <w:r w:rsidRPr="000822A0">
        <w:t>Vertikální osa: skupiny příjemců</w:t>
      </w:r>
    </w:p>
    <w:p w:rsidR="000822A0" w:rsidRPr="000822A0" w:rsidRDefault="000822A0" w:rsidP="00837270">
      <w:pPr>
        <w:pStyle w:val="komentzaobrzkem"/>
      </w:pPr>
      <w:r w:rsidRPr="000822A0">
        <w:t>Jsou zahrnuty prostředky určené na spolufinancování projektů ESIF poskytovatele MŠMT</w:t>
      </w:r>
      <w:r w:rsidR="0073634D">
        <w:t>.</w:t>
      </w:r>
    </w:p>
    <w:p w:rsidR="000822A0" w:rsidRPr="000822A0" w:rsidRDefault="000822A0" w:rsidP="00837270">
      <w:pPr>
        <w:pStyle w:val="komentzaobrzkem"/>
        <w:spacing w:after="120"/>
        <w:rPr>
          <w:sz w:val="24"/>
        </w:rPr>
      </w:pPr>
      <w:r w:rsidRPr="000822A0">
        <w:t>Nejsou zahrnuty finance určené na spolufinancování projektů ESIF poskytovatele MPO ani finance určené na poplatky za členství v mezinárodních organizacích VaVaI (</w:t>
      </w:r>
      <w:r w:rsidR="0073634D">
        <w:t>N</w:t>
      </w:r>
      <w:r w:rsidRPr="000822A0">
        <w:t>elze je na základě dat v IS VaVaI rozdělit na skupiny příjemců</w:t>
      </w:r>
      <w:r w:rsidR="0073634D">
        <w:t>.</w:t>
      </w:r>
      <w:r w:rsidRPr="000822A0">
        <w:t>)</w:t>
      </w:r>
      <w:r w:rsidR="0073634D">
        <w:t>.</w:t>
      </w:r>
    </w:p>
    <w:p w:rsidR="000822A0" w:rsidRPr="00F57A5E" w:rsidRDefault="000822A0" w:rsidP="00837270">
      <w:pPr>
        <w:spacing w:after="0" w:line="360" w:lineRule="auto"/>
        <w:ind w:firstLine="708"/>
        <w:jc w:val="both"/>
        <w:rPr>
          <w:rFonts w:ascii="Arial" w:eastAsia="Times New Roman" w:hAnsi="Arial" w:cs="Arial"/>
          <w:lang w:eastAsia="cs-CZ"/>
        </w:rPr>
      </w:pPr>
      <w:r w:rsidRPr="00F57A5E">
        <w:rPr>
          <w:rFonts w:ascii="Arial" w:eastAsia="Times New Roman" w:hAnsi="Arial" w:cs="Arial"/>
          <w:lang w:eastAsia="cs-CZ"/>
        </w:rPr>
        <w:t>Účelovou podporu podle oborových skupin a významných obor</w:t>
      </w:r>
      <w:r w:rsidR="00EB7966">
        <w:rPr>
          <w:rFonts w:ascii="Arial" w:eastAsia="Times New Roman" w:hAnsi="Arial" w:cs="Arial"/>
          <w:lang w:eastAsia="cs-CZ"/>
        </w:rPr>
        <w:t>ů v roce 2014 znázorňuje obr</w:t>
      </w:r>
      <w:r w:rsidR="002122C6">
        <w:rPr>
          <w:rFonts w:ascii="Arial" w:eastAsia="Times New Roman" w:hAnsi="Arial" w:cs="Arial"/>
          <w:lang w:eastAsia="cs-CZ"/>
        </w:rPr>
        <w:t>ázek</w:t>
      </w:r>
      <w:r w:rsidR="00EB7966">
        <w:rPr>
          <w:rFonts w:ascii="Arial" w:eastAsia="Times New Roman" w:hAnsi="Arial" w:cs="Arial"/>
          <w:lang w:eastAsia="cs-CZ"/>
        </w:rPr>
        <w:t xml:space="preserve"> 2.4</w:t>
      </w:r>
      <w:r w:rsidRPr="00F57A5E">
        <w:rPr>
          <w:rFonts w:ascii="Arial" w:eastAsia="Times New Roman" w:hAnsi="Arial" w:cs="Arial"/>
          <w:lang w:eastAsia="cs-CZ"/>
        </w:rPr>
        <w:t>. Zahrnuty jsou pouze prostředky na programové a grantové projekty (celkem 26 programů a skupin grantových projektů), navíc bez projek</w:t>
      </w:r>
      <w:r w:rsidR="00F54E2A">
        <w:rPr>
          <w:rFonts w:ascii="Arial" w:eastAsia="Times New Roman" w:hAnsi="Arial" w:cs="Arial"/>
          <w:lang w:eastAsia="cs-CZ"/>
        </w:rPr>
        <w:t>tů velkých infrastruktur</w:t>
      </w:r>
      <w:r w:rsidRPr="00F57A5E">
        <w:rPr>
          <w:rFonts w:ascii="Arial" w:eastAsia="Times New Roman" w:hAnsi="Arial" w:cs="Arial"/>
          <w:lang w:eastAsia="cs-CZ"/>
        </w:rPr>
        <w:t xml:space="preserve"> a projektů financovaných prostřednictvím NPU, které mají z analytického pohledu institucionální charakter. Takto očištěná výše podpory (v mil. Kč) vypovídá o úspěšnosti vědeckých týmů jednotlivých oborových skupin a vybraných oborů VaVaI v soutěžích o národní prostředky. Interpretace je přesto omezena specifitou oborového členění v IS VaVaI a zaměřením některých programů na</w:t>
      </w:r>
      <w:r w:rsidR="00DB5657">
        <w:rPr>
          <w:rFonts w:ascii="Arial" w:eastAsia="Times New Roman" w:hAnsi="Arial" w:cs="Arial"/>
          <w:lang w:eastAsia="cs-CZ"/>
        </w:rPr>
        <w:t> </w:t>
      </w:r>
      <w:r w:rsidRPr="00F57A5E">
        <w:rPr>
          <w:rFonts w:ascii="Arial" w:eastAsia="Times New Roman" w:hAnsi="Arial" w:cs="Arial"/>
          <w:lang w:eastAsia="cs-CZ"/>
        </w:rPr>
        <w:t>podporu horizo</w:t>
      </w:r>
      <w:r w:rsidR="00EB7966">
        <w:rPr>
          <w:rFonts w:ascii="Arial" w:eastAsia="Times New Roman" w:hAnsi="Arial" w:cs="Arial"/>
          <w:lang w:eastAsia="cs-CZ"/>
        </w:rPr>
        <w:t>ntálních aktivit (viz tabulka 2.</w:t>
      </w:r>
      <w:r w:rsidR="00766076">
        <w:rPr>
          <w:rFonts w:ascii="Arial" w:eastAsia="Times New Roman" w:hAnsi="Arial" w:cs="Arial"/>
          <w:lang w:eastAsia="cs-CZ"/>
        </w:rPr>
        <w:t>6</w:t>
      </w:r>
      <w:r w:rsidRPr="00F57A5E">
        <w:rPr>
          <w:rFonts w:ascii="Arial" w:eastAsia="Times New Roman" w:hAnsi="Arial" w:cs="Arial"/>
          <w:lang w:eastAsia="cs-CZ"/>
        </w:rPr>
        <w:t>).</w:t>
      </w:r>
    </w:p>
    <w:p w:rsidR="0073634D" w:rsidRPr="00F57A5E" w:rsidRDefault="000822A0" w:rsidP="00837270">
      <w:pPr>
        <w:spacing w:after="0" w:line="360" w:lineRule="auto"/>
        <w:ind w:firstLine="708"/>
        <w:jc w:val="both"/>
        <w:rPr>
          <w:rFonts w:ascii="Arial" w:eastAsia="Times New Roman" w:hAnsi="Arial" w:cs="Arial"/>
          <w:lang w:eastAsia="cs-CZ"/>
        </w:rPr>
      </w:pPr>
      <w:r w:rsidRPr="004F4CF5">
        <w:rPr>
          <w:rFonts w:ascii="Arial" w:eastAsia="Times New Roman" w:hAnsi="Arial" w:cs="Arial"/>
          <w:lang w:eastAsia="cs-CZ"/>
        </w:rPr>
        <w:t>Z hlediska oborového zaměření</w:t>
      </w:r>
      <w:r w:rsidRPr="00F57A5E">
        <w:rPr>
          <w:rFonts w:ascii="Arial" w:eastAsia="Times New Roman" w:hAnsi="Arial" w:cs="Arial"/>
          <w:lang w:eastAsia="cs-CZ"/>
        </w:rPr>
        <w:t xml:space="preserve"> projektů byl nejvýrazněji podporovanou skupinou oborů Průmysl (3 058 mil. Kč) následovaný Společenskými vědami (1 340 mil. Kč), </w:t>
      </w:r>
      <w:proofErr w:type="spellStart"/>
      <w:r w:rsidRPr="00F57A5E">
        <w:rPr>
          <w:rFonts w:ascii="Arial" w:eastAsia="Times New Roman" w:hAnsi="Arial" w:cs="Arial"/>
          <w:lang w:eastAsia="cs-CZ"/>
        </w:rPr>
        <w:t>Biovědami</w:t>
      </w:r>
      <w:proofErr w:type="spellEnd"/>
      <w:r w:rsidRPr="00F57A5E">
        <w:rPr>
          <w:rFonts w:ascii="Arial" w:eastAsia="Times New Roman" w:hAnsi="Arial" w:cs="Arial"/>
          <w:lang w:eastAsia="cs-CZ"/>
        </w:rPr>
        <w:t xml:space="preserve"> (1 234 mil. Kč) a Lékařskými vědami (1 170 mil. Kč). Finanční podporu </w:t>
      </w:r>
      <w:r w:rsidR="00E621CC" w:rsidRPr="00F57A5E">
        <w:rPr>
          <w:rFonts w:ascii="Arial" w:eastAsia="Times New Roman" w:hAnsi="Arial" w:cs="Arial"/>
          <w:lang w:eastAsia="cs-CZ"/>
        </w:rPr>
        <w:t>dosahující téměř</w:t>
      </w:r>
      <w:r w:rsidRPr="00F57A5E">
        <w:rPr>
          <w:rFonts w:ascii="Arial" w:eastAsia="Times New Roman" w:hAnsi="Arial" w:cs="Arial"/>
          <w:lang w:eastAsia="cs-CZ"/>
        </w:rPr>
        <w:t xml:space="preserve"> 1 mld. Kč vykázaly </w:t>
      </w:r>
      <w:r w:rsidR="0073634D" w:rsidRPr="00F57A5E">
        <w:rPr>
          <w:rFonts w:ascii="Arial" w:eastAsia="Times New Roman" w:hAnsi="Arial" w:cs="Arial"/>
          <w:lang w:eastAsia="cs-CZ"/>
        </w:rPr>
        <w:t xml:space="preserve">také </w:t>
      </w:r>
      <w:r w:rsidRPr="00F57A5E">
        <w:rPr>
          <w:rFonts w:ascii="Arial" w:eastAsia="Times New Roman" w:hAnsi="Arial" w:cs="Arial"/>
          <w:lang w:eastAsia="cs-CZ"/>
        </w:rPr>
        <w:t xml:space="preserve">skupiny Fyzika a matematika (975 mil. Kč) a Chemie (946 mil. Kč). </w:t>
      </w:r>
    </w:p>
    <w:p w:rsidR="00B97278" w:rsidRPr="00F57A5E" w:rsidRDefault="00E621CC" w:rsidP="00837270">
      <w:pPr>
        <w:spacing w:after="0" w:line="360" w:lineRule="auto"/>
        <w:ind w:firstLine="708"/>
        <w:jc w:val="both"/>
        <w:rPr>
          <w:rFonts w:ascii="Arial" w:eastAsia="Times New Roman" w:hAnsi="Arial" w:cs="Arial"/>
          <w:lang w:eastAsia="cs-CZ"/>
        </w:rPr>
      </w:pPr>
      <w:r w:rsidRPr="00F57A5E">
        <w:rPr>
          <w:rFonts w:ascii="Arial" w:eastAsia="Times New Roman" w:hAnsi="Arial" w:cs="Arial"/>
          <w:lang w:eastAsia="cs-CZ"/>
        </w:rPr>
        <w:t>Mezi jednotlivými</w:t>
      </w:r>
      <w:r w:rsidR="000822A0" w:rsidRPr="00F57A5E">
        <w:rPr>
          <w:rFonts w:ascii="Arial" w:eastAsia="Times New Roman" w:hAnsi="Arial" w:cs="Arial"/>
          <w:lang w:eastAsia="cs-CZ"/>
        </w:rPr>
        <w:t xml:space="preserve"> obor</w:t>
      </w:r>
      <w:r w:rsidRPr="00F57A5E">
        <w:rPr>
          <w:rFonts w:ascii="Arial" w:eastAsia="Times New Roman" w:hAnsi="Arial" w:cs="Arial"/>
          <w:lang w:eastAsia="cs-CZ"/>
        </w:rPr>
        <w:t xml:space="preserve">y </w:t>
      </w:r>
      <w:r w:rsidR="0073634D" w:rsidRPr="00F57A5E">
        <w:rPr>
          <w:rFonts w:ascii="Arial" w:eastAsia="Times New Roman" w:hAnsi="Arial" w:cs="Arial"/>
          <w:lang w:eastAsia="cs-CZ"/>
        </w:rPr>
        <w:t xml:space="preserve">získala </w:t>
      </w:r>
      <w:r w:rsidR="000822A0" w:rsidRPr="00F57A5E">
        <w:rPr>
          <w:rFonts w:ascii="Arial" w:eastAsia="Times New Roman" w:hAnsi="Arial" w:cs="Arial"/>
          <w:lang w:eastAsia="cs-CZ"/>
        </w:rPr>
        <w:t xml:space="preserve">jednoznačně nejvyšší podporu Genetika a molekulární biologie (451 mil. Kč). </w:t>
      </w:r>
      <w:r w:rsidR="0073634D" w:rsidRPr="00F57A5E">
        <w:rPr>
          <w:rFonts w:ascii="Arial" w:eastAsia="Times New Roman" w:hAnsi="Arial" w:cs="Arial"/>
          <w:lang w:eastAsia="cs-CZ"/>
        </w:rPr>
        <w:t>V</w:t>
      </w:r>
      <w:r w:rsidR="000822A0" w:rsidRPr="00F57A5E">
        <w:rPr>
          <w:rFonts w:ascii="Arial" w:eastAsia="Times New Roman" w:hAnsi="Arial" w:cs="Arial"/>
          <w:lang w:eastAsia="cs-CZ"/>
        </w:rPr>
        <w:t> oborové skupin</w:t>
      </w:r>
      <w:r w:rsidR="0073634D" w:rsidRPr="00F57A5E">
        <w:rPr>
          <w:rFonts w:ascii="Arial" w:eastAsia="Times New Roman" w:hAnsi="Arial" w:cs="Arial"/>
          <w:lang w:eastAsia="cs-CZ"/>
        </w:rPr>
        <w:t>ě</w:t>
      </w:r>
      <w:r w:rsidR="000822A0" w:rsidRPr="00F57A5E">
        <w:rPr>
          <w:rFonts w:ascii="Arial" w:eastAsia="Times New Roman" w:hAnsi="Arial" w:cs="Arial"/>
          <w:lang w:eastAsia="cs-CZ"/>
        </w:rPr>
        <w:t xml:space="preserve"> Průmysl byly nejvíce podpořeny obory Elektronika a</w:t>
      </w:r>
      <w:r w:rsidR="00DB5657">
        <w:rPr>
          <w:rFonts w:ascii="Arial" w:eastAsia="Times New Roman" w:hAnsi="Arial" w:cs="Arial"/>
          <w:lang w:eastAsia="cs-CZ"/>
        </w:rPr>
        <w:t> </w:t>
      </w:r>
      <w:r w:rsidR="000822A0" w:rsidRPr="00F57A5E">
        <w:rPr>
          <w:rFonts w:ascii="Arial" w:eastAsia="Times New Roman" w:hAnsi="Arial" w:cs="Arial"/>
          <w:lang w:eastAsia="cs-CZ"/>
        </w:rPr>
        <w:t>optoelektronika, elektrotechnika (337 mil. Kč), Nejaderná energetika, spotřeba a užití energie (297 mil. Kč) a Jaderná energetika (239 mil Kč.). Ve skupině společenských věd získaly nejvyšší podporu obory Umění, architektura, kulturní dědictví (283 mil. Kč</w:t>
      </w:r>
      <w:r w:rsidR="00B97278">
        <w:rPr>
          <w:rFonts w:ascii="Arial" w:eastAsia="Times New Roman" w:hAnsi="Arial" w:cs="Arial"/>
          <w:lang w:eastAsia="cs-CZ"/>
        </w:rPr>
        <w:t xml:space="preserve">, z toho 247 mil. Kč díky podpoře </w:t>
      </w:r>
      <w:r w:rsidR="00B97278">
        <w:rPr>
          <w:rFonts w:ascii="Arial" w:eastAsia="Times New Roman" w:hAnsi="Arial" w:cs="Arial"/>
          <w:lang w:eastAsia="cs-CZ"/>
        </w:rPr>
        <w:lastRenderedPageBreak/>
        <w:t>MK</w:t>
      </w:r>
      <w:r w:rsidR="000822A0" w:rsidRPr="00F57A5E">
        <w:rPr>
          <w:rFonts w:ascii="Arial" w:eastAsia="Times New Roman" w:hAnsi="Arial" w:cs="Arial"/>
          <w:lang w:eastAsia="cs-CZ"/>
        </w:rPr>
        <w:t xml:space="preserve">) a Dokumentace, knihovnictví, práce s informacemi (193 mil. Kč). Ve fyzice a matematice převážila podpora Fyziky pevných látek a magnetismu (195 mil. Kč) a Optiky, </w:t>
      </w:r>
      <w:proofErr w:type="spellStart"/>
      <w:r w:rsidR="000822A0" w:rsidRPr="00F57A5E">
        <w:rPr>
          <w:rFonts w:ascii="Arial" w:eastAsia="Times New Roman" w:hAnsi="Arial" w:cs="Arial"/>
          <w:lang w:eastAsia="cs-CZ"/>
        </w:rPr>
        <w:t>maserů</w:t>
      </w:r>
      <w:proofErr w:type="spellEnd"/>
      <w:r w:rsidR="000822A0" w:rsidRPr="00F57A5E">
        <w:rPr>
          <w:rFonts w:ascii="Arial" w:eastAsia="Times New Roman" w:hAnsi="Arial" w:cs="Arial"/>
          <w:lang w:eastAsia="cs-CZ"/>
        </w:rPr>
        <w:t xml:space="preserve"> a laserů (157 mil. Kč). Z lékařských věd byla nejvíce podpořena Onkologie a hematologie (245 mil. Kč).</w:t>
      </w:r>
      <w:r w:rsidR="00766076">
        <w:rPr>
          <w:rFonts w:ascii="Arial" w:eastAsia="Times New Roman" w:hAnsi="Arial" w:cs="Arial"/>
          <w:lang w:eastAsia="cs-CZ"/>
        </w:rPr>
        <w:t xml:space="preserve"> Na</w:t>
      </w:r>
      <w:r w:rsidR="00DB5657">
        <w:rPr>
          <w:rFonts w:ascii="Arial" w:eastAsia="Times New Roman" w:hAnsi="Arial" w:cs="Arial"/>
          <w:lang w:eastAsia="cs-CZ"/>
        </w:rPr>
        <w:t> </w:t>
      </w:r>
      <w:r w:rsidR="00766076">
        <w:rPr>
          <w:rFonts w:ascii="Arial" w:eastAsia="Times New Roman" w:hAnsi="Arial" w:cs="Arial"/>
          <w:lang w:eastAsia="cs-CZ"/>
        </w:rPr>
        <w:t xml:space="preserve">příkladu vysokého podílu oboru Umění, </w:t>
      </w:r>
      <w:r w:rsidR="00766076" w:rsidRPr="00845AD8">
        <w:rPr>
          <w:rFonts w:ascii="Arial" w:eastAsia="Times New Roman" w:hAnsi="Arial" w:cs="Arial"/>
          <w:lang w:eastAsia="cs-CZ"/>
        </w:rPr>
        <w:t>architektura a kulturní dědictví je patrné, že některé obory jsou preferovány přímo zaměřením programu</w:t>
      </w:r>
      <w:r w:rsidR="00B258CC" w:rsidRPr="00845AD8">
        <w:rPr>
          <w:rFonts w:ascii="Arial" w:eastAsia="Times New Roman" w:hAnsi="Arial" w:cs="Arial"/>
          <w:lang w:eastAsia="cs-CZ"/>
        </w:rPr>
        <w:t xml:space="preserve">. </w:t>
      </w:r>
      <w:r w:rsidR="00B97278">
        <w:rPr>
          <w:rFonts w:ascii="Arial" w:eastAsia="Times New Roman" w:hAnsi="Arial" w:cs="Arial"/>
          <w:lang w:eastAsia="cs-CZ"/>
        </w:rPr>
        <w:t>Obr</w:t>
      </w:r>
      <w:r w:rsidR="002122C6">
        <w:rPr>
          <w:rFonts w:ascii="Arial" w:eastAsia="Times New Roman" w:hAnsi="Arial" w:cs="Arial"/>
          <w:lang w:eastAsia="cs-CZ"/>
        </w:rPr>
        <w:t>ázek</w:t>
      </w:r>
      <w:r w:rsidR="00B97278">
        <w:rPr>
          <w:rFonts w:ascii="Arial" w:eastAsia="Times New Roman" w:hAnsi="Arial" w:cs="Arial"/>
          <w:lang w:eastAsia="cs-CZ"/>
        </w:rPr>
        <w:t xml:space="preserve"> 2.5 uvádí rozdělení prostředků na programové a grantové projekty oborovým skupinám podle poskytovatele. Je zřejmé, že Společenské vědy jsou kromě MK významně podporovány také GA ČR a MŠMT. Průmysl je podporován zejména TA ČR a MPO. Na </w:t>
      </w:r>
      <w:proofErr w:type="spellStart"/>
      <w:r w:rsidR="00B97278">
        <w:rPr>
          <w:rFonts w:ascii="Arial" w:eastAsia="Times New Roman" w:hAnsi="Arial" w:cs="Arial"/>
          <w:lang w:eastAsia="cs-CZ"/>
        </w:rPr>
        <w:t>Biovědy</w:t>
      </w:r>
      <w:proofErr w:type="spellEnd"/>
      <w:r w:rsidR="00B97278">
        <w:rPr>
          <w:rFonts w:ascii="Arial" w:eastAsia="Times New Roman" w:hAnsi="Arial" w:cs="Arial"/>
          <w:lang w:eastAsia="cs-CZ"/>
        </w:rPr>
        <w:t xml:space="preserve"> je cílena především podpora GA ČR, Fyziku a</w:t>
      </w:r>
      <w:r w:rsidR="00DB5657">
        <w:rPr>
          <w:rFonts w:ascii="Arial" w:eastAsia="Times New Roman" w:hAnsi="Arial" w:cs="Arial"/>
          <w:lang w:eastAsia="cs-CZ"/>
        </w:rPr>
        <w:t> </w:t>
      </w:r>
      <w:r w:rsidR="00B97278">
        <w:rPr>
          <w:rFonts w:ascii="Arial" w:eastAsia="Times New Roman" w:hAnsi="Arial" w:cs="Arial"/>
          <w:lang w:eastAsia="cs-CZ"/>
        </w:rPr>
        <w:t xml:space="preserve">matematiku významně podporuje kromě GA ČR také </w:t>
      </w:r>
      <w:r w:rsidR="00F54E2A">
        <w:rPr>
          <w:rFonts w:ascii="Arial" w:eastAsia="Times New Roman" w:hAnsi="Arial" w:cs="Arial"/>
          <w:lang w:eastAsia="cs-CZ"/>
        </w:rPr>
        <w:t>MŠMT, lékařské vědy zejména MZ.</w:t>
      </w:r>
    </w:p>
    <w:p w:rsidR="000822A0" w:rsidRDefault="000822A0" w:rsidP="00837270">
      <w:pPr>
        <w:spacing w:after="0" w:line="360" w:lineRule="auto"/>
        <w:ind w:firstLine="708"/>
        <w:jc w:val="both"/>
        <w:rPr>
          <w:rFonts w:ascii="Arial" w:eastAsia="Times New Roman" w:hAnsi="Arial" w:cs="Arial"/>
          <w:lang w:eastAsia="cs-CZ"/>
        </w:rPr>
      </w:pPr>
      <w:r w:rsidRPr="004F4CF5">
        <w:rPr>
          <w:rFonts w:ascii="Arial" w:eastAsia="Times New Roman" w:hAnsi="Arial" w:cs="Arial"/>
          <w:lang w:eastAsia="cs-CZ"/>
        </w:rPr>
        <w:t xml:space="preserve">V současnosti je velmi obtížné interpretovat objem podpory ve vztahu k výsledkům a jejich kvalitě. </w:t>
      </w:r>
      <w:proofErr w:type="spellStart"/>
      <w:r w:rsidRPr="004F4CF5">
        <w:rPr>
          <w:rFonts w:ascii="Arial" w:eastAsia="Times New Roman" w:hAnsi="Arial" w:cs="Arial"/>
          <w:lang w:eastAsia="cs-CZ"/>
        </w:rPr>
        <w:t>Scientometrické</w:t>
      </w:r>
      <w:proofErr w:type="spellEnd"/>
      <w:r w:rsidRPr="004F4CF5">
        <w:rPr>
          <w:rFonts w:ascii="Arial" w:eastAsia="Times New Roman" w:hAnsi="Arial" w:cs="Arial"/>
          <w:lang w:eastAsia="cs-CZ"/>
        </w:rPr>
        <w:t xml:space="preserve"> posouzení kvality publikací vychází ze světových citačních databází</w:t>
      </w:r>
      <w:r w:rsidR="00E621CC" w:rsidRPr="004F4CF5">
        <w:rPr>
          <w:rFonts w:ascii="Arial" w:eastAsia="Times New Roman" w:hAnsi="Arial" w:cs="Arial"/>
          <w:lang w:eastAsia="cs-CZ"/>
        </w:rPr>
        <w:t xml:space="preserve"> -</w:t>
      </w:r>
      <w:r w:rsidRPr="004F4CF5">
        <w:rPr>
          <w:rFonts w:ascii="Arial" w:eastAsia="Times New Roman" w:hAnsi="Arial" w:cs="Arial"/>
          <w:lang w:eastAsia="cs-CZ"/>
        </w:rPr>
        <w:t xml:space="preserve"> zejména Web </w:t>
      </w:r>
      <w:proofErr w:type="spellStart"/>
      <w:r w:rsidRPr="004F4CF5">
        <w:rPr>
          <w:rFonts w:ascii="Arial" w:eastAsia="Times New Roman" w:hAnsi="Arial" w:cs="Arial"/>
          <w:lang w:eastAsia="cs-CZ"/>
        </w:rPr>
        <w:t>of</w:t>
      </w:r>
      <w:proofErr w:type="spellEnd"/>
      <w:r w:rsidRPr="004F4CF5">
        <w:rPr>
          <w:rFonts w:ascii="Arial" w:eastAsia="Times New Roman" w:hAnsi="Arial" w:cs="Arial"/>
          <w:lang w:eastAsia="cs-CZ"/>
        </w:rPr>
        <w:t xml:space="preserve"> Science</w:t>
      </w:r>
      <w:r w:rsidR="00E621CC" w:rsidRPr="004F4CF5">
        <w:rPr>
          <w:rFonts w:ascii="Arial" w:eastAsia="Times New Roman" w:hAnsi="Arial" w:cs="Arial"/>
          <w:lang w:eastAsia="cs-CZ"/>
        </w:rPr>
        <w:t xml:space="preserve"> -</w:t>
      </w:r>
      <w:r w:rsidRPr="004F4CF5">
        <w:rPr>
          <w:rFonts w:ascii="Arial" w:eastAsia="Times New Roman" w:hAnsi="Arial" w:cs="Arial"/>
          <w:lang w:eastAsia="cs-CZ"/>
        </w:rPr>
        <w:t xml:space="preserve"> které využívají jiné členění oborů, než IS VaVaI. Číselník lze převést do</w:t>
      </w:r>
      <w:r w:rsidR="00DB5657">
        <w:rPr>
          <w:rFonts w:ascii="Arial" w:eastAsia="Times New Roman" w:hAnsi="Arial" w:cs="Arial"/>
          <w:lang w:eastAsia="cs-CZ"/>
        </w:rPr>
        <w:t> </w:t>
      </w:r>
      <w:r w:rsidRPr="004F4CF5">
        <w:rPr>
          <w:rFonts w:ascii="Arial" w:eastAsia="Times New Roman" w:hAnsi="Arial" w:cs="Arial"/>
          <w:lang w:eastAsia="cs-CZ"/>
        </w:rPr>
        <w:t xml:space="preserve">struktury OECD </w:t>
      </w:r>
      <w:proofErr w:type="spellStart"/>
      <w:r w:rsidRPr="004F4CF5">
        <w:rPr>
          <w:rFonts w:ascii="Arial" w:eastAsia="Times New Roman" w:hAnsi="Arial" w:cs="Arial"/>
          <w:lang w:eastAsia="cs-CZ"/>
        </w:rPr>
        <w:t>Fields</w:t>
      </w:r>
      <w:proofErr w:type="spellEnd"/>
      <w:r w:rsidRPr="004F4CF5">
        <w:rPr>
          <w:rFonts w:ascii="Arial" w:eastAsia="Times New Roman" w:hAnsi="Arial" w:cs="Arial"/>
          <w:lang w:eastAsia="cs-CZ"/>
        </w:rPr>
        <w:t xml:space="preserve"> </w:t>
      </w:r>
      <w:proofErr w:type="spellStart"/>
      <w:r w:rsidRPr="004F4CF5">
        <w:rPr>
          <w:rFonts w:ascii="Arial" w:eastAsia="Times New Roman" w:hAnsi="Arial" w:cs="Arial"/>
          <w:lang w:eastAsia="cs-CZ"/>
        </w:rPr>
        <w:t>of</w:t>
      </w:r>
      <w:proofErr w:type="spellEnd"/>
      <w:r w:rsidRPr="004F4CF5">
        <w:rPr>
          <w:rFonts w:ascii="Arial" w:eastAsia="Times New Roman" w:hAnsi="Arial" w:cs="Arial"/>
          <w:lang w:eastAsia="cs-CZ"/>
        </w:rPr>
        <w:t xml:space="preserve"> Science (součást tz</w:t>
      </w:r>
      <w:r w:rsidR="002978DA" w:rsidRPr="004F4CF5">
        <w:rPr>
          <w:rFonts w:ascii="Arial" w:eastAsia="Times New Roman" w:hAnsi="Arial" w:cs="Arial"/>
          <w:lang w:eastAsia="cs-CZ"/>
        </w:rPr>
        <w:t>v</w:t>
      </w:r>
      <w:r w:rsidRPr="004F4CF5">
        <w:rPr>
          <w:rFonts w:ascii="Arial" w:eastAsia="Times New Roman" w:hAnsi="Arial" w:cs="Arial"/>
          <w:lang w:eastAsia="cs-CZ"/>
        </w:rPr>
        <w:t xml:space="preserve">. </w:t>
      </w:r>
      <w:proofErr w:type="spellStart"/>
      <w:r w:rsidRPr="004F4CF5">
        <w:rPr>
          <w:rFonts w:ascii="Arial" w:eastAsia="Times New Roman" w:hAnsi="Arial" w:cs="Arial"/>
          <w:lang w:eastAsia="cs-CZ"/>
        </w:rPr>
        <w:t>Frascati</w:t>
      </w:r>
      <w:proofErr w:type="spellEnd"/>
      <w:r w:rsidRPr="004F4CF5">
        <w:rPr>
          <w:rFonts w:ascii="Arial" w:eastAsia="Times New Roman" w:hAnsi="Arial" w:cs="Arial"/>
          <w:lang w:eastAsia="cs-CZ"/>
        </w:rPr>
        <w:t xml:space="preserve"> manuálu), využívaným pro statistická zjišťování (analytický nástroj </w:t>
      </w:r>
      <w:proofErr w:type="spellStart"/>
      <w:r w:rsidRPr="004F4CF5">
        <w:rPr>
          <w:rFonts w:ascii="Arial" w:eastAsia="Times New Roman" w:hAnsi="Arial" w:cs="Arial"/>
          <w:lang w:eastAsia="cs-CZ"/>
        </w:rPr>
        <w:t>InCites</w:t>
      </w:r>
      <w:proofErr w:type="spellEnd"/>
      <w:r w:rsidRPr="004F4CF5">
        <w:rPr>
          <w:rFonts w:ascii="Arial" w:eastAsia="Times New Roman" w:hAnsi="Arial" w:cs="Arial"/>
          <w:lang w:eastAsia="cs-CZ"/>
        </w:rPr>
        <w:t xml:space="preserve"> distribuovaný společností Thomson Reuters</w:t>
      </w:r>
      <w:r w:rsidR="00E621CC" w:rsidRPr="004F4CF5">
        <w:rPr>
          <w:rFonts w:ascii="Arial" w:eastAsia="Times New Roman" w:hAnsi="Arial" w:cs="Arial"/>
          <w:lang w:eastAsia="cs-CZ"/>
        </w:rPr>
        <w:t xml:space="preserve"> </w:t>
      </w:r>
      <w:r w:rsidRPr="004F4CF5">
        <w:rPr>
          <w:rFonts w:ascii="Arial" w:eastAsia="Times New Roman" w:hAnsi="Arial" w:cs="Arial"/>
          <w:lang w:eastAsia="cs-CZ"/>
        </w:rPr>
        <w:t>vycház</w:t>
      </w:r>
      <w:r w:rsidR="00E621CC" w:rsidRPr="004F4CF5">
        <w:rPr>
          <w:rFonts w:ascii="Arial" w:eastAsia="Times New Roman" w:hAnsi="Arial" w:cs="Arial"/>
          <w:lang w:eastAsia="cs-CZ"/>
        </w:rPr>
        <w:t xml:space="preserve">ející </w:t>
      </w:r>
      <w:r w:rsidRPr="004F4CF5">
        <w:rPr>
          <w:rFonts w:ascii="Arial" w:eastAsia="Times New Roman" w:hAnsi="Arial" w:cs="Arial"/>
          <w:lang w:eastAsia="cs-CZ"/>
        </w:rPr>
        <w:t xml:space="preserve">z databáze </w:t>
      </w:r>
      <w:r w:rsidR="002978DA" w:rsidRPr="004F4CF5">
        <w:rPr>
          <w:rFonts w:ascii="Arial" w:eastAsia="Times New Roman" w:hAnsi="Arial" w:cs="Arial"/>
          <w:lang w:eastAsia="cs-CZ"/>
        </w:rPr>
        <w:t>W</w:t>
      </w:r>
      <w:r w:rsidRPr="004F4CF5">
        <w:rPr>
          <w:rFonts w:ascii="Arial" w:eastAsia="Times New Roman" w:hAnsi="Arial" w:cs="Arial"/>
          <w:lang w:eastAsia="cs-CZ"/>
        </w:rPr>
        <w:t xml:space="preserve">eb </w:t>
      </w:r>
      <w:proofErr w:type="spellStart"/>
      <w:r w:rsidRPr="004F4CF5">
        <w:rPr>
          <w:rFonts w:ascii="Arial" w:eastAsia="Times New Roman" w:hAnsi="Arial" w:cs="Arial"/>
          <w:lang w:eastAsia="cs-CZ"/>
        </w:rPr>
        <w:t>of</w:t>
      </w:r>
      <w:proofErr w:type="spellEnd"/>
      <w:r w:rsidRPr="004F4CF5">
        <w:rPr>
          <w:rFonts w:ascii="Arial" w:eastAsia="Times New Roman" w:hAnsi="Arial" w:cs="Arial"/>
          <w:lang w:eastAsia="cs-CZ"/>
        </w:rPr>
        <w:t xml:space="preserve"> Science převod obsahuje). Výrazný pokrok směrem k analýzám v dalších letech by znamenalo sjednocení číselníků.</w:t>
      </w:r>
    </w:p>
    <w:p w:rsidR="00766076" w:rsidRDefault="00766076" w:rsidP="00766076">
      <w:pPr>
        <w:pStyle w:val="Obrzek-nadpis"/>
      </w:pPr>
      <w:r>
        <w:t>Obr. 2.5</w:t>
      </w:r>
      <w:r w:rsidRPr="000822A0">
        <w:t xml:space="preserve">: Účelová podpora na programové a grantové projekty ze státního rozpočtu skupinám oborů v roce 2014 </w:t>
      </w:r>
      <w:r>
        <w:t>podle poskytovatele.</w:t>
      </w:r>
    </w:p>
    <w:p w:rsidR="00766076" w:rsidRPr="000822A0" w:rsidRDefault="004B323E" w:rsidP="00766076">
      <w:pPr>
        <w:pStyle w:val="Obrzek-nadpis"/>
        <w:jc w:val="center"/>
      </w:pPr>
      <w:r w:rsidRPr="004B323E">
        <w:rPr>
          <w:noProof/>
        </w:rPr>
        <w:drawing>
          <wp:inline distT="0" distB="0" distL="0" distR="0" wp14:anchorId="128D280D" wp14:editId="4C4629ED">
            <wp:extent cx="4114800" cy="3717925"/>
            <wp:effectExtent l="0" t="0" r="0" b="0"/>
            <wp:docPr id="322" name="Obrázek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14800" cy="3717925"/>
                    </a:xfrm>
                    <a:prstGeom prst="rect">
                      <a:avLst/>
                    </a:prstGeom>
                    <a:noFill/>
                    <a:ln>
                      <a:noFill/>
                    </a:ln>
                  </pic:spPr>
                </pic:pic>
              </a:graphicData>
            </a:graphic>
          </wp:inline>
        </w:drawing>
      </w:r>
    </w:p>
    <w:p w:rsidR="00766076" w:rsidRPr="00872A16" w:rsidRDefault="00766076" w:rsidP="00872A16">
      <w:pPr>
        <w:pStyle w:val="Zdroj"/>
      </w:pPr>
      <w:r w:rsidRPr="00060D84">
        <w:t>Zdroj dat: IS VaVaI</w:t>
      </w:r>
    </w:p>
    <w:p w:rsidR="000822A0" w:rsidRPr="000822A0" w:rsidRDefault="00CA1CD5" w:rsidP="00837270">
      <w:pPr>
        <w:pStyle w:val="Obrzek-nadpis"/>
      </w:pPr>
      <w:r>
        <w:lastRenderedPageBreak/>
        <w:t>Obr. 2.4</w:t>
      </w:r>
      <w:r w:rsidR="000822A0" w:rsidRPr="000822A0">
        <w:t>: Účelová podpora na programové a grantové projekty ze státního rozpočtu skupinám oborů a jednotlivým oborům v roce 2014 (v mil. Kč)</w:t>
      </w:r>
    </w:p>
    <w:p w:rsidR="00837270" w:rsidRDefault="004B323E" w:rsidP="00D25C7B">
      <w:pPr>
        <w:spacing w:after="0" w:line="240" w:lineRule="auto"/>
        <w:jc w:val="center"/>
        <w:rPr>
          <w:rFonts w:ascii="Times New Roman" w:eastAsia="Times New Roman" w:hAnsi="Times New Roman" w:cs="Times New Roman"/>
          <w:i/>
          <w:sz w:val="20"/>
          <w:szCs w:val="20"/>
          <w:lang w:eastAsia="cs-CZ"/>
        </w:rPr>
      </w:pPr>
      <w:r w:rsidRPr="004B323E">
        <w:rPr>
          <w:noProof/>
          <w:lang w:eastAsia="cs-CZ"/>
        </w:rPr>
        <w:drawing>
          <wp:inline distT="0" distB="0" distL="0" distR="0" wp14:anchorId="3AC35392" wp14:editId="7269E625">
            <wp:extent cx="6120130" cy="5764599"/>
            <wp:effectExtent l="0" t="0" r="0" b="0"/>
            <wp:docPr id="320" name="Obrázek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20130" cy="5764599"/>
                    </a:xfrm>
                    <a:prstGeom prst="rect">
                      <a:avLst/>
                    </a:prstGeom>
                    <a:noFill/>
                    <a:ln>
                      <a:noFill/>
                    </a:ln>
                  </pic:spPr>
                </pic:pic>
              </a:graphicData>
            </a:graphic>
          </wp:inline>
        </w:drawing>
      </w:r>
    </w:p>
    <w:p w:rsidR="000822A0" w:rsidRPr="000822A0" w:rsidRDefault="000822A0" w:rsidP="00837270">
      <w:pPr>
        <w:pStyle w:val="Zdroj"/>
      </w:pPr>
      <w:r w:rsidRPr="000822A0">
        <w:t>Zdroj dat: IS VaVaI</w:t>
      </w:r>
    </w:p>
    <w:p w:rsidR="000822A0" w:rsidRPr="00055617" w:rsidRDefault="00E621CC" w:rsidP="00055617">
      <w:pPr>
        <w:pStyle w:val="komentzaobrzkem"/>
      </w:pPr>
      <w:r>
        <w:t>U</w:t>
      </w:r>
      <w:r w:rsidRPr="000822A0">
        <w:t xml:space="preserve">vedeny </w:t>
      </w:r>
      <w:r w:rsidR="000822A0" w:rsidRPr="000822A0">
        <w:t>jsou pouze obory, jejichž podpora v roce 2014 překročila 150 mil. Kč</w:t>
      </w:r>
      <w:r>
        <w:t>.</w:t>
      </w:r>
    </w:p>
    <w:p w:rsidR="000822A0" w:rsidRPr="000822A0" w:rsidRDefault="000822A0" w:rsidP="000822A0">
      <w:pPr>
        <w:spacing w:after="0" w:line="240" w:lineRule="auto"/>
        <w:rPr>
          <w:rFonts w:ascii="Times New Roman" w:eastAsia="Times New Roman" w:hAnsi="Times New Roman" w:cs="Times New Roman"/>
          <w:i/>
          <w:sz w:val="20"/>
          <w:szCs w:val="20"/>
          <w:lang w:eastAsia="cs-CZ"/>
        </w:rPr>
        <w:sectPr w:rsidR="000822A0" w:rsidRPr="000822A0" w:rsidSect="00E540D1">
          <w:pgSz w:w="11906" w:h="16838"/>
          <w:pgMar w:top="1134" w:right="1134" w:bottom="1134" w:left="1134" w:header="709" w:footer="709" w:gutter="0"/>
          <w:cols w:space="708"/>
          <w:docGrid w:linePitch="360"/>
        </w:sectPr>
      </w:pPr>
    </w:p>
    <w:p w:rsidR="000822A0" w:rsidRPr="000822A0" w:rsidRDefault="00CA1CD5" w:rsidP="00837270">
      <w:pPr>
        <w:pStyle w:val="Obrzek-nadpis"/>
      </w:pPr>
      <w:r>
        <w:lastRenderedPageBreak/>
        <w:t>Tab. 2.</w:t>
      </w:r>
      <w:r w:rsidR="00766076">
        <w:t>6</w:t>
      </w:r>
      <w:r w:rsidR="000822A0" w:rsidRPr="000822A0">
        <w:t>: Hlavní cíle programů a skupin grantových projektů výzkumu, vývoje a inovací financované ze státního rozpočtu v roce 2014</w:t>
      </w:r>
    </w:p>
    <w:tbl>
      <w:tblPr>
        <w:tblW w:w="13280" w:type="dxa"/>
        <w:jc w:val="center"/>
        <w:tblInd w:w="55" w:type="dxa"/>
        <w:tblCellMar>
          <w:left w:w="70" w:type="dxa"/>
          <w:right w:w="70" w:type="dxa"/>
        </w:tblCellMar>
        <w:tblLook w:val="04A0" w:firstRow="1" w:lastRow="0" w:firstColumn="1" w:lastColumn="0" w:noHBand="0" w:noVBand="1"/>
      </w:tblPr>
      <w:tblGrid>
        <w:gridCol w:w="960"/>
        <w:gridCol w:w="2740"/>
        <w:gridCol w:w="7088"/>
        <w:gridCol w:w="1276"/>
        <w:gridCol w:w="1216"/>
      </w:tblGrid>
      <w:tr w:rsidR="000822A0" w:rsidRPr="000822A0" w:rsidTr="00055617">
        <w:trPr>
          <w:trHeight w:val="810"/>
          <w:tblHeader/>
          <w:jc w:val="center"/>
        </w:trPr>
        <w:tc>
          <w:tcPr>
            <w:tcW w:w="960" w:type="dxa"/>
            <w:tcBorders>
              <w:top w:val="nil"/>
              <w:left w:val="nil"/>
              <w:bottom w:val="nil"/>
              <w:right w:val="nil"/>
            </w:tcBorders>
            <w:shd w:val="clear" w:color="000000" w:fill="92CDDC"/>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proofErr w:type="spellStart"/>
            <w:r w:rsidRPr="000822A0">
              <w:rPr>
                <w:rFonts w:ascii="Calibri" w:eastAsia="Times New Roman" w:hAnsi="Calibri" w:cs="Times New Roman"/>
                <w:b/>
                <w:bCs/>
                <w:color w:val="FFFFFF"/>
                <w:lang w:eastAsia="cs-CZ"/>
              </w:rPr>
              <w:t>Poskyto-vatel</w:t>
            </w:r>
            <w:proofErr w:type="spellEnd"/>
          </w:p>
        </w:tc>
        <w:tc>
          <w:tcPr>
            <w:tcW w:w="2740" w:type="dxa"/>
            <w:tcBorders>
              <w:top w:val="nil"/>
              <w:left w:val="nil"/>
              <w:bottom w:val="nil"/>
              <w:right w:val="nil"/>
            </w:tcBorders>
            <w:shd w:val="clear" w:color="000000" w:fill="92CDDC"/>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Název programu</w:t>
            </w:r>
          </w:p>
        </w:tc>
        <w:tc>
          <w:tcPr>
            <w:tcW w:w="7088" w:type="dxa"/>
            <w:tcBorders>
              <w:top w:val="nil"/>
              <w:left w:val="nil"/>
              <w:bottom w:val="nil"/>
              <w:right w:val="nil"/>
            </w:tcBorders>
            <w:shd w:val="clear" w:color="000000" w:fill="92CDDC"/>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Cíle</w:t>
            </w:r>
          </w:p>
        </w:tc>
        <w:tc>
          <w:tcPr>
            <w:tcW w:w="1276" w:type="dxa"/>
            <w:tcBorders>
              <w:top w:val="nil"/>
              <w:left w:val="nil"/>
              <w:bottom w:val="nil"/>
              <w:right w:val="nil"/>
            </w:tcBorders>
            <w:shd w:val="clear" w:color="000000" w:fill="92CDDC"/>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Celkové náklady v roce 2014 (tis. Kč)</w:t>
            </w:r>
          </w:p>
        </w:tc>
        <w:tc>
          <w:tcPr>
            <w:tcW w:w="1216" w:type="dxa"/>
            <w:tcBorders>
              <w:top w:val="nil"/>
              <w:left w:val="nil"/>
              <w:bottom w:val="nil"/>
              <w:right w:val="nil"/>
            </w:tcBorders>
            <w:shd w:val="clear" w:color="000000" w:fill="92CDDC"/>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 xml:space="preserve">Podpora </w:t>
            </w:r>
            <w:r w:rsidRPr="000822A0">
              <w:rPr>
                <w:rFonts w:ascii="Calibri" w:eastAsia="Times New Roman" w:hAnsi="Calibri" w:cs="Times New Roman"/>
                <w:b/>
                <w:bCs/>
                <w:color w:val="FFFFFF"/>
                <w:lang w:eastAsia="cs-CZ"/>
              </w:rPr>
              <w:br/>
              <w:t xml:space="preserve">ze SR v roce 2014 </w:t>
            </w:r>
            <w:r w:rsidRPr="000822A0">
              <w:rPr>
                <w:rFonts w:ascii="Calibri" w:eastAsia="Times New Roman" w:hAnsi="Calibri" w:cs="Times New Roman"/>
                <w:b/>
                <w:bCs/>
                <w:color w:val="FFFFFF"/>
                <w:lang w:eastAsia="cs-CZ"/>
              </w:rPr>
              <w:br/>
              <w:t>(tis. Kč)</w:t>
            </w:r>
          </w:p>
        </w:tc>
      </w:tr>
      <w:tr w:rsidR="000822A0" w:rsidRPr="000822A0" w:rsidTr="00055617">
        <w:trPr>
          <w:trHeight w:val="450"/>
          <w:jc w:val="center"/>
        </w:trPr>
        <w:tc>
          <w:tcPr>
            <w:tcW w:w="960" w:type="dxa"/>
            <w:tcBorders>
              <w:top w:val="single" w:sz="4" w:space="0" w:color="92CDDC"/>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GA ČR</w:t>
            </w:r>
          </w:p>
        </w:tc>
        <w:tc>
          <w:tcPr>
            <w:tcW w:w="2740" w:type="dxa"/>
            <w:tcBorders>
              <w:top w:val="single" w:sz="4" w:space="0" w:color="92CDDC"/>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Standardní projekty</w:t>
            </w:r>
          </w:p>
        </w:tc>
        <w:tc>
          <w:tcPr>
            <w:tcW w:w="7088" w:type="dxa"/>
            <w:tcBorders>
              <w:top w:val="single" w:sz="4" w:space="0" w:color="92CDDC"/>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60D84">
              <w:rPr>
                <w:rFonts w:ascii="Calibri" w:eastAsia="Times New Roman" w:hAnsi="Calibri" w:cs="Times New Roman"/>
                <w:color w:val="000000"/>
                <w:sz w:val="16"/>
                <w:szCs w:val="16"/>
                <w:lang w:eastAsia="cs-CZ"/>
              </w:rPr>
              <w:t>Podpora neorientovaného výzkumu a vývoje podle usnesení vlády ze dne 5. 1. 2000 č. 16. Standardní projekty navrhují vědečtí pracovníci a hodnotí je odborné komise GA ČR.</w:t>
            </w:r>
          </w:p>
        </w:tc>
        <w:tc>
          <w:tcPr>
            <w:tcW w:w="1276" w:type="dxa"/>
            <w:tcBorders>
              <w:top w:val="single" w:sz="4" w:space="0" w:color="92CDDC"/>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2 571 399</w:t>
            </w:r>
          </w:p>
        </w:tc>
        <w:tc>
          <w:tcPr>
            <w:tcW w:w="1216" w:type="dxa"/>
            <w:tcBorders>
              <w:top w:val="single" w:sz="4" w:space="0" w:color="92CDDC"/>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2 553 713</w:t>
            </w:r>
          </w:p>
        </w:tc>
      </w:tr>
      <w:tr w:rsidR="000822A0" w:rsidRPr="000822A0" w:rsidTr="00055617">
        <w:trPr>
          <w:trHeight w:val="900"/>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GA ČR</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Projekty na podporu excelence v základním výzkumu</w:t>
            </w:r>
          </w:p>
        </w:tc>
        <w:tc>
          <w:tcPr>
            <w:tcW w:w="7088"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60D84">
              <w:rPr>
                <w:rFonts w:ascii="Calibri" w:eastAsia="Times New Roman" w:hAnsi="Calibri" w:cs="Times New Roman"/>
                <w:color w:val="000000"/>
                <w:sz w:val="16"/>
                <w:szCs w:val="16"/>
                <w:lang w:eastAsia="cs-CZ"/>
              </w:rPr>
              <w:t>Cílem je podpořit vědeckou spolupráci v základním výzkumu více špičkových týmů z několika institucí zkoumajících stejnou či příbuznou problematiku, v níž v nedávné době dosáhly vynikajících výsledků</w:t>
            </w:r>
            <w:r w:rsidRPr="000822A0">
              <w:rPr>
                <w:rFonts w:ascii="Calibri" w:eastAsia="Times New Roman" w:hAnsi="Calibri" w:cs="Times New Roman"/>
                <w:color w:val="000000"/>
                <w:sz w:val="16"/>
                <w:szCs w:val="16"/>
                <w:lang w:eastAsia="cs-CZ"/>
              </w:rPr>
              <w:t>.</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476 899</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476 156</w:t>
            </w:r>
          </w:p>
        </w:tc>
      </w:tr>
      <w:tr w:rsidR="000822A0" w:rsidRPr="000822A0" w:rsidTr="00055617">
        <w:trPr>
          <w:trHeight w:val="1529"/>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GA ČR</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Mezinárodní projekty</w:t>
            </w:r>
          </w:p>
        </w:tc>
        <w:tc>
          <w:tcPr>
            <w:tcW w:w="7088" w:type="dxa"/>
            <w:tcBorders>
              <w:top w:val="nil"/>
              <w:left w:val="nil"/>
              <w:bottom w:val="single" w:sz="4" w:space="0" w:color="92CDDC"/>
              <w:right w:val="single" w:sz="4" w:space="0" w:color="92CDDC"/>
            </w:tcBorders>
            <w:shd w:val="clear" w:color="auto" w:fill="auto"/>
            <w:vAlign w:val="center"/>
            <w:hideMark/>
          </w:tcPr>
          <w:p w:rsidR="0065031E"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Aktivita se týká podpory účasti v mezinárodních programech na základě bilaterálních dohod GA ČR </w:t>
            </w:r>
          </w:p>
          <w:p w:rsidR="000822A0" w:rsidRPr="000822A0" w:rsidRDefault="000822A0" w:rsidP="00314675">
            <w:pPr>
              <w:spacing w:after="0" w:line="240" w:lineRule="auto"/>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s různými zahraničními grantovými institucemi, zejména v zemích jako Korea, Čína, Německo, apod. a to na základě čl. 2 odst. 3 Statutu GA ČR. Tuto aktivitu navrhuje GA ČR také proto, že MŠMT nemůže navazovat oficiální dohody s nevládními organizacemi ve světě, zatímco GA ČR tuto možnost má. Každá grantová agentura ve světě má své oddělené prostředky určené na mezinárodní spolupráce ve výzkumu. GA ČR bude v rámci této aktivity financovat části projektů řešených na pracovištích v ČR. </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49 598</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49 598</w:t>
            </w:r>
          </w:p>
        </w:tc>
      </w:tr>
      <w:tr w:rsidR="000822A0" w:rsidRPr="000822A0" w:rsidTr="00055617">
        <w:trPr>
          <w:trHeight w:val="675"/>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GA ČR</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proofErr w:type="spellStart"/>
            <w:r w:rsidRPr="000822A0">
              <w:rPr>
                <w:rFonts w:ascii="Calibri" w:eastAsia="Times New Roman" w:hAnsi="Calibri" w:cs="Times New Roman"/>
                <w:color w:val="000000"/>
                <w:lang w:eastAsia="cs-CZ"/>
              </w:rPr>
              <w:t>Eurocores</w:t>
            </w:r>
            <w:proofErr w:type="spellEnd"/>
          </w:p>
        </w:tc>
        <w:tc>
          <w:tcPr>
            <w:tcW w:w="7088"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Aktivita se týká podpory účasti v mezinárodních programech </w:t>
            </w:r>
            <w:proofErr w:type="spellStart"/>
            <w:r w:rsidRPr="000822A0">
              <w:rPr>
                <w:rFonts w:ascii="Calibri" w:eastAsia="Times New Roman" w:hAnsi="Calibri" w:cs="Times New Roman"/>
                <w:color w:val="000000"/>
                <w:sz w:val="16"/>
                <w:szCs w:val="16"/>
                <w:lang w:eastAsia="cs-CZ"/>
              </w:rPr>
              <w:t>Eurocores</w:t>
            </w:r>
            <w:proofErr w:type="spellEnd"/>
            <w:r w:rsidRPr="000822A0">
              <w:rPr>
                <w:rFonts w:ascii="Calibri" w:eastAsia="Times New Roman" w:hAnsi="Calibri" w:cs="Times New Roman"/>
                <w:color w:val="000000"/>
                <w:sz w:val="16"/>
                <w:szCs w:val="16"/>
                <w:lang w:eastAsia="cs-CZ"/>
              </w:rPr>
              <w:t xml:space="preserve">, koordinovaných </w:t>
            </w:r>
            <w:proofErr w:type="spellStart"/>
            <w:r w:rsidRPr="000822A0">
              <w:rPr>
                <w:rFonts w:ascii="Calibri" w:eastAsia="Times New Roman" w:hAnsi="Calibri" w:cs="Times New Roman"/>
                <w:color w:val="000000"/>
                <w:sz w:val="16"/>
                <w:szCs w:val="16"/>
                <w:lang w:eastAsia="cs-CZ"/>
              </w:rPr>
              <w:t>European</w:t>
            </w:r>
            <w:proofErr w:type="spellEnd"/>
            <w:r w:rsidRPr="000822A0">
              <w:rPr>
                <w:rFonts w:ascii="Calibri" w:eastAsia="Times New Roman" w:hAnsi="Calibri" w:cs="Times New Roman"/>
                <w:color w:val="000000"/>
                <w:sz w:val="16"/>
                <w:szCs w:val="16"/>
                <w:lang w:eastAsia="cs-CZ"/>
              </w:rPr>
              <w:t xml:space="preserve"> Science </w:t>
            </w:r>
            <w:proofErr w:type="spellStart"/>
            <w:r w:rsidRPr="000822A0">
              <w:rPr>
                <w:rFonts w:ascii="Calibri" w:eastAsia="Times New Roman" w:hAnsi="Calibri" w:cs="Times New Roman"/>
                <w:color w:val="000000"/>
                <w:sz w:val="16"/>
                <w:szCs w:val="16"/>
                <w:lang w:eastAsia="cs-CZ"/>
              </w:rPr>
              <w:t>Foundation</w:t>
            </w:r>
            <w:proofErr w:type="spellEnd"/>
            <w:r w:rsidRPr="000822A0">
              <w:rPr>
                <w:rFonts w:ascii="Calibri" w:eastAsia="Times New Roman" w:hAnsi="Calibri" w:cs="Times New Roman"/>
                <w:color w:val="000000"/>
                <w:sz w:val="16"/>
                <w:szCs w:val="16"/>
                <w:lang w:eastAsia="cs-CZ"/>
              </w:rPr>
              <w:t xml:space="preserve"> (ESF). GA ČR bude v rámci této aktivity financovat části projektů řešených na pracovištích v ČR.</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543</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543</w:t>
            </w:r>
          </w:p>
        </w:tc>
      </w:tr>
      <w:tr w:rsidR="000822A0" w:rsidRPr="000822A0" w:rsidTr="00055617">
        <w:trPr>
          <w:trHeight w:val="450"/>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GA ČR</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Postdoktorandské granty</w:t>
            </w:r>
          </w:p>
        </w:tc>
        <w:tc>
          <w:tcPr>
            <w:tcW w:w="7088"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Smyslem post</w:t>
            </w:r>
            <w:r w:rsidR="0065031E">
              <w:rPr>
                <w:rFonts w:ascii="Calibri" w:eastAsia="Times New Roman" w:hAnsi="Calibri" w:cs="Times New Roman"/>
                <w:color w:val="000000"/>
                <w:sz w:val="16"/>
                <w:szCs w:val="16"/>
                <w:lang w:eastAsia="cs-CZ"/>
              </w:rPr>
              <w:t>d</w:t>
            </w:r>
            <w:r w:rsidRPr="000822A0">
              <w:rPr>
                <w:rFonts w:ascii="Calibri" w:eastAsia="Times New Roman" w:hAnsi="Calibri" w:cs="Times New Roman"/>
                <w:color w:val="000000"/>
                <w:sz w:val="16"/>
                <w:szCs w:val="16"/>
                <w:lang w:eastAsia="cs-CZ"/>
              </w:rPr>
              <w:t>oktorandských grantů je stimulovat mladé vědce, aby neodcházeli z akademických a školských institucí.</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276 083</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275 825</w:t>
            </w:r>
          </w:p>
        </w:tc>
      </w:tr>
      <w:tr w:rsidR="000822A0" w:rsidRPr="000822A0" w:rsidTr="00055617">
        <w:trPr>
          <w:trHeight w:val="1114"/>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MK</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Program aplikovaného výzkumu a vývoje národní a kulturní identity (NAKI)</w:t>
            </w:r>
          </w:p>
        </w:tc>
        <w:tc>
          <w:tcPr>
            <w:tcW w:w="7088" w:type="dxa"/>
            <w:tcBorders>
              <w:top w:val="nil"/>
              <w:left w:val="nil"/>
              <w:bottom w:val="single" w:sz="4" w:space="0" w:color="92CDDC"/>
              <w:right w:val="single" w:sz="4" w:space="0" w:color="92CDDC"/>
            </w:tcBorders>
            <w:shd w:val="clear" w:color="auto" w:fill="auto"/>
            <w:vAlign w:val="center"/>
            <w:hideMark/>
          </w:tcPr>
          <w:p w:rsidR="0065031E"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Hlavním cílem Programu je přispět k tomu, aby veřejné prostředky investované do aplikovaného výzkumu a vývoje v oblasti národní a kulturní identity přinášely konkrétní ekonomický či jiný společenský přínos z jejich realizace. Hlavní cíl Programu je naplňován prostřednictvím výsledkově orientovaných dílčích cílů ve vazbě na hlavní tematické priority, jim podřazené tematické priority </w:t>
            </w:r>
          </w:p>
          <w:p w:rsidR="000822A0" w:rsidRPr="000822A0" w:rsidRDefault="000822A0" w:rsidP="006B4254">
            <w:pPr>
              <w:spacing w:after="0" w:line="240" w:lineRule="auto"/>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a vymezení aplikovaného výzkumu a vývoje národní a kulturní identity v Koncepci.</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405 145</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405 145</w:t>
            </w:r>
          </w:p>
        </w:tc>
      </w:tr>
      <w:tr w:rsidR="000822A0" w:rsidRPr="000822A0" w:rsidTr="00055617">
        <w:trPr>
          <w:trHeight w:val="1130"/>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MO</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Obranný aplikovaný výzkum, experimentální vývoj a inovace</w:t>
            </w:r>
          </w:p>
        </w:tc>
        <w:tc>
          <w:tcPr>
            <w:tcW w:w="7088" w:type="dxa"/>
            <w:tcBorders>
              <w:top w:val="nil"/>
              <w:left w:val="nil"/>
              <w:bottom w:val="single" w:sz="4" w:space="0" w:color="92CDDC"/>
              <w:right w:val="single" w:sz="4" w:space="0" w:color="92CDDC"/>
            </w:tcBorders>
            <w:shd w:val="clear" w:color="auto" w:fill="auto"/>
            <w:vAlign w:val="center"/>
            <w:hideMark/>
          </w:tcPr>
          <w:p w:rsidR="0065031E"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Cílem Programu je systematický rozvoj oblasti obranného V</w:t>
            </w:r>
            <w:r w:rsidR="00C45BA8">
              <w:rPr>
                <w:rFonts w:ascii="Calibri" w:eastAsia="Times New Roman" w:hAnsi="Calibri" w:cs="Times New Roman"/>
                <w:color w:val="000000"/>
                <w:sz w:val="16"/>
                <w:szCs w:val="16"/>
                <w:lang w:eastAsia="cs-CZ"/>
              </w:rPr>
              <w:t>a</w:t>
            </w:r>
            <w:r w:rsidRPr="000822A0">
              <w:rPr>
                <w:rFonts w:ascii="Calibri" w:eastAsia="Times New Roman" w:hAnsi="Calibri" w:cs="Times New Roman"/>
                <w:color w:val="000000"/>
                <w:sz w:val="16"/>
                <w:szCs w:val="16"/>
                <w:lang w:eastAsia="cs-CZ"/>
              </w:rPr>
              <w:t>V</w:t>
            </w:r>
            <w:r w:rsidR="00C45BA8">
              <w:rPr>
                <w:rFonts w:ascii="Calibri" w:eastAsia="Times New Roman" w:hAnsi="Calibri" w:cs="Times New Roman"/>
                <w:color w:val="000000"/>
                <w:sz w:val="16"/>
                <w:szCs w:val="16"/>
                <w:lang w:eastAsia="cs-CZ"/>
              </w:rPr>
              <w:t>a</w:t>
            </w:r>
            <w:r w:rsidRPr="000822A0">
              <w:rPr>
                <w:rFonts w:ascii="Calibri" w:eastAsia="Times New Roman" w:hAnsi="Calibri" w:cs="Times New Roman"/>
                <w:color w:val="000000"/>
                <w:sz w:val="16"/>
                <w:szCs w:val="16"/>
                <w:lang w:eastAsia="cs-CZ"/>
              </w:rPr>
              <w:t xml:space="preserve">I a získání nových znalostí, jejich využití v praxi a dosažení takové znalostní úrovně, která umožní získávat, osvojovat si, udržovat a rozvíjet specifické schopnosti potřebné pro zajištění obranyschopnosti a specifických aspektů bezpečnosti státu a dosažení operačních schopností, které OS ČR potřebuje získat k plnění úkolů vyplývajících z národních </w:t>
            </w:r>
          </w:p>
          <w:p w:rsidR="000822A0" w:rsidRPr="000822A0" w:rsidRDefault="000822A0" w:rsidP="006B4254">
            <w:pPr>
              <w:spacing w:after="0" w:line="240" w:lineRule="auto"/>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a mezinárodních norem, závazků a politicko-vojenských ambicí ČR do roku 2020.</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282 956</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282 956</w:t>
            </w:r>
          </w:p>
        </w:tc>
      </w:tr>
      <w:tr w:rsidR="000822A0" w:rsidRPr="000822A0" w:rsidTr="00055617">
        <w:trPr>
          <w:trHeight w:val="300"/>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MPO</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TIP</w:t>
            </w:r>
          </w:p>
        </w:tc>
        <w:tc>
          <w:tcPr>
            <w:tcW w:w="7088"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Nové materiály a výrobky. Nové progresivní technologie. Nové informační a říd</w:t>
            </w:r>
            <w:r w:rsidR="0065031E">
              <w:rPr>
                <w:rFonts w:ascii="Calibri" w:eastAsia="Times New Roman" w:hAnsi="Calibri" w:cs="Times New Roman"/>
                <w:color w:val="000000"/>
                <w:sz w:val="16"/>
                <w:szCs w:val="16"/>
                <w:lang w:eastAsia="cs-CZ"/>
              </w:rPr>
              <w:t>i</w:t>
            </w:r>
            <w:r w:rsidRPr="000822A0">
              <w:rPr>
                <w:rFonts w:ascii="Calibri" w:eastAsia="Times New Roman" w:hAnsi="Calibri" w:cs="Times New Roman"/>
                <w:color w:val="000000"/>
                <w:sz w:val="16"/>
                <w:szCs w:val="16"/>
                <w:lang w:eastAsia="cs-CZ"/>
              </w:rPr>
              <w:t>cí systémy.</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1 746 933</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1 049 657</w:t>
            </w:r>
          </w:p>
        </w:tc>
      </w:tr>
      <w:tr w:rsidR="000822A0" w:rsidRPr="000822A0" w:rsidTr="00055617">
        <w:trPr>
          <w:trHeight w:val="675"/>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MŠMT</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COST CZ</w:t>
            </w:r>
          </w:p>
        </w:tc>
        <w:tc>
          <w:tcPr>
            <w:tcW w:w="7088" w:type="dxa"/>
            <w:tcBorders>
              <w:top w:val="nil"/>
              <w:left w:val="nil"/>
              <w:bottom w:val="single" w:sz="4" w:space="0" w:color="92CDDC"/>
              <w:right w:val="single" w:sz="4" w:space="0" w:color="92CDDC"/>
            </w:tcBorders>
            <w:shd w:val="clear" w:color="auto" w:fill="auto"/>
            <w:vAlign w:val="center"/>
            <w:hideMark/>
          </w:tcPr>
          <w:p w:rsidR="000822A0" w:rsidRPr="000822A0" w:rsidRDefault="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Podpořit mnohostrannou mezinárodní spolupráci v základním výzkumu výzkumných institucí České republiky s obdobnými institucemi členských států </w:t>
            </w:r>
            <w:r w:rsidR="0065031E">
              <w:rPr>
                <w:rFonts w:ascii="Calibri" w:eastAsia="Times New Roman" w:hAnsi="Calibri" w:cs="Times New Roman"/>
                <w:color w:val="000000"/>
                <w:sz w:val="16"/>
                <w:szCs w:val="16"/>
                <w:lang w:eastAsia="cs-CZ"/>
              </w:rPr>
              <w:t>COST,</w:t>
            </w:r>
            <w:r w:rsidRPr="000822A0">
              <w:rPr>
                <w:rFonts w:ascii="Calibri" w:eastAsia="Times New Roman" w:hAnsi="Calibri" w:cs="Times New Roman"/>
                <w:color w:val="000000"/>
                <w:sz w:val="16"/>
                <w:szCs w:val="16"/>
                <w:lang w:eastAsia="cs-CZ"/>
              </w:rPr>
              <w:t xml:space="preserve"> které spolupracují při řešení projektů v rámci tzv. akcí COST.</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110 694</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101 325</w:t>
            </w:r>
          </w:p>
        </w:tc>
      </w:tr>
      <w:tr w:rsidR="000822A0" w:rsidRPr="000822A0" w:rsidTr="00055617">
        <w:trPr>
          <w:trHeight w:val="675"/>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lastRenderedPageBreak/>
              <w:t>MŠMT</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EUPRO II</w:t>
            </w:r>
          </w:p>
        </w:tc>
        <w:tc>
          <w:tcPr>
            <w:tcW w:w="7088"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Umožnit prostřednictvím podpory účasti českých výzkumných institucí na koordinaci evropského výzkumu, zvýšení účasti v mezinárodních programech výzkumu a vývoje a v bilaterálních aktivitách.</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84 130</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83 078</w:t>
            </w:r>
          </w:p>
        </w:tc>
      </w:tr>
      <w:tr w:rsidR="000822A0" w:rsidRPr="000822A0" w:rsidTr="00055617">
        <w:trPr>
          <w:trHeight w:val="675"/>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MŠMT</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UREKA CZ</w:t>
            </w:r>
          </w:p>
        </w:tc>
        <w:tc>
          <w:tcPr>
            <w:tcW w:w="7088"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Poskytnutí účelové podpory projektům, které získaly statut EUREKA, podpořit mezinárodní spolupráci v aplikovaném výzkumu, růst konkurenceschopnosti českých firem a vytváření nových inovovaných produktů a služeb.</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226 435</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114 362</w:t>
            </w:r>
          </w:p>
        </w:tc>
      </w:tr>
      <w:tr w:rsidR="000822A0" w:rsidRPr="000822A0" w:rsidTr="00055617">
        <w:trPr>
          <w:trHeight w:val="675"/>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MŠMT</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INGO II</w:t>
            </w:r>
          </w:p>
        </w:tc>
        <w:tc>
          <w:tcPr>
            <w:tcW w:w="7088"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Umožnit účast českých vědeckých pracovišť ve výzkumných programech prováděných špičkovými nevládními organizacemi výzkumu a účast českých vědeckých osobností v řídících orgánech mezinárodních vědeckých organizací.</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171 648</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165 795</w:t>
            </w:r>
          </w:p>
        </w:tc>
      </w:tr>
      <w:tr w:rsidR="000822A0" w:rsidRPr="000822A0" w:rsidTr="00055617">
        <w:trPr>
          <w:trHeight w:val="675"/>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MŠMT</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KONTAKT II</w:t>
            </w:r>
          </w:p>
        </w:tc>
        <w:tc>
          <w:tcPr>
            <w:tcW w:w="7088"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Podpořit dvoustrannou případně vícestrannou mezinárodní spolupráci institucí zabývajících se výzkumem a vývojem v oblasti základního a aplikovaného výzkumu České republiky s důrazem na spolupráci se státy, které nejsou členy Evropské unie.</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165 418</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152 284</w:t>
            </w:r>
          </w:p>
        </w:tc>
      </w:tr>
      <w:tr w:rsidR="000822A0" w:rsidRPr="000822A0" w:rsidTr="00055617">
        <w:trPr>
          <w:trHeight w:val="1125"/>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MŠMT</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NÁVRAT</w:t>
            </w:r>
          </w:p>
        </w:tc>
        <w:tc>
          <w:tcPr>
            <w:tcW w:w="7088"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Hlavním cílem je vytvořit dob</w:t>
            </w:r>
            <w:r w:rsidR="0065031E">
              <w:rPr>
                <w:rFonts w:ascii="Calibri" w:eastAsia="Times New Roman" w:hAnsi="Calibri" w:cs="Times New Roman"/>
                <w:color w:val="000000"/>
                <w:sz w:val="16"/>
                <w:szCs w:val="16"/>
                <w:lang w:eastAsia="cs-CZ"/>
              </w:rPr>
              <w:t>r</w:t>
            </w:r>
            <w:r w:rsidRPr="000822A0">
              <w:rPr>
                <w:rFonts w:ascii="Calibri" w:eastAsia="Times New Roman" w:hAnsi="Calibri" w:cs="Times New Roman"/>
                <w:color w:val="000000"/>
                <w:sz w:val="16"/>
                <w:szCs w:val="16"/>
                <w:lang w:eastAsia="cs-CZ"/>
              </w:rPr>
              <w:t xml:space="preserve">é podmínky pro re-/integraci špičkových pracovníků VaVaI do České republiky, stimulovat jejich zájem o kvalifikovanou práci v české výzkumné sféře a stimulovat i zájem českých výzkumných organizací o tyto osobnosti. Musí být zajištěny dobré podmínky pro další rozvoj odbornosti těchto osob po jejich návratu ze zahraničí, pro jejich rychlý kariérní růst a dostatečně kvalitní pracovní </w:t>
            </w:r>
            <w:r w:rsidR="0065031E">
              <w:rPr>
                <w:rFonts w:ascii="Calibri" w:eastAsia="Times New Roman" w:hAnsi="Calibri" w:cs="Times New Roman"/>
                <w:color w:val="000000"/>
                <w:sz w:val="16"/>
                <w:szCs w:val="16"/>
                <w:lang w:eastAsia="cs-CZ"/>
              </w:rPr>
              <w:t>i</w:t>
            </w:r>
            <w:r w:rsidRPr="000822A0">
              <w:rPr>
                <w:rFonts w:ascii="Calibri" w:eastAsia="Times New Roman" w:hAnsi="Calibri" w:cs="Times New Roman"/>
                <w:color w:val="000000"/>
                <w:sz w:val="16"/>
                <w:szCs w:val="16"/>
                <w:lang w:eastAsia="cs-CZ"/>
              </w:rPr>
              <w:t xml:space="preserve"> materiální zázemí pro jejich výzkumné aktivity.</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69 274</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66 641</w:t>
            </w:r>
          </w:p>
        </w:tc>
      </w:tr>
      <w:tr w:rsidR="000822A0" w:rsidRPr="000822A0" w:rsidTr="00055617">
        <w:trPr>
          <w:trHeight w:val="900"/>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MŠMT</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ERC CZ</w:t>
            </w:r>
          </w:p>
        </w:tc>
        <w:tc>
          <w:tcPr>
            <w:tcW w:w="7088"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Hlavním cílem programu je cíleně a efektivně podpořit excelentní výzkum na území ČR. ČR podpoří a bude realizovat konkrétní projekty, které obdržely v rámci mezinárodního „peer </w:t>
            </w:r>
            <w:proofErr w:type="spellStart"/>
            <w:r w:rsidRPr="000822A0">
              <w:rPr>
                <w:rFonts w:ascii="Calibri" w:eastAsia="Times New Roman" w:hAnsi="Calibri" w:cs="Times New Roman"/>
                <w:color w:val="000000"/>
                <w:sz w:val="16"/>
                <w:szCs w:val="16"/>
                <w:lang w:eastAsia="cs-CZ"/>
              </w:rPr>
              <w:t>review</w:t>
            </w:r>
            <w:proofErr w:type="spellEnd"/>
            <w:r w:rsidRPr="000822A0">
              <w:rPr>
                <w:rFonts w:ascii="Calibri" w:eastAsia="Times New Roman" w:hAnsi="Calibri" w:cs="Times New Roman"/>
                <w:color w:val="000000"/>
                <w:sz w:val="16"/>
                <w:szCs w:val="16"/>
                <w:lang w:eastAsia="cs-CZ"/>
              </w:rPr>
              <w:t>“ hodnocení panely ERC jako výsledek hodnocení vyrozumění, že "</w:t>
            </w:r>
            <w:proofErr w:type="spellStart"/>
            <w:r w:rsidRPr="000822A0">
              <w:rPr>
                <w:rFonts w:ascii="Calibri" w:eastAsia="Times New Roman" w:hAnsi="Calibri" w:cs="Times New Roman"/>
                <w:color w:val="000000"/>
                <w:sz w:val="16"/>
                <w:szCs w:val="16"/>
                <w:lang w:eastAsia="cs-CZ"/>
              </w:rPr>
              <w:t>The</w:t>
            </w:r>
            <w:proofErr w:type="spellEnd"/>
            <w:r w:rsidRPr="000822A0">
              <w:rPr>
                <w:rFonts w:ascii="Calibri" w:eastAsia="Times New Roman" w:hAnsi="Calibri" w:cs="Times New Roman"/>
                <w:color w:val="000000"/>
                <w:sz w:val="16"/>
                <w:szCs w:val="16"/>
                <w:lang w:eastAsia="cs-CZ"/>
              </w:rPr>
              <w:t xml:space="preserve"> </w:t>
            </w:r>
            <w:proofErr w:type="spellStart"/>
            <w:r w:rsidRPr="000822A0">
              <w:rPr>
                <w:rFonts w:ascii="Calibri" w:eastAsia="Times New Roman" w:hAnsi="Calibri" w:cs="Times New Roman"/>
                <w:color w:val="000000"/>
                <w:sz w:val="16"/>
                <w:szCs w:val="16"/>
                <w:lang w:eastAsia="cs-CZ"/>
              </w:rPr>
              <w:t>proposal</w:t>
            </w:r>
            <w:proofErr w:type="spellEnd"/>
            <w:r w:rsidRPr="000822A0">
              <w:rPr>
                <w:rFonts w:ascii="Calibri" w:eastAsia="Times New Roman" w:hAnsi="Calibri" w:cs="Times New Roman"/>
                <w:color w:val="000000"/>
                <w:sz w:val="16"/>
                <w:szCs w:val="16"/>
                <w:lang w:eastAsia="cs-CZ"/>
              </w:rPr>
              <w:t xml:space="preserve"> </w:t>
            </w:r>
            <w:proofErr w:type="spellStart"/>
            <w:r w:rsidRPr="000822A0">
              <w:rPr>
                <w:rFonts w:ascii="Calibri" w:eastAsia="Times New Roman" w:hAnsi="Calibri" w:cs="Times New Roman"/>
                <w:color w:val="000000"/>
                <w:sz w:val="16"/>
                <w:szCs w:val="16"/>
                <w:lang w:eastAsia="cs-CZ"/>
              </w:rPr>
              <w:t>is</w:t>
            </w:r>
            <w:proofErr w:type="spellEnd"/>
            <w:r w:rsidRPr="000822A0">
              <w:rPr>
                <w:rFonts w:ascii="Calibri" w:eastAsia="Times New Roman" w:hAnsi="Calibri" w:cs="Times New Roman"/>
                <w:color w:val="000000"/>
                <w:sz w:val="16"/>
                <w:szCs w:val="16"/>
                <w:lang w:eastAsia="cs-CZ"/>
              </w:rPr>
              <w:t xml:space="preserve"> </w:t>
            </w:r>
            <w:proofErr w:type="spellStart"/>
            <w:r w:rsidRPr="000822A0">
              <w:rPr>
                <w:rFonts w:ascii="Calibri" w:eastAsia="Times New Roman" w:hAnsi="Calibri" w:cs="Times New Roman"/>
                <w:color w:val="000000"/>
                <w:sz w:val="16"/>
                <w:szCs w:val="16"/>
                <w:lang w:eastAsia="cs-CZ"/>
              </w:rPr>
              <w:t>of</w:t>
            </w:r>
            <w:proofErr w:type="spellEnd"/>
            <w:r w:rsidRPr="000822A0">
              <w:rPr>
                <w:rFonts w:ascii="Calibri" w:eastAsia="Times New Roman" w:hAnsi="Calibri" w:cs="Times New Roman"/>
                <w:color w:val="000000"/>
                <w:sz w:val="16"/>
                <w:szCs w:val="16"/>
                <w:lang w:eastAsia="cs-CZ"/>
              </w:rPr>
              <w:t xml:space="preserve"> </w:t>
            </w:r>
            <w:proofErr w:type="spellStart"/>
            <w:r w:rsidRPr="000822A0">
              <w:rPr>
                <w:rFonts w:ascii="Calibri" w:eastAsia="Times New Roman" w:hAnsi="Calibri" w:cs="Times New Roman"/>
                <w:color w:val="000000"/>
                <w:sz w:val="16"/>
                <w:szCs w:val="16"/>
                <w:lang w:eastAsia="cs-CZ"/>
              </w:rPr>
              <w:t>good</w:t>
            </w:r>
            <w:proofErr w:type="spellEnd"/>
            <w:r w:rsidRPr="000822A0">
              <w:rPr>
                <w:rFonts w:ascii="Calibri" w:eastAsia="Times New Roman" w:hAnsi="Calibri" w:cs="Times New Roman"/>
                <w:color w:val="000000"/>
                <w:sz w:val="16"/>
                <w:szCs w:val="16"/>
                <w:lang w:eastAsia="cs-CZ"/>
              </w:rPr>
              <w:t xml:space="preserve"> </w:t>
            </w:r>
            <w:proofErr w:type="spellStart"/>
            <w:r w:rsidRPr="000822A0">
              <w:rPr>
                <w:rFonts w:ascii="Calibri" w:eastAsia="Times New Roman" w:hAnsi="Calibri" w:cs="Times New Roman"/>
                <w:color w:val="000000"/>
                <w:sz w:val="16"/>
                <w:szCs w:val="16"/>
                <w:lang w:eastAsia="cs-CZ"/>
              </w:rPr>
              <w:t>quality</w:t>
            </w:r>
            <w:proofErr w:type="spellEnd"/>
            <w:r w:rsidRPr="000822A0">
              <w:rPr>
                <w:rFonts w:ascii="Calibri" w:eastAsia="Times New Roman" w:hAnsi="Calibri" w:cs="Times New Roman"/>
                <w:color w:val="000000"/>
                <w:sz w:val="16"/>
                <w:szCs w:val="16"/>
                <w:lang w:eastAsia="cs-CZ"/>
              </w:rPr>
              <w:t xml:space="preserve"> and </w:t>
            </w:r>
            <w:proofErr w:type="spellStart"/>
            <w:r w:rsidRPr="000822A0">
              <w:rPr>
                <w:rFonts w:ascii="Calibri" w:eastAsia="Times New Roman" w:hAnsi="Calibri" w:cs="Times New Roman"/>
                <w:color w:val="000000"/>
                <w:sz w:val="16"/>
                <w:szCs w:val="16"/>
                <w:lang w:eastAsia="cs-CZ"/>
              </w:rPr>
              <w:t>fundable</w:t>
            </w:r>
            <w:proofErr w:type="spellEnd"/>
            <w:r w:rsidRPr="000822A0">
              <w:rPr>
                <w:rFonts w:ascii="Calibri" w:eastAsia="Times New Roman" w:hAnsi="Calibri" w:cs="Times New Roman"/>
                <w:color w:val="000000"/>
                <w:sz w:val="16"/>
                <w:szCs w:val="16"/>
                <w:lang w:eastAsia="cs-CZ"/>
              </w:rPr>
              <w:t xml:space="preserve"> but not </w:t>
            </w:r>
            <w:proofErr w:type="spellStart"/>
            <w:r w:rsidRPr="000822A0">
              <w:rPr>
                <w:rFonts w:ascii="Calibri" w:eastAsia="Times New Roman" w:hAnsi="Calibri" w:cs="Times New Roman"/>
                <w:color w:val="000000"/>
                <w:sz w:val="16"/>
                <w:szCs w:val="16"/>
                <w:lang w:eastAsia="cs-CZ"/>
              </w:rPr>
              <w:t>retained</w:t>
            </w:r>
            <w:proofErr w:type="spellEnd"/>
            <w:r w:rsidRPr="000822A0">
              <w:rPr>
                <w:rFonts w:ascii="Calibri" w:eastAsia="Times New Roman" w:hAnsi="Calibri" w:cs="Times New Roman"/>
                <w:color w:val="000000"/>
                <w:sz w:val="16"/>
                <w:szCs w:val="16"/>
                <w:lang w:eastAsia="cs-CZ"/>
              </w:rPr>
              <w:t xml:space="preserve"> </w:t>
            </w:r>
            <w:proofErr w:type="spellStart"/>
            <w:r w:rsidRPr="000822A0">
              <w:rPr>
                <w:rFonts w:ascii="Calibri" w:eastAsia="Times New Roman" w:hAnsi="Calibri" w:cs="Times New Roman"/>
                <w:color w:val="000000"/>
                <w:sz w:val="16"/>
                <w:szCs w:val="16"/>
                <w:lang w:eastAsia="cs-CZ"/>
              </w:rPr>
              <w:t>for</w:t>
            </w:r>
            <w:proofErr w:type="spellEnd"/>
            <w:r w:rsidRPr="000822A0">
              <w:rPr>
                <w:rFonts w:ascii="Calibri" w:eastAsia="Times New Roman" w:hAnsi="Calibri" w:cs="Times New Roman"/>
                <w:color w:val="000000"/>
                <w:sz w:val="16"/>
                <w:szCs w:val="16"/>
                <w:lang w:eastAsia="cs-CZ"/>
              </w:rPr>
              <w:t xml:space="preserve"> </w:t>
            </w:r>
            <w:proofErr w:type="spellStart"/>
            <w:r w:rsidRPr="000822A0">
              <w:rPr>
                <w:rFonts w:ascii="Calibri" w:eastAsia="Times New Roman" w:hAnsi="Calibri" w:cs="Times New Roman"/>
                <w:color w:val="000000"/>
                <w:sz w:val="16"/>
                <w:szCs w:val="16"/>
                <w:lang w:eastAsia="cs-CZ"/>
              </w:rPr>
              <w:t>funding</w:t>
            </w:r>
            <w:proofErr w:type="spellEnd"/>
            <w:r w:rsidRPr="000822A0">
              <w:rPr>
                <w:rFonts w:ascii="Calibri" w:eastAsia="Times New Roman" w:hAnsi="Calibri" w:cs="Times New Roman"/>
                <w:color w:val="000000"/>
                <w:sz w:val="16"/>
                <w:szCs w:val="16"/>
                <w:lang w:eastAsia="cs-CZ"/>
              </w:rPr>
              <w:t xml:space="preserve"> </w:t>
            </w:r>
            <w:proofErr w:type="spellStart"/>
            <w:r w:rsidRPr="000822A0">
              <w:rPr>
                <w:rFonts w:ascii="Calibri" w:eastAsia="Times New Roman" w:hAnsi="Calibri" w:cs="Times New Roman"/>
                <w:color w:val="000000"/>
                <w:sz w:val="16"/>
                <w:szCs w:val="16"/>
                <w:lang w:eastAsia="cs-CZ"/>
              </w:rPr>
              <w:t>due</w:t>
            </w:r>
            <w:proofErr w:type="spellEnd"/>
            <w:r w:rsidRPr="000822A0">
              <w:rPr>
                <w:rFonts w:ascii="Calibri" w:eastAsia="Times New Roman" w:hAnsi="Calibri" w:cs="Times New Roman"/>
                <w:color w:val="000000"/>
                <w:sz w:val="16"/>
                <w:szCs w:val="16"/>
                <w:lang w:eastAsia="cs-CZ"/>
              </w:rPr>
              <w:t xml:space="preserve"> to </w:t>
            </w:r>
            <w:proofErr w:type="spellStart"/>
            <w:r w:rsidRPr="000822A0">
              <w:rPr>
                <w:rFonts w:ascii="Calibri" w:eastAsia="Times New Roman" w:hAnsi="Calibri" w:cs="Times New Roman"/>
                <w:color w:val="000000"/>
                <w:sz w:val="16"/>
                <w:szCs w:val="16"/>
                <w:lang w:eastAsia="cs-CZ"/>
              </w:rPr>
              <w:t>budgetary</w:t>
            </w:r>
            <w:proofErr w:type="spellEnd"/>
            <w:r w:rsidRPr="000822A0">
              <w:rPr>
                <w:rFonts w:ascii="Calibri" w:eastAsia="Times New Roman" w:hAnsi="Calibri" w:cs="Times New Roman"/>
                <w:color w:val="000000"/>
                <w:sz w:val="16"/>
                <w:szCs w:val="16"/>
                <w:lang w:eastAsia="cs-CZ"/>
              </w:rPr>
              <w:t xml:space="preserve"> </w:t>
            </w:r>
            <w:proofErr w:type="spellStart"/>
            <w:r w:rsidRPr="000822A0">
              <w:rPr>
                <w:rFonts w:ascii="Calibri" w:eastAsia="Times New Roman" w:hAnsi="Calibri" w:cs="Times New Roman"/>
                <w:color w:val="000000"/>
                <w:sz w:val="16"/>
                <w:szCs w:val="16"/>
                <w:lang w:eastAsia="cs-CZ"/>
              </w:rPr>
              <w:t>constrains</w:t>
            </w:r>
            <w:proofErr w:type="spellEnd"/>
            <w:r w:rsidRPr="000822A0">
              <w:rPr>
                <w:rFonts w:ascii="Calibri" w:eastAsia="Times New Roman" w:hAnsi="Calibri" w:cs="Times New Roman"/>
                <w:color w:val="000000"/>
                <w:sz w:val="16"/>
                <w:szCs w:val="16"/>
                <w:lang w:eastAsia="cs-CZ"/>
              </w:rPr>
              <w:t>".</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60 679</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60 679</w:t>
            </w:r>
          </w:p>
        </w:tc>
      </w:tr>
      <w:tr w:rsidR="000822A0" w:rsidRPr="000822A0" w:rsidTr="00055617">
        <w:trPr>
          <w:trHeight w:val="600"/>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MŠMT</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Informace - základ výzkumu</w:t>
            </w:r>
          </w:p>
        </w:tc>
        <w:tc>
          <w:tcPr>
            <w:tcW w:w="7088"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Rozvoj informační infrastruktury a infrastrukturních služeb výzkumu – „Informace jako základní stavební kámen, bez něhož nelze stavět</w:t>
            </w:r>
            <w:r w:rsidR="0065031E">
              <w:rPr>
                <w:rFonts w:ascii="Calibri" w:eastAsia="Times New Roman" w:hAnsi="Calibri" w:cs="Times New Roman"/>
                <w:color w:val="000000"/>
                <w:sz w:val="16"/>
                <w:szCs w:val="16"/>
                <w:lang w:eastAsia="cs-CZ"/>
              </w:rPr>
              <w:t>,</w:t>
            </w:r>
            <w:r w:rsidRPr="000822A0">
              <w:rPr>
                <w:rFonts w:ascii="Calibri" w:eastAsia="Times New Roman" w:hAnsi="Calibri" w:cs="Times New Roman"/>
                <w:color w:val="000000"/>
                <w:sz w:val="16"/>
                <w:szCs w:val="16"/>
                <w:lang w:eastAsia="cs-CZ"/>
              </w:rPr>
              <w:t xml:space="preserve">“ tj. vytvářet nové výsledky ve </w:t>
            </w:r>
            <w:proofErr w:type="spellStart"/>
            <w:r w:rsidRPr="000822A0">
              <w:rPr>
                <w:rFonts w:ascii="Calibri" w:eastAsia="Times New Roman" w:hAnsi="Calibri" w:cs="Times New Roman"/>
                <w:color w:val="000000"/>
                <w:sz w:val="16"/>
                <w:szCs w:val="16"/>
                <w:lang w:eastAsia="cs-CZ"/>
              </w:rPr>
              <w:t>VaV</w:t>
            </w:r>
            <w:proofErr w:type="spellEnd"/>
            <w:r w:rsidRPr="000822A0">
              <w:rPr>
                <w:rFonts w:ascii="Calibri" w:eastAsia="Times New Roman" w:hAnsi="Calibri" w:cs="Times New Roman"/>
                <w:color w:val="000000"/>
                <w:sz w:val="16"/>
                <w:szCs w:val="16"/>
                <w:lang w:eastAsia="cs-CZ"/>
              </w:rPr>
              <w:t>.</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325 907</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141 116</w:t>
            </w:r>
          </w:p>
        </w:tc>
      </w:tr>
      <w:tr w:rsidR="000822A0" w:rsidRPr="000822A0" w:rsidTr="00055617">
        <w:trPr>
          <w:trHeight w:val="1350"/>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MV</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Bezpečnostní výzkum pro potřeby státu v letech 2010 až 2015</w:t>
            </w:r>
          </w:p>
        </w:tc>
        <w:tc>
          <w:tcPr>
            <w:tcW w:w="7088" w:type="dxa"/>
            <w:tcBorders>
              <w:top w:val="nil"/>
              <w:left w:val="nil"/>
              <w:bottom w:val="single" w:sz="4" w:space="0" w:color="92CDDC"/>
              <w:right w:val="single" w:sz="4" w:space="0" w:color="92CDDC"/>
            </w:tcBorders>
            <w:shd w:val="clear" w:color="auto" w:fill="auto"/>
            <w:vAlign w:val="center"/>
            <w:hideMark/>
          </w:tcPr>
          <w:p w:rsidR="0065031E"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Cílem programu je dosažení takové znalostní, technické a technologické úrovně, která umožní orgánům státní správy plnící v rámci svěřené působnosti úkoly v oblasti vnitřní bezpečnosti a ochrany obyvatelstva České republiky navrhnout legislativní a organizační opatření, nové metody a nástroje ke zvýšení bezpečnosti státu a jeho obyvatel; vyvinout moderní systém technických prostředků ke zvýšení účinnosti </w:t>
            </w:r>
          </w:p>
          <w:p w:rsidR="000822A0" w:rsidRPr="000822A0" w:rsidRDefault="000822A0" w:rsidP="006B4254">
            <w:pPr>
              <w:spacing w:after="0" w:line="240" w:lineRule="auto"/>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a efektivnosti procesů krizového řízení a ke zvýšení bezpečnosti kritických infrastruktur.</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116 020</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116 020</w:t>
            </w:r>
          </w:p>
        </w:tc>
      </w:tr>
      <w:tr w:rsidR="000822A0" w:rsidRPr="000822A0" w:rsidTr="00055617">
        <w:trPr>
          <w:trHeight w:val="1125"/>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MV</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Program bezpečnostního výzkumu České republiky 2010 - 2015</w:t>
            </w:r>
          </w:p>
        </w:tc>
        <w:tc>
          <w:tcPr>
            <w:tcW w:w="7088" w:type="dxa"/>
            <w:tcBorders>
              <w:top w:val="nil"/>
              <w:left w:val="nil"/>
              <w:bottom w:val="single" w:sz="4" w:space="0" w:color="92CDDC"/>
              <w:right w:val="single" w:sz="4" w:space="0" w:color="92CDDC"/>
            </w:tcBorders>
            <w:shd w:val="clear" w:color="auto" w:fill="auto"/>
            <w:vAlign w:val="center"/>
            <w:hideMark/>
          </w:tcPr>
          <w:p w:rsidR="000822A0" w:rsidRPr="000822A0" w:rsidRDefault="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Program byl navržen s cílem zvýšit bezpečnost státu a obyvatel prostřednictvím využití aplikovaného výzkumu, experimentálního vývoje a inovací v oblasti identifikace, prevence a ochrany proti nezákonným útokům proti obyvatelům, organizacím, systémům, majetku a infrastruktuře České republiky</w:t>
            </w:r>
            <w:r w:rsidR="0065031E">
              <w:rPr>
                <w:rFonts w:ascii="Calibri" w:eastAsia="Times New Roman" w:hAnsi="Calibri" w:cs="Times New Roman"/>
                <w:color w:val="000000"/>
                <w:sz w:val="16"/>
                <w:szCs w:val="16"/>
                <w:lang w:eastAsia="cs-CZ"/>
              </w:rPr>
              <w:t xml:space="preserve"> </w:t>
            </w:r>
            <w:r w:rsidRPr="000822A0">
              <w:rPr>
                <w:rFonts w:ascii="Calibri" w:eastAsia="Times New Roman" w:hAnsi="Calibri" w:cs="Times New Roman"/>
                <w:color w:val="000000"/>
                <w:sz w:val="16"/>
                <w:szCs w:val="16"/>
                <w:lang w:eastAsia="cs-CZ"/>
              </w:rPr>
              <w:t>i přírodním a průmyslovým katastrofám. Výsledkem programu budou nové metody, nástroje a technologie.</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495 252</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456 477</w:t>
            </w:r>
          </w:p>
        </w:tc>
      </w:tr>
      <w:tr w:rsidR="000822A0" w:rsidRPr="000822A0" w:rsidTr="00055617">
        <w:trPr>
          <w:trHeight w:val="1800"/>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lastRenderedPageBreak/>
              <w:t>MZ</w:t>
            </w:r>
          </w:p>
        </w:tc>
        <w:tc>
          <w:tcPr>
            <w:tcW w:w="2740" w:type="dxa"/>
            <w:tcBorders>
              <w:top w:val="nil"/>
              <w:left w:val="nil"/>
              <w:bottom w:val="single" w:sz="4" w:space="0" w:color="92CDDC"/>
              <w:right w:val="single" w:sz="4" w:space="0" w:color="92CDDC"/>
            </w:tcBorders>
            <w:shd w:val="clear" w:color="auto" w:fill="auto"/>
            <w:vAlign w:val="center"/>
            <w:hideMark/>
          </w:tcPr>
          <w:p w:rsidR="00E14F8F"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 xml:space="preserve">Resortní program výzkumu </w:t>
            </w:r>
          </w:p>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a vývoje Ministerstva zdravotnictví III</w:t>
            </w:r>
          </w:p>
        </w:tc>
        <w:tc>
          <w:tcPr>
            <w:tcW w:w="7088" w:type="dxa"/>
            <w:tcBorders>
              <w:top w:val="nil"/>
              <w:left w:val="nil"/>
              <w:bottom w:val="single" w:sz="4" w:space="0" w:color="92CDDC"/>
              <w:right w:val="single" w:sz="4" w:space="0" w:color="92CDDC"/>
            </w:tcBorders>
            <w:shd w:val="clear" w:color="auto" w:fill="auto"/>
            <w:vAlign w:val="center"/>
            <w:hideMark/>
          </w:tcPr>
          <w:p w:rsidR="00E14F8F"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Vypracovat nové diagnostické metody a postupy, sloužící k co nejrychlejšímu a nejpřesnějšímu rozpoznání chorob. Získat nové poznatky o patogenezi chorob nutné pro zajištění vysoce efektivní léčby založené na EBM s důrazem na podporu molekulárně-biologických přístupů. Rozvíjet výzkum v oblasti prevence infekčních chorob a chorob hromadného výskytu. Analyzovat jednotlivé parametry léčebné péče tak, aby byly vytvořeny předpoklady pro efektivní léčbu provázanou i dopadem do kvality života pacienta. Získat údaje umožňující průběžné hodnocení vývoje zdravotního stavu populace a jeho srovnávání se stavem v ostatních státech Evropské unie. Využít výsledků výzkumu v průběžném vzdělávání lékařů </w:t>
            </w:r>
          </w:p>
          <w:p w:rsidR="000822A0" w:rsidRPr="000822A0" w:rsidRDefault="000822A0" w:rsidP="006B4254">
            <w:pPr>
              <w:spacing w:after="0" w:line="240" w:lineRule="auto"/>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i ostatních pracovníků ve zdravotnictví.</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816 429</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809 336</w:t>
            </w:r>
          </w:p>
        </w:tc>
      </w:tr>
      <w:tr w:rsidR="000822A0" w:rsidRPr="000822A0" w:rsidTr="00055617">
        <w:trPr>
          <w:trHeight w:val="1230"/>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MZE</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Výzkum v agrárním sektoru (VAK)</w:t>
            </w:r>
          </w:p>
        </w:tc>
        <w:tc>
          <w:tcPr>
            <w:tcW w:w="7088" w:type="dxa"/>
            <w:tcBorders>
              <w:top w:val="nil"/>
              <w:left w:val="nil"/>
              <w:bottom w:val="single" w:sz="4" w:space="0" w:color="92CDDC"/>
              <w:right w:val="single" w:sz="4" w:space="0" w:color="92CDDC"/>
            </w:tcBorders>
            <w:shd w:val="clear" w:color="auto" w:fill="auto"/>
            <w:vAlign w:val="center"/>
            <w:hideMark/>
          </w:tcPr>
          <w:p w:rsidR="0040494A" w:rsidRDefault="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Celkovým cílem programu je podpořit udržitelný rozvoj agrárního sektoru, rozvoj venkova a ekologizaci krajiny, posílit konkurenceschopnost malých a středních zemědělských a zpracovatelských podniků. Budou vypracovány nové postupy pro produkci a zpracování zemědělských surovin </w:t>
            </w:r>
            <w:r w:rsidR="00E14F8F">
              <w:rPr>
                <w:rFonts w:ascii="Calibri" w:eastAsia="Times New Roman" w:hAnsi="Calibri" w:cs="Times New Roman"/>
                <w:color w:val="000000"/>
                <w:sz w:val="16"/>
                <w:szCs w:val="16"/>
                <w:lang w:eastAsia="cs-CZ"/>
              </w:rPr>
              <w:t>ve</w:t>
            </w:r>
            <w:r w:rsidR="00E14F8F" w:rsidRPr="000822A0">
              <w:rPr>
                <w:rFonts w:ascii="Calibri" w:eastAsia="Times New Roman" w:hAnsi="Calibri" w:cs="Times New Roman"/>
                <w:color w:val="000000"/>
                <w:sz w:val="16"/>
                <w:szCs w:val="16"/>
                <w:lang w:eastAsia="cs-CZ"/>
              </w:rPr>
              <w:t xml:space="preserve"> </w:t>
            </w:r>
            <w:r w:rsidRPr="000822A0">
              <w:rPr>
                <w:rFonts w:ascii="Calibri" w:eastAsia="Times New Roman" w:hAnsi="Calibri" w:cs="Times New Roman"/>
                <w:color w:val="000000"/>
                <w:sz w:val="16"/>
                <w:szCs w:val="16"/>
                <w:lang w:eastAsia="cs-CZ"/>
              </w:rPr>
              <w:t xml:space="preserve">kvalitní </w:t>
            </w:r>
            <w:r w:rsidR="00E14F8F">
              <w:rPr>
                <w:rFonts w:ascii="Calibri" w:eastAsia="Times New Roman" w:hAnsi="Calibri" w:cs="Times New Roman"/>
                <w:color w:val="000000"/>
                <w:sz w:val="16"/>
                <w:szCs w:val="16"/>
                <w:lang w:eastAsia="cs-CZ"/>
              </w:rPr>
              <w:t>i</w:t>
            </w:r>
            <w:r w:rsidRPr="000822A0">
              <w:rPr>
                <w:rFonts w:ascii="Calibri" w:eastAsia="Times New Roman" w:hAnsi="Calibri" w:cs="Times New Roman"/>
                <w:color w:val="000000"/>
                <w:sz w:val="16"/>
                <w:szCs w:val="16"/>
                <w:lang w:eastAsia="cs-CZ"/>
              </w:rPr>
              <w:t xml:space="preserve"> bezpečné potraviny a modernizovány systémy hospodaření v lesích, zefektivněny systémy hospodaření s vodou </w:t>
            </w:r>
          </w:p>
          <w:p w:rsidR="000822A0" w:rsidRPr="000822A0" w:rsidRDefault="000822A0" w:rsidP="006B4254">
            <w:pPr>
              <w:spacing w:after="0" w:line="240" w:lineRule="auto"/>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a stabilizován rozvoj prostředí venkova pomocí šetrného hospodaření v krajině.</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171 694</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154 552</w:t>
            </w:r>
          </w:p>
        </w:tc>
      </w:tr>
      <w:tr w:rsidR="000822A0" w:rsidRPr="000822A0" w:rsidTr="00055617">
        <w:trPr>
          <w:trHeight w:val="2003"/>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MZE</w:t>
            </w:r>
          </w:p>
        </w:tc>
        <w:tc>
          <w:tcPr>
            <w:tcW w:w="2740" w:type="dxa"/>
            <w:tcBorders>
              <w:top w:val="nil"/>
              <w:left w:val="nil"/>
              <w:bottom w:val="single" w:sz="4" w:space="0" w:color="92CDDC"/>
              <w:right w:val="single" w:sz="4" w:space="0" w:color="92CDDC"/>
            </w:tcBorders>
            <w:shd w:val="clear" w:color="auto" w:fill="auto"/>
            <w:vAlign w:val="center"/>
            <w:hideMark/>
          </w:tcPr>
          <w:p w:rsidR="0040494A"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 xml:space="preserve">Komplexní udržitelné systémy v zemědělství </w:t>
            </w:r>
          </w:p>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2012</w:t>
            </w:r>
            <w:r w:rsidR="0040494A">
              <w:rPr>
                <w:rFonts w:ascii="Calibri" w:eastAsia="Times New Roman" w:hAnsi="Calibri" w:cs="Times New Roman"/>
                <w:color w:val="000000"/>
                <w:lang w:eastAsia="cs-CZ"/>
              </w:rPr>
              <w:t xml:space="preserve"> </w:t>
            </w:r>
            <w:r w:rsidRPr="000822A0">
              <w:rPr>
                <w:rFonts w:ascii="Calibri" w:eastAsia="Times New Roman" w:hAnsi="Calibri" w:cs="Times New Roman"/>
                <w:color w:val="000000"/>
                <w:lang w:eastAsia="cs-CZ"/>
              </w:rPr>
              <w:t>-</w:t>
            </w:r>
            <w:r w:rsidR="0040494A">
              <w:rPr>
                <w:rFonts w:ascii="Calibri" w:eastAsia="Times New Roman" w:hAnsi="Calibri" w:cs="Times New Roman"/>
                <w:color w:val="000000"/>
                <w:lang w:eastAsia="cs-CZ"/>
              </w:rPr>
              <w:t xml:space="preserve"> </w:t>
            </w:r>
            <w:r w:rsidRPr="000822A0">
              <w:rPr>
                <w:rFonts w:ascii="Calibri" w:eastAsia="Times New Roman" w:hAnsi="Calibri" w:cs="Times New Roman"/>
                <w:color w:val="000000"/>
                <w:lang w:eastAsia="cs-CZ"/>
              </w:rPr>
              <w:t>2018 „KUS“</w:t>
            </w:r>
          </w:p>
        </w:tc>
        <w:tc>
          <w:tcPr>
            <w:tcW w:w="7088" w:type="dxa"/>
            <w:tcBorders>
              <w:top w:val="nil"/>
              <w:left w:val="nil"/>
              <w:bottom w:val="single" w:sz="4" w:space="0" w:color="92CDDC"/>
              <w:right w:val="single" w:sz="4" w:space="0" w:color="92CDDC"/>
            </w:tcBorders>
            <w:shd w:val="clear" w:color="auto" w:fill="auto"/>
            <w:vAlign w:val="center"/>
            <w:hideMark/>
          </w:tcPr>
          <w:p w:rsidR="0040494A" w:rsidRDefault="00E14F8F" w:rsidP="000822A0">
            <w:pPr>
              <w:spacing w:after="0" w:line="240" w:lineRule="auto"/>
              <w:ind w:firstLineChars="100" w:firstLine="160"/>
              <w:jc w:val="both"/>
              <w:rPr>
                <w:rFonts w:ascii="Calibri" w:eastAsia="Times New Roman" w:hAnsi="Calibri" w:cs="Times New Roman"/>
                <w:color w:val="000000"/>
                <w:sz w:val="16"/>
                <w:szCs w:val="16"/>
                <w:lang w:eastAsia="cs-CZ"/>
              </w:rPr>
            </w:pPr>
            <w:r>
              <w:rPr>
                <w:rFonts w:ascii="Calibri" w:eastAsia="Times New Roman" w:hAnsi="Calibri" w:cs="Times New Roman"/>
                <w:color w:val="000000"/>
                <w:sz w:val="16"/>
                <w:szCs w:val="16"/>
                <w:lang w:eastAsia="cs-CZ"/>
              </w:rPr>
              <w:t>Z</w:t>
            </w:r>
            <w:r w:rsidR="000822A0" w:rsidRPr="000822A0">
              <w:rPr>
                <w:rFonts w:ascii="Calibri" w:eastAsia="Times New Roman" w:hAnsi="Calibri" w:cs="Times New Roman"/>
                <w:color w:val="000000"/>
                <w:sz w:val="16"/>
                <w:szCs w:val="16"/>
                <w:lang w:eastAsia="cs-CZ"/>
              </w:rPr>
              <w:t>výšením produkčního potenciálu zemědělských plodin a hospodářských zvířat přispět k potravinové bezpečnosti České republiky, tj. k zajištění dostatečného množství produkce kvalitních a bezpečných potravin tuzemského původu pro zdravou výživu obyvatelstva</w:t>
            </w:r>
            <w:r>
              <w:rPr>
                <w:rFonts w:ascii="Calibri" w:eastAsia="Times New Roman" w:hAnsi="Calibri" w:cs="Times New Roman"/>
                <w:color w:val="000000"/>
                <w:sz w:val="16"/>
                <w:szCs w:val="16"/>
                <w:lang w:eastAsia="cs-CZ"/>
              </w:rPr>
              <w:t>. Z</w:t>
            </w:r>
            <w:r w:rsidR="000822A0" w:rsidRPr="000822A0">
              <w:rPr>
                <w:rFonts w:ascii="Calibri" w:eastAsia="Times New Roman" w:hAnsi="Calibri" w:cs="Times New Roman"/>
                <w:color w:val="000000"/>
                <w:sz w:val="16"/>
                <w:szCs w:val="16"/>
                <w:lang w:eastAsia="cs-CZ"/>
              </w:rPr>
              <w:t xml:space="preserve">aváděním nových metod, technologických postupů a systémů zvýšit konkurenceschopnost českého zemědělství v podmínkách EU a podpořit udržitelný rozvoj zemědělského sektoru, venkova a regionů ČR; novými poznatky a jejich realizací přispět </w:t>
            </w:r>
          </w:p>
          <w:p w:rsidR="0040494A" w:rsidRDefault="000822A0" w:rsidP="006B4254">
            <w:pPr>
              <w:spacing w:after="0" w:line="240" w:lineRule="auto"/>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k udržitelnému využívání přírodních zdrojů s minimalizací zátěže životního prostředí a k zavádění systémů hospodaření vedoucích k omezení negativních dopadů klimatických změn na funkce ekosystémů </w:t>
            </w:r>
          </w:p>
          <w:p w:rsidR="000822A0" w:rsidRPr="000822A0" w:rsidRDefault="000822A0" w:rsidP="006B4254">
            <w:pPr>
              <w:spacing w:after="0" w:line="240" w:lineRule="auto"/>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v zemědělství, lesním a vodním hospodářství; zvýšit potenciál mimoprodukčních funkcí zemědělství, lesního a vodního hospodářství.</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273 678</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224 000</w:t>
            </w:r>
          </w:p>
        </w:tc>
      </w:tr>
      <w:tr w:rsidR="000822A0" w:rsidRPr="000822A0" w:rsidTr="00055617">
        <w:trPr>
          <w:trHeight w:val="1475"/>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TA ČR</w:t>
            </w:r>
          </w:p>
        </w:tc>
        <w:tc>
          <w:tcPr>
            <w:tcW w:w="2740" w:type="dxa"/>
            <w:tcBorders>
              <w:top w:val="nil"/>
              <w:left w:val="nil"/>
              <w:bottom w:val="single" w:sz="4" w:space="0" w:color="92CDDC"/>
              <w:right w:val="single" w:sz="4" w:space="0" w:color="92CDDC"/>
            </w:tcBorders>
            <w:shd w:val="clear" w:color="auto" w:fill="auto"/>
            <w:vAlign w:val="center"/>
            <w:hideMark/>
          </w:tcPr>
          <w:p w:rsidR="0040494A"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 xml:space="preserve">Program na podporu aplikovaného výzkumu </w:t>
            </w:r>
          </w:p>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a experimentálního vývoje ALFA</w:t>
            </w:r>
          </w:p>
        </w:tc>
        <w:tc>
          <w:tcPr>
            <w:tcW w:w="7088" w:type="dxa"/>
            <w:tcBorders>
              <w:top w:val="nil"/>
              <w:left w:val="nil"/>
              <w:bottom w:val="single" w:sz="4" w:space="0" w:color="92CDDC"/>
              <w:right w:val="single" w:sz="4" w:space="0" w:color="92CDDC"/>
            </w:tcBorders>
            <w:shd w:val="clear" w:color="auto" w:fill="auto"/>
            <w:vAlign w:val="center"/>
            <w:hideMark/>
          </w:tcPr>
          <w:p w:rsidR="0040494A"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Hlavním cílem programu je výrazné zvýšení množství a kvality nových poznatků aplikovaného výzkumu </w:t>
            </w:r>
          </w:p>
          <w:p w:rsidR="000822A0" w:rsidRPr="000822A0" w:rsidRDefault="000822A0" w:rsidP="006B4254">
            <w:pPr>
              <w:spacing w:after="0" w:line="240" w:lineRule="auto"/>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a experimentálního vývoje v oblasti progresivních technologií, materiálů a systémů, energetických zdrojů, ochrany a tvorby životního prostředí a udržitelného rozvoje dopravy, které budou aplikovatelné v podobě inovací. Tyto poznatky povedou následně k posílení výkonnosti ekonomických subjektů, růstu konkurenceschopnosti hospodářství a společnosti České republiky a zvýšení kvality života jejích obyvatel prostřednictvím rozvoje progresivních technologií, materiálů a systémů, zvyšování kvality životního prostředí a udržitelného rozvoje dopravy.</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2 873 273</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1 823 239</w:t>
            </w:r>
          </w:p>
        </w:tc>
      </w:tr>
      <w:tr w:rsidR="000822A0" w:rsidRPr="000822A0" w:rsidTr="00055617">
        <w:trPr>
          <w:trHeight w:val="1268"/>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TA ČR</w:t>
            </w:r>
          </w:p>
        </w:tc>
        <w:tc>
          <w:tcPr>
            <w:tcW w:w="2740" w:type="dxa"/>
            <w:tcBorders>
              <w:top w:val="nil"/>
              <w:left w:val="nil"/>
              <w:bottom w:val="single" w:sz="4" w:space="0" w:color="92CDDC"/>
              <w:right w:val="single" w:sz="4" w:space="0" w:color="92CDDC"/>
            </w:tcBorders>
            <w:shd w:val="clear" w:color="auto" w:fill="auto"/>
            <w:vAlign w:val="center"/>
            <w:hideMark/>
          </w:tcPr>
          <w:p w:rsidR="0040494A"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 xml:space="preserve">Program veřejných zakázek ve výzkumu, experimentálním vývoji </w:t>
            </w:r>
          </w:p>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 xml:space="preserve">a </w:t>
            </w:r>
            <w:proofErr w:type="gramStart"/>
            <w:r w:rsidRPr="000822A0">
              <w:rPr>
                <w:rFonts w:ascii="Calibri" w:eastAsia="Times New Roman" w:hAnsi="Calibri" w:cs="Times New Roman"/>
                <w:color w:val="000000"/>
                <w:lang w:eastAsia="cs-CZ"/>
              </w:rPr>
              <w:t>inovacích</w:t>
            </w:r>
            <w:proofErr w:type="gramEnd"/>
            <w:r w:rsidRPr="000822A0">
              <w:rPr>
                <w:rFonts w:ascii="Calibri" w:eastAsia="Times New Roman" w:hAnsi="Calibri" w:cs="Times New Roman"/>
                <w:color w:val="000000"/>
                <w:lang w:eastAsia="cs-CZ"/>
              </w:rPr>
              <w:t xml:space="preserve"> pro potřeby státní správy „BETA“</w:t>
            </w:r>
          </w:p>
        </w:tc>
        <w:tc>
          <w:tcPr>
            <w:tcW w:w="7088" w:type="dxa"/>
            <w:tcBorders>
              <w:top w:val="nil"/>
              <w:left w:val="nil"/>
              <w:bottom w:val="single" w:sz="4" w:space="0" w:color="92CDDC"/>
              <w:right w:val="single" w:sz="4" w:space="0" w:color="92CDDC"/>
            </w:tcBorders>
            <w:shd w:val="clear" w:color="auto" w:fill="auto"/>
            <w:vAlign w:val="center"/>
            <w:hideMark/>
          </w:tcPr>
          <w:p w:rsidR="000822A0" w:rsidRPr="000822A0" w:rsidRDefault="0040494A" w:rsidP="000822A0">
            <w:pPr>
              <w:spacing w:after="0" w:line="240" w:lineRule="auto"/>
              <w:ind w:firstLineChars="100" w:firstLine="160"/>
              <w:jc w:val="both"/>
              <w:rPr>
                <w:rFonts w:ascii="Calibri" w:eastAsia="Times New Roman" w:hAnsi="Calibri" w:cs="Times New Roman"/>
                <w:color w:val="000000"/>
                <w:sz w:val="16"/>
                <w:szCs w:val="16"/>
                <w:lang w:eastAsia="cs-CZ"/>
              </w:rPr>
            </w:pPr>
            <w:r>
              <w:rPr>
                <w:rFonts w:ascii="Calibri" w:eastAsia="Times New Roman" w:hAnsi="Calibri" w:cs="Times New Roman"/>
                <w:color w:val="000000"/>
                <w:sz w:val="16"/>
                <w:szCs w:val="16"/>
                <w:lang w:eastAsia="cs-CZ"/>
              </w:rPr>
              <w:t>P</w:t>
            </w:r>
            <w:r w:rsidR="000822A0" w:rsidRPr="000822A0">
              <w:rPr>
                <w:rFonts w:ascii="Calibri" w:eastAsia="Times New Roman" w:hAnsi="Calibri" w:cs="Times New Roman"/>
                <w:color w:val="000000"/>
                <w:sz w:val="16"/>
                <w:szCs w:val="16"/>
                <w:lang w:eastAsia="cs-CZ"/>
              </w:rPr>
              <w:t>odpora výzkumu, vývoje a inovací pro potřeby orgánů státní správy, a to zejména pro potřeby těch správních orgánů, které nejsou poskytovateli podpory výzkumu, vývoje a inovací. Z programu však nejsou vyloučeny ani ty správní orgány, které se dosud mezi poskytovatele veřejné podpory ve výzkumu a vývoji řadí.</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51 280</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51 280</w:t>
            </w:r>
          </w:p>
        </w:tc>
      </w:tr>
      <w:tr w:rsidR="000822A0" w:rsidRPr="000822A0" w:rsidTr="00055617">
        <w:trPr>
          <w:trHeight w:val="1330"/>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lastRenderedPageBreak/>
              <w:t>TA ČR</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Program na podporu aplikovaného společenskovědního výzkumu a experimentálního vývoje OMEGA</w:t>
            </w:r>
          </w:p>
        </w:tc>
        <w:tc>
          <w:tcPr>
            <w:tcW w:w="7088" w:type="dxa"/>
            <w:tcBorders>
              <w:top w:val="nil"/>
              <w:left w:val="nil"/>
              <w:bottom w:val="single" w:sz="4" w:space="0" w:color="92CDDC"/>
              <w:right w:val="single" w:sz="4" w:space="0" w:color="92CDDC"/>
            </w:tcBorders>
            <w:shd w:val="clear" w:color="auto" w:fill="auto"/>
            <w:vAlign w:val="center"/>
            <w:hideMark/>
          </w:tcPr>
          <w:p w:rsidR="0040494A"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Hlavním cílem programu je posílení výzkumných aktivit v oblasti aplikovaných společenských věd </w:t>
            </w:r>
          </w:p>
          <w:p w:rsidR="000822A0" w:rsidRPr="000822A0"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a uplatnění výsledků těchto aktivit pro zvýšení konkurenceschopnosti České republiky, zvýšení kvality života jejich obyvatel a vyvážený socioekonomický rozvoj společnosti.</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102 223</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79 891</w:t>
            </w:r>
          </w:p>
        </w:tc>
      </w:tr>
      <w:tr w:rsidR="000822A0" w:rsidRPr="000822A0" w:rsidTr="00055617">
        <w:trPr>
          <w:trHeight w:val="1534"/>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TA ČR</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Centra kompetence</w:t>
            </w:r>
          </w:p>
        </w:tc>
        <w:tc>
          <w:tcPr>
            <w:tcW w:w="7088" w:type="dxa"/>
            <w:tcBorders>
              <w:top w:val="nil"/>
              <w:left w:val="nil"/>
              <w:bottom w:val="single" w:sz="4" w:space="0" w:color="92CDDC"/>
              <w:right w:val="single" w:sz="4" w:space="0" w:color="92CDDC"/>
            </w:tcBorders>
            <w:shd w:val="clear" w:color="auto" w:fill="auto"/>
            <w:vAlign w:val="center"/>
            <w:hideMark/>
          </w:tcPr>
          <w:p w:rsidR="006D7EC7"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Hlavním cílem programu je zvýšení konkurenceschopnosti ČR v progresivních oborech s vysokým potenciálem pro uplatnění výsledků </w:t>
            </w:r>
            <w:proofErr w:type="spellStart"/>
            <w:r w:rsidRPr="000822A0">
              <w:rPr>
                <w:rFonts w:ascii="Calibri" w:eastAsia="Times New Roman" w:hAnsi="Calibri" w:cs="Times New Roman"/>
                <w:color w:val="000000"/>
                <w:sz w:val="16"/>
                <w:szCs w:val="16"/>
                <w:lang w:eastAsia="cs-CZ"/>
              </w:rPr>
              <w:t>VaV</w:t>
            </w:r>
            <w:proofErr w:type="spellEnd"/>
            <w:r w:rsidRPr="000822A0">
              <w:rPr>
                <w:rFonts w:ascii="Calibri" w:eastAsia="Times New Roman" w:hAnsi="Calibri" w:cs="Times New Roman"/>
                <w:color w:val="000000"/>
                <w:sz w:val="16"/>
                <w:szCs w:val="16"/>
                <w:lang w:eastAsia="cs-CZ"/>
              </w:rPr>
              <w:t xml:space="preserve"> v inovacích. Mezi dílčí cíle patří: posílení dlouhodobé spolupráce výzkumných organizací a podniků ve </w:t>
            </w:r>
            <w:proofErr w:type="spellStart"/>
            <w:r w:rsidRPr="000822A0">
              <w:rPr>
                <w:rFonts w:ascii="Calibri" w:eastAsia="Times New Roman" w:hAnsi="Calibri" w:cs="Times New Roman"/>
                <w:color w:val="000000"/>
                <w:sz w:val="16"/>
                <w:szCs w:val="16"/>
                <w:lang w:eastAsia="cs-CZ"/>
              </w:rPr>
              <w:t>VaVaI</w:t>
            </w:r>
            <w:proofErr w:type="spellEnd"/>
            <w:r w:rsidRPr="000822A0">
              <w:rPr>
                <w:rFonts w:ascii="Calibri" w:eastAsia="Times New Roman" w:hAnsi="Calibri" w:cs="Times New Roman"/>
                <w:color w:val="000000"/>
                <w:sz w:val="16"/>
                <w:szCs w:val="16"/>
                <w:lang w:eastAsia="cs-CZ"/>
              </w:rPr>
              <w:t xml:space="preserve">; posílení interdisciplinarity </w:t>
            </w:r>
            <w:proofErr w:type="spellStart"/>
            <w:r w:rsidRPr="000822A0">
              <w:rPr>
                <w:rFonts w:ascii="Calibri" w:eastAsia="Times New Roman" w:hAnsi="Calibri" w:cs="Times New Roman"/>
                <w:color w:val="000000"/>
                <w:sz w:val="16"/>
                <w:szCs w:val="16"/>
                <w:lang w:eastAsia="cs-CZ"/>
              </w:rPr>
              <w:t>VaV</w:t>
            </w:r>
            <w:proofErr w:type="spellEnd"/>
            <w:r w:rsidRPr="000822A0">
              <w:rPr>
                <w:rFonts w:ascii="Calibri" w:eastAsia="Times New Roman" w:hAnsi="Calibri" w:cs="Times New Roman"/>
                <w:color w:val="000000"/>
                <w:sz w:val="16"/>
                <w:szCs w:val="16"/>
                <w:lang w:eastAsia="cs-CZ"/>
              </w:rPr>
              <w:t xml:space="preserve">; vytvoření podmínek pro rozvoj lidských zdrojů ve VaVaI, zejména s důrazem na zapojení začínajících výzkumných pracovníků ve věku do 35 let včetně studentů, podílejících se na projektu; vytvoření podmínek pro horizontální mobilitu výzkumných pracovníků; naplňování Národních priorit orientovaného výzkumu, experimentálního vývoje </w:t>
            </w:r>
          </w:p>
          <w:p w:rsidR="000822A0" w:rsidRPr="000822A0" w:rsidRDefault="000822A0" w:rsidP="006B4254">
            <w:pPr>
              <w:spacing w:after="0" w:line="240" w:lineRule="auto"/>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a inovací; udržitelnost strategické výzkumné agendy v centrech nejméně pět let po skončení projektu.</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1 211 963</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842 502</w:t>
            </w:r>
          </w:p>
        </w:tc>
      </w:tr>
      <w:tr w:rsidR="000822A0" w:rsidRPr="000822A0" w:rsidTr="00055617">
        <w:trPr>
          <w:trHeight w:val="1350"/>
          <w:jc w:val="center"/>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TA ČR</w:t>
            </w:r>
          </w:p>
        </w:tc>
        <w:tc>
          <w:tcPr>
            <w:tcW w:w="274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Program aplikovaného výzkumu, experimentálního vývoje a inovací GAMA</w:t>
            </w:r>
          </w:p>
        </w:tc>
        <w:tc>
          <w:tcPr>
            <w:tcW w:w="7088" w:type="dxa"/>
            <w:tcBorders>
              <w:top w:val="nil"/>
              <w:left w:val="nil"/>
              <w:bottom w:val="single" w:sz="4" w:space="0" w:color="92CDDC"/>
              <w:right w:val="single" w:sz="4" w:space="0" w:color="92CDDC"/>
            </w:tcBorders>
            <w:shd w:val="clear" w:color="auto" w:fill="auto"/>
            <w:vAlign w:val="center"/>
            <w:hideMark/>
          </w:tcPr>
          <w:p w:rsidR="006D7EC7" w:rsidRDefault="000822A0" w:rsidP="000822A0">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Hlavním cílem programu je podpořit a významně zefektivnit transformaci výsledků </w:t>
            </w:r>
            <w:proofErr w:type="spellStart"/>
            <w:r w:rsidRPr="000822A0">
              <w:rPr>
                <w:rFonts w:ascii="Calibri" w:eastAsia="Times New Roman" w:hAnsi="Calibri" w:cs="Times New Roman"/>
                <w:color w:val="000000"/>
                <w:sz w:val="16"/>
                <w:szCs w:val="16"/>
                <w:lang w:eastAsia="cs-CZ"/>
              </w:rPr>
              <w:t>VaV</w:t>
            </w:r>
            <w:proofErr w:type="spellEnd"/>
            <w:r w:rsidRPr="000822A0">
              <w:rPr>
                <w:rFonts w:ascii="Calibri" w:eastAsia="Times New Roman" w:hAnsi="Calibri" w:cs="Times New Roman"/>
                <w:color w:val="000000"/>
                <w:sz w:val="16"/>
                <w:szCs w:val="16"/>
                <w:lang w:eastAsia="cs-CZ"/>
              </w:rPr>
              <w:t xml:space="preserve">, dosažených ve VO a/nebo ve spolupráci mezi VO a podniky, do podoby praktické aplikace umožňující jejich komerční využití a podpořit tak jejich zavedení do praxe. K cílům programu patří také zajistit tvorbu výsledků </w:t>
            </w:r>
            <w:proofErr w:type="spellStart"/>
            <w:r w:rsidRPr="000822A0">
              <w:rPr>
                <w:rFonts w:ascii="Calibri" w:eastAsia="Times New Roman" w:hAnsi="Calibri" w:cs="Times New Roman"/>
                <w:color w:val="000000"/>
                <w:sz w:val="16"/>
                <w:szCs w:val="16"/>
                <w:lang w:eastAsia="cs-CZ"/>
              </w:rPr>
              <w:t>VaV</w:t>
            </w:r>
            <w:proofErr w:type="spellEnd"/>
            <w:r w:rsidRPr="000822A0">
              <w:rPr>
                <w:rFonts w:ascii="Calibri" w:eastAsia="Times New Roman" w:hAnsi="Calibri" w:cs="Times New Roman"/>
                <w:color w:val="000000"/>
                <w:sz w:val="16"/>
                <w:szCs w:val="16"/>
                <w:lang w:eastAsia="cs-CZ"/>
              </w:rPr>
              <w:t xml:space="preserve"> vedoucím k inovacím s vysokou pravděpodobností jejich komercializace a tím stimulovat inovace </w:t>
            </w:r>
          </w:p>
          <w:p w:rsidR="000822A0" w:rsidRPr="000822A0" w:rsidRDefault="000822A0" w:rsidP="006B4254">
            <w:pPr>
              <w:spacing w:after="0" w:line="240" w:lineRule="auto"/>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v podnicích (zejména malých a středních) s využitím výsledků </w:t>
            </w:r>
            <w:proofErr w:type="spellStart"/>
            <w:r w:rsidRPr="000822A0">
              <w:rPr>
                <w:rFonts w:ascii="Calibri" w:eastAsia="Times New Roman" w:hAnsi="Calibri" w:cs="Times New Roman"/>
                <w:color w:val="000000"/>
                <w:sz w:val="16"/>
                <w:szCs w:val="16"/>
                <w:lang w:eastAsia="cs-CZ"/>
              </w:rPr>
              <w:t>VaV</w:t>
            </w:r>
            <w:proofErr w:type="spellEnd"/>
            <w:r w:rsidRPr="000822A0">
              <w:rPr>
                <w:rFonts w:ascii="Calibri" w:eastAsia="Times New Roman" w:hAnsi="Calibri" w:cs="Times New Roman"/>
                <w:color w:val="000000"/>
                <w:sz w:val="16"/>
                <w:szCs w:val="16"/>
                <w:lang w:eastAsia="cs-CZ"/>
              </w:rPr>
              <w:t xml:space="preserve"> vzniklého s podporou veřejných zdrojů ve VO.</w:t>
            </w:r>
          </w:p>
        </w:tc>
        <w:tc>
          <w:tcPr>
            <w:tcW w:w="127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7 246</w:t>
            </w:r>
          </w:p>
        </w:tc>
        <w:tc>
          <w:tcPr>
            <w:tcW w:w="1216"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right"/>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7 246</w:t>
            </w:r>
          </w:p>
        </w:tc>
      </w:tr>
      <w:tr w:rsidR="000822A0" w:rsidRPr="000822A0" w:rsidTr="00055617">
        <w:trPr>
          <w:trHeight w:val="300"/>
          <w:jc w:val="center"/>
        </w:trPr>
        <w:tc>
          <w:tcPr>
            <w:tcW w:w="960" w:type="dxa"/>
            <w:tcBorders>
              <w:top w:val="nil"/>
              <w:left w:val="nil"/>
              <w:bottom w:val="nil"/>
              <w:right w:val="nil"/>
            </w:tcBorders>
            <w:shd w:val="clear" w:color="000000" w:fill="92CDDC"/>
            <w:noWrap/>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 </w:t>
            </w:r>
          </w:p>
        </w:tc>
        <w:tc>
          <w:tcPr>
            <w:tcW w:w="2740" w:type="dxa"/>
            <w:tcBorders>
              <w:top w:val="nil"/>
              <w:left w:val="nil"/>
              <w:bottom w:val="nil"/>
              <w:right w:val="nil"/>
            </w:tcBorders>
            <w:shd w:val="clear" w:color="000000" w:fill="92CDDC"/>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 </w:t>
            </w:r>
          </w:p>
        </w:tc>
        <w:tc>
          <w:tcPr>
            <w:tcW w:w="7088" w:type="dxa"/>
            <w:tcBorders>
              <w:top w:val="nil"/>
              <w:left w:val="nil"/>
              <w:bottom w:val="nil"/>
              <w:right w:val="nil"/>
            </w:tcBorders>
            <w:shd w:val="clear" w:color="000000" w:fill="92CDDC"/>
            <w:noWrap/>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Celkem</w:t>
            </w:r>
          </w:p>
        </w:tc>
        <w:tc>
          <w:tcPr>
            <w:tcW w:w="1276" w:type="dxa"/>
            <w:tcBorders>
              <w:top w:val="nil"/>
              <w:left w:val="nil"/>
              <w:bottom w:val="nil"/>
              <w:right w:val="nil"/>
            </w:tcBorders>
            <w:shd w:val="clear" w:color="000000" w:fill="92CDDC"/>
            <w:noWrap/>
            <w:vAlign w:val="center"/>
            <w:hideMark/>
          </w:tcPr>
          <w:p w:rsidR="000822A0" w:rsidRPr="000822A0" w:rsidRDefault="000822A0" w:rsidP="000822A0">
            <w:pPr>
              <w:spacing w:after="0" w:line="240" w:lineRule="auto"/>
              <w:jc w:val="right"/>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13 142 799</w:t>
            </w:r>
          </w:p>
        </w:tc>
        <w:tc>
          <w:tcPr>
            <w:tcW w:w="1216" w:type="dxa"/>
            <w:tcBorders>
              <w:top w:val="nil"/>
              <w:left w:val="nil"/>
              <w:bottom w:val="nil"/>
              <w:right w:val="nil"/>
            </w:tcBorders>
            <w:shd w:val="clear" w:color="000000" w:fill="92CDDC"/>
            <w:noWrap/>
            <w:vAlign w:val="center"/>
            <w:hideMark/>
          </w:tcPr>
          <w:p w:rsidR="000822A0" w:rsidRPr="000822A0" w:rsidRDefault="000822A0" w:rsidP="000822A0">
            <w:pPr>
              <w:spacing w:after="0" w:line="240" w:lineRule="auto"/>
              <w:jc w:val="right"/>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10 543 416</w:t>
            </w:r>
          </w:p>
        </w:tc>
      </w:tr>
    </w:tbl>
    <w:p w:rsidR="000822A0" w:rsidRPr="000822A0" w:rsidRDefault="000822A0" w:rsidP="00837270">
      <w:pPr>
        <w:pStyle w:val="Zdroj"/>
      </w:pPr>
      <w:r w:rsidRPr="000822A0">
        <w:t>Zdroj dat: IS VaVaI</w:t>
      </w:r>
    </w:p>
    <w:p w:rsidR="000822A0" w:rsidRDefault="000822A0" w:rsidP="006B4254">
      <w:pPr>
        <w:pStyle w:val="komentzaobrzkem"/>
        <w:rPr>
          <w:i w:val="0"/>
        </w:rPr>
        <w:sectPr w:rsidR="000822A0" w:rsidSect="00E540D1">
          <w:pgSz w:w="16838" w:h="11906" w:orient="landscape"/>
          <w:pgMar w:top="1134" w:right="1134" w:bottom="1134" w:left="1134" w:header="709" w:footer="709" w:gutter="0"/>
          <w:cols w:space="708"/>
          <w:docGrid w:linePitch="360"/>
        </w:sectPr>
      </w:pPr>
      <w:r w:rsidRPr="000822A0">
        <w:t>V tabulce nejsou zahrnuty Projekty velkých infrastruktur pro VaVaI (kód programu LM) a Národní program udržitelnosti I (kód programu LO) pro jejich institucionální charakter</w:t>
      </w:r>
      <w:r w:rsidR="006D7EC7">
        <w:t>.</w:t>
      </w:r>
    </w:p>
    <w:p w:rsidR="00F110FD" w:rsidRPr="007F1BFD" w:rsidRDefault="00F110FD" w:rsidP="00956D00">
      <w:pPr>
        <w:pStyle w:val="Nadpis2"/>
      </w:pPr>
      <w:bookmarkStart w:id="4" w:name="_Toc427676895"/>
      <w:r>
        <w:lastRenderedPageBreak/>
        <w:t xml:space="preserve">3. </w:t>
      </w:r>
      <w:r w:rsidRPr="007F1BFD">
        <w:t xml:space="preserve">Podpora VaVaI v ČR z </w:t>
      </w:r>
      <w:r w:rsidR="00E54BB7" w:rsidRPr="007F1BFD">
        <w:t xml:space="preserve">evropských </w:t>
      </w:r>
      <w:r w:rsidRPr="007F1BFD">
        <w:t>prostředků</w:t>
      </w:r>
      <w:bookmarkEnd w:id="4"/>
      <w:r w:rsidRPr="007F1BFD">
        <w:t xml:space="preserve"> </w:t>
      </w:r>
    </w:p>
    <w:p w:rsidR="00F110FD" w:rsidRPr="00F110FD" w:rsidRDefault="00F110FD" w:rsidP="00060D84">
      <w:pPr>
        <w:spacing w:after="0" w:line="360" w:lineRule="auto"/>
        <w:ind w:firstLine="708"/>
        <w:jc w:val="both"/>
        <w:rPr>
          <w:rFonts w:ascii="Arial" w:eastAsia="Times New Roman" w:hAnsi="Arial" w:cs="Arial"/>
          <w:lang w:eastAsia="cs-CZ"/>
        </w:rPr>
      </w:pPr>
      <w:r w:rsidRPr="00060D84">
        <w:rPr>
          <w:rFonts w:ascii="Arial" w:eastAsia="Times New Roman" w:hAnsi="Arial" w:cs="Arial"/>
          <w:lang w:eastAsia="cs-CZ"/>
        </w:rPr>
        <w:t>Politika</w:t>
      </w:r>
      <w:r w:rsidRPr="00F110FD">
        <w:rPr>
          <w:rFonts w:ascii="Arial" w:eastAsia="Times New Roman" w:hAnsi="Arial" w:cs="Arial"/>
          <w:lang w:eastAsia="cs-CZ"/>
        </w:rPr>
        <w:t xml:space="preserve"> hospodářské, sociální a územní soudržnosti EU patří k nejvýznamnějším položkám evropského rozpočtu. Její cíle jsou naplňovány v rámci sedmiletých cyklů za pomoci k tomu zřízených fondů. Projekty investičního charakteru podporuje Evropský f</w:t>
      </w:r>
      <w:r w:rsidR="001354D7">
        <w:rPr>
          <w:rFonts w:ascii="Arial" w:eastAsia="Times New Roman" w:hAnsi="Arial" w:cs="Arial"/>
          <w:lang w:eastAsia="cs-CZ"/>
        </w:rPr>
        <w:t>ond pro regionální rozvoj</w:t>
      </w:r>
      <w:r w:rsidRPr="00F110FD">
        <w:rPr>
          <w:rFonts w:ascii="Arial" w:eastAsia="Times New Roman" w:hAnsi="Arial" w:cs="Arial"/>
          <w:lang w:eastAsia="cs-CZ"/>
        </w:rPr>
        <w:t>, sociální programy nebo projekty na rozvoj lidských zdr</w:t>
      </w:r>
      <w:r w:rsidR="001354D7">
        <w:rPr>
          <w:rFonts w:ascii="Arial" w:eastAsia="Times New Roman" w:hAnsi="Arial" w:cs="Arial"/>
          <w:lang w:eastAsia="cs-CZ"/>
        </w:rPr>
        <w:t>ojů Evropský sociální fond</w:t>
      </w:r>
      <w:r w:rsidRPr="00F110FD">
        <w:rPr>
          <w:rFonts w:ascii="Arial" w:eastAsia="Times New Roman" w:hAnsi="Arial" w:cs="Arial"/>
          <w:lang w:eastAsia="cs-CZ"/>
        </w:rPr>
        <w:t xml:space="preserve">. K těmto dvěma základním fondům se počítají i další nástroje, které však podporují oblast VaVaI pouze v omezeném měřítku. V programovém období 2007 – 2013 bylo pro Česko alokováno 26,69 mld. </w:t>
      </w:r>
      <w:r w:rsidR="00A623DC" w:rsidRPr="00F110FD">
        <w:rPr>
          <w:rFonts w:ascii="Arial" w:eastAsia="Times New Roman" w:hAnsi="Arial" w:cs="Arial"/>
          <w:lang w:eastAsia="cs-CZ"/>
        </w:rPr>
        <w:t>E</w:t>
      </w:r>
      <w:r w:rsidR="00B96E06">
        <w:rPr>
          <w:rFonts w:ascii="Arial" w:eastAsia="Times New Roman" w:hAnsi="Arial" w:cs="Arial"/>
          <w:lang w:eastAsia="cs-CZ"/>
        </w:rPr>
        <w:t>ur</w:t>
      </w:r>
      <w:r w:rsidR="00A623DC" w:rsidRPr="00F110FD">
        <w:rPr>
          <w:rFonts w:ascii="Arial" w:eastAsia="Times New Roman" w:hAnsi="Arial" w:cs="Arial"/>
          <w:lang w:eastAsia="cs-CZ"/>
        </w:rPr>
        <w:t xml:space="preserve"> </w:t>
      </w:r>
      <w:r w:rsidRPr="00F110FD">
        <w:rPr>
          <w:rFonts w:ascii="Arial" w:eastAsia="Times New Roman" w:hAnsi="Arial" w:cs="Arial"/>
          <w:lang w:eastAsia="cs-CZ"/>
        </w:rPr>
        <w:t xml:space="preserve">(ERDF, ESF a Fond soudržnosti), v programovém období 2014-2020 jde o částku 23,85 mld. </w:t>
      </w:r>
      <w:r w:rsidR="00B96E06">
        <w:rPr>
          <w:rFonts w:ascii="Arial" w:eastAsia="Times New Roman" w:hAnsi="Arial" w:cs="Arial"/>
          <w:lang w:eastAsia="cs-CZ"/>
        </w:rPr>
        <w:t>Eur</w:t>
      </w:r>
      <w:r w:rsidR="00A623DC" w:rsidRPr="00F110FD">
        <w:rPr>
          <w:rFonts w:ascii="Arial" w:eastAsia="Times New Roman" w:hAnsi="Arial" w:cs="Arial"/>
          <w:lang w:eastAsia="cs-CZ"/>
        </w:rPr>
        <w:t xml:space="preserve"> </w:t>
      </w:r>
      <w:r w:rsidRPr="00F110FD">
        <w:rPr>
          <w:rFonts w:ascii="Arial" w:eastAsia="Times New Roman" w:hAnsi="Arial" w:cs="Arial"/>
          <w:lang w:eastAsia="cs-CZ"/>
        </w:rPr>
        <w:t>na 5 Evropských strukturálních a investičních fondů (ESI fondy, ESIF), kam kromě ERDF, ESF a Fondu soudržnosti náleží i Evropský zemědělský</w:t>
      </w:r>
      <w:r w:rsidR="001354D7">
        <w:rPr>
          <w:rFonts w:ascii="Arial" w:eastAsia="Times New Roman" w:hAnsi="Arial" w:cs="Arial"/>
          <w:lang w:eastAsia="cs-CZ"/>
        </w:rPr>
        <w:t xml:space="preserve"> fond pro rozvoj venkova</w:t>
      </w:r>
      <w:r w:rsidRPr="00F110FD">
        <w:rPr>
          <w:rFonts w:ascii="Arial" w:eastAsia="Times New Roman" w:hAnsi="Arial" w:cs="Arial"/>
          <w:lang w:eastAsia="cs-CZ"/>
        </w:rPr>
        <w:t xml:space="preserve"> a Evropsk</w:t>
      </w:r>
      <w:r w:rsidR="001354D7">
        <w:rPr>
          <w:rFonts w:ascii="Arial" w:eastAsia="Times New Roman" w:hAnsi="Arial" w:cs="Arial"/>
          <w:lang w:eastAsia="cs-CZ"/>
        </w:rPr>
        <w:t>ý námořní a</w:t>
      </w:r>
      <w:r w:rsidR="00DB5657">
        <w:rPr>
          <w:rFonts w:ascii="Arial" w:eastAsia="Times New Roman" w:hAnsi="Arial" w:cs="Arial"/>
          <w:lang w:eastAsia="cs-CZ"/>
        </w:rPr>
        <w:t> </w:t>
      </w:r>
      <w:r w:rsidR="001354D7">
        <w:rPr>
          <w:rFonts w:ascii="Arial" w:eastAsia="Times New Roman" w:hAnsi="Arial" w:cs="Arial"/>
          <w:lang w:eastAsia="cs-CZ"/>
        </w:rPr>
        <w:t>rybářský fond</w:t>
      </w:r>
      <w:r w:rsidRPr="00F110FD">
        <w:rPr>
          <w:rFonts w:ascii="Arial" w:eastAsia="Times New Roman" w:hAnsi="Arial" w:cs="Arial"/>
          <w:lang w:eastAsia="cs-CZ"/>
        </w:rPr>
        <w:t>. Poslední část prostředků programového období 2007 – 2013 je nutno využít do</w:t>
      </w:r>
      <w:r w:rsidR="00DB5657">
        <w:rPr>
          <w:rFonts w:ascii="Arial" w:eastAsia="Times New Roman" w:hAnsi="Arial" w:cs="Arial"/>
          <w:lang w:eastAsia="cs-CZ"/>
        </w:rPr>
        <w:t> </w:t>
      </w:r>
      <w:r w:rsidRPr="00F110FD">
        <w:rPr>
          <w:rFonts w:ascii="Arial" w:eastAsia="Times New Roman" w:hAnsi="Arial" w:cs="Arial"/>
          <w:lang w:eastAsia="cs-CZ"/>
        </w:rPr>
        <w:t>konce roku 2015, konečným termínem pro využití prostředků programového období 2014 – 2020 je závěr roku 2023.</w:t>
      </w:r>
    </w:p>
    <w:p w:rsidR="00F110FD" w:rsidRPr="00F110FD" w:rsidRDefault="00C45BA8" w:rsidP="00060D84">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Č</w:t>
      </w:r>
      <w:r w:rsidR="00F110FD" w:rsidRPr="00F110FD">
        <w:rPr>
          <w:rFonts w:ascii="Arial" w:eastAsia="Times New Roman" w:hAnsi="Arial" w:cs="Arial"/>
          <w:lang w:eastAsia="cs-CZ"/>
        </w:rPr>
        <w:t>lensk</w:t>
      </w:r>
      <w:r>
        <w:rPr>
          <w:rFonts w:ascii="Arial" w:eastAsia="Times New Roman" w:hAnsi="Arial" w:cs="Arial"/>
          <w:lang w:eastAsia="cs-CZ"/>
        </w:rPr>
        <w:t>é</w:t>
      </w:r>
      <w:r w:rsidR="00F110FD" w:rsidRPr="00F110FD">
        <w:rPr>
          <w:rFonts w:ascii="Arial" w:eastAsia="Times New Roman" w:hAnsi="Arial" w:cs="Arial"/>
          <w:lang w:eastAsia="cs-CZ"/>
        </w:rPr>
        <w:t xml:space="preserve"> země připravuj</w:t>
      </w:r>
      <w:r>
        <w:rPr>
          <w:rFonts w:ascii="Arial" w:eastAsia="Times New Roman" w:hAnsi="Arial" w:cs="Arial"/>
          <w:lang w:eastAsia="cs-CZ"/>
        </w:rPr>
        <w:t>í</w:t>
      </w:r>
      <w:r w:rsidR="00F110FD" w:rsidRPr="00F110FD">
        <w:rPr>
          <w:rFonts w:ascii="Arial" w:eastAsia="Times New Roman" w:hAnsi="Arial" w:cs="Arial"/>
          <w:lang w:eastAsia="cs-CZ"/>
        </w:rPr>
        <w:t xml:space="preserve"> pro využití těchto fondů v každém programovém období národní strategický dokument a na něj navazující programové dokumenty. V programovém období 2007 – 2013 se jednalo o Národní str</w:t>
      </w:r>
      <w:r w:rsidR="001354D7">
        <w:rPr>
          <w:rFonts w:ascii="Arial" w:eastAsia="Times New Roman" w:hAnsi="Arial" w:cs="Arial"/>
          <w:lang w:eastAsia="cs-CZ"/>
        </w:rPr>
        <w:t>ategický referenční rámec</w:t>
      </w:r>
      <w:r w:rsidR="00F110FD" w:rsidRPr="00F110FD">
        <w:rPr>
          <w:rFonts w:ascii="Arial" w:eastAsia="Times New Roman" w:hAnsi="Arial" w:cs="Arial"/>
          <w:lang w:eastAsia="cs-CZ"/>
        </w:rPr>
        <w:t xml:space="preserve"> a operační programy, pro programové období 2014 – 2020 byla vytvořena Dohoda o partnerství a programy.</w:t>
      </w:r>
    </w:p>
    <w:p w:rsidR="00F110FD" w:rsidRPr="00F110FD" w:rsidRDefault="00F110FD" w:rsidP="00060D84">
      <w:pPr>
        <w:spacing w:after="0" w:line="360" w:lineRule="auto"/>
        <w:ind w:firstLine="708"/>
        <w:jc w:val="both"/>
        <w:rPr>
          <w:rFonts w:ascii="Arial" w:eastAsia="Times New Roman" w:hAnsi="Arial" w:cs="Arial"/>
          <w:lang w:eastAsia="cs-CZ"/>
        </w:rPr>
      </w:pPr>
      <w:r w:rsidRPr="00060D84">
        <w:rPr>
          <w:rFonts w:ascii="Arial" w:eastAsia="Times New Roman" w:hAnsi="Arial" w:cs="Arial"/>
          <w:lang w:eastAsia="cs-CZ"/>
        </w:rPr>
        <w:t>Vzhledem</w:t>
      </w:r>
      <w:r w:rsidRPr="00F110FD">
        <w:rPr>
          <w:rFonts w:ascii="Arial" w:eastAsia="Times New Roman" w:hAnsi="Arial" w:cs="Arial"/>
          <w:lang w:eastAsia="cs-CZ"/>
        </w:rPr>
        <w:t xml:space="preserve"> k odlišnému legislativnímu základu sledovaných dvou programových období je potřeba vnímat také drobné odlišnosti programů, které spadají do gescí jedné instituce a mezi obdobími na sebe navazují. Zaměření jednotlivých OP je dále blíže specifikováno strukturou prioritních os, oblastí podpory a dílčích programů nebo aktivit. Vedle věcných vymezení hranic se</w:t>
      </w:r>
      <w:r w:rsidR="00DB5657">
        <w:rPr>
          <w:rFonts w:ascii="Arial" w:eastAsia="Times New Roman" w:hAnsi="Arial" w:cs="Arial"/>
          <w:lang w:eastAsia="cs-CZ"/>
        </w:rPr>
        <w:t> </w:t>
      </w:r>
      <w:r w:rsidRPr="00F110FD">
        <w:rPr>
          <w:rFonts w:ascii="Arial" w:eastAsia="Times New Roman" w:hAnsi="Arial" w:cs="Arial"/>
          <w:lang w:eastAsia="cs-CZ"/>
        </w:rPr>
        <w:t>jmenované programy odlišují zejména ve zdrojích podpory (OP</w:t>
      </w:r>
      <w:r w:rsidR="00845AD8">
        <w:rPr>
          <w:rFonts w:ascii="Arial" w:eastAsia="Times New Roman" w:hAnsi="Arial" w:cs="Arial"/>
          <w:lang w:eastAsia="cs-CZ"/>
        </w:rPr>
        <w:t xml:space="preserve"> </w:t>
      </w:r>
      <w:r w:rsidRPr="00F110FD">
        <w:rPr>
          <w:rFonts w:ascii="Arial" w:eastAsia="Times New Roman" w:hAnsi="Arial" w:cs="Arial"/>
          <w:lang w:eastAsia="cs-CZ"/>
        </w:rPr>
        <w:t xml:space="preserve">VK - ESF, OP VVV ESF / EFRR a OP </w:t>
      </w:r>
      <w:proofErr w:type="spellStart"/>
      <w:r w:rsidRPr="00F110FD">
        <w:rPr>
          <w:rFonts w:ascii="Arial" w:eastAsia="Times New Roman" w:hAnsi="Arial" w:cs="Arial"/>
          <w:lang w:eastAsia="cs-CZ"/>
        </w:rPr>
        <w:t>VaVpI</w:t>
      </w:r>
      <w:proofErr w:type="spellEnd"/>
      <w:r w:rsidRPr="00F110FD">
        <w:rPr>
          <w:rFonts w:ascii="Arial" w:eastAsia="Times New Roman" w:hAnsi="Arial" w:cs="Arial"/>
          <w:lang w:eastAsia="cs-CZ"/>
        </w:rPr>
        <w:t>, OP</w:t>
      </w:r>
      <w:r w:rsidR="004857AA">
        <w:rPr>
          <w:rFonts w:ascii="Arial" w:eastAsia="Times New Roman" w:hAnsi="Arial" w:cs="Arial"/>
          <w:lang w:eastAsia="cs-CZ"/>
        </w:rPr>
        <w:t xml:space="preserve"> </w:t>
      </w:r>
      <w:r w:rsidRPr="00F110FD">
        <w:rPr>
          <w:rFonts w:ascii="Arial" w:eastAsia="Times New Roman" w:hAnsi="Arial" w:cs="Arial"/>
          <w:lang w:eastAsia="cs-CZ"/>
        </w:rPr>
        <w:t>PI – ERDF, OP</w:t>
      </w:r>
      <w:r w:rsidR="004857AA">
        <w:rPr>
          <w:rFonts w:ascii="Arial" w:eastAsia="Times New Roman" w:hAnsi="Arial" w:cs="Arial"/>
          <w:lang w:eastAsia="cs-CZ"/>
        </w:rPr>
        <w:t xml:space="preserve"> </w:t>
      </w:r>
      <w:r w:rsidRPr="00F110FD">
        <w:rPr>
          <w:rFonts w:ascii="Arial" w:eastAsia="Times New Roman" w:hAnsi="Arial" w:cs="Arial"/>
          <w:lang w:eastAsia="cs-CZ"/>
        </w:rPr>
        <w:t>PIK - EFRR/ERDF) nebo pravidly pro veřejnou podporu stanovenými evropskou legislativou.</w:t>
      </w:r>
    </w:p>
    <w:p w:rsidR="00F110FD" w:rsidRPr="00F110FD" w:rsidRDefault="00EB7966" w:rsidP="00060D84">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Z grafu 3.1</w:t>
      </w:r>
      <w:r w:rsidR="00F110FD" w:rsidRPr="00F110FD">
        <w:rPr>
          <w:rFonts w:ascii="Arial" w:eastAsia="Times New Roman" w:hAnsi="Arial" w:cs="Arial"/>
          <w:lang w:eastAsia="cs-CZ"/>
        </w:rPr>
        <w:t xml:space="preserve"> je patrné, že podíl celkových výdajů ze zahraničních zdrojů mezi lety 2007 a</w:t>
      </w:r>
      <w:r w:rsidR="00DB5657">
        <w:rPr>
          <w:rFonts w:ascii="Arial" w:eastAsia="Times New Roman" w:hAnsi="Arial" w:cs="Arial"/>
          <w:lang w:eastAsia="cs-CZ"/>
        </w:rPr>
        <w:t> </w:t>
      </w:r>
      <w:r w:rsidR="00F110FD" w:rsidRPr="00F110FD">
        <w:rPr>
          <w:rFonts w:ascii="Arial" w:eastAsia="Times New Roman" w:hAnsi="Arial" w:cs="Arial"/>
          <w:lang w:eastAsia="cs-CZ"/>
        </w:rPr>
        <w:t xml:space="preserve">2013 dlouhodobě roste. Celková výše zahraničních výdajů na podporu </w:t>
      </w:r>
      <w:proofErr w:type="spellStart"/>
      <w:r w:rsidR="00F110FD" w:rsidRPr="00F110FD">
        <w:rPr>
          <w:rFonts w:ascii="Arial" w:eastAsia="Times New Roman" w:hAnsi="Arial" w:cs="Arial"/>
          <w:lang w:eastAsia="cs-CZ"/>
        </w:rPr>
        <w:t>VaV</w:t>
      </w:r>
      <w:proofErr w:type="spellEnd"/>
      <w:r w:rsidR="00F110FD" w:rsidRPr="00F110FD">
        <w:rPr>
          <w:rFonts w:ascii="Arial" w:eastAsia="Times New Roman" w:hAnsi="Arial" w:cs="Arial"/>
          <w:lang w:eastAsia="cs-CZ"/>
        </w:rPr>
        <w:t xml:space="preserve"> v roce 2013, včetně prostředků krytých příjmy z EU a norských fondů, dosáhla 21,14 mld. Kč. Čerpání finančních prostředků ze strukturálních fondů v programovém období 2007–2013 v oblasti </w:t>
      </w:r>
      <w:proofErr w:type="spellStart"/>
      <w:r w:rsidR="00F110FD" w:rsidRPr="00F110FD">
        <w:rPr>
          <w:rFonts w:ascii="Arial" w:eastAsia="Times New Roman" w:hAnsi="Arial" w:cs="Arial"/>
          <w:lang w:eastAsia="cs-CZ"/>
        </w:rPr>
        <w:t>VaV</w:t>
      </w:r>
      <w:proofErr w:type="spellEnd"/>
      <w:r w:rsidR="00F110FD" w:rsidRPr="00F110FD">
        <w:rPr>
          <w:rFonts w:ascii="Arial" w:eastAsia="Times New Roman" w:hAnsi="Arial" w:cs="Arial"/>
          <w:lang w:eastAsia="cs-CZ"/>
        </w:rPr>
        <w:t xml:space="preserve"> významně přispělo k celkovému navýšení výdajů na </w:t>
      </w:r>
      <w:proofErr w:type="spellStart"/>
      <w:r w:rsidR="00F110FD" w:rsidRPr="00F110FD">
        <w:rPr>
          <w:rFonts w:ascii="Arial" w:eastAsia="Times New Roman" w:hAnsi="Arial" w:cs="Arial"/>
          <w:lang w:eastAsia="cs-CZ"/>
        </w:rPr>
        <w:t>VaV</w:t>
      </w:r>
      <w:proofErr w:type="spellEnd"/>
      <w:r w:rsidR="00F110FD" w:rsidRPr="00F110FD">
        <w:rPr>
          <w:rFonts w:ascii="Arial" w:eastAsia="Times New Roman" w:hAnsi="Arial" w:cs="Arial"/>
          <w:lang w:eastAsia="cs-CZ"/>
        </w:rPr>
        <w:t xml:space="preserve"> v ČR. Míra růstu soukromých a veřejných zahraničních zdrojů se liší. Meziroční růst soukromých zahraničních zdrojů byl ve sledovaném období relativně konstantní, naproti tomu meziroční míra růstu veřejných zdrojů ze zahraničí se po roce 2010 výrazně zvýšila. Nicméně lze očekávat, že v letech 2014 a 2015 dojde </w:t>
      </w:r>
      <w:r w:rsidR="002978DA">
        <w:rPr>
          <w:rFonts w:ascii="Arial" w:eastAsia="Times New Roman" w:hAnsi="Arial" w:cs="Arial"/>
          <w:lang w:eastAsia="cs-CZ"/>
        </w:rPr>
        <w:t>k</w:t>
      </w:r>
      <w:r w:rsidR="00DB5657">
        <w:rPr>
          <w:rFonts w:ascii="Arial" w:eastAsia="Times New Roman" w:hAnsi="Arial" w:cs="Arial"/>
          <w:lang w:eastAsia="cs-CZ"/>
        </w:rPr>
        <w:t> </w:t>
      </w:r>
      <w:r w:rsidR="00F110FD" w:rsidRPr="00F110FD">
        <w:rPr>
          <w:rFonts w:ascii="Arial" w:eastAsia="Times New Roman" w:hAnsi="Arial" w:cs="Arial"/>
          <w:lang w:eastAsia="cs-CZ"/>
        </w:rPr>
        <w:t>meziročnímu mírnému poklesu objemu veřejných výdajů ze zahraničí, neboť čerpání prostředků v rámci 7. programového období končí v roce 2015. Dále lze očekávat, že v letech 2015 a 2016 bude docházet k jejich opětovnému růstu a „nastartování“ čerpání finančních prostředků z  programového období 2014 - 2020.</w:t>
      </w:r>
    </w:p>
    <w:p w:rsidR="00F110FD" w:rsidRPr="00ED7C28" w:rsidRDefault="00F110FD" w:rsidP="00F110FD">
      <w:pPr>
        <w:pStyle w:val="Obrzek-nadpis"/>
      </w:pPr>
      <w:r>
        <w:lastRenderedPageBreak/>
        <w:t>Graf</w:t>
      </w:r>
      <w:r w:rsidRPr="00ED7C28">
        <w:t xml:space="preserve"> </w:t>
      </w:r>
      <w:r w:rsidR="00EB7966">
        <w:t>3.1</w:t>
      </w:r>
      <w:r w:rsidRPr="00ED7C28">
        <w:t xml:space="preserve">: </w:t>
      </w:r>
      <w:r>
        <w:t xml:space="preserve">Výdaje na </w:t>
      </w:r>
      <w:proofErr w:type="spellStart"/>
      <w:r>
        <w:t>VaV</w:t>
      </w:r>
      <w:proofErr w:type="spellEnd"/>
      <w:r>
        <w:t xml:space="preserve"> ze zahraničních zdrojů v ČR mezi lety 2007-2013 (v mld. Kč)</w:t>
      </w:r>
    </w:p>
    <w:p w:rsidR="00F110FD" w:rsidRDefault="00F110FD" w:rsidP="00D25C7B">
      <w:pPr>
        <w:jc w:val="center"/>
      </w:pPr>
      <w:r>
        <w:rPr>
          <w:noProof/>
          <w:lang w:eastAsia="cs-CZ"/>
        </w:rPr>
        <mc:AlternateContent>
          <mc:Choice Requires="wpg">
            <w:drawing>
              <wp:inline distT="0" distB="0" distL="0" distR="0" wp14:anchorId="63AF1F09" wp14:editId="50469760">
                <wp:extent cx="5749676" cy="2838616"/>
                <wp:effectExtent l="0" t="0" r="0" b="0"/>
                <wp:docPr id="2" name="Skupina 8"/>
                <wp:cNvGraphicFramePr/>
                <a:graphic xmlns:a="http://schemas.openxmlformats.org/drawingml/2006/main">
                  <a:graphicData uri="http://schemas.microsoft.com/office/word/2010/wordprocessingGroup">
                    <wpg:wgp>
                      <wpg:cNvGrpSpPr/>
                      <wpg:grpSpPr>
                        <a:xfrm>
                          <a:off x="0" y="0"/>
                          <a:ext cx="5749676" cy="2838616"/>
                          <a:chOff x="0" y="-1"/>
                          <a:chExt cx="6917111" cy="3453500"/>
                        </a:xfrm>
                      </wpg:grpSpPr>
                      <wpg:graphicFrame>
                        <wpg:cNvPr id="4" name="Graf 4"/>
                        <wpg:cNvFrPr/>
                        <wpg:xfrm>
                          <a:off x="0" y="-1"/>
                          <a:ext cx="6917111" cy="3453500"/>
                        </wpg:xfrm>
                        <a:graphic>
                          <a:graphicData uri="http://schemas.openxmlformats.org/drawingml/2006/chart">
                            <c:chart xmlns:c="http://schemas.openxmlformats.org/drawingml/2006/chart" xmlns:r="http://schemas.openxmlformats.org/officeDocument/2006/relationships" r:id="rId26"/>
                          </a:graphicData>
                        </a:graphic>
                      </wpg:graphicFrame>
                      <wps:wsp>
                        <wps:cNvPr id="6" name="TextovéPole 2"/>
                        <wps:cNvSpPr txBox="1"/>
                        <wps:spPr>
                          <a:xfrm>
                            <a:off x="741214" y="2167858"/>
                            <a:ext cx="759630" cy="35242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rsidR="006F678C" w:rsidRDefault="006F678C" w:rsidP="00F110FD">
                              <w:pPr>
                                <w:pStyle w:val="Normlnweb"/>
                                <w:spacing w:after="0"/>
                              </w:pPr>
                              <w:r>
                                <w:rPr>
                                  <w:rFonts w:asciiTheme="minorHAnsi" w:hAnsi="Calibri" w:cstheme="minorBidi"/>
                                  <w:b/>
                                  <w:bCs/>
                                  <w:color w:val="FF0000"/>
                                  <w:sz w:val="22"/>
                                  <w:szCs w:val="22"/>
                                </w:rPr>
                                <w:t>↗ 22 %</w:t>
                              </w:r>
                            </w:p>
                          </w:txbxContent>
                        </wps:txbx>
                        <wps:bodyPr wrap="square" rtlCol="0" anchor="t"/>
                      </wps:wsp>
                      <wps:wsp>
                        <wps:cNvPr id="9" name="TextovéPole 3"/>
                        <wps:cNvSpPr txBox="1"/>
                        <wps:spPr>
                          <a:xfrm>
                            <a:off x="1647604" y="2109435"/>
                            <a:ext cx="1028742" cy="352424"/>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rsidR="006F678C" w:rsidRDefault="006F678C" w:rsidP="00F110FD">
                              <w:pPr>
                                <w:pStyle w:val="Normlnweb"/>
                                <w:spacing w:after="0"/>
                              </w:pPr>
                              <w:r>
                                <w:rPr>
                                  <w:rFonts w:asciiTheme="minorHAnsi" w:hAnsi="Calibri" w:cstheme="minorBidi"/>
                                  <w:b/>
                                  <w:bCs/>
                                  <w:color w:val="FF0000"/>
                                  <w:sz w:val="22"/>
                                  <w:szCs w:val="22"/>
                                </w:rPr>
                                <w:t>↗ 29,5 %</w:t>
                              </w:r>
                            </w:p>
                          </w:txbxContent>
                        </wps:txbx>
                        <wps:bodyPr wrap="square" rtlCol="0" anchor="t"/>
                      </wps:wsp>
                      <wps:wsp>
                        <wps:cNvPr id="10" name="TextovéPole 4"/>
                        <wps:cNvSpPr txBox="1"/>
                        <wps:spPr>
                          <a:xfrm>
                            <a:off x="2676526" y="1873535"/>
                            <a:ext cx="907269" cy="35242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rsidR="006F678C" w:rsidRDefault="006F678C" w:rsidP="00F110FD">
                              <w:pPr>
                                <w:pStyle w:val="Normlnweb"/>
                                <w:spacing w:after="0"/>
                              </w:pPr>
                              <w:r>
                                <w:rPr>
                                  <w:rFonts w:asciiTheme="minorHAnsi" w:hAnsi="Calibri" w:cstheme="minorBidi"/>
                                  <w:b/>
                                  <w:bCs/>
                                  <w:color w:val="FF0000"/>
                                  <w:sz w:val="22"/>
                                  <w:szCs w:val="22"/>
                                </w:rPr>
                                <w:t>↗ 28,6 %</w:t>
                              </w:r>
                            </w:p>
                          </w:txbxContent>
                        </wps:txbx>
                        <wps:bodyPr wrap="square" rtlCol="0" anchor="t"/>
                      </wps:wsp>
                      <wps:wsp>
                        <wps:cNvPr id="11" name="TextovéPole 5"/>
                        <wps:cNvSpPr txBox="1"/>
                        <wps:spPr>
                          <a:xfrm>
                            <a:off x="3382915" y="1579208"/>
                            <a:ext cx="990600" cy="35242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rsidR="006F678C" w:rsidRDefault="006F678C" w:rsidP="00F110FD">
                              <w:pPr>
                                <w:pStyle w:val="Normlnweb"/>
                                <w:spacing w:after="0"/>
                              </w:pPr>
                              <w:r>
                                <w:rPr>
                                  <w:rFonts w:asciiTheme="minorHAnsi" w:hAnsi="Calibri" w:cstheme="minorBidi"/>
                                  <w:b/>
                                  <w:bCs/>
                                  <w:color w:val="FF0000"/>
                                  <w:sz w:val="22"/>
                                  <w:szCs w:val="22"/>
                                </w:rPr>
                                <w:t>↗ 67,2 %</w:t>
                              </w:r>
                            </w:p>
                          </w:txbxContent>
                        </wps:txbx>
                        <wps:bodyPr wrap="square" rtlCol="0" anchor="t"/>
                      </wps:wsp>
                      <wps:wsp>
                        <wps:cNvPr id="20" name="TextovéPole 6"/>
                        <wps:cNvSpPr txBox="1"/>
                        <wps:spPr>
                          <a:xfrm>
                            <a:off x="4289517" y="904462"/>
                            <a:ext cx="990600" cy="35242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rsidR="006F678C" w:rsidRDefault="006F678C" w:rsidP="00F110FD">
                              <w:pPr>
                                <w:pStyle w:val="Normlnweb"/>
                                <w:spacing w:after="0"/>
                              </w:pPr>
                              <w:r>
                                <w:rPr>
                                  <w:rFonts w:asciiTheme="minorHAnsi" w:hAnsi="Calibri" w:cstheme="minorBidi"/>
                                  <w:b/>
                                  <w:bCs/>
                                  <w:color w:val="FF0000"/>
                                  <w:sz w:val="22"/>
                                  <w:szCs w:val="22"/>
                                </w:rPr>
                                <w:t>↗ 52,1 %</w:t>
                              </w:r>
                            </w:p>
                          </w:txbxContent>
                        </wps:txbx>
                        <wps:bodyPr wrap="square" rtlCol="0" anchor="t"/>
                      </wps:wsp>
                      <wps:wsp>
                        <wps:cNvPr id="21" name="TextovéPole 7"/>
                        <wps:cNvSpPr txBox="1"/>
                        <wps:spPr>
                          <a:xfrm>
                            <a:off x="5619751" y="309563"/>
                            <a:ext cx="990600" cy="35242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rsidR="006F678C" w:rsidRDefault="006F678C" w:rsidP="00F110FD">
                              <w:pPr>
                                <w:pStyle w:val="Normlnweb"/>
                                <w:spacing w:after="0"/>
                              </w:pPr>
                              <w:r>
                                <w:rPr>
                                  <w:rFonts w:asciiTheme="minorHAnsi" w:hAnsi="Calibri" w:cstheme="minorBidi"/>
                                  <w:b/>
                                  <w:bCs/>
                                  <w:color w:val="FF0000"/>
                                  <w:sz w:val="22"/>
                                  <w:szCs w:val="22"/>
                                </w:rPr>
                                <w:t>↗ 12,7 %</w:t>
                              </w:r>
                            </w:p>
                          </w:txbxContent>
                        </wps:txbx>
                        <wps:bodyPr wrap="square" rtlCol="0" anchor="t"/>
                      </wps:wsp>
                    </wpg:wgp>
                  </a:graphicData>
                </a:graphic>
              </wp:inline>
            </w:drawing>
          </mc:Choice>
          <mc:Fallback>
            <w:pict>
              <v:group id="Skupina 8" o:spid="_x0000_s1026" style="width:452.75pt;height:223.5pt;mso-position-horizontal-relative:char;mso-position-vertical-relative:line" coordorigin="" coordsize="69171,34535" o:gfxdata="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 4" o:spid="_x0000_s1027" type="#_x0000_t75" style="position:absolute;left:806;top:815;width:67617;height:3322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">
                  <v:imagedata r:id="rId27" o:title=""/>
                  <o:lock v:ext="edit" aspectratio="f"/>
                </v:shape>
                <v:shapetype id="_x0000_t202" coordsize="21600,21600" o:spt="202" path="m,l,21600r21600,l21600,xe">
                  <v:stroke joinstyle="miter"/>
                  <v:path gradientshapeok="t" o:connecttype="rect"/>
                </v:shapetype>
                <v:shape id="TextovéPole 2" o:spid="_x0000_s1028" type="#_x0000_t202" style="position:absolute;left:7412;top:21678;width:7596;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irK8EA&#10;AADaAAAADwAAAGRycy9kb3ducmV2LnhtbESPT4vCMBTE78J+h/AWvGmysopWoywuC54U/4K3R/Ns&#10;i81LabK2fnsjCB6HmfkNM1u0thQ3qn3hWMNXX4EgTp0pONNw2P/1xiB8QDZYOiYNd/KwmH90ZpgY&#10;1/CWbruQiQhhn6CGPIQqkdKnOVn0fVcRR+/iaoshyjqTpsYmwm0pB0qNpMWC40KOFS1zSq+7f6vh&#10;uL6cT99qk/3aYdW4Vkm2E6l197P9mYII1IZ3+NVeGQ0jeF6JN0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oqyvBAAAA2gAAAA8AAAAAAAAAAAAAAAAAmAIAAGRycy9kb3du&#10;cmV2LnhtbFBLBQYAAAAABAAEAPUAAACGAwAAAAA=&#10;" filled="f" stroked="f">
                  <v:textbox>
                    <w:txbxContent>
                      <w:p w:rsidR="006F678C" w:rsidRDefault="006F678C" w:rsidP="00F110FD">
                        <w:pPr>
                          <w:pStyle w:val="Normlnweb"/>
                          <w:spacing w:after="0"/>
                        </w:pPr>
                        <w:r>
                          <w:rPr>
                            <w:rFonts w:asciiTheme="minorHAnsi" w:hAnsi="Calibri" w:cstheme="minorBidi"/>
                            <w:b/>
                            <w:bCs/>
                            <w:color w:val="FF0000"/>
                            <w:sz w:val="22"/>
                            <w:szCs w:val="22"/>
                          </w:rPr>
                          <w:t>↗ 22 %</w:t>
                        </w:r>
                      </w:p>
                    </w:txbxContent>
                  </v:textbox>
                </v:shape>
                <v:shape id="TextovéPole 3" o:spid="_x0000_s1029" type="#_x0000_t202" style="position:absolute;left:16476;top:21094;width:1028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c/WcMA&#10;AADaAAAADwAAAGRycy9kb3ducmV2LnhtbESPQWvCQBSE70L/w/IK3sxuxUoT3YRSETy1aKvg7ZF9&#10;JqHZtyG7mvjvu4VCj8PMfMOsi9G24ka9bxxreEoUCOLSmYYrDV+f29kLCB+QDbaOScOdPBT5w2SN&#10;mXED7+l2CJWIEPYZaqhD6DIpfVmTRZ+4jjh6F9dbDFH2lTQ9DhFuWzlXaiktNhwXauzoraby+3C1&#10;Go7vl/NpoT6qjX3uBjcqyTaVWk8fx9cViEBj+A//tXdGQwq/V+IN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c/WcMAAADaAAAADwAAAAAAAAAAAAAAAACYAgAAZHJzL2Rv&#10;d25yZXYueG1sUEsFBgAAAAAEAAQA9QAAAIgDAAAAAA==&#10;" filled="f" stroked="f">
                  <v:textbox>
                    <w:txbxContent>
                      <w:p w:rsidR="006F678C" w:rsidRDefault="006F678C" w:rsidP="00F110FD">
                        <w:pPr>
                          <w:pStyle w:val="Normlnweb"/>
                          <w:spacing w:after="0"/>
                        </w:pPr>
                        <w:r>
                          <w:rPr>
                            <w:rFonts w:asciiTheme="minorHAnsi" w:hAnsi="Calibri" w:cstheme="minorBidi"/>
                            <w:b/>
                            <w:bCs/>
                            <w:color w:val="FF0000"/>
                            <w:sz w:val="22"/>
                            <w:szCs w:val="22"/>
                          </w:rPr>
                          <w:t>↗ 29,5 %</w:t>
                        </w:r>
                      </w:p>
                    </w:txbxContent>
                  </v:textbox>
                </v:shape>
                <v:shape id="TextovéPole 4" o:spid="_x0000_s1030" type="#_x0000_t202" style="position:absolute;left:26765;top:18735;width:9072;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DV+cQA&#10;AADbAAAADwAAAGRycy9kb3ducmV2LnhtbESPT2vCQBDF70K/wzIFb7rbYkWjq5SWgqcW4x/wNmTH&#10;JDQ7G7JbE79951DobYb35r3frLeDb9SNulgHtvA0NaCIi+BqLi0cDx+TBaiYkB02gcnCnSJsNw+j&#10;NWYu9LynW55KJSEcM7RQpdRmWseiIo9xGlpi0a6h85hk7UrtOuwl3Df62Zi59lizNFTY0ltFxXf+&#10;4y2cPq+X88x8le/+pe3DYDT7pbZ2/Di8rkAlGtK/+e965wRf6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A1fnEAAAA2wAAAA8AAAAAAAAAAAAAAAAAmAIAAGRycy9k&#10;b3ducmV2LnhtbFBLBQYAAAAABAAEAPUAAACJAwAAAAA=&#10;" filled="f" stroked="f">
                  <v:textbox>
                    <w:txbxContent>
                      <w:p w:rsidR="006F678C" w:rsidRDefault="006F678C" w:rsidP="00F110FD">
                        <w:pPr>
                          <w:pStyle w:val="Normlnweb"/>
                          <w:spacing w:after="0"/>
                        </w:pPr>
                        <w:r>
                          <w:rPr>
                            <w:rFonts w:asciiTheme="minorHAnsi" w:hAnsi="Calibri" w:cstheme="minorBidi"/>
                            <w:b/>
                            <w:bCs/>
                            <w:color w:val="FF0000"/>
                            <w:sz w:val="22"/>
                            <w:szCs w:val="22"/>
                          </w:rPr>
                          <w:t>↗ 28,6 %</w:t>
                        </w:r>
                      </w:p>
                    </w:txbxContent>
                  </v:textbox>
                </v:shape>
                <v:shape id="TextovéPole 5" o:spid="_x0000_s1031" type="#_x0000_t202" style="position:absolute;left:33829;top:15792;width:9906;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xwYsAA&#10;AADbAAAADwAAAGRycy9kb3ducmV2LnhtbERPS4vCMBC+C/6HMII3TRQVtxpFFMGTi49d2NvQjG2x&#10;mZQm2vrvNwsL3ubje85y3dpSPKn2hWMNo6ECQZw6U3Cm4XrZD+YgfEA2WDomDS/ysF51O0tMjGv4&#10;RM9zyEQMYZ+ghjyEKpHSpzlZ9ENXEUfu5mqLIcI6k6bGJobbUo6VmkmLBceGHCva5pTezw+r4et4&#10;+/meqM9sZ6dV41ol2X5Irfu9drMAEagNb/G/+2Di/BH8/RIPkK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8xwYsAAAADbAAAADwAAAAAAAAAAAAAAAACYAgAAZHJzL2Rvd25y&#10;ZXYueG1sUEsFBgAAAAAEAAQA9QAAAIUDAAAAAA==&#10;" filled="f" stroked="f">
                  <v:textbox>
                    <w:txbxContent>
                      <w:p w:rsidR="006F678C" w:rsidRDefault="006F678C" w:rsidP="00F110FD">
                        <w:pPr>
                          <w:pStyle w:val="Normlnweb"/>
                          <w:spacing w:after="0"/>
                        </w:pPr>
                        <w:r>
                          <w:rPr>
                            <w:rFonts w:asciiTheme="minorHAnsi" w:hAnsi="Calibri" w:cstheme="minorBidi"/>
                            <w:b/>
                            <w:bCs/>
                            <w:color w:val="FF0000"/>
                            <w:sz w:val="22"/>
                            <w:szCs w:val="22"/>
                          </w:rPr>
                          <w:t>↗ 67,2 %</w:t>
                        </w:r>
                      </w:p>
                    </w:txbxContent>
                  </v:textbox>
                </v:shape>
                <v:shape id="TextovéPole 6" o:spid="_x0000_s1032" type="#_x0000_t202" style="position:absolute;left:42895;top:9044;width:9906;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wfRMAA&#10;AADbAAAADwAAAGRycy9kb3ducmV2LnhtbERPz2vCMBS+C/sfwht4s8nEyVYbZSiDnSbWTfD2aJ5t&#10;sXkJTWa7/94cBjt+fL+LzWg7caM+tI41PGUKBHHlTMu1hq/j++wFRIjIBjvHpOGXAmzWD5MCc+MG&#10;PtCtjLVIIRxy1NDE6HMpQ9WQxZA5T5y4i+stxgT7WpoehxRuOzlXaikttpwaGvS0bai6lj9Ww/fn&#10;5XxaqH29s89+cKOSbF+l1tPH8W0FItIY/8V/7g+jYZ7Wpy/pB8j1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uwfRMAAAADbAAAADwAAAAAAAAAAAAAAAACYAgAAZHJzL2Rvd25y&#10;ZXYueG1sUEsFBgAAAAAEAAQA9QAAAIUDAAAAAA==&#10;" filled="f" stroked="f">
                  <v:textbox>
                    <w:txbxContent>
                      <w:p w:rsidR="006F678C" w:rsidRDefault="006F678C" w:rsidP="00F110FD">
                        <w:pPr>
                          <w:pStyle w:val="Normlnweb"/>
                          <w:spacing w:after="0"/>
                        </w:pPr>
                        <w:r>
                          <w:rPr>
                            <w:rFonts w:asciiTheme="minorHAnsi" w:hAnsi="Calibri" w:cstheme="minorBidi"/>
                            <w:b/>
                            <w:bCs/>
                            <w:color w:val="FF0000"/>
                            <w:sz w:val="22"/>
                            <w:szCs w:val="22"/>
                          </w:rPr>
                          <w:t>↗ 52,1 %</w:t>
                        </w:r>
                      </w:p>
                    </w:txbxContent>
                  </v:textbox>
                </v:shape>
                <v:shape id="TextovéPole 7" o:spid="_x0000_s1033" type="#_x0000_t202" style="position:absolute;left:56197;top:3095;width:9906;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638IA&#10;AADbAAAADwAAAGRycy9kb3ducmV2LnhtbESPQYvCMBSE78L+h/AEb5ooKto1yqIseFLUXWFvj+bZ&#10;FpuX0mRt/fdGEDwOM/MNs1i1thQ3qn3hWMNwoEAQp84UnGn4OX33ZyB8QDZYOiYNd/KwWn50FpgY&#10;1/CBbseQiQhhn6CGPIQqkdKnOVn0A1cRR+/iaoshyjqTpsYmwm0pR0pNpcWC40KOFa1zSq/Hf6vh&#10;d3f5O4/VPtvYSdW4Vkm2c6l1r9t+fYII1IZ3+NXeGg2jI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oLrfwgAAANsAAAAPAAAAAAAAAAAAAAAAAJgCAABkcnMvZG93&#10;bnJldi54bWxQSwUGAAAAAAQABAD1AAAAhwMAAAAA&#10;" filled="f" stroked="f">
                  <v:textbox>
                    <w:txbxContent>
                      <w:p w:rsidR="006F678C" w:rsidRDefault="006F678C" w:rsidP="00F110FD">
                        <w:pPr>
                          <w:pStyle w:val="Normlnweb"/>
                          <w:spacing w:after="0"/>
                        </w:pPr>
                        <w:r>
                          <w:rPr>
                            <w:rFonts w:asciiTheme="minorHAnsi" w:hAnsi="Calibri" w:cstheme="minorBidi"/>
                            <w:b/>
                            <w:bCs/>
                            <w:color w:val="FF0000"/>
                            <w:sz w:val="22"/>
                            <w:szCs w:val="22"/>
                          </w:rPr>
                          <w:t>↗ 12,7 %</w:t>
                        </w:r>
                      </w:p>
                    </w:txbxContent>
                  </v:textbox>
                </v:shape>
                <w10:anchorlock/>
              </v:group>
            </w:pict>
          </mc:Fallback>
        </mc:AlternateContent>
      </w:r>
    </w:p>
    <w:p w:rsidR="00F110FD" w:rsidRDefault="00F110FD" w:rsidP="00F110FD">
      <w:pPr>
        <w:pStyle w:val="Zdroj"/>
      </w:pPr>
      <w:r>
        <w:t>Zdroj dat: ČSÚ 2013 – Roční statistické šetření výzkumu a vývoje VTR 5-01</w:t>
      </w:r>
    </w:p>
    <w:p w:rsidR="00F110FD" w:rsidRPr="00F110FD" w:rsidRDefault="00F110FD" w:rsidP="00060D84">
      <w:pPr>
        <w:spacing w:after="0" w:line="360" w:lineRule="auto"/>
        <w:ind w:firstLine="708"/>
        <w:jc w:val="both"/>
        <w:rPr>
          <w:rFonts w:ascii="Arial" w:eastAsia="Times New Roman" w:hAnsi="Arial" w:cs="Arial"/>
          <w:lang w:eastAsia="cs-CZ"/>
        </w:rPr>
      </w:pPr>
      <w:r w:rsidRPr="00F110FD">
        <w:rPr>
          <w:rFonts w:ascii="Arial" w:eastAsia="Times New Roman" w:hAnsi="Arial" w:cs="Arial"/>
          <w:lang w:eastAsia="cs-CZ"/>
        </w:rPr>
        <w:t xml:space="preserve">Prostředky z evropských fondů EU v programovém období 2007 – 2013 poskytly významnou příležitost k modernizaci vzdělávacího systému a rozvoji lidských zdrojů ve </w:t>
      </w:r>
      <w:proofErr w:type="spellStart"/>
      <w:r w:rsidRPr="00F110FD">
        <w:rPr>
          <w:rFonts w:ascii="Arial" w:eastAsia="Times New Roman" w:hAnsi="Arial" w:cs="Arial"/>
          <w:lang w:eastAsia="cs-CZ"/>
        </w:rPr>
        <w:t>VaV</w:t>
      </w:r>
      <w:proofErr w:type="spellEnd"/>
      <w:r w:rsidRPr="00F110FD">
        <w:rPr>
          <w:rFonts w:ascii="Arial" w:eastAsia="Times New Roman" w:hAnsi="Arial" w:cs="Arial"/>
          <w:lang w:eastAsia="cs-CZ"/>
        </w:rPr>
        <w:t>, ke</w:t>
      </w:r>
      <w:r w:rsidR="00DB5657">
        <w:rPr>
          <w:rFonts w:ascii="Arial" w:eastAsia="Times New Roman" w:hAnsi="Arial" w:cs="Arial"/>
          <w:lang w:eastAsia="cs-CZ"/>
        </w:rPr>
        <w:t> </w:t>
      </w:r>
      <w:r w:rsidRPr="00F110FD">
        <w:rPr>
          <w:rFonts w:ascii="Arial" w:eastAsia="Times New Roman" w:hAnsi="Arial" w:cs="Arial"/>
          <w:lang w:eastAsia="cs-CZ"/>
        </w:rPr>
        <w:t>zlepšení kvality vědecko-výzkumné infrastruktury v ČR, k prohloubení mezinárodní spolupráce a k podpoře inovačních aktivit v podnikatelském sektoru. Programové období 2014 – 2020 naváže na pozitivní trendy období</w:t>
      </w:r>
      <w:r w:rsidR="00EB7966">
        <w:rPr>
          <w:rFonts w:ascii="Arial" w:eastAsia="Times New Roman" w:hAnsi="Arial" w:cs="Arial"/>
          <w:lang w:eastAsia="cs-CZ"/>
        </w:rPr>
        <w:t xml:space="preserve"> předcházejícího (viz </w:t>
      </w:r>
      <w:r w:rsidR="007A1CCD">
        <w:rPr>
          <w:rFonts w:ascii="Arial" w:eastAsia="Times New Roman" w:hAnsi="Arial" w:cs="Arial"/>
          <w:lang w:eastAsia="cs-CZ"/>
        </w:rPr>
        <w:t>t</w:t>
      </w:r>
      <w:r w:rsidR="00EB7966">
        <w:rPr>
          <w:rFonts w:ascii="Arial" w:eastAsia="Times New Roman" w:hAnsi="Arial" w:cs="Arial"/>
          <w:lang w:eastAsia="cs-CZ"/>
        </w:rPr>
        <w:t>abulka 3.2 a 3.3</w:t>
      </w:r>
      <w:r w:rsidRPr="00F110FD">
        <w:rPr>
          <w:rFonts w:ascii="Arial" w:eastAsia="Times New Roman" w:hAnsi="Arial" w:cs="Arial"/>
          <w:lang w:eastAsia="cs-CZ"/>
        </w:rPr>
        <w:t xml:space="preserve">). Řídicími orgány OP se zaměřením na VaVaI zůstávají i pro programové období 2014 – 2020 MŠMT, MPO a Hl. město Praha. OP VVV tematicky navazuje na </w:t>
      </w:r>
      <w:proofErr w:type="gramStart"/>
      <w:r w:rsidRPr="00F110FD">
        <w:rPr>
          <w:rFonts w:ascii="Arial" w:eastAsia="Times New Roman" w:hAnsi="Arial" w:cs="Arial"/>
          <w:lang w:eastAsia="cs-CZ"/>
        </w:rPr>
        <w:t>OP</w:t>
      </w:r>
      <w:proofErr w:type="gramEnd"/>
      <w:r w:rsidRPr="00F110FD">
        <w:rPr>
          <w:rFonts w:ascii="Arial" w:eastAsia="Times New Roman" w:hAnsi="Arial" w:cs="Arial"/>
          <w:lang w:eastAsia="cs-CZ"/>
        </w:rPr>
        <w:t xml:space="preserve"> </w:t>
      </w:r>
      <w:proofErr w:type="spellStart"/>
      <w:r w:rsidRPr="00F110FD">
        <w:rPr>
          <w:rFonts w:ascii="Arial" w:eastAsia="Times New Roman" w:hAnsi="Arial" w:cs="Arial"/>
          <w:lang w:eastAsia="cs-CZ"/>
        </w:rPr>
        <w:t>VaVpI</w:t>
      </w:r>
      <w:proofErr w:type="spellEnd"/>
      <w:r w:rsidRPr="00F110FD">
        <w:rPr>
          <w:rFonts w:ascii="Arial" w:eastAsia="Times New Roman" w:hAnsi="Arial" w:cs="Arial"/>
          <w:lang w:eastAsia="cs-CZ"/>
        </w:rPr>
        <w:t xml:space="preserve"> a OP VK. Na rozdíl od </w:t>
      </w:r>
      <w:proofErr w:type="gramStart"/>
      <w:r w:rsidRPr="00F110FD">
        <w:rPr>
          <w:rFonts w:ascii="Arial" w:eastAsia="Times New Roman" w:hAnsi="Arial" w:cs="Arial"/>
          <w:lang w:eastAsia="cs-CZ"/>
        </w:rPr>
        <w:t>OP</w:t>
      </w:r>
      <w:proofErr w:type="gramEnd"/>
      <w:r w:rsidRPr="00F110FD">
        <w:rPr>
          <w:rFonts w:ascii="Arial" w:eastAsia="Times New Roman" w:hAnsi="Arial" w:cs="Arial"/>
          <w:lang w:eastAsia="cs-CZ"/>
        </w:rPr>
        <w:t xml:space="preserve"> </w:t>
      </w:r>
      <w:proofErr w:type="spellStart"/>
      <w:r w:rsidRPr="00F110FD">
        <w:rPr>
          <w:rFonts w:ascii="Arial" w:eastAsia="Times New Roman" w:hAnsi="Arial" w:cs="Arial"/>
          <w:lang w:eastAsia="cs-CZ"/>
        </w:rPr>
        <w:t>VaVpI</w:t>
      </w:r>
      <w:proofErr w:type="spellEnd"/>
      <w:r w:rsidRPr="00F110FD">
        <w:rPr>
          <w:rFonts w:ascii="Arial" w:eastAsia="Times New Roman" w:hAnsi="Arial" w:cs="Arial"/>
          <w:lang w:eastAsia="cs-CZ"/>
        </w:rPr>
        <w:t xml:space="preserve"> však OP VVV značně omezí dřívější masovou podpor</w:t>
      </w:r>
      <w:r w:rsidR="00C45BA8">
        <w:rPr>
          <w:rFonts w:ascii="Arial" w:eastAsia="Times New Roman" w:hAnsi="Arial" w:cs="Arial"/>
          <w:lang w:eastAsia="cs-CZ"/>
        </w:rPr>
        <w:t>u</w:t>
      </w:r>
      <w:r w:rsidRPr="00F110FD">
        <w:rPr>
          <w:rFonts w:ascii="Arial" w:eastAsia="Times New Roman" w:hAnsi="Arial" w:cs="Arial"/>
          <w:lang w:eastAsia="cs-CZ"/>
        </w:rPr>
        <w:t xml:space="preserve"> investic do </w:t>
      </w:r>
      <w:proofErr w:type="spellStart"/>
      <w:r w:rsidRPr="00F110FD">
        <w:rPr>
          <w:rFonts w:ascii="Arial" w:eastAsia="Times New Roman" w:hAnsi="Arial" w:cs="Arial"/>
          <w:lang w:eastAsia="cs-CZ"/>
        </w:rPr>
        <w:t>VaV</w:t>
      </w:r>
      <w:proofErr w:type="spellEnd"/>
      <w:r w:rsidRPr="00F110FD">
        <w:rPr>
          <w:rFonts w:ascii="Arial" w:eastAsia="Times New Roman" w:hAnsi="Arial" w:cs="Arial"/>
          <w:lang w:eastAsia="cs-CZ"/>
        </w:rPr>
        <w:t>, mělo by se spíše investovat do</w:t>
      </w:r>
      <w:r w:rsidR="00DB5657">
        <w:rPr>
          <w:rFonts w:ascii="Arial" w:eastAsia="Times New Roman" w:hAnsi="Arial" w:cs="Arial"/>
          <w:lang w:eastAsia="cs-CZ"/>
        </w:rPr>
        <w:t> </w:t>
      </w:r>
      <w:r w:rsidRPr="00F110FD">
        <w:rPr>
          <w:rFonts w:ascii="Arial" w:eastAsia="Times New Roman" w:hAnsi="Arial" w:cs="Arial"/>
          <w:lang w:eastAsia="cs-CZ"/>
        </w:rPr>
        <w:t>zkvalitnění infrastruktury pro výzkumně vzdělávací účely. Důležitými tématy jsou zvyšování mezinárodní kvality výzkumu a jeho výsledků a zvyšování kvality lidských zdrojů v oblasti VaVaI. OP PIK taktéž převážně navazuje na své předešlé aktivity a je kladen důraz na posílení konkurenceschopnosti malých a středních podniků a podporu spolupráce podnikatelské a</w:t>
      </w:r>
      <w:r w:rsidR="00DB5657">
        <w:rPr>
          <w:rFonts w:ascii="Arial" w:eastAsia="Times New Roman" w:hAnsi="Arial" w:cs="Arial"/>
          <w:lang w:eastAsia="cs-CZ"/>
        </w:rPr>
        <w:t> </w:t>
      </w:r>
      <w:r w:rsidRPr="00F110FD">
        <w:rPr>
          <w:rFonts w:ascii="Arial" w:eastAsia="Times New Roman" w:hAnsi="Arial" w:cs="Arial"/>
          <w:lang w:eastAsia="cs-CZ"/>
        </w:rPr>
        <w:t>vědecko-výzkumné sféry. OP Praha Konkurenceschopnost a OP Praha Adaptabilita získají svého následovníka v </w:t>
      </w:r>
      <w:proofErr w:type="gramStart"/>
      <w:r w:rsidRPr="00F110FD">
        <w:rPr>
          <w:rFonts w:ascii="Arial" w:eastAsia="Times New Roman" w:hAnsi="Arial" w:cs="Arial"/>
          <w:lang w:eastAsia="cs-CZ"/>
        </w:rPr>
        <w:t>OP</w:t>
      </w:r>
      <w:proofErr w:type="gramEnd"/>
      <w:r w:rsidRPr="00F110FD">
        <w:rPr>
          <w:rFonts w:ascii="Arial" w:eastAsia="Times New Roman" w:hAnsi="Arial" w:cs="Arial"/>
          <w:lang w:eastAsia="cs-CZ"/>
        </w:rPr>
        <w:t xml:space="preserve"> Praha – pól růstu ČR, nadále bude kladen důraz na mezisektorovou spolupráci a důležitá bude podpora rozvoje znalostně intenzi</w:t>
      </w:r>
      <w:r w:rsidR="00A973AD">
        <w:rPr>
          <w:rFonts w:ascii="Arial" w:eastAsia="Times New Roman" w:hAnsi="Arial" w:cs="Arial"/>
          <w:lang w:eastAsia="cs-CZ"/>
        </w:rPr>
        <w:t>v</w:t>
      </w:r>
      <w:r w:rsidRPr="00F110FD">
        <w:rPr>
          <w:rFonts w:ascii="Arial" w:eastAsia="Times New Roman" w:hAnsi="Arial" w:cs="Arial"/>
          <w:lang w:eastAsia="cs-CZ"/>
        </w:rPr>
        <w:t>ní ekonomiky.</w:t>
      </w:r>
    </w:p>
    <w:p w:rsidR="00F110FD" w:rsidRPr="00F110FD" w:rsidRDefault="00F110FD" w:rsidP="00060D84">
      <w:pPr>
        <w:spacing w:after="0" w:line="360" w:lineRule="auto"/>
        <w:ind w:firstLine="708"/>
        <w:jc w:val="both"/>
        <w:rPr>
          <w:rFonts w:ascii="Arial" w:eastAsia="Times New Roman" w:hAnsi="Arial" w:cs="Arial"/>
          <w:lang w:eastAsia="cs-CZ"/>
        </w:rPr>
      </w:pPr>
      <w:r w:rsidRPr="00F110FD">
        <w:rPr>
          <w:rFonts w:ascii="Arial" w:eastAsia="Times New Roman" w:hAnsi="Arial" w:cs="Arial"/>
          <w:lang w:eastAsia="cs-CZ"/>
        </w:rPr>
        <w:t>O stavu a průběhu čerpání finančních prostředků ze strukturálních fondů, Fondu soudržnosti informuje Ministerstvo pro místní rozvoj v tzv. Čtvrtletních monitorovacích zprávách (ČMZ). Informace v </w:t>
      </w:r>
      <w:r w:rsidR="007A1CCD">
        <w:rPr>
          <w:rFonts w:ascii="Arial" w:eastAsia="Times New Roman" w:hAnsi="Arial" w:cs="Arial"/>
          <w:lang w:eastAsia="cs-CZ"/>
        </w:rPr>
        <w:t>t</w:t>
      </w:r>
      <w:r w:rsidRPr="00F110FD">
        <w:rPr>
          <w:rFonts w:ascii="Arial" w:eastAsia="Times New Roman" w:hAnsi="Arial" w:cs="Arial"/>
          <w:lang w:eastAsia="cs-CZ"/>
        </w:rPr>
        <w:t>abulkách (</w:t>
      </w:r>
      <w:r w:rsidR="004C65F1">
        <w:rPr>
          <w:rFonts w:ascii="Arial" w:eastAsia="Times New Roman" w:hAnsi="Arial" w:cs="Arial"/>
          <w:lang w:eastAsia="cs-CZ"/>
        </w:rPr>
        <w:t>3.4 – 3.6</w:t>
      </w:r>
      <w:r w:rsidRPr="00F110FD">
        <w:rPr>
          <w:rFonts w:ascii="Arial" w:eastAsia="Times New Roman" w:hAnsi="Arial" w:cs="Arial"/>
          <w:lang w:eastAsia="cs-CZ"/>
        </w:rPr>
        <w:t xml:space="preserve">) jsou převzaty z kapitoly „Stav tematických operačních programů cíle 1 a 2“ a informují o stavu realizace strukturální pomoci z jednotlivých OP. Celková alokace OP </w:t>
      </w:r>
      <w:proofErr w:type="spellStart"/>
      <w:r w:rsidRPr="00F110FD">
        <w:rPr>
          <w:rFonts w:ascii="Arial" w:eastAsia="Times New Roman" w:hAnsi="Arial" w:cs="Arial"/>
          <w:lang w:eastAsia="cs-CZ"/>
        </w:rPr>
        <w:t>VaVpI</w:t>
      </w:r>
      <w:proofErr w:type="spellEnd"/>
      <w:r w:rsidRPr="00F110FD">
        <w:rPr>
          <w:rFonts w:ascii="Arial" w:eastAsia="Times New Roman" w:hAnsi="Arial" w:cs="Arial"/>
          <w:lang w:eastAsia="cs-CZ"/>
        </w:rPr>
        <w:t xml:space="preserve"> směřuje celá do oblasti VaVaI a z poslední aktuální zprávy vyplývalo, že se jednalo o cca 55,4 mld. Kč a u ostatních OP alokace na oblast VaVaI zdaleka nedosahovala takové</w:t>
      </w:r>
      <w:r w:rsidR="00055617">
        <w:rPr>
          <w:rFonts w:ascii="Arial" w:eastAsia="Times New Roman" w:hAnsi="Arial" w:cs="Arial"/>
          <w:lang w:eastAsia="cs-CZ"/>
        </w:rPr>
        <w:t xml:space="preserve"> výše</w:t>
      </w:r>
      <w:r w:rsidR="001354D7">
        <w:rPr>
          <w:rFonts w:ascii="Arial" w:eastAsia="Times New Roman" w:hAnsi="Arial" w:cs="Arial"/>
          <w:lang w:eastAsia="cs-CZ"/>
        </w:rPr>
        <w:t xml:space="preserve"> </w:t>
      </w:r>
      <w:r w:rsidRPr="00F110FD">
        <w:rPr>
          <w:rFonts w:ascii="Arial" w:eastAsia="Times New Roman" w:hAnsi="Arial" w:cs="Arial"/>
          <w:lang w:eastAsia="cs-CZ"/>
        </w:rPr>
        <w:t xml:space="preserve">(OP VK – 10 mld., OP PI 32,5 </w:t>
      </w:r>
      <w:proofErr w:type="spellStart"/>
      <w:r w:rsidRPr="00F110FD">
        <w:rPr>
          <w:rFonts w:ascii="Arial" w:eastAsia="Times New Roman" w:hAnsi="Arial" w:cs="Arial"/>
          <w:lang w:eastAsia="cs-CZ"/>
        </w:rPr>
        <w:t>mld</w:t>
      </w:r>
      <w:proofErr w:type="spellEnd"/>
      <w:r w:rsidRPr="00F110FD">
        <w:rPr>
          <w:rFonts w:ascii="Arial" w:eastAsia="Times New Roman" w:hAnsi="Arial" w:cs="Arial"/>
          <w:lang w:eastAsia="cs-CZ"/>
        </w:rPr>
        <w:t>, OP PK a OP PA 2,9 mld.).</w:t>
      </w:r>
    </w:p>
    <w:p w:rsidR="00F110FD" w:rsidRDefault="00F110FD" w:rsidP="00F110FD">
      <w:pPr>
        <w:jc w:val="both"/>
      </w:pPr>
    </w:p>
    <w:p w:rsidR="00F110FD" w:rsidRDefault="00F110FD" w:rsidP="00F110FD">
      <w:pPr>
        <w:jc w:val="both"/>
        <w:sectPr w:rsidR="00F110FD" w:rsidSect="00E540D1">
          <w:pgSz w:w="11906" w:h="16838"/>
          <w:pgMar w:top="1134" w:right="1134" w:bottom="1134" w:left="1134" w:header="708" w:footer="708" w:gutter="0"/>
          <w:cols w:space="708"/>
          <w:docGrid w:linePitch="360"/>
        </w:sectPr>
      </w:pPr>
    </w:p>
    <w:p w:rsidR="00F110FD" w:rsidRPr="00ED7C28" w:rsidRDefault="00EB7966" w:rsidP="00F110FD">
      <w:pPr>
        <w:pStyle w:val="Obrzek-nadpis"/>
      </w:pPr>
      <w:r>
        <w:lastRenderedPageBreak/>
        <w:t>Tab. 3.2</w:t>
      </w:r>
      <w:r w:rsidR="00F110FD" w:rsidRPr="00ED7C28">
        <w:t xml:space="preserve">: </w:t>
      </w:r>
      <w:r w:rsidR="00F110FD">
        <w:t>Operační programy podporující VaVaI a jejich struktura – programové období 2007 - 2013</w:t>
      </w:r>
    </w:p>
    <w:p w:rsidR="00F110FD" w:rsidRDefault="00F110FD" w:rsidP="009E474E">
      <w:pPr>
        <w:spacing w:after="0" w:line="240" w:lineRule="auto"/>
        <w:jc w:val="center"/>
        <w:rPr>
          <w:rFonts w:ascii="Calibri" w:eastAsia="Times New Roman" w:hAnsi="Calibri" w:cs="Times New Roman"/>
          <w:sz w:val="24"/>
          <w:szCs w:val="24"/>
          <w:lang w:eastAsia="cs-CZ"/>
        </w:rPr>
      </w:pPr>
      <w:r w:rsidRPr="007C3590">
        <w:rPr>
          <w:noProof/>
          <w:lang w:eastAsia="cs-CZ"/>
        </w:rPr>
        <w:drawing>
          <wp:inline distT="0" distB="0" distL="0" distR="0" wp14:anchorId="3F2A286C" wp14:editId="4F5D9C50">
            <wp:extent cx="8892540" cy="3398103"/>
            <wp:effectExtent l="0" t="0" r="381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8892540" cy="3398103"/>
                    </a:xfrm>
                    <a:prstGeom prst="rect">
                      <a:avLst/>
                    </a:prstGeom>
                    <a:noFill/>
                    <a:ln>
                      <a:noFill/>
                    </a:ln>
                  </pic:spPr>
                </pic:pic>
              </a:graphicData>
            </a:graphic>
          </wp:inline>
        </w:drawing>
      </w:r>
    </w:p>
    <w:p w:rsidR="00F110FD" w:rsidRPr="00EB4BAA" w:rsidRDefault="00055617" w:rsidP="00055617">
      <w:pPr>
        <w:pStyle w:val="Zdroj"/>
      </w:pPr>
      <w:r>
        <w:t xml:space="preserve">Zdroj </w:t>
      </w:r>
      <w:r w:rsidR="005A2034">
        <w:t>dat t</w:t>
      </w:r>
      <w:r w:rsidR="007A1CCD">
        <w:t>ab</w:t>
      </w:r>
      <w:r w:rsidR="005A2034">
        <w:t>ulka</w:t>
      </w:r>
      <w:r w:rsidR="007A1CCD">
        <w:t xml:space="preserve"> </w:t>
      </w:r>
      <w:r>
        <w:t>3.2</w:t>
      </w:r>
      <w:r w:rsidR="00F110FD" w:rsidRPr="00EB4BAA">
        <w:t>: Ročenka IS VaVaI 2013, MMR - Proplacené prostředky příjemcům ČMZ IV. Q 2014</w:t>
      </w:r>
    </w:p>
    <w:p w:rsidR="00F110FD" w:rsidRPr="00EB4BAA" w:rsidRDefault="00055617" w:rsidP="00055617">
      <w:pPr>
        <w:pStyle w:val="Zdroj"/>
      </w:pPr>
      <w:r>
        <w:t xml:space="preserve">Zdroj </w:t>
      </w:r>
      <w:r w:rsidR="005A2034">
        <w:t>dat t</w:t>
      </w:r>
      <w:r w:rsidR="007A1CCD">
        <w:t>ab</w:t>
      </w:r>
      <w:r w:rsidR="005A2034">
        <w:t>ulka</w:t>
      </w:r>
      <w:r w:rsidR="007A1CCD">
        <w:t xml:space="preserve"> </w:t>
      </w:r>
      <w:r>
        <w:t xml:space="preserve">3.3: </w:t>
      </w:r>
      <w:r w:rsidR="00F110FD" w:rsidRPr="00EB4BAA">
        <w:t>RIS</w:t>
      </w:r>
      <w:r w:rsidR="00FE45D8">
        <w:t xml:space="preserve"> </w:t>
      </w:r>
      <w:r w:rsidR="00F110FD" w:rsidRPr="00EB4BAA">
        <w:t xml:space="preserve">3 - Indikativní přičlenění finančních prostředků OP ke klíčovým oblastem </w:t>
      </w:r>
      <w:proofErr w:type="spellStart"/>
      <w:r w:rsidR="00F110FD" w:rsidRPr="00EB4BAA">
        <w:t>VaV</w:t>
      </w:r>
      <w:proofErr w:type="spellEnd"/>
      <w:r w:rsidR="00F110FD" w:rsidRPr="00EB4BAA">
        <w:t xml:space="preserve"> (Národní spolufinancování)</w:t>
      </w:r>
    </w:p>
    <w:p w:rsidR="00F110FD" w:rsidRPr="00EB4BAA" w:rsidRDefault="00F110FD" w:rsidP="00055617">
      <w:pPr>
        <w:pStyle w:val="komentzaobrzkem"/>
      </w:pPr>
      <w:r w:rsidRPr="00EB4BAA">
        <w:t>Poznámka: OP VVV k 13. 3. 2015 byl aktualizován</w:t>
      </w:r>
    </w:p>
    <w:p w:rsidR="00F110FD" w:rsidRPr="00EB4BAA" w:rsidRDefault="00F110FD" w:rsidP="00055617">
      <w:pPr>
        <w:pStyle w:val="komentzaobrzkem"/>
      </w:pPr>
      <w:r w:rsidRPr="00EB4BAA">
        <w:t>PO1</w:t>
      </w:r>
      <w:r w:rsidRPr="00EB4BAA">
        <w:tab/>
        <w:t>SC 1 - Zvýšení mezinárodní kvality výzkumu a jeho výsledků</w:t>
      </w:r>
    </w:p>
    <w:p w:rsidR="00F110FD" w:rsidRPr="00EB4BAA" w:rsidRDefault="00F110FD" w:rsidP="00055617">
      <w:pPr>
        <w:pStyle w:val="komentzaobrzkem"/>
      </w:pPr>
      <w:r w:rsidRPr="00EB4BAA">
        <w:t>PO1</w:t>
      </w:r>
      <w:r w:rsidRPr="00EB4BAA">
        <w:tab/>
        <w:t>SC 2 - Budování kapacit a posílení dlouhodobé spolupráce výzkumných organizací s aplikační sférou</w:t>
      </w:r>
    </w:p>
    <w:p w:rsidR="00F110FD" w:rsidRPr="00EB4BAA" w:rsidRDefault="00F110FD" w:rsidP="00055617">
      <w:pPr>
        <w:pStyle w:val="komentzaobrzkem"/>
      </w:pPr>
      <w:r w:rsidRPr="00EB4BAA">
        <w:t>PO1</w:t>
      </w:r>
      <w:r w:rsidRPr="00EB4BAA">
        <w:tab/>
        <w:t>SC 3 - Zkvalitnění infrastruktury pro výzkumně vzdělávací účely</w:t>
      </w:r>
    </w:p>
    <w:p w:rsidR="00F110FD" w:rsidRPr="00EB4BAA" w:rsidRDefault="00F110FD" w:rsidP="00055617">
      <w:pPr>
        <w:pStyle w:val="komentzaobrzkem"/>
      </w:pPr>
      <w:r w:rsidRPr="00EB4BAA">
        <w:t>PO1</w:t>
      </w:r>
      <w:r w:rsidRPr="00EB4BAA">
        <w:tab/>
        <w:t>SC 4 - Zlepšení strategického řízení výzkumu na národní úrovni</w:t>
      </w:r>
    </w:p>
    <w:p w:rsidR="00F110FD" w:rsidRPr="00EB4BAA" w:rsidRDefault="00F110FD" w:rsidP="00055617">
      <w:pPr>
        <w:pStyle w:val="komentzaobrzkem"/>
      </w:pPr>
      <w:r w:rsidRPr="00EB4BAA">
        <w:t>PO2</w:t>
      </w:r>
      <w:r w:rsidRPr="00EB4BAA">
        <w:tab/>
        <w:t>SC 1 - Zvýšení kvality vzdělávání na vysokých školách a jeho relevance pro potřeby trhu práce</w:t>
      </w:r>
    </w:p>
    <w:p w:rsidR="00F110FD" w:rsidRPr="00EB4BAA" w:rsidRDefault="00F110FD" w:rsidP="00055617">
      <w:pPr>
        <w:pStyle w:val="komentzaobrzkem"/>
      </w:pPr>
      <w:r w:rsidRPr="00EB4BAA">
        <w:t>PO2</w:t>
      </w:r>
      <w:r w:rsidRPr="00EB4BAA">
        <w:tab/>
        <w:t>SC 4 - Nastavení a rozvoj systému hodnocení a zabezpečení kvality a strategického řízení vysokých škol</w:t>
      </w:r>
    </w:p>
    <w:p w:rsidR="00F110FD" w:rsidRPr="00EB4BAA" w:rsidRDefault="00F110FD" w:rsidP="00055617">
      <w:pPr>
        <w:pStyle w:val="komentzaobrzkem"/>
      </w:pPr>
      <w:r w:rsidRPr="00EB4BAA">
        <w:t>PO2</w:t>
      </w:r>
      <w:r w:rsidRPr="00EB4BAA">
        <w:tab/>
        <w:t>SC 5 - Zlepšení podmínek pro výuku spojenou s výzkumem a pro rozvoj lidských zdrojů v oblasti výzkumu a vývoje</w:t>
      </w:r>
    </w:p>
    <w:p w:rsidR="00F110FD" w:rsidRPr="00ED7C28" w:rsidRDefault="00EB7966" w:rsidP="00F110FD">
      <w:pPr>
        <w:pStyle w:val="Obrzek-nadpis"/>
      </w:pPr>
      <w:r>
        <w:lastRenderedPageBreak/>
        <w:t>Tab. 3.3</w:t>
      </w:r>
      <w:r w:rsidR="00F110FD" w:rsidRPr="00ED7C28">
        <w:t xml:space="preserve">: </w:t>
      </w:r>
      <w:r w:rsidR="00F110FD">
        <w:t>Operační programy podporující VaVaI a jejich struktura – programové období 2014 - 2020</w:t>
      </w:r>
    </w:p>
    <w:p w:rsidR="00F110FD" w:rsidRDefault="00F110FD" w:rsidP="009E474E">
      <w:pPr>
        <w:jc w:val="center"/>
      </w:pPr>
      <w:r w:rsidRPr="00560990">
        <w:rPr>
          <w:noProof/>
          <w:lang w:eastAsia="cs-CZ"/>
        </w:rPr>
        <w:drawing>
          <wp:inline distT="0" distB="0" distL="0" distR="0" wp14:anchorId="5542842D" wp14:editId="73D58763">
            <wp:extent cx="8181893" cy="5463604"/>
            <wp:effectExtent l="0" t="0" r="0" b="381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182008" cy="5463680"/>
                    </a:xfrm>
                    <a:prstGeom prst="rect">
                      <a:avLst/>
                    </a:prstGeom>
                    <a:noFill/>
                    <a:ln>
                      <a:noFill/>
                    </a:ln>
                  </pic:spPr>
                </pic:pic>
              </a:graphicData>
            </a:graphic>
          </wp:inline>
        </w:drawing>
      </w:r>
    </w:p>
    <w:p w:rsidR="00F110FD" w:rsidRDefault="00F110FD" w:rsidP="00F110FD">
      <w:pPr>
        <w:sectPr w:rsidR="00F110FD" w:rsidSect="00E540D1">
          <w:pgSz w:w="16838" w:h="11906" w:orient="landscape"/>
          <w:pgMar w:top="1134" w:right="1134" w:bottom="1134" w:left="1134" w:header="708" w:footer="708" w:gutter="0"/>
          <w:cols w:space="708"/>
          <w:docGrid w:linePitch="360"/>
        </w:sectPr>
      </w:pPr>
    </w:p>
    <w:p w:rsidR="00F110FD" w:rsidRDefault="00EB7966" w:rsidP="00F110FD">
      <w:pPr>
        <w:pStyle w:val="Obrzek-nadpis"/>
      </w:pPr>
      <w:r>
        <w:lastRenderedPageBreak/>
        <w:t xml:space="preserve">Tab. 3.4: </w:t>
      </w:r>
      <w:r w:rsidR="00F110FD">
        <w:t xml:space="preserve">Stav </w:t>
      </w:r>
      <w:r w:rsidR="00F110FD" w:rsidRPr="00C50BF5">
        <w:t>čerpání finančních prostředků</w:t>
      </w:r>
      <w:r w:rsidR="00F110FD">
        <w:t xml:space="preserve"> </w:t>
      </w:r>
      <w:r w:rsidR="001B7601">
        <w:t>–</w:t>
      </w:r>
      <w:r w:rsidR="00F110FD">
        <w:t xml:space="preserve"> MŠMT</w:t>
      </w:r>
    </w:p>
    <w:tbl>
      <w:tblPr>
        <w:tblW w:w="8222" w:type="dxa"/>
        <w:jc w:val="center"/>
        <w:tblCellMar>
          <w:left w:w="70" w:type="dxa"/>
          <w:right w:w="70" w:type="dxa"/>
        </w:tblCellMar>
        <w:tblLook w:val="04A0" w:firstRow="1" w:lastRow="0" w:firstColumn="1" w:lastColumn="0" w:noHBand="0" w:noVBand="1"/>
      </w:tblPr>
      <w:tblGrid>
        <w:gridCol w:w="1194"/>
        <w:gridCol w:w="1004"/>
        <w:gridCol w:w="1004"/>
        <w:gridCol w:w="1004"/>
        <w:gridCol w:w="1004"/>
        <w:gridCol w:w="1004"/>
        <w:gridCol w:w="1004"/>
        <w:gridCol w:w="1004"/>
      </w:tblGrid>
      <w:tr w:rsidR="001B7601" w:rsidRPr="001B7601" w:rsidTr="001B7601">
        <w:trPr>
          <w:trHeight w:val="315"/>
          <w:jc w:val="center"/>
        </w:trPr>
        <w:tc>
          <w:tcPr>
            <w:tcW w:w="7860" w:type="dxa"/>
            <w:gridSpan w:val="8"/>
            <w:tcBorders>
              <w:top w:val="single" w:sz="8" w:space="0" w:color="BFBFBF"/>
              <w:left w:val="single" w:sz="8" w:space="0" w:color="BFBFBF"/>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b/>
                <w:bCs/>
                <w:color w:val="008CCD"/>
                <w:sz w:val="24"/>
                <w:szCs w:val="24"/>
                <w:lang w:eastAsia="cs-CZ"/>
              </w:rPr>
            </w:pPr>
            <w:r w:rsidRPr="001B7601">
              <w:rPr>
                <w:rFonts w:ascii="Tahoma" w:eastAsia="Times New Roman" w:hAnsi="Tahoma" w:cs="Tahoma"/>
                <w:b/>
                <w:bCs/>
                <w:color w:val="008CCD"/>
                <w:sz w:val="24"/>
                <w:szCs w:val="24"/>
                <w:lang w:eastAsia="cs-CZ"/>
              </w:rPr>
              <w:t xml:space="preserve">OP </w:t>
            </w:r>
            <w:proofErr w:type="spellStart"/>
            <w:r w:rsidRPr="001B7601">
              <w:rPr>
                <w:rFonts w:ascii="Tahoma" w:eastAsia="Times New Roman" w:hAnsi="Tahoma" w:cs="Tahoma"/>
                <w:b/>
                <w:bCs/>
                <w:color w:val="008CCD"/>
                <w:sz w:val="24"/>
                <w:szCs w:val="24"/>
                <w:lang w:eastAsia="cs-CZ"/>
              </w:rPr>
              <w:t>VaVpI</w:t>
            </w:r>
            <w:proofErr w:type="spellEnd"/>
          </w:p>
        </w:tc>
      </w:tr>
      <w:tr w:rsidR="001B7601" w:rsidRPr="001B7601" w:rsidTr="001B7601">
        <w:trPr>
          <w:trHeight w:val="435"/>
          <w:jc w:val="center"/>
        </w:trPr>
        <w:tc>
          <w:tcPr>
            <w:tcW w:w="1140" w:type="dxa"/>
            <w:vMerge w:val="restart"/>
            <w:tcBorders>
              <w:top w:val="nil"/>
              <w:left w:val="single" w:sz="8" w:space="0" w:color="BFBFBF"/>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008CCD"/>
                <w:sz w:val="16"/>
                <w:szCs w:val="16"/>
                <w:lang w:eastAsia="cs-CZ"/>
              </w:rPr>
            </w:pPr>
            <w:r w:rsidRPr="001B7601">
              <w:rPr>
                <w:rFonts w:ascii="Tahoma" w:eastAsia="Times New Roman" w:hAnsi="Tahoma" w:cs="Tahoma"/>
                <w:color w:val="008CCD"/>
                <w:sz w:val="16"/>
                <w:szCs w:val="16"/>
                <w:lang w:eastAsia="cs-CZ"/>
              </w:rPr>
              <w:t>Sekce</w:t>
            </w:r>
          </w:p>
        </w:tc>
        <w:tc>
          <w:tcPr>
            <w:tcW w:w="960" w:type="dxa"/>
            <w:tcBorders>
              <w:top w:val="nil"/>
              <w:left w:val="nil"/>
              <w:bottom w:val="nil"/>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008CCD"/>
                <w:sz w:val="16"/>
                <w:szCs w:val="16"/>
                <w:lang w:eastAsia="cs-CZ"/>
              </w:rPr>
            </w:pPr>
            <w:r w:rsidRPr="001B7601">
              <w:rPr>
                <w:rFonts w:ascii="Tahoma" w:eastAsia="Times New Roman" w:hAnsi="Tahoma" w:cs="Tahoma"/>
                <w:color w:val="008CCD"/>
                <w:sz w:val="16"/>
                <w:szCs w:val="16"/>
                <w:lang w:eastAsia="cs-CZ"/>
              </w:rPr>
              <w:t>Celková alokace</w:t>
            </w:r>
          </w:p>
        </w:tc>
        <w:tc>
          <w:tcPr>
            <w:tcW w:w="2880" w:type="dxa"/>
            <w:gridSpan w:val="3"/>
            <w:tcBorders>
              <w:top w:val="single" w:sz="8" w:space="0" w:color="BFBFBF"/>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008CCD"/>
                <w:sz w:val="16"/>
                <w:szCs w:val="16"/>
                <w:lang w:eastAsia="cs-CZ"/>
              </w:rPr>
            </w:pPr>
            <w:r w:rsidRPr="001B7601">
              <w:rPr>
                <w:rFonts w:ascii="Tahoma" w:eastAsia="Times New Roman" w:hAnsi="Tahoma" w:cs="Tahoma"/>
                <w:color w:val="008CCD"/>
                <w:sz w:val="16"/>
                <w:szCs w:val="16"/>
                <w:lang w:eastAsia="cs-CZ"/>
              </w:rPr>
              <w:t>Podané žádosti</w:t>
            </w:r>
          </w:p>
        </w:tc>
        <w:tc>
          <w:tcPr>
            <w:tcW w:w="2880" w:type="dxa"/>
            <w:gridSpan w:val="3"/>
            <w:tcBorders>
              <w:top w:val="single" w:sz="8" w:space="0" w:color="BFBFBF"/>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008CCD"/>
                <w:sz w:val="16"/>
                <w:szCs w:val="16"/>
                <w:lang w:eastAsia="cs-CZ"/>
              </w:rPr>
            </w:pPr>
            <w:r w:rsidRPr="001B7601">
              <w:rPr>
                <w:rFonts w:ascii="Tahoma" w:eastAsia="Times New Roman" w:hAnsi="Tahoma" w:cs="Tahoma"/>
                <w:color w:val="008CCD"/>
                <w:sz w:val="16"/>
                <w:szCs w:val="16"/>
                <w:lang w:eastAsia="cs-CZ"/>
              </w:rPr>
              <w:t>Projekty s vydaným rozhodnutím</w:t>
            </w:r>
          </w:p>
        </w:tc>
      </w:tr>
      <w:tr w:rsidR="001B7601" w:rsidRPr="001B7601" w:rsidTr="001B7601">
        <w:trPr>
          <w:trHeight w:val="300"/>
          <w:jc w:val="center"/>
        </w:trPr>
        <w:tc>
          <w:tcPr>
            <w:tcW w:w="1140" w:type="dxa"/>
            <w:vMerge/>
            <w:tcBorders>
              <w:top w:val="nil"/>
              <w:left w:val="single" w:sz="8" w:space="0" w:color="BFBFBF"/>
              <w:bottom w:val="single" w:sz="8" w:space="0" w:color="404040"/>
              <w:right w:val="single" w:sz="8" w:space="0" w:color="BFBFBF"/>
            </w:tcBorders>
            <w:vAlign w:val="center"/>
            <w:hideMark/>
          </w:tcPr>
          <w:p w:rsidR="001B7601" w:rsidRPr="001B7601" w:rsidRDefault="001B7601" w:rsidP="001B7601">
            <w:pPr>
              <w:spacing w:after="0" w:line="240" w:lineRule="auto"/>
              <w:rPr>
                <w:rFonts w:ascii="Tahoma" w:eastAsia="Times New Roman" w:hAnsi="Tahoma" w:cs="Tahoma"/>
                <w:color w:val="008CCD"/>
                <w:sz w:val="16"/>
                <w:szCs w:val="16"/>
                <w:lang w:eastAsia="cs-CZ"/>
              </w:rPr>
            </w:pPr>
          </w:p>
        </w:tc>
        <w:tc>
          <w:tcPr>
            <w:tcW w:w="960" w:type="dxa"/>
            <w:tcBorders>
              <w:top w:val="nil"/>
              <w:left w:val="nil"/>
              <w:bottom w:val="nil"/>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008CCD"/>
                <w:sz w:val="16"/>
                <w:szCs w:val="16"/>
                <w:lang w:eastAsia="cs-CZ"/>
              </w:rPr>
            </w:pPr>
            <w:r w:rsidRPr="001B7601">
              <w:rPr>
                <w:rFonts w:ascii="Tahoma" w:eastAsia="Times New Roman" w:hAnsi="Tahoma" w:cs="Tahoma"/>
                <w:color w:val="008CCD"/>
                <w:sz w:val="16"/>
                <w:szCs w:val="16"/>
                <w:lang w:eastAsia="cs-CZ"/>
              </w:rPr>
              <w:t>(mil. Kč)</w:t>
            </w:r>
          </w:p>
        </w:tc>
        <w:tc>
          <w:tcPr>
            <w:tcW w:w="960" w:type="dxa"/>
            <w:vMerge w:val="restart"/>
            <w:tcBorders>
              <w:top w:val="nil"/>
              <w:left w:val="single" w:sz="8" w:space="0" w:color="BFBFBF"/>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Počet</w:t>
            </w:r>
          </w:p>
        </w:tc>
        <w:tc>
          <w:tcPr>
            <w:tcW w:w="960" w:type="dxa"/>
            <w:tcBorders>
              <w:top w:val="nil"/>
              <w:left w:val="nil"/>
              <w:bottom w:val="nil"/>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Objem</w:t>
            </w:r>
          </w:p>
        </w:tc>
        <w:tc>
          <w:tcPr>
            <w:tcW w:w="960" w:type="dxa"/>
            <w:tcBorders>
              <w:top w:val="nil"/>
              <w:left w:val="nil"/>
              <w:bottom w:val="nil"/>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Objem</w:t>
            </w:r>
          </w:p>
        </w:tc>
        <w:tc>
          <w:tcPr>
            <w:tcW w:w="960" w:type="dxa"/>
            <w:vMerge w:val="restart"/>
            <w:tcBorders>
              <w:top w:val="nil"/>
              <w:left w:val="single" w:sz="8" w:space="0" w:color="BFBFBF"/>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Počet</w:t>
            </w:r>
          </w:p>
        </w:tc>
        <w:tc>
          <w:tcPr>
            <w:tcW w:w="960" w:type="dxa"/>
            <w:tcBorders>
              <w:top w:val="nil"/>
              <w:left w:val="nil"/>
              <w:bottom w:val="nil"/>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Objem</w:t>
            </w:r>
          </w:p>
        </w:tc>
        <w:tc>
          <w:tcPr>
            <w:tcW w:w="960" w:type="dxa"/>
            <w:tcBorders>
              <w:top w:val="nil"/>
              <w:left w:val="nil"/>
              <w:bottom w:val="nil"/>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Objem</w:t>
            </w:r>
          </w:p>
        </w:tc>
      </w:tr>
      <w:tr w:rsidR="001B7601" w:rsidRPr="001B7601" w:rsidTr="001B7601">
        <w:trPr>
          <w:trHeight w:val="435"/>
          <w:jc w:val="center"/>
        </w:trPr>
        <w:tc>
          <w:tcPr>
            <w:tcW w:w="1140" w:type="dxa"/>
            <w:vMerge/>
            <w:tcBorders>
              <w:top w:val="nil"/>
              <w:left w:val="single" w:sz="8" w:space="0" w:color="BFBFBF"/>
              <w:bottom w:val="single" w:sz="8" w:space="0" w:color="404040"/>
              <w:right w:val="single" w:sz="8" w:space="0" w:color="BFBFBF"/>
            </w:tcBorders>
            <w:vAlign w:val="center"/>
            <w:hideMark/>
          </w:tcPr>
          <w:p w:rsidR="001B7601" w:rsidRPr="001B7601" w:rsidRDefault="001B7601" w:rsidP="001B7601">
            <w:pPr>
              <w:spacing w:after="0" w:line="240" w:lineRule="auto"/>
              <w:rPr>
                <w:rFonts w:ascii="Tahoma" w:eastAsia="Times New Roman" w:hAnsi="Tahoma" w:cs="Tahoma"/>
                <w:color w:val="008CCD"/>
                <w:sz w:val="16"/>
                <w:szCs w:val="16"/>
                <w:lang w:eastAsia="cs-CZ"/>
              </w:rPr>
            </w:pP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rPr>
                <w:rFonts w:ascii="Calibri" w:eastAsia="Times New Roman" w:hAnsi="Calibri" w:cs="Times New Roman"/>
                <w:color w:val="000000"/>
                <w:lang w:eastAsia="cs-CZ"/>
              </w:rPr>
            </w:pPr>
          </w:p>
        </w:tc>
        <w:tc>
          <w:tcPr>
            <w:tcW w:w="960" w:type="dxa"/>
            <w:vMerge/>
            <w:tcBorders>
              <w:top w:val="nil"/>
              <w:left w:val="single" w:sz="8" w:space="0" w:color="BFBFBF"/>
              <w:bottom w:val="single" w:sz="8" w:space="0" w:color="404040"/>
              <w:right w:val="single" w:sz="8" w:space="0" w:color="BFBFBF"/>
            </w:tcBorders>
            <w:vAlign w:val="center"/>
            <w:hideMark/>
          </w:tcPr>
          <w:p w:rsidR="001B7601" w:rsidRPr="001B7601" w:rsidRDefault="001B7601" w:rsidP="001B7601">
            <w:pPr>
              <w:spacing w:after="0" w:line="240" w:lineRule="auto"/>
              <w:rPr>
                <w:rFonts w:ascii="Tahoma" w:eastAsia="Times New Roman" w:hAnsi="Tahoma" w:cs="Tahoma"/>
                <w:color w:val="9B9BA0"/>
                <w:sz w:val="16"/>
                <w:szCs w:val="16"/>
                <w:lang w:eastAsia="cs-CZ"/>
              </w:rPr>
            </w:pP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(mil. Kč)</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 alokace)</w:t>
            </w:r>
          </w:p>
        </w:tc>
        <w:tc>
          <w:tcPr>
            <w:tcW w:w="960" w:type="dxa"/>
            <w:vMerge/>
            <w:tcBorders>
              <w:top w:val="nil"/>
              <w:left w:val="single" w:sz="8" w:space="0" w:color="BFBFBF"/>
              <w:bottom w:val="single" w:sz="8" w:space="0" w:color="404040"/>
              <w:right w:val="single" w:sz="8" w:space="0" w:color="BFBFBF"/>
            </w:tcBorders>
            <w:vAlign w:val="center"/>
            <w:hideMark/>
          </w:tcPr>
          <w:p w:rsidR="001B7601" w:rsidRPr="001B7601" w:rsidRDefault="001B7601" w:rsidP="001B7601">
            <w:pPr>
              <w:spacing w:after="0" w:line="240" w:lineRule="auto"/>
              <w:rPr>
                <w:rFonts w:ascii="Tahoma" w:eastAsia="Times New Roman" w:hAnsi="Tahoma" w:cs="Tahoma"/>
                <w:color w:val="9B9BA0"/>
                <w:sz w:val="16"/>
                <w:szCs w:val="16"/>
                <w:lang w:eastAsia="cs-CZ"/>
              </w:rPr>
            </w:pP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(mil. Kč)</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 alokace)</w:t>
            </w:r>
          </w:p>
        </w:tc>
      </w:tr>
      <w:tr w:rsidR="001B7601" w:rsidRPr="001B7601" w:rsidTr="001B7601">
        <w:trPr>
          <w:trHeight w:val="315"/>
          <w:jc w:val="center"/>
        </w:trPr>
        <w:tc>
          <w:tcPr>
            <w:tcW w:w="1140" w:type="dxa"/>
            <w:tcBorders>
              <w:top w:val="nil"/>
              <w:left w:val="single" w:sz="8" w:space="0" w:color="BFBFBF"/>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 xml:space="preserve">PO1 </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18 567,50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33</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21 424,60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115,4</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8</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17 043,80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91,8</w:t>
            </w:r>
          </w:p>
        </w:tc>
      </w:tr>
      <w:tr w:rsidR="001B7601" w:rsidRPr="001B7601" w:rsidTr="001B7601">
        <w:trPr>
          <w:trHeight w:val="315"/>
          <w:jc w:val="center"/>
        </w:trPr>
        <w:tc>
          <w:tcPr>
            <w:tcW w:w="1140" w:type="dxa"/>
            <w:tcBorders>
              <w:top w:val="nil"/>
              <w:left w:val="single" w:sz="8" w:space="0" w:color="BFBFBF"/>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 xml:space="preserve">PO2 </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18 197,40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103</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43 073,10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236,7</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40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17 261,50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94,9</w:t>
            </w:r>
          </w:p>
        </w:tc>
      </w:tr>
      <w:tr w:rsidR="001B7601" w:rsidRPr="001B7601" w:rsidTr="001B7601">
        <w:trPr>
          <w:trHeight w:val="315"/>
          <w:jc w:val="center"/>
        </w:trPr>
        <w:tc>
          <w:tcPr>
            <w:tcW w:w="1140" w:type="dxa"/>
            <w:tcBorders>
              <w:top w:val="nil"/>
              <w:left w:val="single" w:sz="8" w:space="0" w:color="BFBFBF"/>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 xml:space="preserve">PO3 </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4 936,60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135</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8 911,00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180,5</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62</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4 407,60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eastAsia="Times New Roman" w:hAnsi="Tahoma" w:cs="Tahoma"/>
                <w:color w:val="C3003C"/>
                <w:sz w:val="16"/>
                <w:szCs w:val="16"/>
                <w:lang w:eastAsia="cs-CZ"/>
              </w:rPr>
            </w:pPr>
            <w:r w:rsidRPr="001B7601">
              <w:rPr>
                <w:rFonts w:ascii="Tahoma" w:eastAsia="Times New Roman" w:hAnsi="Tahoma" w:cs="Tahoma"/>
                <w:color w:val="C3003C"/>
                <w:sz w:val="16"/>
                <w:szCs w:val="16"/>
                <w:lang w:eastAsia="cs-CZ"/>
              </w:rPr>
              <w:t>89,3</w:t>
            </w:r>
          </w:p>
        </w:tc>
      </w:tr>
      <w:tr w:rsidR="001B7601" w:rsidRPr="001B7601" w:rsidTr="001B7601">
        <w:trPr>
          <w:trHeight w:val="315"/>
          <w:jc w:val="center"/>
        </w:trPr>
        <w:tc>
          <w:tcPr>
            <w:tcW w:w="1140" w:type="dxa"/>
            <w:tcBorders>
              <w:top w:val="nil"/>
              <w:left w:val="single" w:sz="8" w:space="0" w:color="BFBFBF"/>
              <w:bottom w:val="single" w:sz="8" w:space="0" w:color="404040"/>
              <w:right w:val="single" w:sz="8" w:space="0" w:color="BFBFBF"/>
            </w:tcBorders>
            <w:shd w:val="clear" w:color="auto" w:fill="auto"/>
            <w:vAlign w:val="center"/>
            <w:hideMark/>
          </w:tcPr>
          <w:p w:rsidR="001B7601" w:rsidRPr="001B7601" w:rsidRDefault="001B7601" w:rsidP="001B7601">
            <w:pPr>
              <w:spacing w:after="0"/>
              <w:rPr>
                <w:rFonts w:ascii="Tahoma" w:hAnsi="Tahoma" w:cs="Tahoma"/>
                <w:color w:val="C3003C"/>
                <w:sz w:val="16"/>
                <w:szCs w:val="16"/>
              </w:rPr>
            </w:pPr>
            <w:r w:rsidRPr="001B7601">
              <w:rPr>
                <w:rFonts w:ascii="Tahoma" w:hAnsi="Tahoma" w:cs="Tahoma"/>
                <w:color w:val="C3003C"/>
                <w:sz w:val="16"/>
                <w:szCs w:val="16"/>
              </w:rPr>
              <w:t xml:space="preserve">PO4 </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jc w:val="right"/>
              <w:rPr>
                <w:rFonts w:ascii="Tahoma" w:hAnsi="Tahoma" w:cs="Tahoma"/>
                <w:color w:val="C3003C"/>
                <w:sz w:val="16"/>
                <w:szCs w:val="16"/>
              </w:rPr>
            </w:pPr>
            <w:r w:rsidRPr="001B7601">
              <w:rPr>
                <w:rFonts w:ascii="Tahoma" w:hAnsi="Tahoma" w:cs="Tahoma"/>
                <w:color w:val="C3003C"/>
                <w:sz w:val="16"/>
                <w:szCs w:val="16"/>
              </w:rPr>
              <w:t>11 782,50</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jc w:val="right"/>
              <w:rPr>
                <w:rFonts w:ascii="Tahoma" w:hAnsi="Tahoma" w:cs="Tahoma"/>
                <w:color w:val="C3003C"/>
                <w:sz w:val="16"/>
                <w:szCs w:val="16"/>
              </w:rPr>
            </w:pPr>
            <w:r w:rsidRPr="001B7601">
              <w:rPr>
                <w:rFonts w:ascii="Tahoma" w:hAnsi="Tahoma" w:cs="Tahoma"/>
                <w:color w:val="C3003C"/>
                <w:sz w:val="16"/>
                <w:szCs w:val="16"/>
              </w:rPr>
              <w:t>82</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jc w:val="right"/>
              <w:rPr>
                <w:rFonts w:ascii="Tahoma" w:hAnsi="Tahoma" w:cs="Tahoma"/>
                <w:color w:val="C3003C"/>
                <w:sz w:val="16"/>
                <w:szCs w:val="16"/>
              </w:rPr>
            </w:pPr>
            <w:r w:rsidRPr="001B7601">
              <w:rPr>
                <w:rFonts w:ascii="Tahoma" w:hAnsi="Tahoma" w:cs="Tahoma"/>
                <w:color w:val="C3003C"/>
                <w:sz w:val="16"/>
                <w:szCs w:val="16"/>
              </w:rPr>
              <w:t>15 641,20</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jc w:val="right"/>
              <w:rPr>
                <w:rFonts w:ascii="Tahoma" w:hAnsi="Tahoma" w:cs="Tahoma"/>
                <w:color w:val="C3003C"/>
                <w:sz w:val="16"/>
                <w:szCs w:val="16"/>
              </w:rPr>
            </w:pPr>
            <w:r w:rsidRPr="001B7601">
              <w:rPr>
                <w:rFonts w:ascii="Tahoma" w:hAnsi="Tahoma" w:cs="Tahoma"/>
                <w:color w:val="C3003C"/>
                <w:sz w:val="16"/>
                <w:szCs w:val="16"/>
              </w:rPr>
              <w:t>132,7</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jc w:val="right"/>
              <w:rPr>
                <w:rFonts w:ascii="Tahoma" w:hAnsi="Tahoma" w:cs="Tahoma"/>
                <w:color w:val="C3003C"/>
                <w:sz w:val="16"/>
                <w:szCs w:val="16"/>
              </w:rPr>
            </w:pPr>
            <w:r w:rsidRPr="001B7601">
              <w:rPr>
                <w:rFonts w:ascii="Tahoma" w:hAnsi="Tahoma" w:cs="Tahoma"/>
                <w:color w:val="C3003C"/>
                <w:sz w:val="16"/>
                <w:szCs w:val="16"/>
              </w:rPr>
              <w:t>65</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jc w:val="right"/>
              <w:rPr>
                <w:rFonts w:ascii="Tahoma" w:hAnsi="Tahoma" w:cs="Tahoma"/>
                <w:color w:val="C3003C"/>
                <w:sz w:val="16"/>
                <w:szCs w:val="16"/>
              </w:rPr>
            </w:pPr>
            <w:r w:rsidRPr="001B7601">
              <w:rPr>
                <w:rFonts w:ascii="Tahoma" w:hAnsi="Tahoma" w:cs="Tahoma"/>
                <w:color w:val="C3003C"/>
                <w:sz w:val="16"/>
                <w:szCs w:val="16"/>
              </w:rPr>
              <w:t>10 693,40</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jc w:val="right"/>
              <w:rPr>
                <w:rFonts w:ascii="Tahoma" w:hAnsi="Tahoma" w:cs="Tahoma"/>
                <w:color w:val="C3003C"/>
                <w:sz w:val="16"/>
                <w:szCs w:val="16"/>
              </w:rPr>
            </w:pPr>
            <w:r w:rsidRPr="001B7601">
              <w:rPr>
                <w:rFonts w:ascii="Tahoma" w:hAnsi="Tahoma" w:cs="Tahoma"/>
                <w:color w:val="C3003C"/>
                <w:sz w:val="16"/>
                <w:szCs w:val="16"/>
              </w:rPr>
              <w:t>90,8</w:t>
            </w:r>
          </w:p>
        </w:tc>
      </w:tr>
      <w:tr w:rsidR="001B7601" w:rsidRPr="001B7601" w:rsidTr="001B7601">
        <w:trPr>
          <w:trHeight w:val="315"/>
          <w:jc w:val="center"/>
        </w:trPr>
        <w:tc>
          <w:tcPr>
            <w:tcW w:w="1140" w:type="dxa"/>
            <w:tcBorders>
              <w:top w:val="nil"/>
              <w:left w:val="single" w:sz="8" w:space="0" w:color="BFBFBF"/>
              <w:bottom w:val="single" w:sz="8" w:space="0" w:color="BFBFBF"/>
              <w:right w:val="single" w:sz="8" w:space="0" w:color="BFBFBF"/>
            </w:tcBorders>
            <w:shd w:val="clear" w:color="auto" w:fill="auto"/>
            <w:vAlign w:val="center"/>
            <w:hideMark/>
          </w:tcPr>
          <w:p w:rsidR="001B7601" w:rsidRPr="001B7601" w:rsidRDefault="001B7601" w:rsidP="001B7601">
            <w:pPr>
              <w:spacing w:after="0"/>
              <w:rPr>
                <w:rFonts w:ascii="Tahoma" w:hAnsi="Tahoma" w:cs="Tahoma"/>
                <w:color w:val="7F7F7F"/>
                <w:sz w:val="16"/>
                <w:szCs w:val="16"/>
              </w:rPr>
            </w:pPr>
            <w:r w:rsidRPr="001B7601">
              <w:rPr>
                <w:rFonts w:ascii="Tahoma" w:hAnsi="Tahoma" w:cs="Tahoma"/>
                <w:color w:val="7F7F7F"/>
                <w:sz w:val="16"/>
                <w:szCs w:val="16"/>
              </w:rPr>
              <w:t xml:space="preserve">OP celkem </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jc w:val="right"/>
              <w:rPr>
                <w:rFonts w:ascii="Tahoma" w:hAnsi="Tahoma" w:cs="Tahoma"/>
                <w:color w:val="7F7F7F"/>
                <w:sz w:val="16"/>
                <w:szCs w:val="16"/>
              </w:rPr>
            </w:pPr>
            <w:r w:rsidRPr="001B7601">
              <w:rPr>
                <w:rFonts w:ascii="Tahoma" w:hAnsi="Tahoma" w:cs="Tahoma"/>
                <w:color w:val="7F7F7F"/>
                <w:sz w:val="16"/>
                <w:szCs w:val="16"/>
              </w:rPr>
              <w:t>55 441,00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jc w:val="right"/>
              <w:rPr>
                <w:rFonts w:ascii="Tahoma" w:hAnsi="Tahoma" w:cs="Tahoma"/>
                <w:color w:val="7F7F7F"/>
                <w:sz w:val="16"/>
                <w:szCs w:val="16"/>
              </w:rPr>
            </w:pPr>
            <w:r w:rsidRPr="001B7601">
              <w:rPr>
                <w:rFonts w:ascii="Tahoma" w:hAnsi="Tahoma" w:cs="Tahoma"/>
                <w:color w:val="7F7F7F"/>
                <w:sz w:val="16"/>
                <w:szCs w:val="16"/>
              </w:rPr>
              <w:t>373</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jc w:val="right"/>
              <w:rPr>
                <w:rFonts w:ascii="Tahoma" w:hAnsi="Tahoma" w:cs="Tahoma"/>
                <w:color w:val="7F7F7F"/>
                <w:sz w:val="16"/>
                <w:szCs w:val="16"/>
              </w:rPr>
            </w:pPr>
            <w:r w:rsidRPr="001B7601">
              <w:rPr>
                <w:rFonts w:ascii="Tahoma" w:hAnsi="Tahoma" w:cs="Tahoma"/>
                <w:color w:val="7F7F7F"/>
                <w:sz w:val="16"/>
                <w:szCs w:val="16"/>
              </w:rPr>
              <w:t>90 712,90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jc w:val="right"/>
              <w:rPr>
                <w:rFonts w:ascii="Tahoma" w:hAnsi="Tahoma" w:cs="Tahoma"/>
                <w:color w:val="7F7F7F"/>
                <w:sz w:val="16"/>
                <w:szCs w:val="16"/>
              </w:rPr>
            </w:pPr>
            <w:r w:rsidRPr="001B7601">
              <w:rPr>
                <w:rFonts w:ascii="Tahoma" w:hAnsi="Tahoma" w:cs="Tahoma"/>
                <w:color w:val="7F7F7F"/>
                <w:sz w:val="16"/>
                <w:szCs w:val="16"/>
              </w:rPr>
              <w:t>163,6</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jc w:val="right"/>
              <w:rPr>
                <w:rFonts w:ascii="Tahoma" w:hAnsi="Tahoma" w:cs="Tahoma"/>
                <w:color w:val="7F7F7F"/>
                <w:sz w:val="16"/>
                <w:szCs w:val="16"/>
              </w:rPr>
            </w:pPr>
            <w:r w:rsidRPr="001B7601">
              <w:rPr>
                <w:rFonts w:ascii="Tahoma" w:hAnsi="Tahoma" w:cs="Tahoma"/>
                <w:color w:val="7F7F7F"/>
                <w:sz w:val="16"/>
                <w:szCs w:val="16"/>
              </w:rPr>
              <w:t>192</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jc w:val="right"/>
              <w:rPr>
                <w:rFonts w:ascii="Tahoma" w:hAnsi="Tahoma" w:cs="Tahoma"/>
                <w:color w:val="7F7F7F"/>
                <w:sz w:val="16"/>
                <w:szCs w:val="16"/>
              </w:rPr>
            </w:pPr>
            <w:r w:rsidRPr="001B7601">
              <w:rPr>
                <w:rFonts w:ascii="Tahoma" w:hAnsi="Tahoma" w:cs="Tahoma"/>
                <w:color w:val="7F7F7F"/>
                <w:sz w:val="16"/>
                <w:szCs w:val="16"/>
              </w:rPr>
              <w:t>50 768,60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jc w:val="right"/>
              <w:rPr>
                <w:rFonts w:ascii="Tahoma" w:hAnsi="Tahoma" w:cs="Tahoma"/>
                <w:color w:val="7F7F7F"/>
                <w:sz w:val="16"/>
                <w:szCs w:val="16"/>
              </w:rPr>
            </w:pPr>
            <w:r w:rsidRPr="001B7601">
              <w:rPr>
                <w:rFonts w:ascii="Tahoma" w:hAnsi="Tahoma" w:cs="Tahoma"/>
                <w:color w:val="7F7F7F"/>
                <w:sz w:val="16"/>
                <w:szCs w:val="16"/>
              </w:rPr>
              <w:t>91,6</w:t>
            </w:r>
          </w:p>
        </w:tc>
      </w:tr>
      <w:tr w:rsidR="001B7601" w:rsidRPr="001B7601" w:rsidTr="001B7601">
        <w:trPr>
          <w:trHeight w:val="315"/>
          <w:jc w:val="center"/>
        </w:trPr>
        <w:tc>
          <w:tcPr>
            <w:tcW w:w="7860" w:type="dxa"/>
            <w:gridSpan w:val="8"/>
            <w:tcBorders>
              <w:top w:val="single" w:sz="8" w:space="0" w:color="BFBFBF"/>
              <w:left w:val="single" w:sz="8" w:space="0" w:color="BFBFBF"/>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b/>
                <w:bCs/>
                <w:color w:val="008CCD"/>
                <w:sz w:val="24"/>
                <w:szCs w:val="24"/>
                <w:lang w:eastAsia="cs-CZ"/>
              </w:rPr>
            </w:pPr>
            <w:r w:rsidRPr="001B7601">
              <w:rPr>
                <w:rFonts w:ascii="Tahoma" w:eastAsia="Times New Roman" w:hAnsi="Tahoma" w:cs="Tahoma"/>
                <w:b/>
                <w:bCs/>
                <w:color w:val="008CCD"/>
                <w:sz w:val="24"/>
                <w:szCs w:val="24"/>
                <w:lang w:eastAsia="cs-CZ"/>
              </w:rPr>
              <w:t>OP VK</w:t>
            </w:r>
          </w:p>
        </w:tc>
      </w:tr>
      <w:tr w:rsidR="001B7601" w:rsidRPr="001B7601" w:rsidTr="001B7601">
        <w:trPr>
          <w:trHeight w:val="435"/>
          <w:jc w:val="center"/>
        </w:trPr>
        <w:tc>
          <w:tcPr>
            <w:tcW w:w="1140" w:type="dxa"/>
            <w:vMerge w:val="restart"/>
            <w:tcBorders>
              <w:top w:val="nil"/>
              <w:left w:val="single" w:sz="8" w:space="0" w:color="BFBFBF"/>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008CCD"/>
                <w:sz w:val="16"/>
                <w:szCs w:val="16"/>
                <w:lang w:eastAsia="cs-CZ"/>
              </w:rPr>
            </w:pPr>
            <w:r w:rsidRPr="001B7601">
              <w:rPr>
                <w:rFonts w:ascii="Tahoma" w:eastAsia="Times New Roman" w:hAnsi="Tahoma" w:cs="Tahoma"/>
                <w:color w:val="008CCD"/>
                <w:sz w:val="16"/>
                <w:szCs w:val="16"/>
                <w:lang w:eastAsia="cs-CZ"/>
              </w:rPr>
              <w:t>Sekce</w:t>
            </w:r>
          </w:p>
        </w:tc>
        <w:tc>
          <w:tcPr>
            <w:tcW w:w="960" w:type="dxa"/>
            <w:tcBorders>
              <w:top w:val="nil"/>
              <w:left w:val="nil"/>
              <w:bottom w:val="nil"/>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008CCD"/>
                <w:sz w:val="16"/>
                <w:szCs w:val="16"/>
                <w:lang w:eastAsia="cs-CZ"/>
              </w:rPr>
            </w:pPr>
            <w:r w:rsidRPr="001B7601">
              <w:rPr>
                <w:rFonts w:ascii="Tahoma" w:eastAsia="Times New Roman" w:hAnsi="Tahoma" w:cs="Tahoma"/>
                <w:color w:val="008CCD"/>
                <w:sz w:val="16"/>
                <w:szCs w:val="16"/>
                <w:lang w:eastAsia="cs-CZ"/>
              </w:rPr>
              <w:t>Celková alokace</w:t>
            </w:r>
          </w:p>
        </w:tc>
        <w:tc>
          <w:tcPr>
            <w:tcW w:w="2880" w:type="dxa"/>
            <w:gridSpan w:val="3"/>
            <w:tcBorders>
              <w:top w:val="single" w:sz="8" w:space="0" w:color="BFBFBF"/>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008CCD"/>
                <w:sz w:val="16"/>
                <w:szCs w:val="16"/>
                <w:lang w:eastAsia="cs-CZ"/>
              </w:rPr>
            </w:pPr>
            <w:r w:rsidRPr="001B7601">
              <w:rPr>
                <w:rFonts w:ascii="Tahoma" w:eastAsia="Times New Roman" w:hAnsi="Tahoma" w:cs="Tahoma"/>
                <w:color w:val="008CCD"/>
                <w:sz w:val="16"/>
                <w:szCs w:val="16"/>
                <w:lang w:eastAsia="cs-CZ"/>
              </w:rPr>
              <w:t>Podané žádosti</w:t>
            </w:r>
          </w:p>
        </w:tc>
        <w:tc>
          <w:tcPr>
            <w:tcW w:w="2880" w:type="dxa"/>
            <w:gridSpan w:val="3"/>
            <w:tcBorders>
              <w:top w:val="single" w:sz="8" w:space="0" w:color="BFBFBF"/>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008CCD"/>
                <w:sz w:val="16"/>
                <w:szCs w:val="16"/>
                <w:lang w:eastAsia="cs-CZ"/>
              </w:rPr>
            </w:pPr>
            <w:r w:rsidRPr="001B7601">
              <w:rPr>
                <w:rFonts w:ascii="Tahoma" w:eastAsia="Times New Roman" w:hAnsi="Tahoma" w:cs="Tahoma"/>
                <w:color w:val="008CCD"/>
                <w:sz w:val="16"/>
                <w:szCs w:val="16"/>
                <w:lang w:eastAsia="cs-CZ"/>
              </w:rPr>
              <w:t>Projekty s vydaným rozhodnutím</w:t>
            </w:r>
          </w:p>
        </w:tc>
      </w:tr>
      <w:tr w:rsidR="001B7601" w:rsidRPr="001B7601" w:rsidTr="001B7601">
        <w:trPr>
          <w:trHeight w:val="300"/>
          <w:jc w:val="center"/>
        </w:trPr>
        <w:tc>
          <w:tcPr>
            <w:tcW w:w="1140" w:type="dxa"/>
            <w:vMerge/>
            <w:tcBorders>
              <w:top w:val="nil"/>
              <w:left w:val="single" w:sz="8" w:space="0" w:color="BFBFBF"/>
              <w:bottom w:val="single" w:sz="8" w:space="0" w:color="404040"/>
              <w:right w:val="single" w:sz="8" w:space="0" w:color="BFBFBF"/>
            </w:tcBorders>
            <w:vAlign w:val="center"/>
            <w:hideMark/>
          </w:tcPr>
          <w:p w:rsidR="001B7601" w:rsidRPr="001B7601" w:rsidRDefault="001B7601" w:rsidP="001B7601">
            <w:pPr>
              <w:spacing w:after="0" w:line="240" w:lineRule="auto"/>
              <w:rPr>
                <w:rFonts w:ascii="Tahoma" w:eastAsia="Times New Roman" w:hAnsi="Tahoma" w:cs="Tahoma"/>
                <w:color w:val="008CCD"/>
                <w:sz w:val="16"/>
                <w:szCs w:val="16"/>
                <w:lang w:eastAsia="cs-CZ"/>
              </w:rPr>
            </w:pPr>
          </w:p>
        </w:tc>
        <w:tc>
          <w:tcPr>
            <w:tcW w:w="960" w:type="dxa"/>
            <w:tcBorders>
              <w:top w:val="nil"/>
              <w:left w:val="nil"/>
              <w:bottom w:val="nil"/>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008CCD"/>
                <w:sz w:val="16"/>
                <w:szCs w:val="16"/>
                <w:lang w:eastAsia="cs-CZ"/>
              </w:rPr>
            </w:pPr>
            <w:r w:rsidRPr="001B7601">
              <w:rPr>
                <w:rFonts w:ascii="Tahoma" w:eastAsia="Times New Roman" w:hAnsi="Tahoma" w:cs="Tahoma"/>
                <w:color w:val="008CCD"/>
                <w:sz w:val="16"/>
                <w:szCs w:val="16"/>
                <w:lang w:eastAsia="cs-CZ"/>
              </w:rPr>
              <w:t>(mil. Kč)</w:t>
            </w:r>
          </w:p>
        </w:tc>
        <w:tc>
          <w:tcPr>
            <w:tcW w:w="960" w:type="dxa"/>
            <w:vMerge w:val="restart"/>
            <w:tcBorders>
              <w:top w:val="nil"/>
              <w:left w:val="single" w:sz="8" w:space="0" w:color="BFBFBF"/>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Počet</w:t>
            </w:r>
          </w:p>
        </w:tc>
        <w:tc>
          <w:tcPr>
            <w:tcW w:w="960" w:type="dxa"/>
            <w:tcBorders>
              <w:top w:val="nil"/>
              <w:left w:val="nil"/>
              <w:bottom w:val="nil"/>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Objem</w:t>
            </w:r>
          </w:p>
        </w:tc>
        <w:tc>
          <w:tcPr>
            <w:tcW w:w="960" w:type="dxa"/>
            <w:tcBorders>
              <w:top w:val="nil"/>
              <w:left w:val="nil"/>
              <w:bottom w:val="nil"/>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Objem</w:t>
            </w:r>
          </w:p>
        </w:tc>
        <w:tc>
          <w:tcPr>
            <w:tcW w:w="960" w:type="dxa"/>
            <w:vMerge w:val="restart"/>
            <w:tcBorders>
              <w:top w:val="nil"/>
              <w:left w:val="single" w:sz="8" w:space="0" w:color="BFBFBF"/>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Počet</w:t>
            </w:r>
          </w:p>
        </w:tc>
        <w:tc>
          <w:tcPr>
            <w:tcW w:w="960" w:type="dxa"/>
            <w:tcBorders>
              <w:top w:val="nil"/>
              <w:left w:val="nil"/>
              <w:bottom w:val="nil"/>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Objem</w:t>
            </w:r>
          </w:p>
        </w:tc>
        <w:tc>
          <w:tcPr>
            <w:tcW w:w="960" w:type="dxa"/>
            <w:tcBorders>
              <w:top w:val="nil"/>
              <w:left w:val="nil"/>
              <w:bottom w:val="nil"/>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Objem</w:t>
            </w:r>
          </w:p>
        </w:tc>
      </w:tr>
      <w:tr w:rsidR="001B7601" w:rsidRPr="001B7601" w:rsidTr="001B7601">
        <w:trPr>
          <w:trHeight w:val="435"/>
          <w:jc w:val="center"/>
        </w:trPr>
        <w:tc>
          <w:tcPr>
            <w:tcW w:w="1140" w:type="dxa"/>
            <w:vMerge/>
            <w:tcBorders>
              <w:top w:val="nil"/>
              <w:left w:val="single" w:sz="8" w:space="0" w:color="BFBFBF"/>
              <w:bottom w:val="single" w:sz="8" w:space="0" w:color="404040"/>
              <w:right w:val="single" w:sz="8" w:space="0" w:color="BFBFBF"/>
            </w:tcBorders>
            <w:vAlign w:val="center"/>
            <w:hideMark/>
          </w:tcPr>
          <w:p w:rsidR="001B7601" w:rsidRPr="001B7601" w:rsidRDefault="001B7601" w:rsidP="001B7601">
            <w:pPr>
              <w:spacing w:after="0" w:line="240" w:lineRule="auto"/>
              <w:rPr>
                <w:rFonts w:ascii="Tahoma" w:eastAsia="Times New Roman" w:hAnsi="Tahoma" w:cs="Tahoma"/>
                <w:color w:val="008CCD"/>
                <w:sz w:val="16"/>
                <w:szCs w:val="16"/>
                <w:lang w:eastAsia="cs-CZ"/>
              </w:rPr>
            </w:pP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rPr>
                <w:rFonts w:ascii="Calibri" w:eastAsia="Times New Roman" w:hAnsi="Calibri" w:cs="Times New Roman"/>
                <w:color w:val="000000"/>
                <w:lang w:eastAsia="cs-CZ"/>
              </w:rPr>
            </w:pPr>
            <w:r w:rsidRPr="001B7601">
              <w:rPr>
                <w:rFonts w:ascii="Calibri" w:eastAsia="Times New Roman" w:hAnsi="Calibri" w:cs="Times New Roman"/>
                <w:color w:val="000000"/>
                <w:lang w:eastAsia="cs-CZ"/>
              </w:rPr>
              <w:t> </w:t>
            </w:r>
          </w:p>
        </w:tc>
        <w:tc>
          <w:tcPr>
            <w:tcW w:w="960" w:type="dxa"/>
            <w:vMerge/>
            <w:tcBorders>
              <w:top w:val="nil"/>
              <w:left w:val="single" w:sz="8" w:space="0" w:color="BFBFBF"/>
              <w:bottom w:val="single" w:sz="8" w:space="0" w:color="404040"/>
              <w:right w:val="single" w:sz="8" w:space="0" w:color="BFBFBF"/>
            </w:tcBorders>
            <w:vAlign w:val="center"/>
            <w:hideMark/>
          </w:tcPr>
          <w:p w:rsidR="001B7601" w:rsidRPr="001B7601" w:rsidRDefault="001B7601" w:rsidP="001B7601">
            <w:pPr>
              <w:spacing w:after="0" w:line="240" w:lineRule="auto"/>
              <w:rPr>
                <w:rFonts w:ascii="Tahoma" w:eastAsia="Times New Roman" w:hAnsi="Tahoma" w:cs="Tahoma"/>
                <w:color w:val="9B9BA0"/>
                <w:sz w:val="16"/>
                <w:szCs w:val="16"/>
                <w:lang w:eastAsia="cs-CZ"/>
              </w:rPr>
            </w:pP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(mil. Kč)</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 alokace)</w:t>
            </w:r>
          </w:p>
        </w:tc>
        <w:tc>
          <w:tcPr>
            <w:tcW w:w="960" w:type="dxa"/>
            <w:vMerge/>
            <w:tcBorders>
              <w:top w:val="nil"/>
              <w:left w:val="single" w:sz="8" w:space="0" w:color="BFBFBF"/>
              <w:bottom w:val="single" w:sz="8" w:space="0" w:color="404040"/>
              <w:right w:val="single" w:sz="8" w:space="0" w:color="BFBFBF"/>
            </w:tcBorders>
            <w:vAlign w:val="center"/>
            <w:hideMark/>
          </w:tcPr>
          <w:p w:rsidR="001B7601" w:rsidRPr="001B7601" w:rsidRDefault="001B7601" w:rsidP="001B7601">
            <w:pPr>
              <w:spacing w:after="0" w:line="240" w:lineRule="auto"/>
              <w:rPr>
                <w:rFonts w:ascii="Tahoma" w:eastAsia="Times New Roman" w:hAnsi="Tahoma" w:cs="Tahoma"/>
                <w:color w:val="9B9BA0"/>
                <w:sz w:val="16"/>
                <w:szCs w:val="16"/>
                <w:lang w:eastAsia="cs-CZ"/>
              </w:rPr>
            </w:pP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(mil. Kč)</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center"/>
              <w:rPr>
                <w:rFonts w:ascii="Tahoma" w:eastAsia="Times New Roman" w:hAnsi="Tahoma" w:cs="Tahoma"/>
                <w:color w:val="9B9BA0"/>
                <w:sz w:val="16"/>
                <w:szCs w:val="16"/>
                <w:lang w:eastAsia="cs-CZ"/>
              </w:rPr>
            </w:pPr>
            <w:r w:rsidRPr="001B7601">
              <w:rPr>
                <w:rFonts w:ascii="Tahoma" w:eastAsia="Times New Roman" w:hAnsi="Tahoma" w:cs="Tahoma"/>
                <w:color w:val="9B9BA0"/>
                <w:sz w:val="16"/>
                <w:szCs w:val="16"/>
                <w:lang w:eastAsia="cs-CZ"/>
              </w:rPr>
              <w:t>(% alokace)</w:t>
            </w:r>
          </w:p>
        </w:tc>
      </w:tr>
      <w:tr w:rsidR="001B7601" w:rsidRPr="001B7601" w:rsidTr="001B7601">
        <w:trPr>
          <w:trHeight w:val="315"/>
          <w:jc w:val="center"/>
        </w:trPr>
        <w:tc>
          <w:tcPr>
            <w:tcW w:w="1140" w:type="dxa"/>
            <w:tcBorders>
              <w:top w:val="nil"/>
              <w:left w:val="single" w:sz="8" w:space="0" w:color="BFBFBF"/>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rPr>
                <w:rFonts w:ascii="Tahoma" w:hAnsi="Tahoma" w:cs="Tahoma"/>
                <w:color w:val="9B9BA0"/>
                <w:sz w:val="16"/>
                <w:szCs w:val="16"/>
              </w:rPr>
            </w:pPr>
            <w:r w:rsidRPr="001B7601">
              <w:rPr>
                <w:rFonts w:ascii="Tahoma" w:hAnsi="Tahoma" w:cs="Tahoma"/>
                <w:color w:val="9B9BA0"/>
                <w:sz w:val="16"/>
                <w:szCs w:val="16"/>
              </w:rPr>
              <w:t xml:space="preserve">PO2 </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9B9BA0"/>
                <w:sz w:val="16"/>
                <w:szCs w:val="16"/>
              </w:rPr>
            </w:pPr>
            <w:r w:rsidRPr="001B7601">
              <w:rPr>
                <w:rFonts w:ascii="Tahoma" w:hAnsi="Tahoma" w:cs="Tahoma"/>
                <w:color w:val="9B9BA0"/>
                <w:sz w:val="16"/>
                <w:szCs w:val="16"/>
              </w:rPr>
              <w:t>16 677,30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9B9BA0"/>
                <w:sz w:val="16"/>
                <w:szCs w:val="16"/>
              </w:rPr>
            </w:pPr>
            <w:r w:rsidRPr="001B7601">
              <w:rPr>
                <w:rFonts w:ascii="Tahoma" w:hAnsi="Tahoma" w:cs="Tahoma"/>
                <w:color w:val="9B9BA0"/>
                <w:sz w:val="16"/>
                <w:szCs w:val="16"/>
              </w:rPr>
              <w:t>2 730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9B9BA0"/>
                <w:sz w:val="16"/>
                <w:szCs w:val="16"/>
              </w:rPr>
            </w:pPr>
            <w:r w:rsidRPr="001B7601">
              <w:rPr>
                <w:rFonts w:ascii="Tahoma" w:hAnsi="Tahoma" w:cs="Tahoma"/>
                <w:color w:val="9B9BA0"/>
                <w:sz w:val="16"/>
                <w:szCs w:val="16"/>
              </w:rPr>
              <w:t>46 147,40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9B9BA0"/>
                <w:sz w:val="16"/>
                <w:szCs w:val="16"/>
              </w:rPr>
            </w:pPr>
            <w:r w:rsidRPr="001B7601">
              <w:rPr>
                <w:rFonts w:ascii="Tahoma" w:hAnsi="Tahoma" w:cs="Tahoma"/>
                <w:color w:val="9B9BA0"/>
                <w:sz w:val="16"/>
                <w:szCs w:val="16"/>
              </w:rPr>
              <w:t>276,7</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9B9BA0"/>
                <w:sz w:val="16"/>
                <w:szCs w:val="16"/>
              </w:rPr>
            </w:pPr>
            <w:r w:rsidRPr="001B7601">
              <w:rPr>
                <w:rFonts w:ascii="Tahoma" w:hAnsi="Tahoma" w:cs="Tahoma"/>
                <w:color w:val="9B9BA0"/>
                <w:sz w:val="16"/>
                <w:szCs w:val="16"/>
              </w:rPr>
              <w:t>1 067</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9B9BA0"/>
                <w:sz w:val="16"/>
                <w:szCs w:val="16"/>
              </w:rPr>
            </w:pPr>
            <w:r w:rsidRPr="001B7601">
              <w:rPr>
                <w:rFonts w:ascii="Tahoma" w:hAnsi="Tahoma" w:cs="Tahoma"/>
                <w:color w:val="9B9BA0"/>
                <w:sz w:val="16"/>
                <w:szCs w:val="16"/>
              </w:rPr>
              <w:t>16 978,70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9B9BA0"/>
                <w:sz w:val="16"/>
                <w:szCs w:val="16"/>
              </w:rPr>
            </w:pPr>
            <w:r w:rsidRPr="001B7601">
              <w:rPr>
                <w:rFonts w:ascii="Tahoma" w:hAnsi="Tahoma" w:cs="Tahoma"/>
                <w:color w:val="9B9BA0"/>
                <w:sz w:val="16"/>
                <w:szCs w:val="16"/>
              </w:rPr>
              <w:t>101,8</w:t>
            </w:r>
          </w:p>
        </w:tc>
      </w:tr>
      <w:tr w:rsidR="001B7601" w:rsidRPr="001B7601" w:rsidTr="001B7601">
        <w:trPr>
          <w:trHeight w:val="315"/>
          <w:jc w:val="center"/>
        </w:trPr>
        <w:tc>
          <w:tcPr>
            <w:tcW w:w="1140" w:type="dxa"/>
            <w:tcBorders>
              <w:top w:val="nil"/>
              <w:left w:val="single" w:sz="8" w:space="0" w:color="BFBFBF"/>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rPr>
                <w:rFonts w:ascii="Tahoma" w:hAnsi="Tahoma" w:cs="Tahoma"/>
                <w:color w:val="C3003C"/>
                <w:sz w:val="16"/>
                <w:szCs w:val="16"/>
              </w:rPr>
            </w:pPr>
            <w:r w:rsidRPr="001B7601">
              <w:rPr>
                <w:rFonts w:ascii="Tahoma" w:hAnsi="Tahoma" w:cs="Tahoma"/>
                <w:color w:val="C3003C"/>
                <w:sz w:val="16"/>
                <w:szCs w:val="16"/>
              </w:rPr>
              <w:t>PO2 - OP 2.3</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C3003C"/>
                <w:sz w:val="16"/>
                <w:szCs w:val="16"/>
              </w:rPr>
            </w:pPr>
            <w:r w:rsidRPr="001B7601">
              <w:rPr>
                <w:rFonts w:ascii="Tahoma" w:hAnsi="Tahoma" w:cs="Tahoma"/>
                <w:color w:val="C3003C"/>
                <w:sz w:val="16"/>
                <w:szCs w:val="16"/>
              </w:rPr>
              <w:t>7 073,30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C3003C"/>
                <w:sz w:val="16"/>
                <w:szCs w:val="16"/>
              </w:rPr>
            </w:pPr>
            <w:r w:rsidRPr="001B7601">
              <w:rPr>
                <w:rFonts w:ascii="Tahoma" w:hAnsi="Tahoma" w:cs="Tahoma"/>
                <w:color w:val="C3003C"/>
                <w:sz w:val="16"/>
                <w:szCs w:val="16"/>
              </w:rPr>
              <w:t>715</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C3003C"/>
                <w:sz w:val="16"/>
                <w:szCs w:val="16"/>
              </w:rPr>
            </w:pPr>
            <w:r w:rsidRPr="001B7601">
              <w:rPr>
                <w:rFonts w:ascii="Tahoma" w:hAnsi="Tahoma" w:cs="Tahoma"/>
                <w:color w:val="C3003C"/>
                <w:sz w:val="16"/>
                <w:szCs w:val="16"/>
              </w:rPr>
              <w:t>15 026,40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C3003C"/>
                <w:sz w:val="16"/>
                <w:szCs w:val="16"/>
              </w:rPr>
            </w:pPr>
            <w:r w:rsidRPr="001B7601">
              <w:rPr>
                <w:rFonts w:ascii="Tahoma" w:hAnsi="Tahoma" w:cs="Tahoma"/>
                <w:color w:val="C3003C"/>
                <w:sz w:val="16"/>
                <w:szCs w:val="16"/>
              </w:rPr>
              <w:t>212,4</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C3003C"/>
                <w:sz w:val="16"/>
                <w:szCs w:val="16"/>
              </w:rPr>
            </w:pPr>
            <w:r w:rsidRPr="001B7601">
              <w:rPr>
                <w:rFonts w:ascii="Tahoma" w:hAnsi="Tahoma" w:cs="Tahoma"/>
                <w:color w:val="C3003C"/>
                <w:sz w:val="16"/>
                <w:szCs w:val="16"/>
              </w:rPr>
              <w:t>339</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C3003C"/>
                <w:sz w:val="16"/>
                <w:szCs w:val="16"/>
              </w:rPr>
            </w:pPr>
            <w:r w:rsidRPr="001B7601">
              <w:rPr>
                <w:rFonts w:ascii="Tahoma" w:hAnsi="Tahoma" w:cs="Tahoma"/>
                <w:color w:val="C3003C"/>
                <w:sz w:val="16"/>
                <w:szCs w:val="16"/>
              </w:rPr>
              <w:t>7 500,70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C3003C"/>
                <w:sz w:val="16"/>
                <w:szCs w:val="16"/>
              </w:rPr>
            </w:pPr>
            <w:r w:rsidRPr="001B7601">
              <w:rPr>
                <w:rFonts w:ascii="Tahoma" w:hAnsi="Tahoma" w:cs="Tahoma"/>
                <w:color w:val="C3003C"/>
                <w:sz w:val="16"/>
                <w:szCs w:val="16"/>
              </w:rPr>
              <w:t>106,0</w:t>
            </w:r>
          </w:p>
        </w:tc>
      </w:tr>
      <w:tr w:rsidR="001B7601" w:rsidRPr="001B7601" w:rsidTr="001B7601">
        <w:trPr>
          <w:trHeight w:val="315"/>
          <w:jc w:val="center"/>
        </w:trPr>
        <w:tc>
          <w:tcPr>
            <w:tcW w:w="1140" w:type="dxa"/>
            <w:tcBorders>
              <w:top w:val="nil"/>
              <w:left w:val="single" w:sz="8" w:space="0" w:color="BFBFBF"/>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rPr>
                <w:rFonts w:ascii="Tahoma" w:hAnsi="Tahoma" w:cs="Tahoma"/>
                <w:color w:val="C3003C"/>
                <w:sz w:val="16"/>
                <w:szCs w:val="16"/>
              </w:rPr>
            </w:pPr>
            <w:r w:rsidRPr="001B7601">
              <w:rPr>
                <w:rFonts w:ascii="Tahoma" w:hAnsi="Tahoma" w:cs="Tahoma"/>
                <w:color w:val="C3003C"/>
                <w:sz w:val="16"/>
                <w:szCs w:val="16"/>
              </w:rPr>
              <w:t>PO2 - OP 2.4</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C3003C"/>
                <w:sz w:val="16"/>
                <w:szCs w:val="16"/>
              </w:rPr>
            </w:pPr>
            <w:r w:rsidRPr="001B7601">
              <w:rPr>
                <w:rFonts w:ascii="Tahoma" w:hAnsi="Tahoma" w:cs="Tahoma"/>
                <w:color w:val="C3003C"/>
                <w:sz w:val="16"/>
                <w:szCs w:val="16"/>
              </w:rPr>
              <w:t>2 947,60</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C3003C"/>
                <w:sz w:val="16"/>
                <w:szCs w:val="16"/>
              </w:rPr>
            </w:pPr>
            <w:r w:rsidRPr="001B7601">
              <w:rPr>
                <w:rFonts w:ascii="Tahoma" w:hAnsi="Tahoma" w:cs="Tahoma"/>
                <w:color w:val="C3003C"/>
                <w:sz w:val="16"/>
                <w:szCs w:val="16"/>
              </w:rPr>
              <w:t>538</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C3003C"/>
                <w:sz w:val="16"/>
                <w:szCs w:val="16"/>
              </w:rPr>
            </w:pPr>
            <w:r w:rsidRPr="001B7601">
              <w:rPr>
                <w:rFonts w:ascii="Tahoma" w:hAnsi="Tahoma" w:cs="Tahoma"/>
                <w:color w:val="C3003C"/>
                <w:sz w:val="16"/>
                <w:szCs w:val="16"/>
              </w:rPr>
              <w:t>12 056,40</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C3003C"/>
                <w:sz w:val="16"/>
                <w:szCs w:val="16"/>
              </w:rPr>
            </w:pPr>
            <w:r w:rsidRPr="001B7601">
              <w:rPr>
                <w:rFonts w:ascii="Tahoma" w:hAnsi="Tahoma" w:cs="Tahoma"/>
                <w:color w:val="C3003C"/>
                <w:sz w:val="16"/>
                <w:szCs w:val="16"/>
              </w:rPr>
              <w:t>409,0</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C3003C"/>
                <w:sz w:val="16"/>
                <w:szCs w:val="16"/>
              </w:rPr>
            </w:pPr>
            <w:r w:rsidRPr="001B7601">
              <w:rPr>
                <w:rFonts w:ascii="Tahoma" w:hAnsi="Tahoma" w:cs="Tahoma"/>
                <w:color w:val="C3003C"/>
                <w:sz w:val="16"/>
                <w:szCs w:val="16"/>
              </w:rPr>
              <w:t>176</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C3003C"/>
                <w:sz w:val="16"/>
                <w:szCs w:val="16"/>
              </w:rPr>
            </w:pPr>
            <w:r w:rsidRPr="001B7601">
              <w:rPr>
                <w:rFonts w:ascii="Tahoma" w:hAnsi="Tahoma" w:cs="Tahoma"/>
                <w:color w:val="C3003C"/>
                <w:sz w:val="16"/>
                <w:szCs w:val="16"/>
              </w:rPr>
              <w:t>2 919,40</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C3003C"/>
                <w:sz w:val="16"/>
                <w:szCs w:val="16"/>
              </w:rPr>
            </w:pPr>
            <w:r w:rsidRPr="001B7601">
              <w:rPr>
                <w:rFonts w:ascii="Tahoma" w:hAnsi="Tahoma" w:cs="Tahoma"/>
                <w:color w:val="C3003C"/>
                <w:sz w:val="16"/>
                <w:szCs w:val="16"/>
              </w:rPr>
              <w:t>99,0</w:t>
            </w:r>
          </w:p>
        </w:tc>
      </w:tr>
      <w:tr w:rsidR="001B7601" w:rsidRPr="001B7601" w:rsidTr="001B7601">
        <w:trPr>
          <w:trHeight w:val="315"/>
          <w:jc w:val="center"/>
        </w:trPr>
        <w:tc>
          <w:tcPr>
            <w:tcW w:w="1140" w:type="dxa"/>
            <w:tcBorders>
              <w:top w:val="nil"/>
              <w:left w:val="single" w:sz="8" w:space="0" w:color="BFBFBF"/>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rPr>
                <w:rFonts w:ascii="Tahoma" w:hAnsi="Tahoma" w:cs="Tahoma"/>
                <w:color w:val="9B9BA0"/>
                <w:sz w:val="16"/>
                <w:szCs w:val="16"/>
              </w:rPr>
            </w:pPr>
            <w:r w:rsidRPr="001B7601">
              <w:rPr>
                <w:rFonts w:ascii="Tahoma" w:hAnsi="Tahoma" w:cs="Tahoma"/>
                <w:color w:val="9B9BA0"/>
                <w:sz w:val="16"/>
                <w:szCs w:val="16"/>
              </w:rPr>
              <w:t xml:space="preserve">OP celkem </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9B9BA0"/>
                <w:sz w:val="16"/>
                <w:szCs w:val="16"/>
              </w:rPr>
            </w:pPr>
            <w:r w:rsidRPr="001B7601">
              <w:rPr>
                <w:rFonts w:ascii="Tahoma" w:hAnsi="Tahoma" w:cs="Tahoma"/>
                <w:color w:val="9B9BA0"/>
                <w:sz w:val="16"/>
                <w:szCs w:val="16"/>
              </w:rPr>
              <w:t>43 692,10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9B9BA0"/>
                <w:sz w:val="16"/>
                <w:szCs w:val="16"/>
              </w:rPr>
            </w:pPr>
            <w:r w:rsidRPr="001B7601">
              <w:rPr>
                <w:rFonts w:ascii="Tahoma" w:hAnsi="Tahoma" w:cs="Tahoma"/>
                <w:color w:val="9B9BA0"/>
                <w:sz w:val="16"/>
                <w:szCs w:val="16"/>
              </w:rPr>
              <w:t>23 384</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9B9BA0"/>
                <w:sz w:val="16"/>
                <w:szCs w:val="16"/>
              </w:rPr>
            </w:pPr>
            <w:r w:rsidRPr="001B7601">
              <w:rPr>
                <w:rFonts w:ascii="Tahoma" w:hAnsi="Tahoma" w:cs="Tahoma"/>
                <w:color w:val="9B9BA0"/>
                <w:sz w:val="16"/>
                <w:szCs w:val="16"/>
              </w:rPr>
              <w:t>127 986,30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9B9BA0"/>
                <w:sz w:val="16"/>
                <w:szCs w:val="16"/>
              </w:rPr>
            </w:pPr>
            <w:r w:rsidRPr="001B7601">
              <w:rPr>
                <w:rFonts w:ascii="Tahoma" w:hAnsi="Tahoma" w:cs="Tahoma"/>
                <w:color w:val="9B9BA0"/>
                <w:sz w:val="16"/>
                <w:szCs w:val="16"/>
              </w:rPr>
              <w:t>292,9</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9B9BA0"/>
                <w:sz w:val="16"/>
                <w:szCs w:val="16"/>
              </w:rPr>
            </w:pPr>
            <w:r w:rsidRPr="001B7601">
              <w:rPr>
                <w:rFonts w:ascii="Tahoma" w:hAnsi="Tahoma" w:cs="Tahoma"/>
                <w:color w:val="9B9BA0"/>
                <w:sz w:val="16"/>
                <w:szCs w:val="16"/>
              </w:rPr>
              <w:t>10 593</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9B9BA0"/>
                <w:sz w:val="16"/>
                <w:szCs w:val="16"/>
              </w:rPr>
            </w:pPr>
            <w:r w:rsidRPr="001B7601">
              <w:rPr>
                <w:rFonts w:ascii="Tahoma" w:hAnsi="Tahoma" w:cs="Tahoma"/>
                <w:color w:val="9B9BA0"/>
                <w:sz w:val="16"/>
                <w:szCs w:val="16"/>
              </w:rPr>
              <w:t>46 319,20</w:t>
            </w:r>
          </w:p>
        </w:tc>
        <w:tc>
          <w:tcPr>
            <w:tcW w:w="960" w:type="dxa"/>
            <w:tcBorders>
              <w:top w:val="nil"/>
              <w:left w:val="nil"/>
              <w:bottom w:val="single" w:sz="8" w:space="0" w:color="BFBFBF"/>
              <w:right w:val="single" w:sz="8" w:space="0" w:color="BFBFBF"/>
            </w:tcBorders>
            <w:shd w:val="clear" w:color="auto" w:fill="auto"/>
            <w:vAlign w:val="center"/>
            <w:hideMark/>
          </w:tcPr>
          <w:p w:rsidR="001B7601" w:rsidRPr="001B7601" w:rsidRDefault="001B7601" w:rsidP="001B7601">
            <w:pPr>
              <w:spacing w:after="0" w:line="240" w:lineRule="auto"/>
              <w:jc w:val="right"/>
              <w:rPr>
                <w:rFonts w:ascii="Tahoma" w:hAnsi="Tahoma" w:cs="Tahoma"/>
                <w:color w:val="9B9BA0"/>
                <w:sz w:val="16"/>
                <w:szCs w:val="16"/>
              </w:rPr>
            </w:pPr>
            <w:r w:rsidRPr="001B7601">
              <w:rPr>
                <w:rFonts w:ascii="Tahoma" w:hAnsi="Tahoma" w:cs="Tahoma"/>
                <w:color w:val="9B9BA0"/>
                <w:sz w:val="16"/>
                <w:szCs w:val="16"/>
              </w:rPr>
              <w:t>106,0</w:t>
            </w:r>
          </w:p>
        </w:tc>
      </w:tr>
    </w:tbl>
    <w:p w:rsidR="00F110FD" w:rsidRDefault="00EB7966" w:rsidP="00F110FD">
      <w:pPr>
        <w:pStyle w:val="Obrzek-nadpis"/>
      </w:pPr>
      <w:r>
        <w:t xml:space="preserve">Tab. 3.5: </w:t>
      </w:r>
      <w:r w:rsidR="00F110FD">
        <w:t xml:space="preserve">Stav </w:t>
      </w:r>
      <w:r w:rsidR="00F110FD" w:rsidRPr="00C50BF5">
        <w:t>čerpání finančních prostředků</w:t>
      </w:r>
      <w:r w:rsidR="00F110FD">
        <w:t xml:space="preserve"> </w:t>
      </w:r>
      <w:r w:rsidR="001B7601">
        <w:t>–</w:t>
      </w:r>
      <w:r w:rsidR="00F110FD">
        <w:t xml:space="preserve"> MPO</w:t>
      </w:r>
    </w:p>
    <w:tbl>
      <w:tblPr>
        <w:tblW w:w="8222" w:type="dxa"/>
        <w:jc w:val="center"/>
        <w:tblCellMar>
          <w:left w:w="70" w:type="dxa"/>
          <w:right w:w="70" w:type="dxa"/>
        </w:tblCellMar>
        <w:tblLook w:val="04A0" w:firstRow="1" w:lastRow="0" w:firstColumn="1" w:lastColumn="0" w:noHBand="0" w:noVBand="1"/>
      </w:tblPr>
      <w:tblGrid>
        <w:gridCol w:w="1194"/>
        <w:gridCol w:w="1004"/>
        <w:gridCol w:w="1004"/>
        <w:gridCol w:w="1004"/>
        <w:gridCol w:w="1004"/>
        <w:gridCol w:w="1004"/>
        <w:gridCol w:w="1004"/>
        <w:gridCol w:w="1004"/>
      </w:tblGrid>
      <w:tr w:rsidR="001B7601" w:rsidRPr="003E3BA5" w:rsidTr="001B7601">
        <w:trPr>
          <w:trHeight w:val="315"/>
          <w:jc w:val="center"/>
        </w:trPr>
        <w:tc>
          <w:tcPr>
            <w:tcW w:w="7860" w:type="dxa"/>
            <w:gridSpan w:val="8"/>
            <w:tcBorders>
              <w:top w:val="single" w:sz="8" w:space="0" w:color="BFBFBF"/>
              <w:left w:val="single" w:sz="8" w:space="0" w:color="BFBFBF"/>
              <w:bottom w:val="single" w:sz="8" w:space="0" w:color="BFBFBF"/>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b/>
                <w:bCs/>
                <w:color w:val="008CCD"/>
                <w:sz w:val="24"/>
                <w:szCs w:val="24"/>
                <w:lang w:eastAsia="cs-CZ"/>
              </w:rPr>
            </w:pPr>
            <w:r w:rsidRPr="003E3BA5">
              <w:rPr>
                <w:rFonts w:ascii="Tahoma" w:eastAsia="Times New Roman" w:hAnsi="Tahoma" w:cs="Tahoma"/>
                <w:b/>
                <w:bCs/>
                <w:color w:val="008CCD"/>
                <w:sz w:val="24"/>
                <w:szCs w:val="24"/>
                <w:lang w:eastAsia="cs-CZ"/>
              </w:rPr>
              <w:t>OP PI</w:t>
            </w:r>
          </w:p>
        </w:tc>
      </w:tr>
      <w:tr w:rsidR="001B7601" w:rsidRPr="003E3BA5" w:rsidTr="001B7601">
        <w:trPr>
          <w:trHeight w:val="435"/>
          <w:jc w:val="center"/>
        </w:trPr>
        <w:tc>
          <w:tcPr>
            <w:tcW w:w="1140" w:type="dxa"/>
            <w:vMerge w:val="restart"/>
            <w:tcBorders>
              <w:top w:val="nil"/>
              <w:left w:val="single" w:sz="8" w:space="0" w:color="BFBFBF"/>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008CCD"/>
                <w:sz w:val="16"/>
                <w:szCs w:val="16"/>
                <w:lang w:eastAsia="cs-CZ"/>
              </w:rPr>
            </w:pPr>
            <w:r w:rsidRPr="003E3BA5">
              <w:rPr>
                <w:rFonts w:ascii="Tahoma" w:eastAsia="Times New Roman" w:hAnsi="Tahoma" w:cs="Tahoma"/>
                <w:color w:val="008CCD"/>
                <w:sz w:val="16"/>
                <w:szCs w:val="16"/>
                <w:lang w:eastAsia="cs-CZ"/>
              </w:rPr>
              <w:t>Sekce</w:t>
            </w:r>
          </w:p>
        </w:tc>
        <w:tc>
          <w:tcPr>
            <w:tcW w:w="960" w:type="dxa"/>
            <w:tcBorders>
              <w:top w:val="nil"/>
              <w:left w:val="nil"/>
              <w:bottom w:val="nil"/>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008CCD"/>
                <w:sz w:val="16"/>
                <w:szCs w:val="16"/>
                <w:lang w:eastAsia="cs-CZ"/>
              </w:rPr>
            </w:pPr>
            <w:r w:rsidRPr="003E3BA5">
              <w:rPr>
                <w:rFonts w:ascii="Tahoma" w:eastAsia="Times New Roman" w:hAnsi="Tahoma" w:cs="Tahoma"/>
                <w:color w:val="008CCD"/>
                <w:sz w:val="16"/>
                <w:szCs w:val="16"/>
                <w:lang w:eastAsia="cs-CZ"/>
              </w:rPr>
              <w:t>Celková alokace</w:t>
            </w:r>
          </w:p>
        </w:tc>
        <w:tc>
          <w:tcPr>
            <w:tcW w:w="2880" w:type="dxa"/>
            <w:gridSpan w:val="3"/>
            <w:tcBorders>
              <w:top w:val="single" w:sz="8" w:space="0" w:color="BFBFBF"/>
              <w:left w:val="nil"/>
              <w:bottom w:val="single" w:sz="8" w:space="0" w:color="BFBFBF"/>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008CCD"/>
                <w:sz w:val="16"/>
                <w:szCs w:val="16"/>
                <w:lang w:eastAsia="cs-CZ"/>
              </w:rPr>
            </w:pPr>
            <w:r w:rsidRPr="003E3BA5">
              <w:rPr>
                <w:rFonts w:ascii="Tahoma" w:eastAsia="Times New Roman" w:hAnsi="Tahoma" w:cs="Tahoma"/>
                <w:color w:val="008CCD"/>
                <w:sz w:val="16"/>
                <w:szCs w:val="16"/>
                <w:lang w:eastAsia="cs-CZ"/>
              </w:rPr>
              <w:t>Podané žádosti</w:t>
            </w:r>
          </w:p>
        </w:tc>
        <w:tc>
          <w:tcPr>
            <w:tcW w:w="2880" w:type="dxa"/>
            <w:gridSpan w:val="3"/>
            <w:tcBorders>
              <w:top w:val="single" w:sz="8" w:space="0" w:color="BFBFBF"/>
              <w:left w:val="nil"/>
              <w:bottom w:val="single" w:sz="8" w:space="0" w:color="BFBFBF"/>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008CCD"/>
                <w:sz w:val="16"/>
                <w:szCs w:val="16"/>
                <w:lang w:eastAsia="cs-CZ"/>
              </w:rPr>
            </w:pPr>
            <w:r w:rsidRPr="003E3BA5">
              <w:rPr>
                <w:rFonts w:ascii="Tahoma" w:eastAsia="Times New Roman" w:hAnsi="Tahoma" w:cs="Tahoma"/>
                <w:color w:val="008CCD"/>
                <w:sz w:val="16"/>
                <w:szCs w:val="16"/>
                <w:lang w:eastAsia="cs-CZ"/>
              </w:rPr>
              <w:t>Projekty s vydaným rozhodnutím</w:t>
            </w:r>
          </w:p>
        </w:tc>
      </w:tr>
      <w:tr w:rsidR="001B7601" w:rsidRPr="003E3BA5" w:rsidTr="001B7601">
        <w:trPr>
          <w:trHeight w:val="300"/>
          <w:jc w:val="center"/>
        </w:trPr>
        <w:tc>
          <w:tcPr>
            <w:tcW w:w="1140" w:type="dxa"/>
            <w:vMerge/>
            <w:tcBorders>
              <w:top w:val="nil"/>
              <w:left w:val="single" w:sz="8" w:space="0" w:color="BFBFBF"/>
              <w:bottom w:val="single" w:sz="8" w:space="0" w:color="404040"/>
              <w:right w:val="single" w:sz="8" w:space="0" w:color="BFBFBF"/>
            </w:tcBorders>
            <w:vAlign w:val="center"/>
            <w:hideMark/>
          </w:tcPr>
          <w:p w:rsidR="001B7601" w:rsidRPr="003E3BA5" w:rsidRDefault="001B7601" w:rsidP="000B10EB">
            <w:pPr>
              <w:spacing w:after="0" w:line="240" w:lineRule="auto"/>
              <w:rPr>
                <w:rFonts w:ascii="Tahoma" w:eastAsia="Times New Roman" w:hAnsi="Tahoma" w:cs="Tahoma"/>
                <w:color w:val="008CCD"/>
                <w:sz w:val="16"/>
                <w:szCs w:val="16"/>
                <w:lang w:eastAsia="cs-CZ"/>
              </w:rPr>
            </w:pPr>
          </w:p>
        </w:tc>
        <w:tc>
          <w:tcPr>
            <w:tcW w:w="960" w:type="dxa"/>
            <w:tcBorders>
              <w:top w:val="nil"/>
              <w:left w:val="nil"/>
              <w:bottom w:val="nil"/>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008CCD"/>
                <w:sz w:val="16"/>
                <w:szCs w:val="16"/>
                <w:lang w:eastAsia="cs-CZ"/>
              </w:rPr>
            </w:pPr>
            <w:r>
              <w:rPr>
                <w:rFonts w:ascii="Tahoma" w:eastAsia="Times New Roman" w:hAnsi="Tahoma" w:cs="Tahoma"/>
                <w:color w:val="008CCD"/>
                <w:sz w:val="16"/>
                <w:szCs w:val="16"/>
                <w:lang w:eastAsia="cs-CZ"/>
              </w:rPr>
              <w:t>(</w:t>
            </w:r>
            <w:r w:rsidRPr="003E3BA5">
              <w:rPr>
                <w:rFonts w:ascii="Tahoma" w:eastAsia="Times New Roman" w:hAnsi="Tahoma" w:cs="Tahoma"/>
                <w:color w:val="008CCD"/>
                <w:sz w:val="16"/>
                <w:szCs w:val="16"/>
                <w:lang w:eastAsia="cs-CZ"/>
              </w:rPr>
              <w:t>mil. Kč</w:t>
            </w:r>
            <w:r>
              <w:rPr>
                <w:rFonts w:ascii="Tahoma" w:eastAsia="Times New Roman" w:hAnsi="Tahoma" w:cs="Tahoma"/>
                <w:color w:val="008CCD"/>
                <w:sz w:val="16"/>
                <w:szCs w:val="16"/>
                <w:lang w:eastAsia="cs-CZ"/>
              </w:rPr>
              <w:t>)</w:t>
            </w:r>
          </w:p>
        </w:tc>
        <w:tc>
          <w:tcPr>
            <w:tcW w:w="960" w:type="dxa"/>
            <w:vMerge w:val="restart"/>
            <w:tcBorders>
              <w:top w:val="nil"/>
              <w:left w:val="single" w:sz="8" w:space="0" w:color="BFBFBF"/>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sidRPr="003E3BA5">
              <w:rPr>
                <w:rFonts w:ascii="Tahoma" w:eastAsia="Times New Roman" w:hAnsi="Tahoma" w:cs="Tahoma"/>
                <w:color w:val="9B9BA0"/>
                <w:sz w:val="16"/>
                <w:szCs w:val="16"/>
                <w:lang w:eastAsia="cs-CZ"/>
              </w:rPr>
              <w:t>Počet</w:t>
            </w:r>
          </w:p>
        </w:tc>
        <w:tc>
          <w:tcPr>
            <w:tcW w:w="960" w:type="dxa"/>
            <w:tcBorders>
              <w:top w:val="nil"/>
              <w:left w:val="nil"/>
              <w:bottom w:val="nil"/>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sidRPr="003E3BA5">
              <w:rPr>
                <w:rFonts w:ascii="Tahoma" w:eastAsia="Times New Roman" w:hAnsi="Tahoma" w:cs="Tahoma"/>
                <w:color w:val="9B9BA0"/>
                <w:sz w:val="16"/>
                <w:szCs w:val="16"/>
                <w:lang w:eastAsia="cs-CZ"/>
              </w:rPr>
              <w:t>Objem</w:t>
            </w:r>
          </w:p>
        </w:tc>
        <w:tc>
          <w:tcPr>
            <w:tcW w:w="960" w:type="dxa"/>
            <w:tcBorders>
              <w:top w:val="nil"/>
              <w:left w:val="nil"/>
              <w:bottom w:val="nil"/>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sidRPr="003E3BA5">
              <w:rPr>
                <w:rFonts w:ascii="Tahoma" w:eastAsia="Times New Roman" w:hAnsi="Tahoma" w:cs="Tahoma"/>
                <w:color w:val="9B9BA0"/>
                <w:sz w:val="16"/>
                <w:szCs w:val="16"/>
                <w:lang w:eastAsia="cs-CZ"/>
              </w:rPr>
              <w:t>Objem</w:t>
            </w:r>
          </w:p>
        </w:tc>
        <w:tc>
          <w:tcPr>
            <w:tcW w:w="960" w:type="dxa"/>
            <w:vMerge w:val="restart"/>
            <w:tcBorders>
              <w:top w:val="nil"/>
              <w:left w:val="single" w:sz="8" w:space="0" w:color="BFBFBF"/>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sidRPr="003E3BA5">
              <w:rPr>
                <w:rFonts w:ascii="Tahoma" w:eastAsia="Times New Roman" w:hAnsi="Tahoma" w:cs="Tahoma"/>
                <w:color w:val="9B9BA0"/>
                <w:sz w:val="16"/>
                <w:szCs w:val="16"/>
                <w:lang w:eastAsia="cs-CZ"/>
              </w:rPr>
              <w:t>Počet</w:t>
            </w:r>
          </w:p>
        </w:tc>
        <w:tc>
          <w:tcPr>
            <w:tcW w:w="960" w:type="dxa"/>
            <w:tcBorders>
              <w:top w:val="nil"/>
              <w:left w:val="nil"/>
              <w:bottom w:val="nil"/>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sidRPr="003E3BA5">
              <w:rPr>
                <w:rFonts w:ascii="Tahoma" w:eastAsia="Times New Roman" w:hAnsi="Tahoma" w:cs="Tahoma"/>
                <w:color w:val="9B9BA0"/>
                <w:sz w:val="16"/>
                <w:szCs w:val="16"/>
                <w:lang w:eastAsia="cs-CZ"/>
              </w:rPr>
              <w:t>Objem</w:t>
            </w:r>
          </w:p>
        </w:tc>
        <w:tc>
          <w:tcPr>
            <w:tcW w:w="960" w:type="dxa"/>
            <w:tcBorders>
              <w:top w:val="nil"/>
              <w:left w:val="nil"/>
              <w:bottom w:val="nil"/>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sidRPr="003E3BA5">
              <w:rPr>
                <w:rFonts w:ascii="Tahoma" w:eastAsia="Times New Roman" w:hAnsi="Tahoma" w:cs="Tahoma"/>
                <w:color w:val="9B9BA0"/>
                <w:sz w:val="16"/>
                <w:szCs w:val="16"/>
                <w:lang w:eastAsia="cs-CZ"/>
              </w:rPr>
              <w:t>Objem</w:t>
            </w:r>
          </w:p>
        </w:tc>
      </w:tr>
      <w:tr w:rsidR="001B7601" w:rsidRPr="003E3BA5" w:rsidTr="001B7601">
        <w:trPr>
          <w:trHeight w:val="435"/>
          <w:jc w:val="center"/>
        </w:trPr>
        <w:tc>
          <w:tcPr>
            <w:tcW w:w="1140" w:type="dxa"/>
            <w:vMerge/>
            <w:tcBorders>
              <w:top w:val="nil"/>
              <w:left w:val="single" w:sz="8" w:space="0" w:color="BFBFBF"/>
              <w:bottom w:val="single" w:sz="8" w:space="0" w:color="404040"/>
              <w:right w:val="single" w:sz="8" w:space="0" w:color="BFBFBF"/>
            </w:tcBorders>
            <w:vAlign w:val="center"/>
            <w:hideMark/>
          </w:tcPr>
          <w:p w:rsidR="001B7601" w:rsidRPr="003E3BA5" w:rsidRDefault="001B7601" w:rsidP="000B10EB">
            <w:pPr>
              <w:spacing w:after="0" w:line="240" w:lineRule="auto"/>
              <w:rPr>
                <w:rFonts w:ascii="Tahoma" w:eastAsia="Times New Roman" w:hAnsi="Tahoma" w:cs="Tahoma"/>
                <w:color w:val="008CCD"/>
                <w:sz w:val="16"/>
                <w:szCs w:val="16"/>
                <w:lang w:eastAsia="cs-CZ"/>
              </w:rPr>
            </w:pPr>
          </w:p>
        </w:tc>
        <w:tc>
          <w:tcPr>
            <w:tcW w:w="960" w:type="dxa"/>
            <w:tcBorders>
              <w:top w:val="nil"/>
              <w:left w:val="nil"/>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rPr>
                <w:rFonts w:ascii="Calibri" w:eastAsia="Times New Roman" w:hAnsi="Calibri" w:cs="Times New Roman"/>
                <w:color w:val="000000"/>
                <w:lang w:eastAsia="cs-CZ"/>
              </w:rPr>
            </w:pPr>
          </w:p>
        </w:tc>
        <w:tc>
          <w:tcPr>
            <w:tcW w:w="960" w:type="dxa"/>
            <w:vMerge/>
            <w:tcBorders>
              <w:top w:val="nil"/>
              <w:left w:val="single" w:sz="8" w:space="0" w:color="BFBFBF"/>
              <w:bottom w:val="single" w:sz="8" w:space="0" w:color="404040"/>
              <w:right w:val="single" w:sz="8" w:space="0" w:color="BFBFBF"/>
            </w:tcBorders>
            <w:vAlign w:val="center"/>
            <w:hideMark/>
          </w:tcPr>
          <w:p w:rsidR="001B7601" w:rsidRPr="003E3BA5" w:rsidRDefault="001B7601" w:rsidP="000B10EB">
            <w:pPr>
              <w:spacing w:after="0" w:line="240" w:lineRule="auto"/>
              <w:rPr>
                <w:rFonts w:ascii="Tahoma" w:eastAsia="Times New Roman" w:hAnsi="Tahoma" w:cs="Tahoma"/>
                <w:color w:val="9B9BA0"/>
                <w:sz w:val="16"/>
                <w:szCs w:val="16"/>
                <w:lang w:eastAsia="cs-CZ"/>
              </w:rPr>
            </w:pPr>
          </w:p>
        </w:tc>
        <w:tc>
          <w:tcPr>
            <w:tcW w:w="960" w:type="dxa"/>
            <w:tcBorders>
              <w:top w:val="nil"/>
              <w:left w:val="nil"/>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Pr>
                <w:rFonts w:ascii="Tahoma" w:eastAsia="Times New Roman" w:hAnsi="Tahoma" w:cs="Tahoma"/>
                <w:color w:val="9B9BA0"/>
                <w:sz w:val="16"/>
                <w:szCs w:val="16"/>
                <w:lang w:eastAsia="cs-CZ"/>
              </w:rPr>
              <w:t>(</w:t>
            </w:r>
            <w:r w:rsidRPr="003E3BA5">
              <w:rPr>
                <w:rFonts w:ascii="Tahoma" w:eastAsia="Times New Roman" w:hAnsi="Tahoma" w:cs="Tahoma"/>
                <w:color w:val="9B9BA0"/>
                <w:sz w:val="16"/>
                <w:szCs w:val="16"/>
                <w:lang w:eastAsia="cs-CZ"/>
              </w:rPr>
              <w:t>mil. Kč</w:t>
            </w:r>
            <w:r>
              <w:rPr>
                <w:rFonts w:ascii="Tahoma" w:eastAsia="Times New Roman" w:hAnsi="Tahoma" w:cs="Tahoma"/>
                <w:color w:val="9B9BA0"/>
                <w:sz w:val="16"/>
                <w:szCs w:val="16"/>
                <w:lang w:eastAsia="cs-CZ"/>
              </w:rPr>
              <w:t>)</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Pr>
                <w:rFonts w:ascii="Tahoma" w:eastAsia="Times New Roman" w:hAnsi="Tahoma" w:cs="Tahoma"/>
                <w:color w:val="9B9BA0"/>
                <w:sz w:val="16"/>
                <w:szCs w:val="16"/>
                <w:lang w:eastAsia="cs-CZ"/>
              </w:rPr>
              <w:t>(</w:t>
            </w:r>
            <w:r w:rsidRPr="003E3BA5">
              <w:rPr>
                <w:rFonts w:ascii="Tahoma" w:eastAsia="Times New Roman" w:hAnsi="Tahoma" w:cs="Tahoma"/>
                <w:color w:val="9B9BA0"/>
                <w:sz w:val="16"/>
                <w:szCs w:val="16"/>
                <w:lang w:eastAsia="cs-CZ"/>
              </w:rPr>
              <w:t>% alokace</w:t>
            </w:r>
            <w:r>
              <w:rPr>
                <w:rFonts w:ascii="Tahoma" w:eastAsia="Times New Roman" w:hAnsi="Tahoma" w:cs="Tahoma"/>
                <w:color w:val="9B9BA0"/>
                <w:sz w:val="16"/>
                <w:szCs w:val="16"/>
                <w:lang w:eastAsia="cs-CZ"/>
              </w:rPr>
              <w:t>)</w:t>
            </w:r>
          </w:p>
        </w:tc>
        <w:tc>
          <w:tcPr>
            <w:tcW w:w="960" w:type="dxa"/>
            <w:vMerge/>
            <w:tcBorders>
              <w:top w:val="nil"/>
              <w:left w:val="single" w:sz="8" w:space="0" w:color="BFBFBF"/>
              <w:bottom w:val="single" w:sz="8" w:space="0" w:color="404040"/>
              <w:right w:val="single" w:sz="8" w:space="0" w:color="BFBFBF"/>
            </w:tcBorders>
            <w:vAlign w:val="center"/>
            <w:hideMark/>
          </w:tcPr>
          <w:p w:rsidR="001B7601" w:rsidRPr="003E3BA5" w:rsidRDefault="001B7601" w:rsidP="000B10EB">
            <w:pPr>
              <w:spacing w:after="0" w:line="240" w:lineRule="auto"/>
              <w:rPr>
                <w:rFonts w:ascii="Tahoma" w:eastAsia="Times New Roman" w:hAnsi="Tahoma" w:cs="Tahoma"/>
                <w:color w:val="9B9BA0"/>
                <w:sz w:val="16"/>
                <w:szCs w:val="16"/>
                <w:lang w:eastAsia="cs-CZ"/>
              </w:rPr>
            </w:pPr>
          </w:p>
        </w:tc>
        <w:tc>
          <w:tcPr>
            <w:tcW w:w="960" w:type="dxa"/>
            <w:tcBorders>
              <w:top w:val="nil"/>
              <w:left w:val="nil"/>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Pr>
                <w:rFonts w:ascii="Tahoma" w:eastAsia="Times New Roman" w:hAnsi="Tahoma" w:cs="Tahoma"/>
                <w:color w:val="9B9BA0"/>
                <w:sz w:val="16"/>
                <w:szCs w:val="16"/>
                <w:lang w:eastAsia="cs-CZ"/>
              </w:rPr>
              <w:t>(</w:t>
            </w:r>
            <w:r w:rsidRPr="003E3BA5">
              <w:rPr>
                <w:rFonts w:ascii="Tahoma" w:eastAsia="Times New Roman" w:hAnsi="Tahoma" w:cs="Tahoma"/>
                <w:color w:val="9B9BA0"/>
                <w:sz w:val="16"/>
                <w:szCs w:val="16"/>
                <w:lang w:eastAsia="cs-CZ"/>
              </w:rPr>
              <w:t>mil. Kč</w:t>
            </w:r>
            <w:r>
              <w:rPr>
                <w:rFonts w:ascii="Tahoma" w:eastAsia="Times New Roman" w:hAnsi="Tahoma" w:cs="Tahoma"/>
                <w:color w:val="9B9BA0"/>
                <w:sz w:val="16"/>
                <w:szCs w:val="16"/>
                <w:lang w:eastAsia="cs-CZ"/>
              </w:rPr>
              <w:t>)</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Pr>
                <w:rFonts w:ascii="Tahoma" w:eastAsia="Times New Roman" w:hAnsi="Tahoma" w:cs="Tahoma"/>
                <w:color w:val="9B9BA0"/>
                <w:sz w:val="16"/>
                <w:szCs w:val="16"/>
                <w:lang w:eastAsia="cs-CZ"/>
              </w:rPr>
              <w:t>(</w:t>
            </w:r>
            <w:r w:rsidRPr="003E3BA5">
              <w:rPr>
                <w:rFonts w:ascii="Tahoma" w:eastAsia="Times New Roman" w:hAnsi="Tahoma" w:cs="Tahoma"/>
                <w:color w:val="9B9BA0"/>
                <w:sz w:val="16"/>
                <w:szCs w:val="16"/>
                <w:lang w:eastAsia="cs-CZ"/>
              </w:rPr>
              <w:t>% alokace</w:t>
            </w:r>
            <w:r>
              <w:rPr>
                <w:rFonts w:ascii="Tahoma" w:eastAsia="Times New Roman" w:hAnsi="Tahoma" w:cs="Tahoma"/>
                <w:color w:val="9B9BA0"/>
                <w:sz w:val="16"/>
                <w:szCs w:val="16"/>
                <w:lang w:eastAsia="cs-CZ"/>
              </w:rPr>
              <w:t>)</w:t>
            </w:r>
          </w:p>
        </w:tc>
      </w:tr>
      <w:tr w:rsidR="001B7601" w:rsidRPr="003E3BA5" w:rsidTr="001B7601">
        <w:trPr>
          <w:trHeight w:val="315"/>
          <w:jc w:val="center"/>
        </w:trPr>
        <w:tc>
          <w:tcPr>
            <w:tcW w:w="1140" w:type="dxa"/>
            <w:tcBorders>
              <w:top w:val="nil"/>
              <w:left w:val="single" w:sz="8" w:space="0" w:color="BFBFBF"/>
              <w:bottom w:val="single" w:sz="8" w:space="0" w:color="BFBFBF"/>
              <w:right w:val="single" w:sz="8" w:space="0" w:color="BFBFBF"/>
            </w:tcBorders>
            <w:shd w:val="clear" w:color="auto" w:fill="auto"/>
            <w:vAlign w:val="center"/>
            <w:hideMark/>
          </w:tcPr>
          <w:p w:rsidR="001B7601" w:rsidRDefault="001B7601" w:rsidP="000B10EB">
            <w:pPr>
              <w:spacing w:after="0" w:line="240" w:lineRule="auto"/>
              <w:rPr>
                <w:rFonts w:ascii="Tahoma" w:hAnsi="Tahoma" w:cs="Tahoma"/>
                <w:color w:val="9B9BA0"/>
                <w:sz w:val="16"/>
                <w:szCs w:val="16"/>
              </w:rPr>
            </w:pPr>
            <w:r>
              <w:rPr>
                <w:rFonts w:ascii="Tahoma" w:hAnsi="Tahoma" w:cs="Tahoma"/>
                <w:color w:val="9B9BA0"/>
                <w:sz w:val="16"/>
                <w:szCs w:val="16"/>
              </w:rPr>
              <w:t>PO4</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25 533,80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4 386</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64 984,00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254,5</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2 284</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27 998,90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109,7</w:t>
            </w:r>
          </w:p>
        </w:tc>
      </w:tr>
      <w:tr w:rsidR="001B7601" w:rsidRPr="003E3BA5" w:rsidTr="001B7601">
        <w:trPr>
          <w:trHeight w:val="315"/>
          <w:jc w:val="center"/>
        </w:trPr>
        <w:tc>
          <w:tcPr>
            <w:tcW w:w="1140" w:type="dxa"/>
            <w:tcBorders>
              <w:top w:val="nil"/>
              <w:left w:val="single" w:sz="8" w:space="0" w:color="BFBFBF"/>
              <w:bottom w:val="single" w:sz="8" w:space="0" w:color="BFBFBF"/>
              <w:right w:val="single" w:sz="8" w:space="0" w:color="BFBFBF"/>
            </w:tcBorders>
            <w:shd w:val="clear" w:color="auto" w:fill="auto"/>
            <w:vAlign w:val="center"/>
            <w:hideMark/>
          </w:tcPr>
          <w:p w:rsidR="001B7601" w:rsidRDefault="001B7601" w:rsidP="000B10EB">
            <w:pPr>
              <w:spacing w:after="0" w:line="240" w:lineRule="auto"/>
              <w:rPr>
                <w:rFonts w:ascii="Tahoma" w:hAnsi="Tahoma" w:cs="Tahoma"/>
                <w:color w:val="C3003C"/>
                <w:sz w:val="16"/>
                <w:szCs w:val="16"/>
              </w:rPr>
            </w:pPr>
            <w:r>
              <w:rPr>
                <w:rFonts w:ascii="Tahoma" w:hAnsi="Tahoma" w:cs="Tahoma"/>
                <w:color w:val="C3003C"/>
                <w:sz w:val="16"/>
                <w:szCs w:val="16"/>
              </w:rPr>
              <w:t>PO4 - OP 4.1</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17 812,20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3 076</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44 401,50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249,3</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1 630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20 187,90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113,3</w:t>
            </w:r>
          </w:p>
        </w:tc>
      </w:tr>
      <w:tr w:rsidR="001B7601" w:rsidRPr="003E3BA5" w:rsidTr="001B7601">
        <w:trPr>
          <w:trHeight w:val="315"/>
          <w:jc w:val="center"/>
        </w:trPr>
        <w:tc>
          <w:tcPr>
            <w:tcW w:w="1140" w:type="dxa"/>
            <w:tcBorders>
              <w:top w:val="nil"/>
              <w:left w:val="single" w:sz="8" w:space="0" w:color="BFBFBF"/>
              <w:bottom w:val="single" w:sz="8" w:space="0" w:color="BFBFBF"/>
              <w:right w:val="single" w:sz="8" w:space="0" w:color="BFBFBF"/>
            </w:tcBorders>
            <w:shd w:val="clear" w:color="auto" w:fill="auto"/>
            <w:vAlign w:val="center"/>
            <w:hideMark/>
          </w:tcPr>
          <w:p w:rsidR="001B7601" w:rsidRDefault="001B7601" w:rsidP="000B10EB">
            <w:pPr>
              <w:spacing w:after="0" w:line="240" w:lineRule="auto"/>
              <w:rPr>
                <w:rFonts w:ascii="Tahoma" w:hAnsi="Tahoma" w:cs="Tahoma"/>
                <w:color w:val="C3003C"/>
                <w:sz w:val="16"/>
                <w:szCs w:val="16"/>
              </w:rPr>
            </w:pPr>
            <w:r>
              <w:rPr>
                <w:rFonts w:ascii="Tahoma" w:hAnsi="Tahoma" w:cs="Tahoma"/>
                <w:color w:val="C3003C"/>
                <w:sz w:val="16"/>
                <w:szCs w:val="16"/>
              </w:rPr>
              <w:t>PO4 - OP 4.2</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7 721,60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1 310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20 582,50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266,6</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654</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7 811,00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101,2</w:t>
            </w:r>
          </w:p>
        </w:tc>
      </w:tr>
      <w:tr w:rsidR="001B7601" w:rsidRPr="003E3BA5" w:rsidTr="001B7601">
        <w:trPr>
          <w:trHeight w:val="315"/>
          <w:jc w:val="center"/>
        </w:trPr>
        <w:tc>
          <w:tcPr>
            <w:tcW w:w="1140" w:type="dxa"/>
            <w:tcBorders>
              <w:top w:val="nil"/>
              <w:left w:val="single" w:sz="8" w:space="0" w:color="BFBFBF"/>
              <w:bottom w:val="single" w:sz="8" w:space="0" w:color="BFBFBF"/>
              <w:right w:val="single" w:sz="8" w:space="0" w:color="BFBFBF"/>
            </w:tcBorders>
            <w:shd w:val="clear" w:color="auto" w:fill="auto"/>
            <w:vAlign w:val="center"/>
            <w:hideMark/>
          </w:tcPr>
          <w:p w:rsidR="001B7601" w:rsidRDefault="001B7601" w:rsidP="000B10EB">
            <w:pPr>
              <w:spacing w:after="0" w:line="240" w:lineRule="auto"/>
              <w:rPr>
                <w:rFonts w:ascii="Tahoma" w:hAnsi="Tahoma" w:cs="Tahoma"/>
                <w:color w:val="9B9BA0"/>
                <w:sz w:val="16"/>
                <w:szCs w:val="16"/>
              </w:rPr>
            </w:pPr>
            <w:r>
              <w:rPr>
                <w:rFonts w:ascii="Tahoma" w:hAnsi="Tahoma" w:cs="Tahoma"/>
                <w:color w:val="9B9BA0"/>
                <w:sz w:val="16"/>
                <w:szCs w:val="16"/>
              </w:rPr>
              <w:t xml:space="preserve">PO5 </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20 238,10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2 377</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38 261,10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189,1</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1 607</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21 441,70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105,9</w:t>
            </w:r>
          </w:p>
        </w:tc>
      </w:tr>
      <w:tr w:rsidR="001B7601" w:rsidRPr="003E3BA5" w:rsidTr="001B7601">
        <w:trPr>
          <w:trHeight w:val="315"/>
          <w:jc w:val="center"/>
        </w:trPr>
        <w:tc>
          <w:tcPr>
            <w:tcW w:w="1140" w:type="dxa"/>
            <w:tcBorders>
              <w:top w:val="nil"/>
              <w:left w:val="single" w:sz="8" w:space="0" w:color="BFBFBF"/>
              <w:bottom w:val="single" w:sz="8" w:space="0" w:color="404040"/>
              <w:right w:val="single" w:sz="8" w:space="0" w:color="BFBFBF"/>
            </w:tcBorders>
            <w:shd w:val="clear" w:color="auto" w:fill="auto"/>
            <w:vAlign w:val="center"/>
            <w:hideMark/>
          </w:tcPr>
          <w:p w:rsidR="001B7601" w:rsidRDefault="001B7601" w:rsidP="000B10EB">
            <w:pPr>
              <w:spacing w:after="0" w:line="240" w:lineRule="auto"/>
              <w:rPr>
                <w:rFonts w:ascii="Tahoma" w:hAnsi="Tahoma" w:cs="Tahoma"/>
                <w:color w:val="C3003C"/>
                <w:sz w:val="16"/>
                <w:szCs w:val="16"/>
              </w:rPr>
            </w:pPr>
            <w:r>
              <w:rPr>
                <w:rFonts w:ascii="Tahoma" w:hAnsi="Tahoma" w:cs="Tahoma"/>
                <w:color w:val="C3003C"/>
                <w:sz w:val="16"/>
                <w:szCs w:val="16"/>
              </w:rPr>
              <w:t>PO5 - OP 5.1</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7 022,20</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292</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17 408,80</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247,9</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148</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7 908,10</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112,6</w:t>
            </w:r>
          </w:p>
        </w:tc>
      </w:tr>
      <w:tr w:rsidR="001B7601" w:rsidRPr="003E3BA5" w:rsidTr="001B7601">
        <w:trPr>
          <w:trHeight w:val="315"/>
          <w:jc w:val="center"/>
        </w:trPr>
        <w:tc>
          <w:tcPr>
            <w:tcW w:w="1140" w:type="dxa"/>
            <w:tcBorders>
              <w:top w:val="nil"/>
              <w:left w:val="single" w:sz="8" w:space="0" w:color="BFBFBF"/>
              <w:bottom w:val="single" w:sz="8" w:space="0" w:color="BFBFBF"/>
              <w:right w:val="single" w:sz="8" w:space="0" w:color="BFBFBF"/>
            </w:tcBorders>
            <w:shd w:val="clear" w:color="auto" w:fill="auto"/>
            <w:vAlign w:val="center"/>
            <w:hideMark/>
          </w:tcPr>
          <w:p w:rsidR="001B7601" w:rsidRDefault="001B7601" w:rsidP="000B10EB">
            <w:pPr>
              <w:spacing w:after="0" w:line="240" w:lineRule="auto"/>
              <w:rPr>
                <w:rFonts w:ascii="Tahoma" w:hAnsi="Tahoma" w:cs="Tahoma"/>
                <w:color w:val="9B9BA0"/>
                <w:sz w:val="16"/>
                <w:szCs w:val="16"/>
              </w:rPr>
            </w:pPr>
            <w:r>
              <w:rPr>
                <w:rFonts w:ascii="Tahoma" w:hAnsi="Tahoma" w:cs="Tahoma"/>
                <w:color w:val="9B9BA0"/>
                <w:sz w:val="16"/>
                <w:szCs w:val="16"/>
              </w:rPr>
              <w:t xml:space="preserve">OP celkem </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81 957,80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19 985</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179 569,30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219,1</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11 967</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93 805,70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114,5</w:t>
            </w:r>
          </w:p>
        </w:tc>
      </w:tr>
    </w:tbl>
    <w:p w:rsidR="00F110FD" w:rsidRDefault="00EB7966" w:rsidP="00F110FD">
      <w:pPr>
        <w:pStyle w:val="Obrzek-nadpis"/>
      </w:pPr>
      <w:r>
        <w:t>Tab</w:t>
      </w:r>
      <w:r w:rsidR="001B7601">
        <w:t>.</w:t>
      </w:r>
      <w:r>
        <w:t xml:space="preserve"> 3.6: </w:t>
      </w:r>
      <w:r w:rsidR="00F110FD">
        <w:t xml:space="preserve">Stav </w:t>
      </w:r>
      <w:r w:rsidR="00F110FD" w:rsidRPr="00C50BF5">
        <w:t>čerpání finančních prostředků</w:t>
      </w:r>
      <w:r w:rsidR="00F110FD">
        <w:t xml:space="preserve"> – Hl. město Praha</w:t>
      </w:r>
    </w:p>
    <w:tbl>
      <w:tblPr>
        <w:tblW w:w="8222" w:type="dxa"/>
        <w:jc w:val="center"/>
        <w:tblCellMar>
          <w:left w:w="70" w:type="dxa"/>
          <w:right w:w="70" w:type="dxa"/>
        </w:tblCellMar>
        <w:tblLook w:val="04A0" w:firstRow="1" w:lastRow="0" w:firstColumn="1" w:lastColumn="0" w:noHBand="0" w:noVBand="1"/>
      </w:tblPr>
      <w:tblGrid>
        <w:gridCol w:w="1194"/>
        <w:gridCol w:w="1004"/>
        <w:gridCol w:w="1004"/>
        <w:gridCol w:w="1004"/>
        <w:gridCol w:w="1004"/>
        <w:gridCol w:w="1004"/>
        <w:gridCol w:w="1004"/>
        <w:gridCol w:w="1004"/>
      </w:tblGrid>
      <w:tr w:rsidR="001B7601" w:rsidRPr="003E3BA5" w:rsidTr="001B7601">
        <w:trPr>
          <w:trHeight w:val="315"/>
          <w:jc w:val="center"/>
        </w:trPr>
        <w:tc>
          <w:tcPr>
            <w:tcW w:w="7860" w:type="dxa"/>
            <w:gridSpan w:val="8"/>
            <w:tcBorders>
              <w:top w:val="single" w:sz="8" w:space="0" w:color="BFBFBF"/>
              <w:left w:val="single" w:sz="8" w:space="0" w:color="BFBFBF"/>
              <w:bottom w:val="single" w:sz="8" w:space="0" w:color="BFBFBF"/>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b/>
                <w:bCs/>
                <w:color w:val="008CCD"/>
                <w:sz w:val="24"/>
                <w:szCs w:val="24"/>
                <w:lang w:eastAsia="cs-CZ"/>
              </w:rPr>
            </w:pPr>
            <w:r w:rsidRPr="003E3BA5">
              <w:rPr>
                <w:rFonts w:ascii="Tahoma" w:eastAsia="Times New Roman" w:hAnsi="Tahoma" w:cs="Tahoma"/>
                <w:b/>
                <w:bCs/>
                <w:color w:val="008CCD"/>
                <w:sz w:val="24"/>
                <w:szCs w:val="24"/>
                <w:lang w:eastAsia="cs-CZ"/>
              </w:rPr>
              <w:t>OP PK</w:t>
            </w:r>
          </w:p>
        </w:tc>
      </w:tr>
      <w:tr w:rsidR="001B7601" w:rsidRPr="003E3BA5" w:rsidTr="001B7601">
        <w:trPr>
          <w:trHeight w:val="435"/>
          <w:jc w:val="center"/>
        </w:trPr>
        <w:tc>
          <w:tcPr>
            <w:tcW w:w="1140" w:type="dxa"/>
            <w:vMerge w:val="restart"/>
            <w:tcBorders>
              <w:top w:val="nil"/>
              <w:left w:val="single" w:sz="8" w:space="0" w:color="BFBFBF"/>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008CCD"/>
                <w:sz w:val="16"/>
                <w:szCs w:val="16"/>
                <w:lang w:eastAsia="cs-CZ"/>
              </w:rPr>
            </w:pPr>
            <w:r w:rsidRPr="003E3BA5">
              <w:rPr>
                <w:rFonts w:ascii="Tahoma" w:eastAsia="Times New Roman" w:hAnsi="Tahoma" w:cs="Tahoma"/>
                <w:color w:val="008CCD"/>
                <w:sz w:val="16"/>
                <w:szCs w:val="16"/>
                <w:lang w:eastAsia="cs-CZ"/>
              </w:rPr>
              <w:t>Sekce</w:t>
            </w:r>
          </w:p>
        </w:tc>
        <w:tc>
          <w:tcPr>
            <w:tcW w:w="960" w:type="dxa"/>
            <w:tcBorders>
              <w:top w:val="nil"/>
              <w:left w:val="nil"/>
              <w:bottom w:val="nil"/>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008CCD"/>
                <w:sz w:val="16"/>
                <w:szCs w:val="16"/>
                <w:lang w:eastAsia="cs-CZ"/>
              </w:rPr>
            </w:pPr>
            <w:r w:rsidRPr="003E3BA5">
              <w:rPr>
                <w:rFonts w:ascii="Tahoma" w:eastAsia="Times New Roman" w:hAnsi="Tahoma" w:cs="Tahoma"/>
                <w:color w:val="008CCD"/>
                <w:sz w:val="16"/>
                <w:szCs w:val="16"/>
                <w:lang w:eastAsia="cs-CZ"/>
              </w:rPr>
              <w:t>Celková alokace</w:t>
            </w:r>
          </w:p>
        </w:tc>
        <w:tc>
          <w:tcPr>
            <w:tcW w:w="2880" w:type="dxa"/>
            <w:gridSpan w:val="3"/>
            <w:tcBorders>
              <w:top w:val="single" w:sz="8" w:space="0" w:color="BFBFBF"/>
              <w:left w:val="nil"/>
              <w:bottom w:val="single" w:sz="8" w:space="0" w:color="BFBFBF"/>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008CCD"/>
                <w:sz w:val="16"/>
                <w:szCs w:val="16"/>
                <w:lang w:eastAsia="cs-CZ"/>
              </w:rPr>
            </w:pPr>
            <w:r w:rsidRPr="003E3BA5">
              <w:rPr>
                <w:rFonts w:ascii="Tahoma" w:eastAsia="Times New Roman" w:hAnsi="Tahoma" w:cs="Tahoma"/>
                <w:color w:val="008CCD"/>
                <w:sz w:val="16"/>
                <w:szCs w:val="16"/>
                <w:lang w:eastAsia="cs-CZ"/>
              </w:rPr>
              <w:t>Podané žádosti</w:t>
            </w:r>
          </w:p>
        </w:tc>
        <w:tc>
          <w:tcPr>
            <w:tcW w:w="2880" w:type="dxa"/>
            <w:gridSpan w:val="3"/>
            <w:tcBorders>
              <w:top w:val="single" w:sz="8" w:space="0" w:color="BFBFBF"/>
              <w:left w:val="nil"/>
              <w:bottom w:val="single" w:sz="8" w:space="0" w:color="BFBFBF"/>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008CCD"/>
                <w:sz w:val="16"/>
                <w:szCs w:val="16"/>
                <w:lang w:eastAsia="cs-CZ"/>
              </w:rPr>
            </w:pPr>
            <w:r w:rsidRPr="003E3BA5">
              <w:rPr>
                <w:rFonts w:ascii="Tahoma" w:eastAsia="Times New Roman" w:hAnsi="Tahoma" w:cs="Tahoma"/>
                <w:color w:val="008CCD"/>
                <w:sz w:val="16"/>
                <w:szCs w:val="16"/>
                <w:lang w:eastAsia="cs-CZ"/>
              </w:rPr>
              <w:t>Projekty s vydaným rozhodnutím</w:t>
            </w:r>
          </w:p>
        </w:tc>
      </w:tr>
      <w:tr w:rsidR="001B7601" w:rsidRPr="003E3BA5" w:rsidTr="001B7601">
        <w:trPr>
          <w:trHeight w:val="300"/>
          <w:jc w:val="center"/>
        </w:trPr>
        <w:tc>
          <w:tcPr>
            <w:tcW w:w="1140" w:type="dxa"/>
            <w:vMerge/>
            <w:tcBorders>
              <w:top w:val="nil"/>
              <w:left w:val="single" w:sz="8" w:space="0" w:color="BFBFBF"/>
              <w:bottom w:val="single" w:sz="8" w:space="0" w:color="404040"/>
              <w:right w:val="single" w:sz="8" w:space="0" w:color="BFBFBF"/>
            </w:tcBorders>
            <w:vAlign w:val="center"/>
            <w:hideMark/>
          </w:tcPr>
          <w:p w:rsidR="001B7601" w:rsidRPr="003E3BA5" w:rsidRDefault="001B7601" w:rsidP="000B10EB">
            <w:pPr>
              <w:spacing w:after="0" w:line="240" w:lineRule="auto"/>
              <w:rPr>
                <w:rFonts w:ascii="Tahoma" w:eastAsia="Times New Roman" w:hAnsi="Tahoma" w:cs="Tahoma"/>
                <w:color w:val="008CCD"/>
                <w:sz w:val="16"/>
                <w:szCs w:val="16"/>
                <w:lang w:eastAsia="cs-CZ"/>
              </w:rPr>
            </w:pPr>
          </w:p>
        </w:tc>
        <w:tc>
          <w:tcPr>
            <w:tcW w:w="960" w:type="dxa"/>
            <w:tcBorders>
              <w:top w:val="nil"/>
              <w:left w:val="nil"/>
              <w:bottom w:val="nil"/>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008CCD"/>
                <w:sz w:val="16"/>
                <w:szCs w:val="16"/>
                <w:lang w:eastAsia="cs-CZ"/>
              </w:rPr>
            </w:pPr>
            <w:r>
              <w:rPr>
                <w:rFonts w:ascii="Tahoma" w:eastAsia="Times New Roman" w:hAnsi="Tahoma" w:cs="Tahoma"/>
                <w:color w:val="008CCD"/>
                <w:sz w:val="16"/>
                <w:szCs w:val="16"/>
                <w:lang w:eastAsia="cs-CZ"/>
              </w:rPr>
              <w:t>(</w:t>
            </w:r>
            <w:r w:rsidRPr="003E3BA5">
              <w:rPr>
                <w:rFonts w:ascii="Tahoma" w:eastAsia="Times New Roman" w:hAnsi="Tahoma" w:cs="Tahoma"/>
                <w:color w:val="008CCD"/>
                <w:sz w:val="16"/>
                <w:szCs w:val="16"/>
                <w:lang w:eastAsia="cs-CZ"/>
              </w:rPr>
              <w:t>mil. Kč</w:t>
            </w:r>
            <w:r>
              <w:rPr>
                <w:rFonts w:ascii="Tahoma" w:eastAsia="Times New Roman" w:hAnsi="Tahoma" w:cs="Tahoma"/>
                <w:color w:val="008CCD"/>
                <w:sz w:val="16"/>
                <w:szCs w:val="16"/>
                <w:lang w:eastAsia="cs-CZ"/>
              </w:rPr>
              <w:t>)</w:t>
            </w:r>
          </w:p>
        </w:tc>
        <w:tc>
          <w:tcPr>
            <w:tcW w:w="960" w:type="dxa"/>
            <w:vMerge w:val="restart"/>
            <w:tcBorders>
              <w:top w:val="nil"/>
              <w:left w:val="single" w:sz="8" w:space="0" w:color="BFBFBF"/>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sidRPr="003E3BA5">
              <w:rPr>
                <w:rFonts w:ascii="Tahoma" w:eastAsia="Times New Roman" w:hAnsi="Tahoma" w:cs="Tahoma"/>
                <w:color w:val="9B9BA0"/>
                <w:sz w:val="16"/>
                <w:szCs w:val="16"/>
                <w:lang w:eastAsia="cs-CZ"/>
              </w:rPr>
              <w:t>Počet</w:t>
            </w:r>
          </w:p>
        </w:tc>
        <w:tc>
          <w:tcPr>
            <w:tcW w:w="960" w:type="dxa"/>
            <w:tcBorders>
              <w:top w:val="nil"/>
              <w:left w:val="nil"/>
              <w:bottom w:val="nil"/>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sidRPr="003E3BA5">
              <w:rPr>
                <w:rFonts w:ascii="Tahoma" w:eastAsia="Times New Roman" w:hAnsi="Tahoma" w:cs="Tahoma"/>
                <w:color w:val="9B9BA0"/>
                <w:sz w:val="16"/>
                <w:szCs w:val="16"/>
                <w:lang w:eastAsia="cs-CZ"/>
              </w:rPr>
              <w:t>Objem</w:t>
            </w:r>
          </w:p>
        </w:tc>
        <w:tc>
          <w:tcPr>
            <w:tcW w:w="960" w:type="dxa"/>
            <w:tcBorders>
              <w:top w:val="nil"/>
              <w:left w:val="nil"/>
              <w:bottom w:val="nil"/>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sidRPr="003E3BA5">
              <w:rPr>
                <w:rFonts w:ascii="Tahoma" w:eastAsia="Times New Roman" w:hAnsi="Tahoma" w:cs="Tahoma"/>
                <w:color w:val="9B9BA0"/>
                <w:sz w:val="16"/>
                <w:szCs w:val="16"/>
                <w:lang w:eastAsia="cs-CZ"/>
              </w:rPr>
              <w:t>Objem</w:t>
            </w:r>
          </w:p>
        </w:tc>
        <w:tc>
          <w:tcPr>
            <w:tcW w:w="960" w:type="dxa"/>
            <w:vMerge w:val="restart"/>
            <w:tcBorders>
              <w:top w:val="nil"/>
              <w:left w:val="single" w:sz="8" w:space="0" w:color="BFBFBF"/>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sidRPr="003E3BA5">
              <w:rPr>
                <w:rFonts w:ascii="Tahoma" w:eastAsia="Times New Roman" w:hAnsi="Tahoma" w:cs="Tahoma"/>
                <w:color w:val="9B9BA0"/>
                <w:sz w:val="16"/>
                <w:szCs w:val="16"/>
                <w:lang w:eastAsia="cs-CZ"/>
              </w:rPr>
              <w:t>Počet</w:t>
            </w:r>
          </w:p>
        </w:tc>
        <w:tc>
          <w:tcPr>
            <w:tcW w:w="960" w:type="dxa"/>
            <w:tcBorders>
              <w:top w:val="nil"/>
              <w:left w:val="nil"/>
              <w:bottom w:val="nil"/>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sidRPr="003E3BA5">
              <w:rPr>
                <w:rFonts w:ascii="Tahoma" w:eastAsia="Times New Roman" w:hAnsi="Tahoma" w:cs="Tahoma"/>
                <w:color w:val="9B9BA0"/>
                <w:sz w:val="16"/>
                <w:szCs w:val="16"/>
                <w:lang w:eastAsia="cs-CZ"/>
              </w:rPr>
              <w:t>Objem</w:t>
            </w:r>
          </w:p>
        </w:tc>
        <w:tc>
          <w:tcPr>
            <w:tcW w:w="960" w:type="dxa"/>
            <w:tcBorders>
              <w:top w:val="nil"/>
              <w:left w:val="nil"/>
              <w:bottom w:val="nil"/>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sidRPr="003E3BA5">
              <w:rPr>
                <w:rFonts w:ascii="Tahoma" w:eastAsia="Times New Roman" w:hAnsi="Tahoma" w:cs="Tahoma"/>
                <w:color w:val="9B9BA0"/>
                <w:sz w:val="16"/>
                <w:szCs w:val="16"/>
                <w:lang w:eastAsia="cs-CZ"/>
              </w:rPr>
              <w:t>Objem</w:t>
            </w:r>
          </w:p>
        </w:tc>
      </w:tr>
      <w:tr w:rsidR="001B7601" w:rsidRPr="003E3BA5" w:rsidTr="001B7601">
        <w:trPr>
          <w:trHeight w:val="435"/>
          <w:jc w:val="center"/>
        </w:trPr>
        <w:tc>
          <w:tcPr>
            <w:tcW w:w="1140" w:type="dxa"/>
            <w:vMerge/>
            <w:tcBorders>
              <w:top w:val="nil"/>
              <w:left w:val="single" w:sz="8" w:space="0" w:color="BFBFBF"/>
              <w:bottom w:val="single" w:sz="8" w:space="0" w:color="404040"/>
              <w:right w:val="single" w:sz="8" w:space="0" w:color="BFBFBF"/>
            </w:tcBorders>
            <w:vAlign w:val="center"/>
            <w:hideMark/>
          </w:tcPr>
          <w:p w:rsidR="001B7601" w:rsidRPr="003E3BA5" w:rsidRDefault="001B7601" w:rsidP="000B10EB">
            <w:pPr>
              <w:spacing w:after="0" w:line="240" w:lineRule="auto"/>
              <w:rPr>
                <w:rFonts w:ascii="Tahoma" w:eastAsia="Times New Roman" w:hAnsi="Tahoma" w:cs="Tahoma"/>
                <w:color w:val="008CCD"/>
                <w:sz w:val="16"/>
                <w:szCs w:val="16"/>
                <w:lang w:eastAsia="cs-CZ"/>
              </w:rPr>
            </w:pPr>
          </w:p>
        </w:tc>
        <w:tc>
          <w:tcPr>
            <w:tcW w:w="960" w:type="dxa"/>
            <w:tcBorders>
              <w:top w:val="nil"/>
              <w:left w:val="nil"/>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rPr>
                <w:rFonts w:ascii="Calibri" w:eastAsia="Times New Roman" w:hAnsi="Calibri" w:cs="Times New Roman"/>
                <w:color w:val="000000"/>
                <w:lang w:eastAsia="cs-CZ"/>
              </w:rPr>
            </w:pPr>
            <w:r w:rsidRPr="003E3BA5">
              <w:rPr>
                <w:rFonts w:ascii="Calibri" w:eastAsia="Times New Roman" w:hAnsi="Calibri" w:cs="Times New Roman"/>
                <w:color w:val="000000"/>
                <w:lang w:eastAsia="cs-CZ"/>
              </w:rPr>
              <w:t> </w:t>
            </w:r>
          </w:p>
        </w:tc>
        <w:tc>
          <w:tcPr>
            <w:tcW w:w="960" w:type="dxa"/>
            <w:vMerge/>
            <w:tcBorders>
              <w:top w:val="nil"/>
              <w:left w:val="single" w:sz="8" w:space="0" w:color="BFBFBF"/>
              <w:bottom w:val="single" w:sz="8" w:space="0" w:color="404040"/>
              <w:right w:val="single" w:sz="8" w:space="0" w:color="BFBFBF"/>
            </w:tcBorders>
            <w:vAlign w:val="center"/>
            <w:hideMark/>
          </w:tcPr>
          <w:p w:rsidR="001B7601" w:rsidRPr="003E3BA5" w:rsidRDefault="001B7601" w:rsidP="000B10EB">
            <w:pPr>
              <w:spacing w:after="0" w:line="240" w:lineRule="auto"/>
              <w:rPr>
                <w:rFonts w:ascii="Tahoma" w:eastAsia="Times New Roman" w:hAnsi="Tahoma" w:cs="Tahoma"/>
                <w:color w:val="9B9BA0"/>
                <w:sz w:val="16"/>
                <w:szCs w:val="16"/>
                <w:lang w:eastAsia="cs-CZ"/>
              </w:rPr>
            </w:pPr>
          </w:p>
        </w:tc>
        <w:tc>
          <w:tcPr>
            <w:tcW w:w="960" w:type="dxa"/>
            <w:tcBorders>
              <w:top w:val="nil"/>
              <w:left w:val="nil"/>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Pr>
                <w:rFonts w:ascii="Tahoma" w:eastAsia="Times New Roman" w:hAnsi="Tahoma" w:cs="Tahoma"/>
                <w:color w:val="9B9BA0"/>
                <w:sz w:val="16"/>
                <w:szCs w:val="16"/>
                <w:lang w:eastAsia="cs-CZ"/>
              </w:rPr>
              <w:t>(</w:t>
            </w:r>
            <w:r w:rsidRPr="003E3BA5">
              <w:rPr>
                <w:rFonts w:ascii="Tahoma" w:eastAsia="Times New Roman" w:hAnsi="Tahoma" w:cs="Tahoma"/>
                <w:color w:val="9B9BA0"/>
                <w:sz w:val="16"/>
                <w:szCs w:val="16"/>
                <w:lang w:eastAsia="cs-CZ"/>
              </w:rPr>
              <w:t>mil. Kč</w:t>
            </w:r>
            <w:r>
              <w:rPr>
                <w:rFonts w:ascii="Tahoma" w:eastAsia="Times New Roman" w:hAnsi="Tahoma" w:cs="Tahoma"/>
                <w:color w:val="9B9BA0"/>
                <w:sz w:val="16"/>
                <w:szCs w:val="16"/>
                <w:lang w:eastAsia="cs-CZ"/>
              </w:rPr>
              <w:t>)</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Pr>
                <w:rFonts w:ascii="Tahoma" w:eastAsia="Times New Roman" w:hAnsi="Tahoma" w:cs="Tahoma"/>
                <w:color w:val="9B9BA0"/>
                <w:sz w:val="16"/>
                <w:szCs w:val="16"/>
                <w:lang w:eastAsia="cs-CZ"/>
              </w:rPr>
              <w:t>(</w:t>
            </w:r>
            <w:r w:rsidRPr="003E3BA5">
              <w:rPr>
                <w:rFonts w:ascii="Tahoma" w:eastAsia="Times New Roman" w:hAnsi="Tahoma" w:cs="Tahoma"/>
                <w:color w:val="9B9BA0"/>
                <w:sz w:val="16"/>
                <w:szCs w:val="16"/>
                <w:lang w:eastAsia="cs-CZ"/>
              </w:rPr>
              <w:t>% alokace</w:t>
            </w:r>
            <w:r>
              <w:rPr>
                <w:rFonts w:ascii="Tahoma" w:eastAsia="Times New Roman" w:hAnsi="Tahoma" w:cs="Tahoma"/>
                <w:color w:val="9B9BA0"/>
                <w:sz w:val="16"/>
                <w:szCs w:val="16"/>
                <w:lang w:eastAsia="cs-CZ"/>
              </w:rPr>
              <w:t>)</w:t>
            </w:r>
          </w:p>
        </w:tc>
        <w:tc>
          <w:tcPr>
            <w:tcW w:w="960" w:type="dxa"/>
            <w:vMerge/>
            <w:tcBorders>
              <w:top w:val="nil"/>
              <w:left w:val="single" w:sz="8" w:space="0" w:color="BFBFBF"/>
              <w:bottom w:val="single" w:sz="8" w:space="0" w:color="404040"/>
              <w:right w:val="single" w:sz="8" w:space="0" w:color="BFBFBF"/>
            </w:tcBorders>
            <w:vAlign w:val="center"/>
            <w:hideMark/>
          </w:tcPr>
          <w:p w:rsidR="001B7601" w:rsidRPr="003E3BA5" w:rsidRDefault="001B7601" w:rsidP="000B10EB">
            <w:pPr>
              <w:spacing w:after="0" w:line="240" w:lineRule="auto"/>
              <w:rPr>
                <w:rFonts w:ascii="Tahoma" w:eastAsia="Times New Roman" w:hAnsi="Tahoma" w:cs="Tahoma"/>
                <w:color w:val="9B9BA0"/>
                <w:sz w:val="16"/>
                <w:szCs w:val="16"/>
                <w:lang w:eastAsia="cs-CZ"/>
              </w:rPr>
            </w:pPr>
          </w:p>
        </w:tc>
        <w:tc>
          <w:tcPr>
            <w:tcW w:w="960" w:type="dxa"/>
            <w:tcBorders>
              <w:top w:val="nil"/>
              <w:left w:val="nil"/>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Pr>
                <w:rFonts w:ascii="Tahoma" w:eastAsia="Times New Roman" w:hAnsi="Tahoma" w:cs="Tahoma"/>
                <w:color w:val="9B9BA0"/>
                <w:sz w:val="16"/>
                <w:szCs w:val="16"/>
                <w:lang w:eastAsia="cs-CZ"/>
              </w:rPr>
              <w:t>(</w:t>
            </w:r>
            <w:r w:rsidRPr="003E3BA5">
              <w:rPr>
                <w:rFonts w:ascii="Tahoma" w:eastAsia="Times New Roman" w:hAnsi="Tahoma" w:cs="Tahoma"/>
                <w:color w:val="9B9BA0"/>
                <w:sz w:val="16"/>
                <w:szCs w:val="16"/>
                <w:lang w:eastAsia="cs-CZ"/>
              </w:rPr>
              <w:t>mil. Kč</w:t>
            </w:r>
            <w:r>
              <w:rPr>
                <w:rFonts w:ascii="Tahoma" w:eastAsia="Times New Roman" w:hAnsi="Tahoma" w:cs="Tahoma"/>
                <w:color w:val="9B9BA0"/>
                <w:sz w:val="16"/>
                <w:szCs w:val="16"/>
                <w:lang w:eastAsia="cs-CZ"/>
              </w:rPr>
              <w:t>)</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Pr>
                <w:rFonts w:ascii="Tahoma" w:eastAsia="Times New Roman" w:hAnsi="Tahoma" w:cs="Tahoma"/>
                <w:color w:val="9B9BA0"/>
                <w:sz w:val="16"/>
                <w:szCs w:val="16"/>
                <w:lang w:eastAsia="cs-CZ"/>
              </w:rPr>
              <w:t>(</w:t>
            </w:r>
            <w:r w:rsidRPr="003E3BA5">
              <w:rPr>
                <w:rFonts w:ascii="Tahoma" w:eastAsia="Times New Roman" w:hAnsi="Tahoma" w:cs="Tahoma"/>
                <w:color w:val="9B9BA0"/>
                <w:sz w:val="16"/>
                <w:szCs w:val="16"/>
                <w:lang w:eastAsia="cs-CZ"/>
              </w:rPr>
              <w:t>% alokace</w:t>
            </w:r>
            <w:r>
              <w:rPr>
                <w:rFonts w:ascii="Tahoma" w:eastAsia="Times New Roman" w:hAnsi="Tahoma" w:cs="Tahoma"/>
                <w:color w:val="9B9BA0"/>
                <w:sz w:val="16"/>
                <w:szCs w:val="16"/>
                <w:lang w:eastAsia="cs-CZ"/>
              </w:rPr>
              <w:t>)</w:t>
            </w:r>
          </w:p>
        </w:tc>
      </w:tr>
      <w:tr w:rsidR="001B7601" w:rsidRPr="003E3BA5" w:rsidTr="001B7601">
        <w:trPr>
          <w:trHeight w:val="315"/>
          <w:jc w:val="center"/>
        </w:trPr>
        <w:tc>
          <w:tcPr>
            <w:tcW w:w="1140" w:type="dxa"/>
            <w:tcBorders>
              <w:top w:val="nil"/>
              <w:left w:val="single" w:sz="8" w:space="0" w:color="BFBFBF"/>
              <w:bottom w:val="single" w:sz="8" w:space="0" w:color="BFBFBF"/>
              <w:right w:val="single" w:sz="8" w:space="0" w:color="BFBFBF"/>
            </w:tcBorders>
            <w:shd w:val="clear" w:color="auto" w:fill="auto"/>
            <w:vAlign w:val="center"/>
            <w:hideMark/>
          </w:tcPr>
          <w:p w:rsidR="001B7601" w:rsidRDefault="001B7601" w:rsidP="000B10EB">
            <w:pPr>
              <w:spacing w:after="0" w:line="240" w:lineRule="auto"/>
              <w:rPr>
                <w:rFonts w:ascii="Tahoma" w:hAnsi="Tahoma" w:cs="Tahoma"/>
                <w:color w:val="9B9BA0"/>
                <w:sz w:val="16"/>
                <w:szCs w:val="16"/>
              </w:rPr>
            </w:pPr>
            <w:r>
              <w:rPr>
                <w:rFonts w:ascii="Tahoma" w:hAnsi="Tahoma" w:cs="Tahoma"/>
                <w:color w:val="9B9BA0"/>
                <w:sz w:val="16"/>
                <w:szCs w:val="16"/>
              </w:rPr>
              <w:t>PO3</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2 377,80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761</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7 320,50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307,9</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224</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2 510,70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105,6</w:t>
            </w:r>
          </w:p>
        </w:tc>
      </w:tr>
      <w:tr w:rsidR="001B7601" w:rsidRPr="003E3BA5" w:rsidTr="001B7601">
        <w:trPr>
          <w:trHeight w:val="315"/>
          <w:jc w:val="center"/>
        </w:trPr>
        <w:tc>
          <w:tcPr>
            <w:tcW w:w="1140" w:type="dxa"/>
            <w:tcBorders>
              <w:top w:val="nil"/>
              <w:left w:val="single" w:sz="8" w:space="0" w:color="BFBFBF"/>
              <w:bottom w:val="single" w:sz="8" w:space="0" w:color="404040"/>
              <w:right w:val="single" w:sz="8" w:space="0" w:color="BFBFBF"/>
            </w:tcBorders>
            <w:shd w:val="clear" w:color="auto" w:fill="auto"/>
            <w:vAlign w:val="center"/>
            <w:hideMark/>
          </w:tcPr>
          <w:p w:rsidR="001B7601" w:rsidRDefault="001B7601" w:rsidP="000B10EB">
            <w:pPr>
              <w:spacing w:after="0" w:line="240" w:lineRule="auto"/>
              <w:rPr>
                <w:rFonts w:ascii="Tahoma" w:hAnsi="Tahoma" w:cs="Tahoma"/>
                <w:color w:val="C3003C"/>
                <w:sz w:val="16"/>
                <w:szCs w:val="16"/>
              </w:rPr>
            </w:pPr>
            <w:r>
              <w:rPr>
                <w:rFonts w:ascii="Tahoma" w:hAnsi="Tahoma" w:cs="Tahoma"/>
                <w:color w:val="C3003C"/>
                <w:sz w:val="16"/>
                <w:szCs w:val="16"/>
              </w:rPr>
              <w:t>PO3 - OP 3.1</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1 785,80</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201</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5 227,80</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292,7</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74</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1 902,40</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106,5</w:t>
            </w:r>
          </w:p>
        </w:tc>
      </w:tr>
      <w:tr w:rsidR="001B7601" w:rsidRPr="003E3BA5" w:rsidTr="001B7601">
        <w:trPr>
          <w:trHeight w:val="315"/>
          <w:jc w:val="center"/>
        </w:trPr>
        <w:tc>
          <w:tcPr>
            <w:tcW w:w="1140" w:type="dxa"/>
            <w:tcBorders>
              <w:top w:val="nil"/>
              <w:left w:val="single" w:sz="8" w:space="0" w:color="BFBFBF"/>
              <w:bottom w:val="single" w:sz="8" w:space="0" w:color="BFBFBF"/>
              <w:right w:val="single" w:sz="8" w:space="0" w:color="BFBFBF"/>
            </w:tcBorders>
            <w:shd w:val="clear" w:color="auto" w:fill="auto"/>
            <w:vAlign w:val="center"/>
            <w:hideMark/>
          </w:tcPr>
          <w:p w:rsidR="001B7601" w:rsidRDefault="001B7601" w:rsidP="000B10EB">
            <w:pPr>
              <w:spacing w:after="0" w:line="240" w:lineRule="auto"/>
              <w:rPr>
                <w:rFonts w:ascii="Tahoma" w:hAnsi="Tahoma" w:cs="Tahoma"/>
                <w:color w:val="9B9BA0"/>
                <w:sz w:val="16"/>
                <w:szCs w:val="16"/>
              </w:rPr>
            </w:pPr>
            <w:r>
              <w:rPr>
                <w:rFonts w:ascii="Tahoma" w:hAnsi="Tahoma" w:cs="Tahoma"/>
                <w:color w:val="9B9BA0"/>
                <w:sz w:val="16"/>
                <w:szCs w:val="16"/>
              </w:rPr>
              <w:t xml:space="preserve">OP celkem </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6 350,20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1075</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15 437,90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243,1</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350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6 955,80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109,5</w:t>
            </w:r>
          </w:p>
        </w:tc>
      </w:tr>
      <w:tr w:rsidR="001B7601" w:rsidRPr="003E3BA5" w:rsidTr="001B7601">
        <w:trPr>
          <w:trHeight w:val="315"/>
          <w:jc w:val="center"/>
        </w:trPr>
        <w:tc>
          <w:tcPr>
            <w:tcW w:w="7860" w:type="dxa"/>
            <w:gridSpan w:val="8"/>
            <w:tcBorders>
              <w:top w:val="single" w:sz="8" w:space="0" w:color="BFBFBF"/>
              <w:left w:val="single" w:sz="8" w:space="0" w:color="BFBFBF"/>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center"/>
              <w:rPr>
                <w:rFonts w:ascii="Tahoma" w:eastAsia="Times New Roman" w:hAnsi="Tahoma" w:cs="Tahoma"/>
                <w:b/>
                <w:bCs/>
                <w:color w:val="008CCD"/>
                <w:sz w:val="24"/>
                <w:szCs w:val="24"/>
                <w:lang w:eastAsia="cs-CZ"/>
              </w:rPr>
            </w:pPr>
          </w:p>
          <w:p w:rsidR="001B7601" w:rsidRPr="003E3BA5" w:rsidRDefault="001B7601" w:rsidP="000B10EB">
            <w:pPr>
              <w:spacing w:after="0" w:line="240" w:lineRule="auto"/>
              <w:jc w:val="center"/>
              <w:rPr>
                <w:rFonts w:ascii="Tahoma" w:eastAsia="Times New Roman" w:hAnsi="Tahoma" w:cs="Tahoma"/>
                <w:b/>
                <w:bCs/>
                <w:color w:val="008CCD"/>
                <w:sz w:val="24"/>
                <w:szCs w:val="24"/>
                <w:lang w:eastAsia="cs-CZ"/>
              </w:rPr>
            </w:pPr>
            <w:r w:rsidRPr="003E3BA5">
              <w:rPr>
                <w:rFonts w:ascii="Tahoma" w:eastAsia="Times New Roman" w:hAnsi="Tahoma" w:cs="Tahoma"/>
                <w:b/>
                <w:bCs/>
                <w:color w:val="008CCD"/>
                <w:sz w:val="24"/>
                <w:szCs w:val="24"/>
                <w:lang w:eastAsia="cs-CZ"/>
              </w:rPr>
              <w:lastRenderedPageBreak/>
              <w:t>OP</w:t>
            </w:r>
            <w:r w:rsidR="004857AA">
              <w:rPr>
                <w:rFonts w:ascii="Tahoma" w:eastAsia="Times New Roman" w:hAnsi="Tahoma" w:cs="Tahoma"/>
                <w:b/>
                <w:bCs/>
                <w:color w:val="008CCD"/>
                <w:sz w:val="24"/>
                <w:szCs w:val="24"/>
                <w:lang w:eastAsia="cs-CZ"/>
              </w:rPr>
              <w:t xml:space="preserve"> </w:t>
            </w:r>
            <w:r w:rsidRPr="003E3BA5">
              <w:rPr>
                <w:rFonts w:ascii="Tahoma" w:eastAsia="Times New Roman" w:hAnsi="Tahoma" w:cs="Tahoma"/>
                <w:b/>
                <w:bCs/>
                <w:color w:val="008CCD"/>
                <w:sz w:val="24"/>
                <w:szCs w:val="24"/>
                <w:lang w:eastAsia="cs-CZ"/>
              </w:rPr>
              <w:t>PA</w:t>
            </w:r>
          </w:p>
        </w:tc>
      </w:tr>
      <w:tr w:rsidR="001B7601" w:rsidRPr="003E3BA5" w:rsidTr="001B7601">
        <w:trPr>
          <w:trHeight w:val="435"/>
          <w:jc w:val="center"/>
        </w:trPr>
        <w:tc>
          <w:tcPr>
            <w:tcW w:w="1140" w:type="dxa"/>
            <w:vMerge w:val="restart"/>
            <w:tcBorders>
              <w:top w:val="nil"/>
              <w:left w:val="single" w:sz="8" w:space="0" w:color="BFBFBF"/>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008CCD"/>
                <w:sz w:val="16"/>
                <w:szCs w:val="16"/>
                <w:lang w:eastAsia="cs-CZ"/>
              </w:rPr>
            </w:pPr>
            <w:r w:rsidRPr="003E3BA5">
              <w:rPr>
                <w:rFonts w:ascii="Tahoma" w:eastAsia="Times New Roman" w:hAnsi="Tahoma" w:cs="Tahoma"/>
                <w:color w:val="008CCD"/>
                <w:sz w:val="16"/>
                <w:szCs w:val="16"/>
                <w:lang w:eastAsia="cs-CZ"/>
              </w:rPr>
              <w:lastRenderedPageBreak/>
              <w:t>Sekce</w:t>
            </w:r>
          </w:p>
        </w:tc>
        <w:tc>
          <w:tcPr>
            <w:tcW w:w="960" w:type="dxa"/>
            <w:tcBorders>
              <w:top w:val="nil"/>
              <w:left w:val="nil"/>
              <w:bottom w:val="nil"/>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008CCD"/>
                <w:sz w:val="16"/>
                <w:szCs w:val="16"/>
                <w:lang w:eastAsia="cs-CZ"/>
              </w:rPr>
            </w:pPr>
            <w:r w:rsidRPr="003E3BA5">
              <w:rPr>
                <w:rFonts w:ascii="Tahoma" w:eastAsia="Times New Roman" w:hAnsi="Tahoma" w:cs="Tahoma"/>
                <w:color w:val="008CCD"/>
                <w:sz w:val="16"/>
                <w:szCs w:val="16"/>
                <w:lang w:eastAsia="cs-CZ"/>
              </w:rPr>
              <w:t>Celková alokace</w:t>
            </w:r>
          </w:p>
        </w:tc>
        <w:tc>
          <w:tcPr>
            <w:tcW w:w="2880" w:type="dxa"/>
            <w:gridSpan w:val="3"/>
            <w:tcBorders>
              <w:top w:val="single" w:sz="8" w:space="0" w:color="BFBFBF"/>
              <w:left w:val="nil"/>
              <w:bottom w:val="single" w:sz="8" w:space="0" w:color="BFBFBF"/>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008CCD"/>
                <w:sz w:val="16"/>
                <w:szCs w:val="16"/>
                <w:lang w:eastAsia="cs-CZ"/>
              </w:rPr>
            </w:pPr>
            <w:r w:rsidRPr="003E3BA5">
              <w:rPr>
                <w:rFonts w:ascii="Tahoma" w:eastAsia="Times New Roman" w:hAnsi="Tahoma" w:cs="Tahoma"/>
                <w:color w:val="008CCD"/>
                <w:sz w:val="16"/>
                <w:szCs w:val="16"/>
                <w:lang w:eastAsia="cs-CZ"/>
              </w:rPr>
              <w:t>Podané žádosti</w:t>
            </w:r>
          </w:p>
        </w:tc>
        <w:tc>
          <w:tcPr>
            <w:tcW w:w="2880" w:type="dxa"/>
            <w:gridSpan w:val="3"/>
            <w:tcBorders>
              <w:top w:val="single" w:sz="8" w:space="0" w:color="BFBFBF"/>
              <w:left w:val="nil"/>
              <w:bottom w:val="single" w:sz="8" w:space="0" w:color="BFBFBF"/>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008CCD"/>
                <w:sz w:val="16"/>
                <w:szCs w:val="16"/>
                <w:lang w:eastAsia="cs-CZ"/>
              </w:rPr>
            </w:pPr>
            <w:r w:rsidRPr="003E3BA5">
              <w:rPr>
                <w:rFonts w:ascii="Tahoma" w:eastAsia="Times New Roman" w:hAnsi="Tahoma" w:cs="Tahoma"/>
                <w:color w:val="008CCD"/>
                <w:sz w:val="16"/>
                <w:szCs w:val="16"/>
                <w:lang w:eastAsia="cs-CZ"/>
              </w:rPr>
              <w:t>Projekty s vydaným rozhodnutím</w:t>
            </w:r>
          </w:p>
        </w:tc>
      </w:tr>
      <w:tr w:rsidR="001B7601" w:rsidRPr="003E3BA5" w:rsidTr="001B7601">
        <w:trPr>
          <w:trHeight w:val="300"/>
          <w:jc w:val="center"/>
        </w:trPr>
        <w:tc>
          <w:tcPr>
            <w:tcW w:w="1140" w:type="dxa"/>
            <w:vMerge/>
            <w:tcBorders>
              <w:top w:val="nil"/>
              <w:left w:val="single" w:sz="8" w:space="0" w:color="BFBFBF"/>
              <w:bottom w:val="single" w:sz="8" w:space="0" w:color="404040"/>
              <w:right w:val="single" w:sz="8" w:space="0" w:color="BFBFBF"/>
            </w:tcBorders>
            <w:vAlign w:val="center"/>
            <w:hideMark/>
          </w:tcPr>
          <w:p w:rsidR="001B7601" w:rsidRPr="003E3BA5" w:rsidRDefault="001B7601" w:rsidP="000B10EB">
            <w:pPr>
              <w:spacing w:after="0" w:line="240" w:lineRule="auto"/>
              <w:rPr>
                <w:rFonts w:ascii="Tahoma" w:eastAsia="Times New Roman" w:hAnsi="Tahoma" w:cs="Tahoma"/>
                <w:color w:val="008CCD"/>
                <w:sz w:val="16"/>
                <w:szCs w:val="16"/>
                <w:lang w:eastAsia="cs-CZ"/>
              </w:rPr>
            </w:pPr>
          </w:p>
        </w:tc>
        <w:tc>
          <w:tcPr>
            <w:tcW w:w="960" w:type="dxa"/>
            <w:tcBorders>
              <w:top w:val="nil"/>
              <w:left w:val="nil"/>
              <w:bottom w:val="nil"/>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008CCD"/>
                <w:sz w:val="16"/>
                <w:szCs w:val="16"/>
                <w:lang w:eastAsia="cs-CZ"/>
              </w:rPr>
            </w:pPr>
            <w:r>
              <w:rPr>
                <w:rFonts w:ascii="Tahoma" w:eastAsia="Times New Roman" w:hAnsi="Tahoma" w:cs="Tahoma"/>
                <w:color w:val="008CCD"/>
                <w:sz w:val="16"/>
                <w:szCs w:val="16"/>
                <w:lang w:eastAsia="cs-CZ"/>
              </w:rPr>
              <w:t>(</w:t>
            </w:r>
            <w:r w:rsidRPr="003E3BA5">
              <w:rPr>
                <w:rFonts w:ascii="Tahoma" w:eastAsia="Times New Roman" w:hAnsi="Tahoma" w:cs="Tahoma"/>
                <w:color w:val="008CCD"/>
                <w:sz w:val="16"/>
                <w:szCs w:val="16"/>
                <w:lang w:eastAsia="cs-CZ"/>
              </w:rPr>
              <w:t>mil. Kč</w:t>
            </w:r>
            <w:r>
              <w:rPr>
                <w:rFonts w:ascii="Tahoma" w:eastAsia="Times New Roman" w:hAnsi="Tahoma" w:cs="Tahoma"/>
                <w:color w:val="008CCD"/>
                <w:sz w:val="16"/>
                <w:szCs w:val="16"/>
                <w:lang w:eastAsia="cs-CZ"/>
              </w:rPr>
              <w:t>)</w:t>
            </w:r>
          </w:p>
        </w:tc>
        <w:tc>
          <w:tcPr>
            <w:tcW w:w="960" w:type="dxa"/>
            <w:vMerge w:val="restart"/>
            <w:tcBorders>
              <w:top w:val="nil"/>
              <w:left w:val="single" w:sz="8" w:space="0" w:color="BFBFBF"/>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sidRPr="003E3BA5">
              <w:rPr>
                <w:rFonts w:ascii="Tahoma" w:eastAsia="Times New Roman" w:hAnsi="Tahoma" w:cs="Tahoma"/>
                <w:color w:val="9B9BA0"/>
                <w:sz w:val="16"/>
                <w:szCs w:val="16"/>
                <w:lang w:eastAsia="cs-CZ"/>
              </w:rPr>
              <w:t>Počet</w:t>
            </w:r>
          </w:p>
        </w:tc>
        <w:tc>
          <w:tcPr>
            <w:tcW w:w="960" w:type="dxa"/>
            <w:tcBorders>
              <w:top w:val="nil"/>
              <w:left w:val="nil"/>
              <w:bottom w:val="nil"/>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sidRPr="003E3BA5">
              <w:rPr>
                <w:rFonts w:ascii="Tahoma" w:eastAsia="Times New Roman" w:hAnsi="Tahoma" w:cs="Tahoma"/>
                <w:color w:val="9B9BA0"/>
                <w:sz w:val="16"/>
                <w:szCs w:val="16"/>
                <w:lang w:eastAsia="cs-CZ"/>
              </w:rPr>
              <w:t>Objem</w:t>
            </w:r>
          </w:p>
        </w:tc>
        <w:tc>
          <w:tcPr>
            <w:tcW w:w="960" w:type="dxa"/>
            <w:tcBorders>
              <w:top w:val="nil"/>
              <w:left w:val="nil"/>
              <w:bottom w:val="nil"/>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sidRPr="003E3BA5">
              <w:rPr>
                <w:rFonts w:ascii="Tahoma" w:eastAsia="Times New Roman" w:hAnsi="Tahoma" w:cs="Tahoma"/>
                <w:color w:val="9B9BA0"/>
                <w:sz w:val="16"/>
                <w:szCs w:val="16"/>
                <w:lang w:eastAsia="cs-CZ"/>
              </w:rPr>
              <w:t>Objem</w:t>
            </w:r>
          </w:p>
        </w:tc>
        <w:tc>
          <w:tcPr>
            <w:tcW w:w="960" w:type="dxa"/>
            <w:vMerge w:val="restart"/>
            <w:tcBorders>
              <w:top w:val="nil"/>
              <w:left w:val="single" w:sz="8" w:space="0" w:color="BFBFBF"/>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sidRPr="003E3BA5">
              <w:rPr>
                <w:rFonts w:ascii="Tahoma" w:eastAsia="Times New Roman" w:hAnsi="Tahoma" w:cs="Tahoma"/>
                <w:color w:val="9B9BA0"/>
                <w:sz w:val="16"/>
                <w:szCs w:val="16"/>
                <w:lang w:eastAsia="cs-CZ"/>
              </w:rPr>
              <w:t>Počet</w:t>
            </w:r>
          </w:p>
        </w:tc>
        <w:tc>
          <w:tcPr>
            <w:tcW w:w="960" w:type="dxa"/>
            <w:tcBorders>
              <w:top w:val="nil"/>
              <w:left w:val="nil"/>
              <w:bottom w:val="nil"/>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sidRPr="003E3BA5">
              <w:rPr>
                <w:rFonts w:ascii="Tahoma" w:eastAsia="Times New Roman" w:hAnsi="Tahoma" w:cs="Tahoma"/>
                <w:color w:val="9B9BA0"/>
                <w:sz w:val="16"/>
                <w:szCs w:val="16"/>
                <w:lang w:eastAsia="cs-CZ"/>
              </w:rPr>
              <w:t>Objem</w:t>
            </w:r>
          </w:p>
        </w:tc>
        <w:tc>
          <w:tcPr>
            <w:tcW w:w="960" w:type="dxa"/>
            <w:tcBorders>
              <w:top w:val="nil"/>
              <w:left w:val="nil"/>
              <w:bottom w:val="nil"/>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sidRPr="003E3BA5">
              <w:rPr>
                <w:rFonts w:ascii="Tahoma" w:eastAsia="Times New Roman" w:hAnsi="Tahoma" w:cs="Tahoma"/>
                <w:color w:val="9B9BA0"/>
                <w:sz w:val="16"/>
                <w:szCs w:val="16"/>
                <w:lang w:eastAsia="cs-CZ"/>
              </w:rPr>
              <w:t>Objem</w:t>
            </w:r>
          </w:p>
        </w:tc>
      </w:tr>
      <w:tr w:rsidR="001B7601" w:rsidRPr="003E3BA5" w:rsidTr="001B7601">
        <w:trPr>
          <w:trHeight w:val="435"/>
          <w:jc w:val="center"/>
        </w:trPr>
        <w:tc>
          <w:tcPr>
            <w:tcW w:w="1140" w:type="dxa"/>
            <w:vMerge/>
            <w:tcBorders>
              <w:top w:val="nil"/>
              <w:left w:val="single" w:sz="8" w:space="0" w:color="BFBFBF"/>
              <w:bottom w:val="single" w:sz="8" w:space="0" w:color="404040"/>
              <w:right w:val="single" w:sz="8" w:space="0" w:color="BFBFBF"/>
            </w:tcBorders>
            <w:vAlign w:val="center"/>
            <w:hideMark/>
          </w:tcPr>
          <w:p w:rsidR="001B7601" w:rsidRPr="003E3BA5" w:rsidRDefault="001B7601" w:rsidP="000B10EB">
            <w:pPr>
              <w:spacing w:after="0" w:line="240" w:lineRule="auto"/>
              <w:rPr>
                <w:rFonts w:ascii="Tahoma" w:eastAsia="Times New Roman" w:hAnsi="Tahoma" w:cs="Tahoma"/>
                <w:color w:val="008CCD"/>
                <w:sz w:val="16"/>
                <w:szCs w:val="16"/>
                <w:lang w:eastAsia="cs-CZ"/>
              </w:rPr>
            </w:pPr>
          </w:p>
        </w:tc>
        <w:tc>
          <w:tcPr>
            <w:tcW w:w="960" w:type="dxa"/>
            <w:tcBorders>
              <w:top w:val="nil"/>
              <w:left w:val="nil"/>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rPr>
                <w:rFonts w:ascii="Calibri" w:eastAsia="Times New Roman" w:hAnsi="Calibri" w:cs="Times New Roman"/>
                <w:color w:val="000000"/>
                <w:lang w:eastAsia="cs-CZ"/>
              </w:rPr>
            </w:pPr>
            <w:r w:rsidRPr="003E3BA5">
              <w:rPr>
                <w:rFonts w:ascii="Calibri" w:eastAsia="Times New Roman" w:hAnsi="Calibri" w:cs="Times New Roman"/>
                <w:color w:val="000000"/>
                <w:lang w:eastAsia="cs-CZ"/>
              </w:rPr>
              <w:t> </w:t>
            </w:r>
          </w:p>
        </w:tc>
        <w:tc>
          <w:tcPr>
            <w:tcW w:w="960" w:type="dxa"/>
            <w:vMerge/>
            <w:tcBorders>
              <w:top w:val="nil"/>
              <w:left w:val="single" w:sz="8" w:space="0" w:color="BFBFBF"/>
              <w:bottom w:val="single" w:sz="8" w:space="0" w:color="404040"/>
              <w:right w:val="single" w:sz="8" w:space="0" w:color="BFBFBF"/>
            </w:tcBorders>
            <w:vAlign w:val="center"/>
            <w:hideMark/>
          </w:tcPr>
          <w:p w:rsidR="001B7601" w:rsidRPr="003E3BA5" w:rsidRDefault="001B7601" w:rsidP="000B10EB">
            <w:pPr>
              <w:spacing w:after="0" w:line="240" w:lineRule="auto"/>
              <w:rPr>
                <w:rFonts w:ascii="Tahoma" w:eastAsia="Times New Roman" w:hAnsi="Tahoma" w:cs="Tahoma"/>
                <w:color w:val="9B9BA0"/>
                <w:sz w:val="16"/>
                <w:szCs w:val="16"/>
                <w:lang w:eastAsia="cs-CZ"/>
              </w:rPr>
            </w:pPr>
          </w:p>
        </w:tc>
        <w:tc>
          <w:tcPr>
            <w:tcW w:w="960" w:type="dxa"/>
            <w:tcBorders>
              <w:top w:val="nil"/>
              <w:left w:val="nil"/>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Pr>
                <w:rFonts w:ascii="Tahoma" w:eastAsia="Times New Roman" w:hAnsi="Tahoma" w:cs="Tahoma"/>
                <w:color w:val="9B9BA0"/>
                <w:sz w:val="16"/>
                <w:szCs w:val="16"/>
                <w:lang w:eastAsia="cs-CZ"/>
              </w:rPr>
              <w:t>(</w:t>
            </w:r>
            <w:r w:rsidRPr="003E3BA5">
              <w:rPr>
                <w:rFonts w:ascii="Tahoma" w:eastAsia="Times New Roman" w:hAnsi="Tahoma" w:cs="Tahoma"/>
                <w:color w:val="9B9BA0"/>
                <w:sz w:val="16"/>
                <w:szCs w:val="16"/>
                <w:lang w:eastAsia="cs-CZ"/>
              </w:rPr>
              <w:t>mil. Kč</w:t>
            </w:r>
            <w:r>
              <w:rPr>
                <w:rFonts w:ascii="Tahoma" w:eastAsia="Times New Roman" w:hAnsi="Tahoma" w:cs="Tahoma"/>
                <w:color w:val="9B9BA0"/>
                <w:sz w:val="16"/>
                <w:szCs w:val="16"/>
                <w:lang w:eastAsia="cs-CZ"/>
              </w:rPr>
              <w:t>)</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Pr>
                <w:rFonts w:ascii="Tahoma" w:eastAsia="Times New Roman" w:hAnsi="Tahoma" w:cs="Tahoma"/>
                <w:color w:val="9B9BA0"/>
                <w:sz w:val="16"/>
                <w:szCs w:val="16"/>
                <w:lang w:eastAsia="cs-CZ"/>
              </w:rPr>
              <w:t>(</w:t>
            </w:r>
            <w:r w:rsidRPr="003E3BA5">
              <w:rPr>
                <w:rFonts w:ascii="Tahoma" w:eastAsia="Times New Roman" w:hAnsi="Tahoma" w:cs="Tahoma"/>
                <w:color w:val="9B9BA0"/>
                <w:sz w:val="16"/>
                <w:szCs w:val="16"/>
                <w:lang w:eastAsia="cs-CZ"/>
              </w:rPr>
              <w:t>% alokace</w:t>
            </w:r>
            <w:r>
              <w:rPr>
                <w:rFonts w:ascii="Tahoma" w:eastAsia="Times New Roman" w:hAnsi="Tahoma" w:cs="Tahoma"/>
                <w:color w:val="9B9BA0"/>
                <w:sz w:val="16"/>
                <w:szCs w:val="16"/>
                <w:lang w:eastAsia="cs-CZ"/>
              </w:rPr>
              <w:t>)</w:t>
            </w:r>
          </w:p>
        </w:tc>
        <w:tc>
          <w:tcPr>
            <w:tcW w:w="960" w:type="dxa"/>
            <w:vMerge/>
            <w:tcBorders>
              <w:top w:val="nil"/>
              <w:left w:val="single" w:sz="8" w:space="0" w:color="BFBFBF"/>
              <w:bottom w:val="single" w:sz="8" w:space="0" w:color="404040"/>
              <w:right w:val="single" w:sz="8" w:space="0" w:color="BFBFBF"/>
            </w:tcBorders>
            <w:vAlign w:val="center"/>
            <w:hideMark/>
          </w:tcPr>
          <w:p w:rsidR="001B7601" w:rsidRPr="003E3BA5" w:rsidRDefault="001B7601" w:rsidP="000B10EB">
            <w:pPr>
              <w:spacing w:after="0" w:line="240" w:lineRule="auto"/>
              <w:rPr>
                <w:rFonts w:ascii="Tahoma" w:eastAsia="Times New Roman" w:hAnsi="Tahoma" w:cs="Tahoma"/>
                <w:color w:val="9B9BA0"/>
                <w:sz w:val="16"/>
                <w:szCs w:val="16"/>
                <w:lang w:eastAsia="cs-CZ"/>
              </w:rPr>
            </w:pPr>
          </w:p>
        </w:tc>
        <w:tc>
          <w:tcPr>
            <w:tcW w:w="960" w:type="dxa"/>
            <w:tcBorders>
              <w:top w:val="nil"/>
              <w:left w:val="nil"/>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Pr>
                <w:rFonts w:ascii="Tahoma" w:eastAsia="Times New Roman" w:hAnsi="Tahoma" w:cs="Tahoma"/>
                <w:color w:val="9B9BA0"/>
                <w:sz w:val="16"/>
                <w:szCs w:val="16"/>
                <w:lang w:eastAsia="cs-CZ"/>
              </w:rPr>
              <w:t>(</w:t>
            </w:r>
            <w:r w:rsidRPr="003E3BA5">
              <w:rPr>
                <w:rFonts w:ascii="Tahoma" w:eastAsia="Times New Roman" w:hAnsi="Tahoma" w:cs="Tahoma"/>
                <w:color w:val="9B9BA0"/>
                <w:sz w:val="16"/>
                <w:szCs w:val="16"/>
                <w:lang w:eastAsia="cs-CZ"/>
              </w:rPr>
              <w:t>mil. Kč</w:t>
            </w:r>
            <w:r>
              <w:rPr>
                <w:rFonts w:ascii="Tahoma" w:eastAsia="Times New Roman" w:hAnsi="Tahoma" w:cs="Tahoma"/>
                <w:color w:val="9B9BA0"/>
                <w:sz w:val="16"/>
                <w:szCs w:val="16"/>
                <w:lang w:eastAsia="cs-CZ"/>
              </w:rPr>
              <w:t>)</w:t>
            </w:r>
          </w:p>
        </w:tc>
        <w:tc>
          <w:tcPr>
            <w:tcW w:w="960" w:type="dxa"/>
            <w:tcBorders>
              <w:top w:val="nil"/>
              <w:left w:val="nil"/>
              <w:bottom w:val="single" w:sz="8" w:space="0" w:color="404040"/>
              <w:right w:val="single" w:sz="8" w:space="0" w:color="BFBFBF"/>
            </w:tcBorders>
            <w:shd w:val="clear" w:color="auto" w:fill="auto"/>
            <w:vAlign w:val="center"/>
            <w:hideMark/>
          </w:tcPr>
          <w:p w:rsidR="001B7601" w:rsidRPr="003E3BA5" w:rsidRDefault="001B7601" w:rsidP="000B10EB">
            <w:pPr>
              <w:spacing w:after="0" w:line="240" w:lineRule="auto"/>
              <w:jc w:val="center"/>
              <w:rPr>
                <w:rFonts w:ascii="Tahoma" w:eastAsia="Times New Roman" w:hAnsi="Tahoma" w:cs="Tahoma"/>
                <w:color w:val="9B9BA0"/>
                <w:sz w:val="16"/>
                <w:szCs w:val="16"/>
                <w:lang w:eastAsia="cs-CZ"/>
              </w:rPr>
            </w:pPr>
            <w:r>
              <w:rPr>
                <w:rFonts w:ascii="Tahoma" w:eastAsia="Times New Roman" w:hAnsi="Tahoma" w:cs="Tahoma"/>
                <w:color w:val="9B9BA0"/>
                <w:sz w:val="16"/>
                <w:szCs w:val="16"/>
                <w:lang w:eastAsia="cs-CZ"/>
              </w:rPr>
              <w:t>(</w:t>
            </w:r>
            <w:r w:rsidRPr="003E3BA5">
              <w:rPr>
                <w:rFonts w:ascii="Tahoma" w:eastAsia="Times New Roman" w:hAnsi="Tahoma" w:cs="Tahoma"/>
                <w:color w:val="9B9BA0"/>
                <w:sz w:val="16"/>
                <w:szCs w:val="16"/>
                <w:lang w:eastAsia="cs-CZ"/>
              </w:rPr>
              <w:t>% alokace</w:t>
            </w:r>
            <w:r>
              <w:rPr>
                <w:rFonts w:ascii="Tahoma" w:eastAsia="Times New Roman" w:hAnsi="Tahoma" w:cs="Tahoma"/>
                <w:color w:val="9B9BA0"/>
                <w:sz w:val="16"/>
                <w:szCs w:val="16"/>
                <w:lang w:eastAsia="cs-CZ"/>
              </w:rPr>
              <w:t>)</w:t>
            </w:r>
          </w:p>
        </w:tc>
      </w:tr>
      <w:tr w:rsidR="001B7601" w:rsidRPr="003E3BA5" w:rsidTr="001B7601">
        <w:trPr>
          <w:trHeight w:val="315"/>
          <w:jc w:val="center"/>
        </w:trPr>
        <w:tc>
          <w:tcPr>
            <w:tcW w:w="1140" w:type="dxa"/>
            <w:tcBorders>
              <w:top w:val="nil"/>
              <w:left w:val="single" w:sz="8" w:space="0" w:color="BFBFBF"/>
              <w:bottom w:val="single" w:sz="8" w:space="0" w:color="404040"/>
              <w:right w:val="single" w:sz="8" w:space="0" w:color="BFBFBF"/>
            </w:tcBorders>
            <w:shd w:val="clear" w:color="auto" w:fill="auto"/>
            <w:vAlign w:val="center"/>
            <w:hideMark/>
          </w:tcPr>
          <w:p w:rsidR="001B7601" w:rsidRDefault="001B7601" w:rsidP="000B10EB">
            <w:pPr>
              <w:spacing w:after="0" w:line="240" w:lineRule="auto"/>
              <w:rPr>
                <w:rFonts w:ascii="Tahoma" w:hAnsi="Tahoma" w:cs="Tahoma"/>
                <w:color w:val="C3003C"/>
                <w:sz w:val="16"/>
                <w:szCs w:val="16"/>
              </w:rPr>
            </w:pPr>
            <w:r>
              <w:rPr>
                <w:rFonts w:ascii="Tahoma" w:hAnsi="Tahoma" w:cs="Tahoma"/>
                <w:color w:val="C3003C"/>
                <w:sz w:val="16"/>
                <w:szCs w:val="16"/>
              </w:rPr>
              <w:t>PO1</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1 067,70</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1 599</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5 561,00</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520,9</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404</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995,40</w:t>
            </w:r>
          </w:p>
        </w:tc>
        <w:tc>
          <w:tcPr>
            <w:tcW w:w="960" w:type="dxa"/>
            <w:tcBorders>
              <w:top w:val="nil"/>
              <w:left w:val="nil"/>
              <w:bottom w:val="single" w:sz="8" w:space="0" w:color="404040"/>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C3003C"/>
                <w:sz w:val="16"/>
                <w:szCs w:val="16"/>
              </w:rPr>
            </w:pPr>
            <w:r>
              <w:rPr>
                <w:rFonts w:ascii="Tahoma" w:hAnsi="Tahoma" w:cs="Tahoma"/>
                <w:color w:val="C3003C"/>
                <w:sz w:val="16"/>
                <w:szCs w:val="16"/>
              </w:rPr>
              <w:t>93,2</w:t>
            </w:r>
          </w:p>
        </w:tc>
      </w:tr>
      <w:tr w:rsidR="001B7601" w:rsidRPr="003E3BA5" w:rsidTr="001B7601">
        <w:trPr>
          <w:trHeight w:val="315"/>
          <w:jc w:val="center"/>
        </w:trPr>
        <w:tc>
          <w:tcPr>
            <w:tcW w:w="1140" w:type="dxa"/>
            <w:tcBorders>
              <w:top w:val="nil"/>
              <w:left w:val="single" w:sz="8" w:space="0" w:color="BFBFBF"/>
              <w:bottom w:val="single" w:sz="8" w:space="0" w:color="BFBFBF"/>
              <w:right w:val="single" w:sz="8" w:space="0" w:color="BFBFBF"/>
            </w:tcBorders>
            <w:shd w:val="clear" w:color="auto" w:fill="auto"/>
            <w:vAlign w:val="center"/>
            <w:hideMark/>
          </w:tcPr>
          <w:p w:rsidR="001B7601" w:rsidRDefault="001B7601" w:rsidP="000B10EB">
            <w:pPr>
              <w:spacing w:after="0" w:line="240" w:lineRule="auto"/>
              <w:rPr>
                <w:rFonts w:ascii="Tahoma" w:hAnsi="Tahoma" w:cs="Tahoma"/>
                <w:color w:val="9B9BA0"/>
                <w:sz w:val="16"/>
                <w:szCs w:val="16"/>
              </w:rPr>
            </w:pPr>
            <w:r>
              <w:rPr>
                <w:rFonts w:ascii="Tahoma" w:hAnsi="Tahoma" w:cs="Tahoma"/>
                <w:color w:val="9B9BA0"/>
                <w:sz w:val="16"/>
                <w:szCs w:val="16"/>
              </w:rPr>
              <w:t xml:space="preserve">OP celkem </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3 000,90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3 709</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14 438,40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481,1</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1007</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2 979,00</w:t>
            </w:r>
          </w:p>
        </w:tc>
        <w:tc>
          <w:tcPr>
            <w:tcW w:w="960" w:type="dxa"/>
            <w:tcBorders>
              <w:top w:val="nil"/>
              <w:left w:val="nil"/>
              <w:bottom w:val="single" w:sz="8" w:space="0" w:color="BFBFBF"/>
              <w:right w:val="single" w:sz="8" w:space="0" w:color="BFBFBF"/>
            </w:tcBorders>
            <w:shd w:val="clear" w:color="auto" w:fill="auto"/>
            <w:vAlign w:val="center"/>
            <w:hideMark/>
          </w:tcPr>
          <w:p w:rsidR="001B7601" w:rsidRDefault="001B7601" w:rsidP="000B10EB">
            <w:pPr>
              <w:spacing w:after="0" w:line="240" w:lineRule="auto"/>
              <w:jc w:val="right"/>
              <w:rPr>
                <w:rFonts w:ascii="Tahoma" w:hAnsi="Tahoma" w:cs="Tahoma"/>
                <w:color w:val="9B9BA0"/>
                <w:sz w:val="16"/>
                <w:szCs w:val="16"/>
              </w:rPr>
            </w:pPr>
            <w:r>
              <w:rPr>
                <w:rFonts w:ascii="Tahoma" w:hAnsi="Tahoma" w:cs="Tahoma"/>
                <w:color w:val="9B9BA0"/>
                <w:sz w:val="16"/>
                <w:szCs w:val="16"/>
              </w:rPr>
              <w:t>99,3</w:t>
            </w:r>
          </w:p>
        </w:tc>
      </w:tr>
    </w:tbl>
    <w:p w:rsidR="00F110FD" w:rsidRDefault="00F110FD" w:rsidP="00F110FD">
      <w:pPr>
        <w:pStyle w:val="Zdroj"/>
      </w:pPr>
      <w:r w:rsidRPr="003E3BA5">
        <w:t>Zdroj</w:t>
      </w:r>
      <w:r>
        <w:t xml:space="preserve"> dat</w:t>
      </w:r>
      <w:r w:rsidRPr="003E3BA5">
        <w:t>: Čtvrtletní monitorovací zpráva - I.</w:t>
      </w:r>
      <w:r>
        <w:t xml:space="preserve"> </w:t>
      </w:r>
      <w:r w:rsidRPr="003E3BA5">
        <w:t>Q 2015 - MMR 2015 [http://</w:t>
      </w:r>
      <w:proofErr w:type="gramStart"/>
      <w:r w:rsidRPr="003E3BA5">
        <w:t>www.strukturalni-fondy</w:t>
      </w:r>
      <w:proofErr w:type="gramEnd"/>
      <w:r w:rsidRPr="003E3BA5">
        <w:t>.cz/</w:t>
      </w:r>
      <w:proofErr w:type="spellStart"/>
      <w:r w:rsidRPr="003E3BA5">
        <w:t>cs</w:t>
      </w:r>
      <w:proofErr w:type="spellEnd"/>
      <w:r w:rsidRPr="003E3BA5">
        <w:t>/Informace-o-</w:t>
      </w:r>
      <w:proofErr w:type="spellStart"/>
      <w:r w:rsidRPr="003E3BA5">
        <w:t>cerpani</w:t>
      </w:r>
      <w:proofErr w:type="spellEnd"/>
      <w:r w:rsidRPr="003E3BA5">
        <w:t>]</w:t>
      </w:r>
    </w:p>
    <w:p w:rsidR="00F110FD" w:rsidRPr="00B164B1" w:rsidRDefault="002750C6" w:rsidP="00D34BA2">
      <w:pPr>
        <w:pStyle w:val="Nadpis3"/>
      </w:pPr>
      <w:bookmarkStart w:id="5" w:name="_Toc427676896"/>
      <w:r>
        <w:t>3.1</w:t>
      </w:r>
      <w:r w:rsidR="00071A9A">
        <w:t>.</w:t>
      </w:r>
      <w:r>
        <w:t xml:space="preserve"> </w:t>
      </w:r>
      <w:r w:rsidR="00F110FD" w:rsidRPr="000D48D0">
        <w:t>Strategický rámec podpory VaVaI z</w:t>
      </w:r>
      <w:r w:rsidR="00F110FD">
        <w:t> ESI fondů</w:t>
      </w:r>
      <w:bookmarkEnd w:id="5"/>
    </w:p>
    <w:p w:rsidR="00AD7DF3" w:rsidRDefault="00F110FD" w:rsidP="00060D84">
      <w:pPr>
        <w:spacing w:after="0" w:line="360" w:lineRule="auto"/>
        <w:ind w:firstLine="708"/>
        <w:jc w:val="both"/>
        <w:rPr>
          <w:rFonts w:ascii="Arial" w:eastAsia="Times New Roman" w:hAnsi="Arial" w:cs="Arial"/>
          <w:lang w:eastAsia="cs-CZ"/>
        </w:rPr>
      </w:pPr>
      <w:r w:rsidRPr="00F110FD">
        <w:rPr>
          <w:rFonts w:ascii="Arial" w:eastAsia="Times New Roman" w:hAnsi="Arial" w:cs="Arial"/>
          <w:lang w:eastAsia="cs-CZ"/>
        </w:rPr>
        <w:t>Národní strategie inteligentní specializace je určena pro efektivní zacílení veškerých disponibilních finančních prostředků pro oblast VaV</w:t>
      </w:r>
      <w:r w:rsidR="00A973AD">
        <w:rPr>
          <w:rFonts w:ascii="Arial" w:eastAsia="Times New Roman" w:hAnsi="Arial" w:cs="Arial"/>
          <w:lang w:eastAsia="cs-CZ"/>
        </w:rPr>
        <w:t>aI</w:t>
      </w:r>
      <w:r w:rsidRPr="00F110FD">
        <w:rPr>
          <w:rFonts w:ascii="Arial" w:eastAsia="Times New Roman" w:hAnsi="Arial" w:cs="Arial"/>
          <w:lang w:eastAsia="cs-CZ"/>
        </w:rPr>
        <w:t xml:space="preserve"> a jejím cílem je, aby došlo k efektivní alokaci těchto zdrojů do oblastí, jež budou identifikovány jako nejperspektivnější pro využití znalostního a</w:t>
      </w:r>
      <w:r w:rsidR="00DB5657">
        <w:rPr>
          <w:rFonts w:ascii="Arial" w:eastAsia="Times New Roman" w:hAnsi="Arial" w:cs="Arial"/>
          <w:lang w:eastAsia="cs-CZ"/>
        </w:rPr>
        <w:t> </w:t>
      </w:r>
      <w:r w:rsidRPr="00F110FD">
        <w:rPr>
          <w:rFonts w:ascii="Arial" w:eastAsia="Times New Roman" w:hAnsi="Arial" w:cs="Arial"/>
          <w:lang w:eastAsia="cs-CZ"/>
        </w:rPr>
        <w:t>inovačního potenciálu ČR. Fungování RIS 3 má spolu s dalšími aktivitami přispívat k naplňování cílů strategie Evropa 2020, zejména k podpoře konkurenceschopnosti národní ekonomiky a</w:t>
      </w:r>
      <w:r w:rsidR="00DB5657">
        <w:rPr>
          <w:rFonts w:ascii="Arial" w:eastAsia="Times New Roman" w:hAnsi="Arial" w:cs="Arial"/>
          <w:lang w:eastAsia="cs-CZ"/>
        </w:rPr>
        <w:t> </w:t>
      </w:r>
      <w:r w:rsidRPr="00F110FD">
        <w:rPr>
          <w:rFonts w:ascii="Arial" w:eastAsia="Times New Roman" w:hAnsi="Arial" w:cs="Arial"/>
          <w:lang w:eastAsia="cs-CZ"/>
        </w:rPr>
        <w:t>přispívat k snižování míry nezaměstnanosti. RIS 3 představuje předběžnou podmínku pro využití ESI fondů na podporu VaV</w:t>
      </w:r>
      <w:r w:rsidR="002978DA">
        <w:rPr>
          <w:rFonts w:ascii="Arial" w:eastAsia="Times New Roman" w:hAnsi="Arial" w:cs="Arial"/>
          <w:lang w:eastAsia="cs-CZ"/>
        </w:rPr>
        <w:t>aI</w:t>
      </w:r>
      <w:r w:rsidRPr="00F110FD">
        <w:rPr>
          <w:rFonts w:ascii="Arial" w:eastAsia="Times New Roman" w:hAnsi="Arial" w:cs="Arial"/>
          <w:lang w:eastAsia="cs-CZ"/>
        </w:rPr>
        <w:t>. Proces přípravy Národní RIS 3 byl zahájen v roce 2013 a probíhal v gesci Ministerstva školství, mládeže a tělovýchovy. Po schválení vládou usnesením vlády č.</w:t>
      </w:r>
      <w:r w:rsidR="00DB5657">
        <w:rPr>
          <w:rFonts w:ascii="Arial" w:eastAsia="Times New Roman" w:hAnsi="Arial" w:cs="Arial"/>
          <w:lang w:eastAsia="cs-CZ"/>
        </w:rPr>
        <w:t> </w:t>
      </w:r>
      <w:r w:rsidRPr="00F110FD">
        <w:rPr>
          <w:rFonts w:ascii="Arial" w:eastAsia="Times New Roman" w:hAnsi="Arial" w:cs="Arial"/>
          <w:lang w:eastAsia="cs-CZ"/>
        </w:rPr>
        <w:t xml:space="preserve">1028/2014 ze dne 8. prosince 2014 přešlo řízení RIS 3 od 1. ledna 2015 do kompetence Úřadu vlády ČR, Sekce pro vědu, výzkum a inovace. Znění RIS 3, jež bylo schválené Vládou ČR na konci roku 2014, bylo Evropskou komisí posouzené jako nezpůsobilé. </w:t>
      </w:r>
      <w:r w:rsidR="00725AE5" w:rsidRPr="00725AE5">
        <w:rPr>
          <w:rFonts w:ascii="Arial" w:eastAsia="Times New Roman" w:hAnsi="Arial" w:cs="Arial"/>
          <w:lang w:eastAsia="cs-CZ"/>
        </w:rPr>
        <w:t>EK uplatnila vůči Národní RIS</w:t>
      </w:r>
      <w:r w:rsidR="002978DA">
        <w:rPr>
          <w:rFonts w:ascii="Arial" w:eastAsia="Times New Roman" w:hAnsi="Arial" w:cs="Arial"/>
          <w:lang w:eastAsia="cs-CZ"/>
        </w:rPr>
        <w:t xml:space="preserve"> </w:t>
      </w:r>
      <w:r w:rsidR="00725AE5" w:rsidRPr="00725AE5">
        <w:rPr>
          <w:rFonts w:ascii="Arial" w:eastAsia="Times New Roman" w:hAnsi="Arial" w:cs="Arial"/>
          <w:lang w:eastAsia="cs-CZ"/>
        </w:rPr>
        <w:t>3 strategii především výtky k monitorování cílů, provázanosti s veřejnými rozpočty a nastavení institucionálního uspořádání</w:t>
      </w:r>
      <w:r w:rsidR="00725AE5">
        <w:rPr>
          <w:rFonts w:ascii="Arial" w:eastAsia="Times New Roman" w:hAnsi="Arial" w:cs="Arial"/>
          <w:lang w:eastAsia="cs-CZ"/>
        </w:rPr>
        <w:t xml:space="preserve">. </w:t>
      </w:r>
      <w:r w:rsidRPr="00F110FD">
        <w:rPr>
          <w:rFonts w:ascii="Arial" w:eastAsia="Times New Roman" w:hAnsi="Arial" w:cs="Arial"/>
          <w:lang w:eastAsia="cs-CZ"/>
        </w:rPr>
        <w:t>ČR proto v souladu s nařízením č. 1303/2013 předložila spolu s</w:t>
      </w:r>
      <w:r w:rsidR="00DB5657">
        <w:rPr>
          <w:rFonts w:ascii="Arial" w:eastAsia="Times New Roman" w:hAnsi="Arial" w:cs="Arial"/>
          <w:lang w:eastAsia="cs-CZ"/>
        </w:rPr>
        <w:t> </w:t>
      </w:r>
      <w:r w:rsidRPr="00F110FD">
        <w:rPr>
          <w:rFonts w:ascii="Arial" w:eastAsia="Times New Roman" w:hAnsi="Arial" w:cs="Arial"/>
          <w:lang w:eastAsia="cs-CZ"/>
        </w:rPr>
        <w:t>těmito programy také Akční plán splnění předběžné podmínky Národní RIS 3, v němž je deklarováno postupné dopracování nevyhovujících pasáží dokumentu a nastavení implementace tak, aby mohla být RIS 3 shledána způsobilou</w:t>
      </w:r>
      <w:r w:rsidRPr="00060D84">
        <w:rPr>
          <w:rFonts w:ascii="Arial" w:eastAsia="Times New Roman" w:hAnsi="Arial" w:cs="Arial"/>
          <w:lang w:eastAsia="cs-CZ"/>
        </w:rPr>
        <w:t>. Aktualizova</w:t>
      </w:r>
      <w:r w:rsidR="00FE45D8">
        <w:rPr>
          <w:rFonts w:ascii="Arial" w:eastAsia="Times New Roman" w:hAnsi="Arial" w:cs="Arial"/>
          <w:lang w:eastAsia="cs-CZ"/>
        </w:rPr>
        <w:t>ný text RIS 3 má být předložen v</w:t>
      </w:r>
      <w:r w:rsidRPr="00060D84">
        <w:rPr>
          <w:rFonts w:ascii="Arial" w:eastAsia="Times New Roman" w:hAnsi="Arial" w:cs="Arial"/>
          <w:lang w:eastAsia="cs-CZ"/>
        </w:rPr>
        <w:t>ládě ke schválení v závěru roku 2015.</w:t>
      </w:r>
      <w:r w:rsidR="00AD7DF3">
        <w:rPr>
          <w:rFonts w:ascii="Arial" w:eastAsia="Times New Roman" w:hAnsi="Arial" w:cs="Arial"/>
          <w:lang w:eastAsia="cs-CZ"/>
        </w:rPr>
        <w:t xml:space="preserve"> </w:t>
      </w:r>
    </w:p>
    <w:p w:rsidR="007009FC" w:rsidRDefault="00AD7DF3" w:rsidP="00060D84">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Pro zajištění správné implementace RIS 3</w:t>
      </w:r>
      <w:r w:rsidR="00C21902">
        <w:rPr>
          <w:rFonts w:ascii="Arial" w:eastAsia="Times New Roman" w:hAnsi="Arial" w:cs="Arial"/>
          <w:lang w:eastAsia="cs-CZ"/>
        </w:rPr>
        <w:t xml:space="preserve"> byly zahájeny</w:t>
      </w:r>
      <w:r>
        <w:rPr>
          <w:rFonts w:ascii="Arial" w:eastAsia="Times New Roman" w:hAnsi="Arial" w:cs="Arial"/>
          <w:lang w:eastAsia="cs-CZ"/>
        </w:rPr>
        <w:t xml:space="preserve"> proces</w:t>
      </w:r>
      <w:r w:rsidR="00C21902">
        <w:rPr>
          <w:rFonts w:ascii="Arial" w:eastAsia="Times New Roman" w:hAnsi="Arial" w:cs="Arial"/>
          <w:lang w:eastAsia="cs-CZ"/>
        </w:rPr>
        <w:t>y</w:t>
      </w:r>
      <w:r>
        <w:rPr>
          <w:rFonts w:ascii="Arial" w:eastAsia="Times New Roman" w:hAnsi="Arial" w:cs="Arial"/>
          <w:lang w:eastAsia="cs-CZ"/>
        </w:rPr>
        <w:t xml:space="preserve"> </w:t>
      </w:r>
      <w:proofErr w:type="spellStart"/>
      <w:r>
        <w:rPr>
          <w:rFonts w:ascii="Arial" w:eastAsia="Times New Roman" w:hAnsi="Arial" w:cs="Arial"/>
          <w:lang w:eastAsia="cs-CZ"/>
        </w:rPr>
        <w:t>Entrepreneurial</w:t>
      </w:r>
      <w:proofErr w:type="spellEnd"/>
      <w:r>
        <w:rPr>
          <w:rFonts w:ascii="Arial" w:eastAsia="Times New Roman" w:hAnsi="Arial" w:cs="Arial"/>
          <w:lang w:eastAsia="cs-CZ"/>
        </w:rPr>
        <w:t xml:space="preserve"> </w:t>
      </w:r>
      <w:proofErr w:type="spellStart"/>
      <w:r>
        <w:rPr>
          <w:rFonts w:ascii="Arial" w:eastAsia="Times New Roman" w:hAnsi="Arial" w:cs="Arial"/>
          <w:lang w:eastAsia="cs-CZ"/>
        </w:rPr>
        <w:t>Discovery</w:t>
      </w:r>
      <w:proofErr w:type="spellEnd"/>
      <w:r w:rsidR="00C21902">
        <w:rPr>
          <w:rFonts w:ascii="Arial" w:eastAsia="Times New Roman" w:hAnsi="Arial" w:cs="Arial"/>
          <w:lang w:eastAsia="cs-CZ"/>
        </w:rPr>
        <w:t xml:space="preserve">, tj. </w:t>
      </w:r>
      <w:r w:rsidR="00C21902" w:rsidRPr="00C21902">
        <w:rPr>
          <w:rFonts w:ascii="Arial" w:eastAsia="Times New Roman" w:hAnsi="Arial" w:cs="Arial"/>
          <w:lang w:eastAsia="cs-CZ"/>
        </w:rPr>
        <w:t>průběžné zjišťování potřeb v oblasti VaVaI a lidských zdrojů a definování cílů z</w:t>
      </w:r>
      <w:r w:rsidR="00DB5657">
        <w:rPr>
          <w:rFonts w:ascii="Arial" w:eastAsia="Times New Roman" w:hAnsi="Arial" w:cs="Arial"/>
          <w:lang w:eastAsia="cs-CZ"/>
        </w:rPr>
        <w:t> </w:t>
      </w:r>
      <w:r w:rsidR="00C21902" w:rsidRPr="00C21902">
        <w:rPr>
          <w:rFonts w:ascii="Arial" w:eastAsia="Times New Roman" w:hAnsi="Arial" w:cs="Arial"/>
          <w:lang w:eastAsia="cs-CZ"/>
        </w:rPr>
        <w:t>pohledu podniků a výzkumníků</w:t>
      </w:r>
      <w:r w:rsidR="00C21902">
        <w:rPr>
          <w:rFonts w:ascii="Arial" w:eastAsia="Times New Roman" w:hAnsi="Arial" w:cs="Arial"/>
          <w:lang w:eastAsia="cs-CZ"/>
        </w:rPr>
        <w:t>,</w:t>
      </w:r>
      <w:r>
        <w:rPr>
          <w:rFonts w:ascii="Arial" w:eastAsia="Times New Roman" w:hAnsi="Arial" w:cs="Arial"/>
          <w:lang w:eastAsia="cs-CZ"/>
        </w:rPr>
        <w:t xml:space="preserve"> a </w:t>
      </w:r>
      <w:proofErr w:type="spellStart"/>
      <w:r>
        <w:rPr>
          <w:rFonts w:ascii="Arial" w:eastAsia="Times New Roman" w:hAnsi="Arial" w:cs="Arial"/>
          <w:lang w:eastAsia="cs-CZ"/>
        </w:rPr>
        <w:t>vertikalizace</w:t>
      </w:r>
      <w:proofErr w:type="spellEnd"/>
      <w:r>
        <w:rPr>
          <w:rFonts w:ascii="Arial" w:eastAsia="Times New Roman" w:hAnsi="Arial" w:cs="Arial"/>
          <w:lang w:eastAsia="cs-CZ"/>
        </w:rPr>
        <w:t xml:space="preserve">, tj. </w:t>
      </w:r>
      <w:r w:rsidR="00D774E6" w:rsidRPr="00C21902">
        <w:rPr>
          <w:rFonts w:ascii="Arial" w:eastAsia="Times New Roman" w:hAnsi="Arial" w:cs="Arial"/>
          <w:lang w:eastAsia="cs-CZ"/>
        </w:rPr>
        <w:t>navázání konkrétních témat na prostředky ze</w:t>
      </w:r>
      <w:r w:rsidR="00DB5657">
        <w:rPr>
          <w:rFonts w:ascii="Arial" w:eastAsia="Times New Roman" w:hAnsi="Arial" w:cs="Arial"/>
          <w:lang w:eastAsia="cs-CZ"/>
        </w:rPr>
        <w:t> </w:t>
      </w:r>
      <w:r w:rsidR="00D774E6" w:rsidRPr="00C21902">
        <w:rPr>
          <w:rFonts w:ascii="Arial" w:eastAsia="Times New Roman" w:hAnsi="Arial" w:cs="Arial"/>
          <w:lang w:eastAsia="cs-CZ"/>
        </w:rPr>
        <w:t>státního rozpočtu a evropských fondů.</w:t>
      </w:r>
      <w:r w:rsidR="00C21902">
        <w:rPr>
          <w:rFonts w:ascii="Arial" w:eastAsia="Times New Roman" w:hAnsi="Arial" w:cs="Arial"/>
          <w:lang w:eastAsia="cs-CZ"/>
        </w:rPr>
        <w:t xml:space="preserve"> J</w:t>
      </w:r>
      <w:r>
        <w:rPr>
          <w:rFonts w:ascii="Arial" w:eastAsia="Times New Roman" w:hAnsi="Arial" w:cs="Arial"/>
          <w:lang w:eastAsia="cs-CZ"/>
        </w:rPr>
        <w:t xml:space="preserve">eště v gesci MŠMT </w:t>
      </w:r>
      <w:r w:rsidR="00C21902">
        <w:rPr>
          <w:rFonts w:ascii="Arial" w:eastAsia="Times New Roman" w:hAnsi="Arial" w:cs="Arial"/>
          <w:lang w:eastAsia="cs-CZ"/>
        </w:rPr>
        <w:t xml:space="preserve">byly </w:t>
      </w:r>
      <w:r>
        <w:rPr>
          <w:rFonts w:ascii="Arial" w:eastAsia="Times New Roman" w:hAnsi="Arial" w:cs="Arial"/>
          <w:lang w:eastAsia="cs-CZ"/>
        </w:rPr>
        <w:t xml:space="preserve">vytvořeny Národní inovační platformy. </w:t>
      </w:r>
      <w:r w:rsidR="007009FC">
        <w:rPr>
          <w:rFonts w:ascii="Arial" w:eastAsia="Times New Roman" w:hAnsi="Arial" w:cs="Arial"/>
          <w:lang w:eastAsia="cs-CZ"/>
        </w:rPr>
        <w:t>Členy jsou zástupci podniků, institucí veřejného charakteru provádějících výzkum a</w:t>
      </w:r>
      <w:r w:rsidR="00DB5657">
        <w:rPr>
          <w:rFonts w:ascii="Arial" w:eastAsia="Times New Roman" w:hAnsi="Arial" w:cs="Arial"/>
          <w:lang w:eastAsia="cs-CZ"/>
        </w:rPr>
        <w:t> </w:t>
      </w:r>
      <w:r w:rsidR="007009FC">
        <w:rPr>
          <w:rFonts w:ascii="Arial" w:eastAsia="Times New Roman" w:hAnsi="Arial" w:cs="Arial"/>
          <w:lang w:eastAsia="cs-CZ"/>
        </w:rPr>
        <w:t xml:space="preserve">vývoj a poskytovatelé podpor. </w:t>
      </w:r>
      <w:r>
        <w:rPr>
          <w:rFonts w:ascii="Arial" w:eastAsia="Times New Roman" w:hAnsi="Arial" w:cs="Arial"/>
          <w:lang w:eastAsia="cs-CZ"/>
        </w:rPr>
        <w:t xml:space="preserve">Jejich cílem je především umožnit debatu mezi zástupci podnikatelského a veřejného (vysokoškolského i vládního) sektoru za moderace veřejných institucí. Vzájemná diskuse má vést k vytvoření zadání pro poskytovatele podpor, aby mohlo dojít k jejich zaměření směrem k RIS 3, tj. na konkrétní odvětvově specifická témata. </w:t>
      </w:r>
    </w:p>
    <w:p w:rsidR="00F110FD" w:rsidRDefault="007009FC" w:rsidP="00060D84">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Doposud proběhla dvě setkání Národních inovačních platforem (podle kapitoly 7 národní RIS 3 se mají setkávat jedenkrát za půl roku, případně častěji).</w:t>
      </w:r>
      <w:r w:rsidR="00C21902">
        <w:rPr>
          <w:rFonts w:ascii="Arial" w:eastAsia="Times New Roman" w:hAnsi="Arial" w:cs="Arial"/>
          <w:lang w:eastAsia="cs-CZ"/>
        </w:rPr>
        <w:t xml:space="preserve"> Konkrétní výsledky setkávání lze </w:t>
      </w:r>
      <w:r w:rsidR="00C21902">
        <w:rPr>
          <w:rFonts w:ascii="Arial" w:eastAsia="Times New Roman" w:hAnsi="Arial" w:cs="Arial"/>
          <w:lang w:eastAsia="cs-CZ"/>
        </w:rPr>
        <w:lastRenderedPageBreak/>
        <w:t xml:space="preserve">očekávat na podzim 2015. </w:t>
      </w:r>
      <w:r>
        <w:rPr>
          <w:rFonts w:ascii="Arial" w:eastAsia="Times New Roman" w:hAnsi="Arial" w:cs="Arial"/>
          <w:lang w:eastAsia="cs-CZ"/>
        </w:rPr>
        <w:t xml:space="preserve">Seznam členů Národních </w:t>
      </w:r>
      <w:r w:rsidR="00A973AD">
        <w:rPr>
          <w:rFonts w:ascii="Arial" w:eastAsia="Times New Roman" w:hAnsi="Arial" w:cs="Arial"/>
          <w:lang w:eastAsia="cs-CZ"/>
        </w:rPr>
        <w:t>i</w:t>
      </w:r>
      <w:r>
        <w:rPr>
          <w:rFonts w:ascii="Arial" w:eastAsia="Times New Roman" w:hAnsi="Arial" w:cs="Arial"/>
          <w:lang w:eastAsia="cs-CZ"/>
        </w:rPr>
        <w:t>novačních</w:t>
      </w:r>
      <w:r w:rsidR="00A973AD">
        <w:rPr>
          <w:rFonts w:ascii="Arial" w:eastAsia="Times New Roman" w:hAnsi="Arial" w:cs="Arial"/>
          <w:lang w:eastAsia="cs-CZ"/>
        </w:rPr>
        <w:t xml:space="preserve"> platforem</w:t>
      </w:r>
      <w:r>
        <w:rPr>
          <w:rFonts w:ascii="Arial" w:eastAsia="Times New Roman" w:hAnsi="Arial" w:cs="Arial"/>
          <w:lang w:eastAsia="cs-CZ"/>
        </w:rPr>
        <w:t xml:space="preserve"> není definitivně stanoven, očekávají se změny, které zajistí lepší pokrytí od</w:t>
      </w:r>
      <w:r w:rsidR="006A469E">
        <w:rPr>
          <w:rFonts w:ascii="Arial" w:eastAsia="Times New Roman" w:hAnsi="Arial" w:cs="Arial"/>
          <w:lang w:eastAsia="cs-CZ"/>
        </w:rPr>
        <w:t>větvové a regionální struktury.</w:t>
      </w:r>
    </w:p>
    <w:p w:rsidR="00B53C4C" w:rsidRPr="00FE0DAA" w:rsidRDefault="002750C6" w:rsidP="00D34BA2">
      <w:pPr>
        <w:pStyle w:val="Nadpis3"/>
      </w:pPr>
      <w:bookmarkStart w:id="6" w:name="_Toc427676897"/>
      <w:r>
        <w:t>3.2</w:t>
      </w:r>
      <w:r w:rsidR="00071A9A">
        <w:t>.</w:t>
      </w:r>
      <w:r>
        <w:t xml:space="preserve"> </w:t>
      </w:r>
      <w:r w:rsidR="00B53C4C" w:rsidRPr="00FE0DAA">
        <w:t xml:space="preserve">Nový </w:t>
      </w:r>
      <w:r w:rsidR="00B53C4C" w:rsidRPr="00D34BA2">
        <w:t>rámcový</w:t>
      </w:r>
      <w:r w:rsidR="00B53C4C" w:rsidRPr="00FE0DAA">
        <w:t xml:space="preserve"> program HORIZONT 2020</w:t>
      </w:r>
      <w:bookmarkEnd w:id="6"/>
    </w:p>
    <w:p w:rsidR="00B53C4C" w:rsidRDefault="00B53C4C" w:rsidP="00613032">
      <w:pPr>
        <w:spacing w:after="0" w:line="360" w:lineRule="auto"/>
        <w:ind w:left="50" w:firstLine="709"/>
        <w:jc w:val="both"/>
        <w:rPr>
          <w:rFonts w:ascii="Arial" w:hAnsi="Arial" w:cs="Arial"/>
        </w:rPr>
      </w:pPr>
      <w:r>
        <w:rPr>
          <w:rFonts w:ascii="Arial" w:hAnsi="Arial" w:cs="Arial"/>
        </w:rPr>
        <w:t>V polovině roku 2013 byl schválen</w:t>
      </w:r>
      <w:r w:rsidRPr="00660910">
        <w:rPr>
          <w:rFonts w:ascii="Arial" w:hAnsi="Arial" w:cs="Arial"/>
        </w:rPr>
        <w:t xml:space="preserve"> Evropský</w:t>
      </w:r>
      <w:r>
        <w:rPr>
          <w:rFonts w:ascii="Arial" w:hAnsi="Arial" w:cs="Arial"/>
        </w:rPr>
        <w:t>m</w:t>
      </w:r>
      <w:r w:rsidRPr="00660910">
        <w:rPr>
          <w:rFonts w:ascii="Arial" w:hAnsi="Arial" w:cs="Arial"/>
        </w:rPr>
        <w:t xml:space="preserve"> parlament</w:t>
      </w:r>
      <w:r>
        <w:rPr>
          <w:rFonts w:ascii="Arial" w:hAnsi="Arial" w:cs="Arial"/>
        </w:rPr>
        <w:t>em a Radou</w:t>
      </w:r>
      <w:r w:rsidRPr="00660910">
        <w:rPr>
          <w:rFonts w:ascii="Arial" w:hAnsi="Arial" w:cs="Arial"/>
        </w:rPr>
        <w:t xml:space="preserve"> ministrů rozpočet Rámcového programu EU pro výzkum a inovace H</w:t>
      </w:r>
      <w:r w:rsidR="001354D7">
        <w:rPr>
          <w:rFonts w:ascii="Arial" w:hAnsi="Arial" w:cs="Arial"/>
        </w:rPr>
        <w:t>orizont 2020</w:t>
      </w:r>
      <w:r>
        <w:rPr>
          <w:rFonts w:ascii="Arial" w:hAnsi="Arial" w:cs="Arial"/>
        </w:rPr>
        <w:t>, který tvoří více než 77,028 mld. Eur.</w:t>
      </w:r>
      <w:r>
        <w:rPr>
          <w:rStyle w:val="Znakapoznpodarou"/>
          <w:rFonts w:ascii="Arial" w:hAnsi="Arial" w:cs="Arial"/>
        </w:rPr>
        <w:footnoteReference w:id="11"/>
      </w:r>
      <w:r>
        <w:rPr>
          <w:rFonts w:ascii="Arial" w:hAnsi="Arial" w:cs="Arial"/>
        </w:rPr>
        <w:t xml:space="preserve"> Program H</w:t>
      </w:r>
      <w:r w:rsidRPr="00660910">
        <w:rPr>
          <w:rFonts w:ascii="Arial" w:hAnsi="Arial" w:cs="Arial"/>
        </w:rPr>
        <w:t>2020</w:t>
      </w:r>
      <w:r>
        <w:rPr>
          <w:rFonts w:ascii="Arial" w:hAnsi="Arial" w:cs="Arial"/>
        </w:rPr>
        <w:t xml:space="preserve"> byl zahájen v lednu 2014 a </w:t>
      </w:r>
      <w:r w:rsidRPr="00660910">
        <w:rPr>
          <w:rFonts w:ascii="Arial" w:hAnsi="Arial" w:cs="Arial"/>
        </w:rPr>
        <w:t>má být největším a nejvýznamnějším programem pro financování ev</w:t>
      </w:r>
      <w:r>
        <w:rPr>
          <w:rFonts w:ascii="Arial" w:hAnsi="Arial" w:cs="Arial"/>
        </w:rPr>
        <w:t>ropské vědy, výzkumu a inovací pro</w:t>
      </w:r>
      <w:r w:rsidRPr="00660910">
        <w:rPr>
          <w:rFonts w:ascii="Arial" w:hAnsi="Arial" w:cs="Arial"/>
        </w:rPr>
        <w:t xml:space="preserve"> období</w:t>
      </w:r>
      <w:r>
        <w:rPr>
          <w:rFonts w:ascii="Arial" w:hAnsi="Arial" w:cs="Arial"/>
        </w:rPr>
        <w:t xml:space="preserve"> mezi lety </w:t>
      </w:r>
      <w:r w:rsidRPr="00660910">
        <w:rPr>
          <w:rFonts w:ascii="Arial" w:hAnsi="Arial" w:cs="Arial"/>
        </w:rPr>
        <w:t>2014 až 2020</w:t>
      </w:r>
      <w:r>
        <w:rPr>
          <w:rFonts w:ascii="Arial" w:hAnsi="Arial" w:cs="Arial"/>
        </w:rPr>
        <w:t xml:space="preserve">. </w:t>
      </w:r>
      <w:r w:rsidRPr="00660910">
        <w:rPr>
          <w:rFonts w:ascii="Arial" w:hAnsi="Arial" w:cs="Arial"/>
        </w:rPr>
        <w:t>Program H2020 plynule navazuje na předchozí rámcové programy pro výzkum a inovace (zejména</w:t>
      </w:r>
      <w:r>
        <w:rPr>
          <w:rFonts w:ascii="Arial" w:hAnsi="Arial" w:cs="Arial"/>
        </w:rPr>
        <w:t xml:space="preserve"> na 7. Rámcový program) vyhlašované EU, z</w:t>
      </w:r>
      <w:r w:rsidRPr="00584D72">
        <w:rPr>
          <w:rFonts w:ascii="Arial" w:hAnsi="Arial" w:cs="Arial"/>
        </w:rPr>
        <w:t xml:space="preserve">aměřuje se na </w:t>
      </w:r>
      <w:r>
        <w:rPr>
          <w:rFonts w:ascii="Arial" w:hAnsi="Arial" w:cs="Arial"/>
        </w:rPr>
        <w:t>vědeckou excelenci a na větší podporu inovací. K</w:t>
      </w:r>
      <w:r w:rsidRPr="00584D72">
        <w:rPr>
          <w:rFonts w:ascii="Arial" w:hAnsi="Arial" w:cs="Arial"/>
        </w:rPr>
        <w:t>lade důraz na propojení výzkumu a inovací v návaznosti</w:t>
      </w:r>
      <w:r>
        <w:rPr>
          <w:rFonts w:ascii="Arial" w:hAnsi="Arial" w:cs="Arial"/>
        </w:rPr>
        <w:t xml:space="preserve"> </w:t>
      </w:r>
      <w:r w:rsidRPr="00584D72">
        <w:rPr>
          <w:rFonts w:ascii="Arial" w:hAnsi="Arial" w:cs="Arial"/>
        </w:rPr>
        <w:t>na trh</w:t>
      </w:r>
      <w:r>
        <w:rPr>
          <w:rFonts w:ascii="Arial" w:hAnsi="Arial" w:cs="Arial"/>
        </w:rPr>
        <w:t xml:space="preserve">, </w:t>
      </w:r>
      <w:r w:rsidRPr="00584D72">
        <w:rPr>
          <w:rFonts w:ascii="Arial" w:hAnsi="Arial" w:cs="Arial"/>
        </w:rPr>
        <w:t>na vytváře</w:t>
      </w:r>
      <w:r>
        <w:rPr>
          <w:rFonts w:ascii="Arial" w:hAnsi="Arial" w:cs="Arial"/>
        </w:rPr>
        <w:t>ní podnikatelských příležitostí, na</w:t>
      </w:r>
      <w:r w:rsidRPr="00037DDC">
        <w:rPr>
          <w:rFonts w:ascii="Arial" w:hAnsi="Arial" w:cs="Arial"/>
        </w:rPr>
        <w:t xml:space="preserve"> společenský dopad a na spolupráci mezi týmy v rámci EU i mimo ni.</w:t>
      </w:r>
      <w:r>
        <w:rPr>
          <w:rFonts w:ascii="Arial" w:hAnsi="Arial" w:cs="Arial"/>
        </w:rPr>
        <w:t xml:space="preserve"> Podporována je taktéž</w:t>
      </w:r>
      <w:r w:rsidRPr="00660910">
        <w:rPr>
          <w:rFonts w:ascii="Arial" w:hAnsi="Arial" w:cs="Arial"/>
        </w:rPr>
        <w:t xml:space="preserve"> návaznost na strukturál</w:t>
      </w:r>
      <w:r>
        <w:rPr>
          <w:rFonts w:ascii="Arial" w:hAnsi="Arial" w:cs="Arial"/>
        </w:rPr>
        <w:t>ní fondy a na jiné programy EU.</w:t>
      </w:r>
    </w:p>
    <w:p w:rsidR="00B53C4C" w:rsidRDefault="00B53C4C" w:rsidP="00613032">
      <w:pPr>
        <w:spacing w:after="0" w:line="360" w:lineRule="auto"/>
        <w:ind w:left="51" w:firstLine="709"/>
        <w:jc w:val="both"/>
        <w:rPr>
          <w:rFonts w:ascii="Arial" w:hAnsi="Arial" w:cs="Arial"/>
        </w:rPr>
      </w:pPr>
      <w:r w:rsidRPr="00EE04FA">
        <w:rPr>
          <w:rFonts w:ascii="Arial" w:hAnsi="Arial" w:cs="Arial"/>
        </w:rPr>
        <w:t xml:space="preserve">Mezi hlavní nové charakteristiky programu H2020 patří tzv. </w:t>
      </w:r>
      <w:proofErr w:type="spellStart"/>
      <w:r w:rsidRPr="007917D6">
        <w:rPr>
          <w:rFonts w:ascii="Arial" w:hAnsi="Arial" w:cs="Arial"/>
          <w:i/>
        </w:rPr>
        <w:t>focus</w:t>
      </w:r>
      <w:proofErr w:type="spellEnd"/>
      <w:r w:rsidRPr="007917D6">
        <w:rPr>
          <w:rFonts w:ascii="Arial" w:hAnsi="Arial" w:cs="Arial"/>
          <w:i/>
        </w:rPr>
        <w:t xml:space="preserve"> </w:t>
      </w:r>
      <w:proofErr w:type="spellStart"/>
      <w:r w:rsidRPr="007917D6">
        <w:rPr>
          <w:rFonts w:ascii="Arial" w:hAnsi="Arial" w:cs="Arial"/>
          <w:i/>
        </w:rPr>
        <w:t>areas</w:t>
      </w:r>
      <w:proofErr w:type="spellEnd"/>
      <w:r w:rsidRPr="00EE04FA">
        <w:rPr>
          <w:rFonts w:ascii="Arial" w:hAnsi="Arial" w:cs="Arial"/>
        </w:rPr>
        <w:t>. Jedná se</w:t>
      </w:r>
      <w:r>
        <w:rPr>
          <w:rFonts w:ascii="Arial" w:hAnsi="Arial" w:cs="Arial"/>
        </w:rPr>
        <w:t xml:space="preserve"> </w:t>
      </w:r>
      <w:r w:rsidRPr="00EE04FA">
        <w:rPr>
          <w:rFonts w:ascii="Arial" w:hAnsi="Arial" w:cs="Arial"/>
        </w:rPr>
        <w:t>o</w:t>
      </w:r>
      <w:r w:rsidR="00DB5657">
        <w:rPr>
          <w:rFonts w:ascii="Arial" w:hAnsi="Arial" w:cs="Arial"/>
        </w:rPr>
        <w:t> </w:t>
      </w:r>
      <w:r w:rsidRPr="00EE04FA">
        <w:rPr>
          <w:rFonts w:ascii="Arial" w:hAnsi="Arial" w:cs="Arial"/>
        </w:rPr>
        <w:t>oblasti, na které by měly být soustředěny finanční i lidské zdroje napříč společenskými</w:t>
      </w:r>
      <w:r>
        <w:rPr>
          <w:rFonts w:ascii="Arial" w:hAnsi="Arial" w:cs="Arial"/>
        </w:rPr>
        <w:t xml:space="preserve"> </w:t>
      </w:r>
      <w:r w:rsidRPr="00EE04FA">
        <w:rPr>
          <w:rFonts w:ascii="Arial" w:hAnsi="Arial" w:cs="Arial"/>
        </w:rPr>
        <w:t>výzvami tak, aby došlo k maximálnímu využití existujících výzkumných kapacit,</w:t>
      </w:r>
      <w:r>
        <w:rPr>
          <w:rFonts w:ascii="Arial" w:hAnsi="Arial" w:cs="Arial"/>
        </w:rPr>
        <w:t xml:space="preserve"> </w:t>
      </w:r>
      <w:r w:rsidRPr="00EE04FA">
        <w:rPr>
          <w:rFonts w:ascii="Arial" w:hAnsi="Arial" w:cs="Arial"/>
        </w:rPr>
        <w:t>zvýšení šancí k dosažení průlomových řešení a současně k implementaci hlavních politických</w:t>
      </w:r>
      <w:r>
        <w:rPr>
          <w:rFonts w:ascii="Arial" w:hAnsi="Arial" w:cs="Arial"/>
        </w:rPr>
        <w:t xml:space="preserve"> </w:t>
      </w:r>
      <w:r w:rsidRPr="00EE04FA">
        <w:rPr>
          <w:rFonts w:ascii="Arial" w:hAnsi="Arial" w:cs="Arial"/>
        </w:rPr>
        <w:t>iniciativ.</w:t>
      </w:r>
      <w:r>
        <w:rPr>
          <w:rFonts w:ascii="Arial" w:hAnsi="Arial" w:cs="Arial"/>
        </w:rPr>
        <w:t xml:space="preserve"> </w:t>
      </w:r>
      <w:r w:rsidRPr="00660910">
        <w:rPr>
          <w:rFonts w:ascii="Arial" w:hAnsi="Arial" w:cs="Arial"/>
        </w:rPr>
        <w:t>Na rozdíl od 7. RP se</w:t>
      </w:r>
      <w:r w:rsidR="00DB5657">
        <w:rPr>
          <w:rFonts w:ascii="Arial" w:hAnsi="Arial" w:cs="Arial"/>
        </w:rPr>
        <w:t> </w:t>
      </w:r>
      <w:r w:rsidRPr="00660910">
        <w:rPr>
          <w:rFonts w:ascii="Arial" w:hAnsi="Arial" w:cs="Arial"/>
        </w:rPr>
        <w:t xml:space="preserve">počítá také s větší podporou tzv. </w:t>
      </w:r>
      <w:proofErr w:type="spellStart"/>
      <w:r w:rsidRPr="00660910">
        <w:rPr>
          <w:rFonts w:ascii="Arial" w:hAnsi="Arial" w:cs="Arial"/>
        </w:rPr>
        <w:t>bottom</w:t>
      </w:r>
      <w:proofErr w:type="spellEnd"/>
      <w:r w:rsidRPr="00660910">
        <w:rPr>
          <w:rFonts w:ascii="Arial" w:hAnsi="Arial" w:cs="Arial"/>
        </w:rPr>
        <w:t xml:space="preserve">-up (zdola-nahoru) přístupu při formulaci výzkumných témat, většími možnostmi pro mladé vědce, větším propojením výzkumu a inovací s tržními principy a s větším důrazem na vytváření podnikatelských a pracovních příležitostí. </w:t>
      </w:r>
      <w:r w:rsidRPr="00060D84">
        <w:rPr>
          <w:rFonts w:ascii="Arial" w:hAnsi="Arial" w:cs="Arial"/>
        </w:rPr>
        <w:t>Je kladen větší důraz na podporu inovací, a to zejména na podporu inovací v</w:t>
      </w:r>
      <w:r w:rsidR="00060D84" w:rsidRPr="00060D84">
        <w:rPr>
          <w:rFonts w:ascii="Arial" w:hAnsi="Arial" w:cs="Arial"/>
        </w:rPr>
        <w:t> malých středních podnicích</w:t>
      </w:r>
      <w:r w:rsidRPr="00060D84">
        <w:rPr>
          <w:rFonts w:ascii="Arial" w:hAnsi="Arial" w:cs="Arial"/>
        </w:rPr>
        <w:t>, a</w:t>
      </w:r>
      <w:r w:rsidR="00DB5657">
        <w:rPr>
          <w:rFonts w:ascii="Arial" w:hAnsi="Arial" w:cs="Arial"/>
        </w:rPr>
        <w:t> </w:t>
      </w:r>
      <w:r w:rsidRPr="00060D84">
        <w:rPr>
          <w:rFonts w:ascii="Arial" w:hAnsi="Arial" w:cs="Arial"/>
        </w:rPr>
        <w:t>také se počítá se zavedením nových úvěrových nástrojů. Program</w:t>
      </w:r>
      <w:r>
        <w:rPr>
          <w:rFonts w:ascii="Arial" w:hAnsi="Arial" w:cs="Arial"/>
        </w:rPr>
        <w:t xml:space="preserve"> H2020 v sobě integruje</w:t>
      </w:r>
      <w:r w:rsidRPr="00660910">
        <w:rPr>
          <w:rFonts w:ascii="Arial" w:hAnsi="Arial" w:cs="Arial"/>
        </w:rPr>
        <w:t xml:space="preserve"> dřívější Rámcový program pro kon</w:t>
      </w:r>
      <w:r w:rsidR="001354D7">
        <w:rPr>
          <w:rFonts w:ascii="Arial" w:hAnsi="Arial" w:cs="Arial"/>
        </w:rPr>
        <w:t>kurenceschopnost a inovace</w:t>
      </w:r>
      <w:r w:rsidRPr="00660910">
        <w:rPr>
          <w:rFonts w:ascii="Arial" w:hAnsi="Arial" w:cs="Arial"/>
        </w:rPr>
        <w:t xml:space="preserve"> a Evropský inovační a</w:t>
      </w:r>
      <w:r w:rsidR="00DB5657">
        <w:rPr>
          <w:rFonts w:ascii="Arial" w:hAnsi="Arial" w:cs="Arial"/>
        </w:rPr>
        <w:t> </w:t>
      </w:r>
      <w:r w:rsidRPr="00660910">
        <w:rPr>
          <w:rFonts w:ascii="Arial" w:hAnsi="Arial" w:cs="Arial"/>
        </w:rPr>
        <w:t xml:space="preserve">technologický </w:t>
      </w:r>
      <w:r w:rsidR="001354D7">
        <w:rPr>
          <w:rFonts w:ascii="Arial" w:hAnsi="Arial" w:cs="Arial"/>
        </w:rPr>
        <w:t>institut</w:t>
      </w:r>
      <w:r>
        <w:rPr>
          <w:rFonts w:ascii="Arial" w:hAnsi="Arial" w:cs="Arial"/>
        </w:rPr>
        <w:t>.</w:t>
      </w:r>
    </w:p>
    <w:p w:rsidR="00B53C4C" w:rsidRDefault="00B53C4C" w:rsidP="00B53C4C">
      <w:pPr>
        <w:spacing w:after="0" w:line="360" w:lineRule="auto"/>
        <w:ind w:left="50" w:firstLine="360"/>
        <w:jc w:val="both"/>
        <w:rPr>
          <w:rFonts w:ascii="Arial" w:hAnsi="Arial" w:cs="Arial"/>
        </w:rPr>
      </w:pPr>
      <w:r w:rsidRPr="00660910">
        <w:rPr>
          <w:rFonts w:ascii="Arial" w:hAnsi="Arial" w:cs="Arial"/>
        </w:rPr>
        <w:t>Struktura H2020 je tvořena třemi hlavními, vzájem</w:t>
      </w:r>
      <w:r>
        <w:rPr>
          <w:rFonts w:ascii="Arial" w:hAnsi="Arial" w:cs="Arial"/>
        </w:rPr>
        <w:t>ně se posilujícími prioritami:</w:t>
      </w:r>
    </w:p>
    <w:p w:rsidR="00B53C4C" w:rsidRPr="00AD3DEC" w:rsidRDefault="00B53C4C" w:rsidP="00B53C4C">
      <w:pPr>
        <w:pStyle w:val="Odstavecseseznamem"/>
        <w:numPr>
          <w:ilvl w:val="0"/>
          <w:numId w:val="19"/>
        </w:numPr>
        <w:spacing w:after="0" w:line="360" w:lineRule="auto"/>
        <w:jc w:val="both"/>
        <w:rPr>
          <w:rFonts w:ascii="Arial" w:hAnsi="Arial" w:cs="Arial"/>
        </w:rPr>
      </w:pPr>
      <w:r>
        <w:rPr>
          <w:rFonts w:ascii="Arial" w:hAnsi="Arial" w:cs="Arial"/>
        </w:rPr>
        <w:t>v</w:t>
      </w:r>
      <w:r w:rsidRPr="00AD3DEC">
        <w:rPr>
          <w:rFonts w:ascii="Arial" w:hAnsi="Arial" w:cs="Arial"/>
        </w:rPr>
        <w:t>ynikající věda</w:t>
      </w:r>
      <w:r>
        <w:rPr>
          <w:rFonts w:ascii="Arial" w:hAnsi="Arial" w:cs="Arial"/>
        </w:rPr>
        <w:t>,</w:t>
      </w:r>
    </w:p>
    <w:p w:rsidR="00B53C4C" w:rsidRPr="00AD3DEC" w:rsidRDefault="00B53C4C" w:rsidP="00B53C4C">
      <w:pPr>
        <w:pStyle w:val="Odstavecseseznamem"/>
        <w:numPr>
          <w:ilvl w:val="0"/>
          <w:numId w:val="19"/>
        </w:numPr>
        <w:spacing w:after="0" w:line="360" w:lineRule="auto"/>
        <w:jc w:val="both"/>
        <w:rPr>
          <w:rFonts w:ascii="Arial" w:hAnsi="Arial" w:cs="Arial"/>
        </w:rPr>
      </w:pPr>
      <w:r>
        <w:rPr>
          <w:rFonts w:ascii="Arial" w:hAnsi="Arial" w:cs="Arial"/>
        </w:rPr>
        <w:t>v</w:t>
      </w:r>
      <w:r w:rsidRPr="00AD3DEC">
        <w:rPr>
          <w:rFonts w:ascii="Arial" w:hAnsi="Arial" w:cs="Arial"/>
        </w:rPr>
        <w:t>edoucí postavení průmyslu</w:t>
      </w:r>
      <w:r>
        <w:rPr>
          <w:rFonts w:ascii="Arial" w:hAnsi="Arial" w:cs="Arial"/>
        </w:rPr>
        <w:t>,</w:t>
      </w:r>
    </w:p>
    <w:p w:rsidR="00B53C4C" w:rsidRPr="00AD3DEC" w:rsidRDefault="00B53C4C" w:rsidP="00B53C4C">
      <w:pPr>
        <w:pStyle w:val="Odstavecseseznamem"/>
        <w:numPr>
          <w:ilvl w:val="0"/>
          <w:numId w:val="19"/>
        </w:numPr>
        <w:spacing w:after="0" w:line="360" w:lineRule="auto"/>
        <w:jc w:val="both"/>
        <w:rPr>
          <w:rFonts w:ascii="Arial" w:hAnsi="Arial" w:cs="Arial"/>
        </w:rPr>
      </w:pPr>
      <w:r>
        <w:rPr>
          <w:rFonts w:ascii="Arial" w:hAnsi="Arial" w:cs="Arial"/>
        </w:rPr>
        <w:t>s</w:t>
      </w:r>
      <w:r w:rsidRPr="00AD3DEC">
        <w:rPr>
          <w:rFonts w:ascii="Arial" w:hAnsi="Arial" w:cs="Arial"/>
        </w:rPr>
        <w:t>polečenské výzvy</w:t>
      </w:r>
      <w:r>
        <w:rPr>
          <w:rFonts w:ascii="Arial" w:hAnsi="Arial" w:cs="Arial"/>
        </w:rPr>
        <w:t>.</w:t>
      </w:r>
    </w:p>
    <w:p w:rsidR="00B53C4C" w:rsidRDefault="00B53C4C" w:rsidP="00B53C4C">
      <w:pPr>
        <w:spacing w:after="0" w:line="360" w:lineRule="auto"/>
        <w:ind w:left="50" w:firstLine="360"/>
        <w:jc w:val="both"/>
        <w:rPr>
          <w:rFonts w:ascii="Arial" w:hAnsi="Arial" w:cs="Arial"/>
        </w:rPr>
      </w:pPr>
      <w:r>
        <w:rPr>
          <w:rFonts w:ascii="Arial" w:hAnsi="Arial" w:cs="Arial"/>
        </w:rPr>
        <w:t>Dále jsou podpořeny také tzv. horizontální oblasti:</w:t>
      </w:r>
    </w:p>
    <w:p w:rsidR="00B53C4C" w:rsidRPr="00BC05BA" w:rsidRDefault="00B53C4C" w:rsidP="00B53C4C">
      <w:pPr>
        <w:pStyle w:val="Odstavecseseznamem"/>
        <w:numPr>
          <w:ilvl w:val="0"/>
          <w:numId w:val="20"/>
        </w:numPr>
        <w:spacing w:after="0" w:line="360" w:lineRule="auto"/>
        <w:jc w:val="both"/>
        <w:rPr>
          <w:rFonts w:ascii="Arial" w:hAnsi="Arial" w:cs="Arial"/>
        </w:rPr>
      </w:pPr>
      <w:r>
        <w:rPr>
          <w:rFonts w:ascii="Arial" w:hAnsi="Arial" w:cs="Arial"/>
        </w:rPr>
        <w:t>š</w:t>
      </w:r>
      <w:r w:rsidRPr="00BC05BA">
        <w:rPr>
          <w:rFonts w:ascii="Arial" w:hAnsi="Arial" w:cs="Arial"/>
        </w:rPr>
        <w:t>íření excelence a podpora účasti</w:t>
      </w:r>
      <w:r>
        <w:rPr>
          <w:rFonts w:ascii="Arial" w:hAnsi="Arial" w:cs="Arial"/>
        </w:rPr>
        <w:t>,</w:t>
      </w:r>
    </w:p>
    <w:p w:rsidR="00B53C4C" w:rsidRDefault="00B53C4C" w:rsidP="00B53C4C">
      <w:pPr>
        <w:pStyle w:val="Odstavecseseznamem"/>
        <w:numPr>
          <w:ilvl w:val="0"/>
          <w:numId w:val="20"/>
        </w:numPr>
        <w:spacing w:after="0" w:line="360" w:lineRule="auto"/>
        <w:jc w:val="both"/>
        <w:rPr>
          <w:rFonts w:ascii="Arial" w:hAnsi="Arial" w:cs="Arial"/>
        </w:rPr>
      </w:pPr>
      <w:r>
        <w:rPr>
          <w:rFonts w:ascii="Arial" w:hAnsi="Arial" w:cs="Arial"/>
        </w:rPr>
        <w:t>v</w:t>
      </w:r>
      <w:r w:rsidRPr="00BC05BA">
        <w:rPr>
          <w:rFonts w:ascii="Arial" w:hAnsi="Arial" w:cs="Arial"/>
        </w:rPr>
        <w:t>ěda se společností a pro společnost</w:t>
      </w:r>
      <w:r>
        <w:rPr>
          <w:rFonts w:ascii="Arial" w:hAnsi="Arial" w:cs="Arial"/>
        </w:rPr>
        <w:t>.</w:t>
      </w:r>
    </w:p>
    <w:p w:rsidR="00B53C4C" w:rsidRDefault="00B53C4C" w:rsidP="00B53C4C">
      <w:pPr>
        <w:spacing w:after="0" w:line="360" w:lineRule="auto"/>
        <w:ind w:left="410"/>
        <w:jc w:val="both"/>
        <w:rPr>
          <w:rFonts w:ascii="Arial" w:hAnsi="Arial" w:cs="Arial"/>
        </w:rPr>
      </w:pPr>
      <w:r>
        <w:rPr>
          <w:rFonts w:ascii="Arial" w:hAnsi="Arial" w:cs="Arial"/>
        </w:rPr>
        <w:t>Rozpočet H2020 pokryje také:</w:t>
      </w:r>
    </w:p>
    <w:p w:rsidR="00B53C4C" w:rsidRDefault="00B53C4C" w:rsidP="00B53C4C">
      <w:pPr>
        <w:pStyle w:val="Odstavecseseznamem"/>
        <w:numPr>
          <w:ilvl w:val="0"/>
          <w:numId w:val="20"/>
        </w:numPr>
        <w:spacing w:after="0" w:line="360" w:lineRule="auto"/>
        <w:jc w:val="both"/>
        <w:rPr>
          <w:rFonts w:ascii="Arial" w:hAnsi="Arial" w:cs="Arial"/>
        </w:rPr>
      </w:pPr>
      <w:r>
        <w:rPr>
          <w:rFonts w:ascii="Arial" w:hAnsi="Arial" w:cs="Arial"/>
        </w:rPr>
        <w:t>n</w:t>
      </w:r>
      <w:r w:rsidRPr="00BC05BA">
        <w:rPr>
          <w:rFonts w:ascii="Arial" w:hAnsi="Arial" w:cs="Arial"/>
        </w:rPr>
        <w:t>ejaderné přímé akce Sp</w:t>
      </w:r>
      <w:r w:rsidR="001354D7">
        <w:rPr>
          <w:rFonts w:ascii="Arial" w:hAnsi="Arial" w:cs="Arial"/>
        </w:rPr>
        <w:t>olečného výzkumného centra</w:t>
      </w:r>
      <w:r>
        <w:rPr>
          <w:rFonts w:ascii="Arial" w:hAnsi="Arial" w:cs="Arial"/>
        </w:rPr>
        <w:t>,</w:t>
      </w:r>
    </w:p>
    <w:p w:rsidR="00B53C4C" w:rsidRPr="00BC05BA" w:rsidRDefault="00B53C4C" w:rsidP="00B53C4C">
      <w:pPr>
        <w:pStyle w:val="Odstavecseseznamem"/>
        <w:numPr>
          <w:ilvl w:val="0"/>
          <w:numId w:val="20"/>
        </w:numPr>
        <w:spacing w:after="0" w:line="360" w:lineRule="auto"/>
        <w:jc w:val="both"/>
        <w:rPr>
          <w:rFonts w:ascii="Arial" w:hAnsi="Arial" w:cs="Arial"/>
        </w:rPr>
      </w:pPr>
      <w:r>
        <w:rPr>
          <w:rFonts w:ascii="Arial" w:hAnsi="Arial" w:cs="Arial"/>
        </w:rPr>
        <w:t>aktivity Evropského inovačního a tec</w:t>
      </w:r>
      <w:r w:rsidR="001354D7">
        <w:rPr>
          <w:rFonts w:ascii="Arial" w:hAnsi="Arial" w:cs="Arial"/>
        </w:rPr>
        <w:t>hnologického institutu</w:t>
      </w:r>
      <w:r>
        <w:rPr>
          <w:rFonts w:ascii="Arial" w:hAnsi="Arial" w:cs="Arial"/>
        </w:rPr>
        <w:t>.</w:t>
      </w:r>
    </w:p>
    <w:p w:rsidR="00B53C4C" w:rsidRDefault="002750C6" w:rsidP="00B53C4C">
      <w:pPr>
        <w:spacing w:afterLines="60" w:after="144" w:line="360" w:lineRule="auto"/>
        <w:ind w:left="50" w:firstLine="360"/>
        <w:jc w:val="both"/>
        <w:rPr>
          <w:rFonts w:ascii="Arial" w:hAnsi="Arial" w:cs="Arial"/>
        </w:rPr>
      </w:pPr>
      <w:r>
        <w:rPr>
          <w:rFonts w:ascii="Arial" w:hAnsi="Arial" w:cs="Arial"/>
        </w:rPr>
        <w:t>V tabulce 3.7</w:t>
      </w:r>
      <w:r w:rsidR="00B53C4C">
        <w:rPr>
          <w:rFonts w:ascii="Arial" w:hAnsi="Arial" w:cs="Arial"/>
        </w:rPr>
        <w:t xml:space="preserve"> je uve</w:t>
      </w:r>
      <w:r>
        <w:rPr>
          <w:rFonts w:ascii="Arial" w:hAnsi="Arial" w:cs="Arial"/>
        </w:rPr>
        <w:t>den přehled rozpočtu, tabulka 3.8</w:t>
      </w:r>
      <w:r w:rsidR="00B53C4C">
        <w:rPr>
          <w:rFonts w:ascii="Arial" w:hAnsi="Arial" w:cs="Arial"/>
        </w:rPr>
        <w:t xml:space="preserve"> pak nabízí souhrn </w:t>
      </w:r>
      <w:r w:rsidR="00B53C4C" w:rsidRPr="00FA6483">
        <w:rPr>
          <w:rFonts w:ascii="Arial" w:hAnsi="Arial" w:cs="Arial"/>
        </w:rPr>
        <w:t>úspěšnost</w:t>
      </w:r>
      <w:r w:rsidR="00B53C4C">
        <w:rPr>
          <w:rFonts w:ascii="Arial" w:hAnsi="Arial" w:cs="Arial"/>
        </w:rPr>
        <w:t>i návrhů</w:t>
      </w:r>
      <w:r w:rsidR="00B53C4C" w:rsidRPr="00FA6483">
        <w:rPr>
          <w:rFonts w:ascii="Arial" w:hAnsi="Arial" w:cs="Arial"/>
        </w:rPr>
        <w:t xml:space="preserve"> projektů v prioritních oblastech H2020</w:t>
      </w:r>
      <w:r w:rsidR="00B53C4C">
        <w:rPr>
          <w:rFonts w:ascii="Arial" w:hAnsi="Arial" w:cs="Arial"/>
        </w:rPr>
        <w:t xml:space="preserve"> týkající se České republiky.</w:t>
      </w:r>
    </w:p>
    <w:p w:rsidR="00B53C4C" w:rsidRPr="00EB6C91" w:rsidRDefault="002750C6" w:rsidP="00B53C4C">
      <w:pPr>
        <w:pStyle w:val="Obrzek-nadpis"/>
      </w:pPr>
      <w:r>
        <w:lastRenderedPageBreak/>
        <w:t>Tab. 3.7</w:t>
      </w:r>
      <w:r w:rsidR="00B53C4C">
        <w:t>: Rozpočet H2020</w:t>
      </w:r>
    </w:p>
    <w:tbl>
      <w:tblPr>
        <w:tblW w:w="10240" w:type="dxa"/>
        <w:jc w:val="center"/>
        <w:tblInd w:w="55" w:type="dxa"/>
        <w:tblCellMar>
          <w:left w:w="70" w:type="dxa"/>
          <w:right w:w="70" w:type="dxa"/>
        </w:tblCellMar>
        <w:tblLook w:val="04A0" w:firstRow="1" w:lastRow="0" w:firstColumn="1" w:lastColumn="0" w:noHBand="0" w:noVBand="1"/>
      </w:tblPr>
      <w:tblGrid>
        <w:gridCol w:w="7580"/>
        <w:gridCol w:w="1200"/>
        <w:gridCol w:w="1460"/>
      </w:tblGrid>
      <w:tr w:rsidR="00B53C4C" w:rsidRPr="00EB6C91" w:rsidTr="00B53C4C">
        <w:trPr>
          <w:trHeight w:val="915"/>
          <w:jc w:val="center"/>
        </w:trPr>
        <w:tc>
          <w:tcPr>
            <w:tcW w:w="7580" w:type="dxa"/>
            <w:tcBorders>
              <w:top w:val="nil"/>
              <w:left w:val="nil"/>
              <w:bottom w:val="nil"/>
              <w:right w:val="nil"/>
            </w:tcBorders>
            <w:shd w:val="clear" w:color="auto" w:fill="auto"/>
            <w:noWrap/>
            <w:vAlign w:val="bottom"/>
            <w:hideMark/>
          </w:tcPr>
          <w:p w:rsidR="00B53C4C" w:rsidRPr="00EB6C91" w:rsidRDefault="00B53C4C" w:rsidP="00B53C4C">
            <w:pPr>
              <w:spacing w:after="0" w:line="240" w:lineRule="auto"/>
              <w:rPr>
                <w:rFonts w:ascii="Calibri" w:eastAsia="Times New Roman" w:hAnsi="Calibri" w:cs="Times New Roman"/>
                <w:color w:val="000000"/>
                <w:lang w:eastAsia="cs-CZ"/>
              </w:rPr>
            </w:pPr>
          </w:p>
        </w:tc>
        <w:tc>
          <w:tcPr>
            <w:tcW w:w="1200" w:type="dxa"/>
            <w:tcBorders>
              <w:top w:val="dashed" w:sz="8" w:space="0" w:color="31869B"/>
              <w:left w:val="dashed" w:sz="8" w:space="0" w:color="31869B"/>
              <w:bottom w:val="dashed" w:sz="8" w:space="0" w:color="31869B"/>
              <w:right w:val="dashed" w:sz="8" w:space="0" w:color="31869B"/>
            </w:tcBorders>
            <w:shd w:val="clear" w:color="000000" w:fill="B7DEE8"/>
            <w:vAlign w:val="center"/>
            <w:hideMark/>
          </w:tcPr>
          <w:p w:rsidR="00B53C4C" w:rsidRPr="00EB6C91" w:rsidRDefault="00B53C4C" w:rsidP="00B53C4C">
            <w:pPr>
              <w:spacing w:after="0" w:line="240" w:lineRule="auto"/>
              <w:jc w:val="center"/>
              <w:rPr>
                <w:rFonts w:ascii="Calibri" w:eastAsia="Times New Roman" w:hAnsi="Calibri" w:cs="Times New Roman"/>
                <w:b/>
                <w:bCs/>
                <w:color w:val="FFFFFF"/>
                <w:lang w:eastAsia="cs-CZ"/>
              </w:rPr>
            </w:pPr>
            <w:r w:rsidRPr="00EB6C91">
              <w:rPr>
                <w:rFonts w:ascii="Calibri" w:eastAsia="Times New Roman" w:hAnsi="Calibri" w:cs="Times New Roman"/>
                <w:b/>
                <w:bCs/>
                <w:color w:val="FFFFFF"/>
                <w:lang w:eastAsia="cs-CZ"/>
              </w:rPr>
              <w:t>% z celkového rozpočtu</w:t>
            </w:r>
          </w:p>
        </w:tc>
        <w:tc>
          <w:tcPr>
            <w:tcW w:w="1460" w:type="dxa"/>
            <w:tcBorders>
              <w:top w:val="dashed" w:sz="8" w:space="0" w:color="31869B"/>
              <w:left w:val="nil"/>
              <w:bottom w:val="dashed" w:sz="8" w:space="0" w:color="31869B"/>
              <w:right w:val="dashed" w:sz="8" w:space="0" w:color="31869B"/>
            </w:tcBorders>
            <w:shd w:val="clear" w:color="000000" w:fill="B7DEE8"/>
            <w:vAlign w:val="center"/>
            <w:hideMark/>
          </w:tcPr>
          <w:p w:rsidR="00B53C4C" w:rsidRPr="00EB6C91" w:rsidRDefault="00B53C4C" w:rsidP="00B96E06">
            <w:pPr>
              <w:spacing w:after="0" w:line="240" w:lineRule="auto"/>
              <w:jc w:val="center"/>
              <w:rPr>
                <w:rFonts w:ascii="Calibri" w:eastAsia="Times New Roman" w:hAnsi="Calibri" w:cs="Times New Roman"/>
                <w:b/>
                <w:bCs/>
                <w:color w:val="FFFFFF"/>
                <w:lang w:eastAsia="cs-CZ"/>
              </w:rPr>
            </w:pPr>
            <w:r w:rsidRPr="00EB6C91">
              <w:rPr>
                <w:rFonts w:ascii="Calibri" w:eastAsia="Times New Roman" w:hAnsi="Calibri" w:cs="Times New Roman"/>
                <w:b/>
                <w:bCs/>
                <w:color w:val="FFFFFF"/>
                <w:lang w:eastAsia="cs-CZ"/>
              </w:rPr>
              <w:t xml:space="preserve">mil. </w:t>
            </w:r>
            <w:r w:rsidR="00A623DC">
              <w:rPr>
                <w:rFonts w:ascii="Calibri" w:eastAsia="Times New Roman" w:hAnsi="Calibri" w:cs="Times New Roman"/>
                <w:b/>
                <w:bCs/>
                <w:color w:val="FFFFFF"/>
                <w:lang w:eastAsia="cs-CZ"/>
              </w:rPr>
              <w:t>Eur</w:t>
            </w:r>
          </w:p>
        </w:tc>
      </w:tr>
      <w:tr w:rsidR="00B53C4C" w:rsidRPr="00EB6C91" w:rsidTr="00B53C4C">
        <w:trPr>
          <w:trHeight w:val="300"/>
          <w:jc w:val="center"/>
        </w:trPr>
        <w:tc>
          <w:tcPr>
            <w:tcW w:w="7580" w:type="dxa"/>
            <w:tcBorders>
              <w:top w:val="dashed" w:sz="8" w:space="0" w:color="31869B"/>
              <w:left w:val="dashed" w:sz="8" w:space="0" w:color="31869B"/>
              <w:bottom w:val="dashed" w:sz="4" w:space="0" w:color="31869B"/>
              <w:right w:val="dashed" w:sz="4" w:space="0" w:color="31869B"/>
            </w:tcBorders>
            <w:shd w:val="clear" w:color="000000" w:fill="DAEEF3"/>
            <w:vAlign w:val="center"/>
            <w:hideMark/>
          </w:tcPr>
          <w:p w:rsidR="00B53C4C" w:rsidRPr="00EB6C91" w:rsidRDefault="00B53C4C" w:rsidP="00B53C4C">
            <w:pPr>
              <w:spacing w:after="0" w:line="240" w:lineRule="auto"/>
              <w:ind w:firstLineChars="100" w:firstLine="221"/>
              <w:rPr>
                <w:rFonts w:ascii="Calibri" w:eastAsia="Times New Roman" w:hAnsi="Calibri" w:cs="Times New Roman"/>
                <w:b/>
                <w:bCs/>
                <w:color w:val="1F497D"/>
                <w:lang w:eastAsia="cs-CZ"/>
              </w:rPr>
            </w:pPr>
            <w:r w:rsidRPr="00EB6C91">
              <w:rPr>
                <w:rFonts w:ascii="Calibri" w:eastAsia="Times New Roman" w:hAnsi="Calibri" w:cs="TimesCE-Bold"/>
                <w:b/>
                <w:bCs/>
                <w:color w:val="1F497D"/>
                <w:lang w:eastAsia="cs-CZ"/>
              </w:rPr>
              <w:t xml:space="preserve">Vynikající věda </w:t>
            </w:r>
          </w:p>
        </w:tc>
        <w:tc>
          <w:tcPr>
            <w:tcW w:w="1200" w:type="dxa"/>
            <w:tcBorders>
              <w:top w:val="nil"/>
              <w:left w:val="nil"/>
              <w:bottom w:val="dashed" w:sz="4" w:space="0" w:color="31869B"/>
              <w:right w:val="dashed" w:sz="4" w:space="0" w:color="31869B"/>
            </w:tcBorders>
            <w:shd w:val="clear" w:color="000000" w:fill="DAEEF3"/>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lang w:eastAsia="cs-CZ"/>
              </w:rPr>
            </w:pPr>
            <w:r w:rsidRPr="00EB6C91">
              <w:rPr>
                <w:rFonts w:ascii="Calibri" w:eastAsia="Times New Roman" w:hAnsi="Calibri" w:cs="Times New Roman"/>
                <w:b/>
                <w:bCs/>
                <w:color w:val="215967"/>
                <w:lang w:eastAsia="cs-CZ"/>
              </w:rPr>
              <w:t>31,73</w:t>
            </w:r>
          </w:p>
        </w:tc>
        <w:tc>
          <w:tcPr>
            <w:tcW w:w="1460" w:type="dxa"/>
            <w:tcBorders>
              <w:top w:val="nil"/>
              <w:left w:val="nil"/>
              <w:bottom w:val="dashed" w:sz="4" w:space="0" w:color="31869B"/>
              <w:right w:val="dashed" w:sz="8" w:space="0" w:color="31869B"/>
            </w:tcBorders>
            <w:shd w:val="clear" w:color="000000" w:fill="DAEEF3"/>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lang w:eastAsia="cs-CZ"/>
              </w:rPr>
            </w:pPr>
            <w:r w:rsidRPr="00EB6C91">
              <w:rPr>
                <w:rFonts w:ascii="Calibri" w:eastAsia="Times New Roman" w:hAnsi="Calibri" w:cs="Times New Roman"/>
                <w:b/>
                <w:bCs/>
                <w:color w:val="215967"/>
                <w:lang w:eastAsia="cs-CZ"/>
              </w:rPr>
              <w:t xml:space="preserve">              24 441    </w:t>
            </w:r>
          </w:p>
        </w:tc>
      </w:tr>
      <w:tr w:rsidR="00B53C4C" w:rsidRPr="00EB6C91" w:rsidTr="00B53C4C">
        <w:trPr>
          <w:trHeight w:val="300"/>
          <w:jc w:val="center"/>
        </w:trPr>
        <w:tc>
          <w:tcPr>
            <w:tcW w:w="7580" w:type="dxa"/>
            <w:tcBorders>
              <w:top w:val="nil"/>
              <w:left w:val="dashed" w:sz="8" w:space="0" w:color="31869B"/>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ind w:firstLineChars="200" w:firstLine="400"/>
              <w:rPr>
                <w:rFonts w:ascii="Calibri" w:eastAsia="Times New Roman" w:hAnsi="Calibri" w:cs="Times New Roman"/>
                <w:color w:val="215967"/>
                <w:sz w:val="20"/>
                <w:szCs w:val="20"/>
                <w:lang w:eastAsia="cs-CZ"/>
              </w:rPr>
            </w:pPr>
            <w:r w:rsidRPr="00EB6C91">
              <w:rPr>
                <w:rFonts w:ascii="Calibri" w:eastAsia="Times New Roman" w:hAnsi="Calibri" w:cs="TimesCE-Roman"/>
                <w:color w:val="215967"/>
                <w:sz w:val="20"/>
                <w:szCs w:val="20"/>
                <w:lang w:eastAsia="cs-CZ"/>
              </w:rPr>
              <w:t xml:space="preserve">Evropská výzkumná rada </w:t>
            </w:r>
          </w:p>
        </w:tc>
        <w:tc>
          <w:tcPr>
            <w:tcW w:w="1200" w:type="dxa"/>
            <w:tcBorders>
              <w:top w:val="nil"/>
              <w:left w:val="nil"/>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17</w:t>
            </w:r>
          </w:p>
        </w:tc>
        <w:tc>
          <w:tcPr>
            <w:tcW w:w="1460" w:type="dxa"/>
            <w:tcBorders>
              <w:top w:val="nil"/>
              <w:left w:val="nil"/>
              <w:bottom w:val="dashed" w:sz="4" w:space="0" w:color="31869B"/>
              <w:right w:val="dashed" w:sz="8"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 xml:space="preserve">                3 095    </w:t>
            </w:r>
          </w:p>
        </w:tc>
      </w:tr>
      <w:tr w:rsidR="00B53C4C" w:rsidRPr="00EB6C91" w:rsidTr="00B53C4C">
        <w:trPr>
          <w:trHeight w:val="300"/>
          <w:jc w:val="center"/>
        </w:trPr>
        <w:tc>
          <w:tcPr>
            <w:tcW w:w="7580" w:type="dxa"/>
            <w:tcBorders>
              <w:top w:val="nil"/>
              <w:left w:val="dashed" w:sz="8" w:space="0" w:color="31869B"/>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ind w:firstLineChars="200" w:firstLine="400"/>
              <w:rPr>
                <w:rFonts w:ascii="Calibri" w:eastAsia="Times New Roman" w:hAnsi="Calibri" w:cs="Times New Roman"/>
                <w:color w:val="215967"/>
                <w:sz w:val="20"/>
                <w:szCs w:val="20"/>
                <w:lang w:eastAsia="cs-CZ"/>
              </w:rPr>
            </w:pPr>
            <w:r w:rsidRPr="00EB6C91">
              <w:rPr>
                <w:rFonts w:ascii="Calibri" w:eastAsia="Times New Roman" w:hAnsi="Calibri" w:cs="TimesCE-Roman"/>
                <w:color w:val="215967"/>
                <w:sz w:val="20"/>
                <w:szCs w:val="20"/>
                <w:lang w:eastAsia="cs-CZ"/>
              </w:rPr>
              <w:t xml:space="preserve">Budoucí a vznikající technologie </w:t>
            </w:r>
          </w:p>
        </w:tc>
        <w:tc>
          <w:tcPr>
            <w:tcW w:w="1200" w:type="dxa"/>
            <w:tcBorders>
              <w:top w:val="nil"/>
              <w:left w:val="nil"/>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3,5</w:t>
            </w:r>
          </w:p>
        </w:tc>
        <w:tc>
          <w:tcPr>
            <w:tcW w:w="1460" w:type="dxa"/>
            <w:tcBorders>
              <w:top w:val="nil"/>
              <w:left w:val="nil"/>
              <w:bottom w:val="dashed" w:sz="4" w:space="0" w:color="31869B"/>
              <w:right w:val="dashed" w:sz="8"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 xml:space="preserve">                2 696    </w:t>
            </w:r>
          </w:p>
        </w:tc>
      </w:tr>
      <w:tr w:rsidR="00B53C4C" w:rsidRPr="00EB6C91" w:rsidTr="00B53C4C">
        <w:trPr>
          <w:trHeight w:val="300"/>
          <w:jc w:val="center"/>
        </w:trPr>
        <w:tc>
          <w:tcPr>
            <w:tcW w:w="7580" w:type="dxa"/>
            <w:tcBorders>
              <w:top w:val="nil"/>
              <w:left w:val="dashed" w:sz="8" w:space="0" w:color="31869B"/>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ind w:firstLineChars="200" w:firstLine="400"/>
              <w:rPr>
                <w:rFonts w:ascii="Calibri" w:eastAsia="Times New Roman" w:hAnsi="Calibri" w:cs="Times New Roman"/>
                <w:color w:val="215967"/>
                <w:sz w:val="20"/>
                <w:szCs w:val="20"/>
                <w:lang w:eastAsia="cs-CZ"/>
              </w:rPr>
            </w:pPr>
            <w:r w:rsidRPr="00EB6C91">
              <w:rPr>
                <w:rFonts w:ascii="Calibri" w:eastAsia="Times New Roman" w:hAnsi="Calibri" w:cs="TimesCE-Roman"/>
                <w:color w:val="215967"/>
                <w:sz w:val="20"/>
                <w:szCs w:val="20"/>
                <w:lang w:eastAsia="cs-CZ"/>
              </w:rPr>
              <w:t xml:space="preserve">Akce Marie </w:t>
            </w:r>
            <w:proofErr w:type="spellStart"/>
            <w:r w:rsidRPr="00EB6C91">
              <w:rPr>
                <w:rFonts w:ascii="Calibri" w:eastAsia="Times New Roman" w:hAnsi="Calibri" w:cs="TimesCE-Roman"/>
                <w:color w:val="215967"/>
                <w:sz w:val="20"/>
                <w:szCs w:val="20"/>
                <w:lang w:eastAsia="cs-CZ"/>
              </w:rPr>
              <w:t>Skłodowska</w:t>
            </w:r>
            <w:proofErr w:type="spellEnd"/>
            <w:r w:rsidRPr="00EB6C91">
              <w:rPr>
                <w:rFonts w:ascii="Calibri" w:eastAsia="Times New Roman" w:hAnsi="Calibri" w:cs="TimesCE-Roman"/>
                <w:color w:val="215967"/>
                <w:sz w:val="20"/>
                <w:szCs w:val="20"/>
                <w:lang w:eastAsia="cs-CZ"/>
              </w:rPr>
              <w:t>-Curie</w:t>
            </w:r>
          </w:p>
        </w:tc>
        <w:tc>
          <w:tcPr>
            <w:tcW w:w="1200" w:type="dxa"/>
            <w:tcBorders>
              <w:top w:val="nil"/>
              <w:left w:val="nil"/>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8</w:t>
            </w:r>
          </w:p>
        </w:tc>
        <w:tc>
          <w:tcPr>
            <w:tcW w:w="1460" w:type="dxa"/>
            <w:tcBorders>
              <w:top w:val="nil"/>
              <w:left w:val="nil"/>
              <w:bottom w:val="dashed" w:sz="4" w:space="0" w:color="31869B"/>
              <w:right w:val="dashed" w:sz="8"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 xml:space="preserve">                6 162    </w:t>
            </w:r>
          </w:p>
        </w:tc>
      </w:tr>
      <w:tr w:rsidR="00B53C4C" w:rsidRPr="00EB6C91" w:rsidTr="00B53C4C">
        <w:trPr>
          <w:trHeight w:val="300"/>
          <w:jc w:val="center"/>
        </w:trPr>
        <w:tc>
          <w:tcPr>
            <w:tcW w:w="7580" w:type="dxa"/>
            <w:tcBorders>
              <w:top w:val="nil"/>
              <w:left w:val="dashed" w:sz="8" w:space="0" w:color="31869B"/>
              <w:bottom w:val="nil"/>
              <w:right w:val="dashed" w:sz="4" w:space="0" w:color="31869B"/>
            </w:tcBorders>
            <w:shd w:val="clear" w:color="auto" w:fill="auto"/>
            <w:vAlign w:val="center"/>
            <w:hideMark/>
          </w:tcPr>
          <w:p w:rsidR="00B53C4C" w:rsidRPr="00EB6C91" w:rsidRDefault="00B53C4C" w:rsidP="00B53C4C">
            <w:pPr>
              <w:spacing w:after="0" w:line="240" w:lineRule="auto"/>
              <w:ind w:firstLineChars="200" w:firstLine="400"/>
              <w:rPr>
                <w:rFonts w:ascii="Calibri" w:eastAsia="Times New Roman" w:hAnsi="Calibri" w:cs="Times New Roman"/>
                <w:color w:val="215967"/>
                <w:sz w:val="20"/>
                <w:szCs w:val="20"/>
                <w:lang w:eastAsia="cs-CZ"/>
              </w:rPr>
            </w:pPr>
            <w:r w:rsidRPr="00EB6C91">
              <w:rPr>
                <w:rFonts w:ascii="Calibri" w:eastAsia="Times New Roman" w:hAnsi="Calibri" w:cs="TimesCE-Roman"/>
                <w:color w:val="215967"/>
                <w:sz w:val="20"/>
                <w:szCs w:val="20"/>
                <w:lang w:eastAsia="cs-CZ"/>
              </w:rPr>
              <w:t>Evropské výzkumné infrastruktury</w:t>
            </w:r>
          </w:p>
        </w:tc>
        <w:tc>
          <w:tcPr>
            <w:tcW w:w="1200" w:type="dxa"/>
            <w:tcBorders>
              <w:top w:val="nil"/>
              <w:left w:val="nil"/>
              <w:bottom w:val="nil"/>
              <w:right w:val="dashed" w:sz="4"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3,23</w:t>
            </w:r>
          </w:p>
        </w:tc>
        <w:tc>
          <w:tcPr>
            <w:tcW w:w="1460" w:type="dxa"/>
            <w:tcBorders>
              <w:top w:val="nil"/>
              <w:left w:val="nil"/>
              <w:bottom w:val="nil"/>
              <w:right w:val="dashed" w:sz="8"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 xml:space="preserve">                2 488    </w:t>
            </w:r>
          </w:p>
        </w:tc>
      </w:tr>
      <w:tr w:rsidR="00B53C4C" w:rsidRPr="00EB6C91" w:rsidTr="00B53C4C">
        <w:trPr>
          <w:trHeight w:val="300"/>
          <w:jc w:val="center"/>
        </w:trPr>
        <w:tc>
          <w:tcPr>
            <w:tcW w:w="7580" w:type="dxa"/>
            <w:tcBorders>
              <w:top w:val="dashed" w:sz="4" w:space="0" w:color="31869B"/>
              <w:left w:val="dashed" w:sz="8" w:space="0" w:color="31869B"/>
              <w:bottom w:val="dashed" w:sz="4" w:space="0" w:color="31869B"/>
              <w:right w:val="dashed" w:sz="4" w:space="0" w:color="31869B"/>
            </w:tcBorders>
            <w:shd w:val="clear" w:color="000000" w:fill="DAEEF3"/>
            <w:vAlign w:val="center"/>
            <w:hideMark/>
          </w:tcPr>
          <w:p w:rsidR="00B53C4C" w:rsidRPr="00EB6C91" w:rsidRDefault="00B53C4C" w:rsidP="00B53C4C">
            <w:pPr>
              <w:spacing w:after="0" w:line="240" w:lineRule="auto"/>
              <w:ind w:firstLineChars="100" w:firstLine="221"/>
              <w:rPr>
                <w:rFonts w:ascii="Calibri" w:eastAsia="Times New Roman" w:hAnsi="Calibri" w:cs="Times New Roman"/>
                <w:b/>
                <w:bCs/>
                <w:color w:val="1F497D"/>
                <w:lang w:eastAsia="cs-CZ"/>
              </w:rPr>
            </w:pPr>
            <w:r w:rsidRPr="00EB6C91">
              <w:rPr>
                <w:rFonts w:ascii="Calibri" w:eastAsia="Times New Roman" w:hAnsi="Calibri" w:cs="TimesCE-Bold"/>
                <w:b/>
                <w:bCs/>
                <w:color w:val="1F497D"/>
                <w:lang w:eastAsia="cs-CZ"/>
              </w:rPr>
              <w:t>Vedoucí postavení průmyslu</w:t>
            </w:r>
          </w:p>
        </w:tc>
        <w:tc>
          <w:tcPr>
            <w:tcW w:w="1200" w:type="dxa"/>
            <w:tcBorders>
              <w:top w:val="dashed" w:sz="4" w:space="0" w:color="31869B"/>
              <w:left w:val="nil"/>
              <w:bottom w:val="dashed" w:sz="4" w:space="0" w:color="31869B"/>
              <w:right w:val="dashed" w:sz="4" w:space="0" w:color="31869B"/>
            </w:tcBorders>
            <w:shd w:val="clear" w:color="000000" w:fill="DAEEF3"/>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lang w:eastAsia="cs-CZ"/>
              </w:rPr>
            </w:pPr>
            <w:r w:rsidRPr="00EB6C91">
              <w:rPr>
                <w:rFonts w:ascii="Calibri" w:eastAsia="Times New Roman" w:hAnsi="Calibri" w:cs="Times New Roman"/>
                <w:b/>
                <w:bCs/>
                <w:color w:val="215967"/>
                <w:lang w:eastAsia="cs-CZ"/>
              </w:rPr>
              <w:t>22,09</w:t>
            </w:r>
          </w:p>
        </w:tc>
        <w:tc>
          <w:tcPr>
            <w:tcW w:w="1460" w:type="dxa"/>
            <w:tcBorders>
              <w:top w:val="dashed" w:sz="4" w:space="0" w:color="31869B"/>
              <w:left w:val="nil"/>
              <w:bottom w:val="dashed" w:sz="4" w:space="0" w:color="31869B"/>
              <w:right w:val="dashed" w:sz="8" w:space="0" w:color="31869B"/>
            </w:tcBorders>
            <w:shd w:val="clear" w:color="000000" w:fill="DAEEF3"/>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lang w:eastAsia="cs-CZ"/>
              </w:rPr>
            </w:pPr>
            <w:r w:rsidRPr="00EB6C91">
              <w:rPr>
                <w:rFonts w:ascii="Calibri" w:eastAsia="Times New Roman" w:hAnsi="Calibri" w:cs="Times New Roman"/>
                <w:b/>
                <w:bCs/>
                <w:color w:val="215967"/>
                <w:lang w:eastAsia="cs-CZ"/>
              </w:rPr>
              <w:t xml:space="preserve">              17 016    </w:t>
            </w:r>
          </w:p>
        </w:tc>
      </w:tr>
      <w:tr w:rsidR="00B53C4C" w:rsidRPr="00EB6C91" w:rsidTr="00B53C4C">
        <w:trPr>
          <w:trHeight w:val="300"/>
          <w:jc w:val="center"/>
        </w:trPr>
        <w:tc>
          <w:tcPr>
            <w:tcW w:w="7580" w:type="dxa"/>
            <w:tcBorders>
              <w:top w:val="nil"/>
              <w:left w:val="dashed" w:sz="8" w:space="0" w:color="31869B"/>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ind w:firstLineChars="200" w:firstLine="400"/>
              <w:rPr>
                <w:rFonts w:ascii="Calibri" w:eastAsia="Times New Roman" w:hAnsi="Calibri" w:cs="Times New Roman"/>
                <w:color w:val="215967"/>
                <w:sz w:val="20"/>
                <w:szCs w:val="20"/>
                <w:lang w:eastAsia="cs-CZ"/>
              </w:rPr>
            </w:pPr>
            <w:r w:rsidRPr="00EB6C91">
              <w:rPr>
                <w:rFonts w:ascii="Calibri" w:eastAsia="Times New Roman" w:hAnsi="Calibri" w:cs="TimesCE-Roman"/>
                <w:color w:val="215967"/>
                <w:sz w:val="20"/>
                <w:szCs w:val="20"/>
                <w:lang w:eastAsia="cs-CZ"/>
              </w:rPr>
              <w:t>Průlomové a průmyslové technologie</w:t>
            </w:r>
          </w:p>
        </w:tc>
        <w:tc>
          <w:tcPr>
            <w:tcW w:w="1200" w:type="dxa"/>
            <w:tcBorders>
              <w:top w:val="nil"/>
              <w:left w:val="nil"/>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17,6</w:t>
            </w:r>
          </w:p>
        </w:tc>
        <w:tc>
          <w:tcPr>
            <w:tcW w:w="1460" w:type="dxa"/>
            <w:tcBorders>
              <w:top w:val="nil"/>
              <w:left w:val="nil"/>
              <w:bottom w:val="dashed" w:sz="4" w:space="0" w:color="31869B"/>
              <w:right w:val="dashed" w:sz="8"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 xml:space="preserve">              13 557    </w:t>
            </w:r>
          </w:p>
        </w:tc>
      </w:tr>
      <w:tr w:rsidR="00B53C4C" w:rsidRPr="00EB6C91" w:rsidTr="00B53C4C">
        <w:trPr>
          <w:trHeight w:val="300"/>
          <w:jc w:val="center"/>
        </w:trPr>
        <w:tc>
          <w:tcPr>
            <w:tcW w:w="7580" w:type="dxa"/>
            <w:tcBorders>
              <w:top w:val="nil"/>
              <w:left w:val="dashed" w:sz="8" w:space="0" w:color="31869B"/>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ind w:firstLineChars="200" w:firstLine="400"/>
              <w:rPr>
                <w:rFonts w:ascii="Calibri" w:eastAsia="Times New Roman" w:hAnsi="Calibri" w:cs="Times New Roman"/>
                <w:color w:val="215967"/>
                <w:sz w:val="20"/>
                <w:szCs w:val="20"/>
                <w:lang w:eastAsia="cs-CZ"/>
              </w:rPr>
            </w:pPr>
            <w:r w:rsidRPr="00EB6C91">
              <w:rPr>
                <w:rFonts w:ascii="Calibri" w:eastAsia="Times New Roman" w:hAnsi="Calibri" w:cs="TimesCE-Roman"/>
                <w:color w:val="215967"/>
                <w:sz w:val="20"/>
                <w:szCs w:val="20"/>
                <w:lang w:eastAsia="cs-CZ"/>
              </w:rPr>
              <w:t>Přístup k rizikovému financování</w:t>
            </w:r>
          </w:p>
        </w:tc>
        <w:tc>
          <w:tcPr>
            <w:tcW w:w="1200" w:type="dxa"/>
            <w:tcBorders>
              <w:top w:val="nil"/>
              <w:left w:val="nil"/>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3,69</w:t>
            </w:r>
          </w:p>
        </w:tc>
        <w:tc>
          <w:tcPr>
            <w:tcW w:w="1460" w:type="dxa"/>
            <w:tcBorders>
              <w:top w:val="nil"/>
              <w:left w:val="nil"/>
              <w:bottom w:val="dashed" w:sz="4" w:space="0" w:color="31869B"/>
              <w:right w:val="dashed" w:sz="8"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 xml:space="preserve">                2 842    </w:t>
            </w:r>
          </w:p>
        </w:tc>
      </w:tr>
      <w:tr w:rsidR="00B53C4C" w:rsidRPr="00EB6C91" w:rsidTr="00B53C4C">
        <w:trPr>
          <w:trHeight w:val="300"/>
          <w:jc w:val="center"/>
        </w:trPr>
        <w:tc>
          <w:tcPr>
            <w:tcW w:w="7580" w:type="dxa"/>
            <w:tcBorders>
              <w:top w:val="nil"/>
              <w:left w:val="dashed" w:sz="8" w:space="0" w:color="31869B"/>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ind w:firstLineChars="200" w:firstLine="400"/>
              <w:rPr>
                <w:rFonts w:ascii="Calibri" w:eastAsia="Times New Roman" w:hAnsi="Calibri" w:cs="Times New Roman"/>
                <w:color w:val="215967"/>
                <w:sz w:val="20"/>
                <w:szCs w:val="20"/>
                <w:lang w:eastAsia="cs-CZ"/>
              </w:rPr>
            </w:pPr>
            <w:r w:rsidRPr="00EB6C91">
              <w:rPr>
                <w:rFonts w:ascii="Calibri" w:eastAsia="Times New Roman" w:hAnsi="Calibri" w:cs="TimesCE-Roman"/>
                <w:color w:val="215967"/>
                <w:sz w:val="20"/>
                <w:szCs w:val="20"/>
                <w:lang w:eastAsia="cs-CZ"/>
              </w:rPr>
              <w:t>Inovace v malých a středních podnicích</w:t>
            </w:r>
          </w:p>
        </w:tc>
        <w:tc>
          <w:tcPr>
            <w:tcW w:w="1200" w:type="dxa"/>
            <w:tcBorders>
              <w:top w:val="nil"/>
              <w:left w:val="nil"/>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0,8</w:t>
            </w:r>
          </w:p>
        </w:tc>
        <w:tc>
          <w:tcPr>
            <w:tcW w:w="1460" w:type="dxa"/>
            <w:tcBorders>
              <w:top w:val="nil"/>
              <w:left w:val="nil"/>
              <w:bottom w:val="dashed" w:sz="4" w:space="0" w:color="31869B"/>
              <w:right w:val="dashed" w:sz="8"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 xml:space="preserve">                   616    </w:t>
            </w:r>
          </w:p>
        </w:tc>
      </w:tr>
      <w:tr w:rsidR="00B53C4C" w:rsidRPr="00EB6C91" w:rsidTr="00B53C4C">
        <w:trPr>
          <w:trHeight w:val="300"/>
          <w:jc w:val="center"/>
        </w:trPr>
        <w:tc>
          <w:tcPr>
            <w:tcW w:w="7580" w:type="dxa"/>
            <w:tcBorders>
              <w:top w:val="nil"/>
              <w:left w:val="dashed" w:sz="8" w:space="0" w:color="31869B"/>
              <w:bottom w:val="dashed" w:sz="4" w:space="0" w:color="31869B"/>
              <w:right w:val="dashed" w:sz="4" w:space="0" w:color="31869B"/>
            </w:tcBorders>
            <w:shd w:val="clear" w:color="000000" w:fill="DAEEF3"/>
            <w:vAlign w:val="center"/>
            <w:hideMark/>
          </w:tcPr>
          <w:p w:rsidR="00B53C4C" w:rsidRPr="00EB6C91" w:rsidRDefault="00B53C4C" w:rsidP="00B53C4C">
            <w:pPr>
              <w:spacing w:after="0" w:line="240" w:lineRule="auto"/>
              <w:ind w:firstLineChars="100" w:firstLine="221"/>
              <w:rPr>
                <w:rFonts w:ascii="Calibri" w:eastAsia="Times New Roman" w:hAnsi="Calibri" w:cs="Times New Roman"/>
                <w:b/>
                <w:bCs/>
                <w:color w:val="1F497D"/>
                <w:lang w:eastAsia="cs-CZ"/>
              </w:rPr>
            </w:pPr>
            <w:r w:rsidRPr="00EB6C91">
              <w:rPr>
                <w:rFonts w:ascii="Calibri" w:eastAsia="Times New Roman" w:hAnsi="Calibri" w:cs="TimesCE-Bold"/>
                <w:b/>
                <w:bCs/>
                <w:color w:val="1F497D"/>
                <w:lang w:eastAsia="cs-CZ"/>
              </w:rPr>
              <w:t>Společenské výzvy</w:t>
            </w:r>
          </w:p>
        </w:tc>
        <w:tc>
          <w:tcPr>
            <w:tcW w:w="1200" w:type="dxa"/>
            <w:tcBorders>
              <w:top w:val="nil"/>
              <w:left w:val="nil"/>
              <w:bottom w:val="dashed" w:sz="4" w:space="0" w:color="31869B"/>
              <w:right w:val="dashed" w:sz="4" w:space="0" w:color="31869B"/>
            </w:tcBorders>
            <w:shd w:val="clear" w:color="000000" w:fill="DAEEF3"/>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lang w:eastAsia="cs-CZ"/>
              </w:rPr>
            </w:pPr>
            <w:r w:rsidRPr="00EB6C91">
              <w:rPr>
                <w:rFonts w:ascii="Calibri" w:eastAsia="Times New Roman" w:hAnsi="Calibri" w:cs="TimesCE-Roman"/>
                <w:b/>
                <w:bCs/>
                <w:color w:val="215967"/>
                <w:lang w:eastAsia="cs-CZ"/>
              </w:rPr>
              <w:t>38,53</w:t>
            </w:r>
          </w:p>
        </w:tc>
        <w:tc>
          <w:tcPr>
            <w:tcW w:w="1460" w:type="dxa"/>
            <w:tcBorders>
              <w:top w:val="nil"/>
              <w:left w:val="nil"/>
              <w:bottom w:val="dashed" w:sz="4" w:space="0" w:color="31869B"/>
              <w:right w:val="dashed" w:sz="8" w:space="0" w:color="31869B"/>
            </w:tcBorders>
            <w:shd w:val="clear" w:color="000000" w:fill="DAEEF3"/>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lang w:eastAsia="cs-CZ"/>
              </w:rPr>
            </w:pPr>
            <w:r w:rsidRPr="00EB6C91">
              <w:rPr>
                <w:rFonts w:ascii="Calibri" w:eastAsia="Times New Roman" w:hAnsi="Calibri" w:cs="Times New Roman"/>
                <w:b/>
                <w:bCs/>
                <w:color w:val="215967"/>
                <w:lang w:eastAsia="cs-CZ"/>
              </w:rPr>
              <w:t xml:space="preserve">              29 679    </w:t>
            </w:r>
          </w:p>
        </w:tc>
      </w:tr>
      <w:tr w:rsidR="00B53C4C" w:rsidRPr="00EB6C91" w:rsidTr="00B53C4C">
        <w:trPr>
          <w:trHeight w:val="300"/>
          <w:jc w:val="center"/>
        </w:trPr>
        <w:tc>
          <w:tcPr>
            <w:tcW w:w="7580" w:type="dxa"/>
            <w:tcBorders>
              <w:top w:val="nil"/>
              <w:left w:val="dashed" w:sz="8" w:space="0" w:color="31869B"/>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ind w:firstLineChars="200" w:firstLine="400"/>
              <w:rPr>
                <w:rFonts w:ascii="Calibri" w:eastAsia="Times New Roman" w:hAnsi="Calibri" w:cs="Times New Roman"/>
                <w:color w:val="215967"/>
                <w:sz w:val="20"/>
                <w:szCs w:val="20"/>
                <w:lang w:eastAsia="cs-CZ"/>
              </w:rPr>
            </w:pPr>
            <w:r w:rsidRPr="00EB6C91">
              <w:rPr>
                <w:rFonts w:ascii="Calibri" w:eastAsia="Times New Roman" w:hAnsi="Calibri" w:cs="TimesCE-Roman"/>
                <w:color w:val="215967"/>
                <w:sz w:val="20"/>
                <w:szCs w:val="20"/>
                <w:lang w:eastAsia="cs-CZ"/>
              </w:rPr>
              <w:t>Zdraví, demografické změny a životní pohoda</w:t>
            </w:r>
          </w:p>
        </w:tc>
        <w:tc>
          <w:tcPr>
            <w:tcW w:w="1200" w:type="dxa"/>
            <w:tcBorders>
              <w:top w:val="nil"/>
              <w:left w:val="nil"/>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9,7</w:t>
            </w:r>
          </w:p>
        </w:tc>
        <w:tc>
          <w:tcPr>
            <w:tcW w:w="1460" w:type="dxa"/>
            <w:tcBorders>
              <w:top w:val="nil"/>
              <w:left w:val="nil"/>
              <w:bottom w:val="dashed" w:sz="4" w:space="0" w:color="31869B"/>
              <w:right w:val="dashed" w:sz="8"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 xml:space="preserve">                7 472    </w:t>
            </w:r>
          </w:p>
        </w:tc>
      </w:tr>
      <w:tr w:rsidR="00B53C4C" w:rsidRPr="00EB6C91" w:rsidTr="00B53C4C">
        <w:trPr>
          <w:trHeight w:val="300"/>
          <w:jc w:val="center"/>
        </w:trPr>
        <w:tc>
          <w:tcPr>
            <w:tcW w:w="7580" w:type="dxa"/>
            <w:tcBorders>
              <w:top w:val="nil"/>
              <w:left w:val="dashed" w:sz="8" w:space="0" w:color="31869B"/>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ind w:firstLineChars="200" w:firstLine="400"/>
              <w:rPr>
                <w:rFonts w:ascii="Calibri" w:eastAsia="Times New Roman" w:hAnsi="Calibri" w:cs="Times New Roman"/>
                <w:color w:val="215967"/>
                <w:sz w:val="20"/>
                <w:szCs w:val="20"/>
                <w:lang w:eastAsia="cs-CZ"/>
              </w:rPr>
            </w:pPr>
            <w:r w:rsidRPr="00EB6C91">
              <w:rPr>
                <w:rFonts w:ascii="Calibri" w:eastAsia="Times New Roman" w:hAnsi="Calibri" w:cs="TimesCE-Roman"/>
                <w:color w:val="215967"/>
                <w:sz w:val="20"/>
                <w:szCs w:val="20"/>
                <w:lang w:eastAsia="cs-CZ"/>
              </w:rPr>
              <w:t xml:space="preserve">Potravinové zabezpečení, udržitelné zemědělství, mořský výzkum a </w:t>
            </w:r>
            <w:proofErr w:type="spellStart"/>
            <w:r w:rsidRPr="00EB6C91">
              <w:rPr>
                <w:rFonts w:ascii="Calibri" w:eastAsia="Times New Roman" w:hAnsi="Calibri" w:cs="TimesCE-Roman"/>
                <w:color w:val="215967"/>
                <w:sz w:val="20"/>
                <w:szCs w:val="20"/>
                <w:lang w:eastAsia="cs-CZ"/>
              </w:rPr>
              <w:t>bioekonomika</w:t>
            </w:r>
            <w:proofErr w:type="spellEnd"/>
            <w:r w:rsidRPr="00EB6C91">
              <w:rPr>
                <w:rFonts w:ascii="Calibri" w:eastAsia="Times New Roman" w:hAnsi="Calibri" w:cs="TimesCE-Roman"/>
                <w:color w:val="215967"/>
                <w:sz w:val="20"/>
                <w:szCs w:val="20"/>
                <w:lang w:eastAsia="cs-CZ"/>
              </w:rPr>
              <w:t xml:space="preserve"> </w:t>
            </w:r>
          </w:p>
        </w:tc>
        <w:tc>
          <w:tcPr>
            <w:tcW w:w="1200" w:type="dxa"/>
            <w:tcBorders>
              <w:top w:val="nil"/>
              <w:left w:val="nil"/>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5</w:t>
            </w:r>
          </w:p>
        </w:tc>
        <w:tc>
          <w:tcPr>
            <w:tcW w:w="1460" w:type="dxa"/>
            <w:tcBorders>
              <w:top w:val="nil"/>
              <w:left w:val="nil"/>
              <w:bottom w:val="dashed" w:sz="4" w:space="0" w:color="31869B"/>
              <w:right w:val="dashed" w:sz="8"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 xml:space="preserve">                3 851    </w:t>
            </w:r>
          </w:p>
        </w:tc>
      </w:tr>
      <w:tr w:rsidR="00B53C4C" w:rsidRPr="00EB6C91" w:rsidTr="00B53C4C">
        <w:trPr>
          <w:trHeight w:val="300"/>
          <w:jc w:val="center"/>
        </w:trPr>
        <w:tc>
          <w:tcPr>
            <w:tcW w:w="7580" w:type="dxa"/>
            <w:tcBorders>
              <w:top w:val="nil"/>
              <w:left w:val="dashed" w:sz="8" w:space="0" w:color="31869B"/>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ind w:firstLineChars="200" w:firstLine="400"/>
              <w:rPr>
                <w:rFonts w:ascii="Calibri" w:eastAsia="Times New Roman" w:hAnsi="Calibri" w:cs="Times New Roman"/>
                <w:color w:val="215967"/>
                <w:sz w:val="20"/>
                <w:szCs w:val="20"/>
                <w:lang w:eastAsia="cs-CZ"/>
              </w:rPr>
            </w:pPr>
            <w:r w:rsidRPr="00EB6C91">
              <w:rPr>
                <w:rFonts w:ascii="Calibri" w:eastAsia="Times New Roman" w:hAnsi="Calibri" w:cs="TimesCE-Roman"/>
                <w:color w:val="215967"/>
                <w:sz w:val="20"/>
                <w:szCs w:val="20"/>
                <w:lang w:eastAsia="cs-CZ"/>
              </w:rPr>
              <w:t>Zajištěná, čistá a účinná energie</w:t>
            </w:r>
          </w:p>
        </w:tc>
        <w:tc>
          <w:tcPr>
            <w:tcW w:w="1200" w:type="dxa"/>
            <w:tcBorders>
              <w:top w:val="nil"/>
              <w:left w:val="nil"/>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7,7</w:t>
            </w:r>
          </w:p>
        </w:tc>
        <w:tc>
          <w:tcPr>
            <w:tcW w:w="1460" w:type="dxa"/>
            <w:tcBorders>
              <w:top w:val="nil"/>
              <w:left w:val="nil"/>
              <w:bottom w:val="dashed" w:sz="4" w:space="0" w:color="31869B"/>
              <w:right w:val="dashed" w:sz="8"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 xml:space="preserve">                5 931    </w:t>
            </w:r>
          </w:p>
        </w:tc>
      </w:tr>
      <w:tr w:rsidR="00B53C4C" w:rsidRPr="00EB6C91" w:rsidTr="00B53C4C">
        <w:trPr>
          <w:trHeight w:val="300"/>
          <w:jc w:val="center"/>
        </w:trPr>
        <w:tc>
          <w:tcPr>
            <w:tcW w:w="7580" w:type="dxa"/>
            <w:tcBorders>
              <w:top w:val="nil"/>
              <w:left w:val="dashed" w:sz="8" w:space="0" w:color="31869B"/>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ind w:firstLineChars="200" w:firstLine="400"/>
              <w:rPr>
                <w:rFonts w:ascii="Calibri" w:eastAsia="Times New Roman" w:hAnsi="Calibri" w:cs="Times New Roman"/>
                <w:color w:val="215967"/>
                <w:sz w:val="20"/>
                <w:szCs w:val="20"/>
                <w:lang w:eastAsia="cs-CZ"/>
              </w:rPr>
            </w:pPr>
            <w:r w:rsidRPr="00EB6C91">
              <w:rPr>
                <w:rFonts w:ascii="Calibri" w:eastAsia="Times New Roman" w:hAnsi="Calibri" w:cs="TimesCE-Roman"/>
                <w:color w:val="215967"/>
                <w:sz w:val="20"/>
                <w:szCs w:val="20"/>
                <w:lang w:eastAsia="cs-CZ"/>
              </w:rPr>
              <w:t>Inteligentní, ekologická a integrovaná doprava</w:t>
            </w:r>
          </w:p>
        </w:tc>
        <w:tc>
          <w:tcPr>
            <w:tcW w:w="1200" w:type="dxa"/>
            <w:tcBorders>
              <w:top w:val="nil"/>
              <w:left w:val="nil"/>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8</w:t>
            </w:r>
          </w:p>
        </w:tc>
        <w:tc>
          <w:tcPr>
            <w:tcW w:w="1460" w:type="dxa"/>
            <w:tcBorders>
              <w:top w:val="nil"/>
              <w:left w:val="nil"/>
              <w:bottom w:val="dashed" w:sz="4" w:space="0" w:color="31869B"/>
              <w:right w:val="dashed" w:sz="8"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 xml:space="preserve">                6 339    </w:t>
            </w:r>
          </w:p>
        </w:tc>
      </w:tr>
      <w:tr w:rsidR="00B53C4C" w:rsidRPr="00EB6C91" w:rsidTr="00B53C4C">
        <w:trPr>
          <w:trHeight w:val="300"/>
          <w:jc w:val="center"/>
        </w:trPr>
        <w:tc>
          <w:tcPr>
            <w:tcW w:w="7580" w:type="dxa"/>
            <w:tcBorders>
              <w:top w:val="nil"/>
              <w:left w:val="dashed" w:sz="8" w:space="0" w:color="31869B"/>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ind w:firstLineChars="200" w:firstLine="400"/>
              <w:rPr>
                <w:rFonts w:ascii="Calibri" w:eastAsia="Times New Roman" w:hAnsi="Calibri" w:cs="Times New Roman"/>
                <w:color w:val="215967"/>
                <w:sz w:val="20"/>
                <w:szCs w:val="20"/>
                <w:lang w:eastAsia="cs-CZ"/>
              </w:rPr>
            </w:pPr>
            <w:r w:rsidRPr="00EB6C91">
              <w:rPr>
                <w:rFonts w:ascii="Calibri" w:eastAsia="Times New Roman" w:hAnsi="Calibri" w:cs="TimesCE-Roman"/>
                <w:color w:val="215967"/>
                <w:sz w:val="20"/>
                <w:szCs w:val="20"/>
                <w:lang w:eastAsia="cs-CZ"/>
              </w:rPr>
              <w:t>Ochrana klimatu, životní prostředí, účinné využívání zdrojů a suroviny</w:t>
            </w:r>
          </w:p>
        </w:tc>
        <w:tc>
          <w:tcPr>
            <w:tcW w:w="1200" w:type="dxa"/>
            <w:tcBorders>
              <w:top w:val="nil"/>
              <w:left w:val="nil"/>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4</w:t>
            </w:r>
          </w:p>
        </w:tc>
        <w:tc>
          <w:tcPr>
            <w:tcW w:w="1460" w:type="dxa"/>
            <w:tcBorders>
              <w:top w:val="nil"/>
              <w:left w:val="nil"/>
              <w:bottom w:val="dashed" w:sz="4" w:space="0" w:color="31869B"/>
              <w:right w:val="dashed" w:sz="8"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 xml:space="preserve">                3 081    </w:t>
            </w:r>
          </w:p>
        </w:tc>
      </w:tr>
      <w:tr w:rsidR="00B53C4C" w:rsidRPr="00EB6C91" w:rsidTr="00B53C4C">
        <w:trPr>
          <w:trHeight w:val="300"/>
          <w:jc w:val="center"/>
        </w:trPr>
        <w:tc>
          <w:tcPr>
            <w:tcW w:w="7580" w:type="dxa"/>
            <w:tcBorders>
              <w:top w:val="nil"/>
              <w:left w:val="dashed" w:sz="8" w:space="0" w:color="31869B"/>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ind w:firstLineChars="200" w:firstLine="400"/>
              <w:rPr>
                <w:rFonts w:ascii="Calibri" w:eastAsia="Times New Roman" w:hAnsi="Calibri" w:cs="Times New Roman"/>
                <w:color w:val="215967"/>
                <w:sz w:val="20"/>
                <w:szCs w:val="20"/>
                <w:lang w:eastAsia="cs-CZ"/>
              </w:rPr>
            </w:pPr>
            <w:r w:rsidRPr="00EB6C91">
              <w:rPr>
                <w:rFonts w:ascii="Calibri" w:eastAsia="Times New Roman" w:hAnsi="Calibri" w:cs="TimesCE-Roman"/>
                <w:color w:val="215967"/>
                <w:sz w:val="20"/>
                <w:szCs w:val="20"/>
                <w:lang w:eastAsia="cs-CZ"/>
              </w:rPr>
              <w:t>Evropa v měnícím se světě – inkluzivní, inovativní a reflektivní společnosti</w:t>
            </w:r>
          </w:p>
        </w:tc>
        <w:tc>
          <w:tcPr>
            <w:tcW w:w="1200" w:type="dxa"/>
            <w:tcBorders>
              <w:top w:val="nil"/>
              <w:left w:val="nil"/>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1,7</w:t>
            </w:r>
          </w:p>
        </w:tc>
        <w:tc>
          <w:tcPr>
            <w:tcW w:w="1460" w:type="dxa"/>
            <w:tcBorders>
              <w:top w:val="nil"/>
              <w:left w:val="nil"/>
              <w:bottom w:val="dashed" w:sz="4" w:space="0" w:color="31869B"/>
              <w:right w:val="dashed" w:sz="8"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 xml:space="preserve">                1 309    </w:t>
            </w:r>
          </w:p>
        </w:tc>
      </w:tr>
      <w:tr w:rsidR="00B53C4C" w:rsidRPr="00EB6C91" w:rsidTr="00B53C4C">
        <w:trPr>
          <w:trHeight w:val="300"/>
          <w:jc w:val="center"/>
        </w:trPr>
        <w:tc>
          <w:tcPr>
            <w:tcW w:w="7580" w:type="dxa"/>
            <w:tcBorders>
              <w:top w:val="nil"/>
              <w:left w:val="dashed" w:sz="8" w:space="0" w:color="31869B"/>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ind w:firstLineChars="200" w:firstLine="400"/>
              <w:rPr>
                <w:rFonts w:ascii="Calibri" w:eastAsia="Times New Roman" w:hAnsi="Calibri" w:cs="Times New Roman"/>
                <w:color w:val="215967"/>
                <w:sz w:val="20"/>
                <w:szCs w:val="20"/>
                <w:lang w:eastAsia="cs-CZ"/>
              </w:rPr>
            </w:pPr>
            <w:r w:rsidRPr="00EB6C91">
              <w:rPr>
                <w:rFonts w:ascii="Calibri" w:eastAsia="Times New Roman" w:hAnsi="Calibri" w:cs="TimesCE-Roman"/>
                <w:color w:val="215967"/>
                <w:sz w:val="20"/>
                <w:szCs w:val="20"/>
                <w:lang w:eastAsia="cs-CZ"/>
              </w:rPr>
              <w:t>Bezpečné společnosti: ochrana svobody a bezpečnosti Evropy a jejích občanů</w:t>
            </w:r>
          </w:p>
        </w:tc>
        <w:tc>
          <w:tcPr>
            <w:tcW w:w="1200" w:type="dxa"/>
            <w:tcBorders>
              <w:top w:val="nil"/>
              <w:left w:val="nil"/>
              <w:bottom w:val="dashed" w:sz="4" w:space="0" w:color="31869B"/>
              <w:right w:val="dashed" w:sz="4"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2,2</w:t>
            </w:r>
          </w:p>
        </w:tc>
        <w:tc>
          <w:tcPr>
            <w:tcW w:w="1460" w:type="dxa"/>
            <w:tcBorders>
              <w:top w:val="nil"/>
              <w:left w:val="nil"/>
              <w:bottom w:val="dashed" w:sz="4" w:space="0" w:color="31869B"/>
              <w:right w:val="dashed" w:sz="8" w:space="0" w:color="31869B"/>
            </w:tcBorders>
            <w:shd w:val="clear" w:color="auto" w:fill="auto"/>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sz w:val="20"/>
                <w:szCs w:val="20"/>
                <w:lang w:eastAsia="cs-CZ"/>
              </w:rPr>
            </w:pPr>
            <w:r w:rsidRPr="00EB6C91">
              <w:rPr>
                <w:rFonts w:ascii="Calibri" w:eastAsia="Times New Roman" w:hAnsi="Calibri" w:cs="Times New Roman"/>
                <w:b/>
                <w:bCs/>
                <w:color w:val="215967"/>
                <w:sz w:val="20"/>
                <w:szCs w:val="20"/>
                <w:lang w:eastAsia="cs-CZ"/>
              </w:rPr>
              <w:t xml:space="preserve">                1 695    </w:t>
            </w:r>
          </w:p>
        </w:tc>
      </w:tr>
      <w:tr w:rsidR="00B53C4C" w:rsidRPr="00EB6C91" w:rsidTr="00B53C4C">
        <w:trPr>
          <w:trHeight w:val="300"/>
          <w:jc w:val="center"/>
        </w:trPr>
        <w:tc>
          <w:tcPr>
            <w:tcW w:w="7580" w:type="dxa"/>
            <w:tcBorders>
              <w:top w:val="nil"/>
              <w:left w:val="dashed" w:sz="8" w:space="0" w:color="31869B"/>
              <w:bottom w:val="dashed" w:sz="4" w:space="0" w:color="31869B"/>
              <w:right w:val="dashed" w:sz="4" w:space="0" w:color="31869B"/>
            </w:tcBorders>
            <w:shd w:val="clear" w:color="000000" w:fill="DAEEF3"/>
            <w:vAlign w:val="center"/>
            <w:hideMark/>
          </w:tcPr>
          <w:p w:rsidR="00B53C4C" w:rsidRPr="00EB6C91" w:rsidRDefault="00B53C4C" w:rsidP="00B53C4C">
            <w:pPr>
              <w:spacing w:after="0" w:line="240" w:lineRule="auto"/>
              <w:ind w:firstLineChars="100" w:firstLine="221"/>
              <w:rPr>
                <w:rFonts w:ascii="Calibri" w:eastAsia="Times New Roman" w:hAnsi="Calibri" w:cs="Times New Roman"/>
                <w:b/>
                <w:bCs/>
                <w:color w:val="1F497D"/>
                <w:lang w:eastAsia="cs-CZ"/>
              </w:rPr>
            </w:pPr>
            <w:r w:rsidRPr="00EB6C91">
              <w:rPr>
                <w:rFonts w:ascii="Calibri" w:eastAsia="Times New Roman" w:hAnsi="Calibri" w:cs="TimesCE-Bold"/>
                <w:b/>
                <w:bCs/>
                <w:color w:val="1F497D"/>
                <w:lang w:eastAsia="cs-CZ"/>
              </w:rPr>
              <w:t>Věda se společností a pro společnost</w:t>
            </w:r>
          </w:p>
        </w:tc>
        <w:tc>
          <w:tcPr>
            <w:tcW w:w="1200" w:type="dxa"/>
            <w:tcBorders>
              <w:top w:val="nil"/>
              <w:left w:val="nil"/>
              <w:bottom w:val="dashed" w:sz="4" w:space="0" w:color="31869B"/>
              <w:right w:val="dashed" w:sz="4" w:space="0" w:color="31869B"/>
            </w:tcBorders>
            <w:shd w:val="clear" w:color="000000" w:fill="DAEEF3"/>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lang w:eastAsia="cs-CZ"/>
              </w:rPr>
            </w:pPr>
            <w:r w:rsidRPr="00EB6C91">
              <w:rPr>
                <w:rFonts w:ascii="Calibri" w:eastAsia="Times New Roman" w:hAnsi="Calibri" w:cs="Times New Roman"/>
                <w:b/>
                <w:bCs/>
                <w:color w:val="215967"/>
                <w:lang w:eastAsia="cs-CZ"/>
              </w:rPr>
              <w:t>0,6</w:t>
            </w:r>
          </w:p>
        </w:tc>
        <w:tc>
          <w:tcPr>
            <w:tcW w:w="1460" w:type="dxa"/>
            <w:tcBorders>
              <w:top w:val="nil"/>
              <w:left w:val="nil"/>
              <w:bottom w:val="dashed" w:sz="4" w:space="0" w:color="31869B"/>
              <w:right w:val="dashed" w:sz="8" w:space="0" w:color="31869B"/>
            </w:tcBorders>
            <w:shd w:val="clear" w:color="000000" w:fill="DAEEF3"/>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lang w:eastAsia="cs-CZ"/>
              </w:rPr>
            </w:pPr>
            <w:r w:rsidRPr="00EB6C91">
              <w:rPr>
                <w:rFonts w:ascii="Calibri" w:eastAsia="Times New Roman" w:hAnsi="Calibri" w:cs="Times New Roman"/>
                <w:b/>
                <w:bCs/>
                <w:color w:val="215967"/>
                <w:lang w:eastAsia="cs-CZ"/>
              </w:rPr>
              <w:t xml:space="preserve">                   462    </w:t>
            </w:r>
          </w:p>
        </w:tc>
      </w:tr>
      <w:tr w:rsidR="00B53C4C" w:rsidRPr="00EB6C91" w:rsidTr="00B53C4C">
        <w:trPr>
          <w:trHeight w:val="300"/>
          <w:jc w:val="center"/>
        </w:trPr>
        <w:tc>
          <w:tcPr>
            <w:tcW w:w="7580" w:type="dxa"/>
            <w:tcBorders>
              <w:top w:val="nil"/>
              <w:left w:val="dashed" w:sz="8" w:space="0" w:color="31869B"/>
              <w:bottom w:val="dashed" w:sz="4" w:space="0" w:color="31869B"/>
              <w:right w:val="dashed" w:sz="4" w:space="0" w:color="31869B"/>
            </w:tcBorders>
            <w:shd w:val="clear" w:color="000000" w:fill="DAEEF3"/>
            <w:vAlign w:val="center"/>
            <w:hideMark/>
          </w:tcPr>
          <w:p w:rsidR="00B53C4C" w:rsidRPr="00EB6C91" w:rsidRDefault="00B53C4C" w:rsidP="00B53C4C">
            <w:pPr>
              <w:spacing w:after="0" w:line="240" w:lineRule="auto"/>
              <w:ind w:firstLineChars="100" w:firstLine="221"/>
              <w:rPr>
                <w:rFonts w:ascii="Calibri" w:eastAsia="Times New Roman" w:hAnsi="Calibri" w:cs="Times New Roman"/>
                <w:b/>
                <w:bCs/>
                <w:color w:val="1F497D"/>
                <w:lang w:eastAsia="cs-CZ"/>
              </w:rPr>
            </w:pPr>
            <w:r w:rsidRPr="00EB6C91">
              <w:rPr>
                <w:rFonts w:ascii="Calibri" w:eastAsia="Times New Roman" w:hAnsi="Calibri" w:cs="TimesCE-Bold"/>
                <w:b/>
                <w:bCs/>
                <w:color w:val="1F497D"/>
                <w:lang w:eastAsia="cs-CZ"/>
              </w:rPr>
              <w:t>Šíření excelence a podpora účasti</w:t>
            </w:r>
          </w:p>
        </w:tc>
        <w:tc>
          <w:tcPr>
            <w:tcW w:w="1200" w:type="dxa"/>
            <w:tcBorders>
              <w:top w:val="nil"/>
              <w:left w:val="nil"/>
              <w:bottom w:val="dashed" w:sz="4" w:space="0" w:color="31869B"/>
              <w:right w:val="dashed" w:sz="4" w:space="0" w:color="31869B"/>
            </w:tcBorders>
            <w:shd w:val="clear" w:color="000000" w:fill="DAEEF3"/>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lang w:eastAsia="cs-CZ"/>
              </w:rPr>
            </w:pPr>
            <w:r w:rsidRPr="00EB6C91">
              <w:rPr>
                <w:rFonts w:ascii="Calibri" w:eastAsia="Times New Roman" w:hAnsi="Calibri" w:cs="Times New Roman"/>
                <w:b/>
                <w:bCs/>
                <w:color w:val="215967"/>
                <w:lang w:eastAsia="cs-CZ"/>
              </w:rPr>
              <w:t>1,06</w:t>
            </w:r>
          </w:p>
        </w:tc>
        <w:tc>
          <w:tcPr>
            <w:tcW w:w="1460" w:type="dxa"/>
            <w:tcBorders>
              <w:top w:val="nil"/>
              <w:left w:val="nil"/>
              <w:bottom w:val="dashed" w:sz="4" w:space="0" w:color="31869B"/>
              <w:right w:val="dashed" w:sz="8" w:space="0" w:color="31869B"/>
            </w:tcBorders>
            <w:shd w:val="clear" w:color="000000" w:fill="DAEEF3"/>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lang w:eastAsia="cs-CZ"/>
              </w:rPr>
            </w:pPr>
            <w:r w:rsidRPr="00EB6C91">
              <w:rPr>
                <w:rFonts w:ascii="Calibri" w:eastAsia="Times New Roman" w:hAnsi="Calibri" w:cs="Times New Roman"/>
                <w:b/>
                <w:bCs/>
                <w:color w:val="215967"/>
                <w:lang w:eastAsia="cs-CZ"/>
              </w:rPr>
              <w:t xml:space="preserve">                   816    </w:t>
            </w:r>
          </w:p>
        </w:tc>
      </w:tr>
      <w:tr w:rsidR="00B53C4C" w:rsidRPr="00EB6C91" w:rsidTr="00B53C4C">
        <w:trPr>
          <w:trHeight w:val="300"/>
          <w:jc w:val="center"/>
        </w:trPr>
        <w:tc>
          <w:tcPr>
            <w:tcW w:w="7580" w:type="dxa"/>
            <w:tcBorders>
              <w:top w:val="nil"/>
              <w:left w:val="dashed" w:sz="8" w:space="0" w:color="31869B"/>
              <w:bottom w:val="dashed" w:sz="4" w:space="0" w:color="31869B"/>
              <w:right w:val="dashed" w:sz="4" w:space="0" w:color="31869B"/>
            </w:tcBorders>
            <w:shd w:val="clear" w:color="000000" w:fill="DAEEF3"/>
            <w:vAlign w:val="center"/>
            <w:hideMark/>
          </w:tcPr>
          <w:p w:rsidR="00B53C4C" w:rsidRPr="00EB6C91" w:rsidRDefault="00B53C4C" w:rsidP="00B53C4C">
            <w:pPr>
              <w:spacing w:after="0" w:line="240" w:lineRule="auto"/>
              <w:ind w:firstLineChars="100" w:firstLine="221"/>
              <w:rPr>
                <w:rFonts w:ascii="Calibri" w:eastAsia="Times New Roman" w:hAnsi="Calibri" w:cs="Times New Roman"/>
                <w:b/>
                <w:bCs/>
                <w:color w:val="1F497D"/>
                <w:lang w:eastAsia="cs-CZ"/>
              </w:rPr>
            </w:pPr>
            <w:r w:rsidRPr="00EB6C91">
              <w:rPr>
                <w:rFonts w:ascii="Calibri" w:eastAsia="Times New Roman" w:hAnsi="Calibri" w:cs="TimesCE-Bold"/>
                <w:b/>
                <w:bCs/>
                <w:color w:val="1F497D"/>
                <w:lang w:eastAsia="cs-CZ"/>
              </w:rPr>
              <w:t>Evropský inovačn</w:t>
            </w:r>
            <w:r w:rsidR="00AA218C">
              <w:rPr>
                <w:rFonts w:ascii="Calibri" w:eastAsia="Times New Roman" w:hAnsi="Calibri" w:cs="TimesCE-Bold"/>
                <w:b/>
                <w:bCs/>
                <w:color w:val="1F497D"/>
                <w:lang w:eastAsia="cs-CZ"/>
              </w:rPr>
              <w:t>í a technologický institut</w:t>
            </w:r>
          </w:p>
        </w:tc>
        <w:tc>
          <w:tcPr>
            <w:tcW w:w="1200" w:type="dxa"/>
            <w:tcBorders>
              <w:top w:val="nil"/>
              <w:left w:val="nil"/>
              <w:bottom w:val="dashed" w:sz="4" w:space="0" w:color="31869B"/>
              <w:right w:val="dashed" w:sz="4" w:space="0" w:color="31869B"/>
            </w:tcBorders>
            <w:shd w:val="clear" w:color="000000" w:fill="DAEEF3"/>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lang w:eastAsia="cs-CZ"/>
              </w:rPr>
            </w:pPr>
            <w:r w:rsidRPr="00EB6C91">
              <w:rPr>
                <w:rFonts w:ascii="Calibri" w:eastAsia="Times New Roman" w:hAnsi="Calibri" w:cs="Times New Roman"/>
                <w:b/>
                <w:bCs/>
                <w:color w:val="215967"/>
                <w:lang w:eastAsia="cs-CZ"/>
              </w:rPr>
              <w:t>3,52</w:t>
            </w:r>
          </w:p>
        </w:tc>
        <w:tc>
          <w:tcPr>
            <w:tcW w:w="1460" w:type="dxa"/>
            <w:tcBorders>
              <w:top w:val="nil"/>
              <w:left w:val="nil"/>
              <w:bottom w:val="dashed" w:sz="4" w:space="0" w:color="31869B"/>
              <w:right w:val="dashed" w:sz="8" w:space="0" w:color="31869B"/>
            </w:tcBorders>
            <w:shd w:val="clear" w:color="000000" w:fill="DAEEF3"/>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lang w:eastAsia="cs-CZ"/>
              </w:rPr>
            </w:pPr>
            <w:r w:rsidRPr="00EB6C91">
              <w:rPr>
                <w:rFonts w:ascii="Calibri" w:eastAsia="Times New Roman" w:hAnsi="Calibri" w:cs="Times New Roman"/>
                <w:b/>
                <w:bCs/>
                <w:color w:val="215967"/>
                <w:lang w:eastAsia="cs-CZ"/>
              </w:rPr>
              <w:t xml:space="preserve">                2 711    </w:t>
            </w:r>
          </w:p>
        </w:tc>
      </w:tr>
      <w:tr w:rsidR="00B53C4C" w:rsidRPr="00EB6C91" w:rsidTr="00B53C4C">
        <w:trPr>
          <w:trHeight w:val="300"/>
          <w:jc w:val="center"/>
        </w:trPr>
        <w:tc>
          <w:tcPr>
            <w:tcW w:w="7580" w:type="dxa"/>
            <w:tcBorders>
              <w:top w:val="nil"/>
              <w:left w:val="dashed" w:sz="8" w:space="0" w:color="31869B"/>
              <w:bottom w:val="dashed" w:sz="4" w:space="0" w:color="31869B"/>
              <w:right w:val="dashed" w:sz="4" w:space="0" w:color="31869B"/>
            </w:tcBorders>
            <w:shd w:val="clear" w:color="000000" w:fill="DAEEF3"/>
            <w:vAlign w:val="center"/>
            <w:hideMark/>
          </w:tcPr>
          <w:p w:rsidR="00B53C4C" w:rsidRPr="00EB6C91" w:rsidRDefault="00B53C4C" w:rsidP="00B53C4C">
            <w:pPr>
              <w:spacing w:after="0" w:line="240" w:lineRule="auto"/>
              <w:ind w:firstLineChars="100" w:firstLine="221"/>
              <w:rPr>
                <w:rFonts w:ascii="Calibri" w:eastAsia="Times New Roman" w:hAnsi="Calibri" w:cs="Times New Roman"/>
                <w:b/>
                <w:bCs/>
                <w:color w:val="1F497D"/>
                <w:lang w:eastAsia="cs-CZ"/>
              </w:rPr>
            </w:pPr>
            <w:r w:rsidRPr="00EB6C91">
              <w:rPr>
                <w:rFonts w:ascii="Calibri" w:eastAsia="Times New Roman" w:hAnsi="Calibri" w:cs="TimesCE-Bold"/>
                <w:b/>
                <w:bCs/>
                <w:color w:val="1F497D"/>
                <w:lang w:eastAsia="cs-CZ"/>
              </w:rPr>
              <w:t>Nejaderné přímé akce Sp</w:t>
            </w:r>
            <w:r w:rsidR="00AA218C">
              <w:rPr>
                <w:rFonts w:ascii="Calibri" w:eastAsia="Times New Roman" w:hAnsi="Calibri" w:cs="TimesCE-Bold"/>
                <w:b/>
                <w:bCs/>
                <w:color w:val="1F497D"/>
                <w:lang w:eastAsia="cs-CZ"/>
              </w:rPr>
              <w:t>olečného výzkumného centra</w:t>
            </w:r>
          </w:p>
        </w:tc>
        <w:tc>
          <w:tcPr>
            <w:tcW w:w="1200" w:type="dxa"/>
            <w:tcBorders>
              <w:top w:val="nil"/>
              <w:left w:val="nil"/>
              <w:bottom w:val="dashed" w:sz="4" w:space="0" w:color="31869B"/>
              <w:right w:val="dashed" w:sz="4" w:space="0" w:color="31869B"/>
            </w:tcBorders>
            <w:shd w:val="clear" w:color="000000" w:fill="DAEEF3"/>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lang w:eastAsia="cs-CZ"/>
              </w:rPr>
            </w:pPr>
            <w:r w:rsidRPr="00EB6C91">
              <w:rPr>
                <w:rFonts w:ascii="Calibri" w:eastAsia="Times New Roman" w:hAnsi="Calibri" w:cs="Times New Roman"/>
                <w:b/>
                <w:bCs/>
                <w:color w:val="215967"/>
                <w:lang w:eastAsia="cs-CZ"/>
              </w:rPr>
              <w:t>2,47</w:t>
            </w:r>
          </w:p>
        </w:tc>
        <w:tc>
          <w:tcPr>
            <w:tcW w:w="1460" w:type="dxa"/>
            <w:tcBorders>
              <w:top w:val="nil"/>
              <w:left w:val="nil"/>
              <w:bottom w:val="dashed" w:sz="4" w:space="0" w:color="31869B"/>
              <w:right w:val="dashed" w:sz="8" w:space="0" w:color="31869B"/>
            </w:tcBorders>
            <w:shd w:val="clear" w:color="000000" w:fill="DAEEF3"/>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lang w:eastAsia="cs-CZ"/>
              </w:rPr>
            </w:pPr>
            <w:r w:rsidRPr="00EB6C91">
              <w:rPr>
                <w:rFonts w:ascii="Calibri" w:eastAsia="Times New Roman" w:hAnsi="Calibri" w:cs="Times New Roman"/>
                <w:b/>
                <w:bCs/>
                <w:color w:val="215967"/>
                <w:lang w:eastAsia="cs-CZ"/>
              </w:rPr>
              <w:t xml:space="preserve">                1 903    </w:t>
            </w:r>
          </w:p>
        </w:tc>
      </w:tr>
      <w:tr w:rsidR="00B53C4C" w:rsidRPr="00EB6C91" w:rsidTr="00B53C4C">
        <w:trPr>
          <w:trHeight w:val="315"/>
          <w:jc w:val="center"/>
        </w:trPr>
        <w:tc>
          <w:tcPr>
            <w:tcW w:w="7580" w:type="dxa"/>
            <w:tcBorders>
              <w:top w:val="nil"/>
              <w:left w:val="dashed" w:sz="8" w:space="0" w:color="31869B"/>
              <w:bottom w:val="dashed" w:sz="8" w:space="0" w:color="31869B"/>
              <w:right w:val="dashed" w:sz="4" w:space="0" w:color="31869B"/>
            </w:tcBorders>
            <w:shd w:val="clear" w:color="000000" w:fill="DAEEF3"/>
            <w:vAlign w:val="center"/>
            <w:hideMark/>
          </w:tcPr>
          <w:p w:rsidR="00B53C4C" w:rsidRPr="00EB6C91" w:rsidRDefault="00B53C4C" w:rsidP="00B53C4C">
            <w:pPr>
              <w:spacing w:after="0" w:line="240" w:lineRule="auto"/>
              <w:ind w:firstLineChars="100" w:firstLine="221"/>
              <w:rPr>
                <w:rFonts w:ascii="Calibri" w:eastAsia="Times New Roman" w:hAnsi="Calibri" w:cs="Times New Roman"/>
                <w:b/>
                <w:bCs/>
                <w:color w:val="1F497D"/>
                <w:lang w:eastAsia="cs-CZ"/>
              </w:rPr>
            </w:pPr>
            <w:r w:rsidRPr="00EB6C91">
              <w:rPr>
                <w:rFonts w:ascii="Calibri" w:eastAsia="Times New Roman" w:hAnsi="Calibri" w:cs="TimesCE-Bold"/>
                <w:b/>
                <w:bCs/>
                <w:color w:val="1F497D"/>
                <w:lang w:eastAsia="cs-CZ"/>
              </w:rPr>
              <w:t>CELKOVÝ PŘÍSPĚVEK EU</w:t>
            </w:r>
          </w:p>
        </w:tc>
        <w:tc>
          <w:tcPr>
            <w:tcW w:w="1200" w:type="dxa"/>
            <w:tcBorders>
              <w:top w:val="nil"/>
              <w:left w:val="nil"/>
              <w:bottom w:val="dashed" w:sz="8" w:space="0" w:color="31869B"/>
              <w:right w:val="dashed" w:sz="4" w:space="0" w:color="31869B"/>
            </w:tcBorders>
            <w:shd w:val="clear" w:color="000000" w:fill="DAEEF3"/>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lang w:eastAsia="cs-CZ"/>
              </w:rPr>
            </w:pPr>
            <w:r w:rsidRPr="00EB6C91">
              <w:rPr>
                <w:rFonts w:ascii="Calibri" w:eastAsia="Times New Roman" w:hAnsi="Calibri" w:cs="Times New Roman"/>
                <w:b/>
                <w:bCs/>
                <w:color w:val="215967"/>
                <w:lang w:eastAsia="cs-CZ"/>
              </w:rPr>
              <w:t>100</w:t>
            </w:r>
          </w:p>
        </w:tc>
        <w:tc>
          <w:tcPr>
            <w:tcW w:w="1460" w:type="dxa"/>
            <w:tcBorders>
              <w:top w:val="nil"/>
              <w:left w:val="nil"/>
              <w:bottom w:val="dashed" w:sz="8" w:space="0" w:color="31869B"/>
              <w:right w:val="dashed" w:sz="8" w:space="0" w:color="31869B"/>
            </w:tcBorders>
            <w:shd w:val="clear" w:color="000000" w:fill="DAEEF3"/>
            <w:vAlign w:val="center"/>
            <w:hideMark/>
          </w:tcPr>
          <w:p w:rsidR="00B53C4C" w:rsidRPr="00EB6C91" w:rsidRDefault="00B53C4C" w:rsidP="00B53C4C">
            <w:pPr>
              <w:spacing w:after="0" w:line="240" w:lineRule="auto"/>
              <w:jc w:val="center"/>
              <w:rPr>
                <w:rFonts w:ascii="Calibri" w:eastAsia="Times New Roman" w:hAnsi="Calibri" w:cs="Times New Roman"/>
                <w:b/>
                <w:bCs/>
                <w:color w:val="215967"/>
                <w:lang w:eastAsia="cs-CZ"/>
              </w:rPr>
            </w:pPr>
            <w:r w:rsidRPr="00EB6C91">
              <w:rPr>
                <w:rFonts w:ascii="Calibri" w:eastAsia="Times New Roman" w:hAnsi="Calibri" w:cs="Times New Roman"/>
                <w:b/>
                <w:bCs/>
                <w:color w:val="215967"/>
                <w:lang w:eastAsia="cs-CZ"/>
              </w:rPr>
              <w:t xml:space="preserve">              77 028    </w:t>
            </w:r>
          </w:p>
        </w:tc>
      </w:tr>
    </w:tbl>
    <w:p w:rsidR="00B53C4C" w:rsidRDefault="00B53C4C" w:rsidP="00B53C4C">
      <w:pPr>
        <w:pStyle w:val="Zdroj"/>
      </w:pPr>
      <w:r>
        <w:t>Zdroj</w:t>
      </w:r>
      <w:r w:rsidR="0093608E">
        <w:t xml:space="preserve"> dat</w:t>
      </w:r>
      <w:r>
        <w:t>: Horizont 2020 Stručně o programu, TC</w:t>
      </w:r>
      <w:r w:rsidR="00A623DC">
        <w:t xml:space="preserve"> AV</w:t>
      </w:r>
    </w:p>
    <w:p w:rsidR="00B53C4C" w:rsidRDefault="00B53C4C" w:rsidP="00B53C4C">
      <w:pPr>
        <w:spacing w:afterLines="60" w:after="144" w:line="360" w:lineRule="auto"/>
        <w:ind w:left="50" w:firstLine="360"/>
        <w:jc w:val="both"/>
        <w:rPr>
          <w:rFonts w:ascii="Arial" w:hAnsi="Arial" w:cs="Arial"/>
        </w:rPr>
        <w:sectPr w:rsidR="00B53C4C" w:rsidSect="00E540D1">
          <w:footerReference w:type="default" r:id="rId30"/>
          <w:pgSz w:w="11906" w:h="16838"/>
          <w:pgMar w:top="1134" w:right="1134" w:bottom="1134" w:left="1134" w:header="708" w:footer="708" w:gutter="0"/>
          <w:cols w:space="708"/>
          <w:docGrid w:linePitch="360"/>
        </w:sectPr>
      </w:pPr>
    </w:p>
    <w:p w:rsidR="00B53C4C" w:rsidRDefault="002750C6" w:rsidP="00B53C4C">
      <w:pPr>
        <w:pStyle w:val="Obrzek-nadpis"/>
        <w:rPr>
          <w:rFonts w:cs="Arial"/>
        </w:rPr>
      </w:pPr>
      <w:r>
        <w:rPr>
          <w:rFonts w:cs="Arial"/>
        </w:rPr>
        <w:lastRenderedPageBreak/>
        <w:t>Tab. 3.8</w:t>
      </w:r>
      <w:r w:rsidR="00B53C4C">
        <w:rPr>
          <w:rFonts w:cs="Arial"/>
        </w:rPr>
        <w:t xml:space="preserve">: </w:t>
      </w:r>
      <w:r w:rsidR="00B53C4C" w:rsidRPr="00832B4A">
        <w:rPr>
          <w:rFonts w:cs="Arial"/>
        </w:rPr>
        <w:t xml:space="preserve">H2020 </w:t>
      </w:r>
      <w:r w:rsidR="00B53C4C">
        <w:rPr>
          <w:rFonts w:cs="Arial"/>
        </w:rPr>
        <w:t>–</w:t>
      </w:r>
      <w:r w:rsidR="00B53C4C" w:rsidRPr="00832B4A">
        <w:rPr>
          <w:rFonts w:cs="Arial"/>
        </w:rPr>
        <w:t xml:space="preserve"> úspěšnost</w:t>
      </w:r>
      <w:r w:rsidR="00B53C4C">
        <w:rPr>
          <w:rFonts w:cs="Arial"/>
        </w:rPr>
        <w:t xml:space="preserve"> ČR</w:t>
      </w:r>
      <w:r w:rsidR="00B53C4C" w:rsidRPr="00832B4A">
        <w:rPr>
          <w:rFonts w:cs="Arial"/>
        </w:rPr>
        <w:t>: Návrhy projektů v prioritních oblastech H2020</w:t>
      </w:r>
    </w:p>
    <w:p w:rsidR="00B53C4C" w:rsidRDefault="00B53C4C" w:rsidP="00B53C4C">
      <w:pPr>
        <w:pStyle w:val="Zdroj"/>
        <w:spacing w:before="0" w:after="0"/>
        <w:jc w:val="center"/>
      </w:pPr>
      <w:r w:rsidRPr="00AC0F1E">
        <w:rPr>
          <w:noProof/>
        </w:rPr>
        <w:drawing>
          <wp:inline distT="0" distB="0" distL="0" distR="0" wp14:anchorId="61B7E762" wp14:editId="6734958F">
            <wp:extent cx="8375904" cy="5428976"/>
            <wp:effectExtent l="0" t="0" r="6350" b="635"/>
            <wp:docPr id="50"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388163" cy="5436922"/>
                    </a:xfrm>
                    <a:prstGeom prst="rect">
                      <a:avLst/>
                    </a:prstGeom>
                    <a:noFill/>
                    <a:ln>
                      <a:noFill/>
                    </a:ln>
                  </pic:spPr>
                </pic:pic>
              </a:graphicData>
            </a:graphic>
          </wp:inline>
        </w:drawing>
      </w:r>
    </w:p>
    <w:p w:rsidR="00B53C4C" w:rsidRDefault="00B53C4C" w:rsidP="00B53C4C">
      <w:pPr>
        <w:pStyle w:val="Zdroj"/>
        <w:spacing w:before="240"/>
      </w:pPr>
      <w:r>
        <w:t>Zdroj</w:t>
      </w:r>
      <w:r w:rsidR="0093608E">
        <w:t xml:space="preserve"> dat</w:t>
      </w:r>
      <w:r>
        <w:t xml:space="preserve">: </w:t>
      </w:r>
      <w:r w:rsidRPr="00183D93">
        <w:t xml:space="preserve">E-CORDA </w:t>
      </w:r>
      <w:proofErr w:type="spellStart"/>
      <w:r w:rsidRPr="00183D93">
        <w:t>extraction</w:t>
      </w:r>
      <w:proofErr w:type="spellEnd"/>
      <w:r w:rsidRPr="00183D93">
        <w:t xml:space="preserve"> </w:t>
      </w:r>
      <w:proofErr w:type="spellStart"/>
      <w:r w:rsidRPr="00183D93">
        <w:t>date</w:t>
      </w:r>
      <w:proofErr w:type="spellEnd"/>
      <w:r w:rsidRPr="00183D93">
        <w:t>: 2015/02/25</w:t>
      </w:r>
    </w:p>
    <w:p w:rsidR="00B53C4C" w:rsidRDefault="00B53C4C" w:rsidP="00B53C4C">
      <w:pPr>
        <w:pStyle w:val="Zdroj"/>
        <w:spacing w:before="240"/>
        <w:sectPr w:rsidR="00B53C4C" w:rsidSect="00E540D1">
          <w:pgSz w:w="16838" w:h="11906" w:orient="landscape"/>
          <w:pgMar w:top="1134" w:right="1134" w:bottom="1134" w:left="1134" w:header="708" w:footer="708" w:gutter="0"/>
          <w:cols w:space="708"/>
          <w:docGrid w:linePitch="360"/>
        </w:sectPr>
      </w:pPr>
    </w:p>
    <w:p w:rsidR="00B53C4C" w:rsidRPr="00613032" w:rsidRDefault="00B53C4C" w:rsidP="00613032">
      <w:pPr>
        <w:spacing w:after="0" w:line="360" w:lineRule="auto"/>
        <w:ind w:firstLine="709"/>
        <w:jc w:val="both"/>
        <w:rPr>
          <w:rFonts w:ascii="Arial" w:hAnsi="Arial" w:cs="Arial"/>
        </w:rPr>
      </w:pPr>
      <w:r w:rsidRPr="00613032">
        <w:rPr>
          <w:rFonts w:ascii="Arial" w:hAnsi="Arial" w:cs="Arial"/>
        </w:rPr>
        <w:lastRenderedPageBreak/>
        <w:t>Následující 2 paprskové grafy srovnávají projektovou úspěšnost a objem finan</w:t>
      </w:r>
      <w:r w:rsidR="001354D7">
        <w:rPr>
          <w:rFonts w:ascii="Arial" w:hAnsi="Arial" w:cs="Arial"/>
        </w:rPr>
        <w:t>ční podpory České republiky s Rakouskem</w:t>
      </w:r>
      <w:r w:rsidRPr="00613032">
        <w:rPr>
          <w:rFonts w:ascii="Arial" w:hAnsi="Arial" w:cs="Arial"/>
        </w:rPr>
        <w:t xml:space="preserve"> a s průměrem za země (ALL), které se doposud zapojily do</w:t>
      </w:r>
      <w:r w:rsidR="00DB5657">
        <w:rPr>
          <w:rFonts w:ascii="Arial" w:hAnsi="Arial" w:cs="Arial"/>
        </w:rPr>
        <w:t> </w:t>
      </w:r>
      <w:r w:rsidRPr="00613032">
        <w:rPr>
          <w:rFonts w:ascii="Arial" w:hAnsi="Arial" w:cs="Arial"/>
        </w:rPr>
        <w:t xml:space="preserve">programu H2020. </w:t>
      </w:r>
      <w:r w:rsidRPr="00060D84">
        <w:rPr>
          <w:rFonts w:ascii="Arial" w:hAnsi="Arial" w:cs="Arial"/>
        </w:rPr>
        <w:t>Zatím veškeré projekty, které byly podány v oblasti „</w:t>
      </w:r>
      <w:r w:rsidRPr="00060D84">
        <w:rPr>
          <w:rFonts w:ascii="Arial" w:hAnsi="Arial" w:cs="Arial"/>
          <w:i/>
        </w:rPr>
        <w:t>Ustavení takových podmínek pro vládnutí, které umožní všem zainteresovaným subjektům rozvoj zodpovědného výzkumu a vývoje, který bude současně odpovídat na požadavky a potřeby společnosti, a také podpora ustavení etického rámce pro výzkum a vývoj“</w:t>
      </w:r>
      <w:r w:rsidRPr="00060D84">
        <w:rPr>
          <w:rFonts w:ascii="Arial" w:hAnsi="Arial" w:cs="Arial"/>
        </w:rPr>
        <w:t xml:space="preserve"> (GOV), byly schváleny a celkový objem finanční podpory činí 3 967,4 tis.</w:t>
      </w:r>
      <w:r w:rsidR="00B96E06">
        <w:rPr>
          <w:rFonts w:ascii="Arial" w:hAnsi="Arial" w:cs="Arial"/>
        </w:rPr>
        <w:t xml:space="preserve"> Eur</w:t>
      </w:r>
      <w:r w:rsidRPr="00613032">
        <w:rPr>
          <w:rFonts w:ascii="Arial" w:hAnsi="Arial" w:cs="Arial"/>
        </w:rPr>
        <w:t>, přičemž ČR dosáhla na finančn</w:t>
      </w:r>
      <w:r w:rsidR="00B96E06">
        <w:rPr>
          <w:rFonts w:ascii="Arial" w:hAnsi="Arial" w:cs="Arial"/>
        </w:rPr>
        <w:t>í podporu nižší o 24,8 tis. Eur</w:t>
      </w:r>
      <w:r w:rsidRPr="00613032">
        <w:rPr>
          <w:rFonts w:ascii="Arial" w:hAnsi="Arial" w:cs="Arial"/>
        </w:rPr>
        <w:t xml:space="preserve"> než AT. ČR a AT nebyly zatím aktivní v podávání žádostí o projekty v oblasti „</w:t>
      </w:r>
      <w:r w:rsidRPr="00613032">
        <w:rPr>
          <w:rFonts w:ascii="Arial" w:hAnsi="Arial" w:cs="Arial"/>
          <w:i/>
        </w:rPr>
        <w:t>Pokročilé materiály“</w:t>
      </w:r>
      <w:r w:rsidRPr="00613032">
        <w:rPr>
          <w:rFonts w:ascii="Arial" w:hAnsi="Arial" w:cs="Arial"/>
        </w:rPr>
        <w:t xml:space="preserve"> (ADVMAT), celkem bylo podáno 10 projektů, z toho 2 byly způsobilé, a celková finanční po</w:t>
      </w:r>
      <w:r w:rsidR="00B96E06">
        <w:rPr>
          <w:rFonts w:ascii="Arial" w:hAnsi="Arial" w:cs="Arial"/>
        </w:rPr>
        <w:t>dpora dosahuje 3 488,6 tis. Eur</w:t>
      </w:r>
      <w:r w:rsidRPr="00613032">
        <w:rPr>
          <w:rFonts w:ascii="Arial" w:hAnsi="Arial" w:cs="Arial"/>
        </w:rPr>
        <w:t xml:space="preserve">. Nečinnost v podávání projektů platí pro </w:t>
      </w:r>
      <w:proofErr w:type="gramStart"/>
      <w:r w:rsidRPr="00613032">
        <w:rPr>
          <w:rFonts w:ascii="Arial" w:hAnsi="Arial" w:cs="Arial"/>
        </w:rPr>
        <w:t>AT</w:t>
      </w:r>
      <w:proofErr w:type="gramEnd"/>
      <w:r w:rsidRPr="00613032">
        <w:rPr>
          <w:rFonts w:ascii="Arial" w:hAnsi="Arial" w:cs="Arial"/>
        </w:rPr>
        <w:t xml:space="preserve"> dále v oblasti „</w:t>
      </w:r>
      <w:r w:rsidRPr="00613032">
        <w:rPr>
          <w:rFonts w:ascii="Arial" w:hAnsi="Arial" w:cs="Arial"/>
          <w:i/>
        </w:rPr>
        <w:t>Posilování administrativní a provozní kapacity nadnárodní sítě Národních kontaktních míst“</w:t>
      </w:r>
      <w:r w:rsidRPr="00613032">
        <w:rPr>
          <w:rFonts w:ascii="Arial" w:hAnsi="Arial" w:cs="Arial"/>
        </w:rPr>
        <w:t xml:space="preserve"> (NPCNET), naopak ČR v této oblasti byla 100% úspěšná a výše fina</w:t>
      </w:r>
      <w:r w:rsidR="00B96E06">
        <w:rPr>
          <w:rFonts w:ascii="Arial" w:hAnsi="Arial" w:cs="Arial"/>
        </w:rPr>
        <w:t>nční podpory činí 47,5 tis. Eur</w:t>
      </w:r>
      <w:r w:rsidRPr="00613032">
        <w:rPr>
          <w:rFonts w:ascii="Arial" w:hAnsi="Arial" w:cs="Arial"/>
        </w:rPr>
        <w:t xml:space="preserve">. </w:t>
      </w:r>
      <w:r w:rsidRPr="00060D84">
        <w:rPr>
          <w:rFonts w:ascii="Arial" w:hAnsi="Arial" w:cs="Arial"/>
        </w:rPr>
        <w:t>V oblasti „</w:t>
      </w:r>
      <w:r w:rsidRPr="00060D84">
        <w:rPr>
          <w:rFonts w:ascii="Arial" w:hAnsi="Arial" w:cs="Arial"/>
          <w:i/>
        </w:rPr>
        <w:t>Přístup k rizikovému financování výzkumu a inovací“</w:t>
      </w:r>
      <w:r w:rsidRPr="00060D84">
        <w:rPr>
          <w:rFonts w:ascii="Arial" w:hAnsi="Arial" w:cs="Arial"/>
        </w:rPr>
        <w:t xml:space="preserve"> (RISKFINANCE) dosahuje projektová úspěšnost ČR i AT zatím 0 %, ČR byla doposud bohužel neúspěšná také v oblastech „</w:t>
      </w:r>
      <w:r w:rsidRPr="00060D84">
        <w:rPr>
          <w:rFonts w:ascii="Arial" w:hAnsi="Arial" w:cs="Arial"/>
          <w:i/>
        </w:rPr>
        <w:t>Budoucí a</w:t>
      </w:r>
      <w:r w:rsidR="00DB5657">
        <w:rPr>
          <w:rFonts w:ascii="Arial" w:hAnsi="Arial" w:cs="Arial"/>
          <w:i/>
        </w:rPr>
        <w:t> </w:t>
      </w:r>
      <w:r w:rsidRPr="00060D84">
        <w:rPr>
          <w:rFonts w:ascii="Arial" w:hAnsi="Arial" w:cs="Arial"/>
          <w:i/>
        </w:rPr>
        <w:t>vznikající technologie“</w:t>
      </w:r>
      <w:r w:rsidRPr="00060D84">
        <w:rPr>
          <w:rFonts w:ascii="Arial" w:hAnsi="Arial" w:cs="Arial"/>
        </w:rPr>
        <w:t xml:space="preserve"> (FER) a „</w:t>
      </w:r>
      <w:r w:rsidRPr="00060D84">
        <w:rPr>
          <w:rFonts w:ascii="Arial" w:hAnsi="Arial" w:cs="Arial"/>
          <w:i/>
        </w:rPr>
        <w:t xml:space="preserve">Nanotechnologie“ </w:t>
      </w:r>
      <w:r w:rsidRPr="00060D84">
        <w:rPr>
          <w:rFonts w:ascii="Arial" w:hAnsi="Arial" w:cs="Arial"/>
        </w:rPr>
        <w:t>(NMP).</w:t>
      </w:r>
    </w:p>
    <w:p w:rsidR="00B53C4C" w:rsidRPr="00613032" w:rsidRDefault="00B53C4C" w:rsidP="00613032">
      <w:pPr>
        <w:spacing w:after="0" w:line="360" w:lineRule="auto"/>
        <w:ind w:firstLine="709"/>
        <w:jc w:val="both"/>
        <w:rPr>
          <w:rFonts w:ascii="Arial" w:hAnsi="Arial" w:cs="Arial"/>
        </w:rPr>
      </w:pPr>
      <w:r w:rsidRPr="00613032">
        <w:rPr>
          <w:rFonts w:ascii="Arial" w:hAnsi="Arial" w:cs="Arial"/>
        </w:rPr>
        <w:t>ČR ve srovnání s AT dosahuje relativně vyšší projektové úspěšnosti v oblastech „</w:t>
      </w:r>
      <w:r w:rsidRPr="00613032">
        <w:rPr>
          <w:rFonts w:ascii="Arial" w:hAnsi="Arial" w:cs="Arial"/>
          <w:i/>
        </w:rPr>
        <w:t xml:space="preserve">Evropské výzkumné infrastruktury (včetně e-infrastruktur)“ </w:t>
      </w:r>
      <w:r w:rsidRPr="00613032">
        <w:rPr>
          <w:rFonts w:ascii="Arial" w:hAnsi="Arial" w:cs="Arial"/>
        </w:rPr>
        <w:t>(INFRA), „</w:t>
      </w:r>
      <w:r w:rsidRPr="00613032">
        <w:rPr>
          <w:rFonts w:ascii="Arial" w:hAnsi="Arial" w:cs="Arial"/>
          <w:i/>
        </w:rPr>
        <w:t xml:space="preserve">Potravinové zabezpečení, udržitelné zemědělství, mořský výzkum a </w:t>
      </w:r>
      <w:proofErr w:type="spellStart"/>
      <w:r w:rsidRPr="00613032">
        <w:rPr>
          <w:rFonts w:ascii="Arial" w:hAnsi="Arial" w:cs="Arial"/>
          <w:i/>
        </w:rPr>
        <w:t>bioekonomika</w:t>
      </w:r>
      <w:proofErr w:type="spellEnd"/>
      <w:r w:rsidRPr="00613032">
        <w:rPr>
          <w:rFonts w:ascii="Arial" w:hAnsi="Arial" w:cs="Arial"/>
          <w:i/>
        </w:rPr>
        <w:t>“</w:t>
      </w:r>
      <w:r w:rsidRPr="00613032">
        <w:rPr>
          <w:rFonts w:ascii="Arial" w:hAnsi="Arial" w:cs="Arial"/>
        </w:rPr>
        <w:t xml:space="preserve"> (FOOD) a „</w:t>
      </w:r>
      <w:proofErr w:type="spellStart"/>
      <w:r w:rsidRPr="00613032">
        <w:rPr>
          <w:rFonts w:ascii="Arial" w:hAnsi="Arial" w:cs="Arial"/>
          <w:i/>
        </w:rPr>
        <w:t>Teaming</w:t>
      </w:r>
      <w:proofErr w:type="spellEnd"/>
      <w:r w:rsidRPr="00613032">
        <w:rPr>
          <w:rFonts w:ascii="Arial" w:hAnsi="Arial" w:cs="Arial"/>
          <w:i/>
        </w:rPr>
        <w:t xml:space="preserve"> mezi excelentními výzkumnými organizacemi a regiony, které vykazují nižší efektivitu v oblasti výzkumu a vývoje“</w:t>
      </w:r>
      <w:r w:rsidRPr="00613032">
        <w:rPr>
          <w:rFonts w:ascii="Arial" w:hAnsi="Arial" w:cs="Arial"/>
        </w:rPr>
        <w:t xml:space="preserve"> (WIDSPREAD), u těchto oblastí převyšuje procentuální projektová úspěšnost ČR i celkový průměr všech zúčastněných zemí. Nicméně pokud srovnáme finanční podporu projektů doporučených k financování s AT, AT dosáhlo na vyšší objem finanční podpory u svých projektů ve všech ostatních oblastech, pouze v oblasti WIDSPREAD se podařilo ČR získat vyšší finanční podporu</w:t>
      </w:r>
      <w:r w:rsidR="002978DA">
        <w:rPr>
          <w:rFonts w:ascii="Arial" w:hAnsi="Arial" w:cs="Arial"/>
        </w:rPr>
        <w:t>,</w:t>
      </w:r>
      <w:r w:rsidR="00B96E06">
        <w:rPr>
          <w:rFonts w:ascii="Arial" w:hAnsi="Arial" w:cs="Arial"/>
        </w:rPr>
        <w:t xml:space="preserve"> a</w:t>
      </w:r>
      <w:r w:rsidR="00DB5657">
        <w:rPr>
          <w:rFonts w:ascii="Arial" w:hAnsi="Arial" w:cs="Arial"/>
        </w:rPr>
        <w:t> </w:t>
      </w:r>
      <w:r w:rsidR="00B96E06">
        <w:rPr>
          <w:rFonts w:ascii="Arial" w:hAnsi="Arial" w:cs="Arial"/>
        </w:rPr>
        <w:t>to cca o 151 tis. Eur</w:t>
      </w:r>
      <w:r w:rsidRPr="00613032">
        <w:rPr>
          <w:rFonts w:ascii="Arial" w:hAnsi="Arial" w:cs="Arial"/>
        </w:rPr>
        <w:t>. V oblasti „</w:t>
      </w:r>
      <w:r w:rsidRPr="00613032">
        <w:rPr>
          <w:rFonts w:ascii="Arial" w:hAnsi="Arial" w:cs="Arial"/>
          <w:i/>
        </w:rPr>
        <w:t>Biotechnologie“</w:t>
      </w:r>
      <w:r w:rsidRPr="00613032">
        <w:rPr>
          <w:rFonts w:ascii="Arial" w:hAnsi="Arial" w:cs="Arial"/>
        </w:rPr>
        <w:t xml:space="preserve"> (BIOTECH) ČR značně zaostává za AT</w:t>
      </w:r>
      <w:r w:rsidR="002978DA">
        <w:rPr>
          <w:rFonts w:ascii="Arial" w:hAnsi="Arial" w:cs="Arial"/>
        </w:rPr>
        <w:t>,</w:t>
      </w:r>
      <w:r w:rsidRPr="00613032">
        <w:rPr>
          <w:rFonts w:ascii="Arial" w:hAnsi="Arial" w:cs="Arial"/>
        </w:rPr>
        <w:t xml:space="preserve"> a to jak v projektové, tak i ve finanční úspěšnosti. Zajímavá je skutečnost, že přestože má ČR o 75 % nižší projektovou úspěšnost i uznanou finanční podporu v oblasti „</w:t>
      </w:r>
      <w:r w:rsidRPr="00613032">
        <w:rPr>
          <w:rFonts w:ascii="Arial" w:hAnsi="Arial" w:cs="Arial"/>
          <w:i/>
        </w:rPr>
        <w:t>Inovace v MSP“</w:t>
      </w:r>
      <w:r w:rsidRPr="00613032">
        <w:rPr>
          <w:rFonts w:ascii="Arial" w:hAnsi="Arial" w:cs="Arial"/>
        </w:rPr>
        <w:t xml:space="preserve"> (SME), kdy rozdíl v ob</w:t>
      </w:r>
      <w:r w:rsidR="00B96E06">
        <w:rPr>
          <w:rFonts w:ascii="Arial" w:hAnsi="Arial" w:cs="Arial"/>
        </w:rPr>
        <w:t>jemu podpory činí 21,1 tis. Eur</w:t>
      </w:r>
      <w:r w:rsidRPr="00613032">
        <w:rPr>
          <w:rFonts w:ascii="Arial" w:hAnsi="Arial" w:cs="Arial"/>
        </w:rPr>
        <w:t>, tak ČR dosahuje o necelých 7 % vyšší finanční úspěšnosti než AT.</w:t>
      </w:r>
    </w:p>
    <w:p w:rsidR="00B53C4C" w:rsidRDefault="00B53C4C" w:rsidP="00B53C4C">
      <w:pPr>
        <w:spacing w:afterLines="60" w:after="144" w:line="360" w:lineRule="auto"/>
        <w:ind w:left="50" w:firstLine="360"/>
        <w:jc w:val="both"/>
        <w:rPr>
          <w:rFonts w:ascii="Arial" w:hAnsi="Arial" w:cs="Arial"/>
        </w:rPr>
        <w:sectPr w:rsidR="00B53C4C" w:rsidSect="00E540D1">
          <w:footerReference w:type="default" r:id="rId32"/>
          <w:pgSz w:w="11906" w:h="16838"/>
          <w:pgMar w:top="1134" w:right="1134" w:bottom="1134" w:left="1134" w:header="709" w:footer="709" w:gutter="0"/>
          <w:cols w:space="708"/>
          <w:docGrid w:linePitch="360"/>
        </w:sectPr>
      </w:pPr>
    </w:p>
    <w:p w:rsidR="00B53C4C" w:rsidRDefault="00B53C4C" w:rsidP="00B53C4C">
      <w:pPr>
        <w:pStyle w:val="Obrzek-nadpis"/>
        <w:rPr>
          <w:rFonts w:cs="Arial"/>
        </w:rPr>
      </w:pPr>
      <w:r>
        <w:rPr>
          <w:rFonts w:cs="Arial"/>
        </w:rPr>
        <w:lastRenderedPageBreak/>
        <w:t xml:space="preserve">Graf </w:t>
      </w:r>
      <w:r w:rsidR="002750C6">
        <w:rPr>
          <w:rFonts w:cs="Arial"/>
        </w:rPr>
        <w:t xml:space="preserve">3.9 A </w:t>
      </w:r>
      <w:proofErr w:type="spellStart"/>
      <w:r w:rsidR="002750C6">
        <w:rPr>
          <w:rFonts w:cs="Arial"/>
        </w:rPr>
        <w:t>a</w:t>
      </w:r>
      <w:proofErr w:type="spellEnd"/>
      <w:r w:rsidR="002750C6">
        <w:rPr>
          <w:rFonts w:cs="Arial"/>
        </w:rPr>
        <w:t xml:space="preserve"> B</w:t>
      </w:r>
    </w:p>
    <w:p w:rsidR="00B53C4C" w:rsidRDefault="00B53C4C" w:rsidP="00B53C4C">
      <w:pPr>
        <w:spacing w:afterLines="60" w:after="144" w:line="360" w:lineRule="auto"/>
        <w:ind w:left="50" w:firstLine="360"/>
        <w:jc w:val="center"/>
        <w:rPr>
          <w:noProof/>
        </w:rPr>
      </w:pPr>
      <w:r>
        <w:rPr>
          <w:noProof/>
          <w:lang w:eastAsia="cs-CZ"/>
        </w:rPr>
        <w:drawing>
          <wp:inline distT="0" distB="0" distL="0" distR="0" wp14:anchorId="675A6B8F" wp14:editId="12DD3A46">
            <wp:extent cx="8972117" cy="3665551"/>
            <wp:effectExtent l="0" t="0" r="635" b="0"/>
            <wp:docPr id="58" name="Obráze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974153" cy="3666383"/>
                    </a:xfrm>
                    <a:prstGeom prst="rect">
                      <a:avLst/>
                    </a:prstGeom>
                    <a:noFill/>
                  </pic:spPr>
                </pic:pic>
              </a:graphicData>
            </a:graphic>
          </wp:inline>
        </w:drawing>
      </w:r>
    </w:p>
    <w:p w:rsidR="00B53C4C" w:rsidRDefault="00B53C4C" w:rsidP="00B53C4C">
      <w:pPr>
        <w:pStyle w:val="Zdroj"/>
        <w:spacing w:before="240"/>
      </w:pPr>
      <w:r>
        <w:t>Zdroj</w:t>
      </w:r>
      <w:r w:rsidR="0093608E">
        <w:t xml:space="preserve"> dat</w:t>
      </w:r>
      <w:r>
        <w:t>: TC</w:t>
      </w:r>
      <w:r w:rsidR="00A623DC">
        <w:t xml:space="preserve"> AV</w:t>
      </w:r>
      <w:r>
        <w:t>, vlastní zpracování</w:t>
      </w:r>
    </w:p>
    <w:p w:rsidR="00B53C4C" w:rsidRDefault="00B53C4C" w:rsidP="00613032">
      <w:pPr>
        <w:pStyle w:val="komentzaobrzkem"/>
        <w:rPr>
          <w:noProof/>
        </w:rPr>
      </w:pPr>
      <w:r w:rsidRPr="00B00B2A">
        <w:t xml:space="preserve">Poznámka: </w:t>
      </w:r>
      <w:r>
        <w:t xml:space="preserve">Byla </w:t>
      </w:r>
      <w:r w:rsidRPr="0093608E">
        <w:t>provedena</w:t>
      </w:r>
      <w:r>
        <w:t xml:space="preserve"> logaritmická transformace hodnot.</w:t>
      </w:r>
    </w:p>
    <w:p w:rsidR="00B53C4C" w:rsidRDefault="00B53C4C" w:rsidP="00B53C4C">
      <w:pPr>
        <w:spacing w:afterLines="60" w:after="144" w:line="360" w:lineRule="auto"/>
        <w:ind w:left="50" w:firstLine="360"/>
        <w:jc w:val="both"/>
        <w:rPr>
          <w:noProof/>
        </w:rPr>
        <w:sectPr w:rsidR="00B53C4C" w:rsidSect="00E540D1">
          <w:pgSz w:w="16838" w:h="11906" w:orient="landscape"/>
          <w:pgMar w:top="1134" w:right="1134" w:bottom="1134" w:left="1134" w:header="709" w:footer="709" w:gutter="0"/>
          <w:cols w:space="708"/>
          <w:docGrid w:linePitch="360"/>
        </w:sectPr>
      </w:pPr>
    </w:p>
    <w:p w:rsidR="00DA3248" w:rsidRPr="00DA3248" w:rsidRDefault="00DA3248" w:rsidP="00DA3248">
      <w:pPr>
        <w:pStyle w:val="Nadpis2"/>
      </w:pPr>
      <w:bookmarkStart w:id="7" w:name="_Toc427676898"/>
      <w:r>
        <w:lastRenderedPageBreak/>
        <w:t xml:space="preserve">4. </w:t>
      </w:r>
      <w:r w:rsidRPr="00DA3248">
        <w:t>Lidské zdroje ve výzkumu a vývoji</w:t>
      </w:r>
      <w:bookmarkEnd w:id="7"/>
    </w:p>
    <w:p w:rsidR="00DA3248" w:rsidRPr="00060D84" w:rsidRDefault="00DA3248" w:rsidP="00060D84">
      <w:pPr>
        <w:spacing w:after="0" w:line="360" w:lineRule="auto"/>
        <w:ind w:firstLine="709"/>
        <w:jc w:val="both"/>
        <w:rPr>
          <w:rFonts w:ascii="Arial" w:hAnsi="Arial" w:cs="Arial"/>
        </w:rPr>
      </w:pPr>
      <w:r w:rsidRPr="00060D84">
        <w:rPr>
          <w:rFonts w:ascii="Arial" w:hAnsi="Arial" w:cs="Arial"/>
        </w:rPr>
        <w:t xml:space="preserve">Lidské zdroje představují v systému </w:t>
      </w:r>
      <w:r w:rsidR="00404437" w:rsidRPr="00060D84">
        <w:rPr>
          <w:rFonts w:ascii="Arial" w:hAnsi="Arial" w:cs="Arial"/>
        </w:rPr>
        <w:t>VaVaI</w:t>
      </w:r>
      <w:r w:rsidRPr="00060D84">
        <w:rPr>
          <w:rFonts w:ascii="Arial" w:hAnsi="Arial" w:cs="Arial"/>
        </w:rPr>
        <w:t xml:space="preserve"> klíčový parametr základny VaVaI. Lidé, a to nejen samotní výzkumníci, ale také techničtí a odborní pracovníci ve VaVaI a ostatní podpůrný personál, jako např. manažeři, administrativní pracovníci, řemeslníci vytvářejí</w:t>
      </w:r>
      <w:r w:rsidR="00404437" w:rsidRPr="00060D84">
        <w:rPr>
          <w:rFonts w:ascii="Arial" w:hAnsi="Arial" w:cs="Arial"/>
        </w:rPr>
        <w:t>cí</w:t>
      </w:r>
      <w:r w:rsidRPr="00060D84">
        <w:rPr>
          <w:rFonts w:ascii="Arial" w:hAnsi="Arial" w:cs="Arial"/>
        </w:rPr>
        <w:t xml:space="preserve"> kompaktní tým, který může být původcem nových poznatků. Na množství a odborných i osobnostních kvalitách lidských zdrojů závisí intenzita i kvalita provádění VaVaI, a také úspěšnost při transferu nových poznatků z vědeckého prostředí do výrobní praxe, kde mohou být zhodnoceny ve skutečné přínosy. Zejména proto je nezbytné při řízení VaVaI dbát na formování, motivaci a stabilizaci výzkumných a vývojových týmů, podporu spolupráce výzkumných entit s výrobními, a to i</w:t>
      </w:r>
      <w:r w:rsidR="004D7263">
        <w:rPr>
          <w:rFonts w:ascii="Arial" w:hAnsi="Arial" w:cs="Arial"/>
        </w:rPr>
        <w:t> </w:t>
      </w:r>
      <w:r w:rsidRPr="00060D84">
        <w:rPr>
          <w:rFonts w:ascii="Arial" w:hAnsi="Arial" w:cs="Arial"/>
        </w:rPr>
        <w:t>v mezinárodním kontextu.</w:t>
      </w:r>
    </w:p>
    <w:p w:rsidR="00DA3248" w:rsidRPr="00DA3248" w:rsidRDefault="00DA3248" w:rsidP="009F1B1F">
      <w:pPr>
        <w:spacing w:after="0" w:line="360" w:lineRule="auto"/>
        <w:ind w:firstLine="709"/>
        <w:jc w:val="both"/>
        <w:rPr>
          <w:rFonts w:ascii="Arial" w:eastAsia="Times New Roman" w:hAnsi="Arial" w:cs="Arial"/>
          <w:lang w:eastAsia="cs-CZ"/>
        </w:rPr>
      </w:pPr>
      <w:r w:rsidRPr="00DA3248">
        <w:rPr>
          <w:rFonts w:ascii="Arial" w:eastAsia="Times New Roman" w:hAnsi="Arial" w:cs="Arial"/>
          <w:lang w:eastAsia="cs-CZ"/>
        </w:rPr>
        <w:t>Lidské zdroje je vhodné analyzovat ve vazbě na jejich odbornost, způsob práce i motivace (obr</w:t>
      </w:r>
      <w:r w:rsidR="002122C6">
        <w:rPr>
          <w:rFonts w:ascii="Arial" w:eastAsia="Times New Roman" w:hAnsi="Arial" w:cs="Arial"/>
          <w:lang w:eastAsia="cs-CZ"/>
        </w:rPr>
        <w:t>ázek</w:t>
      </w:r>
      <w:r w:rsidRPr="00DA3248">
        <w:rPr>
          <w:rFonts w:ascii="Arial" w:eastAsia="Times New Roman" w:hAnsi="Arial" w:cs="Arial"/>
          <w:lang w:eastAsia="cs-CZ"/>
        </w:rPr>
        <w:t xml:space="preserve"> 4.1). Základem by měla být odbornost pracovníka vymezená vědní oblastí. Způsob a</w:t>
      </w:r>
      <w:r w:rsidR="004D7263">
        <w:rPr>
          <w:rFonts w:ascii="Arial" w:eastAsia="Times New Roman" w:hAnsi="Arial" w:cs="Arial"/>
          <w:lang w:eastAsia="cs-CZ"/>
        </w:rPr>
        <w:t> </w:t>
      </w:r>
      <w:r w:rsidRPr="00DA3248">
        <w:rPr>
          <w:rFonts w:ascii="Arial" w:eastAsia="Times New Roman" w:hAnsi="Arial" w:cs="Arial"/>
          <w:lang w:eastAsia="cs-CZ"/>
        </w:rPr>
        <w:t>podmínky práce do značné míry ovlivňuje účel výzkumné nebo vývojové činnosti. Účel výzkumu a vývoje ve většině případů koresponduje s typem zaměstnavatele. Ekonomický účel většinou sleduje podniková sféra, politický účel odpovídá spíše rezortům a jimi zřízeným výzkumným pracovištím a občansko-kulturnímu účelu slouží především vysoké školy a ústavy Akademie věd. Jelikož se ale uvedené kategorie mohou na úrovni těchto institucí mísit, je vhodnější rozlišovat kategorie, které přímo odpovídají účelu výzkumu a vývoje. Zatímco občansko-kulturní účel je více spojen s rozvojem znalostní základny pro společenské využití, ekonomický účel výzkumu a vývoje se orientuje především na dosažení cílů výrobních nebo poskytování služeb pro zákazníky. V</w:t>
      </w:r>
      <w:r w:rsidR="004D7263">
        <w:rPr>
          <w:rFonts w:ascii="Arial" w:eastAsia="Times New Roman" w:hAnsi="Arial" w:cs="Arial"/>
          <w:lang w:eastAsia="cs-CZ"/>
        </w:rPr>
        <w:t> </w:t>
      </w:r>
      <w:r w:rsidRPr="00DA3248">
        <w:rPr>
          <w:rFonts w:ascii="Arial" w:eastAsia="Times New Roman" w:hAnsi="Arial" w:cs="Arial"/>
          <w:lang w:eastAsia="cs-CZ"/>
        </w:rPr>
        <w:t xml:space="preserve">případě politického účelu je cílem uspokojit především potřeby tzv. evidence </w:t>
      </w:r>
      <w:proofErr w:type="spellStart"/>
      <w:r w:rsidRPr="00DA3248">
        <w:rPr>
          <w:rFonts w:ascii="Arial" w:eastAsia="Times New Roman" w:hAnsi="Arial" w:cs="Arial"/>
          <w:lang w:eastAsia="cs-CZ"/>
        </w:rPr>
        <w:t>based</w:t>
      </w:r>
      <w:proofErr w:type="spellEnd"/>
      <w:r w:rsidRPr="00DA3248">
        <w:rPr>
          <w:rFonts w:ascii="Arial" w:eastAsia="Times New Roman" w:hAnsi="Arial" w:cs="Arial"/>
          <w:lang w:eastAsia="cs-CZ"/>
        </w:rPr>
        <w:t xml:space="preserve"> </w:t>
      </w:r>
      <w:proofErr w:type="spellStart"/>
      <w:r w:rsidRPr="00DA3248">
        <w:rPr>
          <w:rFonts w:ascii="Arial" w:eastAsia="Times New Roman" w:hAnsi="Arial" w:cs="Arial"/>
          <w:lang w:eastAsia="cs-CZ"/>
        </w:rPr>
        <w:t>policy</w:t>
      </w:r>
      <w:proofErr w:type="spellEnd"/>
      <w:r w:rsidRPr="00DA3248">
        <w:rPr>
          <w:rFonts w:ascii="Arial" w:eastAsia="Times New Roman" w:hAnsi="Arial" w:cs="Arial"/>
          <w:lang w:eastAsia="cs-CZ"/>
        </w:rPr>
        <w:t xml:space="preserve">. Díky odlišnému účelu se v jednotlivých oblastech liší také požadavky zaměstnavatelů na kompetence výzkumných pracovníků, což může být spojené s jinou organizací práce a kulturou v dané společnosti či jejích útvarech. </w:t>
      </w:r>
      <w:r w:rsidRPr="009B2333">
        <w:rPr>
          <w:rFonts w:ascii="Arial" w:eastAsia="Times New Roman" w:hAnsi="Arial" w:cs="Arial"/>
          <w:lang w:eastAsia="cs-CZ"/>
        </w:rPr>
        <w:t>Kromě účelu mají vliv na lidské zdroje také formy VaVaI (základní výzkum, aplikovaný výzkum, experimentální vývoj, inovační činnosti), které však mohou být do určité míry provázány s účelem. Forma VaVaI má primární význam z hlediska způsobu financování, v oblasti lidských zdrojů lze sledovat její vliv na motivaci výzkumných pracovníků.</w:t>
      </w:r>
    </w:p>
    <w:p w:rsidR="00DA3248" w:rsidRPr="00DA3248" w:rsidRDefault="00DA3248" w:rsidP="009F1B1F">
      <w:pPr>
        <w:spacing w:after="0" w:line="360" w:lineRule="auto"/>
        <w:ind w:firstLine="709"/>
        <w:jc w:val="both"/>
        <w:rPr>
          <w:rFonts w:ascii="Arial" w:eastAsia="Times New Roman" w:hAnsi="Arial" w:cs="Arial"/>
          <w:lang w:eastAsia="cs-CZ"/>
        </w:rPr>
      </w:pPr>
      <w:r w:rsidRPr="00DA3248">
        <w:rPr>
          <w:rFonts w:ascii="Arial" w:eastAsia="Times New Roman" w:hAnsi="Arial" w:cs="Arial"/>
          <w:lang w:eastAsia="cs-CZ"/>
        </w:rPr>
        <w:t>Klíčový význam lidských zdrojů je patrný i z množství statistických dat, která jsou o nich shromažďována. V ČR věnuje lidským zdrojům velkou pozornost ČSÚ. V každoročně vydávané publikaci „Ukazatele výzkumu a vývoje“, vytvořené především na základě šetření o výzkumu a</w:t>
      </w:r>
      <w:r w:rsidR="004D7263">
        <w:rPr>
          <w:rFonts w:ascii="Arial" w:eastAsia="Times New Roman" w:hAnsi="Arial" w:cs="Arial"/>
          <w:lang w:eastAsia="cs-CZ"/>
        </w:rPr>
        <w:t> </w:t>
      </w:r>
      <w:r w:rsidRPr="00DA3248">
        <w:rPr>
          <w:rFonts w:ascii="Arial" w:eastAsia="Times New Roman" w:hAnsi="Arial" w:cs="Arial"/>
          <w:lang w:eastAsia="cs-CZ"/>
        </w:rPr>
        <w:t>vývoji VTR 5-01, jsou výstupy o lidských zdrojích prezentovány v mnoha tříděních a členěních. K tomu ČSÚ rovněž klade důraz na lidské zdroje ve VaVaI při vyhodnocení výběrového šetření pracovních sil. V této analýze jsou proto uvedeny pouze nejvýznamnější ukazatele, trendy a</w:t>
      </w:r>
      <w:r w:rsidR="004D7263">
        <w:rPr>
          <w:rFonts w:ascii="Arial" w:eastAsia="Times New Roman" w:hAnsi="Arial" w:cs="Arial"/>
          <w:lang w:eastAsia="cs-CZ"/>
        </w:rPr>
        <w:t> </w:t>
      </w:r>
      <w:r w:rsidRPr="00DA3248">
        <w:rPr>
          <w:rFonts w:ascii="Arial" w:eastAsia="Times New Roman" w:hAnsi="Arial" w:cs="Arial"/>
          <w:lang w:eastAsia="cs-CZ"/>
        </w:rPr>
        <w:t>mezinárodní srovnání. Analýza se dále zaměřuje na oblasti, které zatím nejsou dostatečně zmapovány, přestože jsou pro řízení systému VaVaI velmi významné.</w:t>
      </w:r>
    </w:p>
    <w:p w:rsidR="00DA3248" w:rsidRPr="00F20FDE" w:rsidRDefault="00DA3248" w:rsidP="00E540D1">
      <w:pPr>
        <w:pStyle w:val="Obrzek-nadpis"/>
      </w:pPr>
      <w:r w:rsidRPr="00F20FDE">
        <w:lastRenderedPageBreak/>
        <w:t xml:space="preserve">Obr. </w:t>
      </w:r>
      <w:r>
        <w:t>4</w:t>
      </w:r>
      <w:r w:rsidRPr="00F20FDE">
        <w:t>.1: Pohled na lidské zdroje z hlediska jejich odbornosti, vykonávané činnosti a</w:t>
      </w:r>
      <w:r w:rsidR="004D7263">
        <w:t> </w:t>
      </w:r>
      <w:r w:rsidRPr="00F20FDE">
        <w:t>motivace</w:t>
      </w:r>
    </w:p>
    <w:p w:rsidR="00DA3248" w:rsidRDefault="00DA3248" w:rsidP="00946D8B">
      <w:pPr>
        <w:jc w:val="center"/>
      </w:pPr>
      <w:r>
        <w:rPr>
          <w:noProof/>
          <w:lang w:eastAsia="cs-CZ"/>
        </w:rPr>
        <w:drawing>
          <wp:inline distT="0" distB="0" distL="0" distR="0" wp14:anchorId="4C11436E" wp14:editId="4D54AF0C">
            <wp:extent cx="5760720" cy="3818255"/>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_6.1.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760720" cy="3818255"/>
                    </a:xfrm>
                    <a:prstGeom prst="rect">
                      <a:avLst/>
                    </a:prstGeom>
                  </pic:spPr>
                </pic:pic>
              </a:graphicData>
            </a:graphic>
          </wp:inline>
        </w:drawing>
      </w:r>
    </w:p>
    <w:p w:rsidR="00DA3248" w:rsidRDefault="00DA3248" w:rsidP="00E540D1">
      <w:pPr>
        <w:pStyle w:val="komentzaobrzkem"/>
        <w:spacing w:after="240"/>
      </w:pPr>
      <w:r w:rsidRPr="009B2333">
        <w:t xml:space="preserve">Pozn.: Pro členění vědních oblastí/oborů lze využít klasifikaci OECD </w:t>
      </w:r>
      <w:proofErr w:type="spellStart"/>
      <w:r w:rsidRPr="009B2333">
        <w:t>Fields</w:t>
      </w:r>
      <w:proofErr w:type="spellEnd"/>
      <w:r w:rsidRPr="009B2333">
        <w:t xml:space="preserve"> </w:t>
      </w:r>
      <w:proofErr w:type="spellStart"/>
      <w:r w:rsidRPr="009B2333">
        <w:t>of</w:t>
      </w:r>
      <w:proofErr w:type="spellEnd"/>
      <w:r w:rsidRPr="009B2333">
        <w:t xml:space="preserve"> Science (FRASCATI manuál), v případě ekonomického účelu je vhodná odvětvová klasifikace NACE.</w:t>
      </w:r>
    </w:p>
    <w:p w:rsidR="00DA3248" w:rsidRPr="00272ED4" w:rsidRDefault="00DA3248" w:rsidP="009F1B1F">
      <w:pPr>
        <w:spacing w:after="0" w:line="360" w:lineRule="auto"/>
        <w:ind w:firstLine="709"/>
        <w:jc w:val="both"/>
        <w:rPr>
          <w:rFonts w:ascii="Arial" w:eastAsia="Times New Roman" w:hAnsi="Arial" w:cs="Arial"/>
          <w:lang w:eastAsia="cs-CZ"/>
        </w:rPr>
      </w:pPr>
      <w:r w:rsidRPr="00272ED4">
        <w:rPr>
          <w:rFonts w:ascii="Arial" w:eastAsia="Times New Roman" w:hAnsi="Arial" w:cs="Arial"/>
          <w:lang w:eastAsia="cs-CZ"/>
        </w:rPr>
        <w:t>Pokud jde o celkové počty zaměstnanců ve výzkumu a vývoji, celkový počet fyzických osob (HC) evidovaný k 31. 12. 2013 činil 92 714. Ve srovnání s předchozím rokem se jedná o nárůst o</w:t>
      </w:r>
      <w:r w:rsidR="004D7263">
        <w:rPr>
          <w:rFonts w:ascii="Arial" w:eastAsia="Times New Roman" w:hAnsi="Arial" w:cs="Arial"/>
          <w:lang w:eastAsia="cs-CZ"/>
        </w:rPr>
        <w:t> </w:t>
      </w:r>
      <w:r w:rsidRPr="00272ED4">
        <w:rPr>
          <w:rFonts w:ascii="Arial" w:eastAsia="Times New Roman" w:hAnsi="Arial" w:cs="Arial"/>
          <w:lang w:eastAsia="cs-CZ"/>
        </w:rPr>
        <w:t>5,9 %. Při přepočtu na plný pracovní úvazek (ukazatel FTE) byl nárůst nižší, a sice 2,4 % na hodnotu 61 976 v roce 2013. Většinu zaměstnanců tvoří výzkumníci (přibližně 55 %), následují techničtí pracovníci (cca 30 %) a ostatní pracovníci (15 %). Toto rozložení pracovních sil nevykazuje výraznější změny ani při přepočtu na FTE a je rovněž meziročně stabilní.</w:t>
      </w:r>
    </w:p>
    <w:p w:rsidR="00DA3248" w:rsidRPr="00272ED4" w:rsidRDefault="00DA3248" w:rsidP="009F1B1F">
      <w:pPr>
        <w:spacing w:after="0" w:line="360" w:lineRule="auto"/>
        <w:ind w:firstLine="709"/>
        <w:jc w:val="both"/>
        <w:rPr>
          <w:rFonts w:ascii="Arial" w:eastAsia="Times New Roman" w:hAnsi="Arial" w:cs="Arial"/>
          <w:lang w:eastAsia="cs-CZ"/>
        </w:rPr>
      </w:pPr>
      <w:r w:rsidRPr="00272ED4">
        <w:rPr>
          <w:rFonts w:ascii="Arial" w:eastAsia="Times New Roman" w:hAnsi="Arial" w:cs="Arial"/>
          <w:lang w:eastAsia="cs-CZ"/>
        </w:rPr>
        <w:t>Zastoupení zaměstnanců výzkumu a vývoje v jednotlivých sektorech je zobrazeno v obr</w:t>
      </w:r>
      <w:r w:rsidR="002122C6">
        <w:rPr>
          <w:rFonts w:ascii="Arial" w:eastAsia="Times New Roman" w:hAnsi="Arial" w:cs="Arial"/>
          <w:lang w:eastAsia="cs-CZ"/>
        </w:rPr>
        <w:t>ázku</w:t>
      </w:r>
      <w:r w:rsidRPr="00272ED4">
        <w:rPr>
          <w:rFonts w:ascii="Arial" w:eastAsia="Times New Roman" w:hAnsi="Arial" w:cs="Arial"/>
          <w:lang w:eastAsia="cs-CZ"/>
        </w:rPr>
        <w:t xml:space="preserve"> 4.2. Nejvýznamnějším sektorem z hlediska celkového počtu zaměstnanců ve výzkumu a</w:t>
      </w:r>
      <w:r w:rsidR="004D7263">
        <w:rPr>
          <w:rFonts w:ascii="Arial" w:eastAsia="Times New Roman" w:hAnsi="Arial" w:cs="Arial"/>
          <w:lang w:eastAsia="cs-CZ"/>
        </w:rPr>
        <w:t> </w:t>
      </w:r>
      <w:r w:rsidRPr="00272ED4">
        <w:rPr>
          <w:rFonts w:ascii="Arial" w:eastAsia="Times New Roman" w:hAnsi="Arial" w:cs="Arial"/>
          <w:lang w:eastAsia="cs-CZ"/>
        </w:rPr>
        <w:t>vývoji je podnikatelský sektor (45 tis. zaměstnanců v roce 2013), jehož podíl na celkové zaměstnanosti každoročně roste a postupně se přibližuje hranici 50 %. Ve vysokoškolském sektoru pracuje přibližně 35 % Zaměstnanců výzkumu a vývoje a jejich počet rovněž meziročně roste (32 tis. v roce 2013). Počet zaměstnanců ve vládním sektoru je méně než poloviční ve</w:t>
      </w:r>
      <w:r w:rsidR="004D7263">
        <w:rPr>
          <w:rFonts w:ascii="Arial" w:eastAsia="Times New Roman" w:hAnsi="Arial" w:cs="Arial"/>
          <w:lang w:eastAsia="cs-CZ"/>
        </w:rPr>
        <w:t> </w:t>
      </w:r>
      <w:r w:rsidRPr="00272ED4">
        <w:rPr>
          <w:rFonts w:ascii="Arial" w:eastAsia="Times New Roman" w:hAnsi="Arial" w:cs="Arial"/>
          <w:lang w:eastAsia="cs-CZ"/>
        </w:rPr>
        <w:t>srovnání s vysokoškolským sektorem (15 tis. v roce 2013) a meziročně stagnuje. Při přepočtu na plný pracovní úvazek je dominance podnikatelského sektoru ještě výraznější (55 % oproti 26 % vysokoškolského sektoru a 19 %</w:t>
      </w:r>
      <w:r w:rsidR="00150AD1">
        <w:rPr>
          <w:rFonts w:ascii="Arial" w:eastAsia="Times New Roman" w:hAnsi="Arial" w:cs="Arial"/>
          <w:lang w:eastAsia="cs-CZ"/>
        </w:rPr>
        <w:t xml:space="preserve"> </w:t>
      </w:r>
      <w:r w:rsidRPr="00272ED4">
        <w:rPr>
          <w:rFonts w:ascii="Arial" w:eastAsia="Times New Roman" w:hAnsi="Arial" w:cs="Arial"/>
          <w:lang w:eastAsia="cs-CZ"/>
        </w:rPr>
        <w:t>vládního). To je způsobeno velkým rozdílem mezi počtem evidovaných pracovníků (HC) a počtem plných pracovních úvazků (FTE). Zatímco u</w:t>
      </w:r>
      <w:r w:rsidR="004D7263">
        <w:rPr>
          <w:rFonts w:ascii="Arial" w:eastAsia="Times New Roman" w:hAnsi="Arial" w:cs="Arial"/>
          <w:lang w:eastAsia="cs-CZ"/>
        </w:rPr>
        <w:t> </w:t>
      </w:r>
      <w:r w:rsidRPr="00272ED4">
        <w:rPr>
          <w:rFonts w:ascii="Arial" w:eastAsia="Times New Roman" w:hAnsi="Arial" w:cs="Arial"/>
          <w:lang w:eastAsia="cs-CZ"/>
        </w:rPr>
        <w:t xml:space="preserve">podnikatelského a vládního sektoru činí rozdíl po přepočtu zhruba 20 – 25 %, u sektoru vysokoškolského je to celá polovina (32 tis zaměstnanců, 16 tis. FTE). Uvedený rozdíl je ovlivněn </w:t>
      </w:r>
      <w:r w:rsidRPr="00272ED4">
        <w:rPr>
          <w:rFonts w:ascii="Arial" w:eastAsia="Times New Roman" w:hAnsi="Arial" w:cs="Arial"/>
          <w:lang w:eastAsia="cs-CZ"/>
        </w:rPr>
        <w:lastRenderedPageBreak/>
        <w:t>metodikou přepočtu</w:t>
      </w:r>
      <w:r w:rsidRPr="00613032">
        <w:rPr>
          <w:rFonts w:ascii="Arial" w:eastAsia="Times New Roman" w:hAnsi="Arial" w:cs="Arial"/>
          <w:vertAlign w:val="superscript"/>
          <w:lang w:eastAsia="cs-CZ"/>
        </w:rPr>
        <w:footnoteReference w:id="12"/>
      </w:r>
      <w:r w:rsidRPr="00272ED4">
        <w:rPr>
          <w:rFonts w:ascii="Arial" w:eastAsia="Times New Roman" w:hAnsi="Arial" w:cs="Arial"/>
          <w:lang w:eastAsia="cs-CZ"/>
        </w:rPr>
        <w:t>, může však indikovat vyšší výskyt částečných pracovních úvazků ve</w:t>
      </w:r>
      <w:r w:rsidR="004D7263">
        <w:rPr>
          <w:rFonts w:ascii="Arial" w:eastAsia="Times New Roman" w:hAnsi="Arial" w:cs="Arial"/>
          <w:lang w:eastAsia="cs-CZ"/>
        </w:rPr>
        <w:t> </w:t>
      </w:r>
      <w:r w:rsidRPr="00272ED4">
        <w:rPr>
          <w:rFonts w:ascii="Arial" w:eastAsia="Times New Roman" w:hAnsi="Arial" w:cs="Arial"/>
          <w:lang w:eastAsia="cs-CZ"/>
        </w:rPr>
        <w:t>vysokoškolském sektoru.</w:t>
      </w:r>
    </w:p>
    <w:p w:rsidR="00DA3248" w:rsidRPr="00CA3F24" w:rsidRDefault="00DA3248" w:rsidP="00E540D1">
      <w:pPr>
        <w:pStyle w:val="Obrzek-nadpis"/>
      </w:pPr>
      <w:r w:rsidRPr="00CA3F24">
        <w:t>Obr. 4.</w:t>
      </w:r>
      <w:r>
        <w:t>2:</w:t>
      </w:r>
      <w:r w:rsidRPr="00CA3F24">
        <w:t xml:space="preserve"> Počet zaměstnanců ve výzkumu a vývoji v ČR podle sektorů v letech 2008 – 2013</w:t>
      </w:r>
    </w:p>
    <w:p w:rsidR="00DA3248" w:rsidRDefault="00DA3248" w:rsidP="00DA3248">
      <w:pPr>
        <w:jc w:val="center"/>
      </w:pPr>
      <w:r>
        <w:rPr>
          <w:noProof/>
          <w:lang w:eastAsia="cs-CZ"/>
        </w:rPr>
        <w:drawing>
          <wp:inline distT="0" distB="0" distL="0" distR="0" wp14:anchorId="44CC4244" wp14:editId="6B16FB8C">
            <wp:extent cx="5365115" cy="2755900"/>
            <wp:effectExtent l="0" t="0" r="6985" b="635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65115" cy="2755900"/>
                    </a:xfrm>
                    <a:prstGeom prst="rect">
                      <a:avLst/>
                    </a:prstGeom>
                    <a:noFill/>
                  </pic:spPr>
                </pic:pic>
              </a:graphicData>
            </a:graphic>
          </wp:inline>
        </w:drawing>
      </w:r>
    </w:p>
    <w:p w:rsidR="00DA3248" w:rsidRPr="00CA3F24" w:rsidRDefault="00DA3248" w:rsidP="00F224E6">
      <w:pPr>
        <w:pStyle w:val="Zdroj"/>
      </w:pPr>
      <w:r w:rsidRPr="00CA3F24">
        <w:t xml:space="preserve">Zdroj </w:t>
      </w:r>
      <w:r w:rsidRPr="00F224E6">
        <w:t>dat</w:t>
      </w:r>
      <w:r w:rsidRPr="00CA3F24">
        <w:t>: ČSÚ</w:t>
      </w:r>
    </w:p>
    <w:p w:rsidR="00DA3248" w:rsidRDefault="00DA3248" w:rsidP="00E540D1">
      <w:pPr>
        <w:pStyle w:val="komentzaobrzkem"/>
        <w:spacing w:after="240"/>
      </w:pPr>
      <w:r w:rsidRPr="00CA3F24">
        <w:t xml:space="preserve">Je uveden evidenční </w:t>
      </w:r>
      <w:r w:rsidRPr="00E540D1">
        <w:t>počet</w:t>
      </w:r>
      <w:r w:rsidRPr="00CA3F24">
        <w:t xml:space="preserve"> zaměstnanců (HC) i přepočet na plný pracovní úvazek (FTE)</w:t>
      </w:r>
      <w:r>
        <w:t>.</w:t>
      </w:r>
    </w:p>
    <w:p w:rsidR="00DA3248" w:rsidRDefault="00DA3248" w:rsidP="009F1B1F">
      <w:pPr>
        <w:spacing w:after="0" w:line="360" w:lineRule="auto"/>
        <w:ind w:firstLine="709"/>
        <w:jc w:val="both"/>
        <w:rPr>
          <w:rFonts w:ascii="Arial" w:eastAsia="Times New Roman" w:hAnsi="Arial" w:cs="Arial"/>
          <w:lang w:eastAsia="cs-CZ"/>
        </w:rPr>
      </w:pPr>
      <w:r w:rsidRPr="00272ED4">
        <w:rPr>
          <w:rFonts w:ascii="Arial" w:eastAsia="Times New Roman" w:hAnsi="Arial" w:cs="Arial"/>
          <w:lang w:eastAsia="cs-CZ"/>
        </w:rPr>
        <w:t>Mezinárodní srovnání počtu zaměstnanců ve výzkumu a vývoji s ohledem na sektor, ve</w:t>
      </w:r>
      <w:r w:rsidR="004D7263">
        <w:rPr>
          <w:rFonts w:ascii="Arial" w:eastAsia="Times New Roman" w:hAnsi="Arial" w:cs="Arial"/>
          <w:lang w:eastAsia="cs-CZ"/>
        </w:rPr>
        <w:t> </w:t>
      </w:r>
      <w:r w:rsidRPr="00272ED4">
        <w:rPr>
          <w:rFonts w:ascii="Arial" w:eastAsia="Times New Roman" w:hAnsi="Arial" w:cs="Arial"/>
          <w:lang w:eastAsia="cs-CZ"/>
        </w:rPr>
        <w:t>kterém zaměstnanci působí, uvádí obr</w:t>
      </w:r>
      <w:r w:rsidR="002122C6">
        <w:rPr>
          <w:rFonts w:ascii="Arial" w:eastAsia="Times New Roman" w:hAnsi="Arial" w:cs="Arial"/>
          <w:lang w:eastAsia="cs-CZ"/>
        </w:rPr>
        <w:t>ázek</w:t>
      </w:r>
      <w:r w:rsidRPr="00272ED4">
        <w:rPr>
          <w:rFonts w:ascii="Arial" w:eastAsia="Times New Roman" w:hAnsi="Arial" w:cs="Arial"/>
          <w:lang w:eastAsia="cs-CZ"/>
        </w:rPr>
        <w:t xml:space="preserve"> 4.3 (uvedeny jsou údaje přepočtené na plný pracovní úvazek v relativním vyjádření na 1 000 obyvatel). Podobná situace jako v ČR, tj. mírná převaha zaměstnanců v podnikatelském sektoru nad veřejným sektorem po přepočtu na plný pracovní úvazek, je např. v Belgii nebo ve Francii. Mírnou převahu zaměstnanců v podnikatelském sektoru nad veřejným vykazují rovněž Maďarsko či Itálie, ve výzkumu a vývoji tam však pracuje výrazně méně zaměstnanců, než je tomu v ČR. V zemích, jako je Německo, Rakousko, Holandsko nebo Švédsko, je převaha zaměstnanců v podnikatelském sektoru ještě výraznější. Tyto země jsou v počtu zaměstnanců ve veřejném sektoru srovnatelné s ČR, avšak v počtech zaměstnanců v</w:t>
      </w:r>
      <w:r w:rsidR="004D7263">
        <w:rPr>
          <w:rFonts w:ascii="Arial" w:eastAsia="Times New Roman" w:hAnsi="Arial" w:cs="Arial"/>
          <w:lang w:eastAsia="cs-CZ"/>
        </w:rPr>
        <w:t> </w:t>
      </w:r>
      <w:r w:rsidRPr="00272ED4">
        <w:rPr>
          <w:rFonts w:ascii="Arial" w:eastAsia="Times New Roman" w:hAnsi="Arial" w:cs="Arial"/>
          <w:lang w:eastAsia="cs-CZ"/>
        </w:rPr>
        <w:t>podnikatelském sektoru ČR výrazně překonávají. Výrazně nižší zastoupení zaměstnanců v podnikatelském sektoru při srovnatelných počtech zaměstnanců ve veřejném sektoru vykazují např. Španělsko, Portugalsko, nebo Slovensko.</w:t>
      </w:r>
    </w:p>
    <w:p w:rsidR="004D7263" w:rsidRPr="00272ED4" w:rsidRDefault="004D7263" w:rsidP="004D7263">
      <w:pPr>
        <w:spacing w:after="0" w:line="360" w:lineRule="auto"/>
        <w:ind w:firstLine="709"/>
        <w:jc w:val="both"/>
        <w:rPr>
          <w:rFonts w:ascii="Arial" w:eastAsia="Times New Roman" w:hAnsi="Arial" w:cs="Arial"/>
          <w:lang w:eastAsia="cs-CZ"/>
        </w:rPr>
      </w:pPr>
      <w:r w:rsidRPr="00272ED4">
        <w:rPr>
          <w:rFonts w:ascii="Arial" w:eastAsia="Times New Roman" w:hAnsi="Arial" w:cs="Arial"/>
          <w:lang w:eastAsia="cs-CZ"/>
        </w:rPr>
        <w:t>Počty výzkumných pracovníků v jednotlivých sektorech, odvětvových oblastech a</w:t>
      </w:r>
      <w:r w:rsidR="00D417C3">
        <w:rPr>
          <w:rFonts w:ascii="Arial" w:eastAsia="Times New Roman" w:hAnsi="Arial" w:cs="Arial"/>
          <w:lang w:eastAsia="cs-CZ"/>
        </w:rPr>
        <w:t> </w:t>
      </w:r>
      <w:r w:rsidRPr="00272ED4">
        <w:rPr>
          <w:rFonts w:ascii="Arial" w:eastAsia="Times New Roman" w:hAnsi="Arial" w:cs="Arial"/>
          <w:lang w:eastAsia="cs-CZ"/>
        </w:rPr>
        <w:t>skupinách vědních oborů jsou uvedeny v obr</w:t>
      </w:r>
      <w:r>
        <w:rPr>
          <w:rFonts w:ascii="Arial" w:eastAsia="Times New Roman" w:hAnsi="Arial" w:cs="Arial"/>
          <w:lang w:eastAsia="cs-CZ"/>
        </w:rPr>
        <w:t>ázku</w:t>
      </w:r>
      <w:r w:rsidRPr="00272ED4">
        <w:rPr>
          <w:rFonts w:ascii="Arial" w:eastAsia="Times New Roman" w:hAnsi="Arial" w:cs="Arial"/>
          <w:lang w:eastAsia="cs-CZ"/>
        </w:rPr>
        <w:t xml:space="preserve"> 4.4. Zároveň jsou z obr</w:t>
      </w:r>
      <w:r>
        <w:rPr>
          <w:rFonts w:ascii="Arial" w:eastAsia="Times New Roman" w:hAnsi="Arial" w:cs="Arial"/>
          <w:lang w:eastAsia="cs-CZ"/>
        </w:rPr>
        <w:t>ázku</w:t>
      </w:r>
      <w:r w:rsidRPr="00272ED4">
        <w:rPr>
          <w:rFonts w:ascii="Arial" w:eastAsia="Times New Roman" w:hAnsi="Arial" w:cs="Arial"/>
          <w:lang w:eastAsia="cs-CZ"/>
        </w:rPr>
        <w:t xml:space="preserve"> 4.4 patrné trendy vývoje počtů v posledních letech. Nejvýznamnějším sektorem z hlediska počtu výzkumných pracovníků je sektor vysokoškolský, následovaný sektorem podnikatelským. Počet výzkumných pracovníků ve vládním sektoru je méně než poloviční, podobně jako v případě všech zaměstnanců ve výzkumu a vývoji. Počet výzkumných pracovníků ve vysokoškolském i podnikatelském sektoru </w:t>
      </w:r>
      <w:r w:rsidRPr="00272ED4">
        <w:rPr>
          <w:rFonts w:ascii="Arial" w:eastAsia="Times New Roman" w:hAnsi="Arial" w:cs="Arial"/>
          <w:lang w:eastAsia="cs-CZ"/>
        </w:rPr>
        <w:lastRenderedPageBreak/>
        <w:t>dlouhodobě roste (obr</w:t>
      </w:r>
      <w:r>
        <w:rPr>
          <w:rFonts w:ascii="Arial" w:eastAsia="Times New Roman" w:hAnsi="Arial" w:cs="Arial"/>
          <w:lang w:eastAsia="cs-CZ"/>
        </w:rPr>
        <w:t>ázek</w:t>
      </w:r>
      <w:r w:rsidRPr="00272ED4">
        <w:rPr>
          <w:rFonts w:ascii="Arial" w:eastAsia="Times New Roman" w:hAnsi="Arial" w:cs="Arial"/>
          <w:lang w:eastAsia="cs-CZ"/>
        </w:rPr>
        <w:t xml:space="preserve"> 4.5). Ve vysokoškolském sektoru došlo ke zvýšení na 23 tis. v roce 2013 z 19 tis. v roce 2008. Podnikatelský sektor se díky výraznému růstu v posledních třech letech dostal téměř na úroveň vysokoškolského sektoru (nárůst z 15 tis. v roce 2010 na 20 tis. </w:t>
      </w:r>
      <w:r>
        <w:rPr>
          <w:rFonts w:ascii="Arial" w:eastAsia="Times New Roman" w:hAnsi="Arial" w:cs="Arial"/>
          <w:lang w:eastAsia="cs-CZ"/>
        </w:rPr>
        <w:t>v</w:t>
      </w:r>
      <w:r w:rsidRPr="00272ED4">
        <w:rPr>
          <w:rFonts w:ascii="Arial" w:eastAsia="Times New Roman" w:hAnsi="Arial" w:cs="Arial"/>
          <w:lang w:eastAsia="cs-CZ"/>
        </w:rPr>
        <w:t xml:space="preserve"> roce 2013). Počet výzkumníků ve vládním sektoru stagnuje na hodnotách kolem 8,5 tis. </w:t>
      </w:r>
    </w:p>
    <w:p w:rsidR="004D7263" w:rsidRPr="006F783B" w:rsidRDefault="004D7263" w:rsidP="004D7263">
      <w:pPr>
        <w:pStyle w:val="Obrzek-nadpis"/>
      </w:pPr>
      <w:r w:rsidRPr="006F783B">
        <w:t>Obr. 4.</w:t>
      </w:r>
      <w:r>
        <w:t>3</w:t>
      </w:r>
      <w:r w:rsidRPr="006F783B">
        <w:t>: Mezinárodní srovnání počtu zaměstnanců ve výzkumu a vývoji v závislosti na</w:t>
      </w:r>
      <w:r>
        <w:t> </w:t>
      </w:r>
      <w:r w:rsidRPr="006F783B">
        <w:t>sektoru (v přepočtu na FTE na 1 000 obyvatel)</w:t>
      </w:r>
    </w:p>
    <w:p w:rsidR="004D7263" w:rsidRDefault="004D7263" w:rsidP="004D7263">
      <w:pPr>
        <w:pStyle w:val="Zdroj"/>
        <w:jc w:val="center"/>
      </w:pPr>
      <w:r w:rsidRPr="004D7263">
        <w:rPr>
          <w:noProof/>
        </w:rPr>
        <w:drawing>
          <wp:inline distT="0" distB="0" distL="0" distR="0">
            <wp:extent cx="4356000" cy="4708800"/>
            <wp:effectExtent l="0" t="0" r="6985" b="0"/>
            <wp:docPr id="321" name="Obrázek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56000" cy="4708800"/>
                    </a:xfrm>
                    <a:prstGeom prst="rect">
                      <a:avLst/>
                    </a:prstGeom>
                    <a:noFill/>
                    <a:ln>
                      <a:noFill/>
                    </a:ln>
                  </pic:spPr>
                </pic:pic>
              </a:graphicData>
            </a:graphic>
          </wp:inline>
        </w:drawing>
      </w:r>
    </w:p>
    <w:p w:rsidR="004D7263" w:rsidRPr="006F783B" w:rsidRDefault="004D7263" w:rsidP="004D7263">
      <w:pPr>
        <w:pStyle w:val="Zdroj"/>
      </w:pPr>
      <w:r w:rsidRPr="006F783B">
        <w:t xml:space="preserve">Zdroj dat: </w:t>
      </w:r>
      <w:proofErr w:type="spellStart"/>
      <w:r w:rsidRPr="006F783B">
        <w:t>Eurostat</w:t>
      </w:r>
      <w:proofErr w:type="spellEnd"/>
      <w:r w:rsidRPr="006F783B">
        <w:t>, OECD (</w:t>
      </w:r>
      <w:proofErr w:type="spellStart"/>
      <w:r w:rsidRPr="006F783B">
        <w:t>Main</w:t>
      </w:r>
      <w:proofErr w:type="spellEnd"/>
      <w:r w:rsidRPr="006F783B">
        <w:t xml:space="preserve"> Science and Technology </w:t>
      </w:r>
      <w:proofErr w:type="spellStart"/>
      <w:r w:rsidRPr="006F783B">
        <w:t>Indicators</w:t>
      </w:r>
      <w:proofErr w:type="spellEnd"/>
      <w:r>
        <w:t>); Pro RUS, JAP a KOR byly využity údaje o populaci za rok 2012.</w:t>
      </w:r>
    </w:p>
    <w:p w:rsidR="004D7263" w:rsidRPr="006F783B" w:rsidRDefault="004D7263" w:rsidP="004D7263">
      <w:pPr>
        <w:pStyle w:val="komentzaobrzkem"/>
      </w:pPr>
      <w:r w:rsidRPr="006F783B">
        <w:t>Horizontální osa: počet zaměstnanců ve výzkumu a vývoji ve veřejném (vysokoškolském a vládním) sektoru (FTE na 1 000 obyv.).</w:t>
      </w:r>
    </w:p>
    <w:p w:rsidR="004D7263" w:rsidRPr="006F783B" w:rsidRDefault="004D7263" w:rsidP="004D7263">
      <w:pPr>
        <w:pStyle w:val="komentzaobrzkem"/>
      </w:pPr>
      <w:r w:rsidRPr="006F783B">
        <w:t>Vertikální osa: počet zaměstnanců ve výzkumu a vývoji v podnikatelském sektoru (FTE na 1 000 obyv.).</w:t>
      </w:r>
    </w:p>
    <w:p w:rsidR="004D7263" w:rsidRPr="006F783B" w:rsidRDefault="004D7263" w:rsidP="004D7263">
      <w:pPr>
        <w:pStyle w:val="komentzaobrzkem"/>
      </w:pPr>
      <w:r w:rsidRPr="006F783B">
        <w:t xml:space="preserve">Průsečík os značí teoretickou pozici </w:t>
      </w:r>
      <w:r>
        <w:t>EU 28</w:t>
      </w:r>
    </w:p>
    <w:p w:rsidR="004D7263" w:rsidRPr="004D7263" w:rsidRDefault="004D7263" w:rsidP="004D7263">
      <w:pPr>
        <w:pStyle w:val="komentzaobrzkem"/>
        <w:spacing w:after="240"/>
      </w:pPr>
      <w:r w:rsidRPr="006F783B">
        <w:t>Černá diagonální přímka vyjadřuje vyrovnaný poměr počtu zaměstnanců ve veřejném a vládním sektoru.</w:t>
      </w:r>
    </w:p>
    <w:p w:rsidR="00DA3248" w:rsidRPr="00272ED4" w:rsidRDefault="00DA3248" w:rsidP="009F1B1F">
      <w:pPr>
        <w:spacing w:after="0" w:line="360" w:lineRule="auto"/>
        <w:ind w:firstLine="709"/>
        <w:jc w:val="both"/>
        <w:rPr>
          <w:rFonts w:ascii="Arial" w:eastAsia="Times New Roman" w:hAnsi="Arial" w:cs="Arial"/>
          <w:lang w:eastAsia="cs-CZ"/>
        </w:rPr>
      </w:pPr>
      <w:r w:rsidRPr="00272ED4">
        <w:rPr>
          <w:rFonts w:ascii="Arial" w:eastAsia="Times New Roman" w:hAnsi="Arial" w:cs="Arial"/>
          <w:lang w:eastAsia="cs-CZ"/>
        </w:rPr>
        <w:t>Ve vysokoškolském sektoru roste počet výzkumných pracovníků ve všech typech subjektů (veřejných VŠ, fakultních nemocnicích i soukromých VŠ), avšak při přepočtu na FTE je trend počtu výzkumných pracovníků veřejných vysokých škol v posledním roce klesající, což způsobuje mírný pokles jejich počtu v celém vysokoškolském sektoru. V podnikatelském sektoru roste počet výzkumných pracovníků ve velkých a středních podnicích, v malých podnicích však dochází v posledním roce k poklesu.</w:t>
      </w:r>
    </w:p>
    <w:p w:rsidR="00DA3248" w:rsidRDefault="00DA3248" w:rsidP="00F224E6">
      <w:pPr>
        <w:pStyle w:val="komentzaobrzkem"/>
      </w:pPr>
    </w:p>
    <w:p w:rsidR="00DA3248" w:rsidRDefault="00DA3248" w:rsidP="00DA3248">
      <w:pPr>
        <w:jc w:val="both"/>
        <w:sectPr w:rsidR="00DA3248" w:rsidSect="00E540D1">
          <w:footerReference w:type="default" r:id="rId37"/>
          <w:pgSz w:w="11906" w:h="16838"/>
          <w:pgMar w:top="1134" w:right="1134" w:bottom="1134" w:left="1134" w:header="708" w:footer="708" w:gutter="0"/>
          <w:cols w:space="708"/>
          <w:docGrid w:linePitch="360"/>
        </w:sectPr>
      </w:pPr>
    </w:p>
    <w:p w:rsidR="00DA3248" w:rsidRDefault="00DA3248" w:rsidP="00F224E6">
      <w:pPr>
        <w:pStyle w:val="Obrzek-nadpis"/>
      </w:pPr>
      <w:r>
        <w:lastRenderedPageBreak/>
        <w:t xml:space="preserve">Obr. 4.4: </w:t>
      </w:r>
      <w:r w:rsidRPr="00B36389">
        <w:t xml:space="preserve">Počty </w:t>
      </w:r>
      <w:r>
        <w:t>výzkumných pracovníků ve výzkumu a vývoji v ČR v roce 2013 a trend jejich vývoje</w:t>
      </w:r>
    </w:p>
    <w:p w:rsidR="00DA3248" w:rsidRDefault="00DA3248" w:rsidP="00DA3248">
      <w:pPr>
        <w:jc w:val="center"/>
        <w:rPr>
          <w:i/>
          <w:sz w:val="20"/>
          <w:szCs w:val="20"/>
        </w:rPr>
      </w:pPr>
      <w:r>
        <w:rPr>
          <w:i/>
          <w:noProof/>
          <w:sz w:val="20"/>
          <w:szCs w:val="20"/>
          <w:lang w:eastAsia="cs-CZ"/>
        </w:rPr>
        <w:drawing>
          <wp:inline distT="0" distB="0" distL="0" distR="0" wp14:anchorId="1FF8520F" wp14:editId="1470DCC6">
            <wp:extent cx="8201025" cy="4380635"/>
            <wp:effectExtent l="0" t="0" r="0" b="127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_4.4.png"/>
                    <pic:cNvPicPr/>
                  </pic:nvPicPr>
                  <pic:blipFill>
                    <a:blip r:embed="rId38">
                      <a:extLst>
                        <a:ext uri="{28A0092B-C50C-407E-A947-70E740481C1C}">
                          <a14:useLocalDpi xmlns:a14="http://schemas.microsoft.com/office/drawing/2010/main" val="0"/>
                        </a:ext>
                      </a:extLst>
                    </a:blip>
                    <a:stretch>
                      <a:fillRect/>
                    </a:stretch>
                  </pic:blipFill>
                  <pic:spPr>
                    <a:xfrm>
                      <a:off x="0" y="0"/>
                      <a:ext cx="8207327" cy="4384001"/>
                    </a:xfrm>
                    <a:prstGeom prst="rect">
                      <a:avLst/>
                    </a:prstGeom>
                  </pic:spPr>
                </pic:pic>
              </a:graphicData>
            </a:graphic>
          </wp:inline>
        </w:drawing>
      </w:r>
    </w:p>
    <w:p w:rsidR="00DA3248" w:rsidRDefault="00DA3248" w:rsidP="00F224E6">
      <w:pPr>
        <w:pStyle w:val="Zdroj"/>
      </w:pPr>
      <w:r w:rsidRPr="00B36389">
        <w:t xml:space="preserve">Zdroj dat: </w:t>
      </w:r>
      <w:r w:rsidR="00946D8B">
        <w:t>ČSÚ</w:t>
      </w:r>
    </w:p>
    <w:p w:rsidR="00DA3248" w:rsidRPr="00A12441" w:rsidRDefault="00DA3248" w:rsidP="00F224E6">
      <w:pPr>
        <w:pStyle w:val="komentzaobrzkem"/>
      </w:pPr>
      <w:r>
        <w:t>V </w:t>
      </w:r>
      <w:r w:rsidRPr="00A12441">
        <w:t>závor</w:t>
      </w:r>
      <w:r>
        <w:t>kách jsou uvedeny evidenční počty</w:t>
      </w:r>
      <w:r w:rsidR="001354D7">
        <w:t xml:space="preserve"> zaměstnanců k 31. 12. 2013</w:t>
      </w:r>
    </w:p>
    <w:p w:rsidR="00DA3248" w:rsidRPr="00A12441" w:rsidRDefault="00DA3248" w:rsidP="00F224E6">
      <w:pPr>
        <w:pStyle w:val="komentzaobrzkem"/>
      </w:pPr>
      <w:r w:rsidRPr="00A12441">
        <w:t xml:space="preserve">Šipky </w:t>
      </w:r>
      <w:r>
        <w:t>vyja</w:t>
      </w:r>
      <w:r w:rsidRPr="00A12441">
        <w:t xml:space="preserve">dřují </w:t>
      </w:r>
      <w:r>
        <w:t>meziroční změny HC,</w:t>
      </w:r>
      <w:r w:rsidRPr="00A12441">
        <w:t xml:space="preserve"> </w:t>
      </w:r>
      <w:r>
        <w:t>p</w:t>
      </w:r>
      <w:r w:rsidRPr="00A12441">
        <w:t>rvní šipka mezi lety 201</w:t>
      </w:r>
      <w:r>
        <w:t>0</w:t>
      </w:r>
      <w:r w:rsidRPr="00A12441">
        <w:t xml:space="preserve"> – 2011, druhá 2011 – 2012, třetí 2012 – 2013</w:t>
      </w:r>
      <w:r>
        <w:t>; ↑nárůst o 5 % a více, − změny do 5 %, ↓ pokles o 5 % a více). V</w:t>
      </w:r>
      <w:r w:rsidR="00D417C3">
        <w:t> </w:t>
      </w:r>
      <w:r>
        <w:t>případě odlišnosti je uveden rovněž trend FTE.</w:t>
      </w:r>
    </w:p>
    <w:p w:rsidR="00DA3248" w:rsidRDefault="00DA3248" w:rsidP="00F224E6">
      <w:pPr>
        <w:pStyle w:val="komentzaobrzkem"/>
      </w:pPr>
      <w:proofErr w:type="spellStart"/>
      <w:r w:rsidRPr="00A12441">
        <w:t>Pozn</w:t>
      </w:r>
      <w:proofErr w:type="spellEnd"/>
      <w:r w:rsidRPr="00A12441">
        <w:t xml:space="preserve">: členění institucí ve vládním sektoru </w:t>
      </w:r>
      <w:r>
        <w:t>odpovídá datům ČSÚ. Resortní VVI se týkají MD</w:t>
      </w:r>
      <w:r w:rsidRPr="00A12441">
        <w:t xml:space="preserve">, MŠMT, MPSV, </w:t>
      </w:r>
      <w:r>
        <w:t>MZV</w:t>
      </w:r>
      <w:r w:rsidRPr="00A12441">
        <w:t xml:space="preserve">, </w:t>
      </w:r>
      <w:proofErr w:type="spellStart"/>
      <w:r>
        <w:t>MZe</w:t>
      </w:r>
      <w:proofErr w:type="spellEnd"/>
      <w:r w:rsidRPr="00A12441">
        <w:t xml:space="preserve">, </w:t>
      </w:r>
      <w:r>
        <w:t xml:space="preserve">MŽP, mezi Ostatní pracoviště patří </w:t>
      </w:r>
      <w:r w:rsidRPr="00A12441">
        <w:t>Státem zřízená VVI (Státní úřad pro jadernou bezpečnost a Český úřad zeměměřický a katastrální)</w:t>
      </w:r>
      <w:r>
        <w:t xml:space="preserve"> a </w:t>
      </w:r>
      <w:r w:rsidRPr="00A12441">
        <w:t>VVI zřízená samosprávou (Statutární město Liberec, Obec Mšené-lázně, Jihomoravský kraj, Ústecký kraj)</w:t>
      </w:r>
    </w:p>
    <w:p w:rsidR="00DA3248" w:rsidRDefault="00DA3248" w:rsidP="00F224E6">
      <w:pPr>
        <w:pStyle w:val="komentzaobrzkem"/>
        <w:sectPr w:rsidR="00DA3248" w:rsidSect="00E540D1">
          <w:pgSz w:w="16838" w:h="11906" w:orient="landscape"/>
          <w:pgMar w:top="1134" w:right="1134" w:bottom="1134" w:left="1134" w:header="708" w:footer="708" w:gutter="0"/>
          <w:cols w:space="708"/>
          <w:docGrid w:linePitch="360"/>
        </w:sectPr>
      </w:pPr>
    </w:p>
    <w:p w:rsidR="00DA3248" w:rsidRPr="00272ED4" w:rsidRDefault="00DA3248" w:rsidP="009F1B1F">
      <w:pPr>
        <w:spacing w:after="0" w:line="360" w:lineRule="auto"/>
        <w:ind w:firstLine="709"/>
        <w:jc w:val="both"/>
        <w:rPr>
          <w:rFonts w:ascii="Arial" w:eastAsia="Times New Roman" w:hAnsi="Arial" w:cs="Arial"/>
          <w:lang w:eastAsia="cs-CZ"/>
        </w:rPr>
      </w:pPr>
      <w:r w:rsidRPr="00272ED4">
        <w:rPr>
          <w:rFonts w:ascii="Arial" w:eastAsia="Times New Roman" w:hAnsi="Arial" w:cs="Arial"/>
          <w:lang w:eastAsia="cs-CZ"/>
        </w:rPr>
        <w:lastRenderedPageBreak/>
        <w:t>Z pohledu odvětvového/oborového</w:t>
      </w:r>
      <w:r w:rsidRPr="00613032">
        <w:rPr>
          <w:rFonts w:ascii="Arial" w:eastAsia="Times New Roman" w:hAnsi="Arial" w:cs="Arial"/>
          <w:vertAlign w:val="superscript"/>
          <w:lang w:eastAsia="cs-CZ"/>
        </w:rPr>
        <w:footnoteReference w:id="13"/>
      </w:r>
      <w:r w:rsidRPr="00272ED4">
        <w:rPr>
          <w:rFonts w:ascii="Arial" w:eastAsia="Times New Roman" w:hAnsi="Arial" w:cs="Arial"/>
          <w:lang w:eastAsia="cs-CZ"/>
        </w:rPr>
        <w:t xml:space="preserve"> zaměření jsou patrné velké diference mezi vysokoškolským a vládním sektorem (obr</w:t>
      </w:r>
      <w:r w:rsidR="002122C6">
        <w:rPr>
          <w:rFonts w:ascii="Arial" w:eastAsia="Times New Roman" w:hAnsi="Arial" w:cs="Arial"/>
          <w:lang w:eastAsia="cs-CZ"/>
        </w:rPr>
        <w:t>ázek</w:t>
      </w:r>
      <w:r w:rsidRPr="00272ED4">
        <w:rPr>
          <w:rFonts w:ascii="Arial" w:eastAsia="Times New Roman" w:hAnsi="Arial" w:cs="Arial"/>
          <w:lang w:eastAsia="cs-CZ"/>
        </w:rPr>
        <w:t xml:space="preserve"> 4.4). Zatímco ve vysokoškolském sektoru působí nejvíce výzkumných pracovníků v technických vědách a dále v lékařských vědách (zřejmě díky fakultním nemocnicím), ve vládním sektoru jednoznačně převládají přírodní vědy, druhé nejvýznamnější jsou se značným odstupem humanitní obory (pravděpodobně z důvodu zařazení knihoven, archivů a muzeí). Rozdílné je rovněž postavení společenských věd. Ve vysokoškolském sektoru je jejich význam dle počtu výzkumných pracovníků srovnatelný s lékařskými či přírodními vědami a počet zaměstnanců roste, zatímco ve vládním sektoru </w:t>
      </w:r>
      <w:r w:rsidR="0086227B">
        <w:rPr>
          <w:rFonts w:ascii="Arial" w:eastAsia="Times New Roman" w:hAnsi="Arial" w:cs="Arial"/>
          <w:lang w:eastAsia="cs-CZ"/>
        </w:rPr>
        <w:t xml:space="preserve">počet </w:t>
      </w:r>
      <w:r w:rsidRPr="00272ED4">
        <w:rPr>
          <w:rFonts w:ascii="Arial" w:eastAsia="Times New Roman" w:hAnsi="Arial" w:cs="Arial"/>
          <w:lang w:eastAsia="cs-CZ"/>
        </w:rPr>
        <w:t>zaměstnanc</w:t>
      </w:r>
      <w:r w:rsidR="0086227B">
        <w:rPr>
          <w:rFonts w:ascii="Arial" w:eastAsia="Times New Roman" w:hAnsi="Arial" w:cs="Arial"/>
          <w:lang w:eastAsia="cs-CZ"/>
        </w:rPr>
        <w:t>ů</w:t>
      </w:r>
      <w:r w:rsidRPr="00272ED4">
        <w:rPr>
          <w:rFonts w:ascii="Arial" w:eastAsia="Times New Roman" w:hAnsi="Arial" w:cs="Arial"/>
          <w:lang w:eastAsia="cs-CZ"/>
        </w:rPr>
        <w:t xml:space="preserve"> ve</w:t>
      </w:r>
      <w:r w:rsidR="00D417C3">
        <w:rPr>
          <w:rFonts w:ascii="Arial" w:eastAsia="Times New Roman" w:hAnsi="Arial" w:cs="Arial"/>
          <w:lang w:eastAsia="cs-CZ"/>
        </w:rPr>
        <w:t> </w:t>
      </w:r>
      <w:r w:rsidRPr="00272ED4">
        <w:rPr>
          <w:rFonts w:ascii="Arial" w:eastAsia="Times New Roman" w:hAnsi="Arial" w:cs="Arial"/>
          <w:lang w:eastAsia="cs-CZ"/>
        </w:rPr>
        <w:t xml:space="preserve">společenských vědách </w:t>
      </w:r>
      <w:r w:rsidR="0086227B">
        <w:rPr>
          <w:rFonts w:ascii="Arial" w:eastAsia="Times New Roman" w:hAnsi="Arial" w:cs="Arial"/>
          <w:lang w:eastAsia="cs-CZ"/>
        </w:rPr>
        <w:t xml:space="preserve">tvoří </w:t>
      </w:r>
      <w:r w:rsidRPr="00272ED4">
        <w:rPr>
          <w:rFonts w:ascii="Arial" w:eastAsia="Times New Roman" w:hAnsi="Arial" w:cs="Arial"/>
          <w:lang w:eastAsia="cs-CZ"/>
        </w:rPr>
        <w:t xml:space="preserve">pouhých 10 % </w:t>
      </w:r>
      <w:r w:rsidR="0086227B">
        <w:rPr>
          <w:rFonts w:ascii="Arial" w:eastAsia="Times New Roman" w:hAnsi="Arial" w:cs="Arial"/>
          <w:lang w:eastAsia="cs-CZ"/>
        </w:rPr>
        <w:t xml:space="preserve">počtu </w:t>
      </w:r>
      <w:r w:rsidRPr="00272ED4">
        <w:rPr>
          <w:rFonts w:ascii="Arial" w:eastAsia="Times New Roman" w:hAnsi="Arial" w:cs="Arial"/>
          <w:lang w:eastAsia="cs-CZ"/>
        </w:rPr>
        <w:t>zaměstnanců v přírodních vědách</w:t>
      </w:r>
      <w:r w:rsidR="0086227B">
        <w:rPr>
          <w:rFonts w:ascii="Arial" w:eastAsia="Times New Roman" w:hAnsi="Arial" w:cs="Arial"/>
          <w:lang w:eastAsia="cs-CZ"/>
        </w:rPr>
        <w:t>, navíc s klesajícím trendem</w:t>
      </w:r>
      <w:r w:rsidRPr="00272ED4">
        <w:rPr>
          <w:rFonts w:ascii="Arial" w:eastAsia="Times New Roman" w:hAnsi="Arial" w:cs="Arial"/>
          <w:lang w:eastAsia="cs-CZ"/>
        </w:rPr>
        <w:t>. Rozdílné postavení společenských věd je ještě markantnější ve srovnání s humanitními obory. Ve vládním sektoru mají sociální obory méně než poloviční počet zaměstnanců vůči humanitním, v sektoru vysokoškolském naopak sociální obory téměř trojnásobně převyšují humanitní. Pokles počtu zaměstnanců v technických vědách je společný pro oba veřejné sektory.</w:t>
      </w:r>
    </w:p>
    <w:p w:rsidR="00DA3248" w:rsidRPr="00272ED4" w:rsidRDefault="00DA3248" w:rsidP="009F1B1F">
      <w:pPr>
        <w:spacing w:after="0" w:line="360" w:lineRule="auto"/>
        <w:ind w:firstLine="709"/>
        <w:jc w:val="both"/>
        <w:rPr>
          <w:rFonts w:ascii="Arial" w:eastAsia="Times New Roman" w:hAnsi="Arial" w:cs="Arial"/>
          <w:lang w:eastAsia="cs-CZ"/>
        </w:rPr>
      </w:pPr>
      <w:r w:rsidRPr="00272ED4">
        <w:rPr>
          <w:rFonts w:ascii="Arial" w:eastAsia="Times New Roman" w:hAnsi="Arial" w:cs="Arial"/>
          <w:lang w:eastAsia="cs-CZ"/>
        </w:rPr>
        <w:t>Z důvodu odlišné evidence dat (odvětvové členění v podnikatelském sektoru, oborové ve</w:t>
      </w:r>
      <w:r w:rsidR="00D417C3">
        <w:rPr>
          <w:rFonts w:ascii="Arial" w:eastAsia="Times New Roman" w:hAnsi="Arial" w:cs="Arial"/>
          <w:lang w:eastAsia="cs-CZ"/>
        </w:rPr>
        <w:t> </w:t>
      </w:r>
      <w:r w:rsidRPr="00272ED4">
        <w:rPr>
          <w:rFonts w:ascii="Arial" w:eastAsia="Times New Roman" w:hAnsi="Arial" w:cs="Arial"/>
          <w:lang w:eastAsia="cs-CZ"/>
        </w:rPr>
        <w:t>vysokoškolském a vládním) je komplikované popisovat vazby mezi veřejnými sektory a</w:t>
      </w:r>
      <w:r w:rsidR="00D417C3">
        <w:rPr>
          <w:rFonts w:ascii="Arial" w:eastAsia="Times New Roman" w:hAnsi="Arial" w:cs="Arial"/>
          <w:lang w:eastAsia="cs-CZ"/>
        </w:rPr>
        <w:t> </w:t>
      </w:r>
      <w:r w:rsidRPr="00272ED4">
        <w:rPr>
          <w:rFonts w:ascii="Arial" w:eastAsia="Times New Roman" w:hAnsi="Arial" w:cs="Arial"/>
          <w:lang w:eastAsia="cs-CZ"/>
        </w:rPr>
        <w:t>podnikatelským sektorem. Navíc chybí jakékoliv údaje o fluktuaci výzkumných a vývojových pracovníků. Nelze tudíž přesně dokumentovat, ze kterých vědních oborů přecházejí do kterých odvětví. Přesto lze za určitou disproporci považovat pokles počtů zaměstnanců v technických vědách ve vládním a především ve vysokoškolském sektoru vůči nárůstu ve zpracovatelském průmyslu (nejvýznamnějšími odvětvími jsou výroba motorových vozidel a strojírenství) a rovněž v informačních a komunikačních technologiích. Může to svědčit o přechodu technicky zaměřených zaměstnanců výzkumu a vývoje z veřejné sféry do podnikatelské.</w:t>
      </w:r>
    </w:p>
    <w:p w:rsidR="00DA3248" w:rsidRPr="00272ED4" w:rsidRDefault="00DA3248" w:rsidP="009F1B1F">
      <w:pPr>
        <w:spacing w:after="0" w:line="360" w:lineRule="auto"/>
        <w:ind w:firstLine="709"/>
        <w:jc w:val="both"/>
        <w:rPr>
          <w:rFonts w:ascii="Arial" w:eastAsia="Times New Roman" w:hAnsi="Arial" w:cs="Arial"/>
          <w:lang w:eastAsia="cs-CZ"/>
        </w:rPr>
      </w:pPr>
      <w:r w:rsidRPr="00272ED4">
        <w:rPr>
          <w:rFonts w:ascii="Arial" w:eastAsia="Times New Roman" w:hAnsi="Arial" w:cs="Arial"/>
          <w:lang w:eastAsia="cs-CZ"/>
        </w:rPr>
        <w:t>Pokud jde o nejvyšší dosažené vzdělání výzkumníků, jsou z obr</w:t>
      </w:r>
      <w:r w:rsidR="002122C6">
        <w:rPr>
          <w:rFonts w:ascii="Arial" w:eastAsia="Times New Roman" w:hAnsi="Arial" w:cs="Arial"/>
          <w:lang w:eastAsia="cs-CZ"/>
        </w:rPr>
        <w:t>ázku</w:t>
      </w:r>
      <w:r w:rsidRPr="00272ED4">
        <w:rPr>
          <w:rFonts w:ascii="Arial" w:eastAsia="Times New Roman" w:hAnsi="Arial" w:cs="Arial"/>
          <w:lang w:eastAsia="cs-CZ"/>
        </w:rPr>
        <w:t> 4.5 patrné zásadní rozdíly mezi sektory. Ve vysokoškolském sektoru jednoznačně dominují výzkumníci s doktorským vzděláním (65 % v roce 2013), jejich podíl navíc narůstá v posledních letech (v roce 2008 tvořil jejich podíl 61 %). Naproti tomu v podnikatelském sektoru tvoří výzkumníci s doktorským vzděláním přibližně 10 % a jejich podíl výrazněji neroste, navíc v tomto sektoru pracuje více výzkumníků se středoškolským vzděláním (17 % v roce 2013). Ve vládním sektoru tvoří výzkumníci s doktorským vzděláním přibližně 53 %.</w:t>
      </w:r>
    </w:p>
    <w:p w:rsidR="00DA3248" w:rsidRPr="00272ED4" w:rsidRDefault="00DA3248" w:rsidP="009F1B1F">
      <w:pPr>
        <w:spacing w:after="0" w:line="360" w:lineRule="auto"/>
        <w:ind w:firstLine="709"/>
        <w:jc w:val="both"/>
        <w:rPr>
          <w:rFonts w:ascii="Arial" w:eastAsia="Times New Roman" w:hAnsi="Arial" w:cs="Arial"/>
          <w:lang w:eastAsia="cs-CZ"/>
        </w:rPr>
      </w:pPr>
      <w:r w:rsidRPr="00272ED4">
        <w:rPr>
          <w:rFonts w:ascii="Arial" w:eastAsia="Times New Roman" w:hAnsi="Arial" w:cs="Arial"/>
          <w:lang w:eastAsia="cs-CZ"/>
        </w:rPr>
        <w:t xml:space="preserve">Z uvedených trendů lze usuzovat na možnosti uplatnění nových absolventů doktorských studií. Většina výzkumníků setrvává ve vysokoškolském sektoru, který jim poskytl odbornou kvalifikaci, případně přecházejí do vládního sektoru (nejspíše zejména na pracoviště Akademie věd), kde však na základě trendu nelze v budoucnu očekávat zvýšenou možnost uplatnění. Důvodem může být motivace mladých výzkumníků (například touha vykonávat základní výzkum), nebo jsou k tomu nuceni okolnostmi, neboť nemají pro uplatnění v podnikatelském sektoru </w:t>
      </w:r>
      <w:r w:rsidRPr="00272ED4">
        <w:rPr>
          <w:rFonts w:ascii="Arial" w:eastAsia="Times New Roman" w:hAnsi="Arial" w:cs="Arial"/>
          <w:lang w:eastAsia="cs-CZ"/>
        </w:rPr>
        <w:lastRenderedPageBreak/>
        <w:t>požadovanou odbornost. Nejsou však k dispozici údaje o potřebách podnikatelského sektoru v podobě volných pracovních pozic výzkumných pracovníků a požadavků na jejich kvalifikaci, které by výše uvedenou domněnku potvrzovaly. Rovněž chybí podrobnější údaje o věkové struktuře výzkumníků, které by umožnily lépe definovat potenciál k přijímání nových výzkumných pracovníků. V této souvislosti skýtají významnou perspektivu nově vybudované infrastruktury ve</w:t>
      </w:r>
      <w:r w:rsidR="00D417C3">
        <w:rPr>
          <w:rFonts w:ascii="Arial" w:eastAsia="Times New Roman" w:hAnsi="Arial" w:cs="Arial"/>
          <w:lang w:eastAsia="cs-CZ"/>
        </w:rPr>
        <w:t> </w:t>
      </w:r>
      <w:r w:rsidRPr="00272ED4">
        <w:rPr>
          <w:rFonts w:ascii="Arial" w:eastAsia="Times New Roman" w:hAnsi="Arial" w:cs="Arial"/>
          <w:lang w:eastAsia="cs-CZ"/>
        </w:rPr>
        <w:t>VaVaI (viz kapitolu 5 – Infrastruktury VaVaI).</w:t>
      </w:r>
    </w:p>
    <w:p w:rsidR="00DA3248" w:rsidRPr="00011993" w:rsidRDefault="00DA3248" w:rsidP="00F224E6">
      <w:pPr>
        <w:pStyle w:val="Obrzek-nadpis"/>
      </w:pPr>
      <w:r w:rsidRPr="00011993">
        <w:t>Obr. 4.5: Počty výzkumných pracovníků v ČR v jednotlivých sektorech ve vztahu k dosaženému vzdělání</w:t>
      </w:r>
    </w:p>
    <w:p w:rsidR="00F224E6" w:rsidRDefault="00DA3248" w:rsidP="00DA3248">
      <w:pPr>
        <w:jc w:val="both"/>
        <w:rPr>
          <w:i/>
          <w:sz w:val="20"/>
          <w:szCs w:val="20"/>
        </w:rPr>
      </w:pPr>
      <w:r>
        <w:rPr>
          <w:i/>
          <w:noProof/>
          <w:sz w:val="20"/>
          <w:szCs w:val="20"/>
          <w:lang w:eastAsia="cs-CZ"/>
        </w:rPr>
        <w:drawing>
          <wp:inline distT="0" distB="0" distL="0" distR="0" wp14:anchorId="48D24ACE" wp14:editId="468CA77D">
            <wp:extent cx="5760720" cy="2812415"/>
            <wp:effectExtent l="0" t="0" r="0" b="6985"/>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_4.5.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760720" cy="2812415"/>
                    </a:xfrm>
                    <a:prstGeom prst="rect">
                      <a:avLst/>
                    </a:prstGeom>
                  </pic:spPr>
                </pic:pic>
              </a:graphicData>
            </a:graphic>
          </wp:inline>
        </w:drawing>
      </w:r>
    </w:p>
    <w:p w:rsidR="00DA3248" w:rsidRDefault="00946D8B" w:rsidP="00F224E6">
      <w:pPr>
        <w:pStyle w:val="Zdroj"/>
      </w:pPr>
      <w:r>
        <w:t>Zdroj dat: ČSÚ</w:t>
      </w:r>
    </w:p>
    <w:p w:rsidR="00DA3248" w:rsidRDefault="00DA3248" w:rsidP="00F224E6">
      <w:pPr>
        <w:pStyle w:val="komentzaobrzkem"/>
        <w:spacing w:after="240"/>
      </w:pPr>
      <w:r>
        <w:t>Uváděny jsou evidenční počty výzkumných pracovníků (HC).</w:t>
      </w:r>
    </w:p>
    <w:p w:rsidR="00DA3248" w:rsidRPr="00845AD8" w:rsidRDefault="00DA3248" w:rsidP="009F1B1F">
      <w:pPr>
        <w:spacing w:after="0" w:line="360" w:lineRule="auto"/>
        <w:ind w:firstLine="709"/>
        <w:jc w:val="both"/>
        <w:rPr>
          <w:rFonts w:ascii="Arial" w:eastAsia="Times New Roman" w:hAnsi="Arial" w:cs="Arial"/>
          <w:lang w:eastAsia="cs-CZ"/>
        </w:rPr>
      </w:pPr>
      <w:r w:rsidRPr="00845AD8">
        <w:rPr>
          <w:rFonts w:ascii="Arial" w:eastAsia="Times New Roman" w:hAnsi="Arial" w:cs="Arial"/>
          <w:lang w:eastAsia="cs-CZ"/>
        </w:rPr>
        <w:t>Ve vztahu mezi vzděláváním za účelem provádění výzkumu a vývoje a skutečným uplatněním kvalifikace na pozici výzkumného pracovníka mohou existovat rozdíly mezi oborovými skupinami</w:t>
      </w:r>
      <w:r w:rsidR="00174CF2">
        <w:rPr>
          <w:rFonts w:ascii="Arial" w:eastAsia="Times New Roman" w:hAnsi="Arial" w:cs="Arial"/>
          <w:lang w:eastAsia="cs-CZ"/>
        </w:rPr>
        <w:t>.</w:t>
      </w:r>
      <w:r w:rsidRPr="00845AD8">
        <w:rPr>
          <w:rFonts w:ascii="Arial" w:eastAsia="Times New Roman" w:hAnsi="Arial" w:cs="Arial"/>
          <w:lang w:eastAsia="cs-CZ"/>
        </w:rPr>
        <w:t xml:space="preserve"> </w:t>
      </w:r>
      <w:r w:rsidR="00F335CF" w:rsidRPr="00845AD8">
        <w:rPr>
          <w:rFonts w:ascii="Arial" w:eastAsia="Times New Roman" w:hAnsi="Arial" w:cs="Arial"/>
          <w:lang w:eastAsia="cs-CZ"/>
        </w:rPr>
        <w:t>P</w:t>
      </w:r>
      <w:r w:rsidRPr="00845AD8">
        <w:rPr>
          <w:rFonts w:ascii="Arial" w:eastAsia="Times New Roman" w:hAnsi="Arial" w:cs="Arial"/>
          <w:lang w:eastAsia="cs-CZ"/>
        </w:rPr>
        <w:t xml:space="preserve">orovnání počtu studentů doktorských programů ve skupinách vědních oborů s počty výzkumníků v některých skupinách oborů </w:t>
      </w:r>
      <w:r w:rsidR="00F335CF" w:rsidRPr="00845AD8">
        <w:rPr>
          <w:rFonts w:ascii="Arial" w:eastAsia="Times New Roman" w:hAnsi="Arial" w:cs="Arial"/>
          <w:lang w:eastAsia="cs-CZ"/>
        </w:rPr>
        <w:t xml:space="preserve">vykazuje </w:t>
      </w:r>
      <w:r w:rsidRPr="00845AD8">
        <w:rPr>
          <w:rFonts w:ascii="Arial" w:eastAsia="Times New Roman" w:hAnsi="Arial" w:cs="Arial"/>
          <w:lang w:eastAsia="cs-CZ"/>
        </w:rPr>
        <w:t xml:space="preserve">výraznou </w:t>
      </w:r>
      <w:proofErr w:type="spellStart"/>
      <w:r w:rsidRPr="00845AD8">
        <w:rPr>
          <w:rFonts w:ascii="Arial" w:eastAsia="Times New Roman" w:hAnsi="Arial" w:cs="Arial"/>
          <w:lang w:eastAsia="cs-CZ"/>
        </w:rPr>
        <w:t>disbalanci</w:t>
      </w:r>
      <w:proofErr w:type="spellEnd"/>
      <w:r w:rsidRPr="00845AD8">
        <w:rPr>
          <w:rFonts w:ascii="Arial" w:eastAsia="Times New Roman" w:hAnsi="Arial" w:cs="Arial"/>
          <w:lang w:eastAsia="cs-CZ"/>
        </w:rPr>
        <w:t xml:space="preserve"> (obr</w:t>
      </w:r>
      <w:r w:rsidR="002122C6">
        <w:rPr>
          <w:rFonts w:ascii="Arial" w:eastAsia="Times New Roman" w:hAnsi="Arial" w:cs="Arial"/>
          <w:lang w:eastAsia="cs-CZ"/>
        </w:rPr>
        <w:t>ázek</w:t>
      </w:r>
      <w:r w:rsidRPr="00845AD8">
        <w:rPr>
          <w:rFonts w:ascii="Arial" w:eastAsia="Times New Roman" w:hAnsi="Arial" w:cs="Arial"/>
          <w:lang w:eastAsia="cs-CZ"/>
        </w:rPr>
        <w:t xml:space="preserve"> 4.6). V technických a přírodních vědách je výrazně vyšší poměr mezi počty současných výzkumníků a</w:t>
      </w:r>
      <w:r w:rsidR="00D417C3">
        <w:rPr>
          <w:rFonts w:ascii="Arial" w:eastAsia="Times New Roman" w:hAnsi="Arial" w:cs="Arial"/>
          <w:lang w:eastAsia="cs-CZ"/>
        </w:rPr>
        <w:t> </w:t>
      </w:r>
      <w:r w:rsidRPr="00845AD8">
        <w:rPr>
          <w:rFonts w:ascii="Arial" w:eastAsia="Times New Roman" w:hAnsi="Arial" w:cs="Arial"/>
          <w:lang w:eastAsia="cs-CZ"/>
        </w:rPr>
        <w:t>počty studentů (zhruba trojnásobný). Vzniká zde tudíž dostatečný prostor pro budoucí uplatnění absolventů. Menší potenciál z tohoto pohledu představují lékařské a zemědělské vědy. V sociálních a zejména v humanitních oborech je situace zcela opačná než v technických a</w:t>
      </w:r>
      <w:r w:rsidR="00D417C3">
        <w:rPr>
          <w:rFonts w:ascii="Arial" w:eastAsia="Times New Roman" w:hAnsi="Arial" w:cs="Arial"/>
          <w:lang w:eastAsia="cs-CZ"/>
        </w:rPr>
        <w:t> </w:t>
      </w:r>
      <w:r w:rsidRPr="00845AD8">
        <w:rPr>
          <w:rFonts w:ascii="Arial" w:eastAsia="Times New Roman" w:hAnsi="Arial" w:cs="Arial"/>
          <w:lang w:eastAsia="cs-CZ"/>
        </w:rPr>
        <w:t xml:space="preserve">přírodních vědách. Aktuální počet studentů doktorského studia dosahuje počtu zaměstnanců, v případě humanitních věd jej dokonce přesahuje. Potenciál pro uplatnění absolventů </w:t>
      </w:r>
      <w:r w:rsidR="0067007E" w:rsidRPr="00845AD8">
        <w:rPr>
          <w:rFonts w:ascii="Arial" w:eastAsia="Times New Roman" w:hAnsi="Arial" w:cs="Arial"/>
          <w:lang w:eastAsia="cs-CZ"/>
        </w:rPr>
        <w:t xml:space="preserve">pouze </w:t>
      </w:r>
      <w:r w:rsidRPr="00845AD8">
        <w:rPr>
          <w:rFonts w:ascii="Arial" w:eastAsia="Times New Roman" w:hAnsi="Arial" w:cs="Arial"/>
          <w:lang w:eastAsia="cs-CZ"/>
        </w:rPr>
        <w:t>ve</w:t>
      </w:r>
      <w:r w:rsidR="00D417C3">
        <w:rPr>
          <w:rFonts w:ascii="Arial" w:eastAsia="Times New Roman" w:hAnsi="Arial" w:cs="Arial"/>
          <w:lang w:eastAsia="cs-CZ"/>
        </w:rPr>
        <w:t> </w:t>
      </w:r>
      <w:r w:rsidRPr="00845AD8">
        <w:rPr>
          <w:rFonts w:ascii="Arial" w:eastAsia="Times New Roman" w:hAnsi="Arial" w:cs="Arial"/>
          <w:lang w:eastAsia="cs-CZ"/>
        </w:rPr>
        <w:t>výzkumu a vývoji je zde proto minimální.</w:t>
      </w:r>
    </w:p>
    <w:p w:rsidR="00DA3248" w:rsidRPr="00272ED4" w:rsidRDefault="00DA3248" w:rsidP="009F1B1F">
      <w:pPr>
        <w:spacing w:after="0" w:line="360" w:lineRule="auto"/>
        <w:ind w:firstLine="709"/>
        <w:jc w:val="both"/>
        <w:rPr>
          <w:rFonts w:ascii="Arial" w:eastAsia="Times New Roman" w:hAnsi="Arial" w:cs="Arial"/>
          <w:lang w:eastAsia="cs-CZ"/>
        </w:rPr>
      </w:pPr>
      <w:r w:rsidRPr="00845AD8">
        <w:rPr>
          <w:rFonts w:ascii="Arial" w:eastAsia="Times New Roman" w:hAnsi="Arial" w:cs="Arial"/>
          <w:lang w:eastAsia="cs-CZ"/>
        </w:rPr>
        <w:t>Obr</w:t>
      </w:r>
      <w:r w:rsidR="002122C6">
        <w:rPr>
          <w:rFonts w:ascii="Arial" w:eastAsia="Times New Roman" w:hAnsi="Arial" w:cs="Arial"/>
          <w:lang w:eastAsia="cs-CZ"/>
        </w:rPr>
        <w:t>ázek</w:t>
      </w:r>
      <w:r w:rsidRPr="00845AD8">
        <w:rPr>
          <w:rFonts w:ascii="Arial" w:eastAsia="Times New Roman" w:hAnsi="Arial" w:cs="Arial"/>
          <w:lang w:eastAsia="cs-CZ"/>
        </w:rPr>
        <w:t xml:space="preserve"> 4.6 obsahuje také časový trend počtu studentů</w:t>
      </w:r>
      <w:r w:rsidRPr="00272ED4">
        <w:rPr>
          <w:rFonts w:ascii="Arial" w:eastAsia="Times New Roman" w:hAnsi="Arial" w:cs="Arial"/>
          <w:lang w:eastAsia="cs-CZ"/>
        </w:rPr>
        <w:t xml:space="preserve"> v jednotlivých skupinách vědních oborů. Zatímco ve všech ostatních vědních oborech počty studentů mírně rostou, v technických vědách je patrný pokles. Může to souviset s nízkým zastoupením výzkumníků s doktorským vzděláním v podnikatelském sektoru (obr</w:t>
      </w:r>
      <w:r w:rsidR="002122C6">
        <w:rPr>
          <w:rFonts w:ascii="Arial" w:eastAsia="Times New Roman" w:hAnsi="Arial" w:cs="Arial"/>
          <w:lang w:eastAsia="cs-CZ"/>
        </w:rPr>
        <w:t>ázek</w:t>
      </w:r>
      <w:r w:rsidRPr="00272ED4">
        <w:rPr>
          <w:rFonts w:ascii="Arial" w:eastAsia="Times New Roman" w:hAnsi="Arial" w:cs="Arial"/>
          <w:lang w:eastAsia="cs-CZ"/>
        </w:rPr>
        <w:t xml:space="preserve"> 4.5). Rozdíly jsou také v poměru prezenčních </w:t>
      </w:r>
      <w:r w:rsidRPr="00272ED4">
        <w:rPr>
          <w:rFonts w:ascii="Arial" w:eastAsia="Times New Roman" w:hAnsi="Arial" w:cs="Arial"/>
          <w:lang w:eastAsia="cs-CZ"/>
        </w:rPr>
        <w:lastRenderedPageBreak/>
        <w:t xml:space="preserve">studentů vůči distančním (kombinované studium). Převahu prezenční formy studia vykazují přírodní, technické a zemědělské vědy. Při studiu těchto oborů je pravděpodobně nutné využívat investičně náročné přístrojové vybavení, což distanční forma umožňuje pouze v omezené míře. </w:t>
      </w:r>
      <w:r w:rsidRPr="00845AD8">
        <w:rPr>
          <w:rFonts w:ascii="Arial" w:eastAsia="Times New Roman" w:hAnsi="Arial" w:cs="Arial"/>
          <w:lang w:eastAsia="cs-CZ"/>
        </w:rPr>
        <w:t>Naopak ve společenských</w:t>
      </w:r>
      <w:r w:rsidR="00A75D97" w:rsidRPr="00845AD8">
        <w:rPr>
          <w:rFonts w:ascii="Arial" w:eastAsia="Times New Roman" w:hAnsi="Arial" w:cs="Arial"/>
          <w:lang w:eastAsia="cs-CZ"/>
        </w:rPr>
        <w:t xml:space="preserve"> oborech</w:t>
      </w:r>
      <w:r w:rsidRPr="00845AD8">
        <w:rPr>
          <w:rFonts w:ascii="Arial" w:eastAsia="Times New Roman" w:hAnsi="Arial" w:cs="Arial"/>
          <w:lang w:eastAsia="cs-CZ"/>
        </w:rPr>
        <w:t xml:space="preserve"> převažuje kombinovaná forma</w:t>
      </w:r>
      <w:r w:rsidR="001E2F51">
        <w:rPr>
          <w:rFonts w:ascii="Arial" w:eastAsia="Times New Roman" w:hAnsi="Arial" w:cs="Arial"/>
          <w:lang w:eastAsia="cs-CZ"/>
        </w:rPr>
        <w:t>.</w:t>
      </w:r>
      <w:r w:rsidRPr="00845AD8">
        <w:rPr>
          <w:rFonts w:ascii="Arial" w:eastAsia="Times New Roman" w:hAnsi="Arial" w:cs="Arial"/>
          <w:lang w:eastAsia="cs-CZ"/>
        </w:rPr>
        <w:t xml:space="preserve"> Ještě výraznější je převaha kombinovaných studií v lékařských vědách, která je pravděpodobně způsobena vazbou na</w:t>
      </w:r>
      <w:r w:rsidR="00D417C3">
        <w:rPr>
          <w:rFonts w:ascii="Arial" w:eastAsia="Times New Roman" w:hAnsi="Arial" w:cs="Arial"/>
          <w:lang w:eastAsia="cs-CZ"/>
        </w:rPr>
        <w:t> </w:t>
      </w:r>
      <w:r w:rsidRPr="00845AD8">
        <w:rPr>
          <w:rFonts w:ascii="Arial" w:eastAsia="Times New Roman" w:hAnsi="Arial" w:cs="Arial"/>
          <w:lang w:eastAsia="cs-CZ"/>
        </w:rPr>
        <w:t>zdravotnická zařízení, kde doktorandi již působí jako zaměstnanci.</w:t>
      </w:r>
    </w:p>
    <w:p w:rsidR="00DA3248" w:rsidRPr="007506E0" w:rsidRDefault="00DA3248" w:rsidP="00F224E6">
      <w:pPr>
        <w:pStyle w:val="Obrzek-nadpis"/>
      </w:pPr>
      <w:r w:rsidRPr="007506E0">
        <w:t>Obr. 4.6: vztah mezi počty výzkumníků a počty studentů doktorských studií v různých oborových skupinách</w:t>
      </w:r>
    </w:p>
    <w:p w:rsidR="00DA3248" w:rsidRDefault="00DA3248" w:rsidP="00DA3248">
      <w:pPr>
        <w:jc w:val="center"/>
        <w:rPr>
          <w:i/>
          <w:sz w:val="20"/>
          <w:szCs w:val="20"/>
        </w:rPr>
      </w:pPr>
      <w:r>
        <w:rPr>
          <w:i/>
          <w:noProof/>
          <w:sz w:val="20"/>
          <w:szCs w:val="20"/>
          <w:lang w:eastAsia="cs-CZ"/>
        </w:rPr>
        <w:drawing>
          <wp:inline distT="0" distB="0" distL="0" distR="0" wp14:anchorId="1D023A68" wp14:editId="79877302">
            <wp:extent cx="5760720" cy="4187825"/>
            <wp:effectExtent l="19050" t="19050" r="11430" b="22225"/>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_4.6.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760720" cy="4187825"/>
                    </a:xfrm>
                    <a:prstGeom prst="rect">
                      <a:avLst/>
                    </a:prstGeom>
                    <a:ln>
                      <a:solidFill>
                        <a:schemeClr val="tx1"/>
                      </a:solidFill>
                    </a:ln>
                  </pic:spPr>
                </pic:pic>
              </a:graphicData>
            </a:graphic>
          </wp:inline>
        </w:drawing>
      </w:r>
    </w:p>
    <w:p w:rsidR="00DA3248" w:rsidRDefault="00DA3248" w:rsidP="00F224E6">
      <w:pPr>
        <w:pStyle w:val="Zdroj"/>
        <w:spacing w:after="240"/>
      </w:pPr>
      <w:r>
        <w:t>Zdroj dat: ČSÚ (počty výzkumníků za rok 2013), MŠMT (počty studentů za rok 2014)</w:t>
      </w:r>
    </w:p>
    <w:p w:rsidR="00DA3248" w:rsidRPr="00272ED4" w:rsidRDefault="00DA3248" w:rsidP="009F1B1F">
      <w:pPr>
        <w:spacing w:after="0" w:line="360" w:lineRule="auto"/>
        <w:ind w:firstLine="709"/>
        <w:jc w:val="both"/>
        <w:rPr>
          <w:rFonts w:ascii="Arial" w:eastAsia="Times New Roman" w:hAnsi="Arial" w:cs="Arial"/>
          <w:lang w:eastAsia="cs-CZ"/>
        </w:rPr>
      </w:pPr>
      <w:r w:rsidRPr="00272ED4">
        <w:rPr>
          <w:rFonts w:ascii="Arial" w:eastAsia="Times New Roman" w:hAnsi="Arial" w:cs="Arial"/>
          <w:lang w:eastAsia="cs-CZ"/>
        </w:rPr>
        <w:t>Z hlediska poměru pohlaví výzkumných pracovníků je patrná nevyváženost ve všech sektorech. Největší dominance mužů je v podnikatelském (85 %), nejmenší ve vládním sektoru (přibližně 60 %)</w:t>
      </w:r>
      <w:r w:rsidR="006A3F07">
        <w:rPr>
          <w:rFonts w:ascii="Arial" w:eastAsia="Times New Roman" w:hAnsi="Arial" w:cs="Arial"/>
          <w:lang w:eastAsia="cs-CZ"/>
        </w:rPr>
        <w:t xml:space="preserve"> a v</w:t>
      </w:r>
      <w:r w:rsidRPr="00272ED4">
        <w:rPr>
          <w:rFonts w:ascii="Arial" w:eastAsia="Times New Roman" w:hAnsi="Arial" w:cs="Arial"/>
          <w:lang w:eastAsia="cs-CZ"/>
        </w:rPr>
        <w:t>e vysokoškolském sektoru tvoří muži cca 65 %</w:t>
      </w:r>
      <w:r w:rsidR="006A3F07">
        <w:rPr>
          <w:rFonts w:ascii="Arial" w:eastAsia="Times New Roman" w:hAnsi="Arial" w:cs="Arial"/>
          <w:lang w:eastAsia="cs-CZ"/>
        </w:rPr>
        <w:t xml:space="preserve"> výzkumných pracovníků</w:t>
      </w:r>
      <w:r w:rsidRPr="00272ED4">
        <w:rPr>
          <w:rFonts w:ascii="Arial" w:eastAsia="Times New Roman" w:hAnsi="Arial" w:cs="Arial"/>
          <w:lang w:eastAsia="cs-CZ"/>
        </w:rPr>
        <w:t xml:space="preserve">. Časový trend v počtech výzkumných pracovníků neindikuje žádné zlepšení tohoto stavu. </w:t>
      </w:r>
      <w:r w:rsidRPr="00845AD8">
        <w:rPr>
          <w:rFonts w:ascii="Arial" w:eastAsia="Times New Roman" w:hAnsi="Arial" w:cs="Arial"/>
          <w:lang w:eastAsia="cs-CZ"/>
        </w:rPr>
        <w:t>Chybí však dat</w:t>
      </w:r>
      <w:r w:rsidR="00F224E6" w:rsidRPr="00845AD8">
        <w:rPr>
          <w:rFonts w:ascii="Arial" w:eastAsia="Times New Roman" w:hAnsi="Arial" w:cs="Arial"/>
          <w:lang w:eastAsia="cs-CZ"/>
        </w:rPr>
        <w:t>a pro podrobnou analýzu příčin.</w:t>
      </w:r>
    </w:p>
    <w:p w:rsidR="00DA3248" w:rsidRPr="00C53649" w:rsidRDefault="00DA3248" w:rsidP="00F224E6">
      <w:pPr>
        <w:pStyle w:val="Obrzek-nadpis"/>
      </w:pPr>
      <w:r w:rsidRPr="00C53649">
        <w:lastRenderedPageBreak/>
        <w:t>Obr. 4.7: Počty výzkumných pracovníků v ČR v letech 2008 – 2013 podle pohlaví.</w:t>
      </w:r>
    </w:p>
    <w:p w:rsidR="00DA3248" w:rsidRDefault="00DA3248" w:rsidP="00DA3248">
      <w:pPr>
        <w:jc w:val="both"/>
      </w:pPr>
      <w:r>
        <w:rPr>
          <w:noProof/>
          <w:lang w:eastAsia="cs-CZ"/>
        </w:rPr>
        <w:drawing>
          <wp:inline distT="0" distB="0" distL="0" distR="0" wp14:anchorId="5C53FBA7" wp14:editId="1CEA0D1D">
            <wp:extent cx="5760720" cy="2907030"/>
            <wp:effectExtent l="19050" t="19050" r="11430" b="26670"/>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_4.7.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760720" cy="2907030"/>
                    </a:xfrm>
                    <a:prstGeom prst="rect">
                      <a:avLst/>
                    </a:prstGeom>
                    <a:ln>
                      <a:solidFill>
                        <a:schemeClr val="tx1"/>
                      </a:solidFill>
                    </a:ln>
                  </pic:spPr>
                </pic:pic>
              </a:graphicData>
            </a:graphic>
          </wp:inline>
        </w:drawing>
      </w:r>
    </w:p>
    <w:p w:rsidR="00DA3248" w:rsidRPr="00C53649" w:rsidRDefault="00DA3248" w:rsidP="00F224E6">
      <w:pPr>
        <w:pStyle w:val="Zdroj"/>
      </w:pPr>
      <w:r w:rsidRPr="00C53649">
        <w:t>Zdroj dat: ČSÚ</w:t>
      </w:r>
    </w:p>
    <w:p w:rsidR="00B36DC6" w:rsidRDefault="00DA3248" w:rsidP="00F224E6">
      <w:pPr>
        <w:pStyle w:val="komentzaobrzkem"/>
      </w:pPr>
      <w:r w:rsidRPr="00C53649">
        <w:t>Sloupcové grafy zobrazují evidenční počet výzkumný ch pracovníků (HC)</w:t>
      </w:r>
      <w:r>
        <w:t>.</w:t>
      </w:r>
    </w:p>
    <w:p w:rsidR="00B36DC6" w:rsidRDefault="00B36DC6" w:rsidP="00B36DC6">
      <w:pPr>
        <w:rPr>
          <w:rFonts w:ascii="Arial" w:eastAsia="Times New Roman" w:hAnsi="Arial" w:cs="Times New Roman"/>
          <w:sz w:val="18"/>
          <w:szCs w:val="24"/>
          <w:lang w:eastAsia="cs-CZ"/>
        </w:rPr>
      </w:pPr>
      <w:r>
        <w:br w:type="page"/>
      </w:r>
    </w:p>
    <w:p w:rsidR="000822A0" w:rsidRPr="000822A0" w:rsidRDefault="00837270" w:rsidP="00D34BA2">
      <w:pPr>
        <w:pStyle w:val="Nadpis2"/>
      </w:pPr>
      <w:bookmarkStart w:id="8" w:name="_Toc427676899"/>
      <w:r>
        <w:lastRenderedPageBreak/>
        <w:t xml:space="preserve">5. </w:t>
      </w:r>
      <w:r w:rsidR="000822A0" w:rsidRPr="009B2333">
        <w:t>Infrastruktury VaVaI</w:t>
      </w:r>
      <w:bookmarkEnd w:id="8"/>
    </w:p>
    <w:p w:rsidR="000822A0" w:rsidRPr="00F57A5E" w:rsidRDefault="000822A0" w:rsidP="009F1B1F">
      <w:pPr>
        <w:spacing w:after="0" w:line="360" w:lineRule="auto"/>
        <w:ind w:firstLine="709"/>
        <w:jc w:val="both"/>
        <w:rPr>
          <w:rFonts w:ascii="Arial" w:eastAsia="Times New Roman" w:hAnsi="Arial" w:cs="Arial"/>
          <w:i/>
          <w:lang w:eastAsia="cs-CZ"/>
        </w:rPr>
      </w:pPr>
      <w:r w:rsidRPr="00F57A5E">
        <w:rPr>
          <w:rFonts w:ascii="Arial" w:eastAsia="Times New Roman" w:hAnsi="Arial" w:cs="Arial"/>
          <w:lang w:eastAsia="cs-CZ"/>
        </w:rPr>
        <w:t>Infrastruktura VaVaI je Evropskou komisí definována</w:t>
      </w:r>
      <w:r w:rsidRPr="00F57A5E">
        <w:rPr>
          <w:rFonts w:ascii="Arial" w:eastAsia="Times New Roman" w:hAnsi="Arial" w:cs="Arial"/>
          <w:vertAlign w:val="superscript"/>
          <w:lang w:eastAsia="cs-CZ"/>
        </w:rPr>
        <w:footnoteReference w:id="14"/>
      </w:r>
      <w:r w:rsidRPr="00F57A5E">
        <w:rPr>
          <w:rFonts w:ascii="Arial" w:eastAsia="Times New Roman" w:hAnsi="Arial" w:cs="Arial"/>
          <w:lang w:eastAsia="cs-CZ"/>
        </w:rPr>
        <w:t xml:space="preserve"> jako </w:t>
      </w:r>
      <w:r w:rsidR="006A04BF" w:rsidRPr="00837270">
        <w:rPr>
          <w:rFonts w:ascii="Arial" w:eastAsia="Times New Roman" w:hAnsi="Arial" w:cs="Arial"/>
          <w:i/>
          <w:lang w:eastAsia="cs-CZ"/>
        </w:rPr>
        <w:t>„</w:t>
      </w:r>
      <w:r w:rsidRPr="00F57A5E">
        <w:rPr>
          <w:rFonts w:ascii="Arial" w:eastAsia="Times New Roman" w:hAnsi="Arial" w:cs="Arial"/>
          <w:i/>
          <w:lang w:eastAsia="cs-CZ"/>
        </w:rPr>
        <w:t>zařízení, zdroje a související služby, které vědecká obec využívá k provádění výzkumu v příslušných oborech, zahrnující vědecké vybavení a výzkumný materiál, zdroje založené na znalostech, například sbírky, archivy a</w:t>
      </w:r>
      <w:r w:rsidR="00D417C3">
        <w:rPr>
          <w:rFonts w:ascii="Arial" w:eastAsia="Times New Roman" w:hAnsi="Arial" w:cs="Arial"/>
          <w:i/>
          <w:lang w:eastAsia="cs-CZ"/>
        </w:rPr>
        <w:t> </w:t>
      </w:r>
      <w:r w:rsidRPr="00F57A5E">
        <w:rPr>
          <w:rFonts w:ascii="Arial" w:eastAsia="Times New Roman" w:hAnsi="Arial" w:cs="Arial"/>
          <w:i/>
          <w:lang w:eastAsia="cs-CZ"/>
        </w:rPr>
        <w:t>strukturované vědecké informace, infrastruktury informačních a komunikačních technologií, například sítě GRID, počítačové a programové vybavení, komunikační prostředky, jakož i veškeré další prvky jedinečné povahy, které jsou nezbytné k provádění výzkumu. Tyto infrastruktury se</w:t>
      </w:r>
      <w:r w:rsidR="00D417C3">
        <w:rPr>
          <w:rFonts w:ascii="Arial" w:eastAsia="Times New Roman" w:hAnsi="Arial" w:cs="Arial"/>
          <w:i/>
          <w:lang w:eastAsia="cs-CZ"/>
        </w:rPr>
        <w:t> </w:t>
      </w:r>
      <w:r w:rsidRPr="00F57A5E">
        <w:rPr>
          <w:rFonts w:ascii="Arial" w:eastAsia="Times New Roman" w:hAnsi="Arial" w:cs="Arial"/>
          <w:i/>
          <w:lang w:eastAsia="cs-CZ"/>
        </w:rPr>
        <w:t>mohou nacházet na jednom místě nebo mohou být r</w:t>
      </w:r>
      <w:r w:rsidR="00E63598" w:rsidRPr="00F57A5E">
        <w:rPr>
          <w:rFonts w:ascii="Arial" w:eastAsia="Times New Roman" w:hAnsi="Arial" w:cs="Arial"/>
          <w:i/>
          <w:lang w:eastAsia="cs-CZ"/>
        </w:rPr>
        <w:t>o</w:t>
      </w:r>
      <w:r w:rsidRPr="00F57A5E">
        <w:rPr>
          <w:rFonts w:ascii="Arial" w:eastAsia="Times New Roman" w:hAnsi="Arial" w:cs="Arial"/>
          <w:i/>
          <w:lang w:eastAsia="cs-CZ"/>
        </w:rPr>
        <w:t>zmístěn</w:t>
      </w:r>
      <w:r w:rsidR="00E63598" w:rsidRPr="00F57A5E">
        <w:rPr>
          <w:rFonts w:ascii="Arial" w:eastAsia="Times New Roman" w:hAnsi="Arial" w:cs="Arial"/>
          <w:i/>
          <w:lang w:eastAsia="cs-CZ"/>
        </w:rPr>
        <w:t>é</w:t>
      </w:r>
      <w:r w:rsidRPr="00F57A5E">
        <w:rPr>
          <w:rFonts w:ascii="Arial" w:eastAsia="Times New Roman" w:hAnsi="Arial" w:cs="Arial"/>
          <w:i/>
          <w:lang w:eastAsia="cs-CZ"/>
        </w:rPr>
        <w:t xml:space="preserve"> v rámci sítě (organizovaná síť zdrojů) v souladu s čl. 2 písm. a) nařízení Rady (ES) č. 723/2009 ze dne 25. června 2009 o</w:t>
      </w:r>
      <w:r w:rsidR="00D417C3">
        <w:rPr>
          <w:rFonts w:ascii="Arial" w:eastAsia="Times New Roman" w:hAnsi="Arial" w:cs="Arial"/>
          <w:i/>
          <w:lang w:eastAsia="cs-CZ"/>
        </w:rPr>
        <w:t> </w:t>
      </w:r>
      <w:r w:rsidRPr="00F57A5E">
        <w:rPr>
          <w:rFonts w:ascii="Arial" w:eastAsia="Times New Roman" w:hAnsi="Arial" w:cs="Arial"/>
          <w:i/>
          <w:lang w:eastAsia="cs-CZ"/>
        </w:rPr>
        <w:t>právním rámci Společenství pro konsorcium evropské výzkumné infrastruktury (ERIC)“.</w:t>
      </w:r>
    </w:p>
    <w:p w:rsidR="000822A0" w:rsidRPr="00F57A5E" w:rsidRDefault="000822A0" w:rsidP="009F1B1F">
      <w:pPr>
        <w:spacing w:after="0" w:line="360" w:lineRule="auto"/>
        <w:ind w:firstLine="709"/>
        <w:jc w:val="both"/>
        <w:rPr>
          <w:rFonts w:ascii="Arial" w:eastAsia="Times New Roman" w:hAnsi="Arial" w:cs="Arial"/>
          <w:lang w:eastAsia="cs-CZ"/>
        </w:rPr>
      </w:pPr>
      <w:r w:rsidRPr="00F57A5E">
        <w:rPr>
          <w:rFonts w:ascii="Arial" w:eastAsia="Times New Roman" w:hAnsi="Arial" w:cs="Arial"/>
          <w:lang w:eastAsia="cs-CZ"/>
        </w:rPr>
        <w:t xml:space="preserve">Infrastruktury VaVaI představují místa, v nichž dochází k efektivnímu propojování všech segmentů inovačního řetězce a interakci subjektů zapojených do vzdělávání a veřejného výzkumu a podnikatelské sféry s finálním efektem v podobě zboží a služeb s vysokou přidanou hodnotou. Z analytického pohledu lze infrastrukturu VaVaI vnímat jako jednu ze tří základních složek </w:t>
      </w:r>
      <w:r w:rsidR="009B2333">
        <w:rPr>
          <w:rFonts w:ascii="Arial" w:eastAsia="Times New Roman" w:hAnsi="Arial" w:cs="Arial"/>
          <w:lang w:eastAsia="cs-CZ"/>
        </w:rPr>
        <w:t>z</w:t>
      </w:r>
      <w:r w:rsidRPr="009B2333">
        <w:rPr>
          <w:rFonts w:ascii="Arial" w:eastAsia="Times New Roman" w:hAnsi="Arial" w:cs="Arial"/>
          <w:lang w:eastAsia="cs-CZ"/>
        </w:rPr>
        <w:t>ákladny</w:t>
      </w:r>
      <w:r w:rsidRPr="00F57A5E">
        <w:rPr>
          <w:rFonts w:ascii="Arial" w:eastAsia="Times New Roman" w:hAnsi="Arial" w:cs="Arial"/>
          <w:lang w:eastAsia="cs-CZ"/>
        </w:rPr>
        <w:t xml:space="preserve"> VaVaI (dalšími složkami jsou lidské zdroje a finanční prostředky na realizaci VaVaI). Infrastruktury VaVaI jsou v ČR zakládány, rozvíjeny a provozovány rozdílnými subjekty, nejčastěji však výzkumnými organizacemi veřejného charakteru (vysokými školami, veřejnými výzkumnými organizacemi), samy o sobě však nemají právní subjektivitu.</w:t>
      </w:r>
    </w:p>
    <w:p w:rsidR="000822A0" w:rsidRPr="00F57A5E" w:rsidRDefault="000822A0" w:rsidP="009F1B1F">
      <w:pPr>
        <w:spacing w:after="0" w:line="360" w:lineRule="auto"/>
        <w:ind w:firstLine="709"/>
        <w:jc w:val="both"/>
        <w:rPr>
          <w:rFonts w:ascii="Arial" w:eastAsia="Times New Roman" w:hAnsi="Arial" w:cs="Arial"/>
          <w:lang w:eastAsia="cs-CZ"/>
        </w:rPr>
      </w:pPr>
      <w:r w:rsidRPr="00F57A5E">
        <w:rPr>
          <w:rFonts w:ascii="Arial" w:eastAsia="Times New Roman" w:hAnsi="Arial" w:cs="Arial"/>
          <w:lang w:eastAsia="cs-CZ"/>
        </w:rPr>
        <w:t xml:space="preserve">Podobně jako subjekty VaVaI jsou rovněž infrastruktury VaVaI financovány vícezdrojově na základě principů </w:t>
      </w:r>
      <w:proofErr w:type="spellStart"/>
      <w:r w:rsidRPr="00F57A5E">
        <w:rPr>
          <w:rFonts w:ascii="Arial" w:eastAsia="Times New Roman" w:hAnsi="Arial" w:cs="Arial"/>
          <w:lang w:eastAsia="cs-CZ"/>
        </w:rPr>
        <w:t>adicionality</w:t>
      </w:r>
      <w:proofErr w:type="spellEnd"/>
      <w:r w:rsidRPr="00F57A5E">
        <w:rPr>
          <w:rFonts w:ascii="Arial" w:eastAsia="Times New Roman" w:hAnsi="Arial" w:cs="Arial"/>
          <w:lang w:eastAsia="cs-CZ"/>
        </w:rPr>
        <w:t xml:space="preserve"> a komplementarity. Podle zákona o podpoře výzkumu, experimentálního vývoje a inovací </w:t>
      </w:r>
      <w:r w:rsidR="00606882" w:rsidRPr="00F57A5E">
        <w:rPr>
          <w:rFonts w:ascii="Arial" w:eastAsia="Times New Roman" w:hAnsi="Arial" w:cs="Arial"/>
          <w:lang w:eastAsia="cs-CZ"/>
        </w:rPr>
        <w:t>jde</w:t>
      </w:r>
      <w:r w:rsidRPr="00F57A5E">
        <w:rPr>
          <w:rFonts w:ascii="Arial" w:eastAsia="Times New Roman" w:hAnsi="Arial" w:cs="Arial"/>
          <w:lang w:eastAsia="cs-CZ"/>
        </w:rPr>
        <w:t xml:space="preserve"> o finanční nástroje účelové i institucionální. Účelové prostředky využité pro podporu infrastruktur VaVaI s</w:t>
      </w:r>
      <w:r w:rsidR="0053116E">
        <w:rPr>
          <w:rFonts w:ascii="Arial" w:eastAsia="Times New Roman" w:hAnsi="Arial" w:cs="Arial"/>
          <w:lang w:eastAsia="cs-CZ"/>
        </w:rPr>
        <w:t>hrnuje tab</w:t>
      </w:r>
      <w:r w:rsidR="00291BB8">
        <w:rPr>
          <w:rFonts w:ascii="Arial" w:eastAsia="Times New Roman" w:hAnsi="Arial" w:cs="Arial"/>
          <w:lang w:eastAsia="cs-CZ"/>
        </w:rPr>
        <w:t>ulka</w:t>
      </w:r>
      <w:r w:rsidR="0053116E">
        <w:rPr>
          <w:rFonts w:ascii="Arial" w:eastAsia="Times New Roman" w:hAnsi="Arial" w:cs="Arial"/>
          <w:lang w:eastAsia="cs-CZ"/>
        </w:rPr>
        <w:t xml:space="preserve"> 5.1</w:t>
      </w:r>
      <w:r w:rsidRPr="00F57A5E">
        <w:rPr>
          <w:rFonts w:ascii="Arial" w:eastAsia="Times New Roman" w:hAnsi="Arial" w:cs="Arial"/>
          <w:lang w:eastAsia="cs-CZ"/>
        </w:rPr>
        <w:t>. Od roku 2005 byly na</w:t>
      </w:r>
      <w:r w:rsidR="00D417C3">
        <w:rPr>
          <w:rFonts w:ascii="Arial" w:eastAsia="Times New Roman" w:hAnsi="Arial" w:cs="Arial"/>
          <w:lang w:eastAsia="cs-CZ"/>
        </w:rPr>
        <w:t> </w:t>
      </w:r>
      <w:r w:rsidRPr="00F57A5E">
        <w:rPr>
          <w:rFonts w:ascii="Arial" w:eastAsia="Times New Roman" w:hAnsi="Arial" w:cs="Arial"/>
          <w:lang w:eastAsia="cs-CZ"/>
        </w:rPr>
        <w:t>podporu infrastruktur VaVaI vynaloženy prostředky v celkové výši téměř 84 mld. Kč, z toho ze</w:t>
      </w:r>
      <w:r w:rsidR="00D417C3">
        <w:rPr>
          <w:rFonts w:ascii="Arial" w:eastAsia="Times New Roman" w:hAnsi="Arial" w:cs="Arial"/>
          <w:lang w:eastAsia="cs-CZ"/>
        </w:rPr>
        <w:t> </w:t>
      </w:r>
      <w:r w:rsidRPr="00F57A5E">
        <w:rPr>
          <w:rFonts w:ascii="Arial" w:eastAsia="Times New Roman" w:hAnsi="Arial" w:cs="Arial"/>
          <w:lang w:eastAsia="cs-CZ"/>
        </w:rPr>
        <w:t>státního rozpočtu více než 34,5 mld. Kč.</w:t>
      </w:r>
    </w:p>
    <w:p w:rsidR="000822A0" w:rsidRPr="00F57A5E" w:rsidRDefault="000822A0" w:rsidP="009F1B1F">
      <w:pPr>
        <w:spacing w:after="0" w:line="360" w:lineRule="auto"/>
        <w:ind w:firstLine="709"/>
        <w:jc w:val="both"/>
        <w:rPr>
          <w:rFonts w:ascii="Arial" w:eastAsia="Times New Roman" w:hAnsi="Arial" w:cs="Arial"/>
          <w:lang w:eastAsia="cs-CZ"/>
        </w:rPr>
      </w:pPr>
      <w:r w:rsidRPr="00F57A5E">
        <w:rPr>
          <w:rFonts w:ascii="Arial" w:eastAsia="Times New Roman" w:hAnsi="Arial" w:cs="Arial"/>
          <w:lang w:eastAsia="cs-CZ"/>
        </w:rPr>
        <w:t>Pro počáteční investici spojenou s</w:t>
      </w:r>
      <w:r w:rsidR="00B717D5" w:rsidRPr="00F57A5E">
        <w:rPr>
          <w:rFonts w:ascii="Arial" w:eastAsia="Times New Roman" w:hAnsi="Arial" w:cs="Arial"/>
          <w:lang w:eastAsia="cs-CZ"/>
        </w:rPr>
        <w:t xml:space="preserve"> </w:t>
      </w:r>
      <w:r w:rsidRPr="00F57A5E">
        <w:rPr>
          <w:rFonts w:ascii="Arial" w:eastAsia="Times New Roman" w:hAnsi="Arial" w:cs="Arial"/>
          <w:lang w:eastAsia="cs-CZ"/>
        </w:rPr>
        <w:t xml:space="preserve">budováním a dalším rozvojem infrastruktur VaVaI byly největším zdrojem prostředky </w:t>
      </w:r>
      <w:r w:rsidR="00F77A9A">
        <w:rPr>
          <w:rFonts w:ascii="Arial" w:eastAsia="Times New Roman" w:hAnsi="Arial" w:cs="Arial"/>
          <w:lang w:eastAsia="cs-CZ"/>
        </w:rPr>
        <w:t>SF EU</w:t>
      </w:r>
      <w:r w:rsidRPr="00F57A5E">
        <w:rPr>
          <w:rFonts w:ascii="Arial" w:eastAsia="Times New Roman" w:hAnsi="Arial" w:cs="Arial"/>
          <w:lang w:eastAsia="cs-CZ"/>
        </w:rPr>
        <w:t xml:space="preserve">, pravděpodobně nejvýznamnějším zdrojem pro další rozvoj </w:t>
      </w:r>
      <w:r w:rsidR="00F77A9A">
        <w:rPr>
          <w:rFonts w:ascii="Arial" w:eastAsia="Times New Roman" w:hAnsi="Arial" w:cs="Arial"/>
          <w:lang w:eastAsia="cs-CZ"/>
        </w:rPr>
        <w:t xml:space="preserve">infrastruktur </w:t>
      </w:r>
      <w:r w:rsidRPr="00F57A5E">
        <w:rPr>
          <w:rFonts w:ascii="Arial" w:eastAsia="Times New Roman" w:hAnsi="Arial" w:cs="Arial"/>
          <w:lang w:eastAsia="cs-CZ"/>
        </w:rPr>
        <w:t>v </w:t>
      </w:r>
      <w:r w:rsidR="00F77A9A" w:rsidRPr="00F57A5E">
        <w:rPr>
          <w:rFonts w:ascii="Arial" w:eastAsia="Times New Roman" w:hAnsi="Arial" w:cs="Arial"/>
          <w:lang w:eastAsia="cs-CZ"/>
        </w:rPr>
        <w:t>programov</w:t>
      </w:r>
      <w:r w:rsidR="00F77A9A">
        <w:rPr>
          <w:rFonts w:ascii="Arial" w:eastAsia="Times New Roman" w:hAnsi="Arial" w:cs="Arial"/>
          <w:lang w:eastAsia="cs-CZ"/>
        </w:rPr>
        <w:t>ém</w:t>
      </w:r>
      <w:r w:rsidR="00F77A9A" w:rsidRPr="00F57A5E">
        <w:rPr>
          <w:rFonts w:ascii="Arial" w:eastAsia="Times New Roman" w:hAnsi="Arial" w:cs="Arial"/>
          <w:lang w:eastAsia="cs-CZ"/>
        </w:rPr>
        <w:t xml:space="preserve"> </w:t>
      </w:r>
      <w:r w:rsidRPr="00F57A5E">
        <w:rPr>
          <w:rFonts w:ascii="Arial" w:eastAsia="Times New Roman" w:hAnsi="Arial" w:cs="Arial"/>
          <w:lang w:eastAsia="cs-CZ"/>
        </w:rPr>
        <w:t xml:space="preserve">období 2014 </w:t>
      </w:r>
      <w:r w:rsidR="00F77A9A">
        <w:rPr>
          <w:rFonts w:ascii="Arial" w:eastAsia="Times New Roman" w:hAnsi="Arial" w:cs="Arial"/>
          <w:lang w:eastAsia="cs-CZ"/>
        </w:rPr>
        <w:t>=</w:t>
      </w:r>
      <w:r w:rsidRPr="00F57A5E">
        <w:rPr>
          <w:rFonts w:ascii="Arial" w:eastAsia="Times New Roman" w:hAnsi="Arial" w:cs="Arial"/>
          <w:lang w:eastAsia="cs-CZ"/>
        </w:rPr>
        <w:t xml:space="preserve"> 2020</w:t>
      </w:r>
      <w:r w:rsidR="00F77A9A">
        <w:rPr>
          <w:rFonts w:ascii="Arial" w:eastAsia="Times New Roman" w:hAnsi="Arial" w:cs="Arial"/>
          <w:lang w:eastAsia="cs-CZ"/>
        </w:rPr>
        <w:t xml:space="preserve"> budou ESIF</w:t>
      </w:r>
      <w:r w:rsidRPr="00F57A5E">
        <w:rPr>
          <w:rFonts w:ascii="Arial" w:eastAsia="Times New Roman" w:hAnsi="Arial" w:cs="Arial"/>
          <w:lang w:eastAsia="cs-CZ"/>
        </w:rPr>
        <w:t>. Z </w:t>
      </w:r>
      <w:r w:rsidR="00F77A9A" w:rsidRPr="00F57A5E" w:rsidDel="00F77A9A">
        <w:rPr>
          <w:rFonts w:ascii="Arial" w:eastAsia="Times New Roman" w:hAnsi="Arial" w:cs="Arial"/>
          <w:lang w:eastAsia="cs-CZ"/>
        </w:rPr>
        <w:t xml:space="preserve"> </w:t>
      </w:r>
      <w:proofErr w:type="gramStart"/>
      <w:r w:rsidRPr="00F57A5E">
        <w:rPr>
          <w:rFonts w:ascii="Arial" w:eastAsia="Times New Roman" w:hAnsi="Arial" w:cs="Arial"/>
          <w:lang w:eastAsia="cs-CZ"/>
        </w:rPr>
        <w:t>OP</w:t>
      </w:r>
      <w:proofErr w:type="gramEnd"/>
      <w:r w:rsidRPr="00F57A5E">
        <w:rPr>
          <w:rFonts w:ascii="Arial" w:eastAsia="Times New Roman" w:hAnsi="Arial" w:cs="Arial"/>
          <w:lang w:eastAsia="cs-CZ"/>
        </w:rPr>
        <w:t xml:space="preserve"> </w:t>
      </w:r>
      <w:proofErr w:type="spellStart"/>
      <w:r w:rsidRPr="00F57A5E">
        <w:rPr>
          <w:rFonts w:ascii="Arial" w:eastAsia="Times New Roman" w:hAnsi="Arial" w:cs="Arial"/>
          <w:lang w:eastAsia="cs-CZ"/>
        </w:rPr>
        <w:t>VaVpI</w:t>
      </w:r>
      <w:proofErr w:type="spellEnd"/>
      <w:r w:rsidRPr="00F57A5E">
        <w:rPr>
          <w:rFonts w:ascii="Arial" w:eastAsia="Times New Roman" w:hAnsi="Arial" w:cs="Arial"/>
          <w:lang w:eastAsia="cs-CZ"/>
        </w:rPr>
        <w:t xml:space="preserve"> byla v rámci prioritních os 1 a 2 podpořena tvorba či rozšíření celkem 48 center VaVaI, (8 evropských center excelence a</w:t>
      </w:r>
      <w:r w:rsidR="00D417C3">
        <w:rPr>
          <w:rFonts w:ascii="Arial" w:eastAsia="Times New Roman" w:hAnsi="Arial" w:cs="Arial"/>
          <w:lang w:eastAsia="cs-CZ"/>
        </w:rPr>
        <w:t> </w:t>
      </w:r>
      <w:r w:rsidRPr="00F57A5E">
        <w:rPr>
          <w:rFonts w:ascii="Arial" w:eastAsia="Times New Roman" w:hAnsi="Arial" w:cs="Arial"/>
          <w:lang w:eastAsia="cs-CZ"/>
        </w:rPr>
        <w:t xml:space="preserve">40 regionálních center výzkumu a vývoje) celkovou částkou převyšující 41 mld. Kč. Podle celkové výše podpory jednotlivým centrům jsou projekty rozdělovány na velké, u </w:t>
      </w:r>
      <w:r w:rsidR="00700A78" w:rsidRPr="00F57A5E">
        <w:rPr>
          <w:rFonts w:ascii="Arial" w:eastAsia="Times New Roman" w:hAnsi="Arial" w:cs="Arial"/>
          <w:lang w:eastAsia="cs-CZ"/>
        </w:rPr>
        <w:t xml:space="preserve">nichž </w:t>
      </w:r>
      <w:r w:rsidRPr="00F57A5E">
        <w:rPr>
          <w:rFonts w:ascii="Arial" w:eastAsia="Times New Roman" w:hAnsi="Arial" w:cs="Arial"/>
          <w:lang w:eastAsia="cs-CZ"/>
        </w:rPr>
        <w:t>podpora přesáhla 50 mil. EUR, a běžné (malé)</w:t>
      </w:r>
      <w:r w:rsidR="00F77A9A">
        <w:rPr>
          <w:rStyle w:val="Znakapoznpodarou"/>
          <w:rFonts w:ascii="Arial" w:eastAsia="Times New Roman" w:hAnsi="Arial" w:cs="Arial"/>
          <w:lang w:eastAsia="cs-CZ"/>
        </w:rPr>
        <w:footnoteReference w:id="15"/>
      </w:r>
      <w:r w:rsidRPr="00F57A5E">
        <w:rPr>
          <w:rFonts w:ascii="Arial" w:eastAsia="Times New Roman" w:hAnsi="Arial" w:cs="Arial"/>
          <w:lang w:eastAsia="cs-CZ"/>
        </w:rPr>
        <w:t xml:space="preserve">. Mezi velká centra náležejí následující projekty (jsou zvýrazněna </w:t>
      </w:r>
      <w:r w:rsidR="00700A78" w:rsidRPr="00F57A5E">
        <w:rPr>
          <w:rFonts w:ascii="Arial" w:eastAsia="Times New Roman" w:hAnsi="Arial" w:cs="Arial"/>
          <w:lang w:eastAsia="cs-CZ"/>
        </w:rPr>
        <w:t xml:space="preserve">také </w:t>
      </w:r>
      <w:r w:rsidRPr="00F57A5E">
        <w:rPr>
          <w:rFonts w:ascii="Arial" w:eastAsia="Times New Roman" w:hAnsi="Arial" w:cs="Arial"/>
          <w:lang w:eastAsia="cs-CZ"/>
        </w:rPr>
        <w:t>v obr</w:t>
      </w:r>
      <w:r w:rsidR="00291BB8">
        <w:rPr>
          <w:rFonts w:ascii="Arial" w:eastAsia="Times New Roman" w:hAnsi="Arial" w:cs="Arial"/>
          <w:lang w:eastAsia="cs-CZ"/>
        </w:rPr>
        <w:t>ázku</w:t>
      </w:r>
      <w:r w:rsidRPr="00F57A5E">
        <w:rPr>
          <w:rFonts w:ascii="Arial" w:eastAsia="Times New Roman" w:hAnsi="Arial" w:cs="Arial"/>
          <w:lang w:eastAsia="cs-CZ"/>
        </w:rPr>
        <w:t xml:space="preserve"> </w:t>
      </w:r>
      <w:r w:rsidR="0053116E">
        <w:rPr>
          <w:rFonts w:ascii="Arial" w:eastAsia="Times New Roman" w:hAnsi="Arial" w:cs="Arial"/>
          <w:lang w:eastAsia="cs-CZ"/>
        </w:rPr>
        <w:t>5.2</w:t>
      </w:r>
      <w:r w:rsidRPr="00F57A5E">
        <w:rPr>
          <w:rFonts w:ascii="Arial" w:eastAsia="Times New Roman" w:hAnsi="Arial" w:cs="Arial"/>
          <w:lang w:eastAsia="cs-CZ"/>
        </w:rPr>
        <w:t xml:space="preserve"> uvádějícím výši celkové podpory):</w:t>
      </w:r>
    </w:p>
    <w:p w:rsidR="000822A0" w:rsidRPr="00F57A5E" w:rsidRDefault="000822A0" w:rsidP="008E7BFB">
      <w:pPr>
        <w:numPr>
          <w:ilvl w:val="0"/>
          <w:numId w:val="4"/>
        </w:numPr>
        <w:spacing w:after="0" w:line="360" w:lineRule="auto"/>
        <w:contextualSpacing/>
        <w:jc w:val="both"/>
        <w:rPr>
          <w:rFonts w:ascii="Arial" w:eastAsia="Times New Roman" w:hAnsi="Arial" w:cs="Arial"/>
          <w:lang w:eastAsia="cs-CZ"/>
        </w:rPr>
      </w:pPr>
      <w:r w:rsidRPr="00F57A5E">
        <w:rPr>
          <w:rFonts w:ascii="Arial" w:eastAsia="Times New Roman" w:hAnsi="Arial" w:cs="Arial"/>
          <w:lang w:eastAsia="cs-CZ"/>
        </w:rPr>
        <w:t>Prioritní osa 1 – evropská centra excelence</w:t>
      </w:r>
      <w:r w:rsidR="00700A78" w:rsidRPr="00F57A5E">
        <w:rPr>
          <w:rFonts w:ascii="Arial" w:eastAsia="Times New Roman" w:hAnsi="Arial" w:cs="Arial"/>
          <w:lang w:eastAsia="cs-CZ"/>
        </w:rPr>
        <w:t>:</w:t>
      </w:r>
    </w:p>
    <w:p w:rsidR="000822A0" w:rsidRPr="00F57A5E" w:rsidRDefault="000822A0" w:rsidP="008E7BFB">
      <w:pPr>
        <w:numPr>
          <w:ilvl w:val="1"/>
          <w:numId w:val="4"/>
        </w:numPr>
        <w:spacing w:after="0" w:line="360" w:lineRule="auto"/>
        <w:contextualSpacing/>
        <w:jc w:val="both"/>
        <w:rPr>
          <w:rFonts w:ascii="Arial" w:eastAsia="Times New Roman" w:hAnsi="Arial" w:cs="Arial"/>
          <w:lang w:eastAsia="cs-CZ"/>
        </w:rPr>
      </w:pPr>
      <w:r w:rsidRPr="00F57A5E">
        <w:rPr>
          <w:rFonts w:ascii="Arial" w:eastAsia="Times New Roman" w:hAnsi="Arial" w:cs="Arial"/>
          <w:lang w:eastAsia="cs-CZ"/>
        </w:rPr>
        <w:t>ELI: EXTREME LIGHT</w:t>
      </w:r>
      <w:r w:rsidR="00BA0384">
        <w:rPr>
          <w:rFonts w:ascii="Arial" w:eastAsia="Times New Roman" w:hAnsi="Arial" w:cs="Arial"/>
          <w:lang w:eastAsia="cs-CZ"/>
        </w:rPr>
        <w:t xml:space="preserve"> INFRASTRUCTURE</w:t>
      </w:r>
      <w:r w:rsidRPr="00F57A5E">
        <w:rPr>
          <w:rFonts w:ascii="Arial" w:eastAsia="Times New Roman" w:hAnsi="Arial" w:cs="Arial"/>
          <w:lang w:eastAsia="cs-CZ"/>
        </w:rPr>
        <w:t xml:space="preserve">, </w:t>
      </w:r>
    </w:p>
    <w:p w:rsidR="000822A0" w:rsidRPr="00F57A5E" w:rsidRDefault="000822A0" w:rsidP="008E7BFB">
      <w:pPr>
        <w:numPr>
          <w:ilvl w:val="1"/>
          <w:numId w:val="4"/>
        </w:numPr>
        <w:spacing w:after="0" w:line="360" w:lineRule="auto"/>
        <w:contextualSpacing/>
        <w:jc w:val="both"/>
        <w:rPr>
          <w:rFonts w:ascii="Arial" w:eastAsia="Times New Roman" w:hAnsi="Arial" w:cs="Arial"/>
          <w:lang w:eastAsia="cs-CZ"/>
        </w:rPr>
      </w:pPr>
      <w:r w:rsidRPr="00F57A5E">
        <w:rPr>
          <w:rFonts w:ascii="Arial" w:eastAsia="Times New Roman" w:hAnsi="Arial" w:cs="Arial"/>
          <w:lang w:eastAsia="cs-CZ"/>
        </w:rPr>
        <w:lastRenderedPageBreak/>
        <w:t>Biotechnologické a biomedicínské centrum Akademie věd ČR a Univerzity Kar</w:t>
      </w:r>
      <w:r w:rsidR="001354D7">
        <w:rPr>
          <w:rFonts w:ascii="Arial" w:eastAsia="Times New Roman" w:hAnsi="Arial" w:cs="Arial"/>
          <w:lang w:eastAsia="cs-CZ"/>
        </w:rPr>
        <w:t>lovy v Praze</w:t>
      </w:r>
    </w:p>
    <w:p w:rsidR="000822A0" w:rsidRPr="00F57A5E" w:rsidRDefault="000822A0" w:rsidP="008E7BFB">
      <w:pPr>
        <w:numPr>
          <w:ilvl w:val="1"/>
          <w:numId w:val="4"/>
        </w:numPr>
        <w:spacing w:after="0" w:line="360" w:lineRule="auto"/>
        <w:contextualSpacing/>
        <w:jc w:val="both"/>
        <w:rPr>
          <w:rFonts w:ascii="Arial" w:eastAsia="Times New Roman" w:hAnsi="Arial" w:cs="Arial"/>
          <w:lang w:eastAsia="cs-CZ"/>
        </w:rPr>
      </w:pPr>
      <w:r w:rsidRPr="00F57A5E">
        <w:rPr>
          <w:rFonts w:ascii="Arial" w:eastAsia="Times New Roman" w:hAnsi="Arial" w:cs="Arial"/>
          <w:lang w:eastAsia="cs-CZ"/>
        </w:rPr>
        <w:t>CEITEC-středoevropský technologick</w:t>
      </w:r>
      <w:r w:rsidR="001354D7">
        <w:rPr>
          <w:rFonts w:ascii="Arial" w:eastAsia="Times New Roman" w:hAnsi="Arial" w:cs="Arial"/>
          <w:lang w:eastAsia="cs-CZ"/>
        </w:rPr>
        <w:t>ý institut</w:t>
      </w:r>
    </w:p>
    <w:p w:rsidR="000822A0" w:rsidRPr="00F57A5E" w:rsidRDefault="000822A0" w:rsidP="008E7BFB">
      <w:pPr>
        <w:numPr>
          <w:ilvl w:val="1"/>
          <w:numId w:val="4"/>
        </w:numPr>
        <w:spacing w:after="0" w:line="360" w:lineRule="auto"/>
        <w:contextualSpacing/>
        <w:jc w:val="both"/>
        <w:rPr>
          <w:rFonts w:ascii="Arial" w:eastAsia="Times New Roman" w:hAnsi="Arial" w:cs="Arial"/>
          <w:lang w:eastAsia="cs-CZ"/>
        </w:rPr>
      </w:pPr>
      <w:r w:rsidRPr="00F57A5E">
        <w:rPr>
          <w:rFonts w:ascii="Arial" w:eastAsia="Times New Roman" w:hAnsi="Arial" w:cs="Arial"/>
          <w:lang w:eastAsia="cs-CZ"/>
        </w:rPr>
        <w:t>Fakultní nemocnice u sv. Anny v Brně - Mezinár</w:t>
      </w:r>
      <w:r w:rsidR="00131475">
        <w:rPr>
          <w:rFonts w:ascii="Arial" w:eastAsia="Times New Roman" w:hAnsi="Arial" w:cs="Arial"/>
          <w:lang w:eastAsia="cs-CZ"/>
        </w:rPr>
        <w:t>odní centrum klinického výzkumu</w:t>
      </w:r>
    </w:p>
    <w:p w:rsidR="000822A0" w:rsidRPr="00F57A5E" w:rsidRDefault="00131475" w:rsidP="008E7BFB">
      <w:pPr>
        <w:numPr>
          <w:ilvl w:val="1"/>
          <w:numId w:val="4"/>
        </w:numPr>
        <w:spacing w:after="0" w:line="360" w:lineRule="auto"/>
        <w:contextualSpacing/>
        <w:jc w:val="both"/>
        <w:rPr>
          <w:rFonts w:ascii="Arial" w:eastAsia="Times New Roman" w:hAnsi="Arial" w:cs="Arial"/>
          <w:lang w:eastAsia="cs-CZ"/>
        </w:rPr>
      </w:pPr>
      <w:r>
        <w:rPr>
          <w:rFonts w:ascii="Arial" w:eastAsia="Times New Roman" w:hAnsi="Arial" w:cs="Arial"/>
          <w:lang w:eastAsia="cs-CZ"/>
        </w:rPr>
        <w:t>Centrum excelence IT4Inovations</w:t>
      </w:r>
    </w:p>
    <w:p w:rsidR="000822A0" w:rsidRPr="00F57A5E" w:rsidRDefault="000822A0" w:rsidP="008E7BFB">
      <w:pPr>
        <w:numPr>
          <w:ilvl w:val="0"/>
          <w:numId w:val="4"/>
        </w:numPr>
        <w:spacing w:after="0" w:line="360" w:lineRule="auto"/>
        <w:contextualSpacing/>
        <w:jc w:val="both"/>
        <w:rPr>
          <w:rFonts w:ascii="Arial" w:eastAsia="Times New Roman" w:hAnsi="Arial" w:cs="Arial"/>
          <w:lang w:eastAsia="cs-CZ"/>
        </w:rPr>
      </w:pPr>
      <w:r w:rsidRPr="00F57A5E">
        <w:rPr>
          <w:rFonts w:ascii="Arial" w:eastAsia="Times New Roman" w:hAnsi="Arial" w:cs="Arial"/>
          <w:lang w:eastAsia="cs-CZ"/>
        </w:rPr>
        <w:t>Prioritní osa 2 – regionální centra výzkumu a vývoje</w:t>
      </w:r>
    </w:p>
    <w:p w:rsidR="000822A0" w:rsidRPr="00F57A5E" w:rsidRDefault="00131475" w:rsidP="008E7BFB">
      <w:pPr>
        <w:numPr>
          <w:ilvl w:val="1"/>
          <w:numId w:val="4"/>
        </w:numPr>
        <w:spacing w:after="0" w:line="360" w:lineRule="auto"/>
        <w:contextualSpacing/>
        <w:jc w:val="both"/>
        <w:rPr>
          <w:rFonts w:ascii="Arial" w:eastAsia="Times New Roman" w:hAnsi="Arial" w:cs="Arial"/>
          <w:lang w:eastAsia="cs-CZ"/>
        </w:rPr>
      </w:pPr>
      <w:r>
        <w:rPr>
          <w:rFonts w:ascii="Arial" w:eastAsia="Times New Roman" w:hAnsi="Arial" w:cs="Arial"/>
          <w:lang w:eastAsia="cs-CZ"/>
        </w:rPr>
        <w:t>UDRŽITELNÁ ENERGETIKA.</w:t>
      </w:r>
    </w:p>
    <w:p w:rsidR="000822A0" w:rsidRPr="00F57A5E" w:rsidRDefault="000822A0" w:rsidP="009F1B1F">
      <w:pPr>
        <w:spacing w:after="0" w:line="360" w:lineRule="auto"/>
        <w:ind w:firstLine="709"/>
        <w:jc w:val="both"/>
        <w:rPr>
          <w:rFonts w:ascii="Arial" w:eastAsia="Times New Roman" w:hAnsi="Arial" w:cs="Arial"/>
          <w:lang w:eastAsia="cs-CZ"/>
        </w:rPr>
      </w:pPr>
      <w:r w:rsidRPr="006B4254">
        <w:rPr>
          <w:rFonts w:ascii="Arial" w:eastAsia="Times New Roman" w:hAnsi="Arial" w:cs="Arial"/>
          <w:lang w:eastAsia="cs-CZ"/>
        </w:rPr>
        <w:t xml:space="preserve">Další rozvoj těchto center bude možno financovat prostřednictvím Operačního programu </w:t>
      </w:r>
      <w:r w:rsidR="00F77A9A">
        <w:rPr>
          <w:rFonts w:ascii="Arial" w:eastAsia="Times New Roman" w:hAnsi="Arial" w:cs="Arial"/>
          <w:lang w:eastAsia="cs-CZ"/>
        </w:rPr>
        <w:t>V</w:t>
      </w:r>
      <w:r w:rsidRPr="006B4254">
        <w:rPr>
          <w:rFonts w:ascii="Arial" w:eastAsia="Times New Roman" w:hAnsi="Arial" w:cs="Arial"/>
          <w:lang w:eastAsia="cs-CZ"/>
        </w:rPr>
        <w:t>ýzkum</w:t>
      </w:r>
      <w:r w:rsidR="00F77A9A">
        <w:rPr>
          <w:rFonts w:ascii="Arial" w:eastAsia="Times New Roman" w:hAnsi="Arial" w:cs="Arial"/>
          <w:lang w:eastAsia="cs-CZ"/>
        </w:rPr>
        <w:t>,</w:t>
      </w:r>
      <w:r w:rsidRPr="006B4254">
        <w:rPr>
          <w:rFonts w:ascii="Arial" w:eastAsia="Times New Roman" w:hAnsi="Arial" w:cs="Arial"/>
          <w:lang w:eastAsia="cs-CZ"/>
        </w:rPr>
        <w:t xml:space="preserve"> vývoj </w:t>
      </w:r>
      <w:r w:rsidR="00F77A9A" w:rsidRPr="006B4254">
        <w:rPr>
          <w:rFonts w:ascii="Arial" w:eastAsia="Times New Roman" w:hAnsi="Arial" w:cs="Arial"/>
          <w:lang w:eastAsia="cs-CZ"/>
        </w:rPr>
        <w:t>a vzdělávání</w:t>
      </w:r>
      <w:r w:rsidR="00CD0A39">
        <w:rPr>
          <w:rFonts w:ascii="Arial" w:eastAsia="Times New Roman" w:hAnsi="Arial" w:cs="Arial"/>
          <w:lang w:eastAsia="cs-CZ"/>
        </w:rPr>
        <w:t>,</w:t>
      </w:r>
      <w:r w:rsidR="00F77A9A" w:rsidRPr="006B4254">
        <w:rPr>
          <w:rFonts w:ascii="Arial" w:eastAsia="Times New Roman" w:hAnsi="Arial" w:cs="Arial"/>
          <w:lang w:eastAsia="cs-CZ"/>
        </w:rPr>
        <w:t xml:space="preserve"> </w:t>
      </w:r>
      <w:r w:rsidR="006B4254">
        <w:rPr>
          <w:rFonts w:ascii="Arial" w:eastAsia="Times New Roman" w:hAnsi="Arial" w:cs="Arial"/>
          <w:lang w:eastAsia="cs-CZ"/>
        </w:rPr>
        <w:t>o</w:t>
      </w:r>
      <w:r w:rsidR="00700A78" w:rsidRPr="006B4254">
        <w:rPr>
          <w:rFonts w:ascii="Arial" w:eastAsia="Times New Roman" w:hAnsi="Arial" w:cs="Arial"/>
          <w:lang w:eastAsia="cs-CZ"/>
        </w:rPr>
        <w:t> němž obsahuje p</w:t>
      </w:r>
      <w:r w:rsidRPr="006B4254">
        <w:rPr>
          <w:rFonts w:ascii="Arial" w:eastAsia="Times New Roman" w:hAnsi="Arial" w:cs="Arial"/>
          <w:lang w:eastAsia="cs-CZ"/>
        </w:rPr>
        <w:t>odrobnější informace kapitola 6.</w:t>
      </w:r>
      <w:r w:rsidRPr="00F57A5E">
        <w:rPr>
          <w:rFonts w:ascii="Arial" w:eastAsia="Times New Roman" w:hAnsi="Arial" w:cs="Arial"/>
          <w:lang w:eastAsia="cs-CZ"/>
        </w:rPr>
        <w:t xml:space="preserve"> V případě center SUSEN a ELI bude vzhledem k zásadním posunům v harmonogramu řešení provedeno fázování, tj. rozdělení projektů do dvou </w:t>
      </w:r>
      <w:r w:rsidR="00F77A9A">
        <w:rPr>
          <w:rFonts w:ascii="Arial" w:eastAsia="Times New Roman" w:hAnsi="Arial" w:cs="Arial"/>
          <w:lang w:eastAsia="cs-CZ"/>
        </w:rPr>
        <w:t xml:space="preserve">na sebe navazujících </w:t>
      </w:r>
      <w:r w:rsidRPr="00F57A5E">
        <w:rPr>
          <w:rFonts w:ascii="Arial" w:eastAsia="Times New Roman" w:hAnsi="Arial" w:cs="Arial"/>
          <w:lang w:eastAsia="cs-CZ"/>
        </w:rPr>
        <w:t xml:space="preserve">operačních programů </w:t>
      </w:r>
      <w:r w:rsidR="00ED3592" w:rsidRPr="00F57A5E">
        <w:rPr>
          <w:rFonts w:ascii="Arial" w:eastAsia="Times New Roman" w:hAnsi="Arial" w:cs="Arial"/>
          <w:lang w:eastAsia="cs-CZ"/>
        </w:rPr>
        <w:t>programov</w:t>
      </w:r>
      <w:r w:rsidR="00ED3592">
        <w:rPr>
          <w:rFonts w:ascii="Arial" w:eastAsia="Times New Roman" w:hAnsi="Arial" w:cs="Arial"/>
          <w:lang w:eastAsia="cs-CZ"/>
        </w:rPr>
        <w:t>ý</w:t>
      </w:r>
      <w:r w:rsidR="00ED3592" w:rsidRPr="00F57A5E">
        <w:rPr>
          <w:rFonts w:ascii="Arial" w:eastAsia="Times New Roman" w:hAnsi="Arial" w:cs="Arial"/>
          <w:lang w:eastAsia="cs-CZ"/>
        </w:rPr>
        <w:t xml:space="preserve">ch </w:t>
      </w:r>
      <w:r w:rsidRPr="00F57A5E">
        <w:rPr>
          <w:rFonts w:ascii="Arial" w:eastAsia="Times New Roman" w:hAnsi="Arial" w:cs="Arial"/>
          <w:lang w:eastAsia="cs-CZ"/>
        </w:rPr>
        <w:t>období</w:t>
      </w:r>
      <w:r w:rsidR="00ED3592">
        <w:rPr>
          <w:rFonts w:ascii="Arial" w:eastAsia="Times New Roman" w:hAnsi="Arial" w:cs="Arial"/>
          <w:lang w:eastAsia="cs-CZ"/>
        </w:rPr>
        <w:t xml:space="preserve"> 2007 – 2013 a 2014 – 2020</w:t>
      </w:r>
      <w:r w:rsidRPr="00F57A5E">
        <w:rPr>
          <w:rFonts w:ascii="Arial" w:eastAsia="Times New Roman" w:hAnsi="Arial" w:cs="Arial"/>
          <w:lang w:eastAsia="cs-CZ"/>
        </w:rPr>
        <w:t>. Fázování umožní dokončit projekty</w:t>
      </w:r>
      <w:r w:rsidR="00ED3592">
        <w:rPr>
          <w:rFonts w:ascii="Arial" w:eastAsia="Times New Roman" w:hAnsi="Arial" w:cs="Arial"/>
          <w:lang w:eastAsia="cs-CZ"/>
        </w:rPr>
        <w:t xml:space="preserve"> započaté z </w:t>
      </w:r>
      <w:proofErr w:type="gramStart"/>
      <w:r w:rsidR="00ED3592">
        <w:rPr>
          <w:rFonts w:ascii="Arial" w:eastAsia="Times New Roman" w:hAnsi="Arial" w:cs="Arial"/>
          <w:lang w:eastAsia="cs-CZ"/>
        </w:rPr>
        <w:t>OP</w:t>
      </w:r>
      <w:proofErr w:type="gramEnd"/>
      <w:r w:rsidR="00ED3592">
        <w:rPr>
          <w:rFonts w:ascii="Arial" w:eastAsia="Times New Roman" w:hAnsi="Arial" w:cs="Arial"/>
          <w:lang w:eastAsia="cs-CZ"/>
        </w:rPr>
        <w:t xml:space="preserve"> </w:t>
      </w:r>
      <w:proofErr w:type="spellStart"/>
      <w:r w:rsidR="00ED3592">
        <w:rPr>
          <w:rFonts w:ascii="Arial" w:eastAsia="Times New Roman" w:hAnsi="Arial" w:cs="Arial"/>
          <w:lang w:eastAsia="cs-CZ"/>
        </w:rPr>
        <w:t>VaVpI</w:t>
      </w:r>
      <w:proofErr w:type="spellEnd"/>
      <w:r w:rsidRPr="00F57A5E">
        <w:rPr>
          <w:rFonts w:ascii="Arial" w:eastAsia="Times New Roman" w:hAnsi="Arial" w:cs="Arial"/>
          <w:lang w:eastAsia="cs-CZ"/>
        </w:rPr>
        <w:t xml:space="preserve"> </w:t>
      </w:r>
      <w:r w:rsidR="006A3F07">
        <w:rPr>
          <w:rFonts w:ascii="Arial" w:eastAsia="Times New Roman" w:hAnsi="Arial" w:cs="Arial"/>
          <w:lang w:eastAsia="cs-CZ"/>
        </w:rPr>
        <w:t>a</w:t>
      </w:r>
      <w:r w:rsidR="00D417C3">
        <w:rPr>
          <w:rFonts w:ascii="Arial" w:eastAsia="Times New Roman" w:hAnsi="Arial" w:cs="Arial"/>
          <w:lang w:eastAsia="cs-CZ"/>
        </w:rPr>
        <w:t> </w:t>
      </w:r>
      <w:r w:rsidRPr="00F57A5E">
        <w:rPr>
          <w:rFonts w:ascii="Arial" w:eastAsia="Times New Roman" w:hAnsi="Arial" w:cs="Arial"/>
          <w:lang w:eastAsia="cs-CZ"/>
        </w:rPr>
        <w:t>z</w:t>
      </w:r>
      <w:r w:rsidR="00ED3592">
        <w:rPr>
          <w:rFonts w:ascii="Arial" w:eastAsia="Times New Roman" w:hAnsi="Arial" w:cs="Arial"/>
          <w:lang w:eastAsia="cs-CZ"/>
        </w:rPr>
        <w:t xml:space="preserve"> prostředků </w:t>
      </w:r>
      <w:r w:rsidRPr="00F57A5E">
        <w:rPr>
          <w:rFonts w:ascii="Arial" w:eastAsia="Times New Roman" w:hAnsi="Arial" w:cs="Arial"/>
          <w:lang w:eastAsia="cs-CZ"/>
        </w:rPr>
        <w:t>OP VVV.</w:t>
      </w:r>
    </w:p>
    <w:p w:rsidR="000822A0" w:rsidRPr="00F57A5E" w:rsidRDefault="000822A0" w:rsidP="009F1B1F">
      <w:pPr>
        <w:spacing w:after="0" w:line="360" w:lineRule="auto"/>
        <w:ind w:firstLine="709"/>
        <w:jc w:val="both"/>
        <w:rPr>
          <w:rFonts w:ascii="Arial" w:eastAsia="Times New Roman" w:hAnsi="Arial" w:cs="Arial"/>
          <w:lang w:eastAsia="cs-CZ"/>
        </w:rPr>
      </w:pPr>
      <w:r w:rsidRPr="00F57A5E">
        <w:rPr>
          <w:rFonts w:ascii="Arial" w:eastAsia="Times New Roman" w:hAnsi="Arial" w:cs="Arial"/>
          <w:lang w:eastAsia="cs-CZ"/>
        </w:rPr>
        <w:t>K budování a rozšiřování kapacity infrastruktur VaVaI však v posledních deseti letech slouží také programy účelové podpory financované převážně ze státního rozpočtu. Od roku 2005 se</w:t>
      </w:r>
      <w:r w:rsidR="00D417C3">
        <w:rPr>
          <w:rFonts w:ascii="Arial" w:eastAsia="Times New Roman" w:hAnsi="Arial" w:cs="Arial"/>
          <w:lang w:eastAsia="cs-CZ"/>
        </w:rPr>
        <w:t> </w:t>
      </w:r>
      <w:r w:rsidRPr="00F57A5E">
        <w:rPr>
          <w:rFonts w:ascii="Arial" w:eastAsia="Times New Roman" w:hAnsi="Arial" w:cs="Arial"/>
          <w:lang w:eastAsia="cs-CZ"/>
        </w:rPr>
        <w:t>jednalo o tři programy poskytovatele Ministerstva školství, mládeže a tělovýchovy, a po jednom programu v případě Grantové agentury ČR a Technologické agentury ČR (</w:t>
      </w:r>
      <w:r w:rsidR="00700A78" w:rsidRPr="00F57A5E">
        <w:rPr>
          <w:rFonts w:ascii="Arial" w:eastAsia="Times New Roman" w:hAnsi="Arial" w:cs="Arial"/>
          <w:lang w:eastAsia="cs-CZ"/>
        </w:rPr>
        <w:t>S</w:t>
      </w:r>
      <w:r w:rsidRPr="00F57A5E">
        <w:rPr>
          <w:rFonts w:ascii="Arial" w:eastAsia="Times New Roman" w:hAnsi="Arial" w:cs="Arial"/>
          <w:lang w:eastAsia="cs-CZ"/>
        </w:rPr>
        <w:t>eznam dotačních titulů včetně informace o jejich cílech obsahuje tab</w:t>
      </w:r>
      <w:r w:rsidR="00291BB8">
        <w:rPr>
          <w:rFonts w:ascii="Arial" w:eastAsia="Times New Roman" w:hAnsi="Arial" w:cs="Arial"/>
          <w:lang w:eastAsia="cs-CZ"/>
        </w:rPr>
        <w:t>ulka</w:t>
      </w:r>
      <w:r w:rsidRPr="00F57A5E">
        <w:rPr>
          <w:rFonts w:ascii="Arial" w:eastAsia="Times New Roman" w:hAnsi="Arial" w:cs="Arial"/>
          <w:lang w:eastAsia="cs-CZ"/>
        </w:rPr>
        <w:t> </w:t>
      </w:r>
      <w:r w:rsidR="0053116E">
        <w:rPr>
          <w:rFonts w:ascii="Arial" w:eastAsia="Times New Roman" w:hAnsi="Arial" w:cs="Arial"/>
          <w:lang w:eastAsia="cs-CZ"/>
        </w:rPr>
        <w:t>5.1</w:t>
      </w:r>
      <w:r w:rsidR="00700A78" w:rsidRPr="00F57A5E">
        <w:rPr>
          <w:rFonts w:ascii="Arial" w:eastAsia="Times New Roman" w:hAnsi="Arial" w:cs="Arial"/>
          <w:lang w:eastAsia="cs-CZ"/>
        </w:rPr>
        <w:t>.</w:t>
      </w:r>
      <w:r w:rsidRPr="00F57A5E">
        <w:rPr>
          <w:rFonts w:ascii="Arial" w:eastAsia="Times New Roman" w:hAnsi="Arial" w:cs="Arial"/>
          <w:lang w:eastAsia="cs-CZ"/>
        </w:rPr>
        <w:t>).</w:t>
      </w:r>
    </w:p>
    <w:p w:rsidR="000822A0" w:rsidRPr="00F57A5E" w:rsidRDefault="000822A0" w:rsidP="009F1B1F">
      <w:pPr>
        <w:spacing w:after="0" w:line="360" w:lineRule="auto"/>
        <w:ind w:firstLine="709"/>
        <w:jc w:val="both"/>
        <w:rPr>
          <w:rFonts w:ascii="Arial" w:eastAsia="Times New Roman" w:hAnsi="Arial" w:cs="Arial"/>
          <w:lang w:eastAsia="cs-CZ"/>
        </w:rPr>
      </w:pPr>
      <w:r w:rsidRPr="00F57A5E">
        <w:rPr>
          <w:rFonts w:ascii="Arial" w:eastAsia="Times New Roman" w:hAnsi="Arial" w:cs="Arial"/>
          <w:lang w:eastAsia="cs-CZ"/>
        </w:rPr>
        <w:t>Nejvýznamnější infrastruktury VaVaI jsou podporovány ze státního rozpočtu na VaVaI prostřednictvím kapitoly MŠMT jako tzv. projekty velkých infrastruktur VaVaI, které schvaluje vláda. V roce 2014 byla pod organizační záštitou MŠMT provedena evaluace velkých infrastruktur založená na principech informovaného mezinárodního peer-</w:t>
      </w:r>
      <w:proofErr w:type="spellStart"/>
      <w:r w:rsidRPr="00F57A5E">
        <w:rPr>
          <w:rFonts w:ascii="Arial" w:eastAsia="Times New Roman" w:hAnsi="Arial" w:cs="Arial"/>
          <w:lang w:eastAsia="cs-CZ"/>
        </w:rPr>
        <w:t>review</w:t>
      </w:r>
      <w:proofErr w:type="spellEnd"/>
      <w:r w:rsidRPr="00F57A5E">
        <w:rPr>
          <w:rFonts w:ascii="Arial" w:eastAsia="Times New Roman" w:hAnsi="Arial" w:cs="Arial"/>
          <w:lang w:eastAsia="cs-CZ"/>
        </w:rPr>
        <w:t xml:space="preserve">. </w:t>
      </w:r>
    </w:p>
    <w:p w:rsidR="000822A0" w:rsidRPr="00F57A5E" w:rsidRDefault="000822A0" w:rsidP="009F1B1F">
      <w:pPr>
        <w:spacing w:after="0" w:line="360" w:lineRule="auto"/>
        <w:ind w:firstLine="709"/>
        <w:jc w:val="both"/>
        <w:rPr>
          <w:rFonts w:ascii="Arial" w:eastAsia="Times New Roman" w:hAnsi="Arial" w:cs="Arial"/>
          <w:lang w:eastAsia="cs-CZ"/>
        </w:rPr>
      </w:pPr>
      <w:r w:rsidRPr="00845AD8">
        <w:rPr>
          <w:rFonts w:ascii="Arial" w:eastAsia="Times New Roman" w:hAnsi="Arial" w:cs="Arial"/>
          <w:lang w:eastAsia="cs-CZ"/>
        </w:rPr>
        <w:t xml:space="preserve">Výstupem evaluace je 58 infrastruktur VaVaI doporučených mezinárodní hodnotící komisí </w:t>
      </w:r>
      <w:r w:rsidR="00ED3592" w:rsidRPr="00845AD8">
        <w:rPr>
          <w:rFonts w:ascii="Arial" w:eastAsia="Times New Roman" w:hAnsi="Arial" w:cs="Arial"/>
          <w:lang w:eastAsia="cs-CZ"/>
        </w:rPr>
        <w:t> k </w:t>
      </w:r>
      <w:r w:rsidRPr="00845AD8">
        <w:rPr>
          <w:rFonts w:ascii="Arial" w:eastAsia="Times New Roman" w:hAnsi="Arial" w:cs="Arial"/>
          <w:lang w:eastAsia="cs-CZ"/>
        </w:rPr>
        <w:t>financování a rozdělených do 4 skupin označujících prioritu jejich financování. Z nich 42 doporučila komise financovat jako vysoce prioritní. Z</w:t>
      </w:r>
      <w:r w:rsidRPr="00F57A5E">
        <w:rPr>
          <w:rFonts w:ascii="Arial" w:eastAsia="Times New Roman" w:hAnsi="Arial" w:cs="Arial"/>
          <w:lang w:eastAsia="cs-CZ"/>
        </w:rPr>
        <w:t> center vybudovaných z </w:t>
      </w:r>
      <w:proofErr w:type="gramStart"/>
      <w:r w:rsidRPr="00F57A5E">
        <w:rPr>
          <w:rFonts w:ascii="Arial" w:eastAsia="Times New Roman" w:hAnsi="Arial" w:cs="Arial"/>
          <w:lang w:eastAsia="cs-CZ"/>
        </w:rPr>
        <w:t>OP</w:t>
      </w:r>
      <w:proofErr w:type="gramEnd"/>
      <w:r w:rsidRPr="00F57A5E">
        <w:rPr>
          <w:rFonts w:ascii="Arial" w:eastAsia="Times New Roman" w:hAnsi="Arial" w:cs="Arial"/>
          <w:lang w:eastAsia="cs-CZ"/>
        </w:rPr>
        <w:t xml:space="preserve"> </w:t>
      </w:r>
      <w:proofErr w:type="spellStart"/>
      <w:r w:rsidRPr="00F57A5E">
        <w:rPr>
          <w:rFonts w:ascii="Arial" w:eastAsia="Times New Roman" w:hAnsi="Arial" w:cs="Arial"/>
          <w:lang w:eastAsia="cs-CZ"/>
        </w:rPr>
        <w:t>VaVpI</w:t>
      </w:r>
      <w:proofErr w:type="spellEnd"/>
      <w:r w:rsidRPr="00F57A5E">
        <w:rPr>
          <w:rFonts w:ascii="Arial" w:eastAsia="Times New Roman" w:hAnsi="Arial" w:cs="Arial"/>
          <w:lang w:eastAsia="cs-CZ"/>
        </w:rPr>
        <w:t xml:space="preserve"> byly jako vysoce prioritní označeny velké projekty ELI, IT4I a významné části projektů CEITEC a BIOCEV a</w:t>
      </w:r>
      <w:r w:rsidR="00D417C3">
        <w:rPr>
          <w:rFonts w:ascii="Arial" w:eastAsia="Times New Roman" w:hAnsi="Arial" w:cs="Arial"/>
          <w:lang w:eastAsia="cs-CZ"/>
        </w:rPr>
        <w:t> </w:t>
      </w:r>
      <w:r w:rsidRPr="00F57A5E">
        <w:rPr>
          <w:rFonts w:ascii="Arial" w:eastAsia="Times New Roman" w:hAnsi="Arial" w:cs="Arial"/>
          <w:lang w:eastAsia="cs-CZ"/>
        </w:rPr>
        <w:t>dále běžné (malé) projekty Centrum pro výzkum toxick</w:t>
      </w:r>
      <w:r w:rsidR="00CD0A39">
        <w:rPr>
          <w:rFonts w:ascii="Arial" w:eastAsia="Times New Roman" w:hAnsi="Arial" w:cs="Arial"/>
          <w:lang w:eastAsia="cs-CZ"/>
        </w:rPr>
        <w:t>ých látek v prostředí</w:t>
      </w:r>
      <w:r w:rsidRPr="00F57A5E">
        <w:rPr>
          <w:rFonts w:ascii="Arial" w:eastAsia="Times New Roman" w:hAnsi="Arial" w:cs="Arial"/>
          <w:lang w:eastAsia="cs-CZ"/>
        </w:rPr>
        <w:t>, Centrum výzkumu globální změny (</w:t>
      </w:r>
      <w:proofErr w:type="spellStart"/>
      <w:r w:rsidRPr="00F57A5E">
        <w:rPr>
          <w:rFonts w:ascii="Arial" w:eastAsia="Times New Roman" w:hAnsi="Arial" w:cs="Arial"/>
          <w:lang w:eastAsia="cs-CZ"/>
        </w:rPr>
        <w:t>CzechGlobe</w:t>
      </w:r>
      <w:proofErr w:type="spellEnd"/>
      <w:r w:rsidRPr="00F57A5E">
        <w:rPr>
          <w:rFonts w:ascii="Arial" w:eastAsia="Times New Roman" w:hAnsi="Arial" w:cs="Arial"/>
          <w:lang w:eastAsia="cs-CZ"/>
        </w:rPr>
        <w:t xml:space="preserve">) a Biomedicína pro regionální </w:t>
      </w:r>
      <w:r w:rsidR="00CD0A39">
        <w:rPr>
          <w:rFonts w:ascii="Arial" w:eastAsia="Times New Roman" w:hAnsi="Arial" w:cs="Arial"/>
          <w:lang w:eastAsia="cs-CZ"/>
        </w:rPr>
        <w:t>rozvoj a lidské zdroje.</w:t>
      </w:r>
    </w:p>
    <w:p w:rsidR="000822A0" w:rsidRPr="00F57A5E" w:rsidRDefault="000822A0" w:rsidP="006B4254">
      <w:pPr>
        <w:spacing w:after="0" w:line="360" w:lineRule="auto"/>
        <w:ind w:firstLine="708"/>
        <w:jc w:val="both"/>
        <w:rPr>
          <w:rFonts w:ascii="Arial" w:eastAsia="Times New Roman" w:hAnsi="Arial" w:cs="Arial"/>
          <w:lang w:eastAsia="cs-CZ"/>
        </w:rPr>
      </w:pPr>
      <w:r w:rsidRPr="00F57A5E">
        <w:rPr>
          <w:rFonts w:ascii="Arial" w:eastAsia="Times New Roman" w:hAnsi="Arial" w:cs="Arial"/>
          <w:lang w:eastAsia="cs-CZ"/>
        </w:rPr>
        <w:t>V souladu s rozvojem Evro</w:t>
      </w:r>
      <w:r w:rsidR="00CD0A39">
        <w:rPr>
          <w:rFonts w:ascii="Arial" w:eastAsia="Times New Roman" w:hAnsi="Arial" w:cs="Arial"/>
          <w:lang w:eastAsia="cs-CZ"/>
        </w:rPr>
        <w:t>pského výzkumného prostoru</w:t>
      </w:r>
      <w:r w:rsidRPr="00F57A5E">
        <w:rPr>
          <w:rFonts w:ascii="Arial" w:eastAsia="Times New Roman" w:hAnsi="Arial" w:cs="Arial"/>
          <w:lang w:eastAsia="cs-CZ"/>
        </w:rPr>
        <w:t xml:space="preserve"> a ve vazbě na aktivity Evropského strategického fóra pro</w:t>
      </w:r>
      <w:r w:rsidR="00CD0A39">
        <w:rPr>
          <w:rFonts w:ascii="Arial" w:eastAsia="Times New Roman" w:hAnsi="Arial" w:cs="Arial"/>
          <w:lang w:eastAsia="cs-CZ"/>
        </w:rPr>
        <w:t xml:space="preserve"> výzkumné infrastruktury</w:t>
      </w:r>
      <w:r w:rsidRPr="00F57A5E">
        <w:rPr>
          <w:rFonts w:ascii="Arial" w:eastAsia="Times New Roman" w:hAnsi="Arial" w:cs="Arial"/>
          <w:lang w:eastAsia="cs-CZ"/>
        </w:rPr>
        <w:t xml:space="preserve"> v podobě Cestovní mapy ESFRI byla v roce 2010 vytvořena Cestovní mapa ČR velkých infrastruktur pro VaVaI. Obsahuje infrastruktury VaVaI, </w:t>
      </w:r>
      <w:r w:rsidR="00152549" w:rsidRPr="00F57A5E">
        <w:rPr>
          <w:rFonts w:ascii="Arial" w:eastAsia="Times New Roman" w:hAnsi="Arial" w:cs="Arial"/>
          <w:lang w:eastAsia="cs-CZ"/>
        </w:rPr>
        <w:t xml:space="preserve">jež </w:t>
      </w:r>
      <w:r w:rsidRPr="00F57A5E">
        <w:rPr>
          <w:rFonts w:ascii="Arial" w:eastAsia="Times New Roman" w:hAnsi="Arial" w:cs="Arial"/>
          <w:lang w:eastAsia="cs-CZ"/>
        </w:rPr>
        <w:t xml:space="preserve">byly podporovány jako projekty velkých infrastruktur. V roce 2015 bude tato cestovní mapa aktualizována. </w:t>
      </w:r>
      <w:r w:rsidRPr="00845AD8">
        <w:rPr>
          <w:rFonts w:ascii="Arial" w:eastAsia="Times New Roman" w:hAnsi="Arial" w:cs="Arial"/>
          <w:lang w:eastAsia="cs-CZ"/>
        </w:rPr>
        <w:t xml:space="preserve">Předpokládá se její rozšíření na 58 infrastruktur VaVaI v návaznosti na výsledky </w:t>
      </w:r>
      <w:r w:rsidR="00ED3592" w:rsidRPr="00845AD8">
        <w:rPr>
          <w:rFonts w:ascii="Arial" w:eastAsia="Times New Roman" w:hAnsi="Arial" w:cs="Arial"/>
          <w:lang w:eastAsia="cs-CZ"/>
        </w:rPr>
        <w:t xml:space="preserve">výše zmíněné </w:t>
      </w:r>
      <w:r w:rsidRPr="00845AD8">
        <w:rPr>
          <w:rFonts w:ascii="Arial" w:eastAsia="Times New Roman" w:hAnsi="Arial" w:cs="Arial"/>
          <w:lang w:eastAsia="cs-CZ"/>
        </w:rPr>
        <w:t>mezinárodní evaluace. MŠMT předpokládá, že provozní náklady infrastruktur VaVaI zařazených na cestovní mapě budou hrazeny ze státního rozpočtu v limitech, které budou stanoveny schválenými výdaji státního rozpočtu ČR na výzkum, vývoj a inovace pro rok 2016 a</w:t>
      </w:r>
      <w:r w:rsidR="00D417C3">
        <w:rPr>
          <w:rFonts w:ascii="Arial" w:eastAsia="Times New Roman" w:hAnsi="Arial" w:cs="Arial"/>
          <w:lang w:eastAsia="cs-CZ"/>
        </w:rPr>
        <w:t> </w:t>
      </w:r>
      <w:r w:rsidRPr="00845AD8">
        <w:rPr>
          <w:rFonts w:ascii="Arial" w:eastAsia="Times New Roman" w:hAnsi="Arial" w:cs="Arial"/>
          <w:lang w:eastAsia="cs-CZ"/>
        </w:rPr>
        <w:t>jeho střednědobý výhled na léta 2017 a 2018 jako projekty velkých infrastruktur.</w:t>
      </w:r>
    </w:p>
    <w:p w:rsidR="000822A0" w:rsidRPr="000822A0" w:rsidRDefault="000822A0" w:rsidP="00391634">
      <w:pPr>
        <w:spacing w:after="0" w:line="360" w:lineRule="auto"/>
        <w:ind w:firstLine="708"/>
        <w:jc w:val="both"/>
        <w:rPr>
          <w:rFonts w:ascii="Times New Roman" w:eastAsia="Times New Roman" w:hAnsi="Times New Roman" w:cs="Times New Roman"/>
          <w:sz w:val="24"/>
          <w:szCs w:val="24"/>
          <w:lang w:eastAsia="cs-CZ"/>
        </w:rPr>
      </w:pPr>
      <w:r w:rsidRPr="00F57A5E">
        <w:rPr>
          <w:rFonts w:ascii="Arial" w:eastAsia="Times New Roman" w:hAnsi="Arial" w:cs="Arial"/>
          <w:lang w:eastAsia="cs-CZ"/>
        </w:rPr>
        <w:lastRenderedPageBreak/>
        <w:t>Pro zajištění udržitelnosti infrastruktur VaVaI vybudovaných z </w:t>
      </w:r>
      <w:proofErr w:type="gramStart"/>
      <w:r w:rsidRPr="00F57A5E">
        <w:rPr>
          <w:rFonts w:ascii="Arial" w:eastAsia="Times New Roman" w:hAnsi="Arial" w:cs="Arial"/>
          <w:lang w:eastAsia="cs-CZ"/>
        </w:rPr>
        <w:t>OP</w:t>
      </w:r>
      <w:proofErr w:type="gramEnd"/>
      <w:r w:rsidRPr="00F57A5E">
        <w:rPr>
          <w:rFonts w:ascii="Arial" w:eastAsia="Times New Roman" w:hAnsi="Arial" w:cs="Arial"/>
          <w:lang w:eastAsia="cs-CZ"/>
        </w:rPr>
        <w:t xml:space="preserve"> </w:t>
      </w:r>
      <w:proofErr w:type="spellStart"/>
      <w:r w:rsidRPr="00F57A5E">
        <w:rPr>
          <w:rFonts w:ascii="Arial" w:eastAsia="Times New Roman" w:hAnsi="Arial" w:cs="Arial"/>
          <w:lang w:eastAsia="cs-CZ"/>
        </w:rPr>
        <w:t>VaVpI</w:t>
      </w:r>
      <w:proofErr w:type="spellEnd"/>
      <w:r w:rsidRPr="00F57A5E">
        <w:rPr>
          <w:rFonts w:ascii="Arial" w:eastAsia="Times New Roman" w:hAnsi="Arial" w:cs="Arial"/>
          <w:lang w:eastAsia="cs-CZ"/>
        </w:rPr>
        <w:t xml:space="preserve"> schválila vláda </w:t>
      </w:r>
      <w:r w:rsidR="00ED3592">
        <w:rPr>
          <w:rFonts w:ascii="Arial" w:eastAsia="Times New Roman" w:hAnsi="Arial" w:cs="Arial"/>
          <w:lang w:eastAsia="cs-CZ"/>
        </w:rPr>
        <w:t>NPU</w:t>
      </w:r>
      <w:r w:rsidRPr="00F57A5E">
        <w:rPr>
          <w:rFonts w:ascii="Arial" w:eastAsia="Times New Roman" w:hAnsi="Arial" w:cs="Arial"/>
          <w:lang w:eastAsia="cs-CZ"/>
        </w:rPr>
        <w:t xml:space="preserve"> I (je realizován od roku 2013) a II (bude realizován od roku 2016). Slouží pro podporu center zejména v prvních letech provozu po jejich vybudování, kdy se jiné způsoby financování mohou uplatnit pouze omezeně. Projekty velkých infrastruktur i Národní programy udržitelnosti jsou podle zákona o podpoře výzkumu, experimentálního vývoje a inovací účelovou podporou, přestože svým zaměřením na konkrétní infrastruktury VaVaI odpovídají spíše podpoře institucionální.</w:t>
      </w:r>
    </w:p>
    <w:p w:rsidR="000822A0" w:rsidRPr="000822A0" w:rsidRDefault="000822A0" w:rsidP="000822A0">
      <w:pPr>
        <w:spacing w:after="0" w:line="240" w:lineRule="auto"/>
        <w:jc w:val="both"/>
        <w:rPr>
          <w:rFonts w:ascii="Times New Roman" w:eastAsia="Times New Roman" w:hAnsi="Times New Roman" w:cs="Times New Roman"/>
          <w:sz w:val="24"/>
          <w:szCs w:val="24"/>
          <w:lang w:eastAsia="cs-CZ"/>
        </w:rPr>
        <w:sectPr w:rsidR="000822A0" w:rsidRPr="000822A0" w:rsidSect="00E540D1">
          <w:pgSz w:w="11906" w:h="16838"/>
          <w:pgMar w:top="1134" w:right="1134" w:bottom="1134" w:left="1134" w:header="709" w:footer="709" w:gutter="0"/>
          <w:cols w:space="708"/>
          <w:docGrid w:linePitch="360"/>
        </w:sectPr>
      </w:pPr>
    </w:p>
    <w:p w:rsidR="000822A0" w:rsidRPr="000822A0" w:rsidRDefault="0053116E" w:rsidP="00DA646C">
      <w:pPr>
        <w:pStyle w:val="Obrzek-nadpis"/>
      </w:pPr>
      <w:r>
        <w:lastRenderedPageBreak/>
        <w:t>Tab. 5.1</w:t>
      </w:r>
      <w:r w:rsidR="00DA646C">
        <w:t xml:space="preserve">: </w:t>
      </w:r>
      <w:r w:rsidR="000822A0" w:rsidRPr="000822A0">
        <w:t>Finanční nástroje na podporu infrastruktur VaVaI v ČR v letech 2005 - 2014 (včetně běžících finančních nástrojů s termínem ukončení v pozdějších letech)</w:t>
      </w:r>
    </w:p>
    <w:tbl>
      <w:tblPr>
        <w:tblW w:w="14474" w:type="dxa"/>
        <w:tblInd w:w="55" w:type="dxa"/>
        <w:tblLayout w:type="fixed"/>
        <w:tblCellMar>
          <w:left w:w="70" w:type="dxa"/>
          <w:right w:w="70" w:type="dxa"/>
        </w:tblCellMar>
        <w:tblLook w:val="04A0" w:firstRow="1" w:lastRow="0" w:firstColumn="1" w:lastColumn="0" w:noHBand="0" w:noVBand="1"/>
      </w:tblPr>
      <w:tblGrid>
        <w:gridCol w:w="960"/>
        <w:gridCol w:w="1060"/>
        <w:gridCol w:w="2080"/>
        <w:gridCol w:w="5696"/>
        <w:gridCol w:w="851"/>
        <w:gridCol w:w="708"/>
        <w:gridCol w:w="1134"/>
        <w:gridCol w:w="1134"/>
        <w:gridCol w:w="851"/>
      </w:tblGrid>
      <w:tr w:rsidR="000822A0" w:rsidRPr="000822A0" w:rsidTr="00133488">
        <w:trPr>
          <w:trHeight w:val="1856"/>
          <w:tblHeader/>
        </w:trPr>
        <w:tc>
          <w:tcPr>
            <w:tcW w:w="960" w:type="dxa"/>
            <w:tcBorders>
              <w:top w:val="nil"/>
              <w:left w:val="nil"/>
              <w:bottom w:val="nil"/>
              <w:right w:val="nil"/>
            </w:tcBorders>
            <w:shd w:val="clear" w:color="000000" w:fill="92CDDC"/>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proofErr w:type="spellStart"/>
            <w:r w:rsidRPr="000822A0">
              <w:rPr>
                <w:rFonts w:ascii="Calibri" w:eastAsia="Times New Roman" w:hAnsi="Calibri" w:cs="Times New Roman"/>
                <w:b/>
                <w:bCs/>
                <w:color w:val="FFFFFF"/>
                <w:lang w:eastAsia="cs-CZ"/>
              </w:rPr>
              <w:t>Poskyto-vatel</w:t>
            </w:r>
            <w:proofErr w:type="spellEnd"/>
          </w:p>
        </w:tc>
        <w:tc>
          <w:tcPr>
            <w:tcW w:w="1060" w:type="dxa"/>
            <w:tcBorders>
              <w:top w:val="nil"/>
              <w:left w:val="nil"/>
              <w:bottom w:val="nil"/>
              <w:right w:val="nil"/>
            </w:tcBorders>
            <w:shd w:val="clear" w:color="000000" w:fill="92CDDC"/>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kód programu v IS VaVaI</w:t>
            </w:r>
          </w:p>
        </w:tc>
        <w:tc>
          <w:tcPr>
            <w:tcW w:w="2080" w:type="dxa"/>
            <w:tcBorders>
              <w:top w:val="nil"/>
              <w:left w:val="nil"/>
              <w:bottom w:val="nil"/>
              <w:right w:val="nil"/>
            </w:tcBorders>
            <w:shd w:val="clear" w:color="000000" w:fill="92CDDC"/>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Název finančního nástroje / programu</w:t>
            </w:r>
          </w:p>
        </w:tc>
        <w:tc>
          <w:tcPr>
            <w:tcW w:w="5696" w:type="dxa"/>
            <w:tcBorders>
              <w:top w:val="nil"/>
              <w:left w:val="nil"/>
              <w:bottom w:val="nil"/>
              <w:right w:val="nil"/>
            </w:tcBorders>
            <w:shd w:val="clear" w:color="000000" w:fill="92CDDC"/>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Cíle v souvislosti s podporou infrastruktur VaVaI</w:t>
            </w:r>
          </w:p>
        </w:tc>
        <w:tc>
          <w:tcPr>
            <w:tcW w:w="851" w:type="dxa"/>
            <w:tcBorders>
              <w:top w:val="nil"/>
              <w:left w:val="nil"/>
              <w:bottom w:val="nil"/>
              <w:right w:val="nil"/>
            </w:tcBorders>
            <w:shd w:val="clear" w:color="000000" w:fill="92CDDC"/>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 xml:space="preserve">začátek </w:t>
            </w:r>
          </w:p>
        </w:tc>
        <w:tc>
          <w:tcPr>
            <w:tcW w:w="708" w:type="dxa"/>
            <w:tcBorders>
              <w:top w:val="nil"/>
              <w:left w:val="nil"/>
              <w:bottom w:val="nil"/>
              <w:right w:val="nil"/>
            </w:tcBorders>
            <w:shd w:val="clear" w:color="000000" w:fill="92CDDC"/>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 xml:space="preserve">konec </w:t>
            </w:r>
          </w:p>
        </w:tc>
        <w:tc>
          <w:tcPr>
            <w:tcW w:w="1134" w:type="dxa"/>
            <w:tcBorders>
              <w:top w:val="nil"/>
              <w:left w:val="nil"/>
              <w:bottom w:val="nil"/>
              <w:right w:val="nil"/>
            </w:tcBorders>
            <w:shd w:val="clear" w:color="000000" w:fill="92CDDC"/>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 xml:space="preserve">celkové náklady za celou dobu řešení </w:t>
            </w:r>
            <w:r w:rsidRPr="000822A0">
              <w:rPr>
                <w:rFonts w:ascii="Calibri" w:eastAsia="Times New Roman" w:hAnsi="Calibri" w:cs="Times New Roman"/>
                <w:b/>
                <w:bCs/>
                <w:color w:val="FFFFFF"/>
                <w:lang w:eastAsia="cs-CZ"/>
              </w:rPr>
              <w:br/>
              <w:t>(tis. Kč)</w:t>
            </w:r>
          </w:p>
        </w:tc>
        <w:tc>
          <w:tcPr>
            <w:tcW w:w="1134" w:type="dxa"/>
            <w:tcBorders>
              <w:top w:val="nil"/>
              <w:left w:val="nil"/>
              <w:bottom w:val="nil"/>
              <w:right w:val="nil"/>
            </w:tcBorders>
            <w:shd w:val="clear" w:color="000000" w:fill="92CDDC"/>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Podpora ze SR za celou dobu řešení</w:t>
            </w:r>
            <w:r w:rsidRPr="000822A0">
              <w:rPr>
                <w:rFonts w:ascii="Calibri" w:eastAsia="Times New Roman" w:hAnsi="Calibri" w:cs="Times New Roman"/>
                <w:b/>
                <w:bCs/>
                <w:color w:val="FFFFFF"/>
                <w:lang w:eastAsia="cs-CZ"/>
              </w:rPr>
              <w:br/>
              <w:t>(tis. Kč)</w:t>
            </w:r>
          </w:p>
        </w:tc>
        <w:tc>
          <w:tcPr>
            <w:tcW w:w="851" w:type="dxa"/>
            <w:tcBorders>
              <w:top w:val="nil"/>
              <w:left w:val="nil"/>
              <w:bottom w:val="nil"/>
              <w:right w:val="nil"/>
            </w:tcBorders>
            <w:shd w:val="clear" w:color="000000" w:fill="92CDDC"/>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 xml:space="preserve">počet </w:t>
            </w:r>
            <w:proofErr w:type="spellStart"/>
            <w:r w:rsidRPr="000822A0">
              <w:rPr>
                <w:rFonts w:ascii="Calibri" w:eastAsia="Times New Roman" w:hAnsi="Calibri" w:cs="Times New Roman"/>
                <w:b/>
                <w:bCs/>
                <w:color w:val="FFFFFF"/>
                <w:lang w:eastAsia="cs-CZ"/>
              </w:rPr>
              <w:t>projek-tů</w:t>
            </w:r>
            <w:proofErr w:type="spellEnd"/>
          </w:p>
        </w:tc>
      </w:tr>
      <w:tr w:rsidR="000822A0" w:rsidRPr="000822A0" w:rsidTr="00133488">
        <w:trPr>
          <w:trHeight w:val="300"/>
        </w:trPr>
        <w:tc>
          <w:tcPr>
            <w:tcW w:w="14474" w:type="dxa"/>
            <w:gridSpan w:val="9"/>
            <w:tcBorders>
              <w:top w:val="single" w:sz="4" w:space="0" w:color="92CDDC"/>
              <w:left w:val="single" w:sz="4" w:space="0" w:color="92CDDC"/>
              <w:bottom w:val="nil"/>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Operační programy spolufinancované ze SR</w:t>
            </w:r>
          </w:p>
        </w:tc>
      </w:tr>
      <w:tr w:rsidR="000822A0" w:rsidRPr="000822A0" w:rsidTr="00133488">
        <w:trPr>
          <w:trHeight w:val="2947"/>
        </w:trPr>
        <w:tc>
          <w:tcPr>
            <w:tcW w:w="960" w:type="dxa"/>
            <w:tcBorders>
              <w:top w:val="single" w:sz="4" w:space="0" w:color="92CDDC"/>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MŠMT</w:t>
            </w:r>
          </w:p>
        </w:tc>
        <w:tc>
          <w:tcPr>
            <w:tcW w:w="1060" w:type="dxa"/>
            <w:tcBorders>
              <w:top w:val="single" w:sz="4" w:space="0" w:color="92CDDC"/>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ED*</w:t>
            </w:r>
          </w:p>
        </w:tc>
        <w:tc>
          <w:tcPr>
            <w:tcW w:w="2080" w:type="dxa"/>
            <w:tcBorders>
              <w:top w:val="single" w:sz="4" w:space="0" w:color="92CDDC"/>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 xml:space="preserve">Operační program Výzkum a vývoj pro inovace - prioritní osy Evropská centra excelence a Regionální centra výzkumu a vývoje </w:t>
            </w:r>
          </w:p>
        </w:tc>
        <w:tc>
          <w:tcPr>
            <w:tcW w:w="5696" w:type="dxa"/>
            <w:tcBorders>
              <w:top w:val="single" w:sz="4" w:space="0" w:color="92CDDC"/>
              <w:left w:val="nil"/>
              <w:bottom w:val="single" w:sz="4" w:space="0" w:color="92CDDC"/>
              <w:right w:val="single" w:sz="4" w:space="0" w:color="92CDDC"/>
            </w:tcBorders>
            <w:shd w:val="clear" w:color="auto" w:fill="auto"/>
            <w:vAlign w:val="center"/>
            <w:hideMark/>
          </w:tcPr>
          <w:p w:rsidR="00152549" w:rsidRDefault="000822A0" w:rsidP="002978DA">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Globálním cílem OP </w:t>
            </w:r>
            <w:proofErr w:type="spellStart"/>
            <w:r w:rsidRPr="000822A0">
              <w:rPr>
                <w:rFonts w:ascii="Calibri" w:eastAsia="Times New Roman" w:hAnsi="Calibri" w:cs="Times New Roman"/>
                <w:color w:val="000000"/>
                <w:sz w:val="16"/>
                <w:szCs w:val="16"/>
                <w:lang w:eastAsia="cs-CZ"/>
              </w:rPr>
              <w:t>VaVpI</w:t>
            </w:r>
            <w:proofErr w:type="spellEnd"/>
            <w:r w:rsidRPr="000822A0">
              <w:rPr>
                <w:rFonts w:ascii="Calibri" w:eastAsia="Times New Roman" w:hAnsi="Calibri" w:cs="Times New Roman"/>
                <w:color w:val="000000"/>
                <w:sz w:val="16"/>
                <w:szCs w:val="16"/>
                <w:lang w:eastAsia="cs-CZ"/>
              </w:rPr>
              <w:t xml:space="preserve"> je posilování výzkumného, vývojového a inovačního potenciálu ČR, který přispěje k růstu konkurenceschopnosti a vytváření vysoce kvalifikovaných pracovních míst tak, aby se regiony ČR staly významnými místy koncentrace těchto aktivit v Evropě. OP </w:t>
            </w:r>
            <w:proofErr w:type="spellStart"/>
            <w:r w:rsidRPr="000822A0">
              <w:rPr>
                <w:rFonts w:ascii="Calibri" w:eastAsia="Times New Roman" w:hAnsi="Calibri" w:cs="Times New Roman"/>
                <w:color w:val="000000"/>
                <w:sz w:val="16"/>
                <w:szCs w:val="16"/>
                <w:lang w:eastAsia="cs-CZ"/>
              </w:rPr>
              <w:t>VaVpI</w:t>
            </w:r>
            <w:proofErr w:type="spellEnd"/>
            <w:r w:rsidRPr="000822A0">
              <w:rPr>
                <w:rFonts w:ascii="Calibri" w:eastAsia="Times New Roman" w:hAnsi="Calibri" w:cs="Times New Roman"/>
                <w:color w:val="000000"/>
                <w:sz w:val="16"/>
                <w:szCs w:val="16"/>
                <w:lang w:eastAsia="cs-CZ"/>
              </w:rPr>
              <w:t xml:space="preserve"> je jedním z významných operačních programů, které přispívají k posílení růstu konkurenceschopnosti státu a orientaci na ekonomiku založenou na znalostech. Je tvořen prioritními osami Evropská centra excelence (PO 1), Regionální centra výzkumu a vývoje (PO 2), Komercializace </w:t>
            </w:r>
          </w:p>
          <w:p w:rsidR="00152549" w:rsidRDefault="000822A0" w:rsidP="002978DA">
            <w:pPr>
              <w:spacing w:after="0" w:line="240" w:lineRule="auto"/>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a popularizace </w:t>
            </w:r>
            <w:proofErr w:type="spellStart"/>
            <w:r w:rsidRPr="000822A0">
              <w:rPr>
                <w:rFonts w:ascii="Calibri" w:eastAsia="Times New Roman" w:hAnsi="Calibri" w:cs="Times New Roman"/>
                <w:color w:val="000000"/>
                <w:sz w:val="16"/>
                <w:szCs w:val="16"/>
                <w:lang w:eastAsia="cs-CZ"/>
              </w:rPr>
              <w:t>VaV</w:t>
            </w:r>
            <w:proofErr w:type="spellEnd"/>
            <w:r w:rsidRPr="000822A0">
              <w:rPr>
                <w:rFonts w:ascii="Calibri" w:eastAsia="Times New Roman" w:hAnsi="Calibri" w:cs="Times New Roman"/>
                <w:color w:val="000000"/>
                <w:sz w:val="16"/>
                <w:szCs w:val="16"/>
                <w:lang w:eastAsia="cs-CZ"/>
              </w:rPr>
              <w:t xml:space="preserve">, Infrastruktura pro výuku na vysokých školách spojenou </w:t>
            </w:r>
          </w:p>
          <w:p w:rsidR="000822A0" w:rsidRPr="000822A0" w:rsidRDefault="000822A0" w:rsidP="002978DA">
            <w:pPr>
              <w:spacing w:after="0" w:line="240" w:lineRule="auto"/>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s výzkumem a Technická pomoc. PO 1 - centra, která svým dopadem, vybavením, jedinečnou strukturou a kritickou velikostí přispějí k propojení a větší integraci předních českých </w:t>
            </w:r>
            <w:proofErr w:type="spellStart"/>
            <w:r w:rsidRPr="000822A0">
              <w:rPr>
                <w:rFonts w:ascii="Calibri" w:eastAsia="Times New Roman" w:hAnsi="Calibri" w:cs="Times New Roman"/>
                <w:color w:val="000000"/>
                <w:sz w:val="16"/>
                <w:szCs w:val="16"/>
                <w:lang w:eastAsia="cs-CZ"/>
              </w:rPr>
              <w:t>VaV</w:t>
            </w:r>
            <w:proofErr w:type="spellEnd"/>
            <w:r w:rsidRPr="000822A0">
              <w:rPr>
                <w:rFonts w:ascii="Calibri" w:eastAsia="Times New Roman" w:hAnsi="Calibri" w:cs="Times New Roman"/>
                <w:color w:val="000000"/>
                <w:sz w:val="16"/>
                <w:szCs w:val="16"/>
                <w:lang w:eastAsia="cs-CZ"/>
              </w:rPr>
              <w:t xml:space="preserve"> týmů na mezinárodní úroveň. PO 2 -</w:t>
            </w:r>
            <w:r w:rsidR="00B717D5">
              <w:rPr>
                <w:rFonts w:ascii="Calibri" w:eastAsia="Times New Roman" w:hAnsi="Calibri" w:cs="Times New Roman"/>
                <w:color w:val="000000"/>
                <w:sz w:val="16"/>
                <w:szCs w:val="16"/>
                <w:lang w:eastAsia="cs-CZ"/>
              </w:rPr>
              <w:t xml:space="preserve"> </w:t>
            </w:r>
            <w:r w:rsidRPr="000822A0">
              <w:rPr>
                <w:rFonts w:ascii="Calibri" w:eastAsia="Times New Roman" w:hAnsi="Calibri" w:cs="Times New Roman"/>
                <w:color w:val="000000"/>
                <w:sz w:val="16"/>
                <w:szCs w:val="16"/>
                <w:lang w:eastAsia="cs-CZ"/>
              </w:rPr>
              <w:t xml:space="preserve">centra zaměřená na aplikovaný výzkum a spolupráci s aplikační sférou; mají přispět k prohloubení regionálních, ekonomických a technologických specializací. </w:t>
            </w:r>
          </w:p>
        </w:tc>
        <w:tc>
          <w:tcPr>
            <w:tcW w:w="851" w:type="dxa"/>
            <w:tcBorders>
              <w:top w:val="single" w:sz="4" w:space="0" w:color="92CDDC"/>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2008</w:t>
            </w:r>
          </w:p>
        </w:tc>
        <w:tc>
          <w:tcPr>
            <w:tcW w:w="708" w:type="dxa"/>
            <w:tcBorders>
              <w:top w:val="single" w:sz="4" w:space="0" w:color="92CDDC"/>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2015</w:t>
            </w:r>
          </w:p>
        </w:tc>
        <w:tc>
          <w:tcPr>
            <w:tcW w:w="1134" w:type="dxa"/>
            <w:tcBorders>
              <w:top w:val="single" w:sz="4" w:space="0" w:color="92CDDC"/>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41 320 257</w:t>
            </w:r>
          </w:p>
        </w:tc>
        <w:tc>
          <w:tcPr>
            <w:tcW w:w="1134" w:type="dxa"/>
            <w:tcBorders>
              <w:top w:val="single" w:sz="4" w:space="0" w:color="92CDDC"/>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6 185 709</w:t>
            </w:r>
          </w:p>
        </w:tc>
        <w:tc>
          <w:tcPr>
            <w:tcW w:w="851" w:type="dxa"/>
            <w:tcBorders>
              <w:top w:val="single" w:sz="4" w:space="0" w:color="92CDDC"/>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bCs/>
                <w:color w:val="000000"/>
                <w:lang w:eastAsia="cs-CZ"/>
              </w:rPr>
            </w:pPr>
            <w:r w:rsidRPr="000822A0">
              <w:rPr>
                <w:rFonts w:ascii="Calibri" w:eastAsia="Times New Roman" w:hAnsi="Calibri" w:cs="Times New Roman"/>
                <w:bCs/>
                <w:color w:val="000000"/>
                <w:lang w:eastAsia="cs-CZ"/>
              </w:rPr>
              <w:t>48</w:t>
            </w:r>
          </w:p>
        </w:tc>
      </w:tr>
      <w:tr w:rsidR="000822A0" w:rsidRPr="000822A0" w:rsidTr="00133488">
        <w:trPr>
          <w:trHeight w:val="300"/>
        </w:trPr>
        <w:tc>
          <w:tcPr>
            <w:tcW w:w="14474" w:type="dxa"/>
            <w:gridSpan w:val="9"/>
            <w:tcBorders>
              <w:top w:val="nil"/>
              <w:left w:val="single" w:sz="4" w:space="0" w:color="92CDDC"/>
              <w:bottom w:val="nil"/>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Programy účelové podpory nebo skupiny grantových projektů zaměřené na budování infrastruktur a jejich další rozvoj</w:t>
            </w:r>
          </w:p>
        </w:tc>
      </w:tr>
      <w:tr w:rsidR="000822A0" w:rsidRPr="000822A0" w:rsidTr="00133488">
        <w:trPr>
          <w:trHeight w:val="953"/>
        </w:trPr>
        <w:tc>
          <w:tcPr>
            <w:tcW w:w="960" w:type="dxa"/>
            <w:tcBorders>
              <w:top w:val="single" w:sz="4" w:space="0" w:color="92CDDC"/>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MŠMT</w:t>
            </w:r>
          </w:p>
        </w:tc>
        <w:tc>
          <w:tcPr>
            <w:tcW w:w="1060" w:type="dxa"/>
            <w:tcBorders>
              <w:top w:val="single" w:sz="4" w:space="0" w:color="92CDDC"/>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1M</w:t>
            </w:r>
          </w:p>
        </w:tc>
        <w:tc>
          <w:tcPr>
            <w:tcW w:w="2080" w:type="dxa"/>
            <w:tcBorders>
              <w:top w:val="single" w:sz="4" w:space="0" w:color="92CDDC"/>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Výzkumná centra (Národní program výzkumu)</w:t>
            </w:r>
          </w:p>
        </w:tc>
        <w:tc>
          <w:tcPr>
            <w:tcW w:w="5696" w:type="dxa"/>
            <w:tcBorders>
              <w:top w:val="single" w:sz="4" w:space="0" w:color="92CDDC"/>
              <w:left w:val="nil"/>
              <w:bottom w:val="single" w:sz="4" w:space="0" w:color="92CDDC"/>
              <w:right w:val="single" w:sz="4" w:space="0" w:color="92CDDC"/>
            </w:tcBorders>
            <w:shd w:val="clear" w:color="auto" w:fill="auto"/>
            <w:vAlign w:val="center"/>
            <w:hideMark/>
          </w:tcPr>
          <w:p w:rsidR="000822A0" w:rsidRPr="000822A0" w:rsidRDefault="000822A0" w:rsidP="002978DA">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Podpořit spolupráci špičkových vědeckých pracovišť v ČR tak, aby byla zvýšena jejich konkurenceschopnost v Evropském výzkumném prostoru, a přispět k výchově mladých odborníků.</w:t>
            </w:r>
          </w:p>
        </w:tc>
        <w:tc>
          <w:tcPr>
            <w:tcW w:w="851" w:type="dxa"/>
            <w:tcBorders>
              <w:top w:val="single" w:sz="4" w:space="0" w:color="92CDDC"/>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2005</w:t>
            </w:r>
          </w:p>
        </w:tc>
        <w:tc>
          <w:tcPr>
            <w:tcW w:w="708" w:type="dxa"/>
            <w:tcBorders>
              <w:top w:val="single" w:sz="4" w:space="0" w:color="92CDDC"/>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2011</w:t>
            </w:r>
          </w:p>
        </w:tc>
        <w:tc>
          <w:tcPr>
            <w:tcW w:w="1134" w:type="dxa"/>
            <w:tcBorders>
              <w:top w:val="single" w:sz="4" w:space="0" w:color="92CDDC"/>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6 723 072</w:t>
            </w:r>
          </w:p>
        </w:tc>
        <w:tc>
          <w:tcPr>
            <w:tcW w:w="1134" w:type="dxa"/>
            <w:tcBorders>
              <w:top w:val="single" w:sz="4" w:space="0" w:color="92CDDC"/>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5 931 731</w:t>
            </w:r>
          </w:p>
        </w:tc>
        <w:tc>
          <w:tcPr>
            <w:tcW w:w="851" w:type="dxa"/>
            <w:tcBorders>
              <w:top w:val="single" w:sz="4" w:space="0" w:color="92CDDC"/>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bCs/>
                <w:color w:val="000000"/>
                <w:lang w:eastAsia="cs-CZ"/>
              </w:rPr>
            </w:pPr>
            <w:r w:rsidRPr="000822A0">
              <w:rPr>
                <w:rFonts w:ascii="Calibri" w:eastAsia="Times New Roman" w:hAnsi="Calibri" w:cs="Times New Roman"/>
                <w:bCs/>
                <w:color w:val="000000"/>
                <w:lang w:eastAsia="cs-CZ"/>
              </w:rPr>
              <w:t>36</w:t>
            </w:r>
          </w:p>
        </w:tc>
      </w:tr>
      <w:tr w:rsidR="000822A0" w:rsidRPr="000822A0" w:rsidTr="00133488">
        <w:trPr>
          <w:trHeight w:val="712"/>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MŠMT</w:t>
            </w:r>
          </w:p>
        </w:tc>
        <w:tc>
          <w:tcPr>
            <w:tcW w:w="1060"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LC</w:t>
            </w:r>
          </w:p>
        </w:tc>
        <w:tc>
          <w:tcPr>
            <w:tcW w:w="208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Centra základního výzkumu</w:t>
            </w:r>
          </w:p>
        </w:tc>
        <w:tc>
          <w:tcPr>
            <w:tcW w:w="5696" w:type="dxa"/>
            <w:tcBorders>
              <w:top w:val="nil"/>
              <w:left w:val="nil"/>
              <w:bottom w:val="single" w:sz="4" w:space="0" w:color="92CDDC"/>
              <w:right w:val="single" w:sz="4" w:space="0" w:color="92CDDC"/>
            </w:tcBorders>
            <w:shd w:val="clear" w:color="auto" w:fill="auto"/>
            <w:vAlign w:val="center"/>
            <w:hideMark/>
          </w:tcPr>
          <w:p w:rsidR="00152549" w:rsidRDefault="000822A0" w:rsidP="002978DA">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Podpořit spolupráci špičkových vědeckých pracovišť v České republice tak, aby byla zvýšena jejich konkurenceschopnost v Evropském výzkumném prostoru, a přispět</w:t>
            </w:r>
          </w:p>
          <w:p w:rsidR="000822A0" w:rsidRPr="000822A0" w:rsidRDefault="000822A0" w:rsidP="002978DA">
            <w:pPr>
              <w:spacing w:after="0" w:line="240" w:lineRule="auto"/>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 k výchově mladých odborníků.</w:t>
            </w:r>
          </w:p>
        </w:tc>
        <w:tc>
          <w:tcPr>
            <w:tcW w:w="851"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2005</w:t>
            </w:r>
          </w:p>
        </w:tc>
        <w:tc>
          <w:tcPr>
            <w:tcW w:w="708"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2011</w:t>
            </w:r>
          </w:p>
        </w:tc>
        <w:tc>
          <w:tcPr>
            <w:tcW w:w="1134"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4 071 613</w:t>
            </w:r>
          </w:p>
        </w:tc>
        <w:tc>
          <w:tcPr>
            <w:tcW w:w="1134"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3 163 562</w:t>
            </w:r>
          </w:p>
        </w:tc>
        <w:tc>
          <w:tcPr>
            <w:tcW w:w="851"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bCs/>
                <w:color w:val="000000"/>
                <w:lang w:eastAsia="cs-CZ"/>
              </w:rPr>
            </w:pPr>
            <w:r w:rsidRPr="000822A0">
              <w:rPr>
                <w:rFonts w:ascii="Calibri" w:eastAsia="Times New Roman" w:hAnsi="Calibri" w:cs="Times New Roman"/>
                <w:bCs/>
                <w:color w:val="000000"/>
                <w:lang w:eastAsia="cs-CZ"/>
              </w:rPr>
              <w:t>51</w:t>
            </w:r>
          </w:p>
        </w:tc>
      </w:tr>
      <w:tr w:rsidR="000822A0" w:rsidRPr="000822A0" w:rsidTr="00133488">
        <w:trPr>
          <w:trHeight w:val="600"/>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MŠMT</w:t>
            </w:r>
          </w:p>
        </w:tc>
        <w:tc>
          <w:tcPr>
            <w:tcW w:w="1060"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LR</w:t>
            </w:r>
          </w:p>
        </w:tc>
        <w:tc>
          <w:tcPr>
            <w:tcW w:w="208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Informace - základ výzkumu</w:t>
            </w:r>
          </w:p>
        </w:tc>
        <w:tc>
          <w:tcPr>
            <w:tcW w:w="5696"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2072CE">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Rozvoj informační infrastruktury a infrastrukturních služeb výzkumu – „Informace jako základní stavební kámen, bez něhož nelze stavět“, tj. vytvářet nové výsledky ve </w:t>
            </w:r>
            <w:proofErr w:type="spellStart"/>
            <w:r w:rsidRPr="000822A0">
              <w:rPr>
                <w:rFonts w:ascii="Calibri" w:eastAsia="Times New Roman" w:hAnsi="Calibri" w:cs="Times New Roman"/>
                <w:color w:val="000000"/>
                <w:sz w:val="16"/>
                <w:szCs w:val="16"/>
                <w:lang w:eastAsia="cs-CZ"/>
              </w:rPr>
              <w:t>VaV</w:t>
            </w:r>
            <w:proofErr w:type="spellEnd"/>
            <w:r w:rsidRPr="000822A0">
              <w:rPr>
                <w:rFonts w:ascii="Calibri" w:eastAsia="Times New Roman" w:hAnsi="Calibri" w:cs="Times New Roman"/>
                <w:color w:val="000000"/>
                <w:sz w:val="16"/>
                <w:szCs w:val="16"/>
                <w:lang w:eastAsia="cs-CZ"/>
              </w:rPr>
              <w:t>.</w:t>
            </w:r>
          </w:p>
        </w:tc>
        <w:tc>
          <w:tcPr>
            <w:tcW w:w="851"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2013</w:t>
            </w:r>
          </w:p>
        </w:tc>
        <w:tc>
          <w:tcPr>
            <w:tcW w:w="708"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2017</w:t>
            </w:r>
          </w:p>
        </w:tc>
        <w:tc>
          <w:tcPr>
            <w:tcW w:w="1134"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1 951 526</w:t>
            </w:r>
          </w:p>
        </w:tc>
        <w:tc>
          <w:tcPr>
            <w:tcW w:w="1134"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1 017 120</w:t>
            </w:r>
          </w:p>
        </w:tc>
        <w:tc>
          <w:tcPr>
            <w:tcW w:w="851"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bCs/>
                <w:color w:val="000000"/>
                <w:lang w:eastAsia="cs-CZ"/>
              </w:rPr>
            </w:pPr>
            <w:r w:rsidRPr="000822A0">
              <w:rPr>
                <w:rFonts w:ascii="Calibri" w:eastAsia="Times New Roman" w:hAnsi="Calibri" w:cs="Times New Roman"/>
                <w:bCs/>
                <w:color w:val="000000"/>
                <w:lang w:eastAsia="cs-CZ"/>
              </w:rPr>
              <w:t>9</w:t>
            </w:r>
          </w:p>
        </w:tc>
      </w:tr>
      <w:tr w:rsidR="000822A0" w:rsidRPr="000822A0" w:rsidTr="00133488">
        <w:trPr>
          <w:trHeight w:val="833"/>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GA ČR</w:t>
            </w:r>
          </w:p>
        </w:tc>
        <w:tc>
          <w:tcPr>
            <w:tcW w:w="1060"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GB</w:t>
            </w:r>
          </w:p>
        </w:tc>
        <w:tc>
          <w:tcPr>
            <w:tcW w:w="208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Projekty na podporu excelence v základním výzkumu</w:t>
            </w:r>
          </w:p>
        </w:tc>
        <w:tc>
          <w:tcPr>
            <w:tcW w:w="5696"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2072CE">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Cílem je podpořit vědeckou spolupráci v základním výzkumu více špičkových týmů z několika institucí zkoumajících stejnou či příbuznou problematiku, v níž v</w:t>
            </w:r>
            <w:r w:rsidR="00152549">
              <w:rPr>
                <w:rFonts w:ascii="Calibri" w:eastAsia="Times New Roman" w:hAnsi="Calibri" w:cs="Times New Roman"/>
                <w:color w:val="000000"/>
                <w:sz w:val="16"/>
                <w:szCs w:val="16"/>
                <w:lang w:eastAsia="cs-CZ"/>
              </w:rPr>
              <w:t xml:space="preserve"> minulosti </w:t>
            </w:r>
            <w:r w:rsidRPr="000822A0">
              <w:rPr>
                <w:rFonts w:ascii="Calibri" w:eastAsia="Times New Roman" w:hAnsi="Calibri" w:cs="Times New Roman"/>
                <w:color w:val="000000"/>
                <w:sz w:val="16"/>
                <w:szCs w:val="16"/>
                <w:lang w:eastAsia="cs-CZ"/>
              </w:rPr>
              <w:t>dosáhly vynikajících výsledků.</w:t>
            </w:r>
          </w:p>
        </w:tc>
        <w:tc>
          <w:tcPr>
            <w:tcW w:w="851"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2012</w:t>
            </w:r>
          </w:p>
        </w:tc>
        <w:tc>
          <w:tcPr>
            <w:tcW w:w="708"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2018</w:t>
            </w:r>
          </w:p>
        </w:tc>
        <w:tc>
          <w:tcPr>
            <w:tcW w:w="1134"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3 334 237</w:t>
            </w:r>
          </w:p>
        </w:tc>
        <w:tc>
          <w:tcPr>
            <w:tcW w:w="1134"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3 330 460</w:t>
            </w:r>
          </w:p>
        </w:tc>
        <w:tc>
          <w:tcPr>
            <w:tcW w:w="851"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bCs/>
                <w:color w:val="000000"/>
                <w:lang w:eastAsia="cs-CZ"/>
              </w:rPr>
            </w:pPr>
            <w:r w:rsidRPr="000822A0">
              <w:rPr>
                <w:rFonts w:ascii="Calibri" w:eastAsia="Times New Roman" w:hAnsi="Calibri" w:cs="Times New Roman"/>
                <w:bCs/>
                <w:color w:val="000000"/>
                <w:lang w:eastAsia="cs-CZ"/>
              </w:rPr>
              <w:t>37</w:t>
            </w:r>
          </w:p>
        </w:tc>
      </w:tr>
      <w:tr w:rsidR="000822A0" w:rsidRPr="000822A0" w:rsidTr="00133488">
        <w:trPr>
          <w:trHeight w:val="1837"/>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lastRenderedPageBreak/>
              <w:t>TA ČR</w:t>
            </w:r>
          </w:p>
        </w:tc>
        <w:tc>
          <w:tcPr>
            <w:tcW w:w="1060"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TE</w:t>
            </w:r>
          </w:p>
        </w:tc>
        <w:tc>
          <w:tcPr>
            <w:tcW w:w="208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Centra kompetence</w:t>
            </w:r>
          </w:p>
        </w:tc>
        <w:tc>
          <w:tcPr>
            <w:tcW w:w="5696"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2978DA">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Hlavním cílem programu je zvýšení konkurenceschopnosti ČR v progresivních oborech s vysokým potenciálem pro uplatnění výsledků </w:t>
            </w:r>
            <w:proofErr w:type="spellStart"/>
            <w:r w:rsidRPr="000822A0">
              <w:rPr>
                <w:rFonts w:ascii="Calibri" w:eastAsia="Times New Roman" w:hAnsi="Calibri" w:cs="Times New Roman"/>
                <w:color w:val="000000"/>
                <w:sz w:val="16"/>
                <w:szCs w:val="16"/>
                <w:lang w:eastAsia="cs-CZ"/>
              </w:rPr>
              <w:t>VaV</w:t>
            </w:r>
            <w:proofErr w:type="spellEnd"/>
            <w:r w:rsidRPr="000822A0">
              <w:rPr>
                <w:rFonts w:ascii="Calibri" w:eastAsia="Times New Roman" w:hAnsi="Calibri" w:cs="Times New Roman"/>
                <w:color w:val="000000"/>
                <w:sz w:val="16"/>
                <w:szCs w:val="16"/>
                <w:lang w:eastAsia="cs-CZ"/>
              </w:rPr>
              <w:t xml:space="preserve"> v inovacích. Mezi dílčí cíle patří: posílení dlouhodobé spolupráce výzkumných organizací a podniků ve </w:t>
            </w:r>
            <w:proofErr w:type="spellStart"/>
            <w:r w:rsidRPr="000822A0">
              <w:rPr>
                <w:rFonts w:ascii="Calibri" w:eastAsia="Times New Roman" w:hAnsi="Calibri" w:cs="Times New Roman"/>
                <w:color w:val="000000"/>
                <w:sz w:val="16"/>
                <w:szCs w:val="16"/>
                <w:lang w:eastAsia="cs-CZ"/>
              </w:rPr>
              <w:t>VaVaI</w:t>
            </w:r>
            <w:proofErr w:type="spellEnd"/>
            <w:r w:rsidRPr="000822A0">
              <w:rPr>
                <w:rFonts w:ascii="Calibri" w:eastAsia="Times New Roman" w:hAnsi="Calibri" w:cs="Times New Roman"/>
                <w:color w:val="000000"/>
                <w:sz w:val="16"/>
                <w:szCs w:val="16"/>
                <w:lang w:eastAsia="cs-CZ"/>
              </w:rPr>
              <w:t xml:space="preserve">; posílení interdisciplinarity </w:t>
            </w:r>
            <w:proofErr w:type="spellStart"/>
            <w:r w:rsidRPr="000822A0">
              <w:rPr>
                <w:rFonts w:ascii="Calibri" w:eastAsia="Times New Roman" w:hAnsi="Calibri" w:cs="Times New Roman"/>
                <w:color w:val="000000"/>
                <w:sz w:val="16"/>
                <w:szCs w:val="16"/>
                <w:lang w:eastAsia="cs-CZ"/>
              </w:rPr>
              <w:t>VaV</w:t>
            </w:r>
            <w:proofErr w:type="spellEnd"/>
            <w:r w:rsidRPr="000822A0">
              <w:rPr>
                <w:rFonts w:ascii="Calibri" w:eastAsia="Times New Roman" w:hAnsi="Calibri" w:cs="Times New Roman"/>
                <w:color w:val="000000"/>
                <w:sz w:val="16"/>
                <w:szCs w:val="16"/>
                <w:lang w:eastAsia="cs-CZ"/>
              </w:rPr>
              <w:t>; vytvoření podmínek pro rozvoj lidských zdrojů ve VaVaI, zejména s důrazem na zapojení začínajících výzkumných pracovníků ve věku do 35 let včetně studentů, podílejících se na projektu; vytvoření podmínek pro horizontální mobilitu výzkumných pracovníků; naplňování Národních priorit orientovaného výzkumu, experimentálního vývoje a inovací; udržitelnost strategické výzkumné agendy v centrech nejméně pět let po skončení projektu.</w:t>
            </w:r>
          </w:p>
        </w:tc>
        <w:tc>
          <w:tcPr>
            <w:tcW w:w="851"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2012</w:t>
            </w:r>
          </w:p>
        </w:tc>
        <w:tc>
          <w:tcPr>
            <w:tcW w:w="708"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2019</w:t>
            </w:r>
          </w:p>
        </w:tc>
        <w:tc>
          <w:tcPr>
            <w:tcW w:w="1134"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8 845 331</w:t>
            </w:r>
          </w:p>
        </w:tc>
        <w:tc>
          <w:tcPr>
            <w:tcW w:w="1134"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6 024 948</w:t>
            </w:r>
          </w:p>
        </w:tc>
        <w:tc>
          <w:tcPr>
            <w:tcW w:w="851"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bCs/>
                <w:color w:val="000000"/>
                <w:lang w:eastAsia="cs-CZ"/>
              </w:rPr>
            </w:pPr>
            <w:r w:rsidRPr="000822A0">
              <w:rPr>
                <w:rFonts w:ascii="Calibri" w:eastAsia="Times New Roman" w:hAnsi="Calibri" w:cs="Times New Roman"/>
                <w:bCs/>
                <w:color w:val="000000"/>
                <w:lang w:eastAsia="cs-CZ"/>
              </w:rPr>
              <w:t>33</w:t>
            </w:r>
          </w:p>
        </w:tc>
      </w:tr>
      <w:tr w:rsidR="000822A0" w:rsidRPr="000822A0" w:rsidTr="00133488">
        <w:trPr>
          <w:trHeight w:val="300"/>
        </w:trPr>
        <w:tc>
          <w:tcPr>
            <w:tcW w:w="14474" w:type="dxa"/>
            <w:gridSpan w:val="9"/>
            <w:tcBorders>
              <w:top w:val="nil"/>
              <w:left w:val="single" w:sz="4" w:space="0" w:color="92CDDC"/>
              <w:bottom w:val="nil"/>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Finanční nástroje zaměřené na podporu provozu infrastruktur VaVaI a zajištění jejich udržitelnosti</w:t>
            </w:r>
          </w:p>
        </w:tc>
      </w:tr>
      <w:tr w:rsidR="000822A0" w:rsidRPr="000822A0" w:rsidTr="00133488">
        <w:trPr>
          <w:trHeight w:val="665"/>
        </w:trPr>
        <w:tc>
          <w:tcPr>
            <w:tcW w:w="960" w:type="dxa"/>
            <w:tcBorders>
              <w:top w:val="single" w:sz="4" w:space="0" w:color="92CDDC"/>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MŠMT</w:t>
            </w:r>
          </w:p>
        </w:tc>
        <w:tc>
          <w:tcPr>
            <w:tcW w:w="1060" w:type="dxa"/>
            <w:tcBorders>
              <w:top w:val="single" w:sz="4" w:space="0" w:color="92CDDC"/>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LM</w:t>
            </w:r>
          </w:p>
        </w:tc>
        <w:tc>
          <w:tcPr>
            <w:tcW w:w="2080" w:type="dxa"/>
            <w:tcBorders>
              <w:top w:val="single" w:sz="4" w:space="0" w:color="92CDDC"/>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Projekty velkých infrastruktur pro VaVaI</w:t>
            </w:r>
          </w:p>
        </w:tc>
        <w:tc>
          <w:tcPr>
            <w:tcW w:w="5696" w:type="dxa"/>
            <w:tcBorders>
              <w:top w:val="single" w:sz="4" w:space="0" w:color="92CDDC"/>
              <w:left w:val="nil"/>
              <w:bottom w:val="single" w:sz="4" w:space="0" w:color="92CDDC"/>
              <w:right w:val="single" w:sz="4" w:space="0" w:color="92CDDC"/>
            </w:tcBorders>
            <w:shd w:val="clear" w:color="auto" w:fill="auto"/>
            <w:vAlign w:val="center"/>
            <w:hideMark/>
          </w:tcPr>
          <w:p w:rsidR="000822A0" w:rsidRPr="000822A0" w:rsidRDefault="000822A0" w:rsidP="002978DA">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Poskytnout finanční prostředky pro základnu excelentního výzkumu a tím zvýšit konkurenceschopnost českého </w:t>
            </w:r>
            <w:proofErr w:type="spellStart"/>
            <w:r w:rsidRPr="000822A0">
              <w:rPr>
                <w:rFonts w:ascii="Calibri" w:eastAsia="Times New Roman" w:hAnsi="Calibri" w:cs="Times New Roman"/>
                <w:color w:val="000000"/>
                <w:sz w:val="16"/>
                <w:szCs w:val="16"/>
                <w:lang w:eastAsia="cs-CZ"/>
              </w:rPr>
              <w:t>VaV</w:t>
            </w:r>
            <w:proofErr w:type="spellEnd"/>
            <w:r w:rsidR="00152549">
              <w:rPr>
                <w:rFonts w:ascii="Calibri" w:eastAsia="Times New Roman" w:hAnsi="Calibri" w:cs="Times New Roman"/>
                <w:color w:val="000000"/>
                <w:sz w:val="16"/>
                <w:szCs w:val="16"/>
                <w:lang w:eastAsia="cs-CZ"/>
              </w:rPr>
              <w:t>.</w:t>
            </w:r>
          </w:p>
        </w:tc>
        <w:tc>
          <w:tcPr>
            <w:tcW w:w="851" w:type="dxa"/>
            <w:tcBorders>
              <w:top w:val="single" w:sz="4" w:space="0" w:color="92CDDC"/>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2010</w:t>
            </w:r>
          </w:p>
        </w:tc>
        <w:tc>
          <w:tcPr>
            <w:tcW w:w="708" w:type="dxa"/>
            <w:tcBorders>
              <w:top w:val="single" w:sz="4" w:space="0" w:color="92CDDC"/>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2017</w:t>
            </w:r>
          </w:p>
        </w:tc>
        <w:tc>
          <w:tcPr>
            <w:tcW w:w="1134" w:type="dxa"/>
            <w:tcBorders>
              <w:top w:val="single" w:sz="4" w:space="0" w:color="92CDDC"/>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6 204 812</w:t>
            </w:r>
          </w:p>
        </w:tc>
        <w:tc>
          <w:tcPr>
            <w:tcW w:w="1134" w:type="dxa"/>
            <w:tcBorders>
              <w:top w:val="single" w:sz="4" w:space="0" w:color="92CDDC"/>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4 059 954</w:t>
            </w:r>
          </w:p>
        </w:tc>
        <w:tc>
          <w:tcPr>
            <w:tcW w:w="851" w:type="dxa"/>
            <w:tcBorders>
              <w:top w:val="single" w:sz="4" w:space="0" w:color="92CDDC"/>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bCs/>
                <w:color w:val="000000"/>
                <w:lang w:eastAsia="cs-CZ"/>
              </w:rPr>
            </w:pPr>
            <w:r w:rsidRPr="000822A0">
              <w:rPr>
                <w:rFonts w:ascii="Calibri" w:eastAsia="Times New Roman" w:hAnsi="Calibri" w:cs="Times New Roman"/>
                <w:bCs/>
                <w:color w:val="000000"/>
                <w:lang w:eastAsia="cs-CZ"/>
              </w:rPr>
              <w:t>35</w:t>
            </w:r>
          </w:p>
        </w:tc>
      </w:tr>
      <w:tr w:rsidR="000822A0" w:rsidRPr="000822A0" w:rsidTr="00133488">
        <w:trPr>
          <w:trHeight w:val="1144"/>
        </w:trPr>
        <w:tc>
          <w:tcPr>
            <w:tcW w:w="960" w:type="dxa"/>
            <w:tcBorders>
              <w:top w:val="nil"/>
              <w:left w:val="single" w:sz="4" w:space="0" w:color="92CDDC"/>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MŠMT</w:t>
            </w:r>
          </w:p>
        </w:tc>
        <w:tc>
          <w:tcPr>
            <w:tcW w:w="1060"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LO</w:t>
            </w:r>
          </w:p>
        </w:tc>
        <w:tc>
          <w:tcPr>
            <w:tcW w:w="2080"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Národní program udržitelnosti I</w:t>
            </w:r>
          </w:p>
        </w:tc>
        <w:tc>
          <w:tcPr>
            <w:tcW w:w="5696"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2978DA">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Cílem programu je trvalý rozvoj výzkumné infrastruktury Center vybudovaných v ČR v letech 2007-2013/15 za finanční spoluúčasti Evropského fondu regionálního rozvoje, podpořit sociální i ekonomický rozvoj regionů, kde tato Centra působí, stabilně vytvářet a uplatňovat kvalitní výsledky VaVaI, udržet, popř. navýšit počty vytvořených pracovních míst v Centrech, především pak výzkumných pracovníků.</w:t>
            </w:r>
          </w:p>
        </w:tc>
        <w:tc>
          <w:tcPr>
            <w:tcW w:w="851"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2013</w:t>
            </w:r>
          </w:p>
        </w:tc>
        <w:tc>
          <w:tcPr>
            <w:tcW w:w="708" w:type="dxa"/>
            <w:tcBorders>
              <w:top w:val="nil"/>
              <w:left w:val="nil"/>
              <w:bottom w:val="single" w:sz="4"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2020</w:t>
            </w:r>
          </w:p>
        </w:tc>
        <w:tc>
          <w:tcPr>
            <w:tcW w:w="1134" w:type="dxa"/>
            <w:tcBorders>
              <w:top w:val="nil"/>
              <w:left w:val="nil"/>
              <w:bottom w:val="nil"/>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11 391 940</w:t>
            </w:r>
          </w:p>
        </w:tc>
        <w:tc>
          <w:tcPr>
            <w:tcW w:w="1134" w:type="dxa"/>
            <w:tcBorders>
              <w:top w:val="nil"/>
              <w:left w:val="nil"/>
              <w:bottom w:val="nil"/>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4 840 670</w:t>
            </w:r>
          </w:p>
        </w:tc>
        <w:tc>
          <w:tcPr>
            <w:tcW w:w="851" w:type="dxa"/>
            <w:tcBorders>
              <w:top w:val="nil"/>
              <w:left w:val="nil"/>
              <w:bottom w:val="single" w:sz="4" w:space="0" w:color="92CDDC"/>
              <w:right w:val="single" w:sz="4" w:space="0" w:color="92CDDC"/>
            </w:tcBorders>
            <w:shd w:val="clear" w:color="auto" w:fill="auto"/>
            <w:noWrap/>
            <w:vAlign w:val="center"/>
            <w:hideMark/>
          </w:tcPr>
          <w:p w:rsidR="000822A0" w:rsidRPr="000822A0" w:rsidRDefault="000822A0" w:rsidP="000822A0">
            <w:pPr>
              <w:spacing w:after="0" w:line="240" w:lineRule="auto"/>
              <w:jc w:val="center"/>
              <w:rPr>
                <w:rFonts w:ascii="Calibri" w:eastAsia="Times New Roman" w:hAnsi="Calibri" w:cs="Times New Roman"/>
                <w:bCs/>
                <w:color w:val="000000"/>
                <w:lang w:eastAsia="cs-CZ"/>
              </w:rPr>
            </w:pPr>
            <w:r w:rsidRPr="000822A0">
              <w:rPr>
                <w:rFonts w:ascii="Calibri" w:eastAsia="Times New Roman" w:hAnsi="Calibri" w:cs="Times New Roman"/>
                <w:bCs/>
                <w:color w:val="000000"/>
                <w:lang w:eastAsia="cs-CZ"/>
              </w:rPr>
              <w:t>40</w:t>
            </w:r>
          </w:p>
        </w:tc>
      </w:tr>
      <w:tr w:rsidR="000822A0" w:rsidRPr="000822A0" w:rsidTr="00133488">
        <w:trPr>
          <w:trHeight w:val="977"/>
        </w:trPr>
        <w:tc>
          <w:tcPr>
            <w:tcW w:w="960" w:type="dxa"/>
            <w:tcBorders>
              <w:top w:val="nil"/>
              <w:left w:val="single" w:sz="4" w:space="0" w:color="92CDDC"/>
              <w:bottom w:val="single" w:sz="8"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MŠMT</w:t>
            </w:r>
          </w:p>
        </w:tc>
        <w:tc>
          <w:tcPr>
            <w:tcW w:w="1060" w:type="dxa"/>
            <w:tcBorders>
              <w:top w:val="nil"/>
              <w:left w:val="nil"/>
              <w:bottom w:val="single" w:sz="8" w:space="0" w:color="92CDDC"/>
              <w:right w:val="single" w:sz="4" w:space="0" w:color="92CDDC"/>
            </w:tcBorders>
            <w:shd w:val="clear" w:color="auto" w:fill="auto"/>
            <w:noWrap/>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LQ</w:t>
            </w:r>
          </w:p>
        </w:tc>
        <w:tc>
          <w:tcPr>
            <w:tcW w:w="2080" w:type="dxa"/>
            <w:tcBorders>
              <w:top w:val="nil"/>
              <w:left w:val="nil"/>
              <w:bottom w:val="single" w:sz="8" w:space="0" w:color="92CDDC"/>
              <w:right w:val="single" w:sz="4" w:space="0" w:color="92CDDC"/>
            </w:tcBorders>
            <w:shd w:val="clear" w:color="auto" w:fill="auto"/>
            <w:vAlign w:val="center"/>
            <w:hideMark/>
          </w:tcPr>
          <w:p w:rsidR="000822A0" w:rsidRPr="000822A0" w:rsidRDefault="000822A0" w:rsidP="000822A0">
            <w:pPr>
              <w:spacing w:after="0" w:line="240" w:lineRule="auto"/>
              <w:rPr>
                <w:rFonts w:ascii="Calibri" w:eastAsia="Times New Roman" w:hAnsi="Calibri" w:cs="Times New Roman"/>
                <w:color w:val="000000"/>
                <w:lang w:eastAsia="cs-CZ"/>
              </w:rPr>
            </w:pPr>
            <w:r w:rsidRPr="000822A0">
              <w:rPr>
                <w:rFonts w:ascii="Calibri" w:eastAsia="Times New Roman" w:hAnsi="Calibri" w:cs="Times New Roman"/>
                <w:color w:val="000000"/>
                <w:lang w:eastAsia="cs-CZ"/>
              </w:rPr>
              <w:t>Národní program udržitelnosti II</w:t>
            </w:r>
          </w:p>
        </w:tc>
        <w:tc>
          <w:tcPr>
            <w:tcW w:w="5696" w:type="dxa"/>
            <w:tcBorders>
              <w:top w:val="nil"/>
              <w:left w:val="nil"/>
              <w:bottom w:val="single" w:sz="8" w:space="0" w:color="92CDDC"/>
              <w:right w:val="single" w:sz="4" w:space="0" w:color="92CDDC"/>
            </w:tcBorders>
            <w:shd w:val="clear" w:color="auto" w:fill="auto"/>
            <w:vAlign w:val="center"/>
            <w:hideMark/>
          </w:tcPr>
          <w:p w:rsidR="00152549" w:rsidRDefault="000822A0" w:rsidP="002978DA">
            <w:pPr>
              <w:spacing w:after="0" w:line="240" w:lineRule="auto"/>
              <w:ind w:firstLineChars="100" w:firstLine="160"/>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Zajištění dlouhodobě udržitelného financování center vybavených moderní </w:t>
            </w:r>
          </w:p>
          <w:p w:rsidR="00152549" w:rsidRDefault="000822A0" w:rsidP="002978DA">
            <w:pPr>
              <w:spacing w:after="0" w:line="240" w:lineRule="auto"/>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 xml:space="preserve">a jedinečnou infrastrukturou, produkujících vynikající výsledky výzkumu, včetně výsledků aplikovatelných v praxi a vytvářejících silná strategická partnerství </w:t>
            </w:r>
          </w:p>
          <w:p w:rsidR="000822A0" w:rsidRPr="000822A0" w:rsidRDefault="000822A0" w:rsidP="002978DA">
            <w:pPr>
              <w:spacing w:after="0" w:line="240" w:lineRule="auto"/>
              <w:jc w:val="both"/>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s prestižními výzkumnými pracovišti v ČR i zahraničí.</w:t>
            </w:r>
          </w:p>
        </w:tc>
        <w:tc>
          <w:tcPr>
            <w:tcW w:w="851" w:type="dxa"/>
            <w:tcBorders>
              <w:top w:val="nil"/>
              <w:left w:val="nil"/>
              <w:bottom w:val="single" w:sz="8"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2016</w:t>
            </w:r>
          </w:p>
        </w:tc>
        <w:tc>
          <w:tcPr>
            <w:tcW w:w="708" w:type="dxa"/>
            <w:tcBorders>
              <w:top w:val="nil"/>
              <w:left w:val="nil"/>
              <w:bottom w:val="single" w:sz="8"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2020</w:t>
            </w:r>
          </w:p>
        </w:tc>
        <w:tc>
          <w:tcPr>
            <w:tcW w:w="1134" w:type="dxa"/>
            <w:tcBorders>
              <w:top w:val="single" w:sz="4" w:space="0" w:color="92CDDC"/>
              <w:left w:val="nil"/>
              <w:bottom w:val="single" w:sz="8"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N/A</w:t>
            </w:r>
          </w:p>
        </w:tc>
        <w:tc>
          <w:tcPr>
            <w:tcW w:w="1134" w:type="dxa"/>
            <w:tcBorders>
              <w:top w:val="single" w:sz="4" w:space="0" w:color="92CDDC"/>
              <w:left w:val="nil"/>
              <w:bottom w:val="single" w:sz="8"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N/A</w:t>
            </w:r>
          </w:p>
        </w:tc>
        <w:tc>
          <w:tcPr>
            <w:tcW w:w="851" w:type="dxa"/>
            <w:tcBorders>
              <w:top w:val="nil"/>
              <w:left w:val="nil"/>
              <w:bottom w:val="single" w:sz="8" w:space="0" w:color="92CDDC"/>
              <w:right w:val="single" w:sz="4" w:space="0" w:color="92CDDC"/>
            </w:tcBorders>
            <w:shd w:val="clear" w:color="auto" w:fill="auto"/>
            <w:vAlign w:val="center"/>
            <w:hideMark/>
          </w:tcPr>
          <w:p w:rsidR="000822A0" w:rsidRPr="000822A0" w:rsidRDefault="000822A0" w:rsidP="000822A0">
            <w:pPr>
              <w:spacing w:after="0" w:line="240" w:lineRule="auto"/>
              <w:ind w:firstLineChars="100" w:firstLine="160"/>
              <w:jc w:val="center"/>
              <w:rPr>
                <w:rFonts w:ascii="Calibri" w:eastAsia="Times New Roman" w:hAnsi="Calibri" w:cs="Times New Roman"/>
                <w:color w:val="000000"/>
                <w:sz w:val="16"/>
                <w:szCs w:val="16"/>
                <w:lang w:eastAsia="cs-CZ"/>
              </w:rPr>
            </w:pPr>
            <w:r w:rsidRPr="000822A0">
              <w:rPr>
                <w:rFonts w:ascii="Calibri" w:eastAsia="Times New Roman" w:hAnsi="Calibri" w:cs="Times New Roman"/>
                <w:color w:val="000000"/>
                <w:sz w:val="16"/>
                <w:szCs w:val="16"/>
                <w:lang w:eastAsia="cs-CZ"/>
              </w:rPr>
              <w:t>N/A</w:t>
            </w:r>
          </w:p>
        </w:tc>
      </w:tr>
      <w:tr w:rsidR="000822A0" w:rsidRPr="000822A0" w:rsidTr="00133488">
        <w:trPr>
          <w:trHeight w:val="300"/>
        </w:trPr>
        <w:tc>
          <w:tcPr>
            <w:tcW w:w="960" w:type="dxa"/>
            <w:tcBorders>
              <w:top w:val="nil"/>
              <w:left w:val="nil"/>
              <w:bottom w:val="nil"/>
              <w:right w:val="nil"/>
            </w:tcBorders>
            <w:shd w:val="clear" w:color="000000" w:fill="92CDDC"/>
            <w:noWrap/>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 </w:t>
            </w:r>
          </w:p>
        </w:tc>
        <w:tc>
          <w:tcPr>
            <w:tcW w:w="1060" w:type="dxa"/>
            <w:tcBorders>
              <w:top w:val="nil"/>
              <w:left w:val="nil"/>
              <w:bottom w:val="nil"/>
              <w:right w:val="nil"/>
            </w:tcBorders>
            <w:shd w:val="clear" w:color="000000" w:fill="92CDDC"/>
            <w:noWrap/>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 </w:t>
            </w:r>
          </w:p>
        </w:tc>
        <w:tc>
          <w:tcPr>
            <w:tcW w:w="2080" w:type="dxa"/>
            <w:tcBorders>
              <w:top w:val="nil"/>
              <w:left w:val="nil"/>
              <w:bottom w:val="nil"/>
              <w:right w:val="nil"/>
            </w:tcBorders>
            <w:shd w:val="clear" w:color="000000" w:fill="92CDDC"/>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 </w:t>
            </w:r>
          </w:p>
        </w:tc>
        <w:tc>
          <w:tcPr>
            <w:tcW w:w="5696" w:type="dxa"/>
            <w:tcBorders>
              <w:top w:val="nil"/>
              <w:left w:val="nil"/>
              <w:bottom w:val="nil"/>
              <w:right w:val="nil"/>
            </w:tcBorders>
            <w:shd w:val="clear" w:color="000000" w:fill="92CDDC"/>
            <w:noWrap/>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Celkem</w:t>
            </w:r>
          </w:p>
        </w:tc>
        <w:tc>
          <w:tcPr>
            <w:tcW w:w="851" w:type="dxa"/>
            <w:tcBorders>
              <w:top w:val="nil"/>
              <w:left w:val="nil"/>
              <w:bottom w:val="nil"/>
              <w:right w:val="nil"/>
            </w:tcBorders>
            <w:shd w:val="clear" w:color="000000" w:fill="92CDDC"/>
            <w:noWrap/>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p>
        </w:tc>
        <w:tc>
          <w:tcPr>
            <w:tcW w:w="708" w:type="dxa"/>
            <w:tcBorders>
              <w:top w:val="nil"/>
              <w:left w:val="nil"/>
              <w:bottom w:val="nil"/>
              <w:right w:val="nil"/>
            </w:tcBorders>
            <w:shd w:val="clear" w:color="000000" w:fill="92CDDC"/>
            <w:noWrap/>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p>
        </w:tc>
        <w:tc>
          <w:tcPr>
            <w:tcW w:w="1134" w:type="dxa"/>
            <w:tcBorders>
              <w:top w:val="nil"/>
              <w:left w:val="nil"/>
              <w:bottom w:val="nil"/>
              <w:right w:val="nil"/>
            </w:tcBorders>
            <w:shd w:val="clear" w:color="000000" w:fill="92CDDC"/>
            <w:noWrap/>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83 842 788</w:t>
            </w:r>
          </w:p>
        </w:tc>
        <w:tc>
          <w:tcPr>
            <w:tcW w:w="1134" w:type="dxa"/>
            <w:tcBorders>
              <w:top w:val="nil"/>
              <w:left w:val="nil"/>
              <w:bottom w:val="nil"/>
              <w:right w:val="nil"/>
            </w:tcBorders>
            <w:shd w:val="clear" w:color="000000" w:fill="92CDDC"/>
            <w:noWrap/>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34 554 154</w:t>
            </w:r>
          </w:p>
        </w:tc>
        <w:tc>
          <w:tcPr>
            <w:tcW w:w="851" w:type="dxa"/>
            <w:tcBorders>
              <w:top w:val="nil"/>
              <w:left w:val="nil"/>
              <w:bottom w:val="nil"/>
              <w:right w:val="nil"/>
            </w:tcBorders>
            <w:shd w:val="clear" w:color="000000" w:fill="92CDDC"/>
            <w:noWrap/>
            <w:vAlign w:val="center"/>
            <w:hideMark/>
          </w:tcPr>
          <w:p w:rsidR="000822A0" w:rsidRPr="000822A0" w:rsidRDefault="000822A0" w:rsidP="000822A0">
            <w:pPr>
              <w:spacing w:after="0" w:line="240" w:lineRule="auto"/>
              <w:jc w:val="center"/>
              <w:rPr>
                <w:rFonts w:ascii="Calibri" w:eastAsia="Times New Roman" w:hAnsi="Calibri" w:cs="Times New Roman"/>
                <w:b/>
                <w:bCs/>
                <w:color w:val="FFFFFF"/>
                <w:lang w:eastAsia="cs-CZ"/>
              </w:rPr>
            </w:pPr>
            <w:r w:rsidRPr="000822A0">
              <w:rPr>
                <w:rFonts w:ascii="Calibri" w:eastAsia="Times New Roman" w:hAnsi="Calibri" w:cs="Times New Roman"/>
                <w:b/>
                <w:bCs/>
                <w:color w:val="FFFFFF"/>
                <w:lang w:eastAsia="cs-CZ"/>
              </w:rPr>
              <w:t>289</w:t>
            </w:r>
          </w:p>
        </w:tc>
      </w:tr>
    </w:tbl>
    <w:p w:rsidR="0033168C" w:rsidRDefault="00DA646C" w:rsidP="0033168C">
      <w:pPr>
        <w:pStyle w:val="Zdroj"/>
      </w:pPr>
      <w:r>
        <w:t>Z</w:t>
      </w:r>
      <w:r w:rsidR="000822A0" w:rsidRPr="000822A0">
        <w:t>droj dat: IS VaVaI</w:t>
      </w:r>
    </w:p>
    <w:p w:rsidR="000822A0" w:rsidRPr="000822A0" w:rsidRDefault="00922748" w:rsidP="00DA646C">
      <w:pPr>
        <w:pStyle w:val="komentzaobrzkem"/>
      </w:pPr>
      <w:r>
        <w:t>U</w:t>
      </w:r>
      <w:r w:rsidR="000822A0" w:rsidRPr="000822A0">
        <w:t xml:space="preserve"> finančních nástrojů, které pokračují i po roce 2014, jsou uváděny údaje z IS VaVaI k 15. 5. 2015</w:t>
      </w:r>
      <w:r>
        <w:t>.</w:t>
      </w:r>
    </w:p>
    <w:p w:rsidR="000822A0" w:rsidRPr="000822A0" w:rsidRDefault="00922748" w:rsidP="00DA646C">
      <w:pPr>
        <w:pStyle w:val="komentzaobrzkem"/>
      </w:pPr>
      <w:r>
        <w:t>U</w:t>
      </w:r>
      <w:r w:rsidR="000822A0" w:rsidRPr="000822A0">
        <w:t xml:space="preserve"> dosud neukončených programů jsou vzaty v potaz i plánované výdaje na realizaci již zahájených projektů (přidělené prostředky na rok 2015 a plánované na další léta</w:t>
      </w:r>
      <w:r>
        <w:t>).</w:t>
      </w:r>
    </w:p>
    <w:p w:rsidR="000822A0" w:rsidRPr="000822A0" w:rsidRDefault="000822A0" w:rsidP="00DA646C">
      <w:pPr>
        <w:pStyle w:val="komentzaobrzkem"/>
        <w:rPr>
          <w:sz w:val="24"/>
        </w:rPr>
      </w:pPr>
      <w:r w:rsidRPr="000822A0">
        <w:t>* u Operačního programu Výzkum a vývoj pro inovace jsou uvedeny pouze údaje za prioritní osy 1 a 2</w:t>
      </w:r>
      <w:r w:rsidR="00613032">
        <w:t>.</w:t>
      </w:r>
    </w:p>
    <w:p w:rsidR="000822A0" w:rsidRPr="000822A0" w:rsidRDefault="0053116E" w:rsidP="00DA646C">
      <w:pPr>
        <w:pStyle w:val="Obrzek-nadpis"/>
      </w:pPr>
      <w:r>
        <w:lastRenderedPageBreak/>
        <w:t>Obr. 5.2</w:t>
      </w:r>
      <w:r w:rsidR="000822A0" w:rsidRPr="000822A0">
        <w:t>: Příjemci dotace na podporu infrastruktur VaVaI v ČR v letech 2005 - 2014</w:t>
      </w:r>
    </w:p>
    <w:p w:rsidR="000822A0" w:rsidRPr="000822A0" w:rsidRDefault="000822A0" w:rsidP="009E474E">
      <w:pPr>
        <w:spacing w:after="0" w:line="240" w:lineRule="auto"/>
        <w:jc w:val="center"/>
        <w:rPr>
          <w:rFonts w:ascii="Times New Roman" w:eastAsia="Times New Roman" w:hAnsi="Times New Roman" w:cs="Times New Roman"/>
          <w:sz w:val="24"/>
          <w:szCs w:val="24"/>
          <w:lang w:eastAsia="cs-CZ"/>
        </w:rPr>
      </w:pPr>
      <w:r w:rsidRPr="000822A0">
        <w:rPr>
          <w:rFonts w:ascii="Times New Roman" w:eastAsia="Times New Roman" w:hAnsi="Times New Roman" w:cs="Times New Roman"/>
          <w:noProof/>
          <w:sz w:val="24"/>
          <w:szCs w:val="24"/>
          <w:lang w:eastAsia="cs-CZ"/>
        </w:rPr>
        <w:drawing>
          <wp:inline distT="0" distB="0" distL="0" distR="0" wp14:anchorId="5A05C409" wp14:editId="2A3E7772">
            <wp:extent cx="8543925" cy="2867025"/>
            <wp:effectExtent l="0" t="0" r="9525" b="0"/>
            <wp:docPr id="339" name="Obrázek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543925" cy="2867025"/>
                    </a:xfrm>
                    <a:prstGeom prst="rect">
                      <a:avLst/>
                    </a:prstGeom>
                    <a:noFill/>
                    <a:ln>
                      <a:noFill/>
                    </a:ln>
                  </pic:spPr>
                </pic:pic>
              </a:graphicData>
            </a:graphic>
          </wp:inline>
        </w:drawing>
      </w:r>
    </w:p>
    <w:p w:rsidR="000822A0" w:rsidRPr="000822A0" w:rsidRDefault="000822A0" w:rsidP="00DA646C">
      <w:pPr>
        <w:pStyle w:val="Zdroj"/>
      </w:pPr>
      <w:r w:rsidRPr="000822A0">
        <w:t>Zdroj dat: IS VaVaI (export dat 15. 5. 2015)</w:t>
      </w:r>
    </w:p>
    <w:p w:rsidR="000822A0" w:rsidRPr="000822A0" w:rsidRDefault="000822A0" w:rsidP="00DA646C">
      <w:pPr>
        <w:pStyle w:val="komentzaobrzkem"/>
      </w:pPr>
      <w:r w:rsidRPr="000822A0">
        <w:t xml:space="preserve">Horizontální osa: Celková podpora Infrastruktur VaVaI z veřejných účelových prostředků (včetně dotace z </w:t>
      </w:r>
      <w:proofErr w:type="gramStart"/>
      <w:r w:rsidRPr="000822A0">
        <w:t>OP</w:t>
      </w:r>
      <w:proofErr w:type="gramEnd"/>
      <w:r w:rsidRPr="000822A0">
        <w:t xml:space="preserve"> </w:t>
      </w:r>
      <w:proofErr w:type="spellStart"/>
      <w:r w:rsidRPr="000822A0">
        <w:t>VaVpI</w:t>
      </w:r>
      <w:proofErr w:type="spellEnd"/>
      <w:r w:rsidRPr="000822A0">
        <w:t>) v tis. Kč</w:t>
      </w:r>
    </w:p>
    <w:p w:rsidR="000822A0" w:rsidRPr="000822A0" w:rsidRDefault="000822A0" w:rsidP="00DA646C">
      <w:pPr>
        <w:pStyle w:val="komentzaobrzkem"/>
      </w:pPr>
      <w:r w:rsidRPr="000822A0">
        <w:t>Vertikální osa: Počet řešených projektů v letech 2005 – 2014 (včetně dosud nedokončených projektů)</w:t>
      </w:r>
    </w:p>
    <w:p w:rsidR="000822A0" w:rsidRPr="000822A0" w:rsidRDefault="000822A0" w:rsidP="00DA646C">
      <w:pPr>
        <w:pStyle w:val="komentzaobrzkem"/>
      </w:pPr>
      <w:r w:rsidRPr="000822A0">
        <w:t>U projektů, které pokračují i po roce 2014 jsou zahrnuty částky přidělené na rok 2015 a plánované finance na další roky realizace</w:t>
      </w:r>
      <w:r w:rsidR="00922748">
        <w:t>.</w:t>
      </w:r>
    </w:p>
    <w:p w:rsidR="000822A0" w:rsidRPr="000822A0" w:rsidRDefault="000822A0" w:rsidP="00DA646C">
      <w:pPr>
        <w:pStyle w:val="komentzaobrzkem"/>
      </w:pPr>
      <w:r w:rsidRPr="000822A0">
        <w:t>V případě vysokých škol jsou projekty přiřazeny jejich organizačním složkám</w:t>
      </w:r>
      <w:r w:rsidR="00922748">
        <w:t>.</w:t>
      </w:r>
    </w:p>
    <w:p w:rsidR="000822A0" w:rsidRPr="000822A0" w:rsidRDefault="000822A0" w:rsidP="00DA646C">
      <w:pPr>
        <w:pStyle w:val="komentzaobrzkem"/>
      </w:pPr>
      <w:r w:rsidRPr="000822A0">
        <w:t xml:space="preserve">V případě </w:t>
      </w:r>
      <w:proofErr w:type="spellStart"/>
      <w:r w:rsidRPr="000822A0">
        <w:t>kolaborativních</w:t>
      </w:r>
      <w:proofErr w:type="spellEnd"/>
      <w:r w:rsidRPr="000822A0">
        <w:t xml:space="preserve"> projektů jsou projekty přiřazeny koordinujícímu příjemci</w:t>
      </w:r>
      <w:r w:rsidR="00922748">
        <w:t>.</w:t>
      </w:r>
    </w:p>
    <w:p w:rsidR="000822A0" w:rsidRPr="000822A0" w:rsidRDefault="000822A0" w:rsidP="00DA646C">
      <w:pPr>
        <w:pStyle w:val="komentzaobrzkem"/>
      </w:pPr>
      <w:r w:rsidRPr="000822A0">
        <w:t xml:space="preserve">Červeně jsou označeni příjemci (nebo koordinující příjemci) tzv. velkých projektů z </w:t>
      </w:r>
      <w:proofErr w:type="gramStart"/>
      <w:r w:rsidRPr="000822A0">
        <w:t>OP</w:t>
      </w:r>
      <w:proofErr w:type="gramEnd"/>
      <w:r w:rsidRPr="000822A0">
        <w:t xml:space="preserve"> </w:t>
      </w:r>
      <w:proofErr w:type="spellStart"/>
      <w:r w:rsidRPr="000822A0">
        <w:t>VaVpI</w:t>
      </w:r>
      <w:proofErr w:type="spellEnd"/>
      <w:r w:rsidRPr="000822A0">
        <w:t xml:space="preserve"> (projektů, jejichž celková podpora přesáhla 50 mil. EUR)</w:t>
      </w:r>
      <w:r w:rsidR="00922748">
        <w:t>.</w:t>
      </w:r>
    </w:p>
    <w:p w:rsidR="000822A0" w:rsidRPr="000822A0" w:rsidRDefault="000822A0" w:rsidP="00DA646C">
      <w:pPr>
        <w:pStyle w:val="komentzaobrzkem"/>
      </w:pPr>
      <w:r w:rsidRPr="000822A0">
        <w:t xml:space="preserve">Obrázek nevyjadřuje počet infrastruktur v ČR, neboť při jejich financování jsou uplatňovány principy komplementarity a </w:t>
      </w:r>
      <w:proofErr w:type="spellStart"/>
      <w:r w:rsidRPr="000822A0">
        <w:t>aditivity</w:t>
      </w:r>
      <w:proofErr w:type="spellEnd"/>
      <w:r w:rsidRPr="000822A0">
        <w:t xml:space="preserve">. Jedna infrastruktura VaVaI může být financována postupně nebo i současně z více projektů. Naproti tomu jeden velký projekt OP </w:t>
      </w:r>
      <w:proofErr w:type="spellStart"/>
      <w:r w:rsidRPr="000822A0">
        <w:t>VaVpI</w:t>
      </w:r>
      <w:proofErr w:type="spellEnd"/>
      <w:r w:rsidRPr="000822A0">
        <w:t xml:space="preserve"> se skládá z podpor více infrastrukturám VaVaI.</w:t>
      </w:r>
    </w:p>
    <w:p w:rsidR="000822A0" w:rsidRPr="000822A0" w:rsidRDefault="000822A0" w:rsidP="000822A0">
      <w:pPr>
        <w:spacing w:after="0" w:line="240" w:lineRule="auto"/>
        <w:jc w:val="both"/>
        <w:rPr>
          <w:rFonts w:ascii="Times New Roman" w:eastAsia="Times New Roman" w:hAnsi="Times New Roman" w:cs="Times New Roman"/>
          <w:sz w:val="24"/>
          <w:szCs w:val="24"/>
          <w:lang w:eastAsia="cs-CZ"/>
        </w:rPr>
      </w:pPr>
    </w:p>
    <w:p w:rsidR="000822A0" w:rsidRPr="000822A0" w:rsidRDefault="000822A0" w:rsidP="000822A0">
      <w:pPr>
        <w:spacing w:after="0" w:line="240" w:lineRule="auto"/>
        <w:jc w:val="both"/>
        <w:rPr>
          <w:rFonts w:ascii="Times New Roman" w:eastAsia="Times New Roman" w:hAnsi="Times New Roman" w:cs="Times New Roman"/>
          <w:sz w:val="24"/>
          <w:szCs w:val="24"/>
          <w:lang w:eastAsia="cs-CZ"/>
        </w:rPr>
        <w:sectPr w:rsidR="000822A0" w:rsidRPr="000822A0" w:rsidSect="00E540D1">
          <w:pgSz w:w="16838" w:h="11906" w:orient="landscape"/>
          <w:pgMar w:top="1134" w:right="1134" w:bottom="1134" w:left="1134" w:header="709" w:footer="709" w:gutter="0"/>
          <w:cols w:space="708"/>
          <w:docGrid w:linePitch="360"/>
        </w:sectPr>
      </w:pPr>
    </w:p>
    <w:p w:rsidR="000822A0" w:rsidRPr="00F57A5E" w:rsidRDefault="0053116E" w:rsidP="00DA646C">
      <w:pPr>
        <w:spacing w:after="0" w:line="360" w:lineRule="auto"/>
        <w:ind w:firstLine="708"/>
        <w:jc w:val="both"/>
        <w:rPr>
          <w:rFonts w:ascii="Arial" w:eastAsia="Times New Roman" w:hAnsi="Arial" w:cs="Arial"/>
          <w:lang w:eastAsia="cs-CZ"/>
        </w:rPr>
      </w:pPr>
      <w:r>
        <w:rPr>
          <w:rFonts w:ascii="Arial" w:eastAsia="Times New Roman" w:hAnsi="Arial" w:cs="Arial"/>
          <w:lang w:eastAsia="cs-CZ"/>
        </w:rPr>
        <w:lastRenderedPageBreak/>
        <w:t>Obr</w:t>
      </w:r>
      <w:r w:rsidR="00291BB8">
        <w:rPr>
          <w:rFonts w:ascii="Arial" w:eastAsia="Times New Roman" w:hAnsi="Arial" w:cs="Arial"/>
          <w:lang w:eastAsia="cs-CZ"/>
        </w:rPr>
        <w:t>ázek</w:t>
      </w:r>
      <w:r>
        <w:rPr>
          <w:rFonts w:ascii="Arial" w:eastAsia="Times New Roman" w:hAnsi="Arial" w:cs="Arial"/>
          <w:lang w:eastAsia="cs-CZ"/>
        </w:rPr>
        <w:t xml:space="preserve"> 5.2</w:t>
      </w:r>
      <w:r w:rsidR="000822A0" w:rsidRPr="00F57A5E">
        <w:rPr>
          <w:rFonts w:ascii="Arial" w:eastAsia="Times New Roman" w:hAnsi="Arial" w:cs="Arial"/>
          <w:lang w:eastAsia="cs-CZ"/>
        </w:rPr>
        <w:t xml:space="preserve"> sumarizuje účelové prostředky vynaložené na podporu infrastruktur VaVaI v ČR od roku 2005 do roku 2014 za jednotlivé příjemce nebo jejich organizační složky. Jsou zahrnuty vš</w:t>
      </w:r>
      <w:r>
        <w:rPr>
          <w:rFonts w:ascii="Arial" w:eastAsia="Times New Roman" w:hAnsi="Arial" w:cs="Arial"/>
          <w:lang w:eastAsia="cs-CZ"/>
        </w:rPr>
        <w:t>echny programy uvedené v tab</w:t>
      </w:r>
      <w:r w:rsidR="00291BB8">
        <w:rPr>
          <w:rFonts w:ascii="Arial" w:eastAsia="Times New Roman" w:hAnsi="Arial" w:cs="Arial"/>
          <w:lang w:eastAsia="cs-CZ"/>
        </w:rPr>
        <w:t>ulce</w:t>
      </w:r>
      <w:r>
        <w:rPr>
          <w:rFonts w:ascii="Arial" w:eastAsia="Times New Roman" w:hAnsi="Arial" w:cs="Arial"/>
          <w:lang w:eastAsia="cs-CZ"/>
        </w:rPr>
        <w:t xml:space="preserve"> 5.1</w:t>
      </w:r>
      <w:r w:rsidR="000822A0" w:rsidRPr="00F57A5E">
        <w:rPr>
          <w:rFonts w:ascii="Arial" w:eastAsia="Times New Roman" w:hAnsi="Arial" w:cs="Arial"/>
          <w:lang w:eastAsia="cs-CZ"/>
        </w:rPr>
        <w:t xml:space="preserve"> (s výjimkou Národního programu udržitelnosti II, který bude realizován až od roku 2016). Obr</w:t>
      </w:r>
      <w:r w:rsidR="00291BB8">
        <w:rPr>
          <w:rFonts w:ascii="Arial" w:eastAsia="Times New Roman" w:hAnsi="Arial" w:cs="Arial"/>
          <w:lang w:eastAsia="cs-CZ"/>
        </w:rPr>
        <w:t>ázek</w:t>
      </w:r>
      <w:r w:rsidR="000822A0" w:rsidRPr="00F57A5E">
        <w:rPr>
          <w:rFonts w:ascii="Arial" w:eastAsia="Times New Roman" w:hAnsi="Arial" w:cs="Arial"/>
          <w:lang w:eastAsia="cs-CZ"/>
        </w:rPr>
        <w:t xml:space="preserve"> </w:t>
      </w:r>
      <w:r>
        <w:rPr>
          <w:rFonts w:ascii="Arial" w:eastAsia="Times New Roman" w:hAnsi="Arial" w:cs="Arial"/>
          <w:lang w:eastAsia="cs-CZ"/>
        </w:rPr>
        <w:t>5.2</w:t>
      </w:r>
      <w:r w:rsidR="000822A0" w:rsidRPr="00F57A5E">
        <w:rPr>
          <w:rFonts w:ascii="Arial" w:eastAsia="Times New Roman" w:hAnsi="Arial" w:cs="Arial"/>
          <w:lang w:eastAsia="cs-CZ"/>
        </w:rPr>
        <w:t xml:space="preserve"> proto dokumentuje veškeré účelové prostředky (včetně dotace z </w:t>
      </w:r>
      <w:proofErr w:type="gramStart"/>
      <w:r w:rsidR="000822A0" w:rsidRPr="00F57A5E">
        <w:rPr>
          <w:rFonts w:ascii="Arial" w:eastAsia="Times New Roman" w:hAnsi="Arial" w:cs="Arial"/>
          <w:lang w:eastAsia="cs-CZ"/>
        </w:rPr>
        <w:t>OP</w:t>
      </w:r>
      <w:proofErr w:type="gramEnd"/>
      <w:r w:rsidR="000822A0" w:rsidRPr="00F57A5E">
        <w:rPr>
          <w:rFonts w:ascii="Arial" w:eastAsia="Times New Roman" w:hAnsi="Arial" w:cs="Arial"/>
          <w:lang w:eastAsia="cs-CZ"/>
        </w:rPr>
        <w:t xml:space="preserve"> </w:t>
      </w:r>
      <w:proofErr w:type="spellStart"/>
      <w:r w:rsidR="000822A0" w:rsidRPr="00F57A5E">
        <w:rPr>
          <w:rFonts w:ascii="Arial" w:eastAsia="Times New Roman" w:hAnsi="Arial" w:cs="Arial"/>
          <w:lang w:eastAsia="cs-CZ"/>
        </w:rPr>
        <w:t>VaVpI</w:t>
      </w:r>
      <w:proofErr w:type="spellEnd"/>
      <w:r w:rsidR="000822A0" w:rsidRPr="00F57A5E">
        <w:rPr>
          <w:rFonts w:ascii="Arial" w:eastAsia="Times New Roman" w:hAnsi="Arial" w:cs="Arial"/>
          <w:lang w:eastAsia="cs-CZ"/>
        </w:rPr>
        <w:t>) využité v uvedených letech jak pro budování infrastruktur VaVaI, tak pro jejich další rozvoj a provoz, tj. celkem 83,84 mld. Kč na 289 projektů majících</w:t>
      </w:r>
      <w:r w:rsidR="00DA646C">
        <w:rPr>
          <w:rFonts w:ascii="Arial" w:eastAsia="Times New Roman" w:hAnsi="Arial" w:cs="Arial"/>
          <w:lang w:eastAsia="cs-CZ"/>
        </w:rPr>
        <w:t xml:space="preserve"> vztah k infrastrukturám VaVaI.</w:t>
      </w:r>
    </w:p>
    <w:p w:rsidR="000822A0" w:rsidRPr="00F57A5E" w:rsidRDefault="000822A0" w:rsidP="0053116E">
      <w:pPr>
        <w:spacing w:after="0" w:line="360" w:lineRule="auto"/>
        <w:ind w:firstLine="708"/>
        <w:jc w:val="both"/>
        <w:rPr>
          <w:rFonts w:ascii="Arial" w:eastAsia="Times New Roman" w:hAnsi="Arial" w:cs="Arial"/>
          <w:lang w:eastAsia="cs-CZ"/>
        </w:rPr>
      </w:pPr>
      <w:r w:rsidRPr="00F57A5E">
        <w:rPr>
          <w:rFonts w:ascii="Arial" w:eastAsia="Times New Roman" w:hAnsi="Arial" w:cs="Arial"/>
          <w:lang w:eastAsia="cs-CZ"/>
        </w:rPr>
        <w:t xml:space="preserve">Je zřejmé, že jak počtem projektů, tak finančním objemem jsou v ČR dominantními příjemci subjekty / organizační složky zaměřené na přírodní vědy, technické vědy, lékařské vědy. Mezi příjemce s největším počtem projektů, jejichž dotace zároveň převýšila 1,5 mld. Kč, patří z vysokých škol Přírodovědecké fakulty Masarykovy univerzity a Univerzity Palackého v Olomouci, </w:t>
      </w:r>
      <w:r w:rsidRPr="00845AD8">
        <w:rPr>
          <w:rFonts w:ascii="Arial" w:eastAsia="Times New Roman" w:hAnsi="Arial" w:cs="Arial"/>
          <w:lang w:eastAsia="cs-CZ"/>
        </w:rPr>
        <w:t xml:space="preserve">z ústavů AV ČR Ústav molekulární genetiky AV ČR, </w:t>
      </w:r>
      <w:proofErr w:type="spellStart"/>
      <w:proofErr w:type="gramStart"/>
      <w:r w:rsidRPr="00845AD8">
        <w:rPr>
          <w:rFonts w:ascii="Arial" w:eastAsia="Times New Roman" w:hAnsi="Arial" w:cs="Arial"/>
          <w:lang w:eastAsia="cs-CZ"/>
        </w:rPr>
        <w:t>v.v.</w:t>
      </w:r>
      <w:proofErr w:type="gramEnd"/>
      <w:r w:rsidRPr="00845AD8">
        <w:rPr>
          <w:rFonts w:ascii="Arial" w:eastAsia="Times New Roman" w:hAnsi="Arial" w:cs="Arial"/>
          <w:lang w:eastAsia="cs-CZ"/>
        </w:rPr>
        <w:t>i</w:t>
      </w:r>
      <w:proofErr w:type="spellEnd"/>
      <w:r w:rsidRPr="00845AD8">
        <w:rPr>
          <w:rFonts w:ascii="Arial" w:eastAsia="Times New Roman" w:hAnsi="Arial" w:cs="Arial"/>
          <w:lang w:eastAsia="cs-CZ"/>
        </w:rPr>
        <w:t xml:space="preserve">. a Fyzikální ústav AV ČR, </w:t>
      </w:r>
      <w:proofErr w:type="spellStart"/>
      <w:r w:rsidRPr="00845AD8">
        <w:rPr>
          <w:rFonts w:ascii="Arial" w:eastAsia="Times New Roman" w:hAnsi="Arial" w:cs="Arial"/>
          <w:lang w:eastAsia="cs-CZ"/>
        </w:rPr>
        <w:t>v.v.i</w:t>
      </w:r>
      <w:proofErr w:type="spellEnd"/>
      <w:r w:rsidRPr="00845AD8">
        <w:rPr>
          <w:rFonts w:ascii="Arial" w:eastAsia="Times New Roman" w:hAnsi="Arial" w:cs="Arial"/>
          <w:lang w:eastAsia="cs-CZ"/>
        </w:rPr>
        <w:t xml:space="preserve">. V oblasti </w:t>
      </w:r>
      <w:r w:rsidR="00174CF2">
        <w:rPr>
          <w:rFonts w:ascii="Arial" w:eastAsia="Times New Roman" w:hAnsi="Arial" w:cs="Arial"/>
          <w:lang w:eastAsia="cs-CZ"/>
        </w:rPr>
        <w:t>průmyslových</w:t>
      </w:r>
      <w:r w:rsidRPr="00845AD8">
        <w:rPr>
          <w:rFonts w:ascii="Arial" w:eastAsia="Times New Roman" w:hAnsi="Arial" w:cs="Arial"/>
          <w:lang w:eastAsia="cs-CZ"/>
        </w:rPr>
        <w:t xml:space="preserve"> věd jsou v kategorii s vysokým počtem projektů a zároveň velkým objemem financí nejvýznamnější Fakulta strojní Českého vysokého učení technického v Praze a Fakulta strojního inženýrství Vysokého</w:t>
      </w:r>
      <w:r w:rsidRPr="00F57A5E">
        <w:rPr>
          <w:rFonts w:ascii="Arial" w:eastAsia="Times New Roman" w:hAnsi="Arial" w:cs="Arial"/>
          <w:lang w:eastAsia="cs-CZ"/>
        </w:rPr>
        <w:t xml:space="preserve"> učení technického v Brně. Více než pět projektů řešili také na Matematicko-fyzikální fakultě Univerzity Karlovy v Praze a Fakultě elektrotechnické Českého vysokého učení technického v Praze. V oblasti lékařských věd má </w:t>
      </w:r>
      <w:r w:rsidR="00922748" w:rsidRPr="00F57A5E">
        <w:rPr>
          <w:rFonts w:ascii="Arial" w:eastAsia="Times New Roman" w:hAnsi="Arial" w:cs="Arial"/>
          <w:lang w:eastAsia="cs-CZ"/>
        </w:rPr>
        <w:t xml:space="preserve">mezi infrastrukturami VaVaI </w:t>
      </w:r>
      <w:r w:rsidRPr="00F57A5E">
        <w:rPr>
          <w:rFonts w:ascii="Arial" w:eastAsia="Times New Roman" w:hAnsi="Arial" w:cs="Arial"/>
          <w:lang w:eastAsia="cs-CZ"/>
        </w:rPr>
        <w:t>nejvýznamnější postavení Lékařská fakulta Univerzity Palackého v Olomouci. Interpretace obr</w:t>
      </w:r>
      <w:r w:rsidR="00291BB8">
        <w:rPr>
          <w:rFonts w:ascii="Arial" w:eastAsia="Times New Roman" w:hAnsi="Arial" w:cs="Arial"/>
          <w:lang w:eastAsia="cs-CZ"/>
        </w:rPr>
        <w:t>ázku</w:t>
      </w:r>
      <w:r w:rsidRPr="00F57A5E">
        <w:rPr>
          <w:rFonts w:ascii="Arial" w:eastAsia="Times New Roman" w:hAnsi="Arial" w:cs="Arial"/>
          <w:lang w:eastAsia="cs-CZ"/>
        </w:rPr>
        <w:t xml:space="preserve"> </w:t>
      </w:r>
      <w:r w:rsidR="0053116E">
        <w:rPr>
          <w:rFonts w:ascii="Arial" w:eastAsia="Times New Roman" w:hAnsi="Arial" w:cs="Arial"/>
          <w:lang w:eastAsia="cs-CZ"/>
        </w:rPr>
        <w:t>5.2</w:t>
      </w:r>
      <w:r w:rsidRPr="00F57A5E">
        <w:rPr>
          <w:rFonts w:ascii="Arial" w:eastAsia="Times New Roman" w:hAnsi="Arial" w:cs="Arial"/>
          <w:lang w:eastAsia="cs-CZ"/>
        </w:rPr>
        <w:t xml:space="preserve"> je ovlivněna finančně nejvýraznějšími tzv. velkými projekty z </w:t>
      </w:r>
      <w:proofErr w:type="gramStart"/>
      <w:r w:rsidRPr="00F57A5E">
        <w:rPr>
          <w:rFonts w:ascii="Arial" w:eastAsia="Times New Roman" w:hAnsi="Arial" w:cs="Arial"/>
          <w:lang w:eastAsia="cs-CZ"/>
        </w:rPr>
        <w:t>OP</w:t>
      </w:r>
      <w:proofErr w:type="gramEnd"/>
      <w:r w:rsidRPr="00F57A5E">
        <w:rPr>
          <w:rFonts w:ascii="Arial" w:eastAsia="Times New Roman" w:hAnsi="Arial" w:cs="Arial"/>
          <w:lang w:eastAsia="cs-CZ"/>
        </w:rPr>
        <w:t> </w:t>
      </w:r>
      <w:proofErr w:type="spellStart"/>
      <w:r w:rsidRPr="00F57A5E">
        <w:rPr>
          <w:rFonts w:ascii="Arial" w:eastAsia="Times New Roman" w:hAnsi="Arial" w:cs="Arial"/>
          <w:lang w:eastAsia="cs-CZ"/>
        </w:rPr>
        <w:t>VaVpI</w:t>
      </w:r>
      <w:proofErr w:type="spellEnd"/>
      <w:r w:rsidRPr="00F57A5E">
        <w:rPr>
          <w:rFonts w:ascii="Arial" w:eastAsia="Times New Roman" w:hAnsi="Arial" w:cs="Arial"/>
          <w:lang w:eastAsia="cs-CZ"/>
        </w:rPr>
        <w:t xml:space="preserve">. Koordinující příjemci těchto projektů (například Ústav molekulární genetiky AV ČR, </w:t>
      </w:r>
      <w:proofErr w:type="spellStart"/>
      <w:proofErr w:type="gramStart"/>
      <w:r w:rsidRPr="00F57A5E">
        <w:rPr>
          <w:rFonts w:ascii="Arial" w:eastAsia="Times New Roman" w:hAnsi="Arial" w:cs="Arial"/>
          <w:lang w:eastAsia="cs-CZ"/>
        </w:rPr>
        <w:t>v.v.</w:t>
      </w:r>
      <w:proofErr w:type="gramEnd"/>
      <w:r w:rsidRPr="00F57A5E">
        <w:rPr>
          <w:rFonts w:ascii="Arial" w:eastAsia="Times New Roman" w:hAnsi="Arial" w:cs="Arial"/>
          <w:lang w:eastAsia="cs-CZ"/>
        </w:rPr>
        <w:t>i</w:t>
      </w:r>
      <w:proofErr w:type="spellEnd"/>
      <w:r w:rsidRPr="00F57A5E">
        <w:rPr>
          <w:rFonts w:ascii="Arial" w:eastAsia="Times New Roman" w:hAnsi="Arial" w:cs="Arial"/>
          <w:lang w:eastAsia="cs-CZ"/>
        </w:rPr>
        <w:t>. v případě BIOCEV a Masarykova univerzita v souvislosti s CEITEC) vykazují zdánlivě nejvyšší finanční objemy, ale ve skutečnosti byla podpora rozdělena na více příjemců a vybudované infrastruktury VaVaI mají více provozovatelů (v případě BIOCEV šest ústavů AV ČR a dvě fakulty VŠ, u CEITEC čtyři univerzity a d</w:t>
      </w:r>
      <w:r w:rsidR="0053116E">
        <w:rPr>
          <w:rFonts w:ascii="Arial" w:eastAsia="Times New Roman" w:hAnsi="Arial" w:cs="Arial"/>
          <w:lang w:eastAsia="cs-CZ"/>
        </w:rPr>
        <w:t>vě veřejné výzkumné instituce).</w:t>
      </w:r>
    </w:p>
    <w:p w:rsidR="000822A0" w:rsidRPr="00845AD8" w:rsidRDefault="000822A0" w:rsidP="006B4254">
      <w:pPr>
        <w:spacing w:after="0" w:line="360" w:lineRule="auto"/>
        <w:ind w:firstLine="708"/>
        <w:jc w:val="both"/>
        <w:rPr>
          <w:rFonts w:ascii="Arial" w:eastAsia="Times New Roman" w:hAnsi="Arial" w:cs="Arial"/>
          <w:lang w:eastAsia="cs-CZ"/>
        </w:rPr>
      </w:pPr>
      <w:r w:rsidRPr="00F57A5E">
        <w:rPr>
          <w:rFonts w:ascii="Arial" w:eastAsia="Times New Roman" w:hAnsi="Arial" w:cs="Arial"/>
          <w:lang w:eastAsia="cs-CZ"/>
        </w:rPr>
        <w:t>Kromě výše uvedených nástrojů mohou provozující subjekty činnost infrastruktur VaVaI financovat z institucionálních prostředků určených na dlouhodobý koncepčn</w:t>
      </w:r>
      <w:r w:rsidR="00CD0A39">
        <w:rPr>
          <w:rFonts w:ascii="Arial" w:eastAsia="Times New Roman" w:hAnsi="Arial" w:cs="Arial"/>
          <w:lang w:eastAsia="cs-CZ"/>
        </w:rPr>
        <w:t>í rozvoj výzkumných organizací</w:t>
      </w:r>
      <w:r w:rsidRPr="00F57A5E">
        <w:rPr>
          <w:rFonts w:ascii="Arial" w:eastAsia="Times New Roman" w:hAnsi="Arial" w:cs="Arial"/>
          <w:lang w:eastAsia="cs-CZ"/>
        </w:rPr>
        <w:t xml:space="preserve">. Do budoucna lze považovat za žádoucí, aby tento zdroj pokrýval většinu </w:t>
      </w:r>
      <w:r w:rsidRPr="00845AD8">
        <w:rPr>
          <w:rFonts w:ascii="Arial" w:eastAsia="Times New Roman" w:hAnsi="Arial" w:cs="Arial"/>
          <w:lang w:eastAsia="cs-CZ"/>
        </w:rPr>
        <w:t>nákladů na</w:t>
      </w:r>
      <w:r w:rsidR="00D417C3">
        <w:rPr>
          <w:rFonts w:ascii="Arial" w:eastAsia="Times New Roman" w:hAnsi="Arial" w:cs="Arial"/>
          <w:lang w:eastAsia="cs-CZ"/>
        </w:rPr>
        <w:t> </w:t>
      </w:r>
      <w:r w:rsidRPr="00845AD8">
        <w:rPr>
          <w:rFonts w:ascii="Arial" w:eastAsia="Times New Roman" w:hAnsi="Arial" w:cs="Arial"/>
          <w:lang w:eastAsia="cs-CZ"/>
        </w:rPr>
        <w:t>provoz těch infrastruktur VaVaI, které nebudou financovány prostřednictvím MŠMT jako projekty velkých infrastruktur. S ohledem na legislativně vymezený způsob rozdělování zmíněných finančních prostředků však není použitelný u nově vytvořených infrastruktur VaVaI</w:t>
      </w:r>
      <w:r w:rsidR="008353E1" w:rsidRPr="00845AD8">
        <w:rPr>
          <w:rFonts w:ascii="Arial" w:eastAsia="Times New Roman" w:hAnsi="Arial" w:cs="Arial"/>
          <w:lang w:eastAsia="cs-CZ"/>
        </w:rPr>
        <w:t>, pokud jsou</w:t>
      </w:r>
      <w:r w:rsidR="00B2739B">
        <w:rPr>
          <w:rFonts w:ascii="Arial" w:eastAsia="Times New Roman" w:hAnsi="Arial" w:cs="Arial"/>
          <w:lang w:eastAsia="cs-CZ"/>
        </w:rPr>
        <w:t xml:space="preserve"> </w:t>
      </w:r>
      <w:r w:rsidR="00F335CF" w:rsidRPr="00845AD8">
        <w:rPr>
          <w:rFonts w:ascii="Arial" w:eastAsia="Times New Roman" w:hAnsi="Arial" w:cs="Arial"/>
          <w:lang w:eastAsia="cs-CZ"/>
        </w:rPr>
        <w:t>p</w:t>
      </w:r>
      <w:r w:rsidRPr="00845AD8">
        <w:rPr>
          <w:rFonts w:ascii="Arial" w:eastAsia="Times New Roman" w:hAnsi="Arial" w:cs="Arial"/>
          <w:lang w:eastAsia="cs-CZ"/>
        </w:rPr>
        <w:t>rostředky rozdělovány na základě bodové hodnoty za výsledky (zejména publikace) dosažené v předchozích pěti letech. Při zahájení výzkumných aktivit nově sestavenými vědeckými týmy v nových infrastrukturách</w:t>
      </w:r>
      <w:r w:rsidRPr="00F57A5E">
        <w:rPr>
          <w:rFonts w:ascii="Arial" w:eastAsia="Times New Roman" w:hAnsi="Arial" w:cs="Arial"/>
          <w:lang w:eastAsia="cs-CZ"/>
        </w:rPr>
        <w:t xml:space="preserve"> je nutno počítat s časovou prodlevou, než se výsledky podaří publikovat</w:t>
      </w:r>
      <w:r w:rsidR="00922748" w:rsidRPr="00F57A5E">
        <w:rPr>
          <w:rFonts w:ascii="Arial" w:eastAsia="Times New Roman" w:hAnsi="Arial" w:cs="Arial"/>
          <w:lang w:eastAsia="cs-CZ"/>
        </w:rPr>
        <w:t xml:space="preserve"> </w:t>
      </w:r>
      <w:r w:rsidRPr="00F57A5E">
        <w:rPr>
          <w:rFonts w:ascii="Arial" w:eastAsia="Times New Roman" w:hAnsi="Arial" w:cs="Arial"/>
          <w:lang w:eastAsia="cs-CZ"/>
        </w:rPr>
        <w:t xml:space="preserve">nebo právně ochránit (patenty, užitné vzory) a než se </w:t>
      </w:r>
      <w:r w:rsidR="00922748" w:rsidRPr="00F57A5E">
        <w:rPr>
          <w:rFonts w:ascii="Arial" w:eastAsia="Times New Roman" w:hAnsi="Arial" w:cs="Arial"/>
          <w:lang w:eastAsia="cs-CZ"/>
        </w:rPr>
        <w:t xml:space="preserve">tudíž </w:t>
      </w:r>
      <w:r w:rsidRPr="00F57A5E">
        <w:rPr>
          <w:rFonts w:ascii="Arial" w:eastAsia="Times New Roman" w:hAnsi="Arial" w:cs="Arial"/>
          <w:lang w:eastAsia="cs-CZ"/>
        </w:rPr>
        <w:t xml:space="preserve">projeví v hodnocení. </w:t>
      </w:r>
      <w:r w:rsidRPr="00845AD8">
        <w:rPr>
          <w:rFonts w:ascii="Arial" w:eastAsia="Times New Roman" w:hAnsi="Arial" w:cs="Arial"/>
          <w:lang w:eastAsia="cs-CZ"/>
        </w:rPr>
        <w:t xml:space="preserve">Tato prodleva může nabývat v závislosti na vědním oboru přibližně od dvou do deseti let. </w:t>
      </w:r>
      <w:r w:rsidR="00B2739B">
        <w:rPr>
          <w:rFonts w:ascii="Arial" w:eastAsia="Times New Roman" w:hAnsi="Arial" w:cs="Arial"/>
          <w:lang w:eastAsia="cs-CZ"/>
        </w:rPr>
        <w:t>Mnoho p</w:t>
      </w:r>
      <w:r w:rsidRPr="00845AD8">
        <w:rPr>
          <w:rFonts w:ascii="Arial" w:eastAsia="Times New Roman" w:hAnsi="Arial" w:cs="Arial"/>
          <w:lang w:eastAsia="cs-CZ"/>
        </w:rPr>
        <w:t>rovozovatel</w:t>
      </w:r>
      <w:r w:rsidR="00B2739B">
        <w:rPr>
          <w:rFonts w:ascii="Arial" w:eastAsia="Times New Roman" w:hAnsi="Arial" w:cs="Arial"/>
          <w:lang w:eastAsia="cs-CZ"/>
        </w:rPr>
        <w:t>ů infrastruktur</w:t>
      </w:r>
      <w:r w:rsidRPr="00845AD8">
        <w:rPr>
          <w:rFonts w:ascii="Arial" w:eastAsia="Times New Roman" w:hAnsi="Arial" w:cs="Arial"/>
          <w:lang w:eastAsia="cs-CZ"/>
        </w:rPr>
        <w:t xml:space="preserve"> je v uvedeném období odkázán</w:t>
      </w:r>
      <w:r w:rsidR="00B2739B">
        <w:rPr>
          <w:rFonts w:ascii="Arial" w:eastAsia="Times New Roman" w:hAnsi="Arial" w:cs="Arial"/>
          <w:lang w:eastAsia="cs-CZ"/>
        </w:rPr>
        <w:t>o převážně</w:t>
      </w:r>
      <w:r w:rsidRPr="00845AD8">
        <w:rPr>
          <w:rFonts w:ascii="Arial" w:eastAsia="Times New Roman" w:hAnsi="Arial" w:cs="Arial"/>
          <w:lang w:eastAsia="cs-CZ"/>
        </w:rPr>
        <w:t xml:space="preserve"> na finance přidělené za výsledky z</w:t>
      </w:r>
      <w:r w:rsidR="0053116E" w:rsidRPr="00845AD8">
        <w:rPr>
          <w:rFonts w:ascii="Arial" w:eastAsia="Times New Roman" w:hAnsi="Arial" w:cs="Arial"/>
          <w:lang w:eastAsia="cs-CZ"/>
        </w:rPr>
        <w:t> jiných organizačních součástí.</w:t>
      </w:r>
    </w:p>
    <w:p w:rsidR="000822A0" w:rsidRPr="00F57A5E" w:rsidRDefault="000822A0" w:rsidP="006B4254">
      <w:pPr>
        <w:spacing w:after="0" w:line="360" w:lineRule="auto"/>
        <w:ind w:firstLine="708"/>
        <w:jc w:val="both"/>
        <w:rPr>
          <w:rFonts w:ascii="Arial" w:eastAsia="Times New Roman" w:hAnsi="Arial" w:cs="Arial"/>
          <w:lang w:eastAsia="cs-CZ"/>
        </w:rPr>
      </w:pPr>
      <w:r w:rsidRPr="00845AD8">
        <w:rPr>
          <w:rFonts w:ascii="Arial" w:eastAsia="Times New Roman" w:hAnsi="Arial" w:cs="Arial"/>
          <w:lang w:eastAsia="cs-CZ"/>
        </w:rPr>
        <w:lastRenderedPageBreak/>
        <w:t>Dalším zdrojem</w:t>
      </w:r>
      <w:r w:rsidRPr="00F57A5E">
        <w:rPr>
          <w:rFonts w:ascii="Arial" w:eastAsia="Times New Roman" w:hAnsi="Arial" w:cs="Arial"/>
          <w:lang w:eastAsia="cs-CZ"/>
        </w:rPr>
        <w:t xml:space="preserve"> financování jsou zahraniční veřejné zdroje v podobě </w:t>
      </w:r>
      <w:proofErr w:type="spellStart"/>
      <w:r w:rsidRPr="00F57A5E">
        <w:rPr>
          <w:rFonts w:ascii="Arial" w:eastAsia="Times New Roman" w:hAnsi="Arial" w:cs="Arial"/>
          <w:lang w:eastAsia="cs-CZ"/>
        </w:rPr>
        <w:t>kolaborativních</w:t>
      </w:r>
      <w:proofErr w:type="spellEnd"/>
      <w:r w:rsidRPr="00F57A5E">
        <w:rPr>
          <w:rFonts w:ascii="Arial" w:eastAsia="Times New Roman" w:hAnsi="Arial" w:cs="Arial"/>
          <w:lang w:eastAsia="cs-CZ"/>
        </w:rPr>
        <w:t xml:space="preserve"> projektů na mezinárodní úrovni v rámci dotačních schémat, jako je 7 FP, Horizon</w:t>
      </w:r>
      <w:r w:rsidR="006A3F07">
        <w:rPr>
          <w:rFonts w:ascii="Arial" w:eastAsia="Times New Roman" w:hAnsi="Arial" w:cs="Arial"/>
          <w:lang w:eastAsia="cs-CZ"/>
        </w:rPr>
        <w:t>t</w:t>
      </w:r>
      <w:r w:rsidRPr="00F57A5E">
        <w:rPr>
          <w:rFonts w:ascii="Arial" w:eastAsia="Times New Roman" w:hAnsi="Arial" w:cs="Arial"/>
          <w:lang w:eastAsia="cs-CZ"/>
        </w:rPr>
        <w:t xml:space="preserve"> 2020 nebo EHP a Norské fondy, které jsou zčásti realizovány v konkrétní infrastruktuře VaVaI. V případě aplikačně zaměřených infrastruktur VaVaI jsou zásadním zdrojem financí podnikatelské zdroje.</w:t>
      </w:r>
      <w:r w:rsidR="00922748" w:rsidRPr="00F57A5E">
        <w:rPr>
          <w:rFonts w:ascii="Arial" w:eastAsia="Times New Roman" w:hAnsi="Arial" w:cs="Arial"/>
          <w:lang w:eastAsia="cs-CZ"/>
        </w:rPr>
        <w:t xml:space="preserve"> </w:t>
      </w:r>
      <w:r w:rsidRPr="00F57A5E">
        <w:rPr>
          <w:rFonts w:ascii="Arial" w:eastAsia="Times New Roman" w:hAnsi="Arial" w:cs="Arial"/>
          <w:lang w:eastAsia="cs-CZ"/>
        </w:rPr>
        <w:t>Zdroje ze státního rozpočtu na podporu dlouhodobého koncepčního rozvoje výzkumných organizací spolu s podnikatelskými zdroji by měly z převážné části nahradit prostředky ESIF určené na další rozvoj výzkumných infrastruktur po ukončení programovacího období 2014 – 2020. Náklady spojené s realizací konkrétních VaVaI úkolů by měly částečně pokrýt běžné provozní náklady Infrastruktur VaVaI.</w:t>
      </w:r>
    </w:p>
    <w:p w:rsidR="000822A0" w:rsidRPr="00F57A5E" w:rsidRDefault="000822A0" w:rsidP="0053116E">
      <w:pPr>
        <w:spacing w:after="0" w:line="360" w:lineRule="auto"/>
        <w:ind w:firstLine="708"/>
        <w:jc w:val="both"/>
        <w:rPr>
          <w:rFonts w:ascii="Arial" w:eastAsia="Times New Roman" w:hAnsi="Arial" w:cs="Arial"/>
          <w:lang w:eastAsia="cs-CZ"/>
        </w:rPr>
      </w:pPr>
      <w:r w:rsidRPr="00F57A5E">
        <w:rPr>
          <w:rFonts w:ascii="Arial" w:eastAsia="Times New Roman" w:hAnsi="Arial" w:cs="Arial"/>
          <w:lang w:eastAsia="cs-CZ"/>
        </w:rPr>
        <w:t>Problematiku financování infrastruktur VaVaI ve vztahu k naplnění jejich cílů a přínosů lze nastínit na příkladu velkých center vybudovaných z</w:t>
      </w:r>
      <w:r w:rsidR="00934D86">
        <w:rPr>
          <w:rFonts w:ascii="Arial" w:eastAsia="Times New Roman" w:hAnsi="Arial" w:cs="Arial"/>
          <w:lang w:eastAsia="cs-CZ"/>
        </w:rPr>
        <w:t xml:space="preserve"> prostředků OP </w:t>
      </w:r>
      <w:proofErr w:type="spellStart"/>
      <w:r w:rsidR="00934D86">
        <w:rPr>
          <w:rFonts w:ascii="Arial" w:eastAsia="Times New Roman" w:hAnsi="Arial" w:cs="Arial"/>
          <w:lang w:eastAsia="cs-CZ"/>
        </w:rPr>
        <w:t>VaVpI</w:t>
      </w:r>
      <w:proofErr w:type="spellEnd"/>
      <w:r w:rsidR="00934D86">
        <w:rPr>
          <w:rFonts w:ascii="Arial" w:eastAsia="Times New Roman" w:hAnsi="Arial" w:cs="Arial"/>
          <w:lang w:eastAsia="cs-CZ"/>
        </w:rPr>
        <w:t>. Obrázek 5.3</w:t>
      </w:r>
      <w:r w:rsidRPr="00F57A5E">
        <w:rPr>
          <w:rFonts w:ascii="Arial" w:eastAsia="Times New Roman" w:hAnsi="Arial" w:cs="Arial"/>
          <w:lang w:eastAsia="cs-CZ"/>
        </w:rPr>
        <w:t xml:space="preserve"> demonstruje potenciál k naplnění udržitelnosti prostřednictvím indikátorů v oblasti vlastní stavby, lidských zdrojů (noví zaměstnanci), finančních prostředků, tvorby výstupů výzkumu a vzdělávání. Na základě hodnot indikátorů dosažených v roce 2014 je patrné, že centra IT4I, ICRC a CEITEC v cílovém roce 2015 s největší pravděpodobností naplní indikátory v oblasti lidských zdrojů a počtu publikací (CEITEC již dokonce výrazně přesáhl cílové hodnoty). Pravděpodobnost naplnění indikátorů je menší u center ELI, BIOCEV a SUSEN, </w:t>
      </w:r>
      <w:r w:rsidR="00922748" w:rsidRPr="00F57A5E">
        <w:rPr>
          <w:rFonts w:ascii="Arial" w:eastAsia="Times New Roman" w:hAnsi="Arial" w:cs="Arial"/>
          <w:lang w:eastAsia="cs-CZ"/>
        </w:rPr>
        <w:t xml:space="preserve">což </w:t>
      </w:r>
      <w:r w:rsidRPr="00F57A5E">
        <w:rPr>
          <w:rFonts w:ascii="Arial" w:eastAsia="Times New Roman" w:hAnsi="Arial" w:cs="Arial"/>
          <w:lang w:eastAsia="cs-CZ"/>
        </w:rPr>
        <w:t xml:space="preserve">je však dáno pozdějším termínem kolaudace. Problematicky se jeví u všech zmíněných center naplnění indikátoru o objemu smluvního výzkumu, který byl zřejmě v době přípravy </w:t>
      </w:r>
      <w:r w:rsidR="00ED3592" w:rsidRPr="00F57A5E">
        <w:rPr>
          <w:rFonts w:ascii="Arial" w:eastAsia="Times New Roman" w:hAnsi="Arial" w:cs="Arial"/>
          <w:lang w:eastAsia="cs-CZ"/>
        </w:rPr>
        <w:t>pro</w:t>
      </w:r>
      <w:r w:rsidR="00ED3592">
        <w:rPr>
          <w:rFonts w:ascii="Arial" w:eastAsia="Times New Roman" w:hAnsi="Arial" w:cs="Arial"/>
          <w:lang w:eastAsia="cs-CZ"/>
        </w:rPr>
        <w:t>jektů</w:t>
      </w:r>
      <w:r w:rsidR="00ED3592" w:rsidRPr="00F57A5E">
        <w:rPr>
          <w:rFonts w:ascii="Arial" w:eastAsia="Times New Roman" w:hAnsi="Arial" w:cs="Arial"/>
          <w:lang w:eastAsia="cs-CZ"/>
        </w:rPr>
        <w:t xml:space="preserve"> </w:t>
      </w:r>
      <w:r w:rsidRPr="00F57A5E">
        <w:rPr>
          <w:rFonts w:ascii="Arial" w:eastAsia="Times New Roman" w:hAnsi="Arial" w:cs="Arial"/>
          <w:lang w:eastAsia="cs-CZ"/>
        </w:rPr>
        <w:t>nadhodnocen. Nejedná se však o</w:t>
      </w:r>
      <w:r w:rsidR="00D417C3">
        <w:rPr>
          <w:rFonts w:ascii="Arial" w:eastAsia="Times New Roman" w:hAnsi="Arial" w:cs="Arial"/>
          <w:lang w:eastAsia="cs-CZ"/>
        </w:rPr>
        <w:t> </w:t>
      </w:r>
      <w:r w:rsidRPr="00F57A5E">
        <w:rPr>
          <w:rFonts w:ascii="Arial" w:eastAsia="Times New Roman" w:hAnsi="Arial" w:cs="Arial"/>
          <w:lang w:eastAsia="cs-CZ"/>
        </w:rPr>
        <w:t>pochybení, neboť v době přípravy projektů nebyla známa omezení v souvislosti s přístupem Evropské komise</w:t>
      </w:r>
      <w:bookmarkStart w:id="9" w:name="_Ref421000799"/>
      <w:r w:rsidRPr="00F57A5E">
        <w:rPr>
          <w:rFonts w:ascii="Arial" w:eastAsia="Times New Roman" w:hAnsi="Arial" w:cs="Arial"/>
          <w:vertAlign w:val="superscript"/>
          <w:lang w:eastAsia="cs-CZ"/>
        </w:rPr>
        <w:footnoteReference w:id="16"/>
      </w:r>
      <w:bookmarkEnd w:id="9"/>
      <w:r w:rsidRPr="00F57A5E">
        <w:rPr>
          <w:rFonts w:ascii="Arial" w:eastAsia="Times New Roman" w:hAnsi="Arial" w:cs="Arial"/>
          <w:lang w:eastAsia="cs-CZ"/>
        </w:rPr>
        <w:t xml:space="preserve"> při vymezení hospodářských a </w:t>
      </w:r>
      <w:proofErr w:type="spellStart"/>
      <w:r w:rsidRPr="00F57A5E">
        <w:rPr>
          <w:rFonts w:ascii="Arial" w:eastAsia="Times New Roman" w:hAnsi="Arial" w:cs="Arial"/>
          <w:lang w:eastAsia="cs-CZ"/>
        </w:rPr>
        <w:t>nehospodářských</w:t>
      </w:r>
      <w:proofErr w:type="spellEnd"/>
      <w:r w:rsidRPr="00F57A5E">
        <w:rPr>
          <w:rFonts w:ascii="Arial" w:eastAsia="Times New Roman" w:hAnsi="Arial" w:cs="Arial"/>
          <w:lang w:eastAsia="cs-CZ"/>
        </w:rPr>
        <w:t xml:space="preserve"> činností vykonávaných výzkumnou organizací a infrastrukturou VaVaI. </w:t>
      </w:r>
      <w:r w:rsidR="008511E8">
        <w:rPr>
          <w:rFonts w:ascii="Arial" w:eastAsia="Times New Roman" w:hAnsi="Arial" w:cs="Arial"/>
          <w:lang w:eastAsia="cs-CZ"/>
        </w:rPr>
        <w:t>N</w:t>
      </w:r>
      <w:r w:rsidRPr="00F57A5E">
        <w:rPr>
          <w:rFonts w:ascii="Arial" w:eastAsia="Times New Roman" w:hAnsi="Arial" w:cs="Arial"/>
          <w:lang w:eastAsia="cs-CZ"/>
        </w:rPr>
        <w:t xml:space="preserve">ižší objem získaných soukromých prostředků v podobě plateb za provedený smluvní výzkum </w:t>
      </w:r>
      <w:r w:rsidR="008511E8">
        <w:rPr>
          <w:rFonts w:ascii="Arial" w:eastAsia="Times New Roman" w:hAnsi="Arial" w:cs="Arial"/>
          <w:lang w:eastAsia="cs-CZ"/>
        </w:rPr>
        <w:t>pravděpodobně povede ke zvýšení</w:t>
      </w:r>
      <w:r w:rsidRPr="00F57A5E">
        <w:rPr>
          <w:rFonts w:ascii="Arial" w:eastAsia="Times New Roman" w:hAnsi="Arial" w:cs="Arial"/>
          <w:lang w:eastAsia="cs-CZ"/>
        </w:rPr>
        <w:t xml:space="preserve"> nároků provozovatelů center na veřejné prostředky zejména ze státního rozpočtu a to především v prvních letech po zahájení VaVaI činnosti, pro </w:t>
      </w:r>
      <w:r w:rsidR="00922748" w:rsidRPr="00F57A5E">
        <w:rPr>
          <w:rFonts w:ascii="Arial" w:eastAsia="Times New Roman" w:hAnsi="Arial" w:cs="Arial"/>
          <w:lang w:eastAsia="cs-CZ"/>
        </w:rPr>
        <w:t xml:space="preserve">niž </w:t>
      </w:r>
      <w:r w:rsidR="0053116E">
        <w:rPr>
          <w:rFonts w:ascii="Arial" w:eastAsia="Times New Roman" w:hAnsi="Arial" w:cs="Arial"/>
          <w:lang w:eastAsia="cs-CZ"/>
        </w:rPr>
        <w:t>byla centra vybudována.</w:t>
      </w:r>
    </w:p>
    <w:p w:rsidR="000822A0" w:rsidRPr="00F57A5E" w:rsidRDefault="000822A0" w:rsidP="006B4254">
      <w:pPr>
        <w:spacing w:after="0" w:line="360" w:lineRule="auto"/>
        <w:ind w:firstLine="708"/>
        <w:jc w:val="both"/>
        <w:rPr>
          <w:rFonts w:ascii="Arial" w:eastAsia="Times New Roman" w:hAnsi="Arial" w:cs="Arial"/>
          <w:lang w:eastAsia="cs-CZ"/>
        </w:rPr>
      </w:pPr>
      <w:r w:rsidRPr="00F57A5E">
        <w:rPr>
          <w:rFonts w:ascii="Arial" w:eastAsia="Times New Roman" w:hAnsi="Arial" w:cs="Arial"/>
          <w:lang w:eastAsia="cs-CZ"/>
        </w:rPr>
        <w:t xml:space="preserve">Plánované výdaje v letech 2015 – 2020 v souvislosti s provozem šesti velkých center vybudovaných z prostředků </w:t>
      </w:r>
      <w:proofErr w:type="spellStart"/>
      <w:r w:rsidRPr="00F57A5E">
        <w:rPr>
          <w:rFonts w:ascii="Arial" w:eastAsia="Times New Roman" w:hAnsi="Arial" w:cs="Arial"/>
          <w:lang w:eastAsia="cs-CZ"/>
        </w:rPr>
        <w:t>VaVpI</w:t>
      </w:r>
      <w:proofErr w:type="spellEnd"/>
      <w:r w:rsidRPr="00F57A5E">
        <w:rPr>
          <w:rFonts w:ascii="Arial" w:eastAsia="Times New Roman" w:hAnsi="Arial" w:cs="Arial"/>
          <w:lang w:eastAsia="cs-CZ"/>
        </w:rPr>
        <w:t xml:space="preserve"> uvádí</w:t>
      </w:r>
      <w:r w:rsidR="0053116E">
        <w:rPr>
          <w:rFonts w:ascii="Arial" w:eastAsia="Times New Roman" w:hAnsi="Arial" w:cs="Arial"/>
          <w:lang w:eastAsia="cs-CZ"/>
        </w:rPr>
        <w:t xml:space="preserve"> obr</w:t>
      </w:r>
      <w:r w:rsidR="00291BB8">
        <w:rPr>
          <w:rFonts w:ascii="Arial" w:eastAsia="Times New Roman" w:hAnsi="Arial" w:cs="Arial"/>
          <w:lang w:eastAsia="cs-CZ"/>
        </w:rPr>
        <w:t>ázek</w:t>
      </w:r>
      <w:r w:rsidR="0053116E">
        <w:rPr>
          <w:rFonts w:ascii="Arial" w:eastAsia="Times New Roman" w:hAnsi="Arial" w:cs="Arial"/>
          <w:lang w:eastAsia="cs-CZ"/>
        </w:rPr>
        <w:t xml:space="preserve"> 5.4</w:t>
      </w:r>
      <w:r w:rsidRPr="00F57A5E">
        <w:rPr>
          <w:rFonts w:ascii="Arial" w:eastAsia="Times New Roman" w:hAnsi="Arial" w:cs="Arial"/>
          <w:lang w:eastAsia="cs-CZ"/>
        </w:rPr>
        <w:t xml:space="preserve">. Jedná se o údaje získané přímo od provozovatelů center. Jde o prvotní odhady získané v prvním čtvrtletí 2015, tj. v bodě dokončování výstavby center, které budou v dalších letech zpřesňovány. Z odhadů lze očekávat, že celkové náklady pravděpodobně porostou na hodnotu kolem 3,5 mld. Kč ročně. Z těchto nákladů budou přibližně 30 % tvořit provozní náklady, které je nutno vynaložit, aniž by v centru probíhal jakýkoliv výzkum. Náklady na provoz spolu s náklady na vlastní výzkum se pravděpodobně stabilizují od roku 2018 na hodnotě přibližně 2,5 mld. Kč ročně. V dalších letech porostou pravděpodobně pouze náklady na obnovu investic, a to až na úroveň cca 900 mil. </w:t>
      </w:r>
      <w:r w:rsidR="00922748" w:rsidRPr="00F57A5E">
        <w:rPr>
          <w:rFonts w:ascii="Arial" w:eastAsia="Times New Roman" w:hAnsi="Arial" w:cs="Arial"/>
          <w:lang w:eastAsia="cs-CZ"/>
        </w:rPr>
        <w:t>z</w:t>
      </w:r>
      <w:r w:rsidRPr="00F57A5E">
        <w:rPr>
          <w:rFonts w:ascii="Arial" w:eastAsia="Times New Roman" w:hAnsi="Arial" w:cs="Arial"/>
          <w:lang w:eastAsia="cs-CZ"/>
        </w:rPr>
        <w:t xml:space="preserve">a rok. </w:t>
      </w:r>
    </w:p>
    <w:p w:rsidR="000822A0" w:rsidRPr="00F57A5E" w:rsidRDefault="0053116E" w:rsidP="006B4254">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Z obr</w:t>
      </w:r>
      <w:r w:rsidR="00291BB8">
        <w:rPr>
          <w:rFonts w:ascii="Arial" w:eastAsia="Times New Roman" w:hAnsi="Arial" w:cs="Arial"/>
          <w:lang w:eastAsia="cs-CZ"/>
        </w:rPr>
        <w:t>ázku</w:t>
      </w:r>
      <w:r>
        <w:rPr>
          <w:rFonts w:ascii="Arial" w:eastAsia="Times New Roman" w:hAnsi="Arial" w:cs="Arial"/>
          <w:lang w:eastAsia="cs-CZ"/>
        </w:rPr>
        <w:t xml:space="preserve"> 5.4</w:t>
      </w:r>
      <w:r w:rsidR="000822A0" w:rsidRPr="00F57A5E">
        <w:rPr>
          <w:rFonts w:ascii="Arial" w:eastAsia="Times New Roman" w:hAnsi="Arial" w:cs="Arial"/>
          <w:lang w:eastAsia="cs-CZ"/>
        </w:rPr>
        <w:t xml:space="preserve"> je rovněž pat</w:t>
      </w:r>
      <w:r>
        <w:rPr>
          <w:rFonts w:ascii="Arial" w:eastAsia="Times New Roman" w:hAnsi="Arial" w:cs="Arial"/>
          <w:lang w:eastAsia="cs-CZ"/>
        </w:rPr>
        <w:t>r</w:t>
      </w:r>
      <w:r w:rsidR="000822A0" w:rsidRPr="00F57A5E">
        <w:rPr>
          <w:rFonts w:ascii="Arial" w:eastAsia="Times New Roman" w:hAnsi="Arial" w:cs="Arial"/>
          <w:lang w:eastAsia="cs-CZ"/>
        </w:rPr>
        <w:t xml:space="preserve">né, které finanční nástroje budou pravděpodobně využity pro krytí nákladů. Provozní náklady mohou být kryty zejména finančními nástroji institucionálního </w:t>
      </w:r>
      <w:r w:rsidR="000822A0" w:rsidRPr="00F57A5E">
        <w:rPr>
          <w:rFonts w:ascii="Arial" w:eastAsia="Times New Roman" w:hAnsi="Arial" w:cs="Arial"/>
          <w:lang w:eastAsia="cs-CZ"/>
        </w:rPr>
        <w:lastRenderedPageBreak/>
        <w:t xml:space="preserve">charakteru, </w:t>
      </w:r>
      <w:r w:rsidR="00232C91" w:rsidRPr="00F57A5E">
        <w:rPr>
          <w:rFonts w:ascii="Arial" w:eastAsia="Times New Roman" w:hAnsi="Arial" w:cs="Arial"/>
          <w:lang w:eastAsia="cs-CZ"/>
        </w:rPr>
        <w:t xml:space="preserve">například </w:t>
      </w:r>
      <w:r w:rsidR="000822A0" w:rsidRPr="00F57A5E">
        <w:rPr>
          <w:rFonts w:ascii="Arial" w:eastAsia="Times New Roman" w:hAnsi="Arial" w:cs="Arial"/>
          <w:lang w:eastAsia="cs-CZ"/>
        </w:rPr>
        <w:t>Projekty velkých infrastruktur, Národní programy udržitelnosti I a II a podpora dlouhodobého koncepčního roz</w:t>
      </w:r>
      <w:r w:rsidR="00CD0A39">
        <w:rPr>
          <w:rFonts w:ascii="Arial" w:eastAsia="Times New Roman" w:hAnsi="Arial" w:cs="Arial"/>
          <w:lang w:eastAsia="cs-CZ"/>
        </w:rPr>
        <w:t>voje výzkumných organizací</w:t>
      </w:r>
      <w:r w:rsidR="000822A0" w:rsidRPr="00F57A5E">
        <w:rPr>
          <w:rFonts w:ascii="Arial" w:eastAsia="Times New Roman" w:hAnsi="Arial" w:cs="Arial"/>
          <w:lang w:eastAsia="cs-CZ"/>
        </w:rPr>
        <w:t xml:space="preserve">. Částečně se na krytí těchto nákladů mohou podílet prostředky na vlastní výzkum, ať již z veřejných či podnikatelských zdrojů. Náklady na vlastní výzkum předpokládají krytí z účelových prostředků GA ČR, TA ČR a dalších poskytovatelů v meziročně stabilní výši kolem 0,5 mld. Kč. K tomu budou využity také účelové prostředky MŠMT. Vlastní výzkum může být rovněž financován z prostředků RVO. Odhadovaný podíl zahraničních veřejných zdrojů účelové povahy (např. H2020, EHP / Norské fondy) </w:t>
      </w:r>
      <w:r w:rsidR="000822A0" w:rsidRPr="002072CE">
        <w:rPr>
          <w:rFonts w:ascii="Arial" w:eastAsia="Times New Roman" w:hAnsi="Arial" w:cs="Arial"/>
          <w:lang w:eastAsia="cs-CZ"/>
        </w:rPr>
        <w:t>je relativně nízk</w:t>
      </w:r>
      <w:r w:rsidR="002072CE" w:rsidRPr="002072CE">
        <w:rPr>
          <w:rFonts w:ascii="Arial" w:eastAsia="Times New Roman" w:hAnsi="Arial" w:cs="Arial"/>
          <w:lang w:eastAsia="cs-CZ"/>
        </w:rPr>
        <w:t>ý</w:t>
      </w:r>
      <w:r w:rsidR="000822A0" w:rsidRPr="00F57A5E">
        <w:rPr>
          <w:rFonts w:ascii="Arial" w:eastAsia="Times New Roman" w:hAnsi="Arial" w:cs="Arial"/>
          <w:lang w:eastAsia="cs-CZ"/>
        </w:rPr>
        <w:t xml:space="preserve">, přibližně 100 mil. Kč v roce 2016 s postupným nárůstem na </w:t>
      </w:r>
      <w:r w:rsidR="008511E8">
        <w:rPr>
          <w:rFonts w:ascii="Arial" w:eastAsia="Times New Roman" w:hAnsi="Arial" w:cs="Arial"/>
          <w:lang w:eastAsia="cs-CZ"/>
        </w:rPr>
        <w:t xml:space="preserve">cca </w:t>
      </w:r>
      <w:r w:rsidR="000822A0" w:rsidRPr="00F57A5E">
        <w:rPr>
          <w:rFonts w:ascii="Arial" w:eastAsia="Times New Roman" w:hAnsi="Arial" w:cs="Arial"/>
          <w:lang w:eastAsia="cs-CZ"/>
        </w:rPr>
        <w:t xml:space="preserve">300 mil. Kč v roce 2020. V období tvorby odhadu však centra ještě nebyla v provozu, proto bylo velmi obtížné kvantifikovat budoucí úspěšnost v mezinárodních soutěžích. </w:t>
      </w:r>
      <w:r w:rsidR="00232C91" w:rsidRPr="00F57A5E">
        <w:rPr>
          <w:rFonts w:ascii="Arial" w:eastAsia="Times New Roman" w:hAnsi="Arial" w:cs="Arial"/>
          <w:lang w:eastAsia="cs-CZ"/>
        </w:rPr>
        <w:t>S</w:t>
      </w:r>
      <w:r w:rsidR="000822A0" w:rsidRPr="00F57A5E">
        <w:rPr>
          <w:rFonts w:ascii="Arial" w:eastAsia="Times New Roman" w:hAnsi="Arial" w:cs="Arial"/>
          <w:lang w:eastAsia="cs-CZ"/>
        </w:rPr>
        <w:t> prostředky ESIF (zejména OP VVV) v</w:t>
      </w:r>
      <w:r w:rsidR="00232C91" w:rsidRPr="00F57A5E">
        <w:rPr>
          <w:rFonts w:ascii="Arial" w:eastAsia="Times New Roman" w:hAnsi="Arial" w:cs="Arial"/>
          <w:lang w:eastAsia="cs-CZ"/>
        </w:rPr>
        <w:t xml:space="preserve"> objemu </w:t>
      </w:r>
      <w:r w:rsidR="000822A0" w:rsidRPr="00F57A5E">
        <w:rPr>
          <w:rFonts w:ascii="Arial" w:eastAsia="Times New Roman" w:hAnsi="Arial" w:cs="Arial"/>
          <w:lang w:eastAsia="cs-CZ"/>
        </w:rPr>
        <w:t xml:space="preserve">až 1,2 mld. Kč ročně je počítáno pro krytí nákladů na další rozvoj center. Odhad provozovatelů center počítá s kulminací prostředků ESIF v roce 2017, s ohledem na nastavení </w:t>
      </w:r>
      <w:r w:rsidR="008511E8">
        <w:rPr>
          <w:rFonts w:ascii="Arial" w:eastAsia="Times New Roman" w:hAnsi="Arial" w:cs="Arial"/>
          <w:lang w:eastAsia="cs-CZ"/>
        </w:rPr>
        <w:t>programů</w:t>
      </w:r>
      <w:r w:rsidR="008511E8" w:rsidRPr="00F57A5E">
        <w:rPr>
          <w:rFonts w:ascii="Arial" w:eastAsia="Times New Roman" w:hAnsi="Arial" w:cs="Arial"/>
          <w:lang w:eastAsia="cs-CZ"/>
        </w:rPr>
        <w:t xml:space="preserve"> </w:t>
      </w:r>
      <w:r w:rsidR="000822A0" w:rsidRPr="00F57A5E">
        <w:rPr>
          <w:rFonts w:ascii="Arial" w:eastAsia="Times New Roman" w:hAnsi="Arial" w:cs="Arial"/>
          <w:lang w:eastAsia="cs-CZ"/>
        </w:rPr>
        <w:t>však pravděpodobně dojde k maximálnímu čerpání</w:t>
      </w:r>
      <w:r w:rsidR="00232C91" w:rsidRPr="00F57A5E">
        <w:rPr>
          <w:rFonts w:ascii="Arial" w:eastAsia="Times New Roman" w:hAnsi="Arial" w:cs="Arial"/>
          <w:lang w:eastAsia="cs-CZ"/>
        </w:rPr>
        <w:t xml:space="preserve"> až následně</w:t>
      </w:r>
      <w:r w:rsidR="000822A0" w:rsidRPr="00F57A5E">
        <w:rPr>
          <w:rFonts w:ascii="Arial" w:eastAsia="Times New Roman" w:hAnsi="Arial" w:cs="Arial"/>
          <w:lang w:eastAsia="cs-CZ"/>
        </w:rPr>
        <w:t>. Ke krytí reinvestic budou využívány také prostředky RVO. Poměrně nízká je předpokládaná úroveň smluvního výzkumu (kolem 5 %),</w:t>
      </w:r>
      <w:r w:rsidR="00232C91" w:rsidRPr="00F57A5E">
        <w:rPr>
          <w:rFonts w:ascii="Arial" w:eastAsia="Times New Roman" w:hAnsi="Arial" w:cs="Arial"/>
          <w:lang w:eastAsia="cs-CZ"/>
        </w:rPr>
        <w:t xml:space="preserve"> jež</w:t>
      </w:r>
      <w:r w:rsidR="000822A0" w:rsidRPr="00F57A5E">
        <w:rPr>
          <w:rFonts w:ascii="Arial" w:eastAsia="Times New Roman" w:hAnsi="Arial" w:cs="Arial"/>
          <w:lang w:eastAsia="cs-CZ"/>
        </w:rPr>
        <w:t xml:space="preserve"> neodpovídá </w:t>
      </w:r>
      <w:r w:rsidR="00232C91" w:rsidRPr="00F57A5E">
        <w:rPr>
          <w:rFonts w:ascii="Arial" w:eastAsia="Times New Roman" w:hAnsi="Arial" w:cs="Arial"/>
          <w:lang w:eastAsia="cs-CZ"/>
        </w:rPr>
        <w:t>odhadu</w:t>
      </w:r>
      <w:r w:rsidR="000822A0" w:rsidRPr="00F57A5E">
        <w:rPr>
          <w:rFonts w:ascii="Arial" w:eastAsia="Times New Roman" w:hAnsi="Arial" w:cs="Arial"/>
          <w:lang w:eastAsia="cs-CZ"/>
        </w:rPr>
        <w:t xml:space="preserve"> v době schvalování projektů OP </w:t>
      </w:r>
      <w:proofErr w:type="spellStart"/>
      <w:r w:rsidR="000822A0" w:rsidRPr="00F57A5E">
        <w:rPr>
          <w:rFonts w:ascii="Arial" w:eastAsia="Times New Roman" w:hAnsi="Arial" w:cs="Arial"/>
          <w:lang w:eastAsia="cs-CZ"/>
        </w:rPr>
        <w:t>VaVpI</w:t>
      </w:r>
      <w:proofErr w:type="spellEnd"/>
      <w:r w:rsidR="000822A0" w:rsidRPr="00F57A5E">
        <w:rPr>
          <w:rFonts w:ascii="Arial" w:eastAsia="Times New Roman" w:hAnsi="Arial" w:cs="Arial"/>
          <w:lang w:eastAsia="cs-CZ"/>
        </w:rPr>
        <w:t>. Souvisí to jednak se zaměřením center spíše na základní výzkum (s výjimkou SUSEN), ale také s omezeními v souvislosti s předpisy Evropské komise</w:t>
      </w:r>
      <w:r w:rsidR="000822A0" w:rsidRPr="00F57A5E">
        <w:rPr>
          <w:rFonts w:ascii="Arial" w:eastAsia="Times New Roman" w:hAnsi="Arial" w:cs="Arial"/>
          <w:vertAlign w:val="superscript"/>
          <w:lang w:eastAsia="cs-CZ"/>
        </w:rPr>
        <w:fldChar w:fldCharType="begin"/>
      </w:r>
      <w:r w:rsidR="000822A0" w:rsidRPr="00F57A5E">
        <w:rPr>
          <w:rFonts w:ascii="Arial" w:eastAsia="Times New Roman" w:hAnsi="Arial" w:cs="Arial"/>
          <w:vertAlign w:val="superscript"/>
          <w:lang w:eastAsia="cs-CZ"/>
        </w:rPr>
        <w:instrText xml:space="preserve"> NOTEREF _Ref421000799 \h  \* MERGEFORMAT </w:instrText>
      </w:r>
      <w:r w:rsidR="000822A0" w:rsidRPr="00F57A5E">
        <w:rPr>
          <w:rFonts w:ascii="Arial" w:eastAsia="Times New Roman" w:hAnsi="Arial" w:cs="Arial"/>
          <w:vertAlign w:val="superscript"/>
          <w:lang w:eastAsia="cs-CZ"/>
        </w:rPr>
      </w:r>
      <w:r w:rsidR="000822A0" w:rsidRPr="00F57A5E">
        <w:rPr>
          <w:rFonts w:ascii="Arial" w:eastAsia="Times New Roman" w:hAnsi="Arial" w:cs="Arial"/>
          <w:vertAlign w:val="superscript"/>
          <w:lang w:eastAsia="cs-CZ"/>
        </w:rPr>
        <w:fldChar w:fldCharType="separate"/>
      </w:r>
      <w:r w:rsidR="002239EE">
        <w:rPr>
          <w:rFonts w:ascii="Arial" w:eastAsia="Times New Roman" w:hAnsi="Arial" w:cs="Arial"/>
          <w:vertAlign w:val="superscript"/>
          <w:lang w:eastAsia="cs-CZ"/>
        </w:rPr>
        <w:t>16</w:t>
      </w:r>
      <w:r w:rsidR="000822A0" w:rsidRPr="00F57A5E">
        <w:rPr>
          <w:rFonts w:ascii="Arial" w:eastAsia="Times New Roman" w:hAnsi="Arial" w:cs="Arial"/>
          <w:vertAlign w:val="superscript"/>
          <w:lang w:eastAsia="cs-CZ"/>
        </w:rPr>
        <w:fldChar w:fldCharType="end"/>
      </w:r>
      <w:r w:rsidR="000822A0" w:rsidRPr="00F57A5E">
        <w:rPr>
          <w:rFonts w:ascii="Arial" w:eastAsia="Times New Roman" w:hAnsi="Arial" w:cs="Arial"/>
          <w:lang w:eastAsia="cs-CZ"/>
        </w:rPr>
        <w:t>.</w:t>
      </w:r>
    </w:p>
    <w:p w:rsidR="00F57A5E" w:rsidRPr="00F57A5E" w:rsidRDefault="000822A0" w:rsidP="008E7BFB">
      <w:pPr>
        <w:spacing w:after="0" w:line="360" w:lineRule="auto"/>
        <w:ind w:firstLine="708"/>
        <w:jc w:val="both"/>
        <w:rPr>
          <w:rFonts w:ascii="Arial" w:eastAsia="Times New Roman" w:hAnsi="Arial" w:cs="Arial"/>
          <w:lang w:eastAsia="cs-CZ"/>
        </w:rPr>
      </w:pPr>
      <w:r w:rsidRPr="00F57A5E">
        <w:rPr>
          <w:rFonts w:ascii="Arial" w:eastAsia="Times New Roman" w:hAnsi="Arial" w:cs="Arial"/>
          <w:lang w:eastAsia="cs-CZ"/>
        </w:rPr>
        <w:t xml:space="preserve">Vícezdrojové financování provozu infrastruktur VaVaI je </w:t>
      </w:r>
      <w:r w:rsidR="00767440">
        <w:rPr>
          <w:rFonts w:ascii="Arial" w:eastAsia="Times New Roman" w:hAnsi="Arial" w:cs="Arial"/>
          <w:lang w:eastAsia="cs-CZ"/>
        </w:rPr>
        <w:t>v současném systému potřebné</w:t>
      </w:r>
      <w:r w:rsidRPr="00F57A5E">
        <w:rPr>
          <w:rFonts w:ascii="Arial" w:eastAsia="Times New Roman" w:hAnsi="Arial" w:cs="Arial"/>
          <w:lang w:eastAsia="cs-CZ"/>
        </w:rPr>
        <w:t xml:space="preserve"> zejména pro zajištění jejich dlouhodobé udržitelnosti na vysoké úrovni přístrojového vybavení, </w:t>
      </w:r>
      <w:r w:rsidR="00232C91" w:rsidRPr="00F57A5E">
        <w:rPr>
          <w:rFonts w:ascii="Arial" w:eastAsia="Times New Roman" w:hAnsi="Arial" w:cs="Arial"/>
          <w:lang w:eastAsia="cs-CZ"/>
        </w:rPr>
        <w:t xml:space="preserve">jež </w:t>
      </w:r>
      <w:r w:rsidRPr="00F57A5E">
        <w:rPr>
          <w:rFonts w:ascii="Arial" w:eastAsia="Times New Roman" w:hAnsi="Arial" w:cs="Arial"/>
          <w:lang w:eastAsia="cs-CZ"/>
        </w:rPr>
        <w:t>za předpoklad</w:t>
      </w:r>
      <w:r w:rsidR="00232C91" w:rsidRPr="00F57A5E">
        <w:rPr>
          <w:rFonts w:ascii="Arial" w:eastAsia="Times New Roman" w:hAnsi="Arial" w:cs="Arial"/>
          <w:lang w:eastAsia="cs-CZ"/>
        </w:rPr>
        <w:t>u</w:t>
      </w:r>
      <w:r w:rsidRPr="00F57A5E">
        <w:rPr>
          <w:rFonts w:ascii="Arial" w:eastAsia="Times New Roman" w:hAnsi="Arial" w:cs="Arial"/>
          <w:lang w:eastAsia="cs-CZ"/>
        </w:rPr>
        <w:t xml:space="preserve"> stabilizace výzkumných a vývojových týmů představuje potenciál pro provádění kvalitního VaVaI vedoucího k ekonomickým a celospolečenským přínosům. Velké množství zdrojů financování infrastruktur však zároveň klade vysoké nároky na kontrolní činnost, jejímž úkolem má být především </w:t>
      </w:r>
      <w:r w:rsidR="008511E8">
        <w:rPr>
          <w:rFonts w:ascii="Arial" w:eastAsia="Times New Roman" w:hAnsi="Arial" w:cs="Arial"/>
          <w:lang w:eastAsia="cs-CZ"/>
        </w:rPr>
        <w:t>předcházení</w:t>
      </w:r>
      <w:r w:rsidR="008511E8" w:rsidRPr="00F57A5E">
        <w:rPr>
          <w:rFonts w:ascii="Arial" w:eastAsia="Times New Roman" w:hAnsi="Arial" w:cs="Arial"/>
          <w:lang w:eastAsia="cs-CZ"/>
        </w:rPr>
        <w:t xml:space="preserve"> </w:t>
      </w:r>
      <w:r w:rsidRPr="00F57A5E">
        <w:rPr>
          <w:rFonts w:ascii="Arial" w:eastAsia="Times New Roman" w:hAnsi="Arial" w:cs="Arial"/>
          <w:lang w:eastAsia="cs-CZ"/>
        </w:rPr>
        <w:t>duplicit ve financování, tj. krytí nákladů na stejnou aktivitu / činnost z více zdrojů současně. Skutečnost, že některé infrastruktury VaVaI jsou provozovány více subjekty, komplikuje analýzy zaměřené na účelnost a hospodárnost financování infrastruktur VaVaI</w:t>
      </w:r>
      <w:r w:rsidRPr="006B4254">
        <w:rPr>
          <w:rFonts w:ascii="Arial" w:eastAsia="Times New Roman" w:hAnsi="Arial" w:cs="Arial"/>
          <w:lang w:eastAsia="cs-CZ"/>
        </w:rPr>
        <w:t xml:space="preserve">. </w:t>
      </w:r>
      <w:r w:rsidR="00232C91" w:rsidRPr="006B4254">
        <w:rPr>
          <w:rFonts w:ascii="Arial" w:eastAsia="Times New Roman" w:hAnsi="Arial" w:cs="Arial"/>
          <w:lang w:eastAsia="cs-CZ"/>
        </w:rPr>
        <w:t>Proto nelze při</w:t>
      </w:r>
      <w:r w:rsidRPr="006B4254">
        <w:rPr>
          <w:rFonts w:ascii="Arial" w:eastAsia="Times New Roman" w:hAnsi="Arial" w:cs="Arial"/>
          <w:lang w:eastAsia="cs-CZ"/>
        </w:rPr>
        <w:t xml:space="preserve"> hodnocení přínosů zvlášť vyčleňovat infrastruktury VaVaI, a je nutn</w:t>
      </w:r>
      <w:r w:rsidR="00232C91" w:rsidRPr="006B4254">
        <w:rPr>
          <w:rFonts w:ascii="Arial" w:eastAsia="Times New Roman" w:hAnsi="Arial" w:cs="Arial"/>
          <w:lang w:eastAsia="cs-CZ"/>
        </w:rPr>
        <w:t>é</w:t>
      </w:r>
      <w:r w:rsidRPr="006B4254">
        <w:rPr>
          <w:rFonts w:ascii="Arial" w:eastAsia="Times New Roman" w:hAnsi="Arial" w:cs="Arial"/>
          <w:lang w:eastAsia="cs-CZ"/>
        </w:rPr>
        <w:t xml:space="preserve"> je posuzovat jako integrální součást institucí provádějících VaVaI v</w:t>
      </w:r>
      <w:r w:rsidR="00232C91" w:rsidRPr="006B4254">
        <w:rPr>
          <w:rFonts w:ascii="Arial" w:eastAsia="Times New Roman" w:hAnsi="Arial" w:cs="Arial"/>
          <w:lang w:eastAsia="cs-CZ"/>
        </w:rPr>
        <w:t> </w:t>
      </w:r>
      <w:r w:rsidRPr="006B4254">
        <w:rPr>
          <w:rFonts w:ascii="Arial" w:eastAsia="Times New Roman" w:hAnsi="Arial" w:cs="Arial"/>
          <w:lang w:eastAsia="cs-CZ"/>
        </w:rPr>
        <w:t>celé</w:t>
      </w:r>
      <w:r w:rsidR="00232C91" w:rsidRPr="006B4254">
        <w:rPr>
          <w:rFonts w:ascii="Arial" w:eastAsia="Times New Roman" w:hAnsi="Arial" w:cs="Arial"/>
          <w:lang w:eastAsia="cs-CZ"/>
        </w:rPr>
        <w:t xml:space="preserve"> šíři</w:t>
      </w:r>
      <w:r w:rsidRPr="006B4254">
        <w:rPr>
          <w:rFonts w:ascii="Arial" w:eastAsia="Times New Roman" w:hAnsi="Arial" w:cs="Arial"/>
          <w:lang w:eastAsia="cs-CZ"/>
        </w:rPr>
        <w:t xml:space="preserve"> jejich aktivit.</w:t>
      </w:r>
    </w:p>
    <w:p w:rsidR="000822A0" w:rsidRPr="000822A0" w:rsidRDefault="000822A0" w:rsidP="000822A0">
      <w:pPr>
        <w:spacing w:after="0" w:line="240" w:lineRule="auto"/>
        <w:jc w:val="both"/>
        <w:rPr>
          <w:rFonts w:ascii="Times New Roman" w:eastAsia="Times New Roman" w:hAnsi="Times New Roman" w:cs="Times New Roman"/>
          <w:b/>
          <w:i/>
          <w:sz w:val="24"/>
          <w:szCs w:val="24"/>
          <w:lang w:eastAsia="cs-CZ"/>
        </w:rPr>
        <w:sectPr w:rsidR="000822A0" w:rsidRPr="000822A0" w:rsidSect="00E540D1">
          <w:pgSz w:w="11906" w:h="16838"/>
          <w:pgMar w:top="1134" w:right="1134" w:bottom="1134" w:left="1134" w:header="709" w:footer="709" w:gutter="0"/>
          <w:cols w:space="708"/>
          <w:docGrid w:linePitch="360"/>
        </w:sectPr>
      </w:pPr>
    </w:p>
    <w:p w:rsidR="000822A0" w:rsidRPr="000822A0" w:rsidRDefault="0053116E" w:rsidP="00DA646C">
      <w:pPr>
        <w:pStyle w:val="Obrzek-nadpis"/>
      </w:pPr>
      <w:r>
        <w:lastRenderedPageBreak/>
        <w:t>Obr. 5.3</w:t>
      </w:r>
      <w:r w:rsidR="000822A0" w:rsidRPr="000822A0">
        <w:t>: Indikátory udržitelnosti vybraných infrastruktur VaVaI vybudovaných z </w:t>
      </w:r>
      <w:proofErr w:type="gramStart"/>
      <w:r w:rsidR="000822A0" w:rsidRPr="000822A0">
        <w:t>OP</w:t>
      </w:r>
      <w:proofErr w:type="gramEnd"/>
      <w:r w:rsidR="000822A0" w:rsidRPr="000822A0">
        <w:t xml:space="preserve"> </w:t>
      </w:r>
      <w:proofErr w:type="spellStart"/>
      <w:r w:rsidR="000822A0" w:rsidRPr="000822A0">
        <w:t>VaVpI</w:t>
      </w:r>
      <w:proofErr w:type="spellEnd"/>
      <w:r w:rsidR="000822A0" w:rsidRPr="000822A0">
        <w:t xml:space="preserve"> v letech 2008 – 2015 </w:t>
      </w:r>
    </w:p>
    <w:p w:rsidR="000822A0" w:rsidRPr="000822A0" w:rsidRDefault="000822A0" w:rsidP="00D25C7B">
      <w:pPr>
        <w:spacing w:after="0" w:line="240" w:lineRule="auto"/>
        <w:jc w:val="center"/>
        <w:rPr>
          <w:rFonts w:ascii="Times New Roman" w:eastAsia="Times New Roman" w:hAnsi="Times New Roman" w:cs="Times New Roman"/>
          <w:i/>
          <w:sz w:val="20"/>
          <w:szCs w:val="20"/>
          <w:lang w:eastAsia="cs-CZ"/>
        </w:rPr>
      </w:pPr>
      <w:r w:rsidRPr="000822A0">
        <w:rPr>
          <w:rFonts w:ascii="Times New Roman" w:eastAsia="Times New Roman" w:hAnsi="Times New Roman" w:cs="Times New Roman"/>
          <w:noProof/>
          <w:sz w:val="24"/>
          <w:szCs w:val="24"/>
          <w:lang w:eastAsia="cs-CZ"/>
        </w:rPr>
        <w:drawing>
          <wp:inline distT="0" distB="0" distL="0" distR="0" wp14:anchorId="397912A7" wp14:editId="74CD5A05">
            <wp:extent cx="8892540" cy="3487514"/>
            <wp:effectExtent l="0" t="0" r="3810" b="0"/>
            <wp:docPr id="340" name="Obrázek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8892540" cy="3487514"/>
                    </a:xfrm>
                    <a:prstGeom prst="rect">
                      <a:avLst/>
                    </a:prstGeom>
                    <a:noFill/>
                    <a:ln>
                      <a:noFill/>
                    </a:ln>
                  </pic:spPr>
                </pic:pic>
              </a:graphicData>
            </a:graphic>
          </wp:inline>
        </w:drawing>
      </w:r>
    </w:p>
    <w:p w:rsidR="000822A0" w:rsidRPr="000822A0" w:rsidRDefault="000822A0" w:rsidP="00DA646C">
      <w:pPr>
        <w:pStyle w:val="Zdroj"/>
      </w:pPr>
      <w:r w:rsidRPr="000822A0">
        <w:t>Zdroj dat: údaje poskytnuté MŠMT z informačního systému MONIT 7+ v únoru 2015</w:t>
      </w:r>
    </w:p>
    <w:p w:rsidR="000822A0" w:rsidRPr="000822A0" w:rsidRDefault="000822A0" w:rsidP="00DA646C">
      <w:pPr>
        <w:pStyle w:val="komentzaobrzkem"/>
      </w:pPr>
      <w:r w:rsidRPr="000822A0">
        <w:t>Jsou uvedeny údaje za tzv. velká centra, tj. taková, u kterých finanční alokace na projekt přesáhla 50 mil. EUR</w:t>
      </w:r>
      <w:r w:rsidR="0081050E">
        <w:t>.</w:t>
      </w:r>
    </w:p>
    <w:p w:rsidR="000822A0" w:rsidRPr="000822A0" w:rsidRDefault="000822A0" w:rsidP="00DA646C">
      <w:pPr>
        <w:pStyle w:val="komentzaobrzkem"/>
      </w:pPr>
      <w:r w:rsidRPr="000822A0">
        <w:t>V době poskytnutí dat byly všechny uvedené projekty ve fázi realizace před dokončením stavebních prací</w:t>
      </w:r>
      <w:r w:rsidR="0081050E">
        <w:t>.</w:t>
      </w:r>
    </w:p>
    <w:p w:rsidR="000822A0" w:rsidRPr="000822A0" w:rsidRDefault="000822A0" w:rsidP="00DA646C">
      <w:pPr>
        <w:pStyle w:val="komentzaobrzkem"/>
      </w:pPr>
      <w:r w:rsidRPr="000822A0">
        <w:t>Projekty se vzájemně liší v počtu a druhu indikátorů udržitelnosti s ohledem na zaměření projektů a příslušnost k prioritním osám (projekt SUSEN j</w:t>
      </w:r>
      <w:r w:rsidR="00D417C3">
        <w:t>e regionálním centrem výzkumu a </w:t>
      </w:r>
      <w:r w:rsidRPr="000822A0">
        <w:t>vývoje financovaným z prioritní osy 2, ostatní jsou evropskými centry excelence financovanými z prioritní osy 1): pokud v konkrétním centru nebyl indikátor stanoven, je v obrázku přerušena spojnice (např. v případě ICRC chybí stavba nově vybudovaných kapacit, neboť se jedná o rozšíření a rekonstrukci stávající infrastruktury VaVaI)</w:t>
      </w:r>
      <w:r w:rsidR="0081050E">
        <w:t>.</w:t>
      </w:r>
    </w:p>
    <w:p w:rsidR="000822A0" w:rsidRPr="000822A0" w:rsidRDefault="0053116E" w:rsidP="00DA646C">
      <w:pPr>
        <w:pStyle w:val="Obrzek-nadpis"/>
      </w:pPr>
      <w:r>
        <w:lastRenderedPageBreak/>
        <w:t>Obr. 5.4</w:t>
      </w:r>
      <w:r w:rsidR="000822A0" w:rsidRPr="000822A0">
        <w:t>: Sumární odhad budoucích</w:t>
      </w:r>
      <w:r w:rsidR="00B717D5">
        <w:t xml:space="preserve"> </w:t>
      </w:r>
      <w:r w:rsidR="000822A0" w:rsidRPr="000822A0">
        <w:t>nákladů šesti velkých center vybudovaných z </w:t>
      </w:r>
      <w:proofErr w:type="gramStart"/>
      <w:r w:rsidR="000822A0" w:rsidRPr="000822A0">
        <w:t>OP</w:t>
      </w:r>
      <w:proofErr w:type="gramEnd"/>
      <w:r w:rsidR="000822A0" w:rsidRPr="000822A0">
        <w:t xml:space="preserve"> </w:t>
      </w:r>
      <w:proofErr w:type="spellStart"/>
      <w:r w:rsidR="000822A0" w:rsidRPr="000822A0">
        <w:t>VaVpI</w:t>
      </w:r>
      <w:proofErr w:type="spellEnd"/>
      <w:r w:rsidR="000822A0" w:rsidRPr="000822A0">
        <w:t xml:space="preserve"> a zdrojů je</w:t>
      </w:r>
      <w:r>
        <w:t>jich krytí v období 2015 - 2020</w:t>
      </w:r>
    </w:p>
    <w:p w:rsidR="000822A0" w:rsidRPr="000822A0" w:rsidRDefault="000822A0" w:rsidP="000822A0">
      <w:pPr>
        <w:spacing w:after="0" w:line="240" w:lineRule="auto"/>
        <w:jc w:val="center"/>
        <w:rPr>
          <w:rFonts w:ascii="Times New Roman" w:eastAsia="Times New Roman" w:hAnsi="Times New Roman" w:cs="Times New Roman"/>
          <w:i/>
          <w:sz w:val="20"/>
          <w:szCs w:val="20"/>
          <w:lang w:eastAsia="cs-CZ"/>
        </w:rPr>
      </w:pPr>
      <w:r w:rsidRPr="000822A0">
        <w:rPr>
          <w:rFonts w:ascii="Times New Roman" w:eastAsia="Times New Roman" w:hAnsi="Times New Roman" w:cs="Times New Roman"/>
          <w:noProof/>
          <w:sz w:val="24"/>
          <w:szCs w:val="24"/>
          <w:lang w:eastAsia="cs-CZ"/>
        </w:rPr>
        <w:drawing>
          <wp:inline distT="0" distB="0" distL="0" distR="0" wp14:anchorId="05036B5B" wp14:editId="6F3A26FF">
            <wp:extent cx="8572500" cy="4391025"/>
            <wp:effectExtent l="0" t="0" r="0" b="0"/>
            <wp:docPr id="341" name="Obrázek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572500" cy="4391025"/>
                    </a:xfrm>
                    <a:prstGeom prst="rect">
                      <a:avLst/>
                    </a:prstGeom>
                    <a:noFill/>
                    <a:ln>
                      <a:noFill/>
                    </a:ln>
                  </pic:spPr>
                </pic:pic>
              </a:graphicData>
            </a:graphic>
          </wp:inline>
        </w:drawing>
      </w:r>
    </w:p>
    <w:p w:rsidR="000822A0" w:rsidRPr="000822A0" w:rsidRDefault="000822A0" w:rsidP="00DA646C">
      <w:pPr>
        <w:pStyle w:val="Zdroj"/>
      </w:pPr>
      <w:r w:rsidRPr="000822A0">
        <w:t>Zdroj dat: vlastní šetření v rámci pracovní skupiny Rozpočet III provedené v prvním čtvrtletí 2014</w:t>
      </w:r>
    </w:p>
    <w:p w:rsidR="000822A0" w:rsidRPr="000822A0" w:rsidRDefault="000822A0" w:rsidP="00DA646C">
      <w:pPr>
        <w:pStyle w:val="komentzaobrzkem"/>
      </w:pPr>
      <w:r w:rsidRPr="000822A0">
        <w:t>Vertikální osa: finanční objemy v mil. Kč</w:t>
      </w:r>
    </w:p>
    <w:p w:rsidR="000822A0" w:rsidRPr="000822A0" w:rsidRDefault="000822A0" w:rsidP="00DA646C">
      <w:pPr>
        <w:pStyle w:val="komentzaobrzkem"/>
      </w:pPr>
      <w:r w:rsidRPr="000822A0">
        <w:t>Jedná se odhady, které budou postupně zpřesňovány</w:t>
      </w:r>
      <w:r w:rsidR="0081050E">
        <w:t>.</w:t>
      </w:r>
    </w:p>
    <w:p w:rsidR="000822A0" w:rsidRPr="000822A0" w:rsidRDefault="000822A0" w:rsidP="00DA646C">
      <w:pPr>
        <w:pStyle w:val="komentzaobrzkem"/>
      </w:pPr>
      <w:r w:rsidRPr="000822A0">
        <w:t>Za náklady na provoz jsou považovány výdaje nezbytné pro připravenost centra v situaci, kdy v centru neprobíhá žádný výzkum – tzv. fixní náklady</w:t>
      </w:r>
      <w:r w:rsidR="0081050E">
        <w:t>.</w:t>
      </w:r>
    </w:p>
    <w:p w:rsidR="000822A0" w:rsidRDefault="000822A0" w:rsidP="00DA646C">
      <w:pPr>
        <w:pStyle w:val="komentzaobrzkem"/>
      </w:pPr>
      <w:r w:rsidRPr="000822A0">
        <w:t>Údaje za rok 2015 jsou ovlivněny nedokončením stavební fáze projektů, centra budou v souladu s projekty v provozu od roku 2016</w:t>
      </w:r>
      <w:r w:rsidR="0081050E">
        <w:t>.</w:t>
      </w:r>
    </w:p>
    <w:p w:rsidR="000822A0" w:rsidRDefault="000822A0"/>
    <w:p w:rsidR="000822A0" w:rsidRDefault="000822A0">
      <w:pPr>
        <w:sectPr w:rsidR="000822A0" w:rsidSect="00E540D1">
          <w:pgSz w:w="16838" w:h="11906" w:orient="landscape"/>
          <w:pgMar w:top="1134" w:right="1134" w:bottom="1134" w:left="1134" w:header="709" w:footer="709" w:gutter="0"/>
          <w:cols w:space="708"/>
          <w:docGrid w:linePitch="360"/>
        </w:sectPr>
      </w:pPr>
    </w:p>
    <w:p w:rsidR="005F2F7D" w:rsidRDefault="005F2F7D" w:rsidP="00956D00">
      <w:pPr>
        <w:pStyle w:val="Nadpis2"/>
      </w:pPr>
      <w:bookmarkStart w:id="10" w:name="_Toc427676900"/>
      <w:r>
        <w:lastRenderedPageBreak/>
        <w:t xml:space="preserve">6. </w:t>
      </w:r>
      <w:r w:rsidRPr="005F2F7D">
        <w:t>Výsledky výzkumu a vývoje</w:t>
      </w:r>
      <w:bookmarkEnd w:id="10"/>
    </w:p>
    <w:p w:rsidR="005F2F7D" w:rsidRPr="00845AD8" w:rsidRDefault="005F2F7D" w:rsidP="00F224E6">
      <w:pPr>
        <w:spacing w:after="0" w:line="360" w:lineRule="auto"/>
        <w:ind w:firstLine="709"/>
        <w:jc w:val="both"/>
        <w:rPr>
          <w:rFonts w:ascii="Arial" w:hAnsi="Arial" w:cs="Arial"/>
        </w:rPr>
      </w:pPr>
      <w:r w:rsidRPr="00845AD8">
        <w:rPr>
          <w:rFonts w:ascii="Arial" w:hAnsi="Arial" w:cs="Arial"/>
        </w:rPr>
        <w:t>Výsledky jsou důležitým dokladem o provádění výzkumné a vývojové činnosti. V závislosti na typu prováděné aktivity (základní nebo aplikovaný výzkum, vývoj, inovační aktivity) a jejím</w:t>
      </w:r>
      <w:r w:rsidR="002978DA" w:rsidRPr="00845AD8">
        <w:rPr>
          <w:rFonts w:ascii="Arial" w:hAnsi="Arial" w:cs="Arial"/>
        </w:rPr>
        <w:t>i</w:t>
      </w:r>
      <w:r w:rsidRPr="00845AD8">
        <w:rPr>
          <w:rFonts w:ascii="Arial" w:hAnsi="Arial" w:cs="Arial"/>
        </w:rPr>
        <w:t xml:space="preserve"> cíli vznikají výsledky různého charakteru. V ČR jsou definovány druhy výsledků</w:t>
      </w:r>
      <w:r w:rsidRPr="00845AD8">
        <w:rPr>
          <w:rStyle w:val="Znakapoznpodarou"/>
          <w:rFonts w:ascii="Arial" w:hAnsi="Arial" w:cs="Arial"/>
        </w:rPr>
        <w:footnoteReference w:id="17"/>
      </w:r>
      <w:r w:rsidRPr="00845AD8">
        <w:rPr>
          <w:rFonts w:ascii="Arial" w:hAnsi="Arial" w:cs="Arial"/>
        </w:rPr>
        <w:t>, které jsou centrálně shromažďovány v informačním systému výzkumu, vývoje a inovací</w:t>
      </w:r>
      <w:r w:rsidR="00CD0A39">
        <w:rPr>
          <w:rFonts w:ascii="Arial" w:hAnsi="Arial" w:cs="Arial"/>
        </w:rPr>
        <w:t>.</w:t>
      </w:r>
      <w:r w:rsidRPr="00845AD8">
        <w:rPr>
          <w:rFonts w:ascii="Arial" w:hAnsi="Arial" w:cs="Arial"/>
        </w:rPr>
        <w:t xml:space="preserve"> Tyto výsledky lze </w:t>
      </w:r>
      <w:r w:rsidR="00C33479">
        <w:rPr>
          <w:rFonts w:ascii="Arial" w:hAnsi="Arial" w:cs="Arial"/>
        </w:rPr>
        <w:t xml:space="preserve">podle jejich charakteru </w:t>
      </w:r>
      <w:r w:rsidRPr="00845AD8">
        <w:rPr>
          <w:rFonts w:ascii="Arial" w:hAnsi="Arial" w:cs="Arial"/>
        </w:rPr>
        <w:t>rozdělit na skupinu výsledků publikačních a nepublikačních, která se dále dělí na</w:t>
      </w:r>
      <w:r w:rsidR="00D417C3">
        <w:rPr>
          <w:rFonts w:ascii="Arial" w:hAnsi="Arial" w:cs="Arial"/>
        </w:rPr>
        <w:t> </w:t>
      </w:r>
      <w:r w:rsidRPr="00845AD8">
        <w:rPr>
          <w:rFonts w:ascii="Arial" w:hAnsi="Arial" w:cs="Arial"/>
        </w:rPr>
        <w:t>výsledky aplikované a ostatní</w:t>
      </w:r>
      <w:r w:rsidR="00C33479">
        <w:rPr>
          <w:rStyle w:val="Znakapoznpodarou"/>
          <w:rFonts w:ascii="Arial" w:hAnsi="Arial" w:cs="Arial"/>
        </w:rPr>
        <w:footnoteReference w:id="18"/>
      </w:r>
      <w:r w:rsidR="001E2F51">
        <w:rPr>
          <w:rFonts w:ascii="Arial" w:hAnsi="Arial" w:cs="Arial"/>
        </w:rPr>
        <w:t xml:space="preserve"> </w:t>
      </w:r>
      <w:r w:rsidRPr="00845AD8">
        <w:rPr>
          <w:rFonts w:ascii="Arial" w:hAnsi="Arial" w:cs="Arial"/>
        </w:rPr>
        <w:t>(obr</w:t>
      </w:r>
      <w:r w:rsidR="00291BB8">
        <w:rPr>
          <w:rFonts w:ascii="Arial" w:hAnsi="Arial" w:cs="Arial"/>
        </w:rPr>
        <w:t>ázek</w:t>
      </w:r>
      <w:r w:rsidRPr="00845AD8">
        <w:rPr>
          <w:rFonts w:ascii="Arial" w:hAnsi="Arial" w:cs="Arial"/>
        </w:rPr>
        <w:t xml:space="preserve"> 6.1). </w:t>
      </w:r>
    </w:p>
    <w:p w:rsidR="005F2F7D" w:rsidRPr="00F224E6" w:rsidRDefault="005F2F7D" w:rsidP="00F224E6">
      <w:pPr>
        <w:spacing w:after="0" w:line="360" w:lineRule="auto"/>
        <w:ind w:firstLine="709"/>
        <w:jc w:val="both"/>
        <w:rPr>
          <w:rFonts w:ascii="Arial" w:hAnsi="Arial" w:cs="Arial"/>
        </w:rPr>
      </w:pPr>
      <w:r w:rsidRPr="00845AD8">
        <w:rPr>
          <w:rFonts w:ascii="Arial" w:hAnsi="Arial" w:cs="Arial"/>
        </w:rPr>
        <w:t xml:space="preserve">Publikační výsledky, tj. výsledky druhu </w:t>
      </w:r>
      <w:r w:rsidRPr="00845AD8">
        <w:rPr>
          <w:rFonts w:ascii="Arial" w:hAnsi="Arial" w:cs="Arial"/>
          <w:i/>
        </w:rPr>
        <w:t>J</w:t>
      </w:r>
      <w:r w:rsidRPr="00845AD8">
        <w:rPr>
          <w:rFonts w:ascii="Arial" w:hAnsi="Arial" w:cs="Arial"/>
        </w:rPr>
        <w:t xml:space="preserve"> – recenzovaný odborný článek, </w:t>
      </w:r>
      <w:r w:rsidRPr="00845AD8">
        <w:rPr>
          <w:rFonts w:ascii="Arial" w:hAnsi="Arial" w:cs="Arial"/>
          <w:i/>
        </w:rPr>
        <w:t>B</w:t>
      </w:r>
      <w:r w:rsidRPr="00845AD8">
        <w:rPr>
          <w:rFonts w:ascii="Arial" w:hAnsi="Arial" w:cs="Arial"/>
        </w:rPr>
        <w:t xml:space="preserve"> – odborná kniha, </w:t>
      </w:r>
      <w:r w:rsidRPr="00845AD8">
        <w:rPr>
          <w:rFonts w:ascii="Arial" w:hAnsi="Arial" w:cs="Arial"/>
          <w:i/>
        </w:rPr>
        <w:t xml:space="preserve">C </w:t>
      </w:r>
      <w:r w:rsidRPr="00845AD8">
        <w:rPr>
          <w:rFonts w:ascii="Arial" w:hAnsi="Arial" w:cs="Arial"/>
        </w:rPr>
        <w:t>– kapitola v odborné knize</w:t>
      </w:r>
      <w:r w:rsidRPr="00F224E6">
        <w:rPr>
          <w:rFonts w:ascii="Arial" w:hAnsi="Arial" w:cs="Arial"/>
        </w:rPr>
        <w:t xml:space="preserve"> a </w:t>
      </w:r>
      <w:r w:rsidRPr="00F224E6">
        <w:rPr>
          <w:rFonts w:ascii="Arial" w:hAnsi="Arial" w:cs="Arial"/>
          <w:i/>
        </w:rPr>
        <w:t xml:space="preserve">D </w:t>
      </w:r>
      <w:r w:rsidRPr="00F224E6">
        <w:rPr>
          <w:rFonts w:ascii="Arial" w:hAnsi="Arial" w:cs="Arial"/>
        </w:rPr>
        <w:t>– článek ve sborníku, jsou obvykle spojovány zejména se</w:t>
      </w:r>
      <w:r w:rsidR="00D417C3">
        <w:rPr>
          <w:rFonts w:ascii="Arial" w:hAnsi="Arial" w:cs="Arial"/>
        </w:rPr>
        <w:t> </w:t>
      </w:r>
      <w:r w:rsidRPr="00F224E6">
        <w:rPr>
          <w:rFonts w:ascii="Arial" w:hAnsi="Arial" w:cs="Arial"/>
        </w:rPr>
        <w:t>základním výzkumem, přestože bývají publikována také nová zjištění v aplikovaném výzkumu. Z publikačních výsledků jsou ceněny především ty, které svou kvalitou odpovídají světové špičce.</w:t>
      </w:r>
    </w:p>
    <w:p w:rsidR="005F2F7D" w:rsidRPr="00F224E6" w:rsidRDefault="005F2F7D" w:rsidP="00F224E6">
      <w:pPr>
        <w:spacing w:after="0" w:line="360" w:lineRule="auto"/>
        <w:ind w:firstLine="709"/>
        <w:jc w:val="both"/>
        <w:rPr>
          <w:rFonts w:ascii="Arial" w:hAnsi="Arial" w:cs="Arial"/>
        </w:rPr>
      </w:pPr>
      <w:r w:rsidRPr="00F224E6">
        <w:rPr>
          <w:rFonts w:ascii="Arial" w:hAnsi="Arial" w:cs="Arial"/>
        </w:rPr>
        <w:t xml:space="preserve">Pokud jde o výsledky nepublikační aplikované, jejich vznik provází nejčastěji aplikovaný výzkum a experimentální vývoj. Do této skupiny patří výsledky druhu </w:t>
      </w:r>
      <w:r w:rsidRPr="00F224E6">
        <w:rPr>
          <w:rFonts w:ascii="Arial" w:hAnsi="Arial" w:cs="Arial"/>
          <w:i/>
        </w:rPr>
        <w:t>P</w:t>
      </w:r>
      <w:r w:rsidRPr="00F224E6">
        <w:rPr>
          <w:rFonts w:ascii="Arial" w:hAnsi="Arial" w:cs="Arial"/>
        </w:rPr>
        <w:t xml:space="preserve"> – patent, </w:t>
      </w:r>
      <w:r w:rsidRPr="00F224E6">
        <w:rPr>
          <w:rFonts w:ascii="Arial" w:hAnsi="Arial" w:cs="Arial"/>
          <w:i/>
        </w:rPr>
        <w:t>Z</w:t>
      </w:r>
      <w:r w:rsidRPr="00F224E6">
        <w:rPr>
          <w:rFonts w:ascii="Arial" w:hAnsi="Arial" w:cs="Arial"/>
        </w:rPr>
        <w:t xml:space="preserve"> – poloprovoz, ověřená technologie, odrůda či plemeno, </w:t>
      </w:r>
      <w:r w:rsidRPr="00F224E6">
        <w:rPr>
          <w:rFonts w:ascii="Arial" w:hAnsi="Arial" w:cs="Arial"/>
          <w:i/>
        </w:rPr>
        <w:t>F</w:t>
      </w:r>
      <w:r w:rsidRPr="00F224E6">
        <w:rPr>
          <w:rFonts w:ascii="Arial" w:hAnsi="Arial" w:cs="Arial"/>
        </w:rPr>
        <w:t xml:space="preserve"> – užitný či průmyslový vzor, </w:t>
      </w:r>
      <w:r w:rsidRPr="00F224E6">
        <w:rPr>
          <w:rFonts w:ascii="Arial" w:hAnsi="Arial" w:cs="Arial"/>
          <w:i/>
        </w:rPr>
        <w:t xml:space="preserve">G </w:t>
      </w:r>
      <w:r w:rsidRPr="00F224E6">
        <w:rPr>
          <w:rFonts w:ascii="Arial" w:hAnsi="Arial" w:cs="Arial"/>
        </w:rPr>
        <w:t xml:space="preserve">– prototyp či funkční vzorek, </w:t>
      </w:r>
      <w:r w:rsidRPr="00F224E6">
        <w:rPr>
          <w:rFonts w:ascii="Arial" w:hAnsi="Arial" w:cs="Arial"/>
          <w:i/>
        </w:rPr>
        <w:t xml:space="preserve">H </w:t>
      </w:r>
      <w:r w:rsidRPr="00F224E6">
        <w:rPr>
          <w:rFonts w:ascii="Arial" w:hAnsi="Arial" w:cs="Arial"/>
        </w:rPr>
        <w:t xml:space="preserve">– výsledek promítnutý do předpisů a strategických materiálů, </w:t>
      </w:r>
      <w:r w:rsidRPr="00F224E6">
        <w:rPr>
          <w:rFonts w:ascii="Arial" w:hAnsi="Arial" w:cs="Arial"/>
          <w:i/>
        </w:rPr>
        <w:t xml:space="preserve">N </w:t>
      </w:r>
      <w:r w:rsidRPr="00F224E6">
        <w:rPr>
          <w:rFonts w:ascii="Arial" w:hAnsi="Arial" w:cs="Arial"/>
        </w:rPr>
        <w:t xml:space="preserve">– certifikovaná metodika, léčebný, památkový postup, či odborná mapa, </w:t>
      </w:r>
      <w:r w:rsidRPr="00F224E6">
        <w:rPr>
          <w:rFonts w:ascii="Arial" w:hAnsi="Arial" w:cs="Arial"/>
          <w:i/>
        </w:rPr>
        <w:t xml:space="preserve">R – </w:t>
      </w:r>
      <w:r w:rsidRPr="00F224E6">
        <w:rPr>
          <w:rFonts w:ascii="Arial" w:hAnsi="Arial" w:cs="Arial"/>
        </w:rPr>
        <w:t xml:space="preserve">software, </w:t>
      </w:r>
      <w:r w:rsidRPr="00F224E6">
        <w:rPr>
          <w:rFonts w:ascii="Arial" w:hAnsi="Arial" w:cs="Arial"/>
          <w:i/>
        </w:rPr>
        <w:t>V</w:t>
      </w:r>
      <w:r w:rsidRPr="00F224E6">
        <w:rPr>
          <w:rFonts w:ascii="Arial" w:hAnsi="Arial" w:cs="Arial"/>
        </w:rPr>
        <w:t xml:space="preserve"> – výzkumná zpráva, a také v minulosti definované výsledky typu </w:t>
      </w:r>
      <w:r w:rsidRPr="00F224E6">
        <w:rPr>
          <w:rFonts w:ascii="Arial" w:hAnsi="Arial" w:cs="Arial"/>
          <w:i/>
        </w:rPr>
        <w:t>S</w:t>
      </w:r>
      <w:r w:rsidRPr="00F224E6">
        <w:rPr>
          <w:rFonts w:ascii="Arial" w:hAnsi="Arial" w:cs="Arial"/>
        </w:rPr>
        <w:t xml:space="preserve"> – souhrnná kategorie pro další aplikované výsledky používaná do roku 2007 a </w:t>
      </w:r>
      <w:r w:rsidRPr="00F224E6">
        <w:rPr>
          <w:rFonts w:ascii="Arial" w:hAnsi="Arial" w:cs="Arial"/>
          <w:i/>
        </w:rPr>
        <w:t>T</w:t>
      </w:r>
      <w:r w:rsidRPr="00F224E6">
        <w:rPr>
          <w:rFonts w:ascii="Arial" w:hAnsi="Arial" w:cs="Arial"/>
        </w:rPr>
        <w:t xml:space="preserve"> – souhrnná kategorie pro další aplikované výsledky používaná do</w:t>
      </w:r>
      <w:r w:rsidR="00733FB3">
        <w:rPr>
          <w:rFonts w:ascii="Arial" w:hAnsi="Arial" w:cs="Arial"/>
        </w:rPr>
        <w:t> </w:t>
      </w:r>
      <w:r w:rsidRPr="00F224E6">
        <w:rPr>
          <w:rFonts w:ascii="Arial" w:hAnsi="Arial" w:cs="Arial"/>
        </w:rPr>
        <w:t>roku 2006. U většiny těchto výsledků se předpokládá jejich využitelnost v praxi s možností komercializace, zejména proto je tvorba takových výsledků akcentována ve strategických dokumentech</w:t>
      </w:r>
      <w:r w:rsidRPr="00F224E6">
        <w:rPr>
          <w:rStyle w:val="Znakapoznpodarou"/>
          <w:rFonts w:ascii="Arial" w:hAnsi="Arial" w:cs="Arial"/>
        </w:rPr>
        <w:footnoteReference w:id="19"/>
      </w:r>
      <w:r w:rsidRPr="00F224E6">
        <w:rPr>
          <w:rFonts w:ascii="Arial" w:hAnsi="Arial" w:cs="Arial"/>
        </w:rPr>
        <w:t xml:space="preserve"> VaVaI.</w:t>
      </w:r>
    </w:p>
    <w:p w:rsidR="005F2F7D" w:rsidRPr="001B6F41" w:rsidRDefault="005F2F7D" w:rsidP="00F224E6">
      <w:pPr>
        <w:pStyle w:val="Obrzek-nadpis"/>
      </w:pPr>
      <w:r w:rsidRPr="001B6F41">
        <w:t>Obr.</w:t>
      </w:r>
      <w:r w:rsidR="00F224E6">
        <w:t xml:space="preserve"> 6.1: </w:t>
      </w:r>
      <w:r w:rsidRPr="001B6F41">
        <w:t>Druhy výsledků výzkumu a vývoje definované v ČR</w:t>
      </w:r>
    </w:p>
    <w:tbl>
      <w:tblPr>
        <w:tblW w:w="9058" w:type="dxa"/>
        <w:jc w:val="center"/>
        <w:tblInd w:w="-689" w:type="dxa"/>
        <w:tblCellMar>
          <w:left w:w="70" w:type="dxa"/>
          <w:right w:w="70" w:type="dxa"/>
        </w:tblCellMar>
        <w:tblLook w:val="00A0" w:firstRow="1" w:lastRow="0" w:firstColumn="1" w:lastColumn="0" w:noHBand="0" w:noVBand="0"/>
      </w:tblPr>
      <w:tblGrid>
        <w:gridCol w:w="560"/>
        <w:gridCol w:w="1678"/>
        <w:gridCol w:w="1346"/>
        <w:gridCol w:w="1347"/>
        <w:gridCol w:w="2268"/>
        <w:gridCol w:w="1859"/>
      </w:tblGrid>
      <w:tr w:rsidR="005F2F7D" w:rsidRPr="00E46D7E" w:rsidTr="00E540D1">
        <w:trPr>
          <w:trHeight w:val="600"/>
          <w:jc w:val="center"/>
        </w:trPr>
        <w:tc>
          <w:tcPr>
            <w:tcW w:w="2238" w:type="dxa"/>
            <w:gridSpan w:val="2"/>
            <w:vMerge w:val="restart"/>
            <w:tcBorders>
              <w:top w:val="single" w:sz="4" w:space="0" w:color="auto"/>
              <w:left w:val="single" w:sz="4" w:space="0" w:color="auto"/>
              <w:bottom w:val="single" w:sz="4" w:space="0" w:color="auto"/>
              <w:right w:val="single" w:sz="4" w:space="0" w:color="auto"/>
            </w:tcBorders>
            <w:vAlign w:val="center"/>
          </w:tcPr>
          <w:p w:rsidR="005F2F7D" w:rsidRPr="00E46D7E" w:rsidRDefault="005F2F7D" w:rsidP="00E540D1">
            <w:pPr>
              <w:jc w:val="center"/>
              <w:rPr>
                <w:color w:val="000000"/>
              </w:rPr>
            </w:pPr>
            <w:r w:rsidRPr="00E46D7E">
              <w:rPr>
                <w:color w:val="000000"/>
              </w:rPr>
              <w:t xml:space="preserve">výsledky publikační </w:t>
            </w:r>
            <w:r>
              <w:rPr>
                <w:color w:val="000000"/>
              </w:rPr>
              <w:br/>
            </w:r>
            <w:r w:rsidRPr="00E46D7E">
              <w:rPr>
                <w:color w:val="000000"/>
              </w:rPr>
              <w:t>(J, B, C, D)</w:t>
            </w:r>
          </w:p>
        </w:tc>
        <w:tc>
          <w:tcPr>
            <w:tcW w:w="6820" w:type="dxa"/>
            <w:gridSpan w:val="4"/>
            <w:tcBorders>
              <w:top w:val="single" w:sz="4" w:space="0" w:color="auto"/>
              <w:left w:val="nil"/>
              <w:bottom w:val="single" w:sz="4" w:space="0" w:color="auto"/>
              <w:right w:val="single" w:sz="4" w:space="0" w:color="auto"/>
            </w:tcBorders>
            <w:noWrap/>
            <w:vAlign w:val="center"/>
          </w:tcPr>
          <w:p w:rsidR="005F2F7D" w:rsidRPr="00E46D7E" w:rsidRDefault="005F2F7D" w:rsidP="00E540D1">
            <w:pPr>
              <w:jc w:val="center"/>
              <w:rPr>
                <w:color w:val="000000"/>
              </w:rPr>
            </w:pPr>
            <w:r w:rsidRPr="00E46D7E">
              <w:rPr>
                <w:color w:val="000000"/>
              </w:rPr>
              <w:t>výsledky nepublikační</w:t>
            </w:r>
          </w:p>
        </w:tc>
      </w:tr>
      <w:tr w:rsidR="005F2F7D" w:rsidRPr="00E46D7E" w:rsidTr="00E540D1">
        <w:trPr>
          <w:trHeight w:val="300"/>
          <w:jc w:val="center"/>
        </w:trPr>
        <w:tc>
          <w:tcPr>
            <w:tcW w:w="2238" w:type="dxa"/>
            <w:gridSpan w:val="2"/>
            <w:vMerge/>
            <w:tcBorders>
              <w:top w:val="single" w:sz="4" w:space="0" w:color="auto"/>
              <w:left w:val="single" w:sz="4" w:space="0" w:color="auto"/>
              <w:bottom w:val="single" w:sz="4" w:space="0" w:color="auto"/>
              <w:right w:val="single" w:sz="4" w:space="0" w:color="auto"/>
            </w:tcBorders>
            <w:vAlign w:val="center"/>
          </w:tcPr>
          <w:p w:rsidR="005F2F7D" w:rsidRPr="00E46D7E" w:rsidRDefault="005F2F7D" w:rsidP="00E540D1">
            <w:pPr>
              <w:rPr>
                <w:color w:val="000000"/>
              </w:rPr>
            </w:pPr>
          </w:p>
        </w:tc>
        <w:tc>
          <w:tcPr>
            <w:tcW w:w="4961" w:type="dxa"/>
            <w:gridSpan w:val="3"/>
            <w:tcBorders>
              <w:top w:val="single" w:sz="4" w:space="0" w:color="auto"/>
              <w:left w:val="nil"/>
              <w:bottom w:val="single" w:sz="4" w:space="0" w:color="auto"/>
              <w:right w:val="single" w:sz="4" w:space="0" w:color="auto"/>
            </w:tcBorders>
            <w:noWrap/>
            <w:vAlign w:val="center"/>
          </w:tcPr>
          <w:p w:rsidR="005F2F7D" w:rsidRPr="00E46D7E" w:rsidRDefault="005F2F7D" w:rsidP="00E540D1">
            <w:pPr>
              <w:jc w:val="center"/>
              <w:rPr>
                <w:color w:val="000000"/>
              </w:rPr>
            </w:pPr>
            <w:r w:rsidRPr="00E46D7E">
              <w:rPr>
                <w:color w:val="000000"/>
              </w:rPr>
              <w:t>aplikované</w:t>
            </w:r>
          </w:p>
        </w:tc>
        <w:tc>
          <w:tcPr>
            <w:tcW w:w="1859" w:type="dxa"/>
            <w:vMerge w:val="restart"/>
            <w:tcBorders>
              <w:top w:val="nil"/>
              <w:left w:val="single" w:sz="4" w:space="0" w:color="auto"/>
              <w:bottom w:val="single" w:sz="4" w:space="0" w:color="000000"/>
              <w:right w:val="single" w:sz="4" w:space="0" w:color="auto"/>
            </w:tcBorders>
            <w:vAlign w:val="center"/>
          </w:tcPr>
          <w:p w:rsidR="005F2F7D" w:rsidRPr="00E46D7E" w:rsidRDefault="005F2F7D" w:rsidP="00E540D1">
            <w:pPr>
              <w:jc w:val="center"/>
              <w:rPr>
                <w:color w:val="000000"/>
              </w:rPr>
            </w:pPr>
            <w:r w:rsidRPr="00E46D7E">
              <w:rPr>
                <w:color w:val="000000"/>
              </w:rPr>
              <w:t>Ostatní</w:t>
            </w:r>
            <w:r>
              <w:rPr>
                <w:color w:val="000000"/>
              </w:rPr>
              <w:br/>
            </w:r>
            <w:r w:rsidRPr="00E46D7E">
              <w:rPr>
                <w:color w:val="000000"/>
              </w:rPr>
              <w:t>(A, M, W, E, O</w:t>
            </w:r>
          </w:p>
        </w:tc>
      </w:tr>
      <w:tr w:rsidR="005F2F7D" w:rsidRPr="00E46D7E" w:rsidTr="00E540D1">
        <w:trPr>
          <w:trHeight w:val="600"/>
          <w:jc w:val="center"/>
        </w:trPr>
        <w:tc>
          <w:tcPr>
            <w:tcW w:w="2238" w:type="dxa"/>
            <w:gridSpan w:val="2"/>
            <w:vMerge/>
            <w:tcBorders>
              <w:top w:val="single" w:sz="4" w:space="0" w:color="auto"/>
              <w:left w:val="single" w:sz="4" w:space="0" w:color="auto"/>
              <w:bottom w:val="single" w:sz="4" w:space="0" w:color="auto"/>
              <w:right w:val="single" w:sz="4" w:space="0" w:color="auto"/>
            </w:tcBorders>
            <w:vAlign w:val="center"/>
          </w:tcPr>
          <w:p w:rsidR="005F2F7D" w:rsidRPr="00E46D7E" w:rsidRDefault="005F2F7D" w:rsidP="00E540D1">
            <w:pPr>
              <w:rPr>
                <w:color w:val="000000"/>
              </w:rPr>
            </w:pPr>
          </w:p>
        </w:tc>
        <w:tc>
          <w:tcPr>
            <w:tcW w:w="1346" w:type="dxa"/>
            <w:tcBorders>
              <w:top w:val="nil"/>
              <w:left w:val="nil"/>
              <w:bottom w:val="single" w:sz="4" w:space="0" w:color="auto"/>
              <w:right w:val="single" w:sz="4" w:space="0" w:color="auto"/>
            </w:tcBorders>
            <w:shd w:val="clear" w:color="000000" w:fill="D9D9D9"/>
            <w:vAlign w:val="center"/>
          </w:tcPr>
          <w:p w:rsidR="005F2F7D" w:rsidRPr="00E46D7E" w:rsidRDefault="005F2F7D" w:rsidP="00E540D1">
            <w:pPr>
              <w:jc w:val="center"/>
              <w:rPr>
                <w:color w:val="000000"/>
              </w:rPr>
            </w:pPr>
            <w:r w:rsidRPr="00E46D7E">
              <w:rPr>
                <w:color w:val="000000"/>
              </w:rPr>
              <w:t>patenty (P)</w:t>
            </w:r>
          </w:p>
        </w:tc>
        <w:tc>
          <w:tcPr>
            <w:tcW w:w="1347" w:type="dxa"/>
            <w:tcBorders>
              <w:top w:val="nil"/>
              <w:left w:val="nil"/>
              <w:bottom w:val="single" w:sz="4" w:space="0" w:color="auto"/>
              <w:right w:val="single" w:sz="4" w:space="0" w:color="auto"/>
            </w:tcBorders>
            <w:shd w:val="clear" w:color="000000" w:fill="D9D9D9"/>
            <w:vAlign w:val="center"/>
          </w:tcPr>
          <w:p w:rsidR="005F2F7D" w:rsidRPr="00E46D7E" w:rsidRDefault="005F2F7D" w:rsidP="00E540D1">
            <w:pPr>
              <w:jc w:val="center"/>
              <w:rPr>
                <w:color w:val="000000"/>
              </w:rPr>
            </w:pPr>
            <w:r w:rsidRPr="00E46D7E">
              <w:rPr>
                <w:color w:val="000000"/>
              </w:rPr>
              <w:t xml:space="preserve">užitné </w:t>
            </w:r>
            <w:r>
              <w:rPr>
                <w:color w:val="000000"/>
              </w:rPr>
              <w:t xml:space="preserve">či průmyslové </w:t>
            </w:r>
            <w:r w:rsidRPr="00E46D7E">
              <w:rPr>
                <w:color w:val="000000"/>
              </w:rPr>
              <w:t>vzory (F)</w:t>
            </w:r>
          </w:p>
        </w:tc>
        <w:tc>
          <w:tcPr>
            <w:tcW w:w="2268" w:type="dxa"/>
            <w:tcBorders>
              <w:top w:val="nil"/>
              <w:left w:val="nil"/>
              <w:bottom w:val="single" w:sz="4" w:space="0" w:color="auto"/>
              <w:right w:val="single" w:sz="4" w:space="0" w:color="auto"/>
            </w:tcBorders>
            <w:vAlign w:val="center"/>
          </w:tcPr>
          <w:p w:rsidR="005F2F7D" w:rsidRPr="00E46D7E" w:rsidRDefault="005F2F7D" w:rsidP="00E540D1">
            <w:pPr>
              <w:jc w:val="center"/>
              <w:rPr>
                <w:color w:val="000000"/>
              </w:rPr>
            </w:pPr>
            <w:r w:rsidRPr="00E46D7E">
              <w:rPr>
                <w:color w:val="000000"/>
              </w:rPr>
              <w:t xml:space="preserve">další aplikované </w:t>
            </w:r>
            <w:r>
              <w:rPr>
                <w:color w:val="000000"/>
              </w:rPr>
              <w:br/>
            </w:r>
            <w:r w:rsidRPr="00E46D7E">
              <w:rPr>
                <w:color w:val="000000"/>
              </w:rPr>
              <w:t>(Z, G, H, N, R, V</w:t>
            </w:r>
            <w:r>
              <w:rPr>
                <w:color w:val="000000"/>
              </w:rPr>
              <w:t>, S, T</w:t>
            </w:r>
            <w:r w:rsidRPr="00E46D7E">
              <w:rPr>
                <w:color w:val="000000"/>
              </w:rPr>
              <w:t>)</w:t>
            </w:r>
          </w:p>
        </w:tc>
        <w:tc>
          <w:tcPr>
            <w:tcW w:w="1859" w:type="dxa"/>
            <w:vMerge/>
            <w:tcBorders>
              <w:top w:val="nil"/>
              <w:left w:val="single" w:sz="4" w:space="0" w:color="auto"/>
              <w:bottom w:val="single" w:sz="4" w:space="0" w:color="000000"/>
              <w:right w:val="single" w:sz="4" w:space="0" w:color="auto"/>
            </w:tcBorders>
            <w:vAlign w:val="center"/>
          </w:tcPr>
          <w:p w:rsidR="005F2F7D" w:rsidRPr="00E46D7E" w:rsidRDefault="005F2F7D" w:rsidP="00E540D1">
            <w:pPr>
              <w:rPr>
                <w:color w:val="000000"/>
              </w:rPr>
            </w:pPr>
          </w:p>
        </w:tc>
      </w:tr>
      <w:tr w:rsidR="00602ECB" w:rsidRPr="001B6F41" w:rsidTr="00407F77">
        <w:trPr>
          <w:trHeight w:val="300"/>
          <w:jc w:val="center"/>
        </w:trPr>
        <w:tc>
          <w:tcPr>
            <w:tcW w:w="560" w:type="dxa"/>
            <w:tcBorders>
              <w:top w:val="nil"/>
              <w:left w:val="nil"/>
              <w:bottom w:val="nil"/>
              <w:right w:val="nil"/>
            </w:tcBorders>
            <w:shd w:val="clear" w:color="000000" w:fill="D9D9D9"/>
            <w:noWrap/>
            <w:vAlign w:val="bottom"/>
          </w:tcPr>
          <w:p w:rsidR="00602ECB" w:rsidRPr="001B6F41" w:rsidRDefault="00602ECB" w:rsidP="00E540D1">
            <w:pPr>
              <w:jc w:val="both"/>
              <w:rPr>
                <w:i/>
                <w:sz w:val="20"/>
                <w:szCs w:val="20"/>
              </w:rPr>
            </w:pPr>
            <w:r w:rsidRPr="001B6F41">
              <w:rPr>
                <w:i/>
                <w:sz w:val="20"/>
                <w:szCs w:val="20"/>
              </w:rPr>
              <w:t> </w:t>
            </w:r>
          </w:p>
        </w:tc>
        <w:tc>
          <w:tcPr>
            <w:tcW w:w="4371" w:type="dxa"/>
            <w:gridSpan w:val="3"/>
            <w:tcBorders>
              <w:top w:val="nil"/>
              <w:left w:val="nil"/>
              <w:bottom w:val="nil"/>
              <w:right w:val="nil"/>
            </w:tcBorders>
            <w:noWrap/>
            <w:vAlign w:val="bottom"/>
          </w:tcPr>
          <w:p w:rsidR="00602ECB" w:rsidRPr="001B6F41" w:rsidRDefault="00602ECB" w:rsidP="00E540D1">
            <w:pPr>
              <w:jc w:val="both"/>
              <w:rPr>
                <w:i/>
                <w:sz w:val="20"/>
                <w:szCs w:val="20"/>
                <w:highlight w:val="yellow"/>
              </w:rPr>
            </w:pPr>
            <w:r w:rsidRPr="001B6F41">
              <w:rPr>
                <w:i/>
                <w:sz w:val="20"/>
                <w:szCs w:val="20"/>
              </w:rPr>
              <w:t xml:space="preserve">výsledky </w:t>
            </w:r>
            <w:r>
              <w:rPr>
                <w:i/>
                <w:sz w:val="20"/>
                <w:szCs w:val="20"/>
              </w:rPr>
              <w:t>se zvláštní</w:t>
            </w:r>
            <w:r w:rsidRPr="001B6F41">
              <w:rPr>
                <w:i/>
                <w:sz w:val="20"/>
                <w:szCs w:val="20"/>
              </w:rPr>
              <w:t xml:space="preserve"> právní ochranou</w:t>
            </w:r>
          </w:p>
        </w:tc>
        <w:tc>
          <w:tcPr>
            <w:tcW w:w="2268" w:type="dxa"/>
            <w:tcBorders>
              <w:top w:val="nil"/>
              <w:left w:val="nil"/>
              <w:bottom w:val="nil"/>
              <w:right w:val="nil"/>
            </w:tcBorders>
            <w:noWrap/>
            <w:vAlign w:val="bottom"/>
          </w:tcPr>
          <w:p w:rsidR="00602ECB" w:rsidRPr="001B6F41" w:rsidRDefault="00602ECB" w:rsidP="00E540D1">
            <w:pPr>
              <w:jc w:val="both"/>
              <w:rPr>
                <w:i/>
                <w:sz w:val="20"/>
                <w:szCs w:val="20"/>
                <w:highlight w:val="yellow"/>
              </w:rPr>
            </w:pPr>
          </w:p>
        </w:tc>
        <w:tc>
          <w:tcPr>
            <w:tcW w:w="1859" w:type="dxa"/>
            <w:tcBorders>
              <w:top w:val="nil"/>
              <w:left w:val="nil"/>
              <w:bottom w:val="nil"/>
              <w:right w:val="nil"/>
            </w:tcBorders>
            <w:noWrap/>
            <w:vAlign w:val="bottom"/>
          </w:tcPr>
          <w:p w:rsidR="00602ECB" w:rsidRPr="001B6F41" w:rsidRDefault="00602ECB" w:rsidP="00E540D1">
            <w:pPr>
              <w:jc w:val="both"/>
              <w:rPr>
                <w:i/>
                <w:sz w:val="20"/>
                <w:szCs w:val="20"/>
                <w:highlight w:val="yellow"/>
              </w:rPr>
            </w:pPr>
          </w:p>
        </w:tc>
      </w:tr>
    </w:tbl>
    <w:p w:rsidR="005F2F7D" w:rsidRPr="001B6F41" w:rsidRDefault="005F2F7D" w:rsidP="00F224E6">
      <w:pPr>
        <w:pStyle w:val="komentzaobrzkem"/>
        <w:spacing w:before="120" w:after="120"/>
        <w:rPr>
          <w:highlight w:val="yellow"/>
        </w:rPr>
      </w:pPr>
      <w:r w:rsidRPr="00786BDE">
        <w:t xml:space="preserve">V závorkách jsou uvedeny kódy výsledků definovaných v příloze č. 2 </w:t>
      </w:r>
      <w:r>
        <w:t>M</w:t>
      </w:r>
      <w:r w:rsidRPr="00786BDE">
        <w:t>etodiky hodnocení výsledků výzkumných organizací a hodnocení výsledků ukončených programů (platné pro léta 2013 až 2015)</w:t>
      </w:r>
    </w:p>
    <w:p w:rsidR="005F2F7D" w:rsidRPr="00845AD8" w:rsidRDefault="005F2F7D" w:rsidP="00F224E6">
      <w:pPr>
        <w:spacing w:after="0" w:line="360" w:lineRule="auto"/>
        <w:ind w:firstLine="709"/>
        <w:jc w:val="both"/>
        <w:rPr>
          <w:rFonts w:ascii="Arial" w:hAnsi="Arial" w:cs="Arial"/>
        </w:rPr>
      </w:pPr>
      <w:r w:rsidRPr="00F224E6">
        <w:rPr>
          <w:rFonts w:ascii="Arial" w:hAnsi="Arial" w:cs="Arial"/>
        </w:rPr>
        <w:lastRenderedPageBreak/>
        <w:t xml:space="preserve">Na základě výsledků je v ČR prováděno hodnocení výzkumných organizací. Z pohledu efektivity využití financí je potřeba sledovat </w:t>
      </w:r>
      <w:r w:rsidRPr="00845AD8">
        <w:rPr>
          <w:rFonts w:ascii="Arial" w:hAnsi="Arial" w:cs="Arial"/>
        </w:rPr>
        <w:t xml:space="preserve">především podíl konkrétních druhů výsledků a jejich kvalitu, případně potenciál k praktickému využití. Kvalitu publikačních výsledků lze v případě článků v periodikách odvozovat od </w:t>
      </w:r>
      <w:r w:rsidR="004C23E0" w:rsidRPr="00845AD8">
        <w:rPr>
          <w:rFonts w:ascii="Arial" w:hAnsi="Arial" w:cs="Arial"/>
        </w:rPr>
        <w:t>úrovně</w:t>
      </w:r>
      <w:r w:rsidR="00641255" w:rsidRPr="00845AD8">
        <w:rPr>
          <w:rFonts w:ascii="Arial" w:hAnsi="Arial" w:cs="Arial"/>
        </w:rPr>
        <w:t xml:space="preserve"> </w:t>
      </w:r>
      <w:r w:rsidR="004C23E0" w:rsidRPr="00845AD8">
        <w:rPr>
          <w:rFonts w:ascii="Arial" w:hAnsi="Arial" w:cs="Arial"/>
        </w:rPr>
        <w:t xml:space="preserve">těchto </w:t>
      </w:r>
      <w:r w:rsidR="00641255" w:rsidRPr="00845AD8">
        <w:rPr>
          <w:rFonts w:ascii="Arial" w:hAnsi="Arial" w:cs="Arial"/>
        </w:rPr>
        <w:t xml:space="preserve">periodik </w:t>
      </w:r>
      <w:r w:rsidR="004C23E0" w:rsidRPr="00845AD8">
        <w:rPr>
          <w:rFonts w:ascii="Arial" w:hAnsi="Arial" w:cs="Arial"/>
        </w:rPr>
        <w:t xml:space="preserve">(dáno registrací a pořadím časopisů v uznávaných světových databázích, např. impakt faktory periodik indexovaných ve Web </w:t>
      </w:r>
      <w:proofErr w:type="spellStart"/>
      <w:r w:rsidR="004C23E0" w:rsidRPr="00845AD8">
        <w:rPr>
          <w:rFonts w:ascii="Arial" w:hAnsi="Arial" w:cs="Arial"/>
        </w:rPr>
        <w:t>of</w:t>
      </w:r>
      <w:proofErr w:type="spellEnd"/>
      <w:r w:rsidR="004C23E0" w:rsidRPr="00845AD8">
        <w:rPr>
          <w:rFonts w:ascii="Arial" w:hAnsi="Arial" w:cs="Arial"/>
        </w:rPr>
        <w:t xml:space="preserve"> Science) a vlastní </w:t>
      </w:r>
      <w:r w:rsidRPr="00845AD8">
        <w:rPr>
          <w:rFonts w:ascii="Arial" w:hAnsi="Arial" w:cs="Arial"/>
        </w:rPr>
        <w:t>citovanosti</w:t>
      </w:r>
      <w:r w:rsidR="004C23E0" w:rsidRPr="00845AD8">
        <w:rPr>
          <w:rFonts w:ascii="Arial" w:hAnsi="Arial" w:cs="Arial"/>
        </w:rPr>
        <w:t xml:space="preserve"> článků</w:t>
      </w:r>
      <w:r w:rsidRPr="00845AD8">
        <w:rPr>
          <w:rFonts w:ascii="Arial" w:hAnsi="Arial" w:cs="Arial"/>
        </w:rPr>
        <w:t>, která obvykle svědčí o využívání poznatků v nich obsažených jinými autory v souvisejících výzkumných a vývojových aktivitách. U monografií a</w:t>
      </w:r>
      <w:r w:rsidR="00D417C3">
        <w:rPr>
          <w:rFonts w:ascii="Arial" w:hAnsi="Arial" w:cs="Arial"/>
        </w:rPr>
        <w:t> </w:t>
      </w:r>
      <w:r w:rsidRPr="00845AD8">
        <w:rPr>
          <w:rFonts w:ascii="Arial" w:hAnsi="Arial" w:cs="Arial"/>
        </w:rPr>
        <w:t>článků ve sbornících podobný ukazatel kvality chybí. Kvalita aplikovaných výsledků není posuzována, podstatné jsou přínosy těchto výsledků v podobě jejich praktického využití. U patentů lze přínosy odvozovat od finančních prostředků utržených za prodej licencí, ne vždy je však prodej licencí cílem patentové ochrany, často jde o snahu ochránit unikátní postup či technologii za</w:t>
      </w:r>
      <w:r w:rsidR="00D417C3">
        <w:rPr>
          <w:rFonts w:ascii="Arial" w:hAnsi="Arial" w:cs="Arial"/>
        </w:rPr>
        <w:t> </w:t>
      </w:r>
      <w:r w:rsidRPr="00845AD8">
        <w:rPr>
          <w:rFonts w:ascii="Arial" w:hAnsi="Arial" w:cs="Arial"/>
        </w:rPr>
        <w:t>účelem jejich dalšího využití v instituci původce.</w:t>
      </w:r>
    </w:p>
    <w:p w:rsidR="005F2F7D" w:rsidRPr="00845AD8" w:rsidRDefault="005F2F7D" w:rsidP="00F224E6">
      <w:pPr>
        <w:spacing w:after="0" w:line="360" w:lineRule="auto"/>
        <w:ind w:firstLine="709"/>
        <w:jc w:val="both"/>
        <w:rPr>
          <w:rFonts w:ascii="Arial" w:hAnsi="Arial" w:cs="Arial"/>
        </w:rPr>
      </w:pPr>
      <w:r w:rsidRPr="00845AD8">
        <w:rPr>
          <w:rFonts w:ascii="Arial" w:hAnsi="Arial" w:cs="Arial"/>
        </w:rPr>
        <w:t>Údaje o výsledcích z IS VaVaI poskytují ucelený přehled o produktivitě VaVaI v ČR. Ve</w:t>
      </w:r>
      <w:r w:rsidR="00D417C3">
        <w:rPr>
          <w:rFonts w:ascii="Arial" w:hAnsi="Arial" w:cs="Arial"/>
        </w:rPr>
        <w:t> </w:t>
      </w:r>
      <w:r w:rsidRPr="00845AD8">
        <w:rPr>
          <w:rFonts w:ascii="Arial" w:hAnsi="Arial" w:cs="Arial"/>
        </w:rPr>
        <w:t>vazbě na charakter podpory prováděného VaVaI (účelová nebo institucionální, podrobněji viz kapitola 2 - Financování VaVaI ze státního rozpočtu) lze dílčím způsobem hodnotit finanční nástroje. Je však nutno mít na zřeteli také zásadní omezení spojená s využitím informací o</w:t>
      </w:r>
      <w:r w:rsidR="00D417C3">
        <w:rPr>
          <w:rFonts w:ascii="Arial" w:hAnsi="Arial" w:cs="Arial"/>
        </w:rPr>
        <w:t> </w:t>
      </w:r>
      <w:r w:rsidRPr="00845AD8">
        <w:rPr>
          <w:rFonts w:ascii="Arial" w:hAnsi="Arial" w:cs="Arial"/>
        </w:rPr>
        <w:t>výsledcích:</w:t>
      </w:r>
    </w:p>
    <w:p w:rsidR="005F2F7D" w:rsidRPr="00845AD8" w:rsidRDefault="005F2F7D" w:rsidP="00F224E6">
      <w:pPr>
        <w:numPr>
          <w:ilvl w:val="0"/>
          <w:numId w:val="8"/>
        </w:numPr>
        <w:spacing w:after="0" w:line="360" w:lineRule="auto"/>
        <w:contextualSpacing/>
        <w:jc w:val="both"/>
        <w:rPr>
          <w:rFonts w:ascii="Arial" w:eastAsia="Times New Roman" w:hAnsi="Arial" w:cs="Arial"/>
          <w:i/>
          <w:lang w:eastAsia="cs-CZ"/>
        </w:rPr>
      </w:pPr>
      <w:r w:rsidRPr="00845AD8">
        <w:rPr>
          <w:rFonts w:ascii="Arial" w:eastAsia="Times New Roman" w:hAnsi="Arial" w:cs="Arial"/>
          <w:i/>
          <w:lang w:eastAsia="cs-CZ"/>
        </w:rPr>
        <w:t xml:space="preserve">Předávání údajů o výsledcích výzkumu a vývoje do IS VaVaI je zákonem o podpoře výzkumu, experimentálního vývoje a inovací stanovenou povinností pouze pro příjemce dotace z veřejných rozpočtů na výzkum, vývoj a inovace. Informace o výsledcích v podnikatelské sféře jsou tím značně omezeny. </w:t>
      </w:r>
    </w:p>
    <w:p w:rsidR="005F2F7D" w:rsidRPr="00F224E6" w:rsidRDefault="005F2F7D" w:rsidP="00F224E6">
      <w:pPr>
        <w:numPr>
          <w:ilvl w:val="0"/>
          <w:numId w:val="8"/>
        </w:numPr>
        <w:spacing w:after="0" w:line="360" w:lineRule="auto"/>
        <w:contextualSpacing/>
        <w:jc w:val="both"/>
        <w:rPr>
          <w:rFonts w:ascii="Arial" w:eastAsia="Times New Roman" w:hAnsi="Arial" w:cs="Arial"/>
          <w:i/>
          <w:lang w:eastAsia="cs-CZ"/>
        </w:rPr>
      </w:pPr>
      <w:r w:rsidRPr="00845AD8">
        <w:rPr>
          <w:rFonts w:ascii="Arial" w:eastAsia="Times New Roman" w:hAnsi="Arial" w:cs="Arial"/>
          <w:i/>
          <w:lang w:eastAsia="cs-CZ"/>
        </w:rPr>
        <w:t>Většinu výše uvedených druhů výsledků nelze chápat jako výsledek v pravém slova smyslu, neboť cílem prováděného výzkumu, ať již základního nebo aplikovaného, není tvorba publikace, ale získání nového poznatku. Publikace je tudíž způsobem zveřejnění poznatku, tj. jeho šíření. Podobně patent či užitný nebo průmyslový vzor není primárním cílem aplikovaného výzkumu či experimentálního</w:t>
      </w:r>
      <w:r w:rsidRPr="00F224E6">
        <w:rPr>
          <w:rFonts w:ascii="Arial" w:eastAsia="Times New Roman" w:hAnsi="Arial" w:cs="Arial"/>
          <w:i/>
          <w:lang w:eastAsia="cs-CZ"/>
        </w:rPr>
        <w:t xml:space="preserve"> vývoje, ale formou ochrany nových zjištění. Z analytického pohledu se jedná o zásadní indikátory svědčící o úrovni provádění výzkumu, nelze však jimi přímo měřit výkonnost vý</w:t>
      </w:r>
      <w:r w:rsidR="00F224E6">
        <w:rPr>
          <w:rFonts w:ascii="Arial" w:eastAsia="Times New Roman" w:hAnsi="Arial" w:cs="Arial"/>
          <w:i/>
          <w:lang w:eastAsia="cs-CZ"/>
        </w:rPr>
        <w:t>zkumných a vývojových činností.</w:t>
      </w:r>
    </w:p>
    <w:p w:rsidR="005F2F7D" w:rsidRPr="00F224E6" w:rsidRDefault="005F2F7D" w:rsidP="00F224E6">
      <w:pPr>
        <w:numPr>
          <w:ilvl w:val="0"/>
          <w:numId w:val="8"/>
        </w:numPr>
        <w:spacing w:after="0" w:line="360" w:lineRule="auto"/>
        <w:contextualSpacing/>
        <w:jc w:val="both"/>
        <w:rPr>
          <w:rFonts w:ascii="Arial" w:eastAsia="Times New Roman" w:hAnsi="Arial" w:cs="Arial"/>
          <w:i/>
          <w:lang w:eastAsia="cs-CZ"/>
        </w:rPr>
      </w:pPr>
      <w:r w:rsidRPr="00F224E6">
        <w:rPr>
          <w:rFonts w:ascii="Arial" w:eastAsia="Times New Roman" w:hAnsi="Arial" w:cs="Arial"/>
          <w:i/>
          <w:lang w:eastAsia="cs-CZ"/>
        </w:rPr>
        <w:t>Skutečným přínosem výzkumu a vývoje je teprve využití nových poznatků, ať již publikovaných, nebo právně ochráněných, nikoliv tvorba publikací, patentů, průmyslových a</w:t>
      </w:r>
      <w:r w:rsidR="00D417C3">
        <w:rPr>
          <w:rFonts w:ascii="Arial" w:eastAsia="Times New Roman" w:hAnsi="Arial" w:cs="Arial"/>
          <w:i/>
          <w:lang w:eastAsia="cs-CZ"/>
        </w:rPr>
        <w:t> </w:t>
      </w:r>
      <w:r w:rsidRPr="00F224E6">
        <w:rPr>
          <w:rFonts w:ascii="Arial" w:eastAsia="Times New Roman" w:hAnsi="Arial" w:cs="Arial"/>
          <w:i/>
          <w:lang w:eastAsia="cs-CZ"/>
        </w:rPr>
        <w:t>užitných vzorů sama o sobě.</w:t>
      </w:r>
    </w:p>
    <w:p w:rsidR="005F2F7D" w:rsidRPr="00071A9A" w:rsidRDefault="005F2F7D" w:rsidP="00D34BA2">
      <w:pPr>
        <w:pStyle w:val="Nadpis3"/>
      </w:pPr>
      <w:bookmarkStart w:id="11" w:name="_Toc427676901"/>
      <w:r w:rsidRPr="00071A9A">
        <w:t xml:space="preserve">6.1. Druhy </w:t>
      </w:r>
      <w:r w:rsidRPr="00D34BA2">
        <w:t>výsledků</w:t>
      </w:r>
      <w:r w:rsidRPr="00071A9A">
        <w:t xml:space="preserve"> a časový trend jejich počtů</w:t>
      </w:r>
      <w:bookmarkEnd w:id="11"/>
    </w:p>
    <w:p w:rsidR="005F2F7D" w:rsidRPr="00F224E6" w:rsidRDefault="005F2F7D" w:rsidP="00F224E6">
      <w:pPr>
        <w:spacing w:after="0" w:line="360" w:lineRule="auto"/>
        <w:ind w:firstLine="709"/>
        <w:jc w:val="both"/>
        <w:rPr>
          <w:rFonts w:ascii="Arial" w:hAnsi="Arial" w:cs="Arial"/>
        </w:rPr>
      </w:pPr>
      <w:r w:rsidRPr="00F224E6">
        <w:rPr>
          <w:rFonts w:ascii="Arial" w:hAnsi="Arial" w:cs="Arial"/>
        </w:rPr>
        <w:t>Tvorba výsledků má v ČR na základě údajů z IS VaVaI dlouhodobě rostoucí trend. Celkový počet výsledků se v posledním desetiletí navýšil zhruba o třetinu (ze 42 000 v roce 2005 na 60</w:t>
      </w:r>
      <w:r w:rsidR="005F4EF5">
        <w:rPr>
          <w:rFonts w:ascii="Arial" w:hAnsi="Arial" w:cs="Arial"/>
        </w:rPr>
        <w:t> </w:t>
      </w:r>
      <w:r w:rsidRPr="00F224E6">
        <w:rPr>
          <w:rFonts w:ascii="Arial" w:hAnsi="Arial" w:cs="Arial"/>
        </w:rPr>
        <w:t>000</w:t>
      </w:r>
      <w:r w:rsidR="005F4EF5">
        <w:rPr>
          <w:rFonts w:ascii="Arial" w:hAnsi="Arial" w:cs="Arial"/>
        </w:rPr>
        <w:t xml:space="preserve"> </w:t>
      </w:r>
      <w:r w:rsidRPr="00F224E6">
        <w:rPr>
          <w:rFonts w:ascii="Arial" w:hAnsi="Arial" w:cs="Arial"/>
        </w:rPr>
        <w:t>v roce 2014).</w:t>
      </w:r>
    </w:p>
    <w:p w:rsidR="005F2F7D" w:rsidRPr="00845AD8" w:rsidRDefault="005F2F7D" w:rsidP="00F224E6">
      <w:pPr>
        <w:spacing w:after="0" w:line="360" w:lineRule="auto"/>
        <w:ind w:firstLine="709"/>
        <w:jc w:val="both"/>
        <w:rPr>
          <w:rFonts w:ascii="Arial" w:hAnsi="Arial" w:cs="Arial"/>
        </w:rPr>
      </w:pPr>
      <w:r w:rsidRPr="00F224E6">
        <w:rPr>
          <w:rFonts w:ascii="Arial" w:hAnsi="Arial" w:cs="Arial"/>
        </w:rPr>
        <w:t>Z obr</w:t>
      </w:r>
      <w:r w:rsidR="00291BB8">
        <w:rPr>
          <w:rFonts w:ascii="Arial" w:hAnsi="Arial" w:cs="Arial"/>
        </w:rPr>
        <w:t>ázku</w:t>
      </w:r>
      <w:r w:rsidRPr="00F224E6">
        <w:rPr>
          <w:rFonts w:ascii="Arial" w:hAnsi="Arial" w:cs="Arial"/>
        </w:rPr>
        <w:t xml:space="preserve"> 6.2 je patrné, že narůstá jak počet publikačních výsledků, tak počet výsledků aplikovaných. Pozitivní motivaci způsobující tento rostoucí trend mohlo </w:t>
      </w:r>
      <w:r w:rsidR="005F4EF5">
        <w:rPr>
          <w:rFonts w:ascii="Arial" w:hAnsi="Arial" w:cs="Arial"/>
        </w:rPr>
        <w:t xml:space="preserve">ovlivnit </w:t>
      </w:r>
      <w:r w:rsidRPr="00F224E6">
        <w:rPr>
          <w:rFonts w:ascii="Arial" w:hAnsi="Arial" w:cs="Arial"/>
        </w:rPr>
        <w:t xml:space="preserve">zavedení </w:t>
      </w:r>
      <w:r w:rsidRPr="00F224E6">
        <w:rPr>
          <w:rFonts w:ascii="Arial" w:hAnsi="Arial" w:cs="Arial"/>
        </w:rPr>
        <w:lastRenderedPageBreak/>
        <w:t xml:space="preserve">hodnocení výzkumných organizací podle výsledků. Maxima bylo u publikačních i aplikovaných výsledků </w:t>
      </w:r>
      <w:r w:rsidRPr="00845AD8">
        <w:rPr>
          <w:rFonts w:ascii="Arial" w:hAnsi="Arial" w:cs="Arial"/>
        </w:rPr>
        <w:t>dosaženo v roce 2012 (v součtu více než 63 000 výsledků), v dalších dvou letech nastal mírný pokles. Na základě uvedeného trendu se zdá, že již bylo dosaženo maxima výsledků</w:t>
      </w:r>
      <w:r w:rsidR="004C23E0" w:rsidRPr="00845AD8">
        <w:rPr>
          <w:rFonts w:ascii="Arial" w:hAnsi="Arial" w:cs="Arial"/>
        </w:rPr>
        <w:t xml:space="preserve"> podle současných platných definic</w:t>
      </w:r>
      <w:r w:rsidRPr="00845AD8">
        <w:rPr>
          <w:rFonts w:ascii="Arial" w:hAnsi="Arial" w:cs="Arial"/>
        </w:rPr>
        <w:t xml:space="preserve">, které je schopen systém VaVaI v ČR ročně vyprodukovat. </w:t>
      </w:r>
    </w:p>
    <w:p w:rsidR="005F2F7D" w:rsidRPr="00F224E6" w:rsidRDefault="005F2F7D" w:rsidP="00F224E6">
      <w:pPr>
        <w:spacing w:after="0" w:line="360" w:lineRule="auto"/>
        <w:ind w:firstLine="709"/>
        <w:jc w:val="both"/>
        <w:rPr>
          <w:rFonts w:ascii="Arial" w:hAnsi="Arial" w:cs="Arial"/>
        </w:rPr>
      </w:pPr>
      <w:r w:rsidRPr="00845AD8">
        <w:rPr>
          <w:rFonts w:ascii="Arial" w:hAnsi="Arial" w:cs="Arial"/>
        </w:rPr>
        <w:t>Dlouhodobě je zaznamenáván</w:t>
      </w:r>
      <w:r w:rsidRPr="00F224E6">
        <w:rPr>
          <w:rFonts w:ascii="Arial" w:hAnsi="Arial" w:cs="Arial"/>
        </w:rPr>
        <w:t xml:space="preserve"> nízký podíl aplikovaných výsledků na celkovém počtu výsledků. Přestože jejich počet i podíl narostl od roku 2005 více než pětinásobně, představují aplikované výsledky v současnosti pouze necelých 11 % všech výsledků evidovaných v IS VaVaI.</w:t>
      </w:r>
    </w:p>
    <w:p w:rsidR="005F2F7D" w:rsidRDefault="005F2F7D" w:rsidP="00F224E6">
      <w:pPr>
        <w:pStyle w:val="Obrzek-nadpis"/>
      </w:pPr>
      <w:r>
        <w:t xml:space="preserve">Obr. 6.2: </w:t>
      </w:r>
      <w:r w:rsidRPr="00B36389">
        <w:t xml:space="preserve">Počty publikačních, aplikovaných a ostatních druhů výsledků v ČR v letech </w:t>
      </w:r>
      <w:r w:rsidR="00D417C3">
        <w:br/>
      </w:r>
      <w:r w:rsidRPr="00B36389">
        <w:t>200</w:t>
      </w:r>
      <w:r>
        <w:t>5</w:t>
      </w:r>
      <w:r w:rsidR="00D417C3">
        <w:t> </w:t>
      </w:r>
      <w:r w:rsidRPr="00B36389">
        <w:t>–</w:t>
      </w:r>
      <w:r w:rsidR="00D417C3">
        <w:t> </w:t>
      </w:r>
      <w:r w:rsidRPr="00B36389">
        <w:t>2014</w:t>
      </w:r>
    </w:p>
    <w:p w:rsidR="005F2F7D" w:rsidRPr="00B36389" w:rsidRDefault="005F2F7D" w:rsidP="00D653B6">
      <w:pPr>
        <w:keepNext/>
        <w:jc w:val="center"/>
        <w:rPr>
          <w:b/>
        </w:rPr>
      </w:pPr>
      <w:r>
        <w:rPr>
          <w:b/>
          <w:noProof/>
          <w:lang w:eastAsia="cs-CZ"/>
        </w:rPr>
        <w:drawing>
          <wp:inline distT="0" distB="0" distL="0" distR="0" wp14:anchorId="24F6F388" wp14:editId="30E97BA7">
            <wp:extent cx="5760720" cy="2983230"/>
            <wp:effectExtent l="19050" t="19050" r="11430" b="26670"/>
            <wp:docPr id="46"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45">
                      <a:extLst>
                        <a:ext uri="{28A0092B-C50C-407E-A947-70E740481C1C}">
                          <a14:useLocalDpi xmlns:a14="http://schemas.microsoft.com/office/drawing/2010/main" val="0"/>
                        </a:ext>
                      </a:extLst>
                    </a:blip>
                    <a:stretch>
                      <a:fillRect/>
                    </a:stretch>
                  </pic:blipFill>
                  <pic:spPr>
                    <a:xfrm>
                      <a:off x="0" y="0"/>
                      <a:ext cx="5760720" cy="2983230"/>
                    </a:xfrm>
                    <a:prstGeom prst="rect">
                      <a:avLst/>
                    </a:prstGeom>
                    <a:ln>
                      <a:solidFill>
                        <a:schemeClr val="tx1"/>
                      </a:solidFill>
                    </a:ln>
                  </pic:spPr>
                </pic:pic>
              </a:graphicData>
            </a:graphic>
          </wp:inline>
        </w:drawing>
      </w:r>
    </w:p>
    <w:p w:rsidR="005F2F7D" w:rsidRPr="00B36389" w:rsidRDefault="005F2F7D" w:rsidP="00F224E6">
      <w:pPr>
        <w:pStyle w:val="Zdroj"/>
      </w:pPr>
      <w:r w:rsidRPr="00B36389">
        <w:t>Zdroj dat: IS VaVaI</w:t>
      </w:r>
    </w:p>
    <w:p w:rsidR="005F2F7D" w:rsidRPr="00B36389" w:rsidRDefault="005F2F7D" w:rsidP="00F224E6">
      <w:pPr>
        <w:pStyle w:val="komentzaobrzkem"/>
        <w:spacing w:after="240"/>
      </w:pPr>
      <w:r w:rsidRPr="00B36389">
        <w:t>Počty výsledků za rok 2014 nejsou konečné, neboť v době zpracování nebyl dokončen proces verifikace a vyřazování výsledků</w:t>
      </w:r>
      <w:r w:rsidR="00E1519E">
        <w:t>.</w:t>
      </w:r>
      <w:r w:rsidRPr="00B36389">
        <w:t xml:space="preserve"> Konečný počet výsledků bude pravděpodobně pouze mírně odlišný, v řádu jednotek %.</w:t>
      </w:r>
    </w:p>
    <w:p w:rsidR="005F2F7D" w:rsidRPr="00845AD8" w:rsidRDefault="005F2F7D" w:rsidP="00F224E6">
      <w:pPr>
        <w:spacing w:after="0" w:line="360" w:lineRule="auto"/>
        <w:ind w:firstLine="709"/>
        <w:jc w:val="both"/>
        <w:rPr>
          <w:rFonts w:ascii="Arial" w:hAnsi="Arial" w:cs="Arial"/>
        </w:rPr>
      </w:pPr>
      <w:r w:rsidRPr="00845AD8">
        <w:rPr>
          <w:rFonts w:ascii="Arial" w:hAnsi="Arial" w:cs="Arial"/>
        </w:rPr>
        <w:t>Pokud jde o druhy publikačních výsledků (obr</w:t>
      </w:r>
      <w:r w:rsidR="00291BB8">
        <w:rPr>
          <w:rFonts w:ascii="Arial" w:hAnsi="Arial" w:cs="Arial"/>
        </w:rPr>
        <w:t>ázek</w:t>
      </w:r>
      <w:r w:rsidRPr="00845AD8">
        <w:rPr>
          <w:rFonts w:ascii="Arial" w:hAnsi="Arial" w:cs="Arial"/>
        </w:rPr>
        <w:t xml:space="preserve"> 6.3), převažují v posledních letech recenzované odborné články (druh J). Jejich počet narostl od roku 2005 zhruba o třetinu a</w:t>
      </w:r>
      <w:r w:rsidR="00D417C3">
        <w:rPr>
          <w:rFonts w:ascii="Arial" w:hAnsi="Arial" w:cs="Arial"/>
        </w:rPr>
        <w:t> </w:t>
      </w:r>
      <w:r w:rsidRPr="00845AD8">
        <w:rPr>
          <w:rFonts w:ascii="Arial" w:hAnsi="Arial" w:cs="Arial"/>
        </w:rPr>
        <w:t>v současnosti představují přibližně 55 % publikačních výsledků. Poklesl naopak počet článků ve sbornících (druh D). Články ve sbornících představovaly ještě v roce 2007 nejpočetnější druh publikačních výsledků, později však byly nahrazovány především recenzovanými články. Rostoucí podíl recenzovaných článků na publikačních výsledcích naznačuje rostoucí kvalitu publikací. Pravděpodobně k tomu výrazně přispěly změny</w:t>
      </w:r>
      <w:r w:rsidRPr="00845AD8">
        <w:rPr>
          <w:rStyle w:val="Znakapoznpodarou"/>
          <w:rFonts w:ascii="Arial" w:hAnsi="Arial" w:cs="Arial"/>
        </w:rPr>
        <w:footnoteReference w:id="20"/>
      </w:r>
      <w:r w:rsidRPr="00845AD8">
        <w:rPr>
          <w:rFonts w:ascii="Arial" w:hAnsi="Arial" w:cs="Arial"/>
        </w:rPr>
        <w:t xml:space="preserve"> v přístupu k hodnocení výzkumných organizací, kdy je větší důraz kladen na publikace v kvalitních periodikách. </w:t>
      </w:r>
      <w:r w:rsidR="009A1D5A" w:rsidRPr="009A1D5A">
        <w:rPr>
          <w:rFonts w:ascii="Arial" w:hAnsi="Arial" w:cs="Arial"/>
        </w:rPr>
        <w:t>V roce 2013 bylo zavedeno peer-</w:t>
      </w:r>
      <w:proofErr w:type="spellStart"/>
      <w:r w:rsidR="009A1D5A" w:rsidRPr="009A1D5A">
        <w:rPr>
          <w:rFonts w:ascii="Arial" w:hAnsi="Arial" w:cs="Arial"/>
        </w:rPr>
        <w:t>review</w:t>
      </w:r>
      <w:proofErr w:type="spellEnd"/>
      <w:r w:rsidR="009A1D5A" w:rsidRPr="009A1D5A">
        <w:rPr>
          <w:rFonts w:ascii="Arial" w:hAnsi="Arial" w:cs="Arial"/>
        </w:rPr>
        <w:t xml:space="preserve"> hodnocení výsledků. V období 2012 – 2015 je </w:t>
      </w:r>
      <w:r w:rsidR="009A1D5A">
        <w:rPr>
          <w:rFonts w:ascii="Arial" w:hAnsi="Arial" w:cs="Arial"/>
        </w:rPr>
        <w:t xml:space="preserve">v koordinaci </w:t>
      </w:r>
      <w:r w:rsidR="009A1D5A" w:rsidRPr="009A1D5A">
        <w:rPr>
          <w:rFonts w:ascii="Arial" w:hAnsi="Arial" w:cs="Arial"/>
        </w:rPr>
        <w:t>MŠMT realizová</w:t>
      </w:r>
      <w:r w:rsidR="00FF41AA">
        <w:rPr>
          <w:rFonts w:ascii="Arial" w:hAnsi="Arial" w:cs="Arial"/>
        </w:rPr>
        <w:t xml:space="preserve">n Individuální projekt národní </w:t>
      </w:r>
      <w:r w:rsidR="009A1D5A" w:rsidRPr="009A1D5A">
        <w:rPr>
          <w:rFonts w:ascii="Arial" w:hAnsi="Arial" w:cs="Arial"/>
        </w:rPr>
        <w:t>Efektivní systém hodnocení a financování výzkumu, vývoje a inovací</w:t>
      </w:r>
      <w:r w:rsidR="009A1D5A">
        <w:rPr>
          <w:rFonts w:ascii="Arial" w:hAnsi="Arial" w:cs="Arial"/>
        </w:rPr>
        <w:t>,</w:t>
      </w:r>
      <w:r w:rsidR="009A1D5A" w:rsidRPr="009A1D5A">
        <w:rPr>
          <w:rFonts w:ascii="Arial" w:hAnsi="Arial" w:cs="Arial"/>
        </w:rPr>
        <w:t xml:space="preserve"> jehož výstupy mají přispět k optimalizaci způsobu </w:t>
      </w:r>
      <w:r w:rsidR="009A1D5A" w:rsidRPr="002C2F44">
        <w:rPr>
          <w:rFonts w:ascii="Arial" w:hAnsi="Arial" w:cs="Arial"/>
        </w:rPr>
        <w:t xml:space="preserve">hodnocení subjektů provádějících výzkum a šíření </w:t>
      </w:r>
      <w:r w:rsidR="009A1D5A">
        <w:rPr>
          <w:rFonts w:ascii="Arial" w:hAnsi="Arial" w:cs="Arial"/>
        </w:rPr>
        <w:lastRenderedPageBreak/>
        <w:t xml:space="preserve">znalostí. </w:t>
      </w:r>
      <w:r w:rsidRPr="00845AD8">
        <w:rPr>
          <w:rFonts w:ascii="Arial" w:hAnsi="Arial" w:cs="Arial"/>
        </w:rPr>
        <w:t>Po</w:t>
      </w:r>
      <w:r w:rsidR="009A1D5A">
        <w:rPr>
          <w:rFonts w:ascii="Arial" w:hAnsi="Arial" w:cs="Arial"/>
        </w:rPr>
        <w:t>č</w:t>
      </w:r>
      <w:r w:rsidRPr="00845AD8">
        <w:rPr>
          <w:rFonts w:ascii="Arial" w:hAnsi="Arial" w:cs="Arial"/>
        </w:rPr>
        <w:t>ty výsledků s kvalitou nejvíce korespondují v přírodovědných oborech (viz podrobněji v kap</w:t>
      </w:r>
      <w:r w:rsidR="00291BB8">
        <w:rPr>
          <w:rFonts w:ascii="Arial" w:hAnsi="Arial" w:cs="Arial"/>
        </w:rPr>
        <w:t>itole</w:t>
      </w:r>
      <w:r w:rsidRPr="00845AD8">
        <w:rPr>
          <w:rFonts w:ascii="Arial" w:hAnsi="Arial" w:cs="Arial"/>
        </w:rPr>
        <w:t xml:space="preserve"> 6.3).</w:t>
      </w:r>
    </w:p>
    <w:p w:rsidR="005F2F7D" w:rsidRPr="00F224E6" w:rsidRDefault="005F2F7D" w:rsidP="00F224E6">
      <w:pPr>
        <w:spacing w:after="0" w:line="360" w:lineRule="auto"/>
        <w:ind w:firstLine="709"/>
        <w:jc w:val="both"/>
        <w:rPr>
          <w:rFonts w:ascii="Arial" w:hAnsi="Arial" w:cs="Arial"/>
        </w:rPr>
      </w:pPr>
      <w:r w:rsidRPr="00845AD8">
        <w:rPr>
          <w:rFonts w:ascii="Arial" w:hAnsi="Arial" w:cs="Arial"/>
        </w:rPr>
        <w:t>Struktura jednotlivých druhů aplikovaných výsledků se v období 2005 – 2014 rovněž měnila (</w:t>
      </w:r>
      <w:r w:rsidR="002978DA" w:rsidRPr="00845AD8">
        <w:rPr>
          <w:rFonts w:ascii="Arial" w:hAnsi="Arial" w:cs="Arial"/>
        </w:rPr>
        <w:t>o</w:t>
      </w:r>
      <w:r w:rsidRPr="00845AD8">
        <w:rPr>
          <w:rFonts w:ascii="Arial" w:hAnsi="Arial" w:cs="Arial"/>
        </w:rPr>
        <w:t>br</w:t>
      </w:r>
      <w:r w:rsidR="00136E58">
        <w:rPr>
          <w:rFonts w:ascii="Arial" w:hAnsi="Arial" w:cs="Arial"/>
        </w:rPr>
        <w:t>ázek</w:t>
      </w:r>
      <w:r w:rsidRPr="00845AD8">
        <w:rPr>
          <w:rFonts w:ascii="Arial" w:hAnsi="Arial" w:cs="Arial"/>
        </w:rPr>
        <w:t xml:space="preserve"> 6.4). Nejvýznamnější podíl aplikovaných výsledků v roce 2014 tvořily výz</w:t>
      </w:r>
      <w:r w:rsidRPr="00F224E6">
        <w:rPr>
          <w:rFonts w:ascii="Arial" w:hAnsi="Arial" w:cs="Arial"/>
        </w:rPr>
        <w:t xml:space="preserve">kumné zprávy (druh V) a prototypy a funkční vzorky (druh G), zatímco v roce 2012 to byly certifikované metodiky (druh N). Výzkumné zprávy se vyskytují ve vyšším počtu od roku 2012, kdy začaly být k tomuto druhu započítávány </w:t>
      </w:r>
      <w:r w:rsidRPr="00845AD8">
        <w:rPr>
          <w:rFonts w:ascii="Arial" w:hAnsi="Arial" w:cs="Arial"/>
        </w:rPr>
        <w:t>rovněž tzv. Souhrnné výzkumné zprávy shrnující výsledky řešení projektů aplikovaného výzkumu, zatímco v letech předchozích se jednalo pouze o výzkumné zprávy o</w:t>
      </w:r>
      <w:r w:rsidR="00D417C3">
        <w:rPr>
          <w:rFonts w:ascii="Arial" w:hAnsi="Arial" w:cs="Arial"/>
        </w:rPr>
        <w:t> </w:t>
      </w:r>
      <w:r w:rsidRPr="00845AD8">
        <w:rPr>
          <w:rFonts w:ascii="Arial" w:hAnsi="Arial" w:cs="Arial"/>
        </w:rPr>
        <w:t>výzkumu v utajení. Podíl výsledků s</w:t>
      </w:r>
      <w:r w:rsidR="00F027A4" w:rsidRPr="00845AD8">
        <w:rPr>
          <w:rFonts w:ascii="Arial" w:hAnsi="Arial" w:cs="Arial"/>
        </w:rPr>
        <w:t>e zvláštní</w:t>
      </w:r>
      <w:r w:rsidRPr="00845AD8">
        <w:rPr>
          <w:rFonts w:ascii="Arial" w:hAnsi="Arial" w:cs="Arial"/>
        </w:rPr>
        <w:t> právní ochranou, tj. patentů (druh P) a užitných a</w:t>
      </w:r>
      <w:r w:rsidR="00D417C3">
        <w:rPr>
          <w:rFonts w:ascii="Arial" w:hAnsi="Arial" w:cs="Arial"/>
        </w:rPr>
        <w:t> </w:t>
      </w:r>
      <w:r w:rsidRPr="00845AD8">
        <w:rPr>
          <w:rFonts w:ascii="Arial" w:hAnsi="Arial" w:cs="Arial"/>
        </w:rPr>
        <w:t xml:space="preserve">průmyslových vzorů (druh F), je v celém sledovaném období nízký. Nízká produkce patentů </w:t>
      </w:r>
      <w:r w:rsidR="002978DA" w:rsidRPr="00845AD8">
        <w:rPr>
          <w:rFonts w:ascii="Arial" w:hAnsi="Arial" w:cs="Arial"/>
        </w:rPr>
        <w:t>v</w:t>
      </w:r>
      <w:r w:rsidRPr="00845AD8">
        <w:rPr>
          <w:rFonts w:ascii="Arial" w:hAnsi="Arial" w:cs="Arial"/>
        </w:rPr>
        <w:t> ČR je patrná rovněž z mezinárodního srovnání (viz kapitola 7 - Inovační výkonnost české ekonomiky a její mezinárodní srovnání</w:t>
      </w:r>
      <w:r w:rsidRPr="00F224E6">
        <w:rPr>
          <w:rFonts w:ascii="Arial" w:hAnsi="Arial" w:cs="Arial"/>
        </w:rPr>
        <w:t>, obr</w:t>
      </w:r>
      <w:r w:rsidR="00136E58">
        <w:rPr>
          <w:rFonts w:ascii="Arial" w:hAnsi="Arial" w:cs="Arial"/>
        </w:rPr>
        <w:t>ázek</w:t>
      </w:r>
      <w:r w:rsidRPr="00F224E6">
        <w:rPr>
          <w:rFonts w:ascii="Arial" w:hAnsi="Arial" w:cs="Arial"/>
        </w:rPr>
        <w:t xml:space="preserve"> 7.9; ČR zaostává za mezinárodním průměrem, např. Rakousko vykazuje více než dvojnásobné hodnoty)</w:t>
      </w:r>
      <w:r w:rsidR="005F4EF5">
        <w:rPr>
          <w:rFonts w:ascii="Arial" w:hAnsi="Arial" w:cs="Arial"/>
        </w:rPr>
        <w:t>.</w:t>
      </w:r>
    </w:p>
    <w:p w:rsidR="005F2F7D" w:rsidRDefault="005F2F7D" w:rsidP="005F2F7D">
      <w:pPr>
        <w:jc w:val="both"/>
        <w:sectPr w:rsidR="005F2F7D" w:rsidSect="00E540D1">
          <w:headerReference w:type="default" r:id="rId46"/>
          <w:footerReference w:type="default" r:id="rId47"/>
          <w:pgSz w:w="11906" w:h="16838"/>
          <w:pgMar w:top="1134" w:right="1134" w:bottom="1134" w:left="1134" w:header="708" w:footer="708" w:gutter="0"/>
          <w:cols w:space="708"/>
          <w:docGrid w:linePitch="360"/>
        </w:sectPr>
      </w:pPr>
    </w:p>
    <w:p w:rsidR="005F2F7D" w:rsidRPr="00406DC8" w:rsidRDefault="005F2F7D" w:rsidP="00136E58">
      <w:pPr>
        <w:pStyle w:val="Obrzek-nadpis"/>
      </w:pPr>
      <w:r w:rsidRPr="00406DC8">
        <w:lastRenderedPageBreak/>
        <w:t>Obr. 6.3: Druhy publikačních výsledků a jejich počty v ČR v letech 2005 - 2014</w:t>
      </w:r>
    </w:p>
    <w:p w:rsidR="005F2F7D" w:rsidRDefault="005F2F7D" w:rsidP="00D653B6">
      <w:pPr>
        <w:keepNext/>
        <w:jc w:val="center"/>
        <w:rPr>
          <w:b/>
        </w:rPr>
      </w:pPr>
      <w:r>
        <w:rPr>
          <w:b/>
          <w:noProof/>
          <w:lang w:eastAsia="cs-CZ"/>
        </w:rPr>
        <w:drawing>
          <wp:inline distT="0" distB="0" distL="0" distR="0" wp14:anchorId="083987F1" wp14:editId="2220ECF6">
            <wp:extent cx="8892540" cy="4336415"/>
            <wp:effectExtent l="19050" t="19050" r="22860" b="26035"/>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48">
                      <a:extLst>
                        <a:ext uri="{28A0092B-C50C-407E-A947-70E740481C1C}">
                          <a14:useLocalDpi xmlns:a14="http://schemas.microsoft.com/office/drawing/2010/main" val="0"/>
                        </a:ext>
                      </a:extLst>
                    </a:blip>
                    <a:stretch>
                      <a:fillRect/>
                    </a:stretch>
                  </pic:blipFill>
                  <pic:spPr>
                    <a:xfrm>
                      <a:off x="0" y="0"/>
                      <a:ext cx="8892540" cy="4336415"/>
                    </a:xfrm>
                    <a:prstGeom prst="rect">
                      <a:avLst/>
                    </a:prstGeom>
                    <a:ln>
                      <a:solidFill>
                        <a:schemeClr val="tx1"/>
                      </a:solidFill>
                    </a:ln>
                  </pic:spPr>
                </pic:pic>
              </a:graphicData>
            </a:graphic>
          </wp:inline>
        </w:drawing>
      </w:r>
    </w:p>
    <w:p w:rsidR="005F2F7D" w:rsidRPr="00120278" w:rsidRDefault="005F2F7D" w:rsidP="00F224E6">
      <w:pPr>
        <w:pStyle w:val="Zdroj"/>
      </w:pPr>
      <w:r w:rsidRPr="00120278">
        <w:t>Zdroj dat: IS VaVaI</w:t>
      </w:r>
    </w:p>
    <w:p w:rsidR="005F2F7D" w:rsidRDefault="005F2F7D" w:rsidP="00F224E6">
      <w:pPr>
        <w:pStyle w:val="komentzaobrzkem"/>
      </w:pPr>
      <w:r w:rsidRPr="00120278">
        <w:t xml:space="preserve">Struktura výsledků druhu J obsahuje data z hodnocení výsledků výzkumných organizací v roce 2013, tj. výsledky uplatněné v letech 2008 </w:t>
      </w:r>
      <w:r>
        <w:t>–</w:t>
      </w:r>
      <w:r w:rsidRPr="00120278">
        <w:t xml:space="preserve"> 2012</w:t>
      </w:r>
      <w:r>
        <w:t>.</w:t>
      </w:r>
    </w:p>
    <w:p w:rsidR="005F2F7D" w:rsidRDefault="005F2F7D" w:rsidP="00F224E6">
      <w:pPr>
        <w:pStyle w:val="komentzaobrzkem"/>
      </w:pPr>
      <w:r w:rsidRPr="00B36389">
        <w:t xml:space="preserve">Počty výsledků za rok 2014 nejsou konečné, neboť v době zpracování nebyl dokončen </w:t>
      </w:r>
      <w:r w:rsidRPr="002072CE">
        <w:t>proces verifikace a vyřazování výsledků</w:t>
      </w:r>
      <w:r w:rsidR="00C841A9">
        <w:t>.</w:t>
      </w:r>
      <w:r w:rsidRPr="002072CE">
        <w:t xml:space="preserve"> </w:t>
      </w:r>
      <w:r w:rsidRPr="00B36389">
        <w:t>Konečný počet výsledků bude pravděpodobně pouze mírně odlišný, v řádu jednotek %.</w:t>
      </w:r>
    </w:p>
    <w:p w:rsidR="005F2F7D" w:rsidRDefault="005F2F7D" w:rsidP="005F2F7D">
      <w:pPr>
        <w:jc w:val="both"/>
        <w:sectPr w:rsidR="005F2F7D" w:rsidSect="00E540D1">
          <w:pgSz w:w="16838" w:h="11906" w:orient="landscape"/>
          <w:pgMar w:top="1134" w:right="1134" w:bottom="1134" w:left="1134" w:header="708" w:footer="708" w:gutter="0"/>
          <w:cols w:space="708"/>
          <w:docGrid w:linePitch="360"/>
        </w:sectPr>
      </w:pPr>
    </w:p>
    <w:p w:rsidR="005F2F7D" w:rsidRPr="003B59E8" w:rsidRDefault="005F2F7D" w:rsidP="00F224E6">
      <w:pPr>
        <w:pStyle w:val="Obrzek-nadpis"/>
      </w:pPr>
      <w:r w:rsidRPr="003B59E8">
        <w:lastRenderedPageBreak/>
        <w:t>Obr. 6.4: Druhy aplikovaných výsledků a jejich počty v ČR v letech 2005 – 2014</w:t>
      </w:r>
    </w:p>
    <w:p w:rsidR="005F2F7D" w:rsidRDefault="005F2F7D" w:rsidP="00D653B6">
      <w:pPr>
        <w:keepNext/>
        <w:jc w:val="center"/>
        <w:rPr>
          <w:b/>
        </w:rPr>
      </w:pPr>
      <w:r>
        <w:rPr>
          <w:b/>
          <w:noProof/>
          <w:lang w:eastAsia="cs-CZ"/>
        </w:rPr>
        <w:drawing>
          <wp:inline distT="0" distB="0" distL="0" distR="0" wp14:anchorId="642F6CFC" wp14:editId="0A74F4AA">
            <wp:extent cx="5760720" cy="3206115"/>
            <wp:effectExtent l="19050" t="19050" r="11430" b="13335"/>
            <wp:docPr id="51" name="Obráze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760720" cy="3206115"/>
                    </a:xfrm>
                    <a:prstGeom prst="rect">
                      <a:avLst/>
                    </a:prstGeom>
                    <a:ln>
                      <a:solidFill>
                        <a:schemeClr val="tx1"/>
                      </a:solidFill>
                    </a:ln>
                  </pic:spPr>
                </pic:pic>
              </a:graphicData>
            </a:graphic>
          </wp:inline>
        </w:drawing>
      </w:r>
    </w:p>
    <w:p w:rsidR="005F2F7D" w:rsidRDefault="005F2F7D" w:rsidP="00F224E6">
      <w:pPr>
        <w:pStyle w:val="Zdroj"/>
      </w:pPr>
      <w:r w:rsidRPr="00120278">
        <w:t>Zdroj dat: IS VaVaI</w:t>
      </w:r>
    </w:p>
    <w:p w:rsidR="005F2F7D" w:rsidRDefault="005F2F7D" w:rsidP="00F224E6">
      <w:pPr>
        <w:pStyle w:val="komentzaobrzkem"/>
      </w:pPr>
      <w:r w:rsidRPr="00B36389">
        <w:t>Počty výsledků za rok 2014 nejsou konečné, neboť v době zpracování nebyl dokončen proces verifikace a vyřazování výsledků. Konečný počet výsledků bude pravděpodobně pouze mírně odlišný, v řádu jednotek %.</w:t>
      </w:r>
    </w:p>
    <w:p w:rsidR="005F2F7D" w:rsidRDefault="005F2F7D" w:rsidP="009A04A4">
      <w:pPr>
        <w:pStyle w:val="komentzaobrzkem"/>
        <w:spacing w:after="240"/>
      </w:pPr>
      <w:r>
        <w:t>Výsledky druhu S a T jsou souhrnné kategorie používané pro výsledky aplikovaného výzkumu do roku 2006, resp. 2007.</w:t>
      </w:r>
    </w:p>
    <w:p w:rsidR="005F2F7D" w:rsidRPr="009A04A4" w:rsidRDefault="005F2F7D" w:rsidP="009A04A4">
      <w:pPr>
        <w:spacing w:after="0" w:line="360" w:lineRule="auto"/>
        <w:ind w:firstLine="709"/>
        <w:jc w:val="both"/>
        <w:rPr>
          <w:rFonts w:ascii="Arial" w:hAnsi="Arial" w:cs="Arial"/>
        </w:rPr>
      </w:pPr>
      <w:r w:rsidRPr="009A04A4">
        <w:rPr>
          <w:rFonts w:ascii="Arial" w:hAnsi="Arial" w:cs="Arial"/>
        </w:rPr>
        <w:t xml:space="preserve">Změny ve vykazovaných počtech jednotlivých druhů aplikovaných výsledků </w:t>
      </w:r>
      <w:r w:rsidRPr="00C841A9">
        <w:rPr>
          <w:rFonts w:ascii="Arial" w:hAnsi="Arial" w:cs="Arial"/>
        </w:rPr>
        <w:t>pravděpodobně</w:t>
      </w:r>
      <w:r w:rsidRPr="009A04A4">
        <w:rPr>
          <w:rFonts w:ascii="Arial" w:hAnsi="Arial" w:cs="Arial"/>
        </w:rPr>
        <w:t xml:space="preserve"> souvisí s úpravami ve způsobu hodnocení výzkumných organizací na základě výsledků. Např. výsledky druhů N (certifikované metodiky, léčebné a památkové postupy, specializované mapy) a</w:t>
      </w:r>
      <w:r w:rsidR="00CD5F7C">
        <w:rPr>
          <w:rFonts w:ascii="Arial" w:hAnsi="Arial" w:cs="Arial"/>
        </w:rPr>
        <w:t> </w:t>
      </w:r>
      <w:r w:rsidRPr="009A04A4">
        <w:rPr>
          <w:rFonts w:ascii="Arial" w:hAnsi="Arial" w:cs="Arial"/>
        </w:rPr>
        <w:t>F (užitný vzor, průmyslový vzor) se v minulosti bodově hodnotily. S bodovým hodnocením těchto druhů výsledků bylo započato v roce 2007, nejspíš proto došlo v následujícím období k jejich nárůstu. Od roku 2013 je kromě výsledků druhu P (patent), a některých výsledků druhu Z (odrůda a plemeno), které jsou nadále bodovány, hodnocen aplikovaný výzkum na základě finančních objemů smluvního výzkumu, body za certifikované metodiky, užitné a průmyslové vzory již nejsou přidělovány. Nejspíš proto dochází v posledních letech k poklesu jejich počtů. Uvedená fakta mohou indikovat nežádoucí účelovost v tvorbě výsledků v přímé vazbě na způsob hodnocení. Vytvořené aplikované výsledky tudíž pravděpodobně jen velmi málo re</w:t>
      </w:r>
      <w:r w:rsidR="009A04A4" w:rsidRPr="009A04A4">
        <w:rPr>
          <w:rFonts w:ascii="Arial" w:hAnsi="Arial" w:cs="Arial"/>
        </w:rPr>
        <w:t>flektují potřeby výrobní praxe.</w:t>
      </w:r>
    </w:p>
    <w:p w:rsidR="005F2F7D" w:rsidRPr="00071A9A" w:rsidRDefault="005F2F7D" w:rsidP="00D34BA2">
      <w:pPr>
        <w:pStyle w:val="Nadpis3"/>
      </w:pPr>
      <w:bookmarkStart w:id="12" w:name="_Toc427676902"/>
      <w:r w:rsidRPr="00071A9A">
        <w:t xml:space="preserve">6.2. Oborová </w:t>
      </w:r>
      <w:r w:rsidRPr="00D34BA2">
        <w:t>struktura</w:t>
      </w:r>
      <w:r w:rsidRPr="00071A9A">
        <w:t xml:space="preserve"> </w:t>
      </w:r>
      <w:r w:rsidRPr="00613032">
        <w:t>výsledků</w:t>
      </w:r>
      <w:r w:rsidRPr="00071A9A">
        <w:t xml:space="preserve"> a její změny v čase</w:t>
      </w:r>
      <w:bookmarkEnd w:id="12"/>
    </w:p>
    <w:p w:rsidR="00072077" w:rsidRDefault="005F2F7D" w:rsidP="009A04A4">
      <w:pPr>
        <w:spacing w:after="0" w:line="360" w:lineRule="auto"/>
        <w:ind w:firstLine="709"/>
        <w:jc w:val="both"/>
        <w:rPr>
          <w:rFonts w:ascii="Arial" w:hAnsi="Arial" w:cs="Arial"/>
        </w:rPr>
      </w:pPr>
      <w:r w:rsidRPr="00845AD8">
        <w:rPr>
          <w:rFonts w:ascii="Arial" w:hAnsi="Arial" w:cs="Arial"/>
        </w:rPr>
        <w:t>V obr</w:t>
      </w:r>
      <w:r w:rsidR="00136E58">
        <w:rPr>
          <w:rFonts w:ascii="Arial" w:hAnsi="Arial" w:cs="Arial"/>
        </w:rPr>
        <w:t>ázku</w:t>
      </w:r>
      <w:r w:rsidRPr="00845AD8">
        <w:rPr>
          <w:rFonts w:ascii="Arial" w:hAnsi="Arial" w:cs="Arial"/>
        </w:rPr>
        <w:t xml:space="preserve"> 6.5 jsou uvedeny počty výsledků v členění dle oborových skupin</w:t>
      </w:r>
      <w:r w:rsidR="00000A2A">
        <w:rPr>
          <w:rStyle w:val="Znakapoznpodarou"/>
          <w:rFonts w:ascii="Arial" w:hAnsi="Arial" w:cs="Arial"/>
        </w:rPr>
        <w:footnoteReference w:id="21"/>
      </w:r>
      <w:r w:rsidRPr="00845AD8">
        <w:rPr>
          <w:rFonts w:ascii="Arial" w:hAnsi="Arial" w:cs="Arial"/>
        </w:rPr>
        <w:t>. Obr</w:t>
      </w:r>
      <w:r w:rsidR="00136E58">
        <w:rPr>
          <w:rFonts w:ascii="Arial" w:hAnsi="Arial" w:cs="Arial"/>
        </w:rPr>
        <w:t>ázek</w:t>
      </w:r>
      <w:r w:rsidRPr="00845AD8">
        <w:rPr>
          <w:rFonts w:ascii="Arial" w:hAnsi="Arial" w:cs="Arial"/>
        </w:rPr>
        <w:t xml:space="preserve"> 6.5 rovněž demonstruje časovou dynamiku v podobě srovnání dvou po sobě jdoucích pětiletých období, tj. 2005 – 2009 a 2010 – 2014. Jednoznačně největší počet výsledků vzniká ve</w:t>
      </w:r>
      <w:r w:rsidR="00CD5F7C">
        <w:rPr>
          <w:rFonts w:ascii="Arial" w:hAnsi="Arial" w:cs="Arial"/>
        </w:rPr>
        <w:t> </w:t>
      </w:r>
      <w:r w:rsidRPr="00845AD8">
        <w:rPr>
          <w:rFonts w:ascii="Arial" w:hAnsi="Arial" w:cs="Arial"/>
        </w:rPr>
        <w:t>Společensk</w:t>
      </w:r>
      <w:r w:rsidRPr="009A04A4">
        <w:rPr>
          <w:rFonts w:ascii="Arial" w:hAnsi="Arial" w:cs="Arial"/>
        </w:rPr>
        <w:t xml:space="preserve">ých a humanitních vědách, je u nich navíc patrný nejvýraznější nárůst počtu </w:t>
      </w:r>
      <w:r w:rsidRPr="009A04A4">
        <w:rPr>
          <w:rFonts w:ascii="Arial" w:hAnsi="Arial" w:cs="Arial"/>
        </w:rPr>
        <w:lastRenderedPageBreak/>
        <w:t>ze</w:t>
      </w:r>
      <w:r w:rsidR="00CD5F7C">
        <w:rPr>
          <w:rFonts w:ascii="Arial" w:hAnsi="Arial" w:cs="Arial"/>
        </w:rPr>
        <w:t> </w:t>
      </w:r>
      <w:r w:rsidRPr="009A04A4">
        <w:rPr>
          <w:rFonts w:ascii="Arial" w:hAnsi="Arial" w:cs="Arial"/>
        </w:rPr>
        <w:t>všech oborových skupin. Druhou nejvýznamnější skupinou oborů z hlediska počtu výsledků je Průmysl, zde však dochází k mírnému poklesu. To je však pravděpodobně výrazně ovlivněno způsobem sběru dat do IS VaVaI, který je spojen s veřejnou podporou výzkumu a vývoje, chybí tak údaje o výsledcích výzkumu a vývoje financovaných čistě z podnikatelských zdrojů. Relativně vysoké je také zastoupení Lékařských věd, navíc s nárůstem počtu výsledků, a také Fyziky a</w:t>
      </w:r>
      <w:r w:rsidR="00CD5F7C">
        <w:rPr>
          <w:rFonts w:ascii="Arial" w:hAnsi="Arial" w:cs="Arial"/>
        </w:rPr>
        <w:t> </w:t>
      </w:r>
      <w:r w:rsidRPr="009A04A4">
        <w:rPr>
          <w:rFonts w:ascii="Arial" w:hAnsi="Arial" w:cs="Arial"/>
        </w:rPr>
        <w:t xml:space="preserve">matematiky. </w:t>
      </w:r>
    </w:p>
    <w:p w:rsidR="00124427" w:rsidRDefault="00072077" w:rsidP="009A04A4">
      <w:pPr>
        <w:spacing w:after="0" w:line="360" w:lineRule="auto"/>
        <w:ind w:firstLine="709"/>
        <w:jc w:val="both"/>
        <w:rPr>
          <w:rFonts w:ascii="Arial" w:hAnsi="Arial" w:cs="Arial"/>
        </w:rPr>
      </w:pPr>
      <w:r>
        <w:rPr>
          <w:rFonts w:ascii="Arial" w:hAnsi="Arial" w:cs="Arial"/>
        </w:rPr>
        <w:t xml:space="preserve">Oborová struktura počtů výsledků je značně ovlivněna finanční alokací prostředku státního rozpočtu na výzkum, vývoj a inovace. Prostředky na dlouhodobý koncepční rozvoj výzkumných organizací </w:t>
      </w:r>
      <w:r w:rsidR="00124427">
        <w:rPr>
          <w:rFonts w:ascii="Arial" w:hAnsi="Arial" w:cs="Arial"/>
        </w:rPr>
        <w:t>v členění na skupiny oborů lze</w:t>
      </w:r>
      <w:r>
        <w:rPr>
          <w:rFonts w:ascii="Arial" w:hAnsi="Arial" w:cs="Arial"/>
        </w:rPr>
        <w:t xml:space="preserve"> počínaje rokem 2010 </w:t>
      </w:r>
      <w:r w:rsidR="00124427">
        <w:rPr>
          <w:rFonts w:ascii="Arial" w:hAnsi="Arial" w:cs="Arial"/>
        </w:rPr>
        <w:t>dedukovat z bodové alokace dané metodikou hodnocení</w:t>
      </w:r>
      <w:r w:rsidR="00124427">
        <w:rPr>
          <w:rStyle w:val="Znakapoznpodarou"/>
          <w:rFonts w:ascii="Arial" w:hAnsi="Arial" w:cs="Arial"/>
        </w:rPr>
        <w:footnoteReference w:id="22"/>
      </w:r>
      <w:r w:rsidR="00124427">
        <w:rPr>
          <w:rFonts w:ascii="Arial" w:hAnsi="Arial" w:cs="Arial"/>
        </w:rPr>
        <w:t xml:space="preserve">. </w:t>
      </w:r>
      <w:r w:rsidR="00124427" w:rsidRPr="00845AD8">
        <w:rPr>
          <w:rFonts w:ascii="Arial" w:eastAsia="Times New Roman" w:hAnsi="Arial" w:cs="Arial"/>
          <w:lang w:eastAsia="cs-CZ"/>
        </w:rPr>
        <w:t>Největší alokaci bodů mají přidělenou Chemické vědy (15,8</w:t>
      </w:r>
      <w:r w:rsidR="009B6940">
        <w:rPr>
          <w:rFonts w:ascii="Arial" w:eastAsia="Times New Roman" w:hAnsi="Arial" w:cs="Arial"/>
          <w:lang w:eastAsia="cs-CZ"/>
        </w:rPr>
        <w:t> </w:t>
      </w:r>
      <w:r w:rsidR="00124427" w:rsidRPr="00845AD8">
        <w:rPr>
          <w:rFonts w:ascii="Arial" w:eastAsia="Times New Roman" w:hAnsi="Arial" w:cs="Arial"/>
          <w:lang w:eastAsia="cs-CZ"/>
        </w:rPr>
        <w:t>%)</w:t>
      </w:r>
      <w:r w:rsidR="009B6940">
        <w:rPr>
          <w:rFonts w:ascii="Arial" w:eastAsia="Times New Roman" w:hAnsi="Arial" w:cs="Arial"/>
          <w:lang w:eastAsia="cs-CZ"/>
        </w:rPr>
        <w:t>,</w:t>
      </w:r>
      <w:r w:rsidR="00124427" w:rsidRPr="00845AD8">
        <w:rPr>
          <w:rFonts w:ascii="Arial" w:eastAsia="Times New Roman" w:hAnsi="Arial" w:cs="Arial"/>
          <w:lang w:eastAsia="cs-CZ"/>
        </w:rPr>
        <w:t xml:space="preserve"> Fyzikální vědy (15</w:t>
      </w:r>
      <w:r w:rsidR="009B6940">
        <w:rPr>
          <w:rFonts w:ascii="Arial" w:eastAsia="Times New Roman" w:hAnsi="Arial" w:cs="Arial"/>
          <w:lang w:eastAsia="cs-CZ"/>
        </w:rPr>
        <w:t> </w:t>
      </w:r>
      <w:r w:rsidR="00124427" w:rsidRPr="00845AD8">
        <w:rPr>
          <w:rFonts w:ascii="Arial" w:eastAsia="Times New Roman" w:hAnsi="Arial" w:cs="Arial"/>
          <w:lang w:eastAsia="cs-CZ"/>
        </w:rPr>
        <w:t>%) a Biologické vědy (12</w:t>
      </w:r>
      <w:r w:rsidR="009B6940">
        <w:rPr>
          <w:rFonts w:ascii="Arial" w:eastAsia="Times New Roman" w:hAnsi="Arial" w:cs="Arial"/>
          <w:lang w:eastAsia="cs-CZ"/>
        </w:rPr>
        <w:t> </w:t>
      </w:r>
      <w:r w:rsidR="00124427" w:rsidRPr="00845AD8">
        <w:rPr>
          <w:rFonts w:ascii="Arial" w:eastAsia="Times New Roman" w:hAnsi="Arial" w:cs="Arial"/>
          <w:lang w:eastAsia="cs-CZ"/>
        </w:rPr>
        <w:t>%). Následují Lékařské vědy (10,7</w:t>
      </w:r>
      <w:r w:rsidR="009B6940">
        <w:rPr>
          <w:rFonts w:ascii="Arial" w:eastAsia="Times New Roman" w:hAnsi="Arial" w:cs="Arial"/>
          <w:lang w:eastAsia="cs-CZ"/>
        </w:rPr>
        <w:t> </w:t>
      </w:r>
      <w:r w:rsidR="00124427" w:rsidRPr="00845AD8">
        <w:rPr>
          <w:rFonts w:ascii="Arial" w:eastAsia="Times New Roman" w:hAnsi="Arial" w:cs="Arial"/>
          <w:lang w:eastAsia="cs-CZ"/>
        </w:rPr>
        <w:t>%)</w:t>
      </w:r>
      <w:r w:rsidR="009B6940">
        <w:rPr>
          <w:rFonts w:ascii="Arial" w:eastAsia="Times New Roman" w:hAnsi="Arial" w:cs="Arial"/>
          <w:lang w:eastAsia="cs-CZ"/>
        </w:rPr>
        <w:t>,</w:t>
      </w:r>
      <w:r w:rsidR="00124427" w:rsidRPr="00845AD8">
        <w:rPr>
          <w:rFonts w:ascii="Arial" w:eastAsia="Times New Roman" w:hAnsi="Arial" w:cs="Arial"/>
          <w:lang w:eastAsia="cs-CZ"/>
        </w:rPr>
        <w:t xml:space="preserve"> Vědy o Zemi a</w:t>
      </w:r>
      <w:r w:rsidR="00CD5F7C">
        <w:rPr>
          <w:rFonts w:ascii="Arial" w:eastAsia="Times New Roman" w:hAnsi="Arial" w:cs="Arial"/>
          <w:lang w:eastAsia="cs-CZ"/>
        </w:rPr>
        <w:t> </w:t>
      </w:r>
      <w:r w:rsidR="00124427" w:rsidRPr="00845AD8">
        <w:rPr>
          <w:rFonts w:ascii="Arial" w:eastAsia="Times New Roman" w:hAnsi="Arial" w:cs="Arial"/>
          <w:lang w:eastAsia="cs-CZ"/>
        </w:rPr>
        <w:t>Zemědělské vědy (celkem 10</w:t>
      </w:r>
      <w:r w:rsidR="009B6940">
        <w:rPr>
          <w:rFonts w:ascii="Arial" w:eastAsia="Times New Roman" w:hAnsi="Arial" w:cs="Arial"/>
          <w:lang w:eastAsia="cs-CZ"/>
        </w:rPr>
        <w:t> </w:t>
      </w:r>
      <w:r w:rsidR="00124427" w:rsidRPr="00845AD8">
        <w:rPr>
          <w:rFonts w:ascii="Arial" w:eastAsia="Times New Roman" w:hAnsi="Arial" w:cs="Arial"/>
          <w:lang w:eastAsia="cs-CZ"/>
        </w:rPr>
        <w:t xml:space="preserve">%). Technické vědy s informatikou a matematikou </w:t>
      </w:r>
      <w:r w:rsidR="009B6940">
        <w:rPr>
          <w:rFonts w:ascii="Arial" w:eastAsia="Times New Roman" w:hAnsi="Arial" w:cs="Arial"/>
          <w:lang w:eastAsia="cs-CZ"/>
        </w:rPr>
        <w:t>mají alokováno</w:t>
      </w:r>
      <w:r w:rsidR="00124427" w:rsidRPr="00845AD8">
        <w:rPr>
          <w:rFonts w:ascii="Arial" w:eastAsia="Times New Roman" w:hAnsi="Arial" w:cs="Arial"/>
          <w:lang w:eastAsia="cs-CZ"/>
        </w:rPr>
        <w:t xml:space="preserve"> přes 20</w:t>
      </w:r>
      <w:r w:rsidR="009B6940">
        <w:rPr>
          <w:rFonts w:ascii="Arial" w:eastAsia="Times New Roman" w:hAnsi="Arial" w:cs="Arial"/>
          <w:lang w:eastAsia="cs-CZ"/>
        </w:rPr>
        <w:t> </w:t>
      </w:r>
      <w:r w:rsidR="00124427" w:rsidRPr="00845AD8">
        <w:rPr>
          <w:rFonts w:ascii="Arial" w:eastAsia="Times New Roman" w:hAnsi="Arial" w:cs="Arial"/>
          <w:lang w:eastAsia="cs-CZ"/>
        </w:rPr>
        <w:t>%</w:t>
      </w:r>
      <w:r w:rsidR="009B6940">
        <w:rPr>
          <w:rFonts w:ascii="Arial" w:eastAsia="Times New Roman" w:hAnsi="Arial" w:cs="Arial"/>
          <w:lang w:eastAsia="cs-CZ"/>
        </w:rPr>
        <w:t xml:space="preserve"> bodů (I</w:t>
      </w:r>
      <w:r w:rsidR="00124427" w:rsidRPr="00845AD8">
        <w:rPr>
          <w:rFonts w:ascii="Arial" w:eastAsia="Times New Roman" w:hAnsi="Arial" w:cs="Arial"/>
          <w:lang w:eastAsia="cs-CZ"/>
        </w:rPr>
        <w:t>nformatika byla původně přiřazena k Matematice, od roku 2013 je zahrnuta ve</w:t>
      </w:r>
      <w:r w:rsidR="00CD5F7C">
        <w:rPr>
          <w:rFonts w:ascii="Arial" w:eastAsia="Times New Roman" w:hAnsi="Arial" w:cs="Arial"/>
          <w:lang w:eastAsia="cs-CZ"/>
        </w:rPr>
        <w:t> </w:t>
      </w:r>
      <w:r w:rsidR="00124427" w:rsidRPr="00845AD8">
        <w:rPr>
          <w:rFonts w:ascii="Arial" w:eastAsia="Times New Roman" w:hAnsi="Arial" w:cs="Arial"/>
          <w:lang w:eastAsia="cs-CZ"/>
        </w:rPr>
        <w:t>skupině oborů spolu s Technickými vědami). Zbývajících 15</w:t>
      </w:r>
      <w:r w:rsidR="009B6940">
        <w:rPr>
          <w:rFonts w:ascii="Arial" w:eastAsia="Times New Roman" w:hAnsi="Arial" w:cs="Arial"/>
          <w:lang w:eastAsia="cs-CZ"/>
        </w:rPr>
        <w:t> </w:t>
      </w:r>
      <w:r w:rsidR="00124427" w:rsidRPr="00845AD8">
        <w:rPr>
          <w:rFonts w:ascii="Arial" w:eastAsia="Times New Roman" w:hAnsi="Arial" w:cs="Arial"/>
          <w:lang w:eastAsia="cs-CZ"/>
        </w:rPr>
        <w:t>% je alokováno na Společenské a</w:t>
      </w:r>
      <w:r w:rsidR="00CD5F7C">
        <w:rPr>
          <w:rFonts w:ascii="Arial" w:eastAsia="Times New Roman" w:hAnsi="Arial" w:cs="Arial"/>
          <w:lang w:eastAsia="cs-CZ"/>
        </w:rPr>
        <w:t> </w:t>
      </w:r>
      <w:r w:rsidR="00124427" w:rsidRPr="00845AD8">
        <w:rPr>
          <w:rFonts w:ascii="Arial" w:eastAsia="Times New Roman" w:hAnsi="Arial" w:cs="Arial"/>
          <w:lang w:eastAsia="cs-CZ"/>
        </w:rPr>
        <w:t>humanitní vědy.</w:t>
      </w:r>
      <w:r>
        <w:rPr>
          <w:rFonts w:ascii="Arial" w:hAnsi="Arial" w:cs="Arial"/>
        </w:rPr>
        <w:t xml:space="preserve"> </w:t>
      </w:r>
      <w:r w:rsidR="00124427">
        <w:rPr>
          <w:rFonts w:ascii="Arial" w:hAnsi="Arial" w:cs="Arial"/>
        </w:rPr>
        <w:t xml:space="preserve">Uvedené alokace jsou však prováděny na úrovni poskytovatelů, kteří je dále stejným mechanismem rozdělí subjektům (s výjimkou AV ČR, která využívá jiný způsob hodnocení). Není jednoznačně zřejmé, jakým způsobem jsou přidělené prostředky dále přerozdělovány v rámci organizační struktury subjektů (např. jednotlivým fakultám a ústavům vysokých škol). </w:t>
      </w:r>
      <w:r w:rsidR="009B6940">
        <w:rPr>
          <w:rFonts w:ascii="Arial" w:hAnsi="Arial" w:cs="Arial"/>
        </w:rPr>
        <w:t>Bodová alokace tudíž nemusí odpovídat skutečné podpoře oborovým skupinám.</w:t>
      </w:r>
      <w:r w:rsidR="009B6940" w:rsidRPr="009B6940">
        <w:rPr>
          <w:rFonts w:ascii="Arial" w:eastAsia="Times New Roman" w:hAnsi="Arial" w:cs="Arial"/>
          <w:lang w:eastAsia="cs-CZ"/>
        </w:rPr>
        <w:t xml:space="preserve"> </w:t>
      </w:r>
      <w:r w:rsidR="009B6940">
        <w:rPr>
          <w:rFonts w:ascii="Arial" w:eastAsia="Times New Roman" w:hAnsi="Arial" w:cs="Arial"/>
          <w:lang w:eastAsia="cs-CZ"/>
        </w:rPr>
        <w:t>Rovněž není známa distribuce prostředků jednotlivým oborům v rámci oborových skupin. Navíc o</w:t>
      </w:r>
      <w:r w:rsidR="009B6940" w:rsidRPr="00845AD8">
        <w:rPr>
          <w:rFonts w:ascii="Arial" w:eastAsia="Times New Roman" w:hAnsi="Arial" w:cs="Arial"/>
          <w:lang w:eastAsia="cs-CZ"/>
        </w:rPr>
        <w:t xml:space="preserve">borové skupiny definované pro účely hodnocení nekorespondují s oborovými skupinami pro účely evidence </w:t>
      </w:r>
      <w:r w:rsidR="009B6940">
        <w:rPr>
          <w:rFonts w:ascii="Arial" w:eastAsia="Times New Roman" w:hAnsi="Arial" w:cs="Arial"/>
          <w:lang w:eastAsia="cs-CZ"/>
        </w:rPr>
        <w:t xml:space="preserve">výsledků </w:t>
      </w:r>
      <w:r w:rsidR="009B6940" w:rsidRPr="00845AD8">
        <w:rPr>
          <w:rFonts w:ascii="Arial" w:eastAsia="Times New Roman" w:hAnsi="Arial" w:cs="Arial"/>
          <w:lang w:eastAsia="cs-CZ"/>
        </w:rPr>
        <w:t>v IS VaVaI</w:t>
      </w:r>
      <w:r w:rsidR="009B6940">
        <w:rPr>
          <w:rFonts w:ascii="Arial" w:eastAsia="Times New Roman" w:hAnsi="Arial" w:cs="Arial"/>
          <w:lang w:eastAsia="cs-CZ"/>
        </w:rPr>
        <w:t>.</w:t>
      </w:r>
    </w:p>
    <w:p w:rsidR="005F2F7D" w:rsidRPr="009A04A4" w:rsidRDefault="00124427" w:rsidP="009A04A4">
      <w:pPr>
        <w:spacing w:after="0" w:line="360" w:lineRule="auto"/>
        <w:ind w:firstLine="709"/>
        <w:jc w:val="both"/>
        <w:rPr>
          <w:rFonts w:ascii="Arial" w:hAnsi="Arial" w:cs="Arial"/>
        </w:rPr>
      </w:pPr>
      <w:r>
        <w:rPr>
          <w:rFonts w:ascii="Arial" w:hAnsi="Arial" w:cs="Arial"/>
        </w:rPr>
        <w:t xml:space="preserve">Přesnější oborové porovnání umožňuje </w:t>
      </w:r>
      <w:r w:rsidR="009B6940">
        <w:rPr>
          <w:rFonts w:ascii="Arial" w:hAnsi="Arial" w:cs="Arial"/>
        </w:rPr>
        <w:t xml:space="preserve">distribuce </w:t>
      </w:r>
      <w:r>
        <w:rPr>
          <w:rFonts w:ascii="Arial" w:hAnsi="Arial" w:cs="Arial"/>
        </w:rPr>
        <w:t>účelov</w:t>
      </w:r>
      <w:r w:rsidR="009B6940">
        <w:rPr>
          <w:rFonts w:ascii="Arial" w:hAnsi="Arial" w:cs="Arial"/>
        </w:rPr>
        <w:t>é</w:t>
      </w:r>
      <w:r>
        <w:rPr>
          <w:rFonts w:ascii="Arial" w:hAnsi="Arial" w:cs="Arial"/>
        </w:rPr>
        <w:t xml:space="preserve"> podpor</w:t>
      </w:r>
      <w:r w:rsidR="009B6940">
        <w:rPr>
          <w:rFonts w:ascii="Arial" w:hAnsi="Arial" w:cs="Arial"/>
        </w:rPr>
        <w:t>y</w:t>
      </w:r>
      <w:r>
        <w:rPr>
          <w:rFonts w:ascii="Arial" w:hAnsi="Arial" w:cs="Arial"/>
        </w:rPr>
        <w:t xml:space="preserve"> </w:t>
      </w:r>
      <w:r w:rsidRPr="00C841A9">
        <w:rPr>
          <w:rFonts w:ascii="Arial" w:hAnsi="Arial" w:cs="Arial"/>
        </w:rPr>
        <w:t xml:space="preserve">(viz </w:t>
      </w:r>
      <w:r>
        <w:rPr>
          <w:rFonts w:ascii="Arial" w:hAnsi="Arial" w:cs="Arial"/>
        </w:rPr>
        <w:t>o</w:t>
      </w:r>
      <w:r w:rsidRPr="00C841A9">
        <w:rPr>
          <w:rFonts w:ascii="Arial" w:hAnsi="Arial" w:cs="Arial"/>
        </w:rPr>
        <w:t>br</w:t>
      </w:r>
      <w:r>
        <w:rPr>
          <w:rFonts w:ascii="Arial" w:hAnsi="Arial" w:cs="Arial"/>
        </w:rPr>
        <w:t>ázek</w:t>
      </w:r>
      <w:r w:rsidRPr="00C841A9">
        <w:rPr>
          <w:rFonts w:ascii="Arial" w:hAnsi="Arial" w:cs="Arial"/>
        </w:rPr>
        <w:t xml:space="preserve"> 2.4</w:t>
      </w:r>
      <w:r w:rsidRPr="00FC6C7A">
        <w:rPr>
          <w:rFonts w:ascii="Arial" w:hAnsi="Arial" w:cs="Arial"/>
        </w:rPr>
        <w:t xml:space="preserve"> v kapitole 2 - Financování VaVaI ze státního rozpočtu)</w:t>
      </w:r>
      <w:r>
        <w:rPr>
          <w:rFonts w:ascii="Arial" w:hAnsi="Arial" w:cs="Arial"/>
        </w:rPr>
        <w:t xml:space="preserve">. </w:t>
      </w:r>
      <w:r w:rsidR="005F2F7D" w:rsidRPr="00C841A9">
        <w:rPr>
          <w:rFonts w:ascii="Arial" w:hAnsi="Arial" w:cs="Arial"/>
        </w:rPr>
        <w:t>Počty výsledků v Zemědělských vědách jsou srovnatelné s </w:t>
      </w:r>
      <w:proofErr w:type="spellStart"/>
      <w:r w:rsidR="005F2F7D" w:rsidRPr="00C841A9">
        <w:rPr>
          <w:rFonts w:ascii="Arial" w:hAnsi="Arial" w:cs="Arial"/>
        </w:rPr>
        <w:t>Biovědami</w:t>
      </w:r>
      <w:proofErr w:type="spellEnd"/>
      <w:r w:rsidR="005F2F7D" w:rsidRPr="00C841A9">
        <w:rPr>
          <w:rFonts w:ascii="Arial" w:hAnsi="Arial" w:cs="Arial"/>
        </w:rPr>
        <w:t>, Chemií a Vědami o zemi, přičemž účelová finanční podpora výzkumu a vývoje se v těchto skupinách oborů zásadně liší. V </w:t>
      </w:r>
      <w:proofErr w:type="spellStart"/>
      <w:r w:rsidR="005F2F7D" w:rsidRPr="00C841A9">
        <w:rPr>
          <w:rFonts w:ascii="Arial" w:hAnsi="Arial" w:cs="Arial"/>
        </w:rPr>
        <w:t>Biovědách</w:t>
      </w:r>
      <w:proofErr w:type="spellEnd"/>
      <w:r w:rsidR="005F2F7D" w:rsidRPr="00C841A9">
        <w:rPr>
          <w:rFonts w:ascii="Arial" w:hAnsi="Arial" w:cs="Arial"/>
        </w:rPr>
        <w:t xml:space="preserve"> a Chemii činí zhruba dvojnásobek podpory Zemědělských věd, ve Vědách o zemi je vyšší téměř o polovinu</w:t>
      </w:r>
      <w:r w:rsidR="005F2F7D" w:rsidRPr="00FC6C7A">
        <w:rPr>
          <w:rFonts w:ascii="Arial" w:hAnsi="Arial" w:cs="Arial"/>
        </w:rPr>
        <w:t>.</w:t>
      </w:r>
    </w:p>
    <w:p w:rsidR="005F2F7D" w:rsidRPr="009A04A4" w:rsidRDefault="005F2F7D" w:rsidP="009A04A4">
      <w:pPr>
        <w:spacing w:after="0" w:line="360" w:lineRule="auto"/>
        <w:ind w:firstLine="709"/>
        <w:jc w:val="both"/>
        <w:rPr>
          <w:rFonts w:ascii="Arial" w:hAnsi="Arial" w:cs="Arial"/>
        </w:rPr>
      </w:pPr>
      <w:r w:rsidRPr="009A04A4">
        <w:rPr>
          <w:rFonts w:ascii="Arial" w:hAnsi="Arial" w:cs="Arial"/>
        </w:rPr>
        <w:t>Podíl aplikovaných výsledků vůči publikačním ve všech skupinách oborů narostl, zůstává však i nadále nízký. V </w:t>
      </w:r>
      <w:r w:rsidRPr="00C841A9">
        <w:rPr>
          <w:rFonts w:ascii="Arial" w:hAnsi="Arial" w:cs="Arial"/>
        </w:rPr>
        <w:t>Průmyslových oborech je</w:t>
      </w:r>
      <w:r w:rsidRPr="009A04A4">
        <w:rPr>
          <w:rFonts w:ascii="Arial" w:hAnsi="Arial" w:cs="Arial"/>
        </w:rPr>
        <w:t xml:space="preserve"> podíl aplikovaných výsledků významnější, ani zde však nedosahuje 50 %. Z ostatních skupin oborů je relativně nejvyšší podíl aplikovaných výsledků ve Vědách o zemi (39 %) a v Zemědělských vědách (27 %), naopak téměř nulový je v Lékařských vědách, velmi nízký je rovněž v </w:t>
      </w:r>
      <w:proofErr w:type="spellStart"/>
      <w:r w:rsidRPr="009A04A4">
        <w:rPr>
          <w:rFonts w:ascii="Arial" w:hAnsi="Arial" w:cs="Arial"/>
        </w:rPr>
        <w:t>Biovědách</w:t>
      </w:r>
      <w:proofErr w:type="spellEnd"/>
      <w:r w:rsidRPr="009A04A4">
        <w:rPr>
          <w:rFonts w:ascii="Arial" w:hAnsi="Arial" w:cs="Arial"/>
        </w:rPr>
        <w:t>, v Informatice a v Chemických vědách (10 - 12 %).</w:t>
      </w:r>
    </w:p>
    <w:p w:rsidR="005F2F7D" w:rsidRPr="009A04A4" w:rsidRDefault="005F2F7D" w:rsidP="009A04A4">
      <w:pPr>
        <w:spacing w:after="0" w:line="360" w:lineRule="auto"/>
        <w:ind w:firstLine="709"/>
        <w:jc w:val="both"/>
        <w:rPr>
          <w:rFonts w:ascii="Arial" w:hAnsi="Arial" w:cs="Arial"/>
        </w:rPr>
      </w:pPr>
      <w:r w:rsidRPr="009A04A4">
        <w:rPr>
          <w:rFonts w:ascii="Arial" w:hAnsi="Arial" w:cs="Arial"/>
        </w:rPr>
        <w:t>Zajímavé je srovnání oborových skupin výsledků ve vztahu k druhu veřejné podpory (účelová nebo institucionální), které uvádí obr</w:t>
      </w:r>
      <w:r w:rsidR="00136E58">
        <w:rPr>
          <w:rFonts w:ascii="Arial" w:hAnsi="Arial" w:cs="Arial"/>
        </w:rPr>
        <w:t>ázek</w:t>
      </w:r>
      <w:r w:rsidRPr="009A04A4">
        <w:rPr>
          <w:rFonts w:ascii="Arial" w:hAnsi="Arial" w:cs="Arial"/>
        </w:rPr>
        <w:t xml:space="preserve"> 6.6. U publikačních výsledků ve všech skupinách oborů převažuje institucionální podpora nad účelovou. V případě Společenských a</w:t>
      </w:r>
      <w:r w:rsidR="00CD5F7C">
        <w:rPr>
          <w:rFonts w:ascii="Arial" w:hAnsi="Arial" w:cs="Arial"/>
        </w:rPr>
        <w:t> </w:t>
      </w:r>
      <w:r w:rsidRPr="009A04A4">
        <w:rPr>
          <w:rFonts w:ascii="Arial" w:hAnsi="Arial" w:cs="Arial"/>
        </w:rPr>
        <w:t xml:space="preserve">humanitních věd, které jsou z hlediska počtu výsledků nejvýznamnější, ale také u Lékařských </w:t>
      </w:r>
      <w:r w:rsidRPr="009A04A4">
        <w:rPr>
          <w:rFonts w:ascii="Arial" w:hAnsi="Arial" w:cs="Arial"/>
        </w:rPr>
        <w:lastRenderedPageBreak/>
        <w:t xml:space="preserve">věd, je tato převaha nejmarkantnější, navíc v čase narůstá. Pro většinu oborů platí, že podíl účelové podpory na aplikovaných výsledcích převyšuje význam stejné podpory na publikačních výsledcích. Výjimku tvoří Informatika a Vědy o zemi, kde je podíl účelové podpory u obou skupin výsledků srovnatelný na úrovni blízké 50 %. Z časového hlediska je navíc u většiny oborů patrný nárůst významu účelové podpory pro tvorbu aplikovaných výsledků. </w:t>
      </w:r>
      <w:r w:rsidRPr="00C841A9">
        <w:rPr>
          <w:rFonts w:ascii="Arial" w:hAnsi="Arial" w:cs="Arial"/>
        </w:rPr>
        <w:t>U Společenských a</w:t>
      </w:r>
      <w:r w:rsidR="00CD5F7C">
        <w:rPr>
          <w:rFonts w:ascii="Arial" w:hAnsi="Arial" w:cs="Arial"/>
        </w:rPr>
        <w:t> </w:t>
      </w:r>
      <w:r w:rsidRPr="00C841A9">
        <w:rPr>
          <w:rFonts w:ascii="Arial" w:hAnsi="Arial" w:cs="Arial"/>
        </w:rPr>
        <w:t>Humanitních věd</w:t>
      </w:r>
      <w:r w:rsidRPr="009A04A4">
        <w:rPr>
          <w:rFonts w:ascii="Arial" w:hAnsi="Arial" w:cs="Arial"/>
        </w:rPr>
        <w:t xml:space="preserve"> a lékařských věd, kde je rozdíl nejvýraznější (podíl publikací vzniklých s účelovou podporou je méně než čtvrtinový, zatímco nadpoloviční většina aplikovaných výsledků vznikla s účelovou podporou), však vzniká relativně nejmenší podíl aplikovaných výsledků. </w:t>
      </w:r>
      <w:r w:rsidRPr="00C841A9">
        <w:rPr>
          <w:rFonts w:ascii="Arial" w:hAnsi="Arial" w:cs="Arial"/>
        </w:rPr>
        <w:t>V Zemědělských a Průmyslových oborech</w:t>
      </w:r>
      <w:r w:rsidRPr="009A04A4">
        <w:rPr>
          <w:rFonts w:ascii="Arial" w:hAnsi="Arial" w:cs="Arial"/>
        </w:rPr>
        <w:t>, kde vzniká relativně nejvíce aplikovaných výsledků, je zmiňovaný rozdíl méně výrazný.</w:t>
      </w:r>
    </w:p>
    <w:p w:rsidR="005F2F7D" w:rsidRPr="009A04A4" w:rsidRDefault="005F2F7D" w:rsidP="009A04A4">
      <w:pPr>
        <w:spacing w:after="0" w:line="360" w:lineRule="auto"/>
        <w:ind w:firstLine="709"/>
        <w:jc w:val="both"/>
        <w:rPr>
          <w:rFonts w:ascii="Arial" w:hAnsi="Arial" w:cs="Arial"/>
        </w:rPr>
      </w:pPr>
      <w:r w:rsidRPr="009A04A4">
        <w:rPr>
          <w:rFonts w:ascii="Arial" w:hAnsi="Arial" w:cs="Arial"/>
        </w:rPr>
        <w:t>Uvedené informace potvrzují domněnku, že institucionální podpora vede spíše k tvorbě publikací, zatímco účelová podpora generuje s větší pravděpodobností aplikované výsledky, a to významněji v posledních letech. Není však známo, jakou měrou jsou aplikované výsledky využívány v praxi.</w:t>
      </w:r>
    </w:p>
    <w:p w:rsidR="005F2F7D" w:rsidRPr="009A04A4" w:rsidRDefault="005F2F7D" w:rsidP="009A04A4">
      <w:pPr>
        <w:spacing w:after="0" w:line="360" w:lineRule="auto"/>
        <w:ind w:firstLine="709"/>
        <w:jc w:val="both"/>
        <w:rPr>
          <w:rFonts w:ascii="Arial" w:hAnsi="Arial" w:cs="Arial"/>
        </w:rPr>
      </w:pPr>
      <w:r w:rsidRPr="009A04A4">
        <w:rPr>
          <w:rFonts w:ascii="Arial" w:hAnsi="Arial" w:cs="Arial"/>
        </w:rPr>
        <w:t>Z pohledu institucí/organizačních složek a jejich podílu na počtu výsledků v jednotlivých oborových skupinách vzniká největší počet výsledků na vysokých školách (obr</w:t>
      </w:r>
      <w:r w:rsidR="00136E58">
        <w:rPr>
          <w:rFonts w:ascii="Arial" w:hAnsi="Arial" w:cs="Arial"/>
        </w:rPr>
        <w:t>ázek</w:t>
      </w:r>
      <w:r w:rsidRPr="009A04A4">
        <w:rPr>
          <w:rFonts w:ascii="Arial" w:hAnsi="Arial" w:cs="Arial"/>
        </w:rPr>
        <w:t xml:space="preserve"> 6.7 a</w:t>
      </w:r>
      <w:r w:rsidR="00CD5F7C">
        <w:rPr>
          <w:rFonts w:ascii="Arial" w:hAnsi="Arial" w:cs="Arial"/>
        </w:rPr>
        <w:t> </w:t>
      </w:r>
      <w:r w:rsidRPr="009A04A4">
        <w:rPr>
          <w:rFonts w:ascii="Arial" w:hAnsi="Arial" w:cs="Arial"/>
        </w:rPr>
        <w:t>podrobněji příloha</w:t>
      </w:r>
      <w:r w:rsidR="00CD5F7C">
        <w:rPr>
          <w:rFonts w:ascii="Arial" w:hAnsi="Arial" w:cs="Arial"/>
        </w:rPr>
        <w:t xml:space="preserve"> č. 1</w:t>
      </w:r>
      <w:r w:rsidRPr="009A04A4">
        <w:rPr>
          <w:rStyle w:val="Znakapoznpodarou"/>
          <w:rFonts w:ascii="Arial" w:hAnsi="Arial" w:cs="Arial"/>
        </w:rPr>
        <w:footnoteReference w:id="23"/>
      </w:r>
      <w:r w:rsidRPr="009A04A4">
        <w:rPr>
          <w:rFonts w:ascii="Arial" w:hAnsi="Arial" w:cs="Arial"/>
        </w:rPr>
        <w:t xml:space="preserve">), a to zejména technického a přírodovědného zaměření (s výjimkou Společenských a humanitních věd, kde převládá publikační tvorba </w:t>
      </w:r>
      <w:r w:rsidRPr="00C841A9">
        <w:rPr>
          <w:rFonts w:ascii="Arial" w:hAnsi="Arial" w:cs="Arial"/>
        </w:rPr>
        <w:t>Filo</w:t>
      </w:r>
      <w:r w:rsidR="00C841A9" w:rsidRPr="00C841A9">
        <w:rPr>
          <w:rFonts w:ascii="Arial" w:hAnsi="Arial" w:cs="Arial"/>
        </w:rPr>
        <w:t>z</w:t>
      </w:r>
      <w:r w:rsidRPr="00C841A9">
        <w:rPr>
          <w:rFonts w:ascii="Arial" w:hAnsi="Arial" w:cs="Arial"/>
        </w:rPr>
        <w:t>ofické</w:t>
      </w:r>
      <w:r w:rsidRPr="009A04A4">
        <w:rPr>
          <w:rFonts w:ascii="Arial" w:hAnsi="Arial" w:cs="Arial"/>
        </w:rPr>
        <w:t xml:space="preserve"> fakulty Univerzity Karlovy). Níže uvedené skutečnosti, interpretující obr</w:t>
      </w:r>
      <w:r w:rsidR="00136E58">
        <w:rPr>
          <w:rFonts w:ascii="Arial" w:hAnsi="Arial" w:cs="Arial"/>
        </w:rPr>
        <w:t>ázek</w:t>
      </w:r>
      <w:r w:rsidRPr="009A04A4">
        <w:rPr>
          <w:rFonts w:ascii="Arial" w:hAnsi="Arial" w:cs="Arial"/>
        </w:rPr>
        <w:t xml:space="preserve"> 6.7 a obrázky v</w:t>
      </w:r>
      <w:r w:rsidR="00CD5F7C">
        <w:rPr>
          <w:rFonts w:ascii="Arial" w:hAnsi="Arial" w:cs="Arial"/>
        </w:rPr>
        <w:t> </w:t>
      </w:r>
      <w:r w:rsidRPr="009A04A4">
        <w:rPr>
          <w:rFonts w:ascii="Arial" w:hAnsi="Arial" w:cs="Arial"/>
        </w:rPr>
        <w:t>příloze</w:t>
      </w:r>
      <w:r w:rsidR="00CD5F7C">
        <w:rPr>
          <w:rFonts w:ascii="Arial" w:hAnsi="Arial" w:cs="Arial"/>
        </w:rPr>
        <w:t xml:space="preserve"> č. 1</w:t>
      </w:r>
      <w:r w:rsidRPr="009A04A4">
        <w:rPr>
          <w:rFonts w:ascii="Arial" w:hAnsi="Arial" w:cs="Arial"/>
        </w:rPr>
        <w:t>, se týkají pouze počtu výsledků, není brána v potaz jejich kvalita. Souvisí proto spíše s velikostí institucí (např. s počtem výzkumníků a jejich oborovou příslušností – viz kap</w:t>
      </w:r>
      <w:r w:rsidR="00136E58">
        <w:rPr>
          <w:rFonts w:ascii="Arial" w:hAnsi="Arial" w:cs="Arial"/>
        </w:rPr>
        <w:t>itola</w:t>
      </w:r>
      <w:r w:rsidR="00CD5F7C">
        <w:rPr>
          <w:rFonts w:ascii="Arial" w:hAnsi="Arial" w:cs="Arial"/>
        </w:rPr>
        <w:t xml:space="preserve"> 4 – Lidské zdroje ve </w:t>
      </w:r>
      <w:r w:rsidRPr="009A04A4">
        <w:rPr>
          <w:rFonts w:ascii="Arial" w:hAnsi="Arial" w:cs="Arial"/>
        </w:rPr>
        <w:t>výzkumu a vývoji, obr</w:t>
      </w:r>
      <w:r w:rsidR="00136E58">
        <w:rPr>
          <w:rFonts w:ascii="Arial" w:hAnsi="Arial" w:cs="Arial"/>
        </w:rPr>
        <w:t>ázek</w:t>
      </w:r>
      <w:r w:rsidRPr="009A04A4">
        <w:rPr>
          <w:rFonts w:ascii="Arial" w:hAnsi="Arial" w:cs="Arial"/>
        </w:rPr>
        <w:t xml:space="preserve"> 4.4) a s výší veřejné podpory (kap</w:t>
      </w:r>
      <w:r w:rsidR="00136E58">
        <w:rPr>
          <w:rFonts w:ascii="Arial" w:hAnsi="Arial" w:cs="Arial"/>
        </w:rPr>
        <w:t>itola</w:t>
      </w:r>
      <w:r w:rsidR="00136E58" w:rsidRPr="009A04A4">
        <w:rPr>
          <w:rFonts w:ascii="Arial" w:hAnsi="Arial" w:cs="Arial"/>
        </w:rPr>
        <w:t xml:space="preserve"> </w:t>
      </w:r>
      <w:r w:rsidRPr="009A04A4">
        <w:rPr>
          <w:rFonts w:ascii="Arial" w:hAnsi="Arial" w:cs="Arial"/>
        </w:rPr>
        <w:t>2 – financování VaVaI ze</w:t>
      </w:r>
      <w:r w:rsidR="00733FB3">
        <w:rPr>
          <w:rFonts w:ascii="Arial" w:hAnsi="Arial" w:cs="Arial"/>
        </w:rPr>
        <w:t> </w:t>
      </w:r>
      <w:r w:rsidRPr="009A04A4">
        <w:rPr>
          <w:rFonts w:ascii="Arial" w:hAnsi="Arial" w:cs="Arial"/>
        </w:rPr>
        <w:t>státního rozpočtu, obr</w:t>
      </w:r>
      <w:r w:rsidR="00136E58">
        <w:rPr>
          <w:rFonts w:ascii="Arial" w:hAnsi="Arial" w:cs="Arial"/>
        </w:rPr>
        <w:t>ázky</w:t>
      </w:r>
      <w:r w:rsidRPr="009A04A4">
        <w:rPr>
          <w:rFonts w:ascii="Arial" w:hAnsi="Arial" w:cs="Arial"/>
        </w:rPr>
        <w:t xml:space="preserve"> 2.2 a 2.3), nikoliv s jejich reálnou výzkumnou a vývojovou výkonností. </w:t>
      </w:r>
      <w:r w:rsidRPr="00C841A9">
        <w:rPr>
          <w:rFonts w:ascii="Arial" w:hAnsi="Arial" w:cs="Arial"/>
        </w:rPr>
        <w:t xml:space="preserve">Fakulta </w:t>
      </w:r>
      <w:r w:rsidR="00C841A9" w:rsidRPr="00C841A9">
        <w:rPr>
          <w:rFonts w:ascii="Arial" w:hAnsi="Arial" w:cs="Arial"/>
        </w:rPr>
        <w:t>s</w:t>
      </w:r>
      <w:r w:rsidRPr="00C841A9">
        <w:rPr>
          <w:rFonts w:ascii="Arial" w:hAnsi="Arial" w:cs="Arial"/>
        </w:rPr>
        <w:t>trojní Českého vysokého učení technického</w:t>
      </w:r>
      <w:r w:rsidRPr="009A04A4">
        <w:rPr>
          <w:rFonts w:ascii="Arial" w:hAnsi="Arial" w:cs="Arial"/>
        </w:rPr>
        <w:t xml:space="preserve"> produkuje celkově nejvyšší počet aplikovaných výsledků a zároveň je nebo v minulosti byla jedním ze tří nejvýznamnějších tvůrců z hlediska počtu aplikovaných výsledků v průmyslových oborech, ale také ve </w:t>
      </w:r>
      <w:r w:rsidRPr="00845AD8">
        <w:rPr>
          <w:rFonts w:ascii="Arial" w:hAnsi="Arial" w:cs="Arial"/>
        </w:rPr>
        <w:t>Fyzice a matematice a v Lékařských vědách. Fakulta stavební Českého vysokého učení v Praze patří mezi instituce produkující nejvíce publikačních i aplikovaných výsledků v Průmyslových vědách. V Chemických vědách vytváří nejvíce publikačních výsledků Fakulta chemicko-technologická Univerzity Pardubice. Ve vědách o Zemi je největším producentem publikačních výsledků Přírodovědecká Fakulta Univerzity Karlovy (vytváří také nejvíce publikací v </w:t>
      </w:r>
      <w:proofErr w:type="spellStart"/>
      <w:r w:rsidRPr="00845AD8">
        <w:rPr>
          <w:rFonts w:ascii="Arial" w:hAnsi="Arial" w:cs="Arial"/>
        </w:rPr>
        <w:t>Biovědách</w:t>
      </w:r>
      <w:proofErr w:type="spellEnd"/>
      <w:r w:rsidRPr="00845AD8">
        <w:rPr>
          <w:rFonts w:ascii="Arial" w:hAnsi="Arial" w:cs="Arial"/>
        </w:rPr>
        <w:t>), aplikované výsledky v tomto oboru</w:t>
      </w:r>
      <w:r w:rsidRPr="009A04A4">
        <w:rPr>
          <w:rFonts w:ascii="Arial" w:hAnsi="Arial" w:cs="Arial"/>
        </w:rPr>
        <w:t xml:space="preserve"> však produkuje zejména Česká geologická služba. Nejvíce výsledků ve</w:t>
      </w:r>
      <w:r w:rsidR="00CD5F7C">
        <w:rPr>
          <w:rFonts w:ascii="Arial" w:hAnsi="Arial" w:cs="Arial"/>
        </w:rPr>
        <w:t> </w:t>
      </w:r>
      <w:r w:rsidRPr="009A04A4">
        <w:rPr>
          <w:rFonts w:ascii="Arial" w:hAnsi="Arial" w:cs="Arial"/>
        </w:rPr>
        <w:t xml:space="preserve">Společenských a humanitních vědách produkuje </w:t>
      </w:r>
      <w:r w:rsidRPr="00C841A9">
        <w:rPr>
          <w:rFonts w:ascii="Arial" w:hAnsi="Arial" w:cs="Arial"/>
        </w:rPr>
        <w:t>Filo</w:t>
      </w:r>
      <w:r w:rsidR="00C841A9">
        <w:rPr>
          <w:rFonts w:ascii="Arial" w:hAnsi="Arial" w:cs="Arial"/>
        </w:rPr>
        <w:t>z</w:t>
      </w:r>
      <w:r w:rsidRPr="00C841A9">
        <w:rPr>
          <w:rFonts w:ascii="Arial" w:hAnsi="Arial" w:cs="Arial"/>
        </w:rPr>
        <w:t>ofi</w:t>
      </w:r>
      <w:r w:rsidR="00613032" w:rsidRPr="00C841A9">
        <w:rPr>
          <w:rFonts w:ascii="Arial" w:hAnsi="Arial" w:cs="Arial"/>
        </w:rPr>
        <w:t>cká</w:t>
      </w:r>
      <w:r w:rsidR="00613032">
        <w:rPr>
          <w:rFonts w:ascii="Arial" w:hAnsi="Arial" w:cs="Arial"/>
        </w:rPr>
        <w:t xml:space="preserve"> fakulta Univerzity Karlovy.</w:t>
      </w:r>
    </w:p>
    <w:p w:rsidR="005F2F7D" w:rsidRDefault="005F2F7D" w:rsidP="005F2F7D">
      <w:pPr>
        <w:jc w:val="both"/>
        <w:sectPr w:rsidR="005F2F7D" w:rsidSect="00E540D1">
          <w:pgSz w:w="11906" w:h="16838"/>
          <w:pgMar w:top="1134" w:right="1134" w:bottom="1134" w:left="1134" w:header="708" w:footer="708" w:gutter="0"/>
          <w:cols w:space="708"/>
          <w:docGrid w:linePitch="360"/>
        </w:sectPr>
      </w:pPr>
    </w:p>
    <w:p w:rsidR="005F2F7D" w:rsidRDefault="005F2F7D" w:rsidP="009A04A4">
      <w:pPr>
        <w:pStyle w:val="Obrzek-nadpis"/>
      </w:pPr>
      <w:r w:rsidRPr="004C6397">
        <w:lastRenderedPageBreak/>
        <w:t>Obr.</w:t>
      </w:r>
      <w:r>
        <w:t xml:space="preserve"> 6.5:</w:t>
      </w:r>
      <w:r w:rsidRPr="004C6397">
        <w:t xml:space="preserve"> Tvorba publikačních a aplikovaných výsledků v ČR </w:t>
      </w:r>
      <w:r w:rsidRPr="00C841A9">
        <w:t>dle skupin vědních oborů</w:t>
      </w:r>
      <w:r w:rsidRPr="004C6397">
        <w:t xml:space="preserve"> a jejich změny v</w:t>
      </w:r>
      <w:r>
        <w:t> </w:t>
      </w:r>
      <w:r w:rsidRPr="004C6397">
        <w:t>čase</w:t>
      </w:r>
    </w:p>
    <w:p w:rsidR="005F2F7D" w:rsidRDefault="005F2F7D" w:rsidP="00D653B6">
      <w:pPr>
        <w:keepNext/>
        <w:jc w:val="center"/>
        <w:rPr>
          <w:b/>
        </w:rPr>
      </w:pPr>
      <w:r>
        <w:rPr>
          <w:b/>
          <w:noProof/>
          <w:lang w:eastAsia="cs-CZ"/>
        </w:rPr>
        <w:drawing>
          <wp:inline distT="0" distB="0" distL="0" distR="0" wp14:anchorId="43DACD90" wp14:editId="3C0CE2CE">
            <wp:extent cx="8892540" cy="2540635"/>
            <wp:effectExtent l="19050" t="19050" r="22860" b="12065"/>
            <wp:docPr id="53" name="Obráze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pn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8892540" cy="2540635"/>
                    </a:xfrm>
                    <a:prstGeom prst="rect">
                      <a:avLst/>
                    </a:prstGeom>
                    <a:ln>
                      <a:solidFill>
                        <a:schemeClr val="tx1"/>
                      </a:solidFill>
                    </a:ln>
                  </pic:spPr>
                </pic:pic>
              </a:graphicData>
            </a:graphic>
          </wp:inline>
        </w:drawing>
      </w:r>
    </w:p>
    <w:p w:rsidR="005F2F7D" w:rsidRDefault="009A04A4" w:rsidP="009A04A4">
      <w:pPr>
        <w:pStyle w:val="Zdroj"/>
      </w:pPr>
      <w:r>
        <w:t>Zdroj dat: IS VaVaI</w:t>
      </w:r>
    </w:p>
    <w:p w:rsidR="005F2F7D" w:rsidRPr="00F84158" w:rsidRDefault="005F2F7D" w:rsidP="009A04A4">
      <w:pPr>
        <w:pStyle w:val="komentzaobrzkem"/>
      </w:pPr>
      <w:r w:rsidRPr="00C841A9">
        <w:t>Počty výsledků za rok 2014 nejsou konečné, neboť v době zpracování nebyl dokončen proces verifikace a vyřazování výsledků</w:t>
      </w:r>
      <w:r w:rsidR="00C841A9">
        <w:t>.</w:t>
      </w:r>
      <w:r w:rsidRPr="00C841A9">
        <w:t xml:space="preserve"> Konečný počet výsledků bude pravděpodobně pouze mírně odlišný, v řádu jednotek %.</w:t>
      </w:r>
    </w:p>
    <w:p w:rsidR="005F2F7D" w:rsidRDefault="005F2F7D" w:rsidP="009A04A4">
      <w:pPr>
        <w:pStyle w:val="Obrzek-nadpis"/>
      </w:pPr>
      <w:r w:rsidRPr="00B36BCB">
        <w:lastRenderedPageBreak/>
        <w:t>Obr.</w:t>
      </w:r>
      <w:r>
        <w:t xml:space="preserve"> 6.6:</w:t>
      </w:r>
      <w:r w:rsidRPr="00B36BCB">
        <w:t xml:space="preserve"> Tvorba publikačních a aplikovaných výsledků v ČR ve vazbě na typ veřejné podpory – </w:t>
      </w:r>
      <w:r w:rsidRPr="00C841A9">
        <w:t>srovnání oborových skupin</w:t>
      </w:r>
      <w:r w:rsidRPr="00B36BCB">
        <w:t>.</w:t>
      </w:r>
    </w:p>
    <w:p w:rsidR="005F2F7D" w:rsidRDefault="005F2F7D" w:rsidP="00D653B6">
      <w:pPr>
        <w:keepNext/>
        <w:jc w:val="center"/>
      </w:pPr>
      <w:r>
        <w:rPr>
          <w:noProof/>
          <w:lang w:eastAsia="cs-CZ"/>
        </w:rPr>
        <w:drawing>
          <wp:inline distT="0" distB="0" distL="0" distR="0" wp14:anchorId="5565DC57" wp14:editId="3FC2D7D6">
            <wp:extent cx="8892540" cy="3270250"/>
            <wp:effectExtent l="19050" t="19050" r="22860" b="25400"/>
            <wp:docPr id="54" name="Obráze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2.pn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8892540" cy="3270250"/>
                    </a:xfrm>
                    <a:prstGeom prst="rect">
                      <a:avLst/>
                    </a:prstGeom>
                    <a:ln>
                      <a:solidFill>
                        <a:schemeClr val="tx1"/>
                      </a:solidFill>
                    </a:ln>
                  </pic:spPr>
                </pic:pic>
              </a:graphicData>
            </a:graphic>
          </wp:inline>
        </w:drawing>
      </w:r>
    </w:p>
    <w:p w:rsidR="005F2F7D" w:rsidRDefault="005F2F7D" w:rsidP="009A04A4">
      <w:pPr>
        <w:pStyle w:val="Zdroj"/>
      </w:pPr>
      <w:r>
        <w:t>Zdroj</w:t>
      </w:r>
      <w:r w:rsidR="009A04A4">
        <w:t xml:space="preserve"> dat: IS VaVaI</w:t>
      </w:r>
    </w:p>
    <w:p w:rsidR="005F2F7D" w:rsidRDefault="005F2F7D" w:rsidP="009A04A4">
      <w:pPr>
        <w:pStyle w:val="komentzaobrzkem"/>
      </w:pPr>
      <w:r w:rsidRPr="00C841A9">
        <w:t>Počty výsledků za rok 2014 nejsou konečné, neboť v době zpracování nebyl dokončen proces verifikace a vyřazování</w:t>
      </w:r>
      <w:r w:rsidR="00C841A9">
        <w:t>.</w:t>
      </w:r>
      <w:r w:rsidRPr="00C841A9">
        <w:t xml:space="preserve"> Konečný počet výsledků bude pravděpodobně pouze mírně odlišný, v řádu jednotek %.</w:t>
      </w:r>
    </w:p>
    <w:p w:rsidR="005F2F7D" w:rsidRDefault="005F2F7D" w:rsidP="009A04A4">
      <w:pPr>
        <w:pStyle w:val="komentzaobrzkem"/>
      </w:pPr>
      <w:r>
        <w:t>Velikost barevného pole odpovídá počtu výsledků vytvořených s daným typem podpory; Pokud byl výsledek vytvořen s institucionální a zároveň účelovou podporou, byl započítán dvakrát – obrázek tudíž zachycuje poměr obou druhů podpor, ale nikoliv přesný poměr aplikovaných výsledků vůči publikačn</w:t>
      </w:r>
      <w:r w:rsidR="009A04A4">
        <w:t>ím, který je uveden v obr</w:t>
      </w:r>
      <w:r w:rsidR="00136E58">
        <w:t>ázku</w:t>
      </w:r>
      <w:r w:rsidR="009A04A4">
        <w:t xml:space="preserve"> 6.5.</w:t>
      </w:r>
    </w:p>
    <w:p w:rsidR="005F2F7D" w:rsidRPr="00124698" w:rsidRDefault="005F2F7D" w:rsidP="009A04A4">
      <w:pPr>
        <w:pStyle w:val="Obrzek-nadpis"/>
      </w:pPr>
      <w:r w:rsidRPr="00B36BCB">
        <w:lastRenderedPageBreak/>
        <w:t>Obr.</w:t>
      </w:r>
      <w:r>
        <w:t xml:space="preserve"> 6.7:</w:t>
      </w:r>
      <w:r w:rsidRPr="00B36BCB">
        <w:t xml:space="preserve"> </w:t>
      </w:r>
      <w:r>
        <w:t xml:space="preserve">Nejvýznamnější instituce v ČR z hlediska počtů vytvořených výsledků </w:t>
      </w:r>
      <w:r w:rsidRPr="00C841A9">
        <w:t>v jednotlivých oborových skupinách</w:t>
      </w:r>
      <w:r>
        <w:t xml:space="preserve"> </w:t>
      </w:r>
    </w:p>
    <w:p w:rsidR="005F2F7D" w:rsidRDefault="005F2F7D" w:rsidP="00D653B6">
      <w:pPr>
        <w:jc w:val="center"/>
      </w:pPr>
      <w:r>
        <w:rPr>
          <w:noProof/>
          <w:lang w:eastAsia="cs-CZ"/>
        </w:rPr>
        <w:drawing>
          <wp:inline distT="0" distB="0" distL="0" distR="0" wp14:anchorId="265BF196" wp14:editId="304FD964">
            <wp:extent cx="8281394" cy="5400675"/>
            <wp:effectExtent l="0" t="0" r="5715" b="0"/>
            <wp:docPr id="56" name="Obráze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ysledky_top3_1_1.png"/>
                    <pic:cNvPicPr/>
                  </pic:nvPicPr>
                  <pic:blipFill>
                    <a:blip r:embed="rId52">
                      <a:extLst>
                        <a:ext uri="{28A0092B-C50C-407E-A947-70E740481C1C}">
                          <a14:useLocalDpi xmlns:a14="http://schemas.microsoft.com/office/drawing/2010/main" val="0"/>
                        </a:ext>
                      </a:extLst>
                    </a:blip>
                    <a:stretch>
                      <a:fillRect/>
                    </a:stretch>
                  </pic:blipFill>
                  <pic:spPr>
                    <a:xfrm>
                      <a:off x="0" y="0"/>
                      <a:ext cx="8297138" cy="5410942"/>
                    </a:xfrm>
                    <a:prstGeom prst="rect">
                      <a:avLst/>
                    </a:prstGeom>
                    <a:ln>
                      <a:noFill/>
                    </a:ln>
                  </pic:spPr>
                </pic:pic>
              </a:graphicData>
            </a:graphic>
          </wp:inline>
        </w:drawing>
      </w:r>
    </w:p>
    <w:p w:rsidR="005F2F7D" w:rsidRPr="008F7541" w:rsidRDefault="005F2F7D" w:rsidP="009A04A4">
      <w:pPr>
        <w:pStyle w:val="Zdroj"/>
      </w:pPr>
      <w:r w:rsidRPr="008F7541">
        <w:t>Zdroj dat: IS VaVaI</w:t>
      </w:r>
    </w:p>
    <w:p w:rsidR="005F2F7D" w:rsidRDefault="005F2F7D" w:rsidP="005F2F7D">
      <w:pPr>
        <w:jc w:val="both"/>
        <w:sectPr w:rsidR="005F2F7D" w:rsidSect="00E540D1">
          <w:pgSz w:w="16838" w:h="11906" w:orient="landscape"/>
          <w:pgMar w:top="1134" w:right="1134" w:bottom="1134" w:left="1134" w:header="708" w:footer="708" w:gutter="0"/>
          <w:cols w:space="708"/>
          <w:docGrid w:linePitch="360"/>
        </w:sectPr>
      </w:pPr>
    </w:p>
    <w:p w:rsidR="005F2F7D" w:rsidRPr="00071A9A" w:rsidRDefault="005F2F7D" w:rsidP="00D34BA2">
      <w:pPr>
        <w:pStyle w:val="Nadpis3"/>
      </w:pPr>
      <w:bookmarkStart w:id="13" w:name="_Toc427676903"/>
      <w:r w:rsidRPr="00071A9A">
        <w:lastRenderedPageBreak/>
        <w:t xml:space="preserve">6.3. Kvalita </w:t>
      </w:r>
      <w:r w:rsidRPr="00D34BA2">
        <w:t>výsledků</w:t>
      </w:r>
      <w:r w:rsidRPr="00071A9A">
        <w:t xml:space="preserve"> a jejich mezinárodní srovnání</w:t>
      </w:r>
      <w:bookmarkEnd w:id="13"/>
    </w:p>
    <w:p w:rsidR="005F2F7D" w:rsidRPr="009A04A4" w:rsidRDefault="005F2F7D" w:rsidP="009A04A4">
      <w:pPr>
        <w:spacing w:after="0" w:line="360" w:lineRule="auto"/>
        <w:ind w:firstLine="709"/>
        <w:jc w:val="both"/>
        <w:rPr>
          <w:rFonts w:ascii="Arial" w:hAnsi="Arial" w:cs="Arial"/>
        </w:rPr>
      </w:pPr>
      <w:r w:rsidRPr="009A04A4">
        <w:rPr>
          <w:rFonts w:ascii="Arial" w:hAnsi="Arial" w:cs="Arial"/>
        </w:rPr>
        <w:t>Z hlediska kvality vytvořených publikací je podstatné kromě sledování poměru jednotlivých druhů rovněž detailnější členění recenzovaných článků dle indexace ve světových databázích. IS</w:t>
      </w:r>
      <w:r w:rsidR="00CD5F7C">
        <w:rPr>
          <w:rFonts w:ascii="Arial" w:hAnsi="Arial" w:cs="Arial"/>
        </w:rPr>
        <w:t> </w:t>
      </w:r>
      <w:r w:rsidRPr="009A04A4">
        <w:rPr>
          <w:rFonts w:ascii="Arial" w:hAnsi="Arial" w:cs="Arial"/>
        </w:rPr>
        <w:t xml:space="preserve">VaVaI takové členění neumožňuje, neboť neobsahuje u recenzovaných článků informaci o tom, zda a ve které světově uznávané databázi (Web </w:t>
      </w:r>
      <w:proofErr w:type="spellStart"/>
      <w:r w:rsidRPr="009A04A4">
        <w:rPr>
          <w:rFonts w:ascii="Arial" w:hAnsi="Arial" w:cs="Arial"/>
        </w:rPr>
        <w:t>of</w:t>
      </w:r>
      <w:proofErr w:type="spellEnd"/>
      <w:r w:rsidRPr="009A04A4">
        <w:rPr>
          <w:rFonts w:ascii="Arial" w:hAnsi="Arial" w:cs="Arial"/>
        </w:rPr>
        <w:t xml:space="preserve"> Science, </w:t>
      </w:r>
      <w:proofErr w:type="spellStart"/>
      <w:r w:rsidRPr="009A04A4">
        <w:rPr>
          <w:rFonts w:ascii="Arial" w:hAnsi="Arial" w:cs="Arial"/>
        </w:rPr>
        <w:t>Scopus</w:t>
      </w:r>
      <w:proofErr w:type="spellEnd"/>
      <w:r w:rsidRPr="009A04A4">
        <w:rPr>
          <w:rFonts w:ascii="Arial" w:hAnsi="Arial" w:cs="Arial"/>
        </w:rPr>
        <w:t>, nebo ERIH v případě humanitních vědních oborů) se publikace nachází. Tuto informaci lze získat na základě procesu hodnocení výsledků výzkumných organizací. V </w:t>
      </w:r>
      <w:r w:rsidR="0026271A">
        <w:rPr>
          <w:rFonts w:ascii="Arial" w:hAnsi="Arial" w:cs="Arial"/>
        </w:rPr>
        <w:t>o</w:t>
      </w:r>
      <w:r w:rsidRPr="009A04A4">
        <w:rPr>
          <w:rFonts w:ascii="Arial" w:hAnsi="Arial" w:cs="Arial"/>
        </w:rPr>
        <w:t>br</w:t>
      </w:r>
      <w:r w:rsidR="00136E58">
        <w:rPr>
          <w:rFonts w:ascii="Arial" w:hAnsi="Arial" w:cs="Arial"/>
        </w:rPr>
        <w:t>ázku</w:t>
      </w:r>
      <w:r w:rsidRPr="009A04A4">
        <w:rPr>
          <w:rFonts w:ascii="Arial" w:hAnsi="Arial" w:cs="Arial"/>
        </w:rPr>
        <w:t xml:space="preserve"> 6.3 je uvedeno rozdělení na základě údajů z posledního dokončeného hodnocení z roku 2013, které obsahuje výsledky za roky 2008 – 2012. Největší počet vysoce ceněných článků indexovaných Web </w:t>
      </w:r>
      <w:proofErr w:type="spellStart"/>
      <w:r w:rsidRPr="009A04A4">
        <w:rPr>
          <w:rFonts w:ascii="Arial" w:hAnsi="Arial" w:cs="Arial"/>
        </w:rPr>
        <w:t>of</w:t>
      </w:r>
      <w:proofErr w:type="spellEnd"/>
      <w:r w:rsidRPr="009A04A4">
        <w:rPr>
          <w:rFonts w:ascii="Arial" w:hAnsi="Arial" w:cs="Arial"/>
        </w:rPr>
        <w:t xml:space="preserve"> Science vzniká na vysokých školách. Je to však dáno tím, že vysoké školy produkují celkově nejvíce recenzovaných článků (také zaměstnávají nejvíce výzkumných pracovníků). Pokud se však zaměříme na podíl publikací ve Web </w:t>
      </w:r>
      <w:proofErr w:type="spellStart"/>
      <w:r w:rsidRPr="009A04A4">
        <w:rPr>
          <w:rFonts w:ascii="Arial" w:hAnsi="Arial" w:cs="Arial"/>
        </w:rPr>
        <w:t>of</w:t>
      </w:r>
      <w:proofErr w:type="spellEnd"/>
      <w:r w:rsidRPr="009A04A4">
        <w:rPr>
          <w:rFonts w:ascii="Arial" w:hAnsi="Arial" w:cs="Arial"/>
        </w:rPr>
        <w:t xml:space="preserve"> Science na všech recenzovaných článcích vyprodukovaných danou skupinou subjektů, ústavy AV ČR výrazně převyšují vysoké školy (80 % článků ve </w:t>
      </w:r>
      <w:proofErr w:type="gramStart"/>
      <w:r w:rsidRPr="009A04A4">
        <w:rPr>
          <w:rFonts w:ascii="Arial" w:hAnsi="Arial" w:cs="Arial"/>
        </w:rPr>
        <w:t>Web</w:t>
      </w:r>
      <w:proofErr w:type="gramEnd"/>
      <w:r w:rsidRPr="009A04A4">
        <w:rPr>
          <w:rFonts w:ascii="Arial" w:hAnsi="Arial" w:cs="Arial"/>
        </w:rPr>
        <w:t xml:space="preserve"> </w:t>
      </w:r>
      <w:proofErr w:type="spellStart"/>
      <w:r w:rsidRPr="009A04A4">
        <w:rPr>
          <w:rFonts w:ascii="Arial" w:hAnsi="Arial" w:cs="Arial"/>
        </w:rPr>
        <w:t>of</w:t>
      </w:r>
      <w:proofErr w:type="spellEnd"/>
      <w:r w:rsidRPr="009A04A4">
        <w:rPr>
          <w:rFonts w:ascii="Arial" w:hAnsi="Arial" w:cs="Arial"/>
        </w:rPr>
        <w:t xml:space="preserve"> Science v případě ústavů AV ČR oproti 45 % u vysokých škol). U vysokých škol se, podobně jako u státních příspěvkových organizací a podnikatelských subjektů, ve významnějším počtu vyskytují publikace v českých recenzovaných periodikách a v databázi </w:t>
      </w:r>
      <w:proofErr w:type="spellStart"/>
      <w:r w:rsidRPr="00845AD8">
        <w:rPr>
          <w:rFonts w:ascii="Arial" w:hAnsi="Arial" w:cs="Arial"/>
        </w:rPr>
        <w:t>Scopus</w:t>
      </w:r>
      <w:proofErr w:type="spellEnd"/>
      <w:r w:rsidRPr="00845AD8">
        <w:rPr>
          <w:rFonts w:ascii="Arial" w:hAnsi="Arial" w:cs="Arial"/>
        </w:rPr>
        <w:t xml:space="preserve">. To může souviset se snahou těchto subjektů šířit výsledky výzkumu do praxe, neboť zejména české recenzované časopisy mohou být, podobně jako sborníky z konferencí, pro </w:t>
      </w:r>
      <w:r w:rsidR="00600503" w:rsidRPr="00845AD8">
        <w:rPr>
          <w:rFonts w:ascii="Arial" w:hAnsi="Arial" w:cs="Arial"/>
        </w:rPr>
        <w:t xml:space="preserve">domácí odborníky, veřejnost i </w:t>
      </w:r>
      <w:r w:rsidRPr="00845AD8">
        <w:rPr>
          <w:rFonts w:ascii="Arial" w:hAnsi="Arial" w:cs="Arial"/>
        </w:rPr>
        <w:t>výrobní praxi přístupnější a</w:t>
      </w:r>
      <w:r w:rsidR="00CD5F7C">
        <w:rPr>
          <w:rFonts w:ascii="Arial" w:hAnsi="Arial" w:cs="Arial"/>
        </w:rPr>
        <w:t> </w:t>
      </w:r>
      <w:r w:rsidRPr="00845AD8">
        <w:rPr>
          <w:rFonts w:ascii="Arial" w:hAnsi="Arial" w:cs="Arial"/>
        </w:rPr>
        <w:t>využívanější. Rovněž to však může indikovat snahu publikovat pouze dílčí nebo málo zajímavé výsledky výzkumu snazším způsobem, přičemž subjekty mohou být k takovému jednání motivován</w:t>
      </w:r>
      <w:r w:rsidR="002978DA" w:rsidRPr="00845AD8">
        <w:rPr>
          <w:rFonts w:ascii="Arial" w:hAnsi="Arial" w:cs="Arial"/>
        </w:rPr>
        <w:t>y</w:t>
      </w:r>
      <w:r w:rsidRPr="00845AD8">
        <w:rPr>
          <w:rFonts w:ascii="Arial" w:hAnsi="Arial" w:cs="Arial"/>
        </w:rPr>
        <w:t xml:space="preserve"> současným systémem hodnocení výzkumných organizací. K rozlišení toho, zda se jedná o efekt pozitivní (šíření poznatků do praxe), nebo negativní (publikovat za každou cenu) se</w:t>
      </w:r>
      <w:r w:rsidR="00CD5F7C">
        <w:rPr>
          <w:rFonts w:ascii="Arial" w:hAnsi="Arial" w:cs="Arial"/>
        </w:rPr>
        <w:t> </w:t>
      </w:r>
      <w:r w:rsidRPr="00845AD8">
        <w:rPr>
          <w:rFonts w:ascii="Arial" w:hAnsi="Arial" w:cs="Arial"/>
        </w:rPr>
        <w:t>všemi jeho důsledky (fragmentace poznatků do více publikací</w:t>
      </w:r>
      <w:r w:rsidRPr="009A04A4">
        <w:rPr>
          <w:rFonts w:ascii="Arial" w:hAnsi="Arial" w:cs="Arial"/>
        </w:rPr>
        <w:t xml:space="preserve"> s menším ohlasem, znemožnění získání ochrany duševního vlastnictví atd.), chybí informace o dalším využití publikací provozními subjekty.</w:t>
      </w:r>
    </w:p>
    <w:p w:rsidR="005F2F7D" w:rsidRPr="009A04A4" w:rsidRDefault="005F2F7D" w:rsidP="009A04A4">
      <w:pPr>
        <w:spacing w:after="0" w:line="360" w:lineRule="auto"/>
        <w:ind w:firstLine="709"/>
        <w:jc w:val="both"/>
        <w:rPr>
          <w:rFonts w:ascii="Arial" w:hAnsi="Arial" w:cs="Arial"/>
        </w:rPr>
      </w:pPr>
      <w:r w:rsidRPr="009A04A4">
        <w:rPr>
          <w:rFonts w:ascii="Arial" w:hAnsi="Arial" w:cs="Arial"/>
        </w:rPr>
        <w:t xml:space="preserve">Zaměříme-li se na kvalitu článků v periodikách Web </w:t>
      </w:r>
      <w:proofErr w:type="spellStart"/>
      <w:r w:rsidRPr="009A04A4">
        <w:rPr>
          <w:rFonts w:ascii="Arial" w:hAnsi="Arial" w:cs="Arial"/>
        </w:rPr>
        <w:t>of</w:t>
      </w:r>
      <w:proofErr w:type="spellEnd"/>
      <w:r w:rsidRPr="009A04A4">
        <w:rPr>
          <w:rFonts w:ascii="Arial" w:hAnsi="Arial" w:cs="Arial"/>
        </w:rPr>
        <w:t xml:space="preserve"> Science měřenou jejich citovaností v mezinárodním kontextu, i zde </w:t>
      </w:r>
      <w:r w:rsidR="0026271A">
        <w:rPr>
          <w:rFonts w:ascii="Arial" w:hAnsi="Arial" w:cs="Arial"/>
        </w:rPr>
        <w:t>v</w:t>
      </w:r>
      <w:r w:rsidRPr="009A04A4">
        <w:rPr>
          <w:rFonts w:ascii="Arial" w:hAnsi="Arial" w:cs="Arial"/>
        </w:rPr>
        <w:t>ykazuje ČR pozitivní trend. V některých oborech jsou české publikace nad světovým průměrem a počty kvalitních publikací meziročně rostou.</w:t>
      </w:r>
    </w:p>
    <w:p w:rsidR="005F2F7D" w:rsidRPr="009A04A4" w:rsidRDefault="005F2F7D" w:rsidP="009A04A4">
      <w:pPr>
        <w:spacing w:after="0" w:line="360" w:lineRule="auto"/>
        <w:ind w:firstLine="709"/>
        <w:jc w:val="both"/>
        <w:rPr>
          <w:rFonts w:ascii="Arial" w:hAnsi="Arial" w:cs="Arial"/>
        </w:rPr>
      </w:pPr>
      <w:r w:rsidRPr="009A04A4">
        <w:rPr>
          <w:rFonts w:ascii="Arial" w:hAnsi="Arial" w:cs="Arial"/>
        </w:rPr>
        <w:t>Obr</w:t>
      </w:r>
      <w:r w:rsidR="00136E58">
        <w:rPr>
          <w:rFonts w:ascii="Arial" w:hAnsi="Arial" w:cs="Arial"/>
        </w:rPr>
        <w:t>ázek</w:t>
      </w:r>
      <w:r w:rsidRPr="009A04A4">
        <w:rPr>
          <w:rFonts w:ascii="Arial" w:hAnsi="Arial" w:cs="Arial"/>
        </w:rPr>
        <w:t xml:space="preserve"> 6.8 uvádí změny v počtech článků českých autorů a spoluautorů v období 2009 – 2013 a zároveň jejich citační ohlas (</w:t>
      </w:r>
      <w:r w:rsidRPr="00C841A9">
        <w:rPr>
          <w:rFonts w:ascii="Arial" w:hAnsi="Arial" w:cs="Arial"/>
        </w:rPr>
        <w:t xml:space="preserve">stanovený v polovině roku 2015). K nejvýraznějšímu nárůstu počtu publikací ve Web </w:t>
      </w:r>
      <w:proofErr w:type="spellStart"/>
      <w:r w:rsidRPr="00C841A9">
        <w:rPr>
          <w:rFonts w:ascii="Arial" w:hAnsi="Arial" w:cs="Arial"/>
        </w:rPr>
        <w:t>of</w:t>
      </w:r>
      <w:proofErr w:type="spellEnd"/>
      <w:r w:rsidRPr="00C841A9">
        <w:rPr>
          <w:rFonts w:ascii="Arial" w:hAnsi="Arial" w:cs="Arial"/>
        </w:rPr>
        <w:t xml:space="preserve"> Science došlo ve Zdravotních vědách (nárůst o téměř 60 %), nárůst však vykazuje většina oborů (s výjimkou Ostatních zemědělských věd). Nejvýznamnějšími obory z hlediska počtu článků českých autorů ve Web </w:t>
      </w:r>
      <w:proofErr w:type="spellStart"/>
      <w:r w:rsidRPr="00C841A9">
        <w:rPr>
          <w:rFonts w:ascii="Arial" w:hAnsi="Arial" w:cs="Arial"/>
        </w:rPr>
        <w:t>of</w:t>
      </w:r>
      <w:proofErr w:type="spellEnd"/>
      <w:r w:rsidRPr="00C841A9">
        <w:rPr>
          <w:rFonts w:ascii="Arial" w:hAnsi="Arial" w:cs="Arial"/>
        </w:rPr>
        <w:t xml:space="preserve"> science jsou Biologické vědy, Chemické vědy, Fyzikální vědy a astronomie a Klinická medicína. V</w:t>
      </w:r>
      <w:r w:rsidRPr="009A04A4">
        <w:rPr>
          <w:rFonts w:ascii="Arial" w:hAnsi="Arial" w:cs="Arial"/>
        </w:rPr>
        <w:t> případě Klinické medicíny a Fyzikálních věd se zároveň jedná o publikace, které jsou výrazněji nadprůměrně citovány (normalizovaný citační index 1,5 v případě Klinické medicíny, cca 1,4 u Fyziky a astronomie). Z průmyslově orientovaných oborů vykazují nejvyšší citovanost Environmentální inženýrství, Materiálové inženýrství a</w:t>
      </w:r>
      <w:r w:rsidR="00CD5F7C">
        <w:rPr>
          <w:rFonts w:ascii="Arial" w:hAnsi="Arial" w:cs="Arial"/>
        </w:rPr>
        <w:t> </w:t>
      </w:r>
      <w:r w:rsidRPr="009A04A4">
        <w:rPr>
          <w:rFonts w:ascii="Arial" w:hAnsi="Arial" w:cs="Arial"/>
        </w:rPr>
        <w:t xml:space="preserve">Mechanické inženýrství, citační index však nedosahuje světového průměru. Ještě nižší je </w:t>
      </w:r>
      <w:r w:rsidRPr="009A04A4">
        <w:rPr>
          <w:rFonts w:ascii="Arial" w:hAnsi="Arial" w:cs="Arial"/>
        </w:rPr>
        <w:lastRenderedPageBreak/>
        <w:t xml:space="preserve">citovanost </w:t>
      </w:r>
      <w:r w:rsidRPr="00845AD8">
        <w:rPr>
          <w:rFonts w:ascii="Arial" w:hAnsi="Arial" w:cs="Arial"/>
        </w:rPr>
        <w:t>publikací v Počítačových a informatických vědách, Elektrickém a elektronickém inženýrství a také v Humanitních oborech, výrazněji pod světovým průměrem je rovněž Matematika, kde navíc dochází pouze k nepatrnému nárůstu počtu publikací.</w:t>
      </w:r>
      <w:r w:rsidR="00BB40FD" w:rsidRPr="00845AD8">
        <w:rPr>
          <w:rFonts w:ascii="Arial" w:hAnsi="Arial" w:cs="Arial"/>
        </w:rPr>
        <w:t xml:space="preserve"> To je </w:t>
      </w:r>
      <w:r w:rsidR="00C76C3F">
        <w:rPr>
          <w:rFonts w:ascii="Arial" w:hAnsi="Arial" w:cs="Arial"/>
        </w:rPr>
        <w:t>ovlivněno</w:t>
      </w:r>
      <w:r w:rsidR="00BB40FD" w:rsidRPr="00845AD8">
        <w:rPr>
          <w:rFonts w:ascii="Arial" w:hAnsi="Arial" w:cs="Arial"/>
        </w:rPr>
        <w:t xml:space="preserve"> odlišnými publikačními zvyklostmi oborů</w:t>
      </w:r>
      <w:r w:rsidR="00C76C3F">
        <w:rPr>
          <w:rFonts w:ascii="Arial" w:hAnsi="Arial" w:cs="Arial"/>
        </w:rPr>
        <w:t>, např. v</w:t>
      </w:r>
      <w:r w:rsidR="009D5AD6">
        <w:rPr>
          <w:rFonts w:ascii="Arial" w:hAnsi="Arial" w:cs="Arial"/>
        </w:rPr>
        <w:t> M</w:t>
      </w:r>
      <w:r w:rsidR="00C76C3F">
        <w:rPr>
          <w:rFonts w:ascii="Arial" w:hAnsi="Arial" w:cs="Arial"/>
        </w:rPr>
        <w:t>atematice</w:t>
      </w:r>
      <w:r w:rsidR="009D5AD6">
        <w:rPr>
          <w:rFonts w:ascii="Arial" w:hAnsi="Arial" w:cs="Arial"/>
        </w:rPr>
        <w:t xml:space="preserve"> či</w:t>
      </w:r>
      <w:r w:rsidR="00C76C3F">
        <w:rPr>
          <w:rFonts w:ascii="Arial" w:hAnsi="Arial" w:cs="Arial"/>
        </w:rPr>
        <w:t xml:space="preserve"> ve </w:t>
      </w:r>
      <w:r w:rsidR="009D5AD6">
        <w:rPr>
          <w:rFonts w:ascii="Arial" w:hAnsi="Arial" w:cs="Arial"/>
        </w:rPr>
        <w:t>S</w:t>
      </w:r>
      <w:r w:rsidR="00C76C3F">
        <w:rPr>
          <w:rFonts w:ascii="Arial" w:hAnsi="Arial" w:cs="Arial"/>
        </w:rPr>
        <w:t xml:space="preserve">polečenských a humanitních vědách je obvyklé </w:t>
      </w:r>
      <w:r w:rsidR="00BB40FD" w:rsidRPr="00845AD8">
        <w:rPr>
          <w:rFonts w:ascii="Arial" w:hAnsi="Arial" w:cs="Arial"/>
        </w:rPr>
        <w:t xml:space="preserve">publikovat formou monografií, </w:t>
      </w:r>
      <w:r w:rsidR="00C76C3F">
        <w:rPr>
          <w:rFonts w:ascii="Arial" w:hAnsi="Arial" w:cs="Arial"/>
        </w:rPr>
        <w:t>v </w:t>
      </w:r>
      <w:r w:rsidR="009D5AD6">
        <w:rPr>
          <w:rFonts w:ascii="Arial" w:hAnsi="Arial" w:cs="Arial"/>
        </w:rPr>
        <w:t>I</w:t>
      </w:r>
      <w:r w:rsidR="00C76C3F">
        <w:rPr>
          <w:rFonts w:ascii="Arial" w:hAnsi="Arial" w:cs="Arial"/>
        </w:rPr>
        <w:t xml:space="preserve">nformatice formou příspěvků </w:t>
      </w:r>
      <w:r w:rsidR="00BB40FD" w:rsidRPr="00845AD8">
        <w:rPr>
          <w:rFonts w:ascii="Arial" w:hAnsi="Arial" w:cs="Arial"/>
        </w:rPr>
        <w:t>ve sbornících.</w:t>
      </w:r>
      <w:r w:rsidRPr="00845AD8">
        <w:rPr>
          <w:rFonts w:ascii="Arial" w:hAnsi="Arial" w:cs="Arial"/>
        </w:rPr>
        <w:t xml:space="preserve"> Zemědělské</w:t>
      </w:r>
      <w:r w:rsidRPr="009A04A4">
        <w:rPr>
          <w:rFonts w:ascii="Arial" w:hAnsi="Arial" w:cs="Arial"/>
        </w:rPr>
        <w:t xml:space="preserve"> vědy jsou z hlediska citovanosti mírně nad světovým průměrem, Vědy o Zemi mírně pod ním.</w:t>
      </w:r>
    </w:p>
    <w:p w:rsidR="005F2F7D" w:rsidRPr="000A2A98" w:rsidRDefault="005F2F7D" w:rsidP="009A04A4">
      <w:pPr>
        <w:pStyle w:val="Obrzek-nadpis"/>
      </w:pPr>
      <w:r w:rsidRPr="000A2A98">
        <w:t>Obr. 6.</w:t>
      </w:r>
      <w:r>
        <w:t>8</w:t>
      </w:r>
      <w:r w:rsidRPr="000A2A98">
        <w:t xml:space="preserve">: počty publikací českých autorů ve </w:t>
      </w:r>
      <w:r>
        <w:t>W</w:t>
      </w:r>
      <w:r w:rsidRPr="000A2A98">
        <w:t xml:space="preserve">eb </w:t>
      </w:r>
      <w:proofErr w:type="spellStart"/>
      <w:r w:rsidRPr="000A2A98">
        <w:t>of</w:t>
      </w:r>
      <w:proofErr w:type="spellEnd"/>
      <w:r w:rsidRPr="000A2A98">
        <w:t xml:space="preserve"> </w:t>
      </w:r>
      <w:r>
        <w:t>S</w:t>
      </w:r>
      <w:r w:rsidRPr="000A2A98">
        <w:t xml:space="preserve">cience </w:t>
      </w:r>
      <w:r w:rsidRPr="005030AA">
        <w:t>v nejvýznamnějších oborech</w:t>
      </w:r>
      <w:r w:rsidRPr="000A2A98">
        <w:t xml:space="preserve"> a</w:t>
      </w:r>
      <w:r w:rsidR="00CD5F7C">
        <w:t> </w:t>
      </w:r>
      <w:r w:rsidRPr="000A2A98">
        <w:t xml:space="preserve">jejich citovanost </w:t>
      </w:r>
    </w:p>
    <w:p w:rsidR="005F2F7D" w:rsidRDefault="005F2F7D" w:rsidP="00D653B6">
      <w:pPr>
        <w:jc w:val="center"/>
      </w:pPr>
      <w:r>
        <w:rPr>
          <w:noProof/>
          <w:lang w:eastAsia="cs-CZ"/>
        </w:rPr>
        <w:drawing>
          <wp:inline distT="0" distB="0" distL="0" distR="0" wp14:anchorId="0B656F8A" wp14:editId="4D74C218">
            <wp:extent cx="5842800" cy="5220000"/>
            <wp:effectExtent l="0" t="0" r="5715" b="0"/>
            <wp:docPr id="61" name="Obráze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842800" cy="5220000"/>
                    </a:xfrm>
                    <a:prstGeom prst="rect">
                      <a:avLst/>
                    </a:prstGeom>
                    <a:noFill/>
                  </pic:spPr>
                </pic:pic>
              </a:graphicData>
            </a:graphic>
          </wp:inline>
        </w:drawing>
      </w:r>
    </w:p>
    <w:p w:rsidR="005F2F7D" w:rsidRPr="000A2A98" w:rsidRDefault="005F2F7D" w:rsidP="00CB07B9">
      <w:pPr>
        <w:pStyle w:val="komentzaobrzkem"/>
      </w:pPr>
      <w:r w:rsidRPr="008F198C">
        <w:t>Zdroj</w:t>
      </w:r>
      <w:r w:rsidR="009A04A4" w:rsidRPr="008F198C">
        <w:t xml:space="preserve"> dat</w:t>
      </w:r>
      <w:r w:rsidRPr="008F198C">
        <w:t xml:space="preserve">: Web </w:t>
      </w:r>
      <w:proofErr w:type="spellStart"/>
      <w:r w:rsidRPr="008F198C">
        <w:t>of</w:t>
      </w:r>
      <w:proofErr w:type="spellEnd"/>
      <w:r w:rsidRPr="008F198C">
        <w:t xml:space="preserve"> Science, </w:t>
      </w:r>
      <w:r w:rsidR="00A85849">
        <w:t xml:space="preserve">zařazeny jsou </w:t>
      </w:r>
      <w:r w:rsidRPr="008F198C">
        <w:t xml:space="preserve">publikace typu </w:t>
      </w:r>
      <w:proofErr w:type="spellStart"/>
      <w:r w:rsidRPr="008F198C">
        <w:t>article</w:t>
      </w:r>
      <w:proofErr w:type="spellEnd"/>
      <w:r w:rsidRPr="008F198C">
        <w:t xml:space="preserve"> a </w:t>
      </w:r>
      <w:proofErr w:type="spellStart"/>
      <w:r w:rsidR="00F24CFB">
        <w:t>r</w:t>
      </w:r>
      <w:r w:rsidR="00606DBB">
        <w:t>eview</w:t>
      </w:r>
      <w:proofErr w:type="spellEnd"/>
      <w:r w:rsidRPr="008F198C">
        <w:t xml:space="preserve"> za období 2009 – 2013</w:t>
      </w:r>
      <w:r w:rsidR="00A85849">
        <w:t xml:space="preserve"> v periodikách Web </w:t>
      </w:r>
      <w:proofErr w:type="spellStart"/>
      <w:r w:rsidR="00A85849">
        <w:t>of</w:t>
      </w:r>
      <w:proofErr w:type="spellEnd"/>
      <w:r w:rsidR="00A85849">
        <w:t xml:space="preserve"> Science </w:t>
      </w:r>
      <w:proofErr w:type="spellStart"/>
      <w:r w:rsidR="00A85849">
        <w:t>Core</w:t>
      </w:r>
      <w:proofErr w:type="spellEnd"/>
      <w:r w:rsidR="00A85849">
        <w:t xml:space="preserve"> </w:t>
      </w:r>
      <w:proofErr w:type="spellStart"/>
      <w:r w:rsidR="00A85849">
        <w:t>Collection</w:t>
      </w:r>
      <w:proofErr w:type="spellEnd"/>
      <w:r w:rsidRPr="008F198C">
        <w:t xml:space="preserve">, oborové členění dle OECD </w:t>
      </w:r>
      <w:proofErr w:type="spellStart"/>
      <w:r w:rsidRPr="008F198C">
        <w:t>Fields</w:t>
      </w:r>
      <w:proofErr w:type="spellEnd"/>
      <w:r w:rsidRPr="008F198C">
        <w:t xml:space="preserve"> </w:t>
      </w:r>
      <w:proofErr w:type="spellStart"/>
      <w:r w:rsidRPr="008F198C">
        <w:t>of</w:t>
      </w:r>
      <w:proofErr w:type="spellEnd"/>
      <w:r w:rsidRPr="008F198C">
        <w:t xml:space="preserve"> Science (</w:t>
      </w:r>
      <w:proofErr w:type="spellStart"/>
      <w:r w:rsidRPr="008F198C">
        <w:t>Frascati</w:t>
      </w:r>
      <w:proofErr w:type="spellEnd"/>
      <w:r w:rsidRPr="008F198C">
        <w:t xml:space="preserve"> manuál)</w:t>
      </w:r>
      <w:r w:rsidR="00D96182">
        <w:t>;</w:t>
      </w:r>
      <w:r w:rsidR="00D96182" w:rsidRPr="00D96182">
        <w:t xml:space="preserve"> </w:t>
      </w:r>
      <w:r w:rsidR="00D96182">
        <w:t>započteny jsou publikace,</w:t>
      </w:r>
      <w:r w:rsidR="00D96182" w:rsidRPr="002B3E07">
        <w:t xml:space="preserve"> </w:t>
      </w:r>
      <w:r w:rsidR="00F24CFB">
        <w:t>u</w:t>
      </w:r>
      <w:r w:rsidR="009D5AD6">
        <w:t> </w:t>
      </w:r>
      <w:r w:rsidR="00F24CFB">
        <w:t>nichž</w:t>
      </w:r>
      <w:r w:rsidR="00D96182" w:rsidRPr="002B3E07">
        <w:t xml:space="preserve"> má alespoň jeden </w:t>
      </w:r>
      <w:r w:rsidR="00F24CFB">
        <w:t>z</w:t>
      </w:r>
      <w:r w:rsidR="00D96182" w:rsidRPr="002B3E07">
        <w:t xml:space="preserve"> autorů v adrese uvedeno „Czech“</w:t>
      </w:r>
      <w:r w:rsidR="00F24CFB">
        <w:t xml:space="preserve"> (není zohledněno</w:t>
      </w:r>
      <w:r w:rsidR="00D96182" w:rsidRPr="002B3E07">
        <w:t xml:space="preserve"> spoluautorství</w:t>
      </w:r>
      <w:r w:rsidR="00F24CFB">
        <w:t>)</w:t>
      </w:r>
    </w:p>
    <w:p w:rsidR="005F2F7D" w:rsidRPr="00613032" w:rsidRDefault="005F2F7D" w:rsidP="00613032">
      <w:pPr>
        <w:pStyle w:val="komentzaobrzkem"/>
      </w:pPr>
      <w:r w:rsidRPr="00613032">
        <w:t xml:space="preserve">Jsou zařazeny pouze </w:t>
      </w:r>
      <w:r w:rsidR="00D96182">
        <w:t>skupiny oborů</w:t>
      </w:r>
      <w:r w:rsidRPr="00613032">
        <w:t>, u nichž bylo v databázi alespoň 1000 publikací za sledované období</w:t>
      </w:r>
    </w:p>
    <w:p w:rsidR="005F2F7D" w:rsidRPr="00613032" w:rsidRDefault="005F2F7D" w:rsidP="00613032">
      <w:pPr>
        <w:pStyle w:val="komentzaobrzkem"/>
      </w:pPr>
      <w:r w:rsidRPr="00613032">
        <w:t xml:space="preserve">Horizontální osa: </w:t>
      </w:r>
      <w:r w:rsidR="00F56DCC">
        <w:t xml:space="preserve">Index </w:t>
      </w:r>
      <w:r w:rsidRPr="00613032">
        <w:t xml:space="preserve">změny v počtu publikací mezi roky </w:t>
      </w:r>
      <w:r w:rsidR="00F56DCC" w:rsidRPr="00613032">
        <w:t>2009</w:t>
      </w:r>
      <w:r w:rsidR="00F56DCC">
        <w:t xml:space="preserve"> </w:t>
      </w:r>
      <w:r w:rsidR="00F56DCC" w:rsidRPr="00613032">
        <w:t xml:space="preserve">a </w:t>
      </w:r>
      <w:r w:rsidRPr="00613032">
        <w:t>2013</w:t>
      </w:r>
      <w:r w:rsidR="00CB07B9">
        <w:t>:</w:t>
      </w:r>
      <w:r w:rsidRPr="00613032">
        <w:t xml:space="preserve"> </w:t>
      </w:r>
      <w:r w:rsidR="00CB07B9" w:rsidRPr="00CB07B9">
        <w:t>(2013</w:t>
      </w:r>
      <w:r w:rsidR="00CB07B9">
        <w:t xml:space="preserve"> </w:t>
      </w:r>
      <w:r w:rsidR="00CB07B9" w:rsidRPr="00CB07B9">
        <w:t>-</w:t>
      </w:r>
      <w:r w:rsidR="00CB07B9">
        <w:t xml:space="preserve"> </w:t>
      </w:r>
      <w:r w:rsidR="00CB07B9" w:rsidRPr="00CB07B9">
        <w:t>2009)/2009 v %</w:t>
      </w:r>
    </w:p>
    <w:p w:rsidR="005F2F7D" w:rsidRPr="00613032" w:rsidRDefault="005F2F7D" w:rsidP="00613032">
      <w:pPr>
        <w:pStyle w:val="komentzaobrzkem"/>
      </w:pPr>
      <w:r w:rsidRPr="00613032">
        <w:t xml:space="preserve">Vertikální osa: </w:t>
      </w:r>
      <w:proofErr w:type="spellStart"/>
      <w:r w:rsidRPr="00613032">
        <w:t>Normalized</w:t>
      </w:r>
      <w:proofErr w:type="spellEnd"/>
      <w:r w:rsidRPr="00613032">
        <w:t xml:space="preserve"> </w:t>
      </w:r>
      <w:proofErr w:type="spellStart"/>
      <w:r w:rsidRPr="00613032">
        <w:t>Citation</w:t>
      </w:r>
      <w:proofErr w:type="spellEnd"/>
      <w:r w:rsidRPr="00613032">
        <w:t xml:space="preserve"> </w:t>
      </w:r>
      <w:proofErr w:type="spellStart"/>
      <w:r w:rsidRPr="00613032">
        <w:t>Impact</w:t>
      </w:r>
      <w:proofErr w:type="spellEnd"/>
      <w:r w:rsidRPr="00613032">
        <w:t xml:space="preserve"> k datu 29. 5. 2015 (normalizováno </w:t>
      </w:r>
      <w:r w:rsidR="00D238B7">
        <w:t>na úrovni jednotlivých oborů</w:t>
      </w:r>
      <w:r w:rsidR="00CB07B9">
        <w:t xml:space="preserve"> s následnou agregací indexu;</w:t>
      </w:r>
      <w:r w:rsidR="00D238B7">
        <w:t xml:space="preserve"> v</w:t>
      </w:r>
      <w:r w:rsidR="00CB07B9">
        <w:t> případě, že publikace naleží k více oborům, je použit aritmetický průměr</w:t>
      </w:r>
      <w:r w:rsidRPr="00613032">
        <w:t>); hodnota y = 1 odpovídá světovému průměru</w:t>
      </w:r>
    </w:p>
    <w:p w:rsidR="00F24CFB" w:rsidRDefault="005F2F7D" w:rsidP="00CB07B9">
      <w:pPr>
        <w:pStyle w:val="komentzaobrzkem"/>
      </w:pPr>
      <w:r w:rsidRPr="008F198C">
        <w:t xml:space="preserve">Plocha bublin vyjadřuje počet publikací za období 2009 </w:t>
      </w:r>
      <w:r w:rsidR="00D96182">
        <w:t>–</w:t>
      </w:r>
      <w:r w:rsidRPr="008F198C">
        <w:t xml:space="preserve"> 2013</w:t>
      </w:r>
    </w:p>
    <w:p w:rsidR="005F2F7D" w:rsidRPr="00613032" w:rsidRDefault="00F24CFB" w:rsidP="00CB07B9">
      <w:pPr>
        <w:pStyle w:val="komentzaobrzkem"/>
      </w:pPr>
      <w:r>
        <w:t xml:space="preserve">Skupina </w:t>
      </w:r>
      <w:proofErr w:type="spellStart"/>
      <w:r>
        <w:t>Humanities</w:t>
      </w:r>
      <w:proofErr w:type="spellEnd"/>
      <w:r>
        <w:t xml:space="preserve"> obsahuje především obory </w:t>
      </w:r>
      <w:proofErr w:type="spellStart"/>
      <w:r w:rsidR="005E2134">
        <w:t>Philosophy</w:t>
      </w:r>
      <w:proofErr w:type="spellEnd"/>
      <w:r w:rsidR="005E2134">
        <w:t xml:space="preserve">, </w:t>
      </w:r>
      <w:proofErr w:type="spellStart"/>
      <w:r w:rsidR="005E2134">
        <w:t>Ethics</w:t>
      </w:r>
      <w:proofErr w:type="spellEnd"/>
      <w:r w:rsidR="005E2134">
        <w:t xml:space="preserve"> and Religion, </w:t>
      </w:r>
      <w:proofErr w:type="spellStart"/>
      <w:r w:rsidR="005E2134">
        <w:t>Languages</w:t>
      </w:r>
      <w:proofErr w:type="spellEnd"/>
      <w:r w:rsidR="005E2134">
        <w:t xml:space="preserve"> and </w:t>
      </w:r>
      <w:proofErr w:type="spellStart"/>
      <w:r w:rsidR="005E2134">
        <w:t>Literature</w:t>
      </w:r>
      <w:proofErr w:type="spellEnd"/>
      <w:r w:rsidR="005E2134">
        <w:t xml:space="preserve">, </w:t>
      </w:r>
      <w:proofErr w:type="spellStart"/>
      <w:r w:rsidR="005E2134">
        <w:t>History</w:t>
      </w:r>
      <w:proofErr w:type="spellEnd"/>
      <w:r w:rsidR="005E2134">
        <w:t xml:space="preserve"> and Archeology</w:t>
      </w:r>
      <w:r w:rsidR="00D96182">
        <w:t xml:space="preserve"> </w:t>
      </w:r>
    </w:p>
    <w:p w:rsidR="005F2F7D" w:rsidRPr="00845AD8" w:rsidRDefault="00753198" w:rsidP="009A04A4">
      <w:pPr>
        <w:spacing w:after="0" w:line="360" w:lineRule="auto"/>
        <w:ind w:firstLine="709"/>
        <w:jc w:val="both"/>
        <w:rPr>
          <w:rFonts w:ascii="Arial" w:hAnsi="Arial" w:cs="Arial"/>
        </w:rPr>
      </w:pPr>
      <w:r>
        <w:rPr>
          <w:rFonts w:ascii="Arial" w:hAnsi="Arial" w:cs="Arial"/>
        </w:rPr>
        <w:lastRenderedPageBreak/>
        <w:t>Při hodnocení kvality publikací je užitečné rovněž sledovat strukturu publikací z hlediska citačního ohlasu periodik a s ní související publikační strategii, která se může oborově lišit.</w:t>
      </w:r>
      <w:r w:rsidR="005F2F7D" w:rsidRPr="009A04A4">
        <w:rPr>
          <w:rFonts w:ascii="Arial" w:hAnsi="Arial" w:cs="Arial"/>
        </w:rPr>
        <w:t xml:space="preserve"> Např. v</w:t>
      </w:r>
      <w:r>
        <w:rPr>
          <w:rFonts w:ascii="Arial" w:hAnsi="Arial" w:cs="Arial"/>
        </w:rPr>
        <w:t> </w:t>
      </w:r>
      <w:r w:rsidR="005F2F7D" w:rsidRPr="009A04A4">
        <w:rPr>
          <w:rFonts w:ascii="Arial" w:hAnsi="Arial" w:cs="Arial"/>
        </w:rPr>
        <w:t xml:space="preserve">oboru Sociologie je </w:t>
      </w:r>
      <w:r w:rsidR="009D5AD6">
        <w:rPr>
          <w:rFonts w:ascii="Arial" w:hAnsi="Arial" w:cs="Arial"/>
        </w:rPr>
        <w:t xml:space="preserve">v ČR </w:t>
      </w:r>
      <w:r w:rsidR="005F2F7D" w:rsidRPr="009A04A4">
        <w:rPr>
          <w:rFonts w:ascii="Arial" w:hAnsi="Arial" w:cs="Arial"/>
        </w:rPr>
        <w:t xml:space="preserve">podíl </w:t>
      </w:r>
      <w:r>
        <w:rPr>
          <w:rFonts w:ascii="Arial" w:hAnsi="Arial" w:cs="Arial"/>
        </w:rPr>
        <w:t>publikací</w:t>
      </w:r>
      <w:r w:rsidR="005F2F7D" w:rsidRPr="009A04A4">
        <w:rPr>
          <w:rFonts w:ascii="Arial" w:hAnsi="Arial" w:cs="Arial"/>
        </w:rPr>
        <w:t xml:space="preserve"> v horním </w:t>
      </w:r>
      <w:proofErr w:type="spellStart"/>
      <w:r w:rsidR="005F2F7D" w:rsidRPr="009A04A4">
        <w:rPr>
          <w:rFonts w:ascii="Arial" w:hAnsi="Arial" w:cs="Arial"/>
        </w:rPr>
        <w:t>tercilu</w:t>
      </w:r>
      <w:proofErr w:type="spellEnd"/>
      <w:r w:rsidR="005F2F7D" w:rsidRPr="009A04A4">
        <w:rPr>
          <w:rFonts w:ascii="Arial" w:hAnsi="Arial" w:cs="Arial"/>
        </w:rPr>
        <w:t xml:space="preserve"> nejcitovanějších </w:t>
      </w:r>
      <w:r>
        <w:rPr>
          <w:rFonts w:ascii="Arial" w:hAnsi="Arial" w:cs="Arial"/>
        </w:rPr>
        <w:t>periodik</w:t>
      </w:r>
      <w:r w:rsidR="005F2F7D" w:rsidRPr="009A04A4">
        <w:rPr>
          <w:rFonts w:ascii="Arial" w:hAnsi="Arial" w:cs="Arial"/>
        </w:rPr>
        <w:t xml:space="preserve"> minimální (obr</w:t>
      </w:r>
      <w:r w:rsidR="00136E58">
        <w:rPr>
          <w:rFonts w:ascii="Arial" w:hAnsi="Arial" w:cs="Arial"/>
        </w:rPr>
        <w:t>ázek</w:t>
      </w:r>
      <w:r w:rsidR="005F2F7D" w:rsidRPr="009A04A4">
        <w:rPr>
          <w:rFonts w:ascii="Arial" w:hAnsi="Arial" w:cs="Arial"/>
        </w:rPr>
        <w:t xml:space="preserve"> 6.9), výrazně nižší ve srovnání se státy </w:t>
      </w:r>
      <w:r w:rsidR="005F2F7D" w:rsidRPr="00845AD8">
        <w:rPr>
          <w:rFonts w:ascii="Arial" w:hAnsi="Arial" w:cs="Arial"/>
        </w:rPr>
        <w:t>jako je Belgie, Dánsko Holandsko nebo Rakousko, na</w:t>
      </w:r>
      <w:r w:rsidR="009D5AD6">
        <w:rPr>
          <w:rFonts w:ascii="Arial" w:hAnsi="Arial" w:cs="Arial"/>
        </w:rPr>
        <w:t> </w:t>
      </w:r>
      <w:r w:rsidR="005F2F7D" w:rsidRPr="00845AD8">
        <w:rPr>
          <w:rFonts w:ascii="Arial" w:hAnsi="Arial" w:cs="Arial"/>
        </w:rPr>
        <w:t xml:space="preserve">stejné úrovni se Slovenskem či Polskem. Kvalita </w:t>
      </w:r>
      <w:r>
        <w:rPr>
          <w:rFonts w:ascii="Arial" w:hAnsi="Arial" w:cs="Arial"/>
        </w:rPr>
        <w:t xml:space="preserve">většiny českých </w:t>
      </w:r>
      <w:r w:rsidR="005F2F7D" w:rsidRPr="00845AD8">
        <w:rPr>
          <w:rFonts w:ascii="Arial" w:hAnsi="Arial" w:cs="Arial"/>
        </w:rPr>
        <w:t xml:space="preserve">publikací tedy nejspíš není příliš vysoká. Naproti tomu např. obor Fyzika pevných látek vykazuje významný podíl </w:t>
      </w:r>
      <w:r w:rsidRPr="00845AD8">
        <w:rPr>
          <w:rFonts w:ascii="Arial" w:hAnsi="Arial" w:cs="Arial"/>
        </w:rPr>
        <w:t xml:space="preserve">prací </w:t>
      </w:r>
      <w:r>
        <w:rPr>
          <w:rFonts w:ascii="Arial" w:hAnsi="Arial" w:cs="Arial"/>
        </w:rPr>
        <w:t>v </w:t>
      </w:r>
      <w:r w:rsidR="005F2F7D" w:rsidRPr="00845AD8">
        <w:rPr>
          <w:rFonts w:ascii="Arial" w:hAnsi="Arial" w:cs="Arial"/>
        </w:rPr>
        <w:t xml:space="preserve">nejcitovanějších </w:t>
      </w:r>
      <w:r>
        <w:rPr>
          <w:rFonts w:ascii="Arial" w:hAnsi="Arial" w:cs="Arial"/>
        </w:rPr>
        <w:t xml:space="preserve">periodikách </w:t>
      </w:r>
      <w:r w:rsidR="005F2F7D" w:rsidRPr="00845AD8">
        <w:rPr>
          <w:rFonts w:ascii="Arial" w:hAnsi="Arial" w:cs="Arial"/>
        </w:rPr>
        <w:t>srovnatelný např. s Belgií, vyšší než v Estonsku nebo Polsku (obr</w:t>
      </w:r>
      <w:r w:rsidR="00136E58">
        <w:rPr>
          <w:rFonts w:ascii="Arial" w:hAnsi="Arial" w:cs="Arial"/>
        </w:rPr>
        <w:t>ázek</w:t>
      </w:r>
      <w:r w:rsidR="005F2F7D" w:rsidRPr="00845AD8">
        <w:rPr>
          <w:rFonts w:ascii="Arial" w:hAnsi="Arial" w:cs="Arial"/>
        </w:rPr>
        <w:t xml:space="preserve"> 6.9). To potvrzuje vysokou kvalitu Fyzikálních oborů </w:t>
      </w:r>
      <w:r>
        <w:rPr>
          <w:rFonts w:ascii="Arial" w:hAnsi="Arial" w:cs="Arial"/>
        </w:rPr>
        <w:t xml:space="preserve">v ČR </w:t>
      </w:r>
      <w:r w:rsidR="005F2F7D" w:rsidRPr="00845AD8">
        <w:rPr>
          <w:rFonts w:ascii="Arial" w:hAnsi="Arial" w:cs="Arial"/>
        </w:rPr>
        <w:t>odvozenou od celkového počtu citací, který je nad světovým průměrem (obr</w:t>
      </w:r>
      <w:r w:rsidR="00136E58">
        <w:rPr>
          <w:rFonts w:ascii="Arial" w:hAnsi="Arial" w:cs="Arial"/>
        </w:rPr>
        <w:t>ázek</w:t>
      </w:r>
      <w:r w:rsidR="005F2F7D" w:rsidRPr="00845AD8">
        <w:rPr>
          <w:rFonts w:ascii="Arial" w:hAnsi="Arial" w:cs="Arial"/>
        </w:rPr>
        <w:t xml:space="preserve"> 6.8). Je třeba rovněž brát v potaz, zda v konkrétním oboru vycházejí v ČR impaktované (indexované Web </w:t>
      </w:r>
      <w:proofErr w:type="spellStart"/>
      <w:r w:rsidR="005F2F7D" w:rsidRPr="00845AD8">
        <w:rPr>
          <w:rFonts w:ascii="Arial" w:hAnsi="Arial" w:cs="Arial"/>
        </w:rPr>
        <w:t>of</w:t>
      </w:r>
      <w:proofErr w:type="spellEnd"/>
      <w:r w:rsidR="005F2F7D" w:rsidRPr="00845AD8">
        <w:rPr>
          <w:rFonts w:ascii="Arial" w:hAnsi="Arial" w:cs="Arial"/>
        </w:rPr>
        <w:t xml:space="preserve"> Science) časopisy a zda pocházejí citace z jiných časopisů z ČR, nebo ze zahraničí. Např. v oboru Ekonomie vycházejí v ČR čtyři impaktované časopisy, které jsou </w:t>
      </w:r>
      <w:r w:rsidR="00D653B6" w:rsidRPr="00845AD8">
        <w:rPr>
          <w:rFonts w:ascii="Arial" w:hAnsi="Arial" w:cs="Arial"/>
        </w:rPr>
        <w:t xml:space="preserve">vysoce </w:t>
      </w:r>
      <w:r w:rsidR="005F2F7D" w:rsidRPr="00845AD8">
        <w:rPr>
          <w:rFonts w:ascii="Arial" w:hAnsi="Arial" w:cs="Arial"/>
        </w:rPr>
        <w:t>citovány navzájem. Výsledkem je nízký citační ohlas českých publikací v tomto oboru ve srovnání se světovým průměrem (obr</w:t>
      </w:r>
      <w:r w:rsidR="00136E58">
        <w:rPr>
          <w:rFonts w:ascii="Arial" w:hAnsi="Arial" w:cs="Arial"/>
        </w:rPr>
        <w:t>ázek</w:t>
      </w:r>
      <w:r w:rsidR="005F2F7D" w:rsidRPr="00845AD8">
        <w:rPr>
          <w:rFonts w:ascii="Arial" w:hAnsi="Arial" w:cs="Arial"/>
        </w:rPr>
        <w:t xml:space="preserve"> 6.8).</w:t>
      </w:r>
    </w:p>
    <w:p w:rsidR="005F2F7D" w:rsidRPr="00845AD8" w:rsidRDefault="005F2F7D" w:rsidP="009A04A4">
      <w:pPr>
        <w:pStyle w:val="Obrzek-nadpis"/>
      </w:pPr>
      <w:r w:rsidRPr="00845AD8">
        <w:t xml:space="preserve">Obr. 6.9: Mezinárodní srovnání </w:t>
      </w:r>
      <w:r w:rsidR="009D5AD6">
        <w:t>kvality publikací</w:t>
      </w:r>
      <w:r w:rsidRPr="00845AD8">
        <w:t xml:space="preserve"> v oborech </w:t>
      </w:r>
      <w:r w:rsidRPr="00845AD8">
        <w:rPr>
          <w:i/>
        </w:rPr>
        <w:t>Socio</w:t>
      </w:r>
      <w:r w:rsidR="0026271A" w:rsidRPr="00845AD8">
        <w:rPr>
          <w:i/>
        </w:rPr>
        <w:t>lo</w:t>
      </w:r>
      <w:r w:rsidRPr="00845AD8">
        <w:rPr>
          <w:i/>
        </w:rPr>
        <w:t>gy</w:t>
      </w:r>
      <w:r w:rsidRPr="00845AD8">
        <w:t xml:space="preserve"> a </w:t>
      </w:r>
      <w:proofErr w:type="spellStart"/>
      <w:r w:rsidRPr="00845AD8">
        <w:rPr>
          <w:i/>
        </w:rPr>
        <w:t>Physics</w:t>
      </w:r>
      <w:proofErr w:type="spellEnd"/>
      <w:r w:rsidRPr="00845AD8">
        <w:rPr>
          <w:i/>
        </w:rPr>
        <w:t xml:space="preserve"> – </w:t>
      </w:r>
      <w:proofErr w:type="spellStart"/>
      <w:r w:rsidRPr="00845AD8">
        <w:rPr>
          <w:i/>
        </w:rPr>
        <w:t>Condensed</w:t>
      </w:r>
      <w:proofErr w:type="spellEnd"/>
      <w:r w:rsidRPr="00845AD8">
        <w:rPr>
          <w:i/>
        </w:rPr>
        <w:t xml:space="preserve"> </w:t>
      </w:r>
      <w:proofErr w:type="spellStart"/>
      <w:r w:rsidRPr="00845AD8">
        <w:rPr>
          <w:i/>
        </w:rPr>
        <w:t>Matter</w:t>
      </w:r>
      <w:proofErr w:type="spellEnd"/>
      <w:r w:rsidRPr="00845AD8">
        <w:t xml:space="preserve"> dle citačního ohlasu</w:t>
      </w:r>
      <w:r w:rsidR="009D5AD6">
        <w:t xml:space="preserve"> periodik</w:t>
      </w:r>
    </w:p>
    <w:p w:rsidR="005F2F7D" w:rsidRPr="00845AD8" w:rsidRDefault="005F2F7D" w:rsidP="00D653B6">
      <w:pPr>
        <w:jc w:val="center"/>
      </w:pPr>
      <w:r w:rsidRPr="00845AD8">
        <w:rPr>
          <w:noProof/>
          <w:lang w:eastAsia="cs-CZ"/>
        </w:rPr>
        <w:drawing>
          <wp:inline distT="0" distB="0" distL="0" distR="0" wp14:anchorId="1346FF11" wp14:editId="25B3FBAE">
            <wp:extent cx="5760720" cy="1930400"/>
            <wp:effectExtent l="0" t="0" r="0" b="0"/>
            <wp:docPr id="62"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_6.7.png"/>
                    <pic:cNvPicPr/>
                  </pic:nvPicPr>
                  <pic:blipFill>
                    <a:blip r:embed="rId54">
                      <a:extLst>
                        <a:ext uri="{28A0092B-C50C-407E-A947-70E740481C1C}">
                          <a14:useLocalDpi xmlns:a14="http://schemas.microsoft.com/office/drawing/2010/main" val="0"/>
                        </a:ext>
                      </a:extLst>
                    </a:blip>
                    <a:stretch>
                      <a:fillRect/>
                    </a:stretch>
                  </pic:blipFill>
                  <pic:spPr>
                    <a:xfrm>
                      <a:off x="0" y="0"/>
                      <a:ext cx="5760720" cy="1930400"/>
                    </a:xfrm>
                    <a:prstGeom prst="rect">
                      <a:avLst/>
                    </a:prstGeom>
                  </pic:spPr>
                </pic:pic>
              </a:graphicData>
            </a:graphic>
          </wp:inline>
        </w:drawing>
      </w:r>
    </w:p>
    <w:p w:rsidR="005F2F7D" w:rsidRPr="00845AD8" w:rsidRDefault="009A04A4" w:rsidP="009A04A4">
      <w:pPr>
        <w:pStyle w:val="Zdroj"/>
      </w:pPr>
      <w:r w:rsidRPr="00845AD8">
        <w:t xml:space="preserve">Zdroj dat: Web </w:t>
      </w:r>
      <w:proofErr w:type="spellStart"/>
      <w:r w:rsidRPr="00845AD8">
        <w:t>of</w:t>
      </w:r>
      <w:proofErr w:type="spellEnd"/>
      <w:r w:rsidRPr="00845AD8">
        <w:t xml:space="preserve"> Science</w:t>
      </w:r>
    </w:p>
    <w:p w:rsidR="002B3E07" w:rsidRPr="00845AD8" w:rsidRDefault="005F2F7D" w:rsidP="002B3E07">
      <w:pPr>
        <w:pStyle w:val="Zdroj"/>
        <w:jc w:val="both"/>
      </w:pPr>
      <w:r w:rsidRPr="00845AD8">
        <w:t xml:space="preserve">Jsou uvedeny počty článků dle oborových </w:t>
      </w:r>
      <w:proofErr w:type="spellStart"/>
      <w:r w:rsidRPr="00845AD8">
        <w:t>tercilů</w:t>
      </w:r>
      <w:proofErr w:type="spellEnd"/>
      <w:r w:rsidRPr="00845AD8">
        <w:t xml:space="preserve"> hodnot AIS (</w:t>
      </w:r>
      <w:proofErr w:type="spellStart"/>
      <w:r w:rsidRPr="00845AD8">
        <w:t>Article</w:t>
      </w:r>
      <w:proofErr w:type="spellEnd"/>
      <w:r w:rsidRPr="00845AD8">
        <w:t xml:space="preserve"> Influence </w:t>
      </w:r>
      <w:proofErr w:type="spellStart"/>
      <w:r w:rsidRPr="00845AD8">
        <w:t>Score</w:t>
      </w:r>
      <w:proofErr w:type="spellEnd"/>
      <w:r w:rsidRPr="00845AD8">
        <w:t>) za roky 2010 - 2011.</w:t>
      </w:r>
      <w:r w:rsidR="002B3E07" w:rsidRPr="002B3E07">
        <w:t xml:space="preserve"> Jde o počty článků (</w:t>
      </w:r>
      <w:proofErr w:type="spellStart"/>
      <w:r w:rsidR="002B3E07" w:rsidRPr="002B3E07">
        <w:t>Articles</w:t>
      </w:r>
      <w:proofErr w:type="spellEnd"/>
      <w:r w:rsidR="002B3E07" w:rsidRPr="002B3E07">
        <w:t>) uvedených ve W</w:t>
      </w:r>
      <w:r w:rsidR="002B3E07">
        <w:t xml:space="preserve">eb </w:t>
      </w:r>
      <w:proofErr w:type="spellStart"/>
      <w:r w:rsidR="002B3E07" w:rsidRPr="002B3E07">
        <w:t>o</w:t>
      </w:r>
      <w:r w:rsidR="002B3E07">
        <w:t>f</w:t>
      </w:r>
      <w:proofErr w:type="spellEnd"/>
      <w:r w:rsidR="002B3E07">
        <w:t xml:space="preserve"> </w:t>
      </w:r>
      <w:r w:rsidR="002B3E07" w:rsidRPr="002B3E07">
        <w:t>S</w:t>
      </w:r>
      <w:r w:rsidR="002B3E07">
        <w:t>cience,</w:t>
      </w:r>
      <w:r w:rsidR="002B3E07" w:rsidRPr="002B3E07">
        <w:t xml:space="preserve"> kde má alespoň jeden </w:t>
      </w:r>
      <w:r w:rsidR="00F24CFB">
        <w:t>z</w:t>
      </w:r>
      <w:r w:rsidR="002B3E07" w:rsidRPr="002B3E07">
        <w:t xml:space="preserve"> autorů v adrese uvedeno „Czech“. Počty tedy nezohledňují spoluautorství. V případě, že W</w:t>
      </w:r>
      <w:r w:rsidR="002B3E07">
        <w:t xml:space="preserve">eb </w:t>
      </w:r>
      <w:proofErr w:type="spellStart"/>
      <w:r w:rsidR="002B3E07" w:rsidRPr="002B3E07">
        <w:t>o</w:t>
      </w:r>
      <w:r w:rsidR="002B3E07">
        <w:t>f</w:t>
      </w:r>
      <w:proofErr w:type="spellEnd"/>
      <w:r w:rsidR="002B3E07">
        <w:t xml:space="preserve"> </w:t>
      </w:r>
      <w:r w:rsidR="002B3E07" w:rsidRPr="002B3E07">
        <w:t>S</w:t>
      </w:r>
      <w:r w:rsidR="002B3E07">
        <w:t>cience</w:t>
      </w:r>
      <w:r w:rsidR="002B3E07" w:rsidRPr="002B3E07">
        <w:t xml:space="preserve"> řadí časopis do více oborů, je takový výsledek započítán v</w:t>
      </w:r>
      <w:r w:rsidR="002B3E07">
        <w:t> </w:t>
      </w:r>
      <w:r w:rsidR="002B3E07" w:rsidRPr="002B3E07">
        <w:t>každém z těchto oborů.</w:t>
      </w:r>
    </w:p>
    <w:p w:rsidR="00FD4467" w:rsidRDefault="00FD4467" w:rsidP="00FD4467">
      <w:pPr>
        <w:pStyle w:val="Zdroj"/>
        <w:jc w:val="both"/>
      </w:pPr>
      <w:r>
        <w:t>Pro mezinárodní srovnání byly použity údaje z jiných středně velkých zemí, kde mateřským jazykem není angličtina (</w:t>
      </w:r>
      <w:r w:rsidRPr="00FD4467">
        <w:t xml:space="preserve">kromě Nového Zélandu). Počty za tyto ostatní země </w:t>
      </w:r>
      <w:r>
        <w:t xml:space="preserve">byly </w:t>
      </w:r>
      <w:r w:rsidRPr="00FD4467">
        <w:t>normaliz</w:t>
      </w:r>
      <w:r>
        <w:t>ovány</w:t>
      </w:r>
      <w:r w:rsidRPr="00FD4467">
        <w:t xml:space="preserve"> na velikosti populace ČR (tj. tak, aby např. počet článků za Estonsko odpovídal produkci této země, pokud by měla stejně jako ČR 10,3 milionů obyvatel). </w:t>
      </w:r>
    </w:p>
    <w:p w:rsidR="00FD4467" w:rsidRDefault="00FD4467" w:rsidP="002B3E07">
      <w:pPr>
        <w:pStyle w:val="Zdroj"/>
        <w:jc w:val="both"/>
      </w:pPr>
      <w:r w:rsidRPr="00FD4467">
        <w:t xml:space="preserve">Srovnání nezohledňuje různou úroveň podpory </w:t>
      </w:r>
      <w:proofErr w:type="spellStart"/>
      <w:r w:rsidRPr="00FD4467">
        <w:t>VaV</w:t>
      </w:r>
      <w:proofErr w:type="spellEnd"/>
      <w:r w:rsidRPr="00FD4467">
        <w:t xml:space="preserve"> v jednotlivých oblastech a nevyjadřuje tedy produktivitu </w:t>
      </w:r>
      <w:proofErr w:type="spellStart"/>
      <w:r w:rsidRPr="00FD4467">
        <w:t>VaV</w:t>
      </w:r>
      <w:proofErr w:type="spellEnd"/>
      <w:r w:rsidRPr="00FD4467">
        <w:t>; nezohledňuje také význam impaktovaných časopisů, které jsou vydávány v ČR.</w:t>
      </w:r>
    </w:p>
    <w:p w:rsidR="005F2F7D" w:rsidRPr="009A04A4" w:rsidRDefault="005F2F7D" w:rsidP="009A04A4">
      <w:pPr>
        <w:spacing w:after="0" w:line="360" w:lineRule="auto"/>
        <w:ind w:firstLine="709"/>
        <w:jc w:val="both"/>
        <w:rPr>
          <w:rFonts w:ascii="Arial" w:hAnsi="Arial" w:cs="Arial"/>
        </w:rPr>
      </w:pPr>
      <w:r w:rsidRPr="00845AD8">
        <w:rPr>
          <w:rFonts w:ascii="Arial" w:hAnsi="Arial" w:cs="Arial"/>
        </w:rPr>
        <w:t>Uvedené skutečnosti vyplývající z obr</w:t>
      </w:r>
      <w:r w:rsidR="00136E58">
        <w:rPr>
          <w:rFonts w:ascii="Arial" w:hAnsi="Arial" w:cs="Arial"/>
        </w:rPr>
        <w:t>ázku</w:t>
      </w:r>
      <w:r w:rsidRPr="00845AD8">
        <w:rPr>
          <w:rFonts w:ascii="Arial" w:hAnsi="Arial" w:cs="Arial"/>
        </w:rPr>
        <w:t xml:space="preserve"> 6.8 částečně korespondují s finančn</w:t>
      </w:r>
      <w:r w:rsidRPr="009A04A4">
        <w:rPr>
          <w:rFonts w:ascii="Arial" w:hAnsi="Arial" w:cs="Arial"/>
        </w:rPr>
        <w:t>í alokací účelové podpory do oborových skupin a jednotlivých oborů (obr</w:t>
      </w:r>
      <w:r w:rsidR="00136E58">
        <w:rPr>
          <w:rFonts w:ascii="Arial" w:hAnsi="Arial" w:cs="Arial"/>
        </w:rPr>
        <w:t>ázek</w:t>
      </w:r>
      <w:r w:rsidRPr="009A04A4">
        <w:rPr>
          <w:rFonts w:ascii="Arial" w:hAnsi="Arial" w:cs="Arial"/>
        </w:rPr>
        <w:t xml:space="preserve"> 2.4 v kapitole 2). Vysoká podpora Biologických věd, Lékařských věd, </w:t>
      </w:r>
      <w:r w:rsidRPr="00845AD8">
        <w:rPr>
          <w:rFonts w:ascii="Arial" w:hAnsi="Arial" w:cs="Arial"/>
        </w:rPr>
        <w:t>Fyziky a Chemie se projevila vysokým zastoupením těchto věd mezi kvalitními publikacemi (obr</w:t>
      </w:r>
      <w:r w:rsidR="00136E58">
        <w:rPr>
          <w:rFonts w:ascii="Arial" w:hAnsi="Arial" w:cs="Arial"/>
        </w:rPr>
        <w:t>ázek</w:t>
      </w:r>
      <w:r w:rsidRPr="00845AD8">
        <w:rPr>
          <w:rFonts w:ascii="Arial" w:hAnsi="Arial" w:cs="Arial"/>
        </w:rPr>
        <w:t xml:space="preserve"> 6.8). U Společenských a humanitních věd a také u</w:t>
      </w:r>
      <w:r w:rsidR="009D5AD6">
        <w:rPr>
          <w:rFonts w:ascii="Arial" w:hAnsi="Arial" w:cs="Arial"/>
        </w:rPr>
        <w:t> </w:t>
      </w:r>
      <w:r w:rsidRPr="00845AD8">
        <w:rPr>
          <w:rFonts w:ascii="Arial" w:hAnsi="Arial" w:cs="Arial"/>
        </w:rPr>
        <w:t xml:space="preserve">Průmyslových věd se zdá, že finanční alokace </w:t>
      </w:r>
      <w:r w:rsidR="00E4712D" w:rsidRPr="00845AD8">
        <w:rPr>
          <w:rFonts w:ascii="Arial" w:hAnsi="Arial" w:cs="Arial"/>
        </w:rPr>
        <w:t xml:space="preserve">účelové podpory </w:t>
      </w:r>
      <w:r w:rsidRPr="00845AD8">
        <w:rPr>
          <w:rFonts w:ascii="Arial" w:hAnsi="Arial" w:cs="Arial"/>
        </w:rPr>
        <w:t xml:space="preserve">nekorespondují s kvalitou výsledků. </w:t>
      </w:r>
      <w:r w:rsidR="00E4712D" w:rsidRPr="00845AD8">
        <w:rPr>
          <w:rFonts w:ascii="Arial" w:hAnsi="Arial" w:cs="Arial"/>
        </w:rPr>
        <w:t xml:space="preserve">Je možné, že je tímto způsobem vyvažována relativně nízká alokace bodů pro stanovení institucionální podpory v rámci </w:t>
      </w:r>
      <w:r w:rsidR="00C76C3F">
        <w:rPr>
          <w:rFonts w:ascii="Arial" w:hAnsi="Arial" w:cs="Arial"/>
        </w:rPr>
        <w:t>hodnocení výzkumných organizací</w:t>
      </w:r>
      <w:r w:rsidR="00E4712D" w:rsidRPr="00845AD8">
        <w:rPr>
          <w:rFonts w:ascii="Arial" w:hAnsi="Arial" w:cs="Arial"/>
        </w:rPr>
        <w:t>.</w:t>
      </w:r>
      <w:r w:rsidRPr="00845AD8">
        <w:rPr>
          <w:rFonts w:ascii="Arial" w:hAnsi="Arial" w:cs="Arial"/>
        </w:rPr>
        <w:t xml:space="preserve"> Z průmyslových oborů byly nejvíce podpořeny obory Elektronika a optoelektronika, elektrotechnika a Nejaderná i Jaderná </w:t>
      </w:r>
      <w:r w:rsidRPr="00845AD8">
        <w:rPr>
          <w:rFonts w:ascii="Arial" w:hAnsi="Arial" w:cs="Arial"/>
        </w:rPr>
        <w:lastRenderedPageBreak/>
        <w:t>energetika, kvalitnější publikace však vznikly</w:t>
      </w:r>
      <w:r w:rsidRPr="008F198C">
        <w:rPr>
          <w:rFonts w:ascii="Arial" w:hAnsi="Arial" w:cs="Arial"/>
        </w:rPr>
        <w:t xml:space="preserve"> v Environmentálním a Materiálovém inženýrství. Informace však může být zkreslena odlišným kódováním oborů v IS VaVaI a ve světových citačních databázích (podrobněji v kapitole 2), případně mohou být publikace výsledkem aktivit financovaných institucionálně, přičemž pro</w:t>
      </w:r>
      <w:r w:rsidRPr="009A04A4">
        <w:rPr>
          <w:rFonts w:ascii="Arial" w:hAnsi="Arial" w:cs="Arial"/>
        </w:rPr>
        <w:t xml:space="preserve"> oborovou determinaci finanční alokace institucionální podpory chybí relevantní data.</w:t>
      </w:r>
    </w:p>
    <w:p w:rsidR="005F2F7D" w:rsidRPr="009A04A4" w:rsidRDefault="005F2F7D" w:rsidP="009A04A4">
      <w:pPr>
        <w:spacing w:after="0" w:line="360" w:lineRule="auto"/>
        <w:ind w:firstLine="709"/>
        <w:jc w:val="both"/>
        <w:rPr>
          <w:rFonts w:ascii="Arial" w:hAnsi="Arial" w:cs="Arial"/>
        </w:rPr>
      </w:pPr>
      <w:r w:rsidRPr="008F198C">
        <w:rPr>
          <w:rFonts w:ascii="Arial" w:hAnsi="Arial" w:cs="Arial"/>
        </w:rPr>
        <w:t>Dalším významným měřítkem kvality publikací je působení českých autorů v mezinárodních autorských kolektivech vědeckých publikací.</w:t>
      </w:r>
      <w:r w:rsidRPr="009A04A4">
        <w:rPr>
          <w:rFonts w:ascii="Arial" w:hAnsi="Arial" w:cs="Arial"/>
        </w:rPr>
        <w:t xml:space="preserve"> Zároveň se jedná o jeden z indikátorů internacionalizace výzkumu. Jak dokládá obr</w:t>
      </w:r>
      <w:r w:rsidR="00136E58">
        <w:rPr>
          <w:rFonts w:ascii="Arial" w:hAnsi="Arial" w:cs="Arial"/>
        </w:rPr>
        <w:t>ázek</w:t>
      </w:r>
      <w:r w:rsidRPr="009A04A4">
        <w:rPr>
          <w:rFonts w:ascii="Arial" w:hAnsi="Arial" w:cs="Arial"/>
        </w:rPr>
        <w:t xml:space="preserve"> 6.10, došlo v posledních pěti letech ke zvýšení podílu kvalitních publikací v mezinárodním kolektivu autorů, oproti výhradně českým publikacím. Zatímco v roce 2008 bylo z celkových 8,4 tis. publikací 45 % mezinárodních, v roce 2013 to bylo více než 50 % z celkových 11,2 tis. publikací. Mírně se rovněž změnila struktura zahraničních zemí, se kterými čeští vědci v rámci publikační činnosti spolupracují. Největší počet mezinárodních publikací vytvořili v roce 2013 čeští autoři ve spolupráci s autory ze Spojených států amerických, zatímco v roce 2008 to bylo s autory  německými. Klesá rovněž význam spolupráce s evropskými zeměmi publikujícími méně úspěšně, jako je např. Slovensko či Polsko, ve prospěch zemí úspěšnějších, jako např. Anglie, Francie, Rakousko nebo Švýcarsko. Uvedené skutečnosti mohou být příčinou rostoucí kv</w:t>
      </w:r>
      <w:r w:rsidR="009A04A4">
        <w:rPr>
          <w:rFonts w:ascii="Arial" w:hAnsi="Arial" w:cs="Arial"/>
        </w:rPr>
        <w:t>ality publikací českých autorů.</w:t>
      </w:r>
    </w:p>
    <w:p w:rsidR="005F2F7D" w:rsidRPr="008A3BE9" w:rsidRDefault="005F2F7D" w:rsidP="009A04A4">
      <w:pPr>
        <w:pStyle w:val="Obrzek-nadpis"/>
      </w:pPr>
      <w:r w:rsidRPr="008A3BE9">
        <w:t>Obr.</w:t>
      </w:r>
      <w:r>
        <w:t xml:space="preserve"> 6.10:</w:t>
      </w:r>
      <w:r w:rsidRPr="008A3BE9">
        <w:t xml:space="preserve"> Publikace českých autorů vytvořené ve spolupráci se zahraničními partnery – srovnání roku 2008 s rokem 2013</w:t>
      </w:r>
    </w:p>
    <w:p w:rsidR="005F2F7D" w:rsidRDefault="005F2F7D" w:rsidP="00D653B6">
      <w:pPr>
        <w:jc w:val="center"/>
      </w:pPr>
      <w:r>
        <w:rPr>
          <w:noProof/>
          <w:lang w:eastAsia="cs-CZ"/>
        </w:rPr>
        <w:drawing>
          <wp:inline distT="0" distB="0" distL="0" distR="0" wp14:anchorId="04CB0726" wp14:editId="7BDDF479">
            <wp:extent cx="5760720" cy="2511425"/>
            <wp:effectExtent l="0" t="0" r="0" b="3175"/>
            <wp:docPr id="63" name="Obráze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ZE_collab.png"/>
                    <pic:cNvPicPr/>
                  </pic:nvPicPr>
                  <pic:blipFill>
                    <a:blip r:embed="rId55">
                      <a:extLst>
                        <a:ext uri="{28A0092B-C50C-407E-A947-70E740481C1C}">
                          <a14:useLocalDpi xmlns:a14="http://schemas.microsoft.com/office/drawing/2010/main" val="0"/>
                        </a:ext>
                      </a:extLst>
                    </a:blip>
                    <a:stretch>
                      <a:fillRect/>
                    </a:stretch>
                  </pic:blipFill>
                  <pic:spPr>
                    <a:xfrm>
                      <a:off x="0" y="0"/>
                      <a:ext cx="5760720" cy="2511425"/>
                    </a:xfrm>
                    <a:prstGeom prst="rect">
                      <a:avLst/>
                    </a:prstGeom>
                  </pic:spPr>
                </pic:pic>
              </a:graphicData>
            </a:graphic>
          </wp:inline>
        </w:drawing>
      </w:r>
    </w:p>
    <w:p w:rsidR="005F2F7D" w:rsidRPr="008A3BE9" w:rsidRDefault="005F2F7D" w:rsidP="009A04A4">
      <w:pPr>
        <w:pStyle w:val="Zdroj"/>
      </w:pPr>
      <w:r w:rsidRPr="008A3BE9">
        <w:t xml:space="preserve">Zdroj dat: Web </w:t>
      </w:r>
      <w:proofErr w:type="spellStart"/>
      <w:r w:rsidRPr="008A3BE9">
        <w:t>of</w:t>
      </w:r>
      <w:proofErr w:type="spellEnd"/>
      <w:r w:rsidRPr="008A3BE9">
        <w:t xml:space="preserve"> Science, publikace typu </w:t>
      </w:r>
      <w:proofErr w:type="spellStart"/>
      <w:r w:rsidRPr="008A3BE9">
        <w:t>article</w:t>
      </w:r>
      <w:proofErr w:type="spellEnd"/>
      <w:r w:rsidRPr="008A3BE9">
        <w:t xml:space="preserve">, </w:t>
      </w:r>
      <w:proofErr w:type="spellStart"/>
      <w:r w:rsidRPr="008A3BE9">
        <w:t>letter</w:t>
      </w:r>
      <w:proofErr w:type="spellEnd"/>
      <w:r w:rsidRPr="008A3BE9">
        <w:t xml:space="preserve">, </w:t>
      </w:r>
      <w:proofErr w:type="spellStart"/>
      <w:r w:rsidRPr="008A3BE9">
        <w:t>review</w:t>
      </w:r>
      <w:proofErr w:type="spellEnd"/>
    </w:p>
    <w:p w:rsidR="005F2F7D" w:rsidRDefault="005F2F7D" w:rsidP="009A04A4">
      <w:pPr>
        <w:pStyle w:val="komentzaobrzkem"/>
        <w:spacing w:after="240"/>
      </w:pPr>
      <w:r w:rsidRPr="008A3BE9">
        <w:t>V bublinách jsou uvedeny počty publikací</w:t>
      </w:r>
      <w:r>
        <w:t xml:space="preserve"> vytvořených v daném roce</w:t>
      </w:r>
      <w:r w:rsidRPr="008A3BE9">
        <w:t>, u kterých je v autorském kolektivu český tvůrce spolu s tvůrcem z dané země</w:t>
      </w:r>
      <w:r>
        <w:t>.</w:t>
      </w:r>
    </w:p>
    <w:p w:rsidR="005F2F7D" w:rsidRPr="009A04A4" w:rsidRDefault="005F2F7D" w:rsidP="009A04A4">
      <w:pPr>
        <w:spacing w:after="0" w:line="360" w:lineRule="auto"/>
        <w:ind w:firstLine="709"/>
        <w:jc w:val="both"/>
        <w:rPr>
          <w:rFonts w:ascii="Arial" w:hAnsi="Arial" w:cs="Arial"/>
        </w:rPr>
      </w:pPr>
      <w:r w:rsidRPr="009A04A4">
        <w:rPr>
          <w:rFonts w:ascii="Arial" w:hAnsi="Arial" w:cs="Arial"/>
        </w:rPr>
        <w:t xml:space="preserve">V mezinárodním srovnání </w:t>
      </w:r>
      <w:proofErr w:type="spellStart"/>
      <w:r w:rsidRPr="009A04A4">
        <w:rPr>
          <w:rFonts w:ascii="Arial" w:hAnsi="Arial" w:cs="Arial"/>
        </w:rPr>
        <w:t>kolaborativních</w:t>
      </w:r>
      <w:proofErr w:type="spellEnd"/>
      <w:r w:rsidRPr="009A04A4">
        <w:rPr>
          <w:rFonts w:ascii="Arial" w:hAnsi="Arial" w:cs="Arial"/>
        </w:rPr>
        <w:t xml:space="preserve"> publikací ČR se svými 50 % mezinárodními publikacemi z celkového počtu článků v databázi Web </w:t>
      </w:r>
      <w:proofErr w:type="spellStart"/>
      <w:r w:rsidRPr="009A04A4">
        <w:rPr>
          <w:rFonts w:ascii="Arial" w:hAnsi="Arial" w:cs="Arial"/>
        </w:rPr>
        <w:t>of</w:t>
      </w:r>
      <w:proofErr w:type="spellEnd"/>
      <w:r w:rsidRPr="009A04A4">
        <w:rPr>
          <w:rFonts w:ascii="Arial" w:hAnsi="Arial" w:cs="Arial"/>
        </w:rPr>
        <w:t xml:space="preserve"> Science mírně zaostává za evropským průměrem a rovněž tempo růstu tohoto parametru za posledních pět let (cca 12 %) je ve srovnání s evropským průměrem mírně pomalejší (obr</w:t>
      </w:r>
      <w:r w:rsidR="00D36A6E">
        <w:rPr>
          <w:rFonts w:ascii="Arial" w:hAnsi="Arial" w:cs="Arial"/>
        </w:rPr>
        <w:t>ázek</w:t>
      </w:r>
      <w:r w:rsidRPr="009A04A4">
        <w:rPr>
          <w:rFonts w:ascii="Arial" w:hAnsi="Arial" w:cs="Arial"/>
        </w:rPr>
        <w:t xml:space="preserve"> 6.11). ČR je na srovnatelné úrovni s Německ</w:t>
      </w:r>
      <w:r w:rsidR="00B028FD">
        <w:rPr>
          <w:rFonts w:ascii="Arial" w:hAnsi="Arial" w:cs="Arial"/>
        </w:rPr>
        <w:t>em</w:t>
      </w:r>
      <w:r w:rsidRPr="009A04A4">
        <w:rPr>
          <w:rFonts w:ascii="Arial" w:hAnsi="Arial" w:cs="Arial"/>
        </w:rPr>
        <w:t xml:space="preserve"> a Velk</w:t>
      </w:r>
      <w:r w:rsidR="00B028FD">
        <w:rPr>
          <w:rFonts w:ascii="Arial" w:hAnsi="Arial" w:cs="Arial"/>
        </w:rPr>
        <w:t>ou</w:t>
      </w:r>
      <w:r w:rsidRPr="009A04A4">
        <w:rPr>
          <w:rFonts w:ascii="Arial" w:hAnsi="Arial" w:cs="Arial"/>
        </w:rPr>
        <w:t xml:space="preserve"> Británi</w:t>
      </w:r>
      <w:r w:rsidR="00B028FD">
        <w:rPr>
          <w:rFonts w:ascii="Arial" w:hAnsi="Arial" w:cs="Arial"/>
        </w:rPr>
        <w:t>í</w:t>
      </w:r>
      <w:r w:rsidRPr="009A04A4">
        <w:rPr>
          <w:rFonts w:ascii="Arial" w:hAnsi="Arial" w:cs="Arial"/>
        </w:rPr>
        <w:t xml:space="preserve">, mírně předčí Itálii a Španělsko. ČR výrazněji ztrácí na státy, jako je Dánsko, </w:t>
      </w:r>
      <w:r w:rsidRPr="009A04A4">
        <w:rPr>
          <w:rFonts w:ascii="Arial" w:hAnsi="Arial" w:cs="Arial"/>
        </w:rPr>
        <w:lastRenderedPageBreak/>
        <w:t xml:space="preserve">Belgie, Rakousko, nebo Švýcarsko, kde se podíl </w:t>
      </w:r>
      <w:proofErr w:type="spellStart"/>
      <w:r w:rsidRPr="009A04A4">
        <w:rPr>
          <w:rFonts w:ascii="Arial" w:hAnsi="Arial" w:cs="Arial"/>
        </w:rPr>
        <w:t>kolaborativních</w:t>
      </w:r>
      <w:proofErr w:type="spellEnd"/>
      <w:r w:rsidRPr="009A04A4">
        <w:rPr>
          <w:rFonts w:ascii="Arial" w:hAnsi="Arial" w:cs="Arial"/>
        </w:rPr>
        <w:t xml:space="preserve"> publikací pohybuje mezi 60 a</w:t>
      </w:r>
      <w:r w:rsidR="001F7718">
        <w:rPr>
          <w:rFonts w:ascii="Arial" w:hAnsi="Arial" w:cs="Arial"/>
        </w:rPr>
        <w:t> </w:t>
      </w:r>
      <w:r w:rsidRPr="009A04A4">
        <w:rPr>
          <w:rFonts w:ascii="Arial" w:hAnsi="Arial" w:cs="Arial"/>
        </w:rPr>
        <w:t xml:space="preserve">70 %. Mezi státy s nejnižším podílem patří Polsko a Spojené státy americké (cca </w:t>
      </w:r>
      <w:proofErr w:type="gramStart"/>
      <w:r w:rsidRPr="009A04A4">
        <w:rPr>
          <w:rFonts w:ascii="Arial" w:hAnsi="Arial" w:cs="Arial"/>
        </w:rPr>
        <w:t xml:space="preserve">35 %). </w:t>
      </w:r>
      <w:r w:rsidRPr="00845AD8">
        <w:rPr>
          <w:rFonts w:ascii="Arial" w:hAnsi="Arial" w:cs="Arial"/>
        </w:rPr>
        <w:t>.</w:t>
      </w:r>
      <w:proofErr w:type="gramEnd"/>
    </w:p>
    <w:p w:rsidR="005F2F7D" w:rsidRPr="00287C04" w:rsidRDefault="005F2F7D" w:rsidP="009A04A4">
      <w:pPr>
        <w:pStyle w:val="Obrzek-nadpis"/>
      </w:pPr>
      <w:r w:rsidRPr="00287C04">
        <w:t>Obr.</w:t>
      </w:r>
      <w:r>
        <w:t xml:space="preserve"> 6.11:</w:t>
      </w:r>
      <w:r w:rsidRPr="00287C04">
        <w:t xml:space="preserve"> Podíl vědeckých publikací vytvořených mezinárodními autorskými týmy v zemích EU a OECD.</w:t>
      </w:r>
    </w:p>
    <w:p w:rsidR="005F2F7D" w:rsidRDefault="001F7718" w:rsidP="00D653B6">
      <w:pPr>
        <w:jc w:val="center"/>
      </w:pPr>
      <w:r w:rsidRPr="001F7718">
        <w:rPr>
          <w:noProof/>
          <w:lang w:eastAsia="cs-CZ"/>
        </w:rPr>
        <w:drawing>
          <wp:inline distT="0" distB="0" distL="0" distR="0">
            <wp:extent cx="4698000" cy="3340800"/>
            <wp:effectExtent l="0" t="0" r="7620" b="0"/>
            <wp:docPr id="323" name="Obrázek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698000" cy="3340800"/>
                    </a:xfrm>
                    <a:prstGeom prst="rect">
                      <a:avLst/>
                    </a:prstGeom>
                    <a:noFill/>
                    <a:ln>
                      <a:noFill/>
                    </a:ln>
                  </pic:spPr>
                </pic:pic>
              </a:graphicData>
            </a:graphic>
          </wp:inline>
        </w:drawing>
      </w:r>
    </w:p>
    <w:p w:rsidR="005F2F7D" w:rsidRPr="00EA4C8C" w:rsidRDefault="005F2F7D" w:rsidP="009A04A4">
      <w:pPr>
        <w:pStyle w:val="Zdroj"/>
      </w:pPr>
      <w:r w:rsidRPr="00EA4C8C">
        <w:t xml:space="preserve">Zdroj dat: Web </w:t>
      </w:r>
      <w:proofErr w:type="spellStart"/>
      <w:r w:rsidRPr="00EA4C8C">
        <w:t>of</w:t>
      </w:r>
      <w:proofErr w:type="spellEnd"/>
      <w:r w:rsidRPr="00EA4C8C">
        <w:t xml:space="preserve"> Science, exportováno prostřednictvím nástroje </w:t>
      </w:r>
      <w:proofErr w:type="spellStart"/>
      <w:r w:rsidRPr="00EA4C8C">
        <w:t>InCites</w:t>
      </w:r>
      <w:proofErr w:type="spellEnd"/>
      <w:r w:rsidRPr="00EA4C8C">
        <w:t xml:space="preserve">, publikace typu </w:t>
      </w:r>
      <w:proofErr w:type="spellStart"/>
      <w:r w:rsidRPr="00EA4C8C">
        <w:t>article</w:t>
      </w:r>
      <w:proofErr w:type="spellEnd"/>
      <w:r w:rsidRPr="00EA4C8C">
        <w:t xml:space="preserve">, </w:t>
      </w:r>
      <w:proofErr w:type="spellStart"/>
      <w:r w:rsidRPr="00EA4C8C">
        <w:t>letter</w:t>
      </w:r>
      <w:proofErr w:type="spellEnd"/>
      <w:r w:rsidRPr="00EA4C8C">
        <w:t xml:space="preserve">, </w:t>
      </w:r>
      <w:proofErr w:type="spellStart"/>
      <w:r w:rsidRPr="00EA4C8C">
        <w:t>review</w:t>
      </w:r>
      <w:proofErr w:type="spellEnd"/>
    </w:p>
    <w:p w:rsidR="005F2F7D" w:rsidRPr="00EA4C8C" w:rsidRDefault="005F2F7D" w:rsidP="009A04A4">
      <w:pPr>
        <w:pStyle w:val="komentzaobrzkem"/>
      </w:pPr>
      <w:r w:rsidRPr="00EA4C8C">
        <w:t xml:space="preserve">Horizontální osa: </w:t>
      </w:r>
      <w:r>
        <w:t>P</w:t>
      </w:r>
      <w:r w:rsidRPr="00EA4C8C">
        <w:t xml:space="preserve">odíl publikací s alespoň jedním autorem ze zahraničí na celkovém počtu publikací dané země </w:t>
      </w:r>
      <w:r>
        <w:t xml:space="preserve">v roce 2013 </w:t>
      </w:r>
      <w:r w:rsidRPr="00EA4C8C">
        <w:t>(v %)</w:t>
      </w:r>
      <w:r>
        <w:t>.</w:t>
      </w:r>
    </w:p>
    <w:p w:rsidR="005F2F7D" w:rsidRDefault="005F2F7D" w:rsidP="009A04A4">
      <w:pPr>
        <w:pStyle w:val="komentzaobrzkem"/>
      </w:pPr>
      <w:r w:rsidRPr="00EA4C8C">
        <w:t xml:space="preserve">Vertikální osa: </w:t>
      </w:r>
      <w:r>
        <w:t>N</w:t>
      </w:r>
      <w:r w:rsidRPr="00EA4C8C">
        <w:t>árůst podílu mezinárodních publikací mezi roky 2008 a 2013 (v %)</w:t>
      </w:r>
    </w:p>
    <w:p w:rsidR="009A04A4" w:rsidRDefault="005F2F7D" w:rsidP="009A04A4">
      <w:pPr>
        <w:pStyle w:val="komentzaobrzkem"/>
      </w:pPr>
      <w:r>
        <w:t>Průsečík os značí teoretickou pozici EU 28</w:t>
      </w:r>
    </w:p>
    <w:p w:rsidR="009A04A4" w:rsidRDefault="009A04A4" w:rsidP="009A04A4">
      <w:pPr>
        <w:rPr>
          <w:rFonts w:ascii="Arial" w:eastAsia="Times New Roman" w:hAnsi="Arial" w:cs="Times New Roman"/>
          <w:sz w:val="18"/>
          <w:szCs w:val="24"/>
          <w:lang w:eastAsia="cs-CZ"/>
        </w:rPr>
      </w:pPr>
      <w:r>
        <w:br w:type="page"/>
      </w:r>
    </w:p>
    <w:p w:rsidR="000822A0" w:rsidRPr="000822A0" w:rsidRDefault="00DA646C" w:rsidP="00956D00">
      <w:pPr>
        <w:pStyle w:val="Nadpis2"/>
      </w:pPr>
      <w:bookmarkStart w:id="14" w:name="_Toc427676904"/>
      <w:r>
        <w:lastRenderedPageBreak/>
        <w:t xml:space="preserve">7. </w:t>
      </w:r>
      <w:r w:rsidR="000822A0" w:rsidRPr="000822A0">
        <w:t>Inovační výkonnost české ekonomiky a její mezinárodní srovnání</w:t>
      </w:r>
      <w:bookmarkEnd w:id="14"/>
    </w:p>
    <w:p w:rsidR="000822A0" w:rsidRPr="00F57A5E" w:rsidRDefault="000822A0" w:rsidP="00D72475">
      <w:pPr>
        <w:spacing w:after="0" w:line="360" w:lineRule="auto"/>
        <w:ind w:firstLine="709"/>
        <w:jc w:val="both"/>
        <w:rPr>
          <w:rFonts w:ascii="Arial" w:eastAsia="Times New Roman" w:hAnsi="Arial" w:cs="Arial"/>
          <w:lang w:eastAsia="cs-CZ"/>
        </w:rPr>
      </w:pPr>
      <w:r w:rsidRPr="00F57A5E">
        <w:rPr>
          <w:rFonts w:ascii="Arial" w:eastAsia="Times New Roman" w:hAnsi="Arial" w:cs="Arial"/>
          <w:lang w:eastAsia="cs-CZ"/>
        </w:rPr>
        <w:t>Inovační výkon je posuzován na základě několika různých přístupů, přičemž jsou využívány jednoduché indikátory nebo indikátory složené i z několika desítek dílčích ukazatelů. Výhodou jednoduchých indikátorů, obvykle na základě finančních vstupů, je jejich snadná interpretace a</w:t>
      </w:r>
      <w:r w:rsidR="001F7718">
        <w:rPr>
          <w:rFonts w:ascii="Arial" w:eastAsia="Times New Roman" w:hAnsi="Arial" w:cs="Arial"/>
          <w:lang w:eastAsia="cs-CZ"/>
        </w:rPr>
        <w:t> </w:t>
      </w:r>
      <w:r w:rsidRPr="00F57A5E">
        <w:rPr>
          <w:rFonts w:ascii="Arial" w:eastAsia="Times New Roman" w:hAnsi="Arial" w:cs="Arial"/>
          <w:lang w:eastAsia="cs-CZ"/>
        </w:rPr>
        <w:t xml:space="preserve">možnost mezinárodního srovnání s širším okruhem zemí. </w:t>
      </w:r>
      <w:r w:rsidRPr="006B4254">
        <w:rPr>
          <w:rFonts w:ascii="Arial" w:eastAsia="Times New Roman" w:hAnsi="Arial" w:cs="Arial"/>
          <w:lang w:eastAsia="cs-CZ"/>
        </w:rPr>
        <w:t xml:space="preserve">Nevýhodou </w:t>
      </w:r>
      <w:r w:rsidR="00490AF1" w:rsidRPr="006B4254">
        <w:rPr>
          <w:rFonts w:ascii="Arial" w:eastAsia="Times New Roman" w:hAnsi="Arial" w:cs="Arial"/>
          <w:lang w:eastAsia="cs-CZ"/>
        </w:rPr>
        <w:t xml:space="preserve">jednoduchých indikátorů </w:t>
      </w:r>
      <w:r w:rsidRPr="006B4254">
        <w:rPr>
          <w:rFonts w:ascii="Arial" w:eastAsia="Times New Roman" w:hAnsi="Arial" w:cs="Arial"/>
          <w:lang w:eastAsia="cs-CZ"/>
        </w:rPr>
        <w:t xml:space="preserve">je </w:t>
      </w:r>
      <w:r w:rsidR="00490AF1" w:rsidRPr="006B4254">
        <w:rPr>
          <w:rFonts w:ascii="Arial" w:eastAsia="Times New Roman" w:hAnsi="Arial" w:cs="Arial"/>
          <w:lang w:eastAsia="cs-CZ"/>
        </w:rPr>
        <w:t>jejich neschopnost</w:t>
      </w:r>
      <w:r w:rsidRPr="006B4254">
        <w:rPr>
          <w:rFonts w:ascii="Arial" w:eastAsia="Times New Roman" w:hAnsi="Arial" w:cs="Arial"/>
          <w:lang w:eastAsia="cs-CZ"/>
        </w:rPr>
        <w:t xml:space="preserve"> </w:t>
      </w:r>
      <w:r w:rsidR="00490AF1" w:rsidRPr="006B4254">
        <w:rPr>
          <w:rFonts w:ascii="Arial" w:eastAsia="Times New Roman" w:hAnsi="Arial" w:cs="Arial"/>
          <w:lang w:eastAsia="cs-CZ"/>
        </w:rPr>
        <w:t xml:space="preserve">postihnout </w:t>
      </w:r>
      <w:r w:rsidRPr="006B4254">
        <w:rPr>
          <w:rFonts w:ascii="Arial" w:eastAsia="Times New Roman" w:hAnsi="Arial" w:cs="Arial"/>
          <w:lang w:eastAsia="cs-CZ"/>
        </w:rPr>
        <w:t>skutečnou příčinu úrovně inovačního výkonu</w:t>
      </w:r>
      <w:r w:rsidR="00490AF1" w:rsidRPr="006B4254">
        <w:rPr>
          <w:rFonts w:ascii="Arial" w:eastAsia="Times New Roman" w:hAnsi="Arial" w:cs="Arial"/>
          <w:lang w:eastAsia="cs-CZ"/>
        </w:rPr>
        <w:t>,</w:t>
      </w:r>
      <w:r w:rsidRPr="006B4254">
        <w:rPr>
          <w:rFonts w:ascii="Arial" w:eastAsia="Times New Roman" w:hAnsi="Arial" w:cs="Arial"/>
          <w:lang w:eastAsia="cs-CZ"/>
        </w:rPr>
        <w:t xml:space="preserve"> a tudíž </w:t>
      </w:r>
      <w:r w:rsidR="00490AF1" w:rsidRPr="006B4254">
        <w:rPr>
          <w:rFonts w:ascii="Arial" w:eastAsia="Times New Roman" w:hAnsi="Arial" w:cs="Arial"/>
          <w:lang w:eastAsia="cs-CZ"/>
        </w:rPr>
        <w:t>jejich nevhodnost k</w:t>
      </w:r>
      <w:r w:rsidRPr="006B4254">
        <w:rPr>
          <w:rFonts w:ascii="Arial" w:eastAsia="Times New Roman" w:hAnsi="Arial" w:cs="Arial"/>
          <w:lang w:eastAsia="cs-CZ"/>
        </w:rPr>
        <w:t xml:space="preserve"> </w:t>
      </w:r>
      <w:r w:rsidR="00490AF1" w:rsidRPr="006B4254">
        <w:rPr>
          <w:rFonts w:ascii="Arial" w:eastAsia="Times New Roman" w:hAnsi="Arial" w:cs="Arial"/>
          <w:lang w:eastAsia="cs-CZ"/>
        </w:rPr>
        <w:t xml:space="preserve">využití v </w:t>
      </w:r>
      <w:r w:rsidRPr="006B4254">
        <w:rPr>
          <w:rFonts w:ascii="Arial" w:eastAsia="Times New Roman" w:hAnsi="Arial" w:cs="Arial"/>
          <w:lang w:eastAsia="cs-CZ"/>
        </w:rPr>
        <w:t>management</w:t>
      </w:r>
      <w:r w:rsidR="00490AF1" w:rsidRPr="006B4254">
        <w:rPr>
          <w:rFonts w:ascii="Arial" w:eastAsia="Times New Roman" w:hAnsi="Arial" w:cs="Arial"/>
          <w:lang w:eastAsia="cs-CZ"/>
        </w:rPr>
        <w:t>u</w:t>
      </w:r>
      <w:r w:rsidRPr="006B4254">
        <w:rPr>
          <w:rFonts w:ascii="Arial" w:eastAsia="Times New Roman" w:hAnsi="Arial" w:cs="Arial"/>
          <w:lang w:eastAsia="cs-CZ"/>
        </w:rPr>
        <w:t xml:space="preserve"> inovací.</w:t>
      </w:r>
      <w:r w:rsidRPr="00F57A5E">
        <w:rPr>
          <w:rFonts w:ascii="Arial" w:eastAsia="Times New Roman" w:hAnsi="Arial" w:cs="Arial"/>
          <w:lang w:eastAsia="cs-CZ"/>
        </w:rPr>
        <w:t xml:space="preserve"> Potřeba přesněji určovat inovativnost ekonomiky a</w:t>
      </w:r>
      <w:r w:rsidR="001F7718">
        <w:rPr>
          <w:rFonts w:ascii="Arial" w:eastAsia="Times New Roman" w:hAnsi="Arial" w:cs="Arial"/>
          <w:lang w:eastAsia="cs-CZ"/>
        </w:rPr>
        <w:t> </w:t>
      </w:r>
      <w:r w:rsidRPr="00F57A5E">
        <w:rPr>
          <w:rFonts w:ascii="Arial" w:eastAsia="Times New Roman" w:hAnsi="Arial" w:cs="Arial"/>
          <w:lang w:eastAsia="cs-CZ"/>
        </w:rPr>
        <w:t xml:space="preserve">její příčiny </w:t>
      </w:r>
      <w:r w:rsidR="00490AF1" w:rsidRPr="00F57A5E">
        <w:rPr>
          <w:rFonts w:ascii="Arial" w:eastAsia="Times New Roman" w:hAnsi="Arial" w:cs="Arial"/>
          <w:lang w:eastAsia="cs-CZ"/>
        </w:rPr>
        <w:t>i</w:t>
      </w:r>
      <w:r w:rsidRPr="00F57A5E">
        <w:rPr>
          <w:rFonts w:ascii="Arial" w:eastAsia="Times New Roman" w:hAnsi="Arial" w:cs="Arial"/>
          <w:lang w:eastAsia="cs-CZ"/>
        </w:rPr>
        <w:t xml:space="preserve"> dopady přispěla k tvorbě sofistikovanějších indikátorů inovativnosti kompozitního charakteru.</w:t>
      </w:r>
    </w:p>
    <w:p w:rsidR="000822A0" w:rsidRPr="00DA646C" w:rsidRDefault="006A469E" w:rsidP="00956D00">
      <w:pPr>
        <w:pStyle w:val="Nadpis3"/>
      </w:pPr>
      <w:bookmarkStart w:id="15" w:name="_Toc427676905"/>
      <w:r>
        <w:t>7.1</w:t>
      </w:r>
      <w:r w:rsidR="00071A9A">
        <w:t>.</w:t>
      </w:r>
      <w:r>
        <w:t xml:space="preserve"> </w:t>
      </w:r>
      <w:r w:rsidR="000822A0" w:rsidRPr="00FD7117">
        <w:t>Inovační výkon na základě jednoduchých indikátorů</w:t>
      </w:r>
      <w:bookmarkEnd w:id="15"/>
    </w:p>
    <w:p w:rsidR="000822A0" w:rsidRPr="00F57A5E" w:rsidRDefault="000822A0" w:rsidP="000C142B">
      <w:pPr>
        <w:spacing w:after="0" w:line="360" w:lineRule="auto"/>
        <w:ind w:firstLine="708"/>
        <w:jc w:val="both"/>
        <w:rPr>
          <w:rFonts w:ascii="Arial" w:eastAsia="Times New Roman" w:hAnsi="Arial" w:cs="Arial"/>
          <w:lang w:eastAsia="cs-CZ"/>
        </w:rPr>
      </w:pPr>
      <w:r w:rsidRPr="00F57A5E">
        <w:rPr>
          <w:rFonts w:ascii="Arial" w:eastAsia="Times New Roman" w:hAnsi="Arial" w:cs="Arial"/>
          <w:lang w:eastAsia="cs-CZ"/>
        </w:rPr>
        <w:t>Z důvodu snadné interpretace a možnosti mezinárodního srovnávání je často používán ukazatel Znalostní intenzita ekonomiky. Znalostní intenzitu ekonomiky lze vyjádřit jako poměr celkových výdajů na vědu a výzkum</w:t>
      </w:r>
      <w:r w:rsidRPr="00F57A5E">
        <w:rPr>
          <w:rFonts w:ascii="Arial" w:eastAsia="Times New Roman" w:hAnsi="Arial" w:cs="Arial"/>
          <w:vertAlign w:val="superscript"/>
          <w:lang w:eastAsia="cs-CZ"/>
        </w:rPr>
        <w:footnoteReference w:id="24"/>
      </w:r>
      <w:r w:rsidRPr="00F57A5E">
        <w:rPr>
          <w:rFonts w:ascii="Arial" w:eastAsia="Times New Roman" w:hAnsi="Arial" w:cs="Arial"/>
          <w:lang w:eastAsia="cs-CZ"/>
        </w:rPr>
        <w:t xml:space="preserve"> k výši hrubého domácího produktu. Uvedený údaj je statisticky zjišťován ve většině evropských zemí a členských zemí OECD, proto umožňuje široké mezinárodní srovnání. V roce 2013 dosahovaly GERD v České republice 1,91 % (před revizí Národních účtů činily 2 % HDP). Oproti roku 2012 došlo k navýšení GERD o 0,12%, čili výdaje na</w:t>
      </w:r>
      <w:r w:rsidR="001F7718">
        <w:rPr>
          <w:rFonts w:ascii="Arial" w:eastAsia="Times New Roman" w:hAnsi="Arial" w:cs="Arial"/>
          <w:lang w:eastAsia="cs-CZ"/>
        </w:rPr>
        <w:t> </w:t>
      </w:r>
      <w:proofErr w:type="spellStart"/>
      <w:r w:rsidRPr="00F57A5E">
        <w:rPr>
          <w:rFonts w:ascii="Arial" w:eastAsia="Times New Roman" w:hAnsi="Arial" w:cs="Arial"/>
          <w:lang w:eastAsia="cs-CZ"/>
        </w:rPr>
        <w:t>VaV</w:t>
      </w:r>
      <w:proofErr w:type="spellEnd"/>
      <w:r w:rsidRPr="00F57A5E">
        <w:rPr>
          <w:rFonts w:ascii="Arial" w:eastAsia="Times New Roman" w:hAnsi="Arial" w:cs="Arial"/>
          <w:lang w:eastAsia="cs-CZ"/>
        </w:rPr>
        <w:t xml:space="preserve"> dosahovaly 1,88 % HDP (před revizí Národní</w:t>
      </w:r>
      <w:r w:rsidR="00100AF0">
        <w:rPr>
          <w:rFonts w:ascii="Arial" w:eastAsia="Times New Roman" w:hAnsi="Arial" w:cs="Arial"/>
          <w:lang w:eastAsia="cs-CZ"/>
        </w:rPr>
        <w:t>ch účtů 1,79% HDP). Od roku 2008</w:t>
      </w:r>
      <w:r w:rsidRPr="00F57A5E">
        <w:rPr>
          <w:rFonts w:ascii="Arial" w:eastAsia="Times New Roman" w:hAnsi="Arial" w:cs="Arial"/>
          <w:lang w:eastAsia="cs-CZ"/>
        </w:rPr>
        <w:t xml:space="preserve"> narostl poměr výdajů na </w:t>
      </w:r>
      <w:proofErr w:type="spellStart"/>
      <w:r w:rsidRPr="00F57A5E">
        <w:rPr>
          <w:rFonts w:ascii="Arial" w:eastAsia="Times New Roman" w:hAnsi="Arial" w:cs="Arial"/>
          <w:lang w:eastAsia="cs-CZ"/>
        </w:rPr>
        <w:t>VaV</w:t>
      </w:r>
      <w:proofErr w:type="spellEnd"/>
      <w:r w:rsidRPr="00F57A5E">
        <w:rPr>
          <w:rFonts w:ascii="Arial" w:eastAsia="Times New Roman" w:hAnsi="Arial" w:cs="Arial"/>
          <w:lang w:eastAsia="cs-CZ"/>
        </w:rPr>
        <w:t xml:space="preserve"> k výši HDP v průměru</w:t>
      </w:r>
      <w:r w:rsidR="00934D86">
        <w:rPr>
          <w:rFonts w:ascii="Arial" w:eastAsia="Times New Roman" w:hAnsi="Arial" w:cs="Arial"/>
          <w:lang w:eastAsia="cs-CZ"/>
        </w:rPr>
        <w:t xml:space="preserve"> o 0,67 procentních bodů (obr</w:t>
      </w:r>
      <w:r w:rsidR="00D36A6E">
        <w:rPr>
          <w:rFonts w:ascii="Arial" w:eastAsia="Times New Roman" w:hAnsi="Arial" w:cs="Arial"/>
          <w:lang w:eastAsia="cs-CZ"/>
        </w:rPr>
        <w:t>ázek</w:t>
      </w:r>
      <w:r w:rsidR="00934D86">
        <w:rPr>
          <w:rFonts w:ascii="Arial" w:eastAsia="Times New Roman" w:hAnsi="Arial" w:cs="Arial"/>
          <w:lang w:eastAsia="cs-CZ"/>
        </w:rPr>
        <w:t xml:space="preserve"> 7.1</w:t>
      </w:r>
      <w:r w:rsidRPr="00F57A5E">
        <w:rPr>
          <w:rFonts w:ascii="Arial" w:eastAsia="Times New Roman" w:hAnsi="Arial" w:cs="Arial"/>
          <w:lang w:eastAsia="cs-CZ"/>
        </w:rPr>
        <w:t>).</w:t>
      </w:r>
    </w:p>
    <w:p w:rsidR="000822A0" w:rsidRPr="00F57A5E" w:rsidRDefault="000822A0" w:rsidP="000C142B">
      <w:pPr>
        <w:spacing w:after="0" w:line="360" w:lineRule="auto"/>
        <w:ind w:firstLine="708"/>
        <w:jc w:val="both"/>
        <w:rPr>
          <w:rFonts w:ascii="Arial" w:eastAsia="Times New Roman" w:hAnsi="Arial" w:cs="Arial"/>
          <w:lang w:eastAsia="cs-CZ"/>
        </w:rPr>
      </w:pPr>
      <w:r w:rsidRPr="00F57A5E">
        <w:rPr>
          <w:rFonts w:ascii="Arial" w:eastAsia="Times New Roman" w:hAnsi="Arial" w:cs="Arial"/>
          <w:lang w:eastAsia="cs-CZ"/>
        </w:rPr>
        <w:t>V roce 2013 byly celkové výdaje v zemích Evropské unie (</w:t>
      </w:r>
      <w:r w:rsidR="00A623DC">
        <w:rPr>
          <w:rFonts w:ascii="Arial" w:eastAsia="Times New Roman" w:hAnsi="Arial" w:cs="Arial"/>
          <w:lang w:eastAsia="cs-CZ"/>
        </w:rPr>
        <w:t>EU 28</w:t>
      </w:r>
      <w:r w:rsidR="00FF41AA">
        <w:rPr>
          <w:rFonts w:ascii="Arial" w:eastAsia="Times New Roman" w:hAnsi="Arial" w:cs="Arial"/>
          <w:lang w:eastAsia="cs-CZ"/>
        </w:rPr>
        <w:t xml:space="preserve">) na </w:t>
      </w:r>
      <w:proofErr w:type="spellStart"/>
      <w:r w:rsidR="00FF41AA">
        <w:rPr>
          <w:rFonts w:ascii="Arial" w:eastAsia="Times New Roman" w:hAnsi="Arial" w:cs="Arial"/>
          <w:lang w:eastAsia="cs-CZ"/>
        </w:rPr>
        <w:t>VaV</w:t>
      </w:r>
      <w:proofErr w:type="spellEnd"/>
      <w:r w:rsidR="00FF41AA">
        <w:rPr>
          <w:rFonts w:ascii="Arial" w:eastAsia="Times New Roman" w:hAnsi="Arial" w:cs="Arial"/>
          <w:lang w:eastAsia="cs-CZ"/>
        </w:rPr>
        <w:t> 271,6 mld. Eur</w:t>
      </w:r>
      <w:r w:rsidRPr="00F57A5E">
        <w:rPr>
          <w:rFonts w:ascii="Arial" w:eastAsia="Times New Roman" w:hAnsi="Arial" w:cs="Arial"/>
          <w:lang w:eastAsia="cs-CZ"/>
        </w:rPr>
        <w:t>, z toho největší podíl z této částky mělo Německo a to 29,5 %. ČR se na celkových výdajích p</w:t>
      </w:r>
      <w:r w:rsidR="00FF41AA">
        <w:rPr>
          <w:rFonts w:ascii="Arial" w:eastAsia="Times New Roman" w:hAnsi="Arial" w:cs="Arial"/>
          <w:lang w:eastAsia="cs-CZ"/>
        </w:rPr>
        <w:t>odílela 1,1 % (tj. 2,99 mld. Eur</w:t>
      </w:r>
      <w:r w:rsidRPr="00F57A5E">
        <w:rPr>
          <w:rFonts w:ascii="Arial" w:eastAsia="Times New Roman" w:hAnsi="Arial" w:cs="Arial"/>
          <w:lang w:eastAsia="cs-CZ"/>
        </w:rPr>
        <w:t>), což je cca 2 krát více než Maďarsko, 5 krát více než Slovensko, ale 2,5 krát méně než Dánsko a 3 krát méně než Rakousko a o 0,2 % m</w:t>
      </w:r>
      <w:r w:rsidR="00934D86">
        <w:rPr>
          <w:rFonts w:ascii="Arial" w:eastAsia="Times New Roman" w:hAnsi="Arial" w:cs="Arial"/>
          <w:lang w:eastAsia="cs-CZ"/>
        </w:rPr>
        <w:t>éně než bylo v Polsku</w:t>
      </w:r>
      <w:r w:rsidR="000C142B">
        <w:rPr>
          <w:rFonts w:ascii="Arial" w:eastAsia="Times New Roman" w:hAnsi="Arial" w:cs="Arial"/>
          <w:lang w:eastAsia="cs-CZ"/>
        </w:rPr>
        <w:t>.</w:t>
      </w:r>
    </w:p>
    <w:p w:rsidR="000822A0" w:rsidRPr="000822A0" w:rsidRDefault="000822A0" w:rsidP="008E7BFB">
      <w:pPr>
        <w:spacing w:after="0" w:line="360" w:lineRule="auto"/>
        <w:ind w:firstLine="708"/>
        <w:jc w:val="both"/>
      </w:pPr>
      <w:r w:rsidRPr="00F57A5E">
        <w:rPr>
          <w:rFonts w:ascii="Arial" w:eastAsia="Times New Roman" w:hAnsi="Arial" w:cs="Arial"/>
          <w:lang w:eastAsia="cs-CZ"/>
        </w:rPr>
        <w:t>Znalostní intenzita ekonomiky je pouze hrubým ukazatelem</w:t>
      </w:r>
      <w:r w:rsidR="00490AF1" w:rsidRPr="00F57A5E">
        <w:rPr>
          <w:rFonts w:ascii="Arial" w:eastAsia="Times New Roman" w:hAnsi="Arial" w:cs="Arial"/>
          <w:lang w:eastAsia="cs-CZ"/>
        </w:rPr>
        <w:t>, i</w:t>
      </w:r>
      <w:r w:rsidRPr="00F57A5E">
        <w:rPr>
          <w:rFonts w:ascii="Arial" w:eastAsia="Times New Roman" w:hAnsi="Arial" w:cs="Arial"/>
          <w:lang w:eastAsia="cs-CZ"/>
        </w:rPr>
        <w:t>ndikuje sice výši investic do</w:t>
      </w:r>
      <w:r w:rsidR="001F7718">
        <w:rPr>
          <w:rFonts w:ascii="Arial" w:eastAsia="Times New Roman" w:hAnsi="Arial" w:cs="Arial"/>
          <w:lang w:eastAsia="cs-CZ"/>
        </w:rPr>
        <w:t> </w:t>
      </w:r>
      <w:proofErr w:type="spellStart"/>
      <w:r w:rsidRPr="00F57A5E">
        <w:rPr>
          <w:rFonts w:ascii="Arial" w:eastAsia="Times New Roman" w:hAnsi="Arial" w:cs="Arial"/>
          <w:lang w:eastAsia="cs-CZ"/>
        </w:rPr>
        <w:t>VaV</w:t>
      </w:r>
      <w:proofErr w:type="spellEnd"/>
      <w:r w:rsidRPr="00F57A5E">
        <w:rPr>
          <w:rFonts w:ascii="Arial" w:eastAsia="Times New Roman" w:hAnsi="Arial" w:cs="Arial"/>
          <w:lang w:eastAsia="cs-CZ"/>
        </w:rPr>
        <w:t xml:space="preserve"> vztaženou k celkové produkci ekonomiky, nezohledňuje však podstatné rozdíly v dosažené úrovni produkce. Zlepšení vypovídací hodnoty ve smyslu posouzení míry investic do tvorby nových znalostí lze dosáhnout porovnáním Znalostní intenzity s výší výdajů na </w:t>
      </w:r>
      <w:proofErr w:type="spellStart"/>
      <w:r w:rsidRPr="00F57A5E">
        <w:rPr>
          <w:rFonts w:ascii="Arial" w:eastAsia="Times New Roman" w:hAnsi="Arial" w:cs="Arial"/>
          <w:lang w:eastAsia="cs-CZ"/>
        </w:rPr>
        <w:t>VaV</w:t>
      </w:r>
      <w:proofErr w:type="spellEnd"/>
      <w:r w:rsidRPr="00F57A5E">
        <w:rPr>
          <w:rFonts w:ascii="Arial" w:eastAsia="Times New Roman" w:hAnsi="Arial" w:cs="Arial"/>
          <w:lang w:eastAsia="cs-CZ"/>
        </w:rPr>
        <w:t xml:space="preserve"> v přepočtu na</w:t>
      </w:r>
      <w:r w:rsidR="001F7718">
        <w:rPr>
          <w:rFonts w:ascii="Arial" w:eastAsia="Times New Roman" w:hAnsi="Arial" w:cs="Arial"/>
          <w:lang w:eastAsia="cs-CZ"/>
        </w:rPr>
        <w:t> </w:t>
      </w:r>
      <w:r w:rsidRPr="00F57A5E">
        <w:rPr>
          <w:rFonts w:ascii="Arial" w:eastAsia="Times New Roman" w:hAnsi="Arial" w:cs="Arial"/>
          <w:lang w:eastAsia="cs-CZ"/>
        </w:rPr>
        <w:t>obyvatele v PPS</w:t>
      </w:r>
      <w:r w:rsidRPr="00F57A5E">
        <w:rPr>
          <w:rFonts w:ascii="Arial" w:eastAsia="Times New Roman" w:hAnsi="Arial" w:cs="Arial"/>
          <w:vertAlign w:val="superscript"/>
          <w:lang w:eastAsia="cs-CZ"/>
        </w:rPr>
        <w:footnoteReference w:id="25"/>
      </w:r>
      <w:r w:rsidRPr="00F57A5E">
        <w:rPr>
          <w:rFonts w:ascii="Arial" w:eastAsia="Times New Roman" w:hAnsi="Arial" w:cs="Arial"/>
          <w:lang w:eastAsia="cs-CZ"/>
        </w:rPr>
        <w:t xml:space="preserve">. Výdaje na 1 obyvatele v PPS byly v ČR v roce 2013 2,85 krát větší než v Polsku, 1,9 krát větší než v Maďarsku, v Německu a Rakousku naopak byly cca 2,2 krát vyšší než v ČR (Zdroj: </w:t>
      </w:r>
      <w:proofErr w:type="spellStart"/>
      <w:r w:rsidRPr="00F57A5E">
        <w:rPr>
          <w:rFonts w:ascii="Arial" w:eastAsia="Times New Roman" w:hAnsi="Arial" w:cs="Arial"/>
          <w:lang w:eastAsia="cs-CZ"/>
        </w:rPr>
        <w:t>Eurostat</w:t>
      </w:r>
      <w:proofErr w:type="spellEnd"/>
      <w:r w:rsidRPr="00F57A5E">
        <w:rPr>
          <w:rFonts w:ascii="Arial" w:eastAsia="Times New Roman" w:hAnsi="Arial" w:cs="Arial"/>
          <w:lang w:eastAsia="cs-CZ"/>
        </w:rPr>
        <w:t xml:space="preserve">). Další zpřesnění přináší dekompozice struktury výdajů na </w:t>
      </w:r>
      <w:proofErr w:type="spellStart"/>
      <w:r w:rsidRPr="00F57A5E">
        <w:rPr>
          <w:rFonts w:ascii="Arial" w:eastAsia="Times New Roman" w:hAnsi="Arial" w:cs="Arial"/>
          <w:lang w:eastAsia="cs-CZ"/>
        </w:rPr>
        <w:t>VaV</w:t>
      </w:r>
      <w:proofErr w:type="spellEnd"/>
      <w:r w:rsidRPr="00F57A5E">
        <w:rPr>
          <w:rFonts w:ascii="Arial" w:eastAsia="Times New Roman" w:hAnsi="Arial" w:cs="Arial"/>
          <w:lang w:eastAsia="cs-CZ"/>
        </w:rPr>
        <w:t xml:space="preserve"> podle zdrojů financování a dle sektorů provádění (viz podrobněji Kapitola Finanční toky).</w:t>
      </w:r>
    </w:p>
    <w:p w:rsidR="000822A0" w:rsidRPr="000822A0" w:rsidRDefault="00934D86" w:rsidP="000C142B">
      <w:pPr>
        <w:pStyle w:val="Obrzek-nadpis"/>
      </w:pPr>
      <w:r>
        <w:lastRenderedPageBreak/>
        <w:t>Obr. 7.1</w:t>
      </w:r>
      <w:r w:rsidR="000822A0" w:rsidRPr="000822A0">
        <w:t>: Znalostní intenzita ekonomiky ČR v mezinárodním srovnání</w:t>
      </w:r>
    </w:p>
    <w:p w:rsidR="000822A0" w:rsidRPr="000822A0" w:rsidRDefault="0000648C" w:rsidP="00D25C7B">
      <w:pPr>
        <w:spacing w:afterLines="60" w:after="144" w:line="360" w:lineRule="auto"/>
        <w:jc w:val="center"/>
        <w:rPr>
          <w:rFonts w:cs="Times New Roman"/>
        </w:rPr>
      </w:pPr>
      <w:r w:rsidRPr="000822A0">
        <w:rPr>
          <w:noProof/>
          <w:lang w:eastAsia="cs-CZ"/>
        </w:rPr>
        <mc:AlternateContent>
          <mc:Choice Requires="wps">
            <w:drawing>
              <wp:anchor distT="0" distB="0" distL="114300" distR="114300" simplePos="0" relativeHeight="251728896" behindDoc="0" locked="0" layoutInCell="1" allowOverlap="1" wp14:anchorId="6FF70C44" wp14:editId="739E8350">
                <wp:simplePos x="0" y="0"/>
                <wp:positionH relativeFrom="column">
                  <wp:posOffset>2585768</wp:posOffset>
                </wp:positionH>
                <wp:positionV relativeFrom="paragraph">
                  <wp:posOffset>1732915</wp:posOffset>
                </wp:positionV>
                <wp:extent cx="109220" cy="341630"/>
                <wp:effectExtent l="57150" t="38100" r="81280" b="96520"/>
                <wp:wrapNone/>
                <wp:docPr id="35" name="Šipka dolů 1"/>
                <wp:cNvGraphicFramePr/>
                <a:graphic xmlns:a="http://schemas.openxmlformats.org/drawingml/2006/main">
                  <a:graphicData uri="http://schemas.microsoft.com/office/word/2010/wordprocessingShape">
                    <wps:wsp>
                      <wps:cNvSpPr/>
                      <wps:spPr>
                        <a:xfrm>
                          <a:off x="0" y="0"/>
                          <a:ext cx="109220" cy="341630"/>
                        </a:xfrm>
                        <a:prstGeom prst="downArrow">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ln>
                        <a:effectLst>
                          <a:outerShdw blurRad="40000" dist="20000" dir="5400000" rotWithShape="0">
                            <a:srgbClr val="000000">
                              <a:alpha val="38000"/>
                            </a:srgbClr>
                          </a:outerShdw>
                        </a:effectLst>
                      </wps:spPr>
                      <wps:bodyPr vertOverflow="clip"/>
                    </wps:wsp>
                  </a:graphicData>
                </a:graphic>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1" o:spid="_x0000_s1026" type="#_x0000_t67" style="position:absolute;margin-left:203.6pt;margin-top:136.45pt;width:8.6pt;height:26.9pt;z-index:2517288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" adj="18147" fillcolor="#ffa2a1" strokecolor="#be4b48">
                <v:fill color2="#ffe5e5" rotate="t" angle="180" colors="0 #ffa2a1;22938f #ffbebd;1 #ffe5e5" focus="100%" type="gradient"/>
                <v:shadow on="t" color="black" opacity="24903f" origin=",.5" offset="0,.55556mm"/>
              </v:shape>
            </w:pict>
          </mc:Fallback>
        </mc:AlternateContent>
      </w:r>
      <w:r w:rsidRPr="000822A0">
        <w:rPr>
          <w:noProof/>
          <w:lang w:eastAsia="cs-CZ"/>
        </w:rPr>
        <mc:AlternateContent>
          <mc:Choice Requires="wps">
            <w:drawing>
              <wp:anchor distT="0" distB="0" distL="114300" distR="114300" simplePos="0" relativeHeight="251729920" behindDoc="0" locked="0" layoutInCell="1" allowOverlap="1" wp14:anchorId="2D813E36" wp14:editId="523C5789">
                <wp:simplePos x="0" y="0"/>
                <wp:positionH relativeFrom="column">
                  <wp:posOffset>2282825</wp:posOffset>
                </wp:positionH>
                <wp:positionV relativeFrom="paragraph">
                  <wp:posOffset>1734185</wp:posOffset>
                </wp:positionV>
                <wp:extent cx="109220" cy="341630"/>
                <wp:effectExtent l="57150" t="38100" r="81280" b="96520"/>
                <wp:wrapNone/>
                <wp:docPr id="33" name="Šipka dolů 1"/>
                <wp:cNvGraphicFramePr/>
                <a:graphic xmlns:a="http://schemas.openxmlformats.org/drawingml/2006/main">
                  <a:graphicData uri="http://schemas.microsoft.com/office/word/2010/wordprocessingShape">
                    <wps:wsp>
                      <wps:cNvSpPr/>
                      <wps:spPr>
                        <a:xfrm>
                          <a:off x="0" y="0"/>
                          <a:ext cx="109220" cy="341630"/>
                        </a:xfrm>
                        <a:prstGeom prst="downArrow">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ln>
                        <a:effectLst>
                          <a:outerShdw blurRad="40000" dist="20000" dir="5400000" rotWithShape="0">
                            <a:srgbClr val="000000">
                              <a:alpha val="38000"/>
                            </a:srgbClr>
                          </a:outerShdw>
                        </a:effectLst>
                      </wps:spPr>
                      <wps:bodyPr vertOverflow="clip"/>
                    </wps:wsp>
                  </a:graphicData>
                </a:graphic>
              </wp:anchor>
            </w:drawing>
          </mc:Choice>
          <mc:Fallback>
            <w:pict>
              <v:shape id="Šipka dolů 1" o:spid="_x0000_s1026" type="#_x0000_t67" style="position:absolute;margin-left:179.75pt;margin-top:136.55pt;width:8.6pt;height:26.9pt;z-index:251729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" adj="18147" fillcolor="#ffa2a1" strokecolor="#be4b48">
                <v:fill color2="#ffe5e5" rotate="t" angle="180" colors="0 #ffa2a1;22938f #ffbebd;1 #ffe5e5" focus="100%" type="gradient"/>
                <v:shadow on="t" color="black" opacity="24903f" origin=",.5" offset="0,.55556mm"/>
              </v:shape>
            </w:pict>
          </mc:Fallback>
        </mc:AlternateContent>
      </w:r>
      <w:r w:rsidRPr="0000648C">
        <w:rPr>
          <w:rFonts w:cs="Times New Roman"/>
        </w:rPr>
        <w:t xml:space="preserve"> </w:t>
      </w:r>
      <w:r w:rsidRPr="0000648C">
        <w:rPr>
          <w:noProof/>
          <w:lang w:eastAsia="cs-CZ"/>
        </w:rPr>
        <w:drawing>
          <wp:inline distT="0" distB="0" distL="0" distR="0" wp14:anchorId="14FDF0B4" wp14:editId="6D07D9A4">
            <wp:extent cx="6120130" cy="3656394"/>
            <wp:effectExtent l="0" t="0" r="0" b="1270"/>
            <wp:docPr id="327" name="Obrázek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20130" cy="3656394"/>
                    </a:xfrm>
                    <a:prstGeom prst="rect">
                      <a:avLst/>
                    </a:prstGeom>
                    <a:noFill/>
                    <a:ln>
                      <a:noFill/>
                    </a:ln>
                  </pic:spPr>
                </pic:pic>
              </a:graphicData>
            </a:graphic>
          </wp:inline>
        </w:drawing>
      </w:r>
    </w:p>
    <w:p w:rsidR="000822A0" w:rsidRPr="000822A0" w:rsidRDefault="000822A0" w:rsidP="000C142B">
      <w:pPr>
        <w:pStyle w:val="Zdroj"/>
      </w:pPr>
      <w:r w:rsidRPr="000822A0">
        <w:t>Zdroj</w:t>
      </w:r>
      <w:r w:rsidR="000C142B">
        <w:t xml:space="preserve"> dat</w:t>
      </w:r>
      <w:r w:rsidRPr="000822A0">
        <w:t xml:space="preserve">: </w:t>
      </w:r>
      <w:proofErr w:type="spellStart"/>
      <w:r w:rsidRPr="000822A0">
        <w:t>Eurostat</w:t>
      </w:r>
      <w:proofErr w:type="spellEnd"/>
      <w:r w:rsidRPr="000822A0">
        <w:t xml:space="preserve"> – Science and technology database; OECD – MSTI database</w:t>
      </w:r>
    </w:p>
    <w:p w:rsidR="000822A0" w:rsidRPr="000822A0" w:rsidRDefault="000822A0" w:rsidP="0000648C">
      <w:pPr>
        <w:pStyle w:val="komentzaobrzkem"/>
        <w:spacing w:after="240"/>
      </w:pPr>
      <w:r w:rsidRPr="000822A0">
        <w:t>(*)Osa y GERD/ HDP v %; pro CH</w:t>
      </w:r>
      <w:r w:rsidR="0000648C">
        <w:t>E</w:t>
      </w:r>
      <w:r w:rsidRPr="000822A0">
        <w:t>, US</w:t>
      </w:r>
      <w:r w:rsidR="0000648C">
        <w:t>A</w:t>
      </w:r>
      <w:r w:rsidRPr="000822A0">
        <w:t>, IRL jsou uveden</w:t>
      </w:r>
      <w:r w:rsidR="0000648C">
        <w:t>a</w:t>
      </w:r>
      <w:r w:rsidRPr="000822A0">
        <w:t xml:space="preserve"> data za rok 2012</w:t>
      </w:r>
    </w:p>
    <w:p w:rsidR="000822A0" w:rsidRPr="00F57A5E" w:rsidRDefault="0000648C" w:rsidP="000C142B">
      <w:pPr>
        <w:spacing w:after="0"/>
        <w:ind w:firstLine="708"/>
        <w:jc w:val="both"/>
        <w:rPr>
          <w:rFonts w:ascii="Arial" w:eastAsia="Times New Roman" w:hAnsi="Arial" w:cs="Arial"/>
          <w:lang w:eastAsia="cs-CZ"/>
        </w:rPr>
      </w:pPr>
      <w:r>
        <w:rPr>
          <w:rFonts w:ascii="Arial" w:eastAsia="Times New Roman" w:hAnsi="Arial" w:cs="Arial"/>
          <w:lang w:eastAsia="cs-CZ"/>
        </w:rPr>
        <w:t>Obrázek</w:t>
      </w:r>
      <w:r w:rsidR="00934D86">
        <w:rPr>
          <w:rFonts w:ascii="Arial" w:eastAsia="Times New Roman" w:hAnsi="Arial" w:cs="Arial"/>
          <w:lang w:eastAsia="cs-CZ"/>
        </w:rPr>
        <w:t xml:space="preserve"> 7.</w:t>
      </w:r>
      <w:r w:rsidR="00F31FAE">
        <w:rPr>
          <w:rFonts w:ascii="Arial" w:eastAsia="Times New Roman" w:hAnsi="Arial" w:cs="Arial"/>
          <w:lang w:eastAsia="cs-CZ"/>
        </w:rPr>
        <w:t>2</w:t>
      </w:r>
      <w:r w:rsidR="000A3889" w:rsidRPr="00F57A5E">
        <w:rPr>
          <w:rFonts w:ascii="Arial" w:eastAsia="Times New Roman" w:hAnsi="Arial" w:cs="Arial"/>
          <w:lang w:eastAsia="cs-CZ"/>
        </w:rPr>
        <w:t xml:space="preserve"> </w:t>
      </w:r>
      <w:r w:rsidR="000822A0" w:rsidRPr="00F57A5E">
        <w:rPr>
          <w:rFonts w:ascii="Arial" w:eastAsia="Times New Roman" w:hAnsi="Arial" w:cs="Arial"/>
          <w:lang w:eastAsia="cs-CZ"/>
        </w:rPr>
        <w:t>dokumentuje,</w:t>
      </w:r>
      <w:r w:rsidR="000A3889" w:rsidRPr="00F57A5E">
        <w:rPr>
          <w:rFonts w:ascii="Arial" w:eastAsia="Times New Roman" w:hAnsi="Arial" w:cs="Arial"/>
          <w:lang w:eastAsia="cs-CZ"/>
        </w:rPr>
        <w:t xml:space="preserve"> že</w:t>
      </w:r>
      <w:r w:rsidR="000822A0" w:rsidRPr="00F57A5E">
        <w:rPr>
          <w:rFonts w:ascii="Arial" w:eastAsia="Times New Roman" w:hAnsi="Arial" w:cs="Arial"/>
          <w:lang w:eastAsia="cs-CZ"/>
        </w:rPr>
        <w:t xml:space="preserve"> hodnota Znalostní intenzity ekonomiky Norska a ČR je téměř stejná, ale po přepočtu výdajů na </w:t>
      </w:r>
      <w:proofErr w:type="spellStart"/>
      <w:r w:rsidR="000822A0" w:rsidRPr="00F57A5E">
        <w:rPr>
          <w:rFonts w:ascii="Arial" w:eastAsia="Times New Roman" w:hAnsi="Arial" w:cs="Arial"/>
          <w:lang w:eastAsia="cs-CZ"/>
        </w:rPr>
        <w:t>VaV</w:t>
      </w:r>
      <w:proofErr w:type="spellEnd"/>
      <w:r w:rsidR="000822A0" w:rsidRPr="00F57A5E">
        <w:rPr>
          <w:rFonts w:ascii="Arial" w:eastAsia="Times New Roman" w:hAnsi="Arial" w:cs="Arial"/>
          <w:lang w:eastAsia="cs-CZ"/>
        </w:rPr>
        <w:t xml:space="preserve"> na obyvatele</w:t>
      </w:r>
      <w:r w:rsidR="000A3889" w:rsidRPr="00F57A5E">
        <w:rPr>
          <w:rFonts w:ascii="Arial" w:eastAsia="Times New Roman" w:hAnsi="Arial" w:cs="Arial"/>
          <w:lang w:eastAsia="cs-CZ"/>
        </w:rPr>
        <w:t xml:space="preserve"> se</w:t>
      </w:r>
      <w:r w:rsidR="000822A0" w:rsidRPr="00F57A5E">
        <w:rPr>
          <w:rFonts w:ascii="Arial" w:eastAsia="Times New Roman" w:hAnsi="Arial" w:cs="Arial"/>
          <w:lang w:eastAsia="cs-CZ"/>
        </w:rPr>
        <w:t xml:space="preserve"> je</w:t>
      </w:r>
      <w:r w:rsidR="000A3889" w:rsidRPr="00F57A5E">
        <w:rPr>
          <w:rFonts w:ascii="Arial" w:eastAsia="Times New Roman" w:hAnsi="Arial" w:cs="Arial"/>
          <w:lang w:eastAsia="cs-CZ"/>
        </w:rPr>
        <w:t>ví</w:t>
      </w:r>
      <w:r w:rsidR="000822A0" w:rsidRPr="00F57A5E">
        <w:rPr>
          <w:rFonts w:ascii="Arial" w:eastAsia="Times New Roman" w:hAnsi="Arial" w:cs="Arial"/>
          <w:lang w:eastAsia="cs-CZ"/>
        </w:rPr>
        <w:t xml:space="preserve"> tento ukazatel v Norsku více než dvojnásobný ve srovnání s ČR. Například hodnota znalostní intenzity Jižní Koreje je výrazně vyšší ve srovnání s Německem, Rakouskem či Finskem. Tento rozdíl způsob</w:t>
      </w:r>
      <w:r w:rsidR="000A3889" w:rsidRPr="00F57A5E">
        <w:rPr>
          <w:rFonts w:ascii="Arial" w:eastAsia="Times New Roman" w:hAnsi="Arial" w:cs="Arial"/>
          <w:lang w:eastAsia="cs-CZ"/>
        </w:rPr>
        <w:t>uje</w:t>
      </w:r>
      <w:r w:rsidR="000822A0" w:rsidRPr="00F57A5E">
        <w:rPr>
          <w:rFonts w:ascii="Arial" w:eastAsia="Times New Roman" w:hAnsi="Arial" w:cs="Arial"/>
          <w:lang w:eastAsia="cs-CZ"/>
        </w:rPr>
        <w:t xml:space="preserve"> relativně nízk</w:t>
      </w:r>
      <w:r w:rsidR="000A3889" w:rsidRPr="00F57A5E">
        <w:rPr>
          <w:rFonts w:ascii="Arial" w:eastAsia="Times New Roman" w:hAnsi="Arial" w:cs="Arial"/>
          <w:lang w:eastAsia="cs-CZ"/>
        </w:rPr>
        <w:t>á</w:t>
      </w:r>
      <w:r w:rsidR="000822A0" w:rsidRPr="00F57A5E">
        <w:rPr>
          <w:rFonts w:ascii="Arial" w:eastAsia="Times New Roman" w:hAnsi="Arial" w:cs="Arial"/>
          <w:lang w:eastAsia="cs-CZ"/>
        </w:rPr>
        <w:t xml:space="preserve"> hodnot</w:t>
      </w:r>
      <w:r w:rsidR="000A3889" w:rsidRPr="00F57A5E">
        <w:rPr>
          <w:rFonts w:ascii="Arial" w:eastAsia="Times New Roman" w:hAnsi="Arial" w:cs="Arial"/>
          <w:lang w:eastAsia="cs-CZ"/>
        </w:rPr>
        <w:t>a</w:t>
      </w:r>
      <w:r w:rsidR="000822A0" w:rsidRPr="00F57A5E">
        <w:rPr>
          <w:rFonts w:ascii="Arial" w:eastAsia="Times New Roman" w:hAnsi="Arial" w:cs="Arial"/>
          <w:lang w:eastAsia="cs-CZ"/>
        </w:rPr>
        <w:t xml:space="preserve"> HDP, </w:t>
      </w:r>
      <w:r w:rsidR="000A3889" w:rsidRPr="00F57A5E">
        <w:rPr>
          <w:rFonts w:ascii="Arial" w:eastAsia="Times New Roman" w:hAnsi="Arial" w:cs="Arial"/>
          <w:lang w:eastAsia="cs-CZ"/>
        </w:rPr>
        <w:t xml:space="preserve">jíž </w:t>
      </w:r>
      <w:r w:rsidR="000822A0" w:rsidRPr="00F57A5E">
        <w:rPr>
          <w:rFonts w:ascii="Arial" w:eastAsia="Times New Roman" w:hAnsi="Arial" w:cs="Arial"/>
          <w:lang w:eastAsia="cs-CZ"/>
        </w:rPr>
        <w:t xml:space="preserve">ekonomika Jižní Koreje dosahuje. Po přepočtu na obyvatele </w:t>
      </w:r>
      <w:r w:rsidR="00F31FAE">
        <w:rPr>
          <w:rFonts w:ascii="Arial" w:eastAsia="Times New Roman" w:hAnsi="Arial" w:cs="Arial"/>
          <w:lang w:eastAsia="cs-CZ"/>
        </w:rPr>
        <w:t xml:space="preserve">jsou </w:t>
      </w:r>
      <w:r w:rsidR="000822A0" w:rsidRPr="00F57A5E">
        <w:rPr>
          <w:rFonts w:ascii="Arial" w:eastAsia="Times New Roman" w:hAnsi="Arial" w:cs="Arial"/>
          <w:lang w:eastAsia="cs-CZ"/>
        </w:rPr>
        <w:t>Německo, Rakousko i</w:t>
      </w:r>
      <w:r w:rsidR="00F31FAE">
        <w:rPr>
          <w:rFonts w:ascii="Arial" w:eastAsia="Times New Roman" w:hAnsi="Arial" w:cs="Arial"/>
          <w:lang w:eastAsia="cs-CZ"/>
        </w:rPr>
        <w:t> </w:t>
      </w:r>
      <w:r w:rsidR="000822A0" w:rsidRPr="00F57A5E">
        <w:rPr>
          <w:rFonts w:ascii="Arial" w:eastAsia="Times New Roman" w:hAnsi="Arial" w:cs="Arial"/>
          <w:lang w:eastAsia="cs-CZ"/>
        </w:rPr>
        <w:t xml:space="preserve">Finsko </w:t>
      </w:r>
      <w:r w:rsidR="00F31FAE">
        <w:rPr>
          <w:rFonts w:ascii="Arial" w:eastAsia="Times New Roman" w:hAnsi="Arial" w:cs="Arial"/>
          <w:lang w:eastAsia="cs-CZ"/>
        </w:rPr>
        <w:t xml:space="preserve">téměř na stejné úrovni jako </w:t>
      </w:r>
      <w:r w:rsidR="000822A0" w:rsidRPr="00F57A5E">
        <w:rPr>
          <w:rFonts w:ascii="Arial" w:eastAsia="Times New Roman" w:hAnsi="Arial" w:cs="Arial"/>
          <w:lang w:eastAsia="cs-CZ"/>
        </w:rPr>
        <w:t>Jižní Kore</w:t>
      </w:r>
      <w:r w:rsidR="00F31FAE">
        <w:rPr>
          <w:rFonts w:ascii="Arial" w:eastAsia="Times New Roman" w:hAnsi="Arial" w:cs="Arial"/>
          <w:lang w:eastAsia="cs-CZ"/>
        </w:rPr>
        <w:t>a.</w:t>
      </w:r>
    </w:p>
    <w:p w:rsidR="000822A0" w:rsidRPr="000822A0" w:rsidRDefault="000822A0" w:rsidP="000822A0">
      <w:pPr>
        <w:rPr>
          <w:rFonts w:cs="Times New Roman"/>
        </w:rPr>
      </w:pPr>
      <w:r w:rsidRPr="000822A0">
        <w:rPr>
          <w:rFonts w:cs="Times New Roman"/>
        </w:rPr>
        <w:br w:type="page"/>
      </w:r>
    </w:p>
    <w:p w:rsidR="000822A0" w:rsidRPr="000822A0" w:rsidRDefault="0000648C" w:rsidP="000C142B">
      <w:pPr>
        <w:pStyle w:val="Obrzek-nadpis"/>
      </w:pPr>
      <w:r>
        <w:lastRenderedPageBreak/>
        <w:t>Obr.</w:t>
      </w:r>
      <w:r w:rsidR="00934D86">
        <w:t xml:space="preserve"> 7.</w:t>
      </w:r>
      <w:r w:rsidR="00F31FAE">
        <w:t>2</w:t>
      </w:r>
      <w:r w:rsidR="000822A0" w:rsidRPr="000822A0">
        <w:t xml:space="preserve">: Srovnání zemí dle GERD na HDP a dle výdajů na </w:t>
      </w:r>
      <w:proofErr w:type="spellStart"/>
      <w:r w:rsidR="000822A0" w:rsidRPr="000822A0">
        <w:t>VaV</w:t>
      </w:r>
      <w:proofErr w:type="spellEnd"/>
      <w:r w:rsidR="000822A0" w:rsidRPr="000822A0">
        <w:t xml:space="preserve"> na obyvatele, 2013</w:t>
      </w:r>
    </w:p>
    <w:p w:rsidR="000822A0" w:rsidRPr="000822A0" w:rsidRDefault="00B23D06" w:rsidP="00D25C7B">
      <w:pPr>
        <w:spacing w:afterLines="60" w:after="144" w:line="360" w:lineRule="auto"/>
        <w:jc w:val="center"/>
        <w:rPr>
          <w:rFonts w:cs="Times New Roman"/>
        </w:rPr>
      </w:pPr>
      <w:r w:rsidRPr="00B23D06">
        <w:rPr>
          <w:noProof/>
          <w:lang w:eastAsia="cs-CZ"/>
        </w:rPr>
        <w:drawing>
          <wp:inline distT="0" distB="0" distL="0" distR="0">
            <wp:extent cx="4939200" cy="4730400"/>
            <wp:effectExtent l="0" t="0" r="0" b="0"/>
            <wp:docPr id="328" name="Obrázek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939200" cy="4730400"/>
                    </a:xfrm>
                    <a:prstGeom prst="rect">
                      <a:avLst/>
                    </a:prstGeom>
                    <a:noFill/>
                    <a:ln>
                      <a:noFill/>
                    </a:ln>
                  </pic:spPr>
                </pic:pic>
              </a:graphicData>
            </a:graphic>
          </wp:inline>
        </w:drawing>
      </w:r>
    </w:p>
    <w:p w:rsidR="000822A0" w:rsidRPr="000822A0" w:rsidRDefault="000822A0" w:rsidP="000C142B">
      <w:pPr>
        <w:pStyle w:val="Zdroj"/>
      </w:pPr>
      <w:r w:rsidRPr="000822A0">
        <w:t>Zdroj</w:t>
      </w:r>
      <w:r w:rsidR="000C142B">
        <w:t xml:space="preserve"> dat</w:t>
      </w:r>
      <w:r w:rsidRPr="000822A0">
        <w:t xml:space="preserve">: </w:t>
      </w:r>
      <w:proofErr w:type="spellStart"/>
      <w:r w:rsidRPr="000822A0">
        <w:t>Eurostat</w:t>
      </w:r>
      <w:proofErr w:type="spellEnd"/>
      <w:r w:rsidRPr="000822A0">
        <w:t xml:space="preserve"> – Science and technology database</w:t>
      </w:r>
    </w:p>
    <w:p w:rsidR="000822A0" w:rsidRPr="000822A0" w:rsidRDefault="000822A0" w:rsidP="000C142B">
      <w:pPr>
        <w:pStyle w:val="komentzaobrzkem"/>
      </w:pPr>
      <w:r w:rsidRPr="000822A0">
        <w:t>(*)Osa x GERD/ HDP v %; pro CH</w:t>
      </w:r>
      <w:r w:rsidR="00DA2744">
        <w:t>E</w:t>
      </w:r>
      <w:r w:rsidRPr="000822A0">
        <w:t>, US</w:t>
      </w:r>
      <w:r w:rsidR="00DA2744">
        <w:t>A</w:t>
      </w:r>
      <w:r w:rsidRPr="000822A0">
        <w:t>, IRL jsou uvedeny data za rok 2012, Osa y GERD na obyvatele v</w:t>
      </w:r>
      <w:r w:rsidR="00937F92">
        <w:t> </w:t>
      </w:r>
      <w:r w:rsidR="00F31FAE">
        <w:t>PPS</w:t>
      </w:r>
      <w:r w:rsidR="00937F92">
        <w:t xml:space="preserve"> (hodnota</w:t>
      </w:r>
      <w:r w:rsidR="00F31FAE">
        <w:t xml:space="preserve"> </w:t>
      </w:r>
      <w:r w:rsidR="00A623DC">
        <w:t>EU 28</w:t>
      </w:r>
      <w:r w:rsidR="00F31FAE">
        <w:t xml:space="preserve"> je v</w:t>
      </w:r>
      <w:r w:rsidR="00937F92">
        <w:t> </w:t>
      </w:r>
      <w:r w:rsidR="00FF41AA">
        <w:t>Eurech</w:t>
      </w:r>
      <w:r w:rsidR="00937F92">
        <w:t>)</w:t>
      </w:r>
      <w:r w:rsidR="00F31FAE">
        <w:t xml:space="preserve">. </w:t>
      </w:r>
      <w:r w:rsidRPr="000822A0">
        <w:t>Pro CH</w:t>
      </w:r>
      <w:r w:rsidR="00DA2744">
        <w:t>E</w:t>
      </w:r>
      <w:r w:rsidRPr="000822A0">
        <w:t>, US</w:t>
      </w:r>
      <w:r w:rsidR="00DA2744">
        <w:t>A</w:t>
      </w:r>
      <w:r w:rsidRPr="000822A0">
        <w:t>, IRL a RU</w:t>
      </w:r>
      <w:r w:rsidR="00DA2744">
        <w:t>S</w:t>
      </w:r>
      <w:r w:rsidRPr="000822A0">
        <w:t xml:space="preserve"> jsou uveden</w:t>
      </w:r>
      <w:r w:rsidR="00937F92">
        <w:t>a</w:t>
      </w:r>
      <w:r w:rsidRPr="000822A0">
        <w:t xml:space="preserve"> data za rok 2012 a pro JP</w:t>
      </w:r>
      <w:r w:rsidR="00DA2744">
        <w:t>N</w:t>
      </w:r>
      <w:r w:rsidRPr="000822A0">
        <w:t xml:space="preserve"> a K</w:t>
      </w:r>
      <w:r w:rsidR="00DA2744">
        <w:t>O</w:t>
      </w:r>
      <w:r w:rsidRPr="000822A0">
        <w:t>R za rok 2011.</w:t>
      </w:r>
    </w:p>
    <w:p w:rsidR="000822A0" w:rsidRPr="000822A0" w:rsidRDefault="006A469E" w:rsidP="00956D00">
      <w:pPr>
        <w:pStyle w:val="Nadpis3"/>
        <w:rPr>
          <w:rFonts w:eastAsia="Times New Roman"/>
        </w:rPr>
      </w:pPr>
      <w:bookmarkStart w:id="16" w:name="_Toc427676906"/>
      <w:r>
        <w:rPr>
          <w:rFonts w:eastAsia="Times New Roman"/>
        </w:rPr>
        <w:t>7.2</w:t>
      </w:r>
      <w:r w:rsidR="00071A9A">
        <w:rPr>
          <w:rFonts w:eastAsia="Times New Roman"/>
        </w:rPr>
        <w:t>.</w:t>
      </w:r>
      <w:r>
        <w:rPr>
          <w:rFonts w:eastAsia="Times New Roman"/>
        </w:rPr>
        <w:t xml:space="preserve"> </w:t>
      </w:r>
      <w:r w:rsidR="000822A0" w:rsidRPr="000822A0">
        <w:rPr>
          <w:rFonts w:eastAsia="Times New Roman"/>
        </w:rPr>
        <w:t>Inovační výkon na základě složených indikátorů</w:t>
      </w:r>
      <w:bookmarkEnd w:id="16"/>
    </w:p>
    <w:p w:rsidR="000822A0" w:rsidRPr="00F57A5E" w:rsidRDefault="000822A0" w:rsidP="00D72475">
      <w:pPr>
        <w:spacing w:after="0" w:line="360" w:lineRule="auto"/>
        <w:ind w:firstLine="709"/>
        <w:jc w:val="both"/>
        <w:rPr>
          <w:rFonts w:ascii="Arial" w:eastAsia="Times New Roman" w:hAnsi="Arial" w:cs="Arial"/>
          <w:lang w:eastAsia="cs-CZ"/>
        </w:rPr>
      </w:pPr>
      <w:r w:rsidRPr="00F57A5E">
        <w:rPr>
          <w:rFonts w:ascii="Arial" w:eastAsia="Times New Roman" w:hAnsi="Arial" w:cs="Arial"/>
          <w:lang w:eastAsia="cs-CZ"/>
        </w:rPr>
        <w:t>Mezi nejrespektovanější a nejčastěji využívané složené indikátory inovačního výkonu patří především:</w:t>
      </w:r>
    </w:p>
    <w:p w:rsidR="000822A0" w:rsidRPr="00F57A5E" w:rsidRDefault="000822A0" w:rsidP="008E7BFB">
      <w:pPr>
        <w:numPr>
          <w:ilvl w:val="0"/>
          <w:numId w:val="7"/>
        </w:numPr>
        <w:spacing w:after="0" w:line="360" w:lineRule="auto"/>
        <w:contextualSpacing/>
        <w:jc w:val="both"/>
        <w:rPr>
          <w:rFonts w:ascii="Arial" w:eastAsia="Times New Roman" w:hAnsi="Arial" w:cs="Arial"/>
          <w:lang w:eastAsia="cs-CZ"/>
        </w:rPr>
      </w:pPr>
      <w:r w:rsidRPr="00F57A5E">
        <w:rPr>
          <w:rFonts w:ascii="Arial" w:eastAsia="Times New Roman" w:hAnsi="Arial" w:cs="Arial"/>
          <w:lang w:eastAsia="cs-CZ"/>
        </w:rPr>
        <w:t xml:space="preserve">Souhrnný </w:t>
      </w:r>
      <w:r w:rsidR="00FF41AA">
        <w:rPr>
          <w:rFonts w:ascii="Arial" w:eastAsia="Times New Roman" w:hAnsi="Arial" w:cs="Arial"/>
          <w:lang w:eastAsia="cs-CZ"/>
        </w:rPr>
        <w:t>inovační index,</w:t>
      </w:r>
    </w:p>
    <w:p w:rsidR="000822A0" w:rsidRPr="00F57A5E" w:rsidRDefault="000822A0" w:rsidP="008E7BFB">
      <w:pPr>
        <w:numPr>
          <w:ilvl w:val="0"/>
          <w:numId w:val="7"/>
        </w:numPr>
        <w:spacing w:after="0" w:line="360" w:lineRule="auto"/>
        <w:contextualSpacing/>
        <w:jc w:val="both"/>
        <w:rPr>
          <w:rFonts w:ascii="Arial" w:eastAsia="Times New Roman" w:hAnsi="Arial" w:cs="Arial"/>
          <w:lang w:eastAsia="cs-CZ"/>
        </w:rPr>
      </w:pPr>
      <w:proofErr w:type="spellStart"/>
      <w:r w:rsidRPr="00F57A5E">
        <w:rPr>
          <w:rFonts w:ascii="Arial" w:eastAsia="Times New Roman" w:hAnsi="Arial" w:cs="Arial"/>
          <w:lang w:eastAsia="cs-CZ"/>
        </w:rPr>
        <w:t>Innovation</w:t>
      </w:r>
      <w:proofErr w:type="spellEnd"/>
      <w:r w:rsidRPr="00F57A5E">
        <w:rPr>
          <w:rFonts w:ascii="Arial" w:eastAsia="Times New Roman" w:hAnsi="Arial" w:cs="Arial"/>
          <w:lang w:eastAsia="cs-CZ"/>
        </w:rPr>
        <w:t xml:space="preserve"> output </w:t>
      </w:r>
      <w:proofErr w:type="spellStart"/>
      <w:r w:rsidRPr="00F57A5E">
        <w:rPr>
          <w:rFonts w:ascii="Arial" w:eastAsia="Times New Roman" w:hAnsi="Arial" w:cs="Arial"/>
          <w:lang w:eastAsia="cs-CZ"/>
        </w:rPr>
        <w:t>indicator</w:t>
      </w:r>
      <w:proofErr w:type="spellEnd"/>
      <w:r w:rsidRPr="00F57A5E">
        <w:rPr>
          <w:rFonts w:ascii="Arial" w:eastAsia="Times New Roman" w:hAnsi="Arial" w:cs="Arial"/>
          <w:lang w:eastAsia="cs-CZ"/>
        </w:rPr>
        <w:t>.</w:t>
      </w:r>
    </w:p>
    <w:p w:rsidR="000822A0" w:rsidRPr="00F57A5E" w:rsidRDefault="000822A0" w:rsidP="00D72475">
      <w:pPr>
        <w:spacing w:after="0" w:line="360" w:lineRule="auto"/>
        <w:ind w:firstLine="709"/>
        <w:jc w:val="both"/>
        <w:rPr>
          <w:rFonts w:ascii="Arial" w:eastAsia="Times New Roman" w:hAnsi="Arial" w:cs="Arial"/>
          <w:lang w:eastAsia="cs-CZ"/>
        </w:rPr>
      </w:pPr>
      <w:r w:rsidRPr="00F57A5E">
        <w:rPr>
          <w:rFonts w:ascii="Arial" w:eastAsia="Times New Roman" w:hAnsi="Arial" w:cs="Arial"/>
          <w:lang w:eastAsia="cs-CZ"/>
        </w:rPr>
        <w:t>V Evropě je v současnosti nejpoužívanějším indikátorem inovativnosti ekonomiky indikátor SII každoročně publikov</w:t>
      </w:r>
      <w:r w:rsidR="00234BAC" w:rsidRPr="00F57A5E">
        <w:rPr>
          <w:rFonts w:ascii="Arial" w:eastAsia="Times New Roman" w:hAnsi="Arial" w:cs="Arial"/>
          <w:lang w:eastAsia="cs-CZ"/>
        </w:rPr>
        <w:t>aný</w:t>
      </w:r>
      <w:r w:rsidRPr="00F57A5E">
        <w:rPr>
          <w:rFonts w:ascii="Arial" w:eastAsia="Times New Roman" w:hAnsi="Arial" w:cs="Arial"/>
          <w:lang w:eastAsia="cs-CZ"/>
        </w:rPr>
        <w:t xml:space="preserve"> v ročence </w:t>
      </w:r>
      <w:proofErr w:type="spellStart"/>
      <w:r w:rsidRPr="00F57A5E">
        <w:rPr>
          <w:rFonts w:ascii="Arial" w:eastAsia="Times New Roman" w:hAnsi="Arial" w:cs="Arial"/>
          <w:lang w:eastAsia="cs-CZ"/>
        </w:rPr>
        <w:t>Innovation</w:t>
      </w:r>
      <w:proofErr w:type="spellEnd"/>
      <w:r w:rsidRPr="00F57A5E">
        <w:rPr>
          <w:rFonts w:ascii="Arial" w:eastAsia="Times New Roman" w:hAnsi="Arial" w:cs="Arial"/>
          <w:lang w:eastAsia="cs-CZ"/>
        </w:rPr>
        <w:t xml:space="preserve"> U</w:t>
      </w:r>
      <w:r w:rsidR="00FF41AA">
        <w:rPr>
          <w:rFonts w:ascii="Arial" w:eastAsia="Times New Roman" w:hAnsi="Arial" w:cs="Arial"/>
          <w:lang w:eastAsia="cs-CZ"/>
        </w:rPr>
        <w:t xml:space="preserve">nion </w:t>
      </w:r>
      <w:proofErr w:type="spellStart"/>
      <w:r w:rsidR="00FF41AA">
        <w:rPr>
          <w:rFonts w:ascii="Arial" w:eastAsia="Times New Roman" w:hAnsi="Arial" w:cs="Arial"/>
          <w:lang w:eastAsia="cs-CZ"/>
        </w:rPr>
        <w:t>Scoreboard</w:t>
      </w:r>
      <w:proofErr w:type="spellEnd"/>
      <w:r w:rsidR="00234BAC" w:rsidRPr="00F57A5E">
        <w:rPr>
          <w:rFonts w:ascii="Arial" w:eastAsia="Times New Roman" w:hAnsi="Arial" w:cs="Arial"/>
          <w:lang w:eastAsia="cs-CZ"/>
        </w:rPr>
        <w:t>, jež v</w:t>
      </w:r>
      <w:r w:rsidRPr="00F57A5E">
        <w:rPr>
          <w:rFonts w:ascii="Arial" w:eastAsia="Times New Roman" w:hAnsi="Arial" w:cs="Arial"/>
          <w:lang w:eastAsia="cs-CZ"/>
        </w:rPr>
        <w:t xml:space="preserve">ychází z veřejně dostupných dat i z vlastních šetření IUS. </w:t>
      </w:r>
      <w:r w:rsidR="00234BAC" w:rsidRPr="00F57A5E">
        <w:rPr>
          <w:rFonts w:ascii="Arial" w:eastAsia="Times New Roman" w:hAnsi="Arial" w:cs="Arial"/>
          <w:lang w:eastAsia="cs-CZ"/>
        </w:rPr>
        <w:t>S</w:t>
      </w:r>
      <w:r w:rsidRPr="00F57A5E">
        <w:rPr>
          <w:rFonts w:ascii="Arial" w:eastAsia="Times New Roman" w:hAnsi="Arial" w:cs="Arial"/>
          <w:lang w:eastAsia="cs-CZ"/>
        </w:rPr>
        <w:t>estav</w:t>
      </w:r>
      <w:r w:rsidR="00234BAC" w:rsidRPr="00F57A5E">
        <w:rPr>
          <w:rFonts w:ascii="Arial" w:eastAsia="Times New Roman" w:hAnsi="Arial" w:cs="Arial"/>
          <w:lang w:eastAsia="cs-CZ"/>
        </w:rPr>
        <w:t>uje se</w:t>
      </w:r>
      <w:r w:rsidRPr="00F57A5E">
        <w:rPr>
          <w:rFonts w:ascii="Arial" w:eastAsia="Times New Roman" w:hAnsi="Arial" w:cs="Arial"/>
          <w:lang w:eastAsia="cs-CZ"/>
        </w:rPr>
        <w:t xml:space="preserve"> z 25 dílčích indikátorů v osmi oblastech významných pro inovace (lidské zdroje, výzkumné systémy, finance a podpora, firemní investice, vazby a podnikání, duševní vlastnictví, inovátoři, ekonomické efekty) s rozdílnou vahou. Na</w:t>
      </w:r>
      <w:r w:rsidR="006C6AB2">
        <w:rPr>
          <w:rFonts w:ascii="Arial" w:eastAsia="Times New Roman" w:hAnsi="Arial" w:cs="Arial"/>
          <w:lang w:eastAsia="cs-CZ"/>
        </w:rPr>
        <w:t> </w:t>
      </w:r>
      <w:r w:rsidRPr="00F57A5E">
        <w:rPr>
          <w:rFonts w:ascii="Arial" w:eastAsia="Times New Roman" w:hAnsi="Arial" w:cs="Arial"/>
          <w:lang w:eastAsia="cs-CZ"/>
        </w:rPr>
        <w:t xml:space="preserve">základě hodnot SII jsou členské státy EU rozděleny do 4 skupin dle úrovně inovativnosti ekonomiky – </w:t>
      </w:r>
      <w:proofErr w:type="spellStart"/>
      <w:r w:rsidRPr="00F57A5E">
        <w:rPr>
          <w:rFonts w:ascii="Arial" w:eastAsia="Times New Roman" w:hAnsi="Arial" w:cs="Arial"/>
          <w:lang w:eastAsia="cs-CZ"/>
        </w:rPr>
        <w:t>Innovation</w:t>
      </w:r>
      <w:proofErr w:type="spellEnd"/>
      <w:r w:rsidRPr="00F57A5E">
        <w:rPr>
          <w:rFonts w:ascii="Arial" w:eastAsia="Times New Roman" w:hAnsi="Arial" w:cs="Arial"/>
          <w:lang w:eastAsia="cs-CZ"/>
        </w:rPr>
        <w:t xml:space="preserve"> </w:t>
      </w:r>
      <w:proofErr w:type="spellStart"/>
      <w:r w:rsidRPr="00F57A5E">
        <w:rPr>
          <w:rFonts w:ascii="Arial" w:eastAsia="Times New Roman" w:hAnsi="Arial" w:cs="Arial"/>
          <w:lang w:eastAsia="cs-CZ"/>
        </w:rPr>
        <w:t>Leaders</w:t>
      </w:r>
      <w:proofErr w:type="spellEnd"/>
      <w:r w:rsidRPr="00F57A5E">
        <w:rPr>
          <w:rFonts w:ascii="Arial" w:eastAsia="Times New Roman" w:hAnsi="Arial" w:cs="Arial"/>
          <w:lang w:eastAsia="cs-CZ"/>
        </w:rPr>
        <w:t xml:space="preserve">, </w:t>
      </w:r>
      <w:proofErr w:type="spellStart"/>
      <w:r w:rsidRPr="00F57A5E">
        <w:rPr>
          <w:rFonts w:ascii="Arial" w:eastAsia="Times New Roman" w:hAnsi="Arial" w:cs="Arial"/>
          <w:lang w:eastAsia="cs-CZ"/>
        </w:rPr>
        <w:t>Innovation</w:t>
      </w:r>
      <w:proofErr w:type="spellEnd"/>
      <w:r w:rsidRPr="00F57A5E">
        <w:rPr>
          <w:rFonts w:ascii="Arial" w:eastAsia="Times New Roman" w:hAnsi="Arial" w:cs="Arial"/>
          <w:lang w:eastAsia="cs-CZ"/>
        </w:rPr>
        <w:t xml:space="preserve"> </w:t>
      </w:r>
      <w:proofErr w:type="spellStart"/>
      <w:r w:rsidRPr="00F57A5E">
        <w:rPr>
          <w:rFonts w:ascii="Arial" w:eastAsia="Times New Roman" w:hAnsi="Arial" w:cs="Arial"/>
          <w:lang w:eastAsia="cs-CZ"/>
        </w:rPr>
        <w:t>Followers</w:t>
      </w:r>
      <w:proofErr w:type="spellEnd"/>
      <w:r w:rsidRPr="00F57A5E">
        <w:rPr>
          <w:rFonts w:ascii="Arial" w:eastAsia="Times New Roman" w:hAnsi="Arial" w:cs="Arial"/>
          <w:lang w:eastAsia="cs-CZ"/>
        </w:rPr>
        <w:t xml:space="preserve">, </w:t>
      </w:r>
      <w:proofErr w:type="spellStart"/>
      <w:r w:rsidRPr="00F57A5E">
        <w:rPr>
          <w:rFonts w:ascii="Arial" w:eastAsia="Times New Roman" w:hAnsi="Arial" w:cs="Arial"/>
          <w:lang w:eastAsia="cs-CZ"/>
        </w:rPr>
        <w:t>Moderate</w:t>
      </w:r>
      <w:proofErr w:type="spellEnd"/>
      <w:r w:rsidRPr="00F57A5E">
        <w:rPr>
          <w:rFonts w:ascii="Arial" w:eastAsia="Times New Roman" w:hAnsi="Arial" w:cs="Arial"/>
          <w:lang w:eastAsia="cs-CZ"/>
        </w:rPr>
        <w:t xml:space="preserve"> </w:t>
      </w:r>
      <w:proofErr w:type="spellStart"/>
      <w:r w:rsidRPr="00F57A5E">
        <w:rPr>
          <w:rFonts w:ascii="Arial" w:eastAsia="Times New Roman" w:hAnsi="Arial" w:cs="Arial"/>
          <w:lang w:eastAsia="cs-CZ"/>
        </w:rPr>
        <w:t>Innovators</w:t>
      </w:r>
      <w:proofErr w:type="spellEnd"/>
      <w:r w:rsidRPr="00F57A5E">
        <w:rPr>
          <w:rFonts w:ascii="Arial" w:eastAsia="Times New Roman" w:hAnsi="Arial" w:cs="Arial"/>
          <w:lang w:eastAsia="cs-CZ"/>
        </w:rPr>
        <w:t xml:space="preserve">, </w:t>
      </w:r>
      <w:proofErr w:type="spellStart"/>
      <w:r w:rsidRPr="00F57A5E">
        <w:rPr>
          <w:rFonts w:ascii="Arial" w:eastAsia="Times New Roman" w:hAnsi="Arial" w:cs="Arial"/>
          <w:lang w:eastAsia="cs-CZ"/>
        </w:rPr>
        <w:t>Modest</w:t>
      </w:r>
      <w:proofErr w:type="spellEnd"/>
      <w:r w:rsidRPr="00F57A5E">
        <w:rPr>
          <w:rFonts w:ascii="Arial" w:eastAsia="Times New Roman" w:hAnsi="Arial" w:cs="Arial"/>
          <w:lang w:eastAsia="cs-CZ"/>
        </w:rPr>
        <w:t xml:space="preserve"> </w:t>
      </w:r>
      <w:proofErr w:type="spellStart"/>
      <w:r w:rsidRPr="00F57A5E">
        <w:rPr>
          <w:rFonts w:ascii="Arial" w:eastAsia="Times New Roman" w:hAnsi="Arial" w:cs="Arial"/>
          <w:lang w:eastAsia="cs-CZ"/>
        </w:rPr>
        <w:t>Innovators</w:t>
      </w:r>
      <w:proofErr w:type="spellEnd"/>
      <w:r w:rsidRPr="00F57A5E">
        <w:rPr>
          <w:rFonts w:ascii="Arial" w:eastAsia="Times New Roman" w:hAnsi="Arial" w:cs="Arial"/>
          <w:lang w:eastAsia="cs-CZ"/>
        </w:rPr>
        <w:t>. ČR patří do skupiny středně inovativních ekonomik („</w:t>
      </w:r>
      <w:proofErr w:type="spellStart"/>
      <w:r w:rsidRPr="00F57A5E">
        <w:rPr>
          <w:rFonts w:ascii="Arial" w:eastAsia="Times New Roman" w:hAnsi="Arial" w:cs="Arial"/>
          <w:lang w:eastAsia="cs-CZ"/>
        </w:rPr>
        <w:t>Moderate</w:t>
      </w:r>
      <w:proofErr w:type="spellEnd"/>
      <w:r w:rsidRPr="00F57A5E">
        <w:rPr>
          <w:rFonts w:ascii="Arial" w:eastAsia="Times New Roman" w:hAnsi="Arial" w:cs="Arial"/>
          <w:lang w:eastAsia="cs-CZ"/>
        </w:rPr>
        <w:t xml:space="preserve"> </w:t>
      </w:r>
      <w:proofErr w:type="spellStart"/>
      <w:r w:rsidRPr="00F57A5E">
        <w:rPr>
          <w:rFonts w:ascii="Arial" w:eastAsia="Times New Roman" w:hAnsi="Arial" w:cs="Arial"/>
          <w:lang w:eastAsia="cs-CZ"/>
        </w:rPr>
        <w:t>Innovators</w:t>
      </w:r>
      <w:proofErr w:type="spellEnd"/>
      <w:r w:rsidRPr="00F57A5E">
        <w:rPr>
          <w:rFonts w:ascii="Arial" w:eastAsia="Times New Roman" w:hAnsi="Arial" w:cs="Arial"/>
          <w:lang w:eastAsia="cs-CZ"/>
        </w:rPr>
        <w:t xml:space="preserve">“). V této skupině dosahuje SII ČR druhé nejvyšší hodnoty a je přibližně na stejné úrovni jako Španělsko </w:t>
      </w:r>
      <w:r w:rsidRPr="00F57A5E">
        <w:rPr>
          <w:rFonts w:ascii="Arial" w:eastAsia="Times New Roman" w:hAnsi="Arial" w:cs="Arial"/>
          <w:lang w:eastAsia="cs-CZ"/>
        </w:rPr>
        <w:lastRenderedPageBreak/>
        <w:t>a</w:t>
      </w:r>
      <w:r w:rsidR="006C6AB2">
        <w:rPr>
          <w:rFonts w:ascii="Arial" w:eastAsia="Times New Roman" w:hAnsi="Arial" w:cs="Arial"/>
          <w:lang w:eastAsia="cs-CZ"/>
        </w:rPr>
        <w:t> </w:t>
      </w:r>
      <w:r w:rsidRPr="00F57A5E">
        <w:rPr>
          <w:rFonts w:ascii="Arial" w:eastAsia="Times New Roman" w:hAnsi="Arial" w:cs="Arial"/>
          <w:lang w:eastAsia="cs-CZ"/>
        </w:rPr>
        <w:t>Portugalsko. V průběhu let se pozice ČR příliš neměnila, od roku 2006 SII ČR narostl zhruba o</w:t>
      </w:r>
      <w:r w:rsidR="006C6AB2">
        <w:rPr>
          <w:rFonts w:ascii="Arial" w:eastAsia="Times New Roman" w:hAnsi="Arial" w:cs="Arial"/>
          <w:lang w:eastAsia="cs-CZ"/>
        </w:rPr>
        <w:t> </w:t>
      </w:r>
      <w:r w:rsidRPr="00F57A5E">
        <w:rPr>
          <w:rFonts w:ascii="Arial" w:eastAsia="Times New Roman" w:hAnsi="Arial" w:cs="Arial"/>
          <w:lang w:eastAsia="cs-CZ"/>
        </w:rPr>
        <w:t>13% své původní hodnoty (z 0,374 v roce 2006 na 0,422 v roce 2013). Dle posledních údajů z roku 2013 se ČR umístila v žebříčku před Španělskem i Portugalskem, v předchozích letech docházelo k výměně pořadí mezi těmito zeměmi. Zajímavé je srovnání ČR se Slovinskem a</w:t>
      </w:r>
      <w:r w:rsidR="006C6AB2">
        <w:rPr>
          <w:rFonts w:ascii="Arial" w:eastAsia="Times New Roman" w:hAnsi="Arial" w:cs="Arial"/>
          <w:lang w:eastAsia="cs-CZ"/>
        </w:rPr>
        <w:t> </w:t>
      </w:r>
      <w:r w:rsidRPr="00F57A5E">
        <w:rPr>
          <w:rFonts w:ascii="Arial" w:eastAsia="Times New Roman" w:hAnsi="Arial" w:cs="Arial"/>
          <w:lang w:eastAsia="cs-CZ"/>
        </w:rPr>
        <w:t>Estonskem, které taktéž v minulosti prošly centrálně plánovaným hospodářstvím. Obě zmíněné země se v roce 2013 zařadily do druhé nejvýše postavené kategorie „</w:t>
      </w:r>
      <w:proofErr w:type="spellStart"/>
      <w:r w:rsidRPr="00F57A5E">
        <w:rPr>
          <w:rFonts w:ascii="Arial" w:eastAsia="Times New Roman" w:hAnsi="Arial" w:cs="Arial"/>
          <w:lang w:eastAsia="cs-CZ"/>
        </w:rPr>
        <w:t>Innovation</w:t>
      </w:r>
      <w:proofErr w:type="spellEnd"/>
      <w:r w:rsidRPr="00F57A5E">
        <w:rPr>
          <w:rFonts w:ascii="Arial" w:eastAsia="Times New Roman" w:hAnsi="Arial" w:cs="Arial"/>
          <w:lang w:eastAsia="cs-CZ"/>
        </w:rPr>
        <w:t xml:space="preserve"> </w:t>
      </w:r>
      <w:proofErr w:type="spellStart"/>
      <w:r w:rsidRPr="00F57A5E">
        <w:rPr>
          <w:rFonts w:ascii="Arial" w:eastAsia="Times New Roman" w:hAnsi="Arial" w:cs="Arial"/>
          <w:lang w:eastAsia="cs-CZ"/>
        </w:rPr>
        <w:t>Followers</w:t>
      </w:r>
      <w:proofErr w:type="spellEnd"/>
      <w:r w:rsidRPr="00F57A5E">
        <w:rPr>
          <w:rFonts w:ascii="Arial" w:eastAsia="Times New Roman" w:hAnsi="Arial" w:cs="Arial"/>
          <w:lang w:eastAsia="cs-CZ"/>
        </w:rPr>
        <w:t>“. Nicméně tyto dvě země společně s Kyprem spadaly ještě v roce 2012 do kategorie středně inovativních ekonomik, stejně jako ČR. Důvodem může být podstatné zvýšení hodnot kompozitního indikátoru způsobené čerpáním evropských prostředků projevující se podstatnou změnou hodnot inovačních inputů či některých procesů (viz příklad Estonska). Pokud porovnáme ČR s ekonomikami s nejvyšší úrovní hospodářské výkonnosti (Dánsko, Německo, Rakousko, Švédsko atd.) dle SII, tak toto porovnání poskytuje podobný obraz jako v případě znalostní intenzity ekonomiky.</w:t>
      </w:r>
    </w:p>
    <w:p w:rsidR="000822A0" w:rsidRPr="000822A0" w:rsidRDefault="000822A0" w:rsidP="000C142B">
      <w:pPr>
        <w:pStyle w:val="Obrzek-nadpis"/>
      </w:pPr>
      <w:r w:rsidRPr="000822A0">
        <w:t xml:space="preserve">Graf </w:t>
      </w:r>
      <w:r w:rsidR="00934D86">
        <w:t>7.</w:t>
      </w:r>
      <w:r w:rsidR="004E7ED9">
        <w:t>3</w:t>
      </w:r>
      <w:r w:rsidRPr="000822A0">
        <w:t>: Pozice ČR dle SII v roce 2013 a růst SII mezi lety 2006</w:t>
      </w:r>
      <w:r w:rsidR="00234BAC">
        <w:t xml:space="preserve"> </w:t>
      </w:r>
      <w:r w:rsidRPr="000822A0">
        <w:t>-</w:t>
      </w:r>
      <w:r w:rsidR="00234BAC">
        <w:t xml:space="preserve"> </w:t>
      </w:r>
      <w:r w:rsidRPr="000822A0">
        <w:t>2013</w:t>
      </w:r>
    </w:p>
    <w:p w:rsidR="000822A0" w:rsidRPr="000822A0" w:rsidRDefault="006C6AB2" w:rsidP="00D25C7B">
      <w:pPr>
        <w:spacing w:beforeLines="60" w:before="144" w:afterLines="60" w:after="144" w:line="240" w:lineRule="auto"/>
        <w:jc w:val="center"/>
        <w:rPr>
          <w:rFonts w:cs="Times New Roman"/>
        </w:rPr>
      </w:pPr>
      <w:r w:rsidRPr="006C6AB2">
        <w:rPr>
          <w:noProof/>
          <w:lang w:eastAsia="cs-CZ"/>
        </w:rPr>
        <w:drawing>
          <wp:inline distT="0" distB="0" distL="0" distR="0" wp14:anchorId="53A4C416" wp14:editId="730368AA">
            <wp:extent cx="6120130" cy="3469042"/>
            <wp:effectExtent l="0" t="0" r="0" b="0"/>
            <wp:docPr id="331" name="Obrázek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120130" cy="3469042"/>
                    </a:xfrm>
                    <a:prstGeom prst="rect">
                      <a:avLst/>
                    </a:prstGeom>
                    <a:noFill/>
                    <a:ln>
                      <a:noFill/>
                    </a:ln>
                  </pic:spPr>
                </pic:pic>
              </a:graphicData>
            </a:graphic>
          </wp:inline>
        </w:drawing>
      </w:r>
    </w:p>
    <w:p w:rsidR="000822A0" w:rsidRPr="000822A0" w:rsidRDefault="000822A0" w:rsidP="000822A0">
      <w:pPr>
        <w:spacing w:beforeLines="60" w:before="144" w:afterLines="60" w:after="144" w:line="240" w:lineRule="auto"/>
        <w:jc w:val="both"/>
        <w:rPr>
          <w:rFonts w:cs="Times New Roman"/>
        </w:rPr>
      </w:pPr>
      <w:r w:rsidRPr="000822A0">
        <w:rPr>
          <w:noProof/>
          <w:lang w:eastAsia="cs-CZ"/>
        </w:rPr>
        <mc:AlternateContent>
          <mc:Choice Requires="wpg">
            <w:drawing>
              <wp:anchor distT="0" distB="0" distL="114300" distR="114300" simplePos="0" relativeHeight="251731968" behindDoc="0" locked="0" layoutInCell="1" allowOverlap="1" wp14:anchorId="6B7A5459" wp14:editId="4F02BCCA">
                <wp:simplePos x="0" y="0"/>
                <wp:positionH relativeFrom="column">
                  <wp:posOffset>398366</wp:posOffset>
                </wp:positionH>
                <wp:positionV relativeFrom="paragraph">
                  <wp:posOffset>3810</wp:posOffset>
                </wp:positionV>
                <wp:extent cx="5534660" cy="247650"/>
                <wp:effectExtent l="0" t="0" r="0" b="0"/>
                <wp:wrapNone/>
                <wp:docPr id="36" name="Skupina 36"/>
                <wp:cNvGraphicFramePr/>
                <a:graphic xmlns:a="http://schemas.openxmlformats.org/drawingml/2006/main">
                  <a:graphicData uri="http://schemas.microsoft.com/office/word/2010/wordprocessingGroup">
                    <wpg:wgp>
                      <wpg:cNvGrpSpPr/>
                      <wpg:grpSpPr>
                        <a:xfrm>
                          <a:off x="0" y="0"/>
                          <a:ext cx="5534660" cy="247650"/>
                          <a:chOff x="0" y="0"/>
                          <a:chExt cx="5534853" cy="247650"/>
                        </a:xfrm>
                      </wpg:grpSpPr>
                      <wpg:grpSp>
                        <wpg:cNvPr id="37" name="Skupina 2"/>
                        <wpg:cNvGrpSpPr/>
                        <wpg:grpSpPr>
                          <a:xfrm>
                            <a:off x="0" y="0"/>
                            <a:ext cx="1257300" cy="247650"/>
                            <a:chOff x="123825" y="0"/>
                            <a:chExt cx="1257300" cy="247650"/>
                          </a:xfrm>
                        </wpg:grpSpPr>
                        <wps:wsp>
                          <wps:cNvPr id="38" name="Zaoblený obdélník 38"/>
                          <wps:cNvSpPr/>
                          <wps:spPr>
                            <a:xfrm>
                              <a:off x="123825" y="47626"/>
                              <a:ext cx="114300" cy="114300"/>
                            </a:xfrm>
                            <a:prstGeom prst="roundRect">
                              <a:avLst/>
                            </a:prstGeom>
                            <a:solidFill>
                              <a:srgbClr val="F79646">
                                <a:lumMod val="75000"/>
                              </a:srgbClr>
                            </a:solidFill>
                            <a:ln w="25400" cap="flat" cmpd="sng" algn="ctr">
                              <a:noFill/>
                              <a:prstDash val="solid"/>
                            </a:ln>
                            <a:effectLst/>
                          </wps:spPr>
                          <wps:txbx>
                            <w:txbxContent>
                              <w:p w:rsidR="006F678C" w:rsidRDefault="006F678C" w:rsidP="000822A0">
                                <w:pPr>
                                  <w:rPr>
                                    <w:rFonts w:eastAsia="Times New Roman"/>
                                  </w:rPr>
                                </w:pPr>
                              </w:p>
                            </w:txbxContent>
                          </wps:txbx>
                          <wps:bodyPr rtlCol="0" anchor="t"/>
                        </wps:wsp>
                        <wps:wsp>
                          <wps:cNvPr id="39" name="TextovéPole 4"/>
                          <wps:cNvSpPr txBox="1"/>
                          <wps:spPr>
                            <a:xfrm>
                              <a:off x="238124" y="0"/>
                              <a:ext cx="1143001" cy="247650"/>
                            </a:xfrm>
                            <a:prstGeom prst="rect">
                              <a:avLst/>
                            </a:prstGeom>
                            <a:noFill/>
                            <a:ln w="9525" cmpd="sng">
                              <a:noFill/>
                            </a:ln>
                            <a:effectLst/>
                          </wps:spPr>
                          <wps:txbx>
                            <w:txbxContent>
                              <w:p w:rsidR="006F678C" w:rsidRDefault="006F678C" w:rsidP="000822A0">
                                <w:pPr>
                                  <w:pStyle w:val="Normlnweb"/>
                                  <w:spacing w:after="0"/>
                                </w:pPr>
                                <w:r>
                                  <w:rPr>
                                    <w:rFonts w:asciiTheme="minorHAnsi" w:hAnsi="Calibri" w:cstheme="minorBidi"/>
                                    <w:color w:val="000000" w:themeColor="dark1"/>
                                    <w:sz w:val="16"/>
                                    <w:szCs w:val="16"/>
                                  </w:rPr>
                                  <w:t>MODEST INNOVATORS</w:t>
                                </w:r>
                              </w:p>
                            </w:txbxContent>
                          </wps:txbx>
                          <wps:bodyPr wrap="square" rtlCol="0" anchor="t"/>
                        </wps:wsp>
                      </wpg:grpSp>
                      <wpg:grpSp>
                        <wpg:cNvPr id="40" name="Skupina 15"/>
                        <wpg:cNvGrpSpPr/>
                        <wpg:grpSpPr>
                          <a:xfrm>
                            <a:off x="1256306" y="0"/>
                            <a:ext cx="1552575" cy="247650"/>
                            <a:chOff x="123825" y="0"/>
                            <a:chExt cx="1552575" cy="247650"/>
                          </a:xfrm>
                        </wpg:grpSpPr>
                        <wps:wsp>
                          <wps:cNvPr id="41" name="Zaoblený obdélník 41"/>
                          <wps:cNvSpPr/>
                          <wps:spPr>
                            <a:xfrm>
                              <a:off x="123825" y="47626"/>
                              <a:ext cx="114300" cy="114300"/>
                            </a:xfrm>
                            <a:prstGeom prst="roundRect">
                              <a:avLst/>
                            </a:prstGeom>
                            <a:solidFill>
                              <a:srgbClr val="FFFF00"/>
                            </a:solidFill>
                            <a:ln w="25400" cap="flat" cmpd="sng" algn="ctr">
                              <a:noFill/>
                              <a:prstDash val="solid"/>
                            </a:ln>
                            <a:effectLst/>
                          </wps:spPr>
                          <wps:txbx>
                            <w:txbxContent>
                              <w:p w:rsidR="006F678C" w:rsidRDefault="006F678C" w:rsidP="000822A0">
                                <w:pPr>
                                  <w:rPr>
                                    <w:rFonts w:eastAsia="Times New Roman"/>
                                  </w:rPr>
                                </w:pPr>
                              </w:p>
                            </w:txbxContent>
                          </wps:txbx>
                          <wps:bodyPr rtlCol="0" anchor="t"/>
                        </wps:wsp>
                        <wps:wsp>
                          <wps:cNvPr id="42" name="TextovéPole 6"/>
                          <wps:cNvSpPr txBox="1"/>
                          <wps:spPr>
                            <a:xfrm>
                              <a:off x="238124" y="0"/>
                              <a:ext cx="1438276" cy="247650"/>
                            </a:xfrm>
                            <a:prstGeom prst="rect">
                              <a:avLst/>
                            </a:prstGeom>
                            <a:noFill/>
                            <a:ln w="9525" cmpd="sng">
                              <a:noFill/>
                            </a:ln>
                            <a:effectLst/>
                          </wps:spPr>
                          <wps:txbx>
                            <w:txbxContent>
                              <w:p w:rsidR="006F678C" w:rsidRDefault="006F678C" w:rsidP="000822A0">
                                <w:pPr>
                                  <w:pStyle w:val="Normlnweb"/>
                                  <w:spacing w:after="0"/>
                                </w:pPr>
                                <w:r>
                                  <w:rPr>
                                    <w:rFonts w:asciiTheme="minorHAnsi" w:hAnsi="Calibri" w:cstheme="minorBidi"/>
                                    <w:color w:val="000000" w:themeColor="dark1"/>
                                    <w:sz w:val="16"/>
                                    <w:szCs w:val="16"/>
                                  </w:rPr>
                                  <w:t>MODERATE INNOVATORS</w:t>
                                </w:r>
                              </w:p>
                            </w:txbxContent>
                          </wps:txbx>
                          <wps:bodyPr wrap="square" rtlCol="0" anchor="t"/>
                        </wps:wsp>
                      </wpg:grpSp>
                      <wpg:grpSp>
                        <wpg:cNvPr id="43" name="Skupina 16"/>
                        <wpg:cNvGrpSpPr/>
                        <wpg:grpSpPr>
                          <a:xfrm>
                            <a:off x="2695492" y="0"/>
                            <a:ext cx="1428750" cy="247650"/>
                            <a:chOff x="123825" y="0"/>
                            <a:chExt cx="1428750" cy="247650"/>
                          </a:xfrm>
                        </wpg:grpSpPr>
                        <wps:wsp>
                          <wps:cNvPr id="44" name="Zaoblený obdélník 44"/>
                          <wps:cNvSpPr/>
                          <wps:spPr>
                            <a:xfrm>
                              <a:off x="123825" y="47626"/>
                              <a:ext cx="114300" cy="114300"/>
                            </a:xfrm>
                            <a:prstGeom prst="roundRect">
                              <a:avLst/>
                            </a:prstGeom>
                            <a:solidFill>
                              <a:srgbClr val="8DE3B4"/>
                            </a:solidFill>
                            <a:ln w="25400" cap="flat" cmpd="sng" algn="ctr">
                              <a:noFill/>
                              <a:prstDash val="solid"/>
                            </a:ln>
                            <a:effectLst/>
                          </wps:spPr>
                          <wps:txbx>
                            <w:txbxContent>
                              <w:p w:rsidR="006F678C" w:rsidRDefault="006F678C" w:rsidP="000822A0">
                                <w:pPr>
                                  <w:rPr>
                                    <w:rFonts w:eastAsia="Times New Roman"/>
                                  </w:rPr>
                                </w:pPr>
                              </w:p>
                            </w:txbxContent>
                          </wps:txbx>
                          <wps:bodyPr rtlCol="0" anchor="t"/>
                        </wps:wsp>
                        <wps:wsp>
                          <wps:cNvPr id="45" name="TextovéPole 8"/>
                          <wps:cNvSpPr txBox="1"/>
                          <wps:spPr>
                            <a:xfrm>
                              <a:off x="238124" y="0"/>
                              <a:ext cx="1314451" cy="247650"/>
                            </a:xfrm>
                            <a:prstGeom prst="rect">
                              <a:avLst/>
                            </a:prstGeom>
                            <a:noFill/>
                            <a:ln w="9525" cmpd="sng">
                              <a:noFill/>
                            </a:ln>
                            <a:effectLst/>
                          </wps:spPr>
                          <wps:txbx>
                            <w:txbxContent>
                              <w:p w:rsidR="006F678C" w:rsidRDefault="006F678C" w:rsidP="000822A0">
                                <w:pPr>
                                  <w:pStyle w:val="Normlnweb"/>
                                  <w:spacing w:after="0"/>
                                </w:pPr>
                                <w:r>
                                  <w:rPr>
                                    <w:rFonts w:asciiTheme="minorHAnsi" w:hAnsi="Calibri" w:cstheme="minorBidi"/>
                                    <w:color w:val="000000" w:themeColor="dark1"/>
                                    <w:sz w:val="16"/>
                                    <w:szCs w:val="16"/>
                                  </w:rPr>
                                  <w:t>INNOVATION FOLLOWERS</w:t>
                                </w:r>
                              </w:p>
                            </w:txbxContent>
                          </wps:txbx>
                          <wps:bodyPr wrap="square" rtlCol="0" anchor="t"/>
                        </wps:wsp>
                      </wpg:grpSp>
                      <wpg:grpSp>
                        <wpg:cNvPr id="47" name="Skupina 17"/>
                        <wpg:cNvGrpSpPr/>
                        <wpg:grpSpPr>
                          <a:xfrm>
                            <a:off x="4134678" y="0"/>
                            <a:ext cx="1400175" cy="247650"/>
                            <a:chOff x="123825" y="0"/>
                            <a:chExt cx="1400175" cy="247650"/>
                          </a:xfrm>
                        </wpg:grpSpPr>
                        <wps:wsp>
                          <wps:cNvPr id="48" name="Zaoblený obdélník 48"/>
                          <wps:cNvSpPr/>
                          <wps:spPr>
                            <a:xfrm>
                              <a:off x="123825" y="47626"/>
                              <a:ext cx="114300" cy="114300"/>
                            </a:xfrm>
                            <a:prstGeom prst="roundRect">
                              <a:avLst/>
                            </a:prstGeom>
                            <a:solidFill>
                              <a:srgbClr val="0B970E"/>
                            </a:solidFill>
                            <a:ln w="25400" cap="flat" cmpd="sng" algn="ctr">
                              <a:noFill/>
                              <a:prstDash val="solid"/>
                            </a:ln>
                            <a:effectLst/>
                          </wps:spPr>
                          <wps:txbx>
                            <w:txbxContent>
                              <w:p w:rsidR="006F678C" w:rsidRDefault="006F678C" w:rsidP="000822A0">
                                <w:pPr>
                                  <w:rPr>
                                    <w:rFonts w:eastAsia="Times New Roman"/>
                                  </w:rPr>
                                </w:pPr>
                              </w:p>
                            </w:txbxContent>
                          </wps:txbx>
                          <wps:bodyPr rtlCol="0" anchor="t"/>
                        </wps:wsp>
                        <wps:wsp>
                          <wps:cNvPr id="52" name="TextovéPole 10"/>
                          <wps:cNvSpPr txBox="1"/>
                          <wps:spPr>
                            <a:xfrm>
                              <a:off x="238124" y="0"/>
                              <a:ext cx="1285876" cy="247650"/>
                            </a:xfrm>
                            <a:prstGeom prst="rect">
                              <a:avLst/>
                            </a:prstGeom>
                            <a:noFill/>
                            <a:ln w="9525" cmpd="sng">
                              <a:noFill/>
                            </a:ln>
                            <a:effectLst/>
                          </wps:spPr>
                          <wps:txbx>
                            <w:txbxContent>
                              <w:p w:rsidR="006F678C" w:rsidRDefault="006F678C" w:rsidP="000822A0">
                                <w:pPr>
                                  <w:pStyle w:val="Normlnweb"/>
                                  <w:spacing w:after="0"/>
                                </w:pPr>
                                <w:r>
                                  <w:rPr>
                                    <w:rFonts w:asciiTheme="minorHAnsi" w:hAnsi="Calibri" w:cstheme="minorBidi"/>
                                    <w:color w:val="000000" w:themeColor="dark1"/>
                                    <w:sz w:val="16"/>
                                    <w:szCs w:val="16"/>
                                  </w:rPr>
                                  <w:t>INNOVATION LEADERS</w:t>
                                </w:r>
                              </w:p>
                            </w:txbxContent>
                          </wps:txbx>
                          <wps:bodyPr wrap="square" rtlCol="0" anchor="t"/>
                        </wps:wsp>
                      </wpg:grpSp>
                    </wpg:wgp>
                  </a:graphicData>
                </a:graphic>
              </wp:anchor>
            </w:drawing>
          </mc:Choice>
          <mc:Fallback>
            <w:pict>
              <v:group id="Skupina 36" o:spid="_x0000_s1034" style="position:absolute;left:0;text-align:left;margin-left:31.35pt;margin-top:.3pt;width:435.8pt;height:19.5pt;z-index:251731968;mso-position-horizontal-relative:text;mso-position-vertical-relative:text" coordsize="55348,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">
                <v:group id="Skupina 2" o:spid="_x0000_s1035" style="position:absolute;width:12573;height:2476" coordorigin="1238" coordsize="12573,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EGDsQAAADbAAAADwAAAGRycy9kb3ducmV2LnhtbESPT4vCMBTE7wt+h/AE&#10;b2taxVWqUURc8SCCf0C8PZpnW2xeSpNt67ffLAh7HGbmN8xi1ZlSNFS7wrKCeBiBIE6tLjhTcL18&#10;f85AOI+ssbRMCl7kYLXsfSww0bblEzVnn4kAYZeggtz7KpHSpTkZdENbEQfvYWuDPsg6k7rGNsBN&#10;KUdR9CUNFhwWcqxok1P6PP8YBbsW2/U43jaH52Pzul8mx9shJqUG/W49B+Gp8//hd3uvFYy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WEGDsQAAADbAAAA&#10;DwAAAAAAAAAAAAAAAACqAgAAZHJzL2Rvd25yZXYueG1sUEsFBgAAAAAEAAQA+gAAAJsDAAAAAA==&#10;">
                  <v:roundrect id="Zaoblený obdélník 38" o:spid="_x0000_s1036" style="position:absolute;left:1238;top:476;width:1143;height:11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E/IsEA&#10;AADbAAAADwAAAGRycy9kb3ducmV2LnhtbERPTWvCQBC9C/0PywjedGMFI6mrhEJBPVgatV6n2WkS&#10;kp0N2TXGf989FDw+3vd6O5hG9NS5yrKC+SwCQZxbXXGh4Hz6mK5AOI+ssbFMCh7kYLt5Ga0x0fbO&#10;X9RnvhAhhF2CCkrv20RKl5dk0M1sSxy4X9sZ9AF2hdQd3kO4aeRrFC2lwYpDQ4ktvZeU19nNKOg/&#10;v2s+rFLsJQ774zWOL9fDj1KT8ZC+gfA0+Kf4373TChZhbPgSfoDc/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hPyLBAAAA2wAAAA8AAAAAAAAAAAAAAAAAmAIAAGRycy9kb3du&#10;cmV2LnhtbFBLBQYAAAAABAAEAPUAAACGAwAAAAA=&#10;" fillcolor="#e46c0a" stroked="f" strokeweight="2pt">
                    <v:textbox>
                      <w:txbxContent>
                        <w:p w:rsidR="006F678C" w:rsidRDefault="006F678C" w:rsidP="000822A0">
                          <w:pPr>
                            <w:rPr>
                              <w:rFonts w:eastAsia="Times New Roman"/>
                            </w:rPr>
                          </w:pPr>
                        </w:p>
                      </w:txbxContent>
                    </v:textbox>
                  </v:roundrect>
                  <v:shape id="TextovéPole 4" o:spid="_x0000_s1037" type="#_x0000_t202" style="position:absolute;left:2381;width:11430;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8gBMIA&#10;AADbAAAADwAAAGRycy9kb3ducmV2LnhtbESPT4vCMBTE74LfITzB25qoq2g1iigLe1rxL3h7NM+2&#10;2LyUJmu7336zsOBxmJnfMMt1a0vxpNoXjjUMBwoEcepMwZmG8+njbQbCB2SDpWPS8EMe1qtuZ4mJ&#10;cQ0f6HkMmYgQ9glqyEOoEil9mpNFP3AVcfTurrYYoqwzaWpsItyWcqTUVFosOC7kWNE2p/Rx/LYa&#10;Ll/32/Vd7bOdnVSNa5VkO5da93vtZgEiUBte4f/2p9EwnsPfl/gD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yAEwgAAANsAAAAPAAAAAAAAAAAAAAAAAJgCAABkcnMvZG93&#10;bnJldi54bWxQSwUGAAAAAAQABAD1AAAAhwMAAAAA&#10;" filled="f" stroked="f">
                    <v:textbox>
                      <w:txbxContent>
                        <w:p w:rsidR="006F678C" w:rsidRDefault="006F678C" w:rsidP="000822A0">
                          <w:pPr>
                            <w:pStyle w:val="Normlnweb"/>
                            <w:spacing w:after="0"/>
                          </w:pPr>
                          <w:r>
                            <w:rPr>
                              <w:rFonts w:asciiTheme="minorHAnsi" w:hAnsi="Calibri" w:cstheme="minorBidi"/>
                              <w:color w:val="000000" w:themeColor="dark1"/>
                              <w:sz w:val="16"/>
                              <w:szCs w:val="16"/>
                            </w:rPr>
                            <w:t>MODEST INNOVATORS</w:t>
                          </w:r>
                        </w:p>
                      </w:txbxContent>
                    </v:textbox>
                  </v:shape>
                </v:group>
                <v:group id="Skupina 15" o:spid="_x0000_s1038" style="position:absolute;left:12563;width:15525;height:2476" coordorigin="1238" coordsize="15525,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7tB8MAAADbAAAADwAAAGRycy9kb3ducmV2LnhtbERPy2rCQBTdC/2H4Ra6&#10;M5O0Wkp0FAlt6UIEk0Jxd8lck2DmTshM8/h7Z1Ho8nDe2/1kWjFQ7xrLCpIoBkFcWt1wpeC7+Fi+&#10;gXAeWWNrmRTM5GC/e1hsMdV25DMNua9ECGGXooLa+y6V0pU1GXSR7YgDd7W9QR9gX0nd4xjCTSuf&#10;4/hVGmw4NNTYUVZTect/jYLPEcfDS/I+HG/XbL4U69PPMSGlnh6nwwaEp8n/i//cX1rBKq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u0HwwAAANsAAAAP&#10;AAAAAAAAAAAAAAAAAKoCAABkcnMvZG93bnJldi54bWxQSwUGAAAAAAQABAD6AAAAmgMAAAAA&#10;">
                  <v:roundrect id="Zaoblený obdélník 41" o:spid="_x0000_s1039" style="position:absolute;left:1238;top:476;width:1143;height:11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4ykMQA&#10;AADbAAAADwAAAGRycy9kb3ducmV2LnhtbESPT2sCMRTE7wW/Q3hCbzWxf6RsjSJFoRQvXRfPr5vX&#10;zeLmZd3EdfvtjSB4HGbmN8x8ObhG9NSF2rOG6USBIC69qbnSUOw2T+8gQkQ22HgmDf8UYLkYPcwx&#10;M/7MP9TnsRIJwiFDDTbGNpMylJYcholviZP35zuHMcmukqbDc4K7Rj4rNZMOa04LFlv6tFQe8pPT&#10;sG7erN2tVJUfv7fF774vXuxJaf04HlYfICIN8R6+tb+MhtcpXL+kHy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eMpDEAAAA2wAAAA8AAAAAAAAAAAAAAAAAmAIAAGRycy9k&#10;b3ducmV2LnhtbFBLBQYAAAAABAAEAPUAAACJAwAAAAA=&#10;" fillcolor="yellow" stroked="f" strokeweight="2pt">
                    <v:textbox>
                      <w:txbxContent>
                        <w:p w:rsidR="006F678C" w:rsidRDefault="006F678C" w:rsidP="000822A0">
                          <w:pPr>
                            <w:rPr>
                              <w:rFonts w:eastAsia="Times New Roman"/>
                            </w:rPr>
                          </w:pPr>
                        </w:p>
                      </w:txbxContent>
                    </v:textbox>
                  </v:roundrect>
                  <v:shape id="TextovéPole 6" o:spid="_x0000_s1040" type="#_x0000_t202" style="position:absolute;left:2381;width:14383;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3BCMIA&#10;AADbAAAADwAAAGRycy9kb3ducmV2LnhtbESPT4vCMBTE7wt+h/AEb2uiuItWo4gieFpZ/4G3R/Ns&#10;i81LaaKt394sLHgcZuY3zGzR2lI8qPaFYw2DvgJBnDpTcKbheNh8jkH4gGywdEwanuRhMe98zDAx&#10;ruFfeuxDJiKEfYIa8hCqREqf5mTR911FHL2rqy2GKOtMmhqbCLelHCr1LS0WHBdyrGiVU3rb362G&#10;08/1ch6pXba2X1XjWiXZTqTWvW67nIII1IZ3+L+9NRpGQ/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rcEIwgAAANsAAAAPAAAAAAAAAAAAAAAAAJgCAABkcnMvZG93&#10;bnJldi54bWxQSwUGAAAAAAQABAD1AAAAhwMAAAAA&#10;" filled="f" stroked="f">
                    <v:textbox>
                      <w:txbxContent>
                        <w:p w:rsidR="006F678C" w:rsidRDefault="006F678C" w:rsidP="000822A0">
                          <w:pPr>
                            <w:pStyle w:val="Normlnweb"/>
                            <w:spacing w:after="0"/>
                          </w:pPr>
                          <w:r>
                            <w:rPr>
                              <w:rFonts w:asciiTheme="minorHAnsi" w:hAnsi="Calibri" w:cstheme="minorBidi"/>
                              <w:color w:val="000000" w:themeColor="dark1"/>
                              <w:sz w:val="16"/>
                              <w:szCs w:val="16"/>
                            </w:rPr>
                            <w:t>MODERATE INNOVATORS</w:t>
                          </w:r>
                        </w:p>
                      </w:txbxContent>
                    </v:textbox>
                  </v:shape>
                </v:group>
                <v:group id="Skupina 16" o:spid="_x0000_s1041" style="position:absolute;left:26954;width:14288;height:2476" coordorigin="1238" coordsize="14287,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roundrect id="Zaoblený obdélník 44" o:spid="_x0000_s1042" style="position:absolute;left:1238;top:476;width:1143;height:11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dAMIA&#10;AADbAAAADwAAAGRycy9kb3ducmV2LnhtbESPQWvCQBSE7wX/w/IEb3WTIiLRVYIoiD01lp4f2WcS&#10;kn27ZLcm+uu7BcHjMDPfMJvdaDpxo943lhWk8wQEcWl1w5WC78vxfQXCB2SNnWVScCcPu+3kbYOZ&#10;tgN/0a0IlYgQ9hkqqENwmZS+rMmgn1tHHL2r7Q2GKPtK6h6HCDed/EiSpTTYcFyo0dG+prItfo2C&#10;4tAdP4c2T9PVz7kwp9bl+uGUmk3HfA0i0Bhe4Wf7pBUsFvD/Jf4Auf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K50AwgAAANsAAAAPAAAAAAAAAAAAAAAAAJgCAABkcnMvZG93&#10;bnJldi54bWxQSwUGAAAAAAQABAD1AAAAhwMAAAAA&#10;" fillcolor="#8de3b4" stroked="f" strokeweight="2pt">
                    <v:textbox>
                      <w:txbxContent>
                        <w:p w:rsidR="006F678C" w:rsidRDefault="006F678C" w:rsidP="000822A0">
                          <w:pPr>
                            <w:rPr>
                              <w:rFonts w:eastAsia="Times New Roman"/>
                            </w:rPr>
                          </w:pPr>
                        </w:p>
                      </w:txbxContent>
                    </v:textbox>
                  </v:roundrect>
                  <v:shape id="TextovéPole 8" o:spid="_x0000_s1043" type="#_x0000_t202" style="position:absolute;left:2381;width:13144;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RZfMMA&#10;AADbAAAADwAAAGRycy9kb3ducmV2LnhtbESPQWvCQBSE74L/YXmCN7NrMVLTrFJaCp5atK3Q2yP7&#10;TILZtyG7TdJ/3xUEj8PMfMPku9E2oqfO1441LBMFgrhwpuZSw9fn2+IRhA/IBhvHpOGPPOy200mO&#10;mXEDH6g/hlJECPsMNVQhtJmUvqjIok9cSxy9s+sshii7UpoOhwi3jXxQai0t1hwXKmzppaLicvy1&#10;Gr7fzz+nlfooX23aDm5Uku1Gaj2fjc9PIAKN4R6+tfdGwyqF65f4A+T2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0RZfMMAAADbAAAADwAAAAAAAAAAAAAAAACYAgAAZHJzL2Rv&#10;d25yZXYueG1sUEsFBgAAAAAEAAQA9QAAAIgDAAAAAA==&#10;" filled="f" stroked="f">
                    <v:textbox>
                      <w:txbxContent>
                        <w:p w:rsidR="006F678C" w:rsidRDefault="006F678C" w:rsidP="000822A0">
                          <w:pPr>
                            <w:pStyle w:val="Normlnweb"/>
                            <w:spacing w:after="0"/>
                          </w:pPr>
                          <w:r>
                            <w:rPr>
                              <w:rFonts w:asciiTheme="minorHAnsi" w:hAnsi="Calibri" w:cstheme="minorBidi"/>
                              <w:color w:val="000000" w:themeColor="dark1"/>
                              <w:sz w:val="16"/>
                              <w:szCs w:val="16"/>
                            </w:rPr>
                            <w:t>INNOVATION FOLLOWERS</w:t>
                          </w:r>
                        </w:p>
                      </w:txbxContent>
                    </v:textbox>
                  </v:shape>
                </v:group>
                <v:group id="Skupina 17" o:spid="_x0000_s1044" style="position:absolute;left:41346;width:14002;height:2476" coordorigin="1238" coordsize="14001,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roundrect id="Zaoblený obdélník 48" o:spid="_x0000_s1045" style="position:absolute;left:1238;top:476;width:1143;height:11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m4Db8A&#10;AADbAAAADwAAAGRycy9kb3ducmV2LnhtbERPz2uDMBS+D/Y/hDfYZczYTsawjdKUFrzObfeHeVWp&#10;eRGTqvvvm8Ngx4/v975c7SBmmnzvWMEmSUEQN8703Cr4/jq/foDwAdng4JgU/JKHsnh82GNu3MKf&#10;NNehFTGEfY4KuhDGXErfdGTRJ24kjtzFTRZDhFMrzYRLDLeD3Kbpu7TYc2zocKRjR821vlkFOn2Z&#10;j7rPxvYq335OG63nSmulnp/Www5EoDX8i//clVGQxbHxS/wBsrg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PWbgNvwAAANsAAAAPAAAAAAAAAAAAAAAAAJgCAABkcnMvZG93bnJl&#10;di54bWxQSwUGAAAAAAQABAD1AAAAhAMAAAAA&#10;" fillcolor="#0b970e" stroked="f" strokeweight="2pt">
                    <v:textbox>
                      <w:txbxContent>
                        <w:p w:rsidR="006F678C" w:rsidRDefault="006F678C" w:rsidP="000822A0">
                          <w:pPr>
                            <w:rPr>
                              <w:rFonts w:eastAsia="Times New Roman"/>
                            </w:rPr>
                          </w:pPr>
                        </w:p>
                      </w:txbxContent>
                    </v:textbox>
                  </v:roundrect>
                  <v:shape id="TextovéPole 10" o:spid="_x0000_s1046" type="#_x0000_t202" style="position:absolute;left:2381;width:12859;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RX1cIA&#10;AADbAAAADwAAAGRycy9kb3ducmV2LnhtbESPQYvCMBSE74L/ITzBmyaKyto1yrIieFJ0d4W9PZpn&#10;W2xeShNt/fdGEDwOM/MNs1i1thQ3qn3hWMNoqEAQp84UnGn4/dkMPkD4gGywdEwa7uRhtex2FpgY&#10;1/CBbseQiQhhn6CGPIQqkdKnOVn0Q1cRR+/saoshyjqTpsYmwm0px0rNpMWC40KOFX3nlF6OV6vh&#10;b3f+P03UPlvbadW4Vkm2c6l1v9d+fYII1IZ3+NXeGg3TM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dFfVwgAAANsAAAAPAAAAAAAAAAAAAAAAAJgCAABkcnMvZG93&#10;bnJldi54bWxQSwUGAAAAAAQABAD1AAAAhwMAAAAA&#10;" filled="f" stroked="f">
                    <v:textbox>
                      <w:txbxContent>
                        <w:p w:rsidR="006F678C" w:rsidRDefault="006F678C" w:rsidP="000822A0">
                          <w:pPr>
                            <w:pStyle w:val="Normlnweb"/>
                            <w:spacing w:after="0"/>
                          </w:pPr>
                          <w:r>
                            <w:rPr>
                              <w:rFonts w:asciiTheme="minorHAnsi" w:hAnsi="Calibri" w:cstheme="minorBidi"/>
                              <w:color w:val="000000" w:themeColor="dark1"/>
                              <w:sz w:val="16"/>
                              <w:szCs w:val="16"/>
                            </w:rPr>
                            <w:t>INNOVATION LEADERS</w:t>
                          </w:r>
                        </w:p>
                      </w:txbxContent>
                    </v:textbox>
                  </v:shape>
                </v:group>
              </v:group>
            </w:pict>
          </mc:Fallback>
        </mc:AlternateContent>
      </w:r>
    </w:p>
    <w:p w:rsidR="000822A0" w:rsidRPr="000822A0" w:rsidRDefault="000822A0" w:rsidP="000C142B">
      <w:pPr>
        <w:pStyle w:val="Zdroj"/>
      </w:pPr>
      <w:r w:rsidRPr="000822A0">
        <w:t>Zdroj</w:t>
      </w:r>
      <w:r w:rsidR="000C142B">
        <w:t xml:space="preserve"> dat</w:t>
      </w:r>
      <w:r w:rsidRPr="000822A0">
        <w:t>: vlastní kalkulace na základě dat z IUS (2014)</w:t>
      </w:r>
    </w:p>
    <w:p w:rsidR="000822A0" w:rsidRPr="000822A0" w:rsidRDefault="000822A0" w:rsidP="000C142B">
      <w:pPr>
        <w:pStyle w:val="komentzaobrzkem"/>
      </w:pPr>
      <w:r w:rsidRPr="000822A0">
        <w:t>(*)Osa x SII v roce 2013, osa y procentuální změna SII mezi lety 2013 a 2006</w:t>
      </w:r>
    </w:p>
    <w:p w:rsidR="000822A0" w:rsidRPr="000822A0" w:rsidRDefault="000822A0" w:rsidP="000C142B">
      <w:pPr>
        <w:pStyle w:val="Obrzek-nadpis"/>
      </w:pPr>
      <w:r w:rsidRPr="000822A0">
        <w:lastRenderedPageBreak/>
        <w:t xml:space="preserve">Obr. </w:t>
      </w:r>
      <w:r w:rsidR="00934D86">
        <w:t>7.</w:t>
      </w:r>
      <w:r w:rsidR="004E7ED9">
        <w:t>4</w:t>
      </w:r>
      <w:r w:rsidR="00613032">
        <w:t>:</w:t>
      </w:r>
      <w:r w:rsidRPr="000822A0">
        <w:t xml:space="preserve"> Hodnota Inovačního indexu v ČR a její meziroční dynamika ve srovnání s Rakouskem</w:t>
      </w:r>
    </w:p>
    <w:p w:rsidR="000822A0" w:rsidRDefault="000822A0" w:rsidP="0033168C">
      <w:pPr>
        <w:spacing w:beforeLines="60" w:before="144" w:after="60" w:line="240" w:lineRule="auto"/>
        <w:jc w:val="center"/>
        <w:rPr>
          <w:rFonts w:cs="Times New Roman"/>
          <w:noProof/>
          <w:lang w:eastAsia="cs-CZ"/>
        </w:rPr>
      </w:pPr>
      <w:r w:rsidRPr="000822A0">
        <w:rPr>
          <w:rFonts w:cs="Times New Roman"/>
          <w:noProof/>
          <w:lang w:eastAsia="cs-CZ"/>
        </w:rPr>
        <w:drawing>
          <wp:inline distT="0" distB="0" distL="0" distR="0" wp14:anchorId="37115EC9" wp14:editId="306E10D9">
            <wp:extent cx="4544309" cy="2543668"/>
            <wp:effectExtent l="0" t="0" r="8890" b="9525"/>
            <wp:docPr id="81" name="Obrázek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us_image_02-04-2015.JPG"/>
                    <pic:cNvPicPr/>
                  </pic:nvPicPr>
                  <pic:blipFill>
                    <a:blip r:embed="rId60">
                      <a:extLst>
                        <a:ext uri="{28A0092B-C50C-407E-A947-70E740481C1C}">
                          <a14:useLocalDpi xmlns:a14="http://schemas.microsoft.com/office/drawing/2010/main" val="0"/>
                        </a:ext>
                      </a:extLst>
                    </a:blip>
                    <a:stretch>
                      <a:fillRect/>
                    </a:stretch>
                  </pic:blipFill>
                  <pic:spPr>
                    <a:xfrm>
                      <a:off x="0" y="0"/>
                      <a:ext cx="4544309" cy="2543668"/>
                    </a:xfrm>
                    <a:prstGeom prst="rect">
                      <a:avLst/>
                    </a:prstGeom>
                  </pic:spPr>
                </pic:pic>
              </a:graphicData>
            </a:graphic>
          </wp:inline>
        </w:drawing>
      </w:r>
    </w:p>
    <w:p w:rsidR="0033168C" w:rsidRPr="000822A0" w:rsidRDefault="0033168C" w:rsidP="0033168C">
      <w:pPr>
        <w:pStyle w:val="Zdroj"/>
      </w:pPr>
      <w:r w:rsidRPr="000822A0">
        <w:t>Zdroj</w:t>
      </w:r>
      <w:r>
        <w:t xml:space="preserve"> dat</w:t>
      </w:r>
      <w:r w:rsidRPr="000822A0">
        <w:t xml:space="preserve">: </w:t>
      </w:r>
      <w:r>
        <w:t>IUS</w:t>
      </w:r>
    </w:p>
    <w:p w:rsidR="000822A0" w:rsidRPr="000822A0" w:rsidRDefault="00934D86" w:rsidP="000C142B">
      <w:pPr>
        <w:pStyle w:val="Obrzek-nadpis"/>
      </w:pPr>
      <w:r>
        <w:t>Graf 7.</w:t>
      </w:r>
      <w:r w:rsidR="004E7ED9">
        <w:t>5</w:t>
      </w:r>
      <w:r w:rsidR="00613032">
        <w:t>:</w:t>
      </w:r>
      <w:r w:rsidR="000822A0" w:rsidRPr="000822A0">
        <w:t xml:space="preserve"> Hodnota Inovačního indexu v ČR a její meziroční dynamika ve srovnání s Rakouskem</w:t>
      </w:r>
    </w:p>
    <w:p w:rsidR="000822A0" w:rsidRDefault="000822A0" w:rsidP="0033168C">
      <w:pPr>
        <w:spacing w:afterLines="60" w:after="144" w:line="360" w:lineRule="auto"/>
        <w:jc w:val="center"/>
        <w:rPr>
          <w:rFonts w:cs="Times New Roman"/>
        </w:rPr>
      </w:pPr>
      <w:r w:rsidRPr="000822A0">
        <w:rPr>
          <w:noProof/>
          <w:lang w:eastAsia="cs-CZ"/>
        </w:rPr>
        <w:drawing>
          <wp:inline distT="0" distB="0" distL="0" distR="0" wp14:anchorId="098927C8" wp14:editId="6DC7DA0D">
            <wp:extent cx="5907820" cy="1733385"/>
            <wp:effectExtent l="0" t="0" r="17145" b="19685"/>
            <wp:docPr id="82" name="Graf 82"/>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33168C" w:rsidRPr="000822A0" w:rsidRDefault="0033168C" w:rsidP="0033168C">
      <w:pPr>
        <w:pStyle w:val="Zdroj"/>
      </w:pPr>
      <w:r w:rsidRPr="000822A0">
        <w:t>Zdroj</w:t>
      </w:r>
      <w:r>
        <w:t xml:space="preserve"> dat</w:t>
      </w:r>
      <w:r w:rsidRPr="000822A0">
        <w:t xml:space="preserve">: </w:t>
      </w:r>
      <w:r>
        <w:t>IUS</w:t>
      </w:r>
    </w:p>
    <w:p w:rsidR="000822A0" w:rsidRPr="00F57A5E" w:rsidRDefault="000822A0" w:rsidP="004D56D7">
      <w:pPr>
        <w:spacing w:after="0" w:line="360" w:lineRule="auto"/>
        <w:ind w:firstLine="708"/>
        <w:jc w:val="both"/>
        <w:rPr>
          <w:rFonts w:ascii="Arial" w:eastAsia="Times New Roman" w:hAnsi="Arial" w:cs="Arial"/>
          <w:lang w:eastAsia="cs-CZ"/>
        </w:rPr>
      </w:pPr>
      <w:r w:rsidRPr="00F57A5E">
        <w:rPr>
          <w:rFonts w:ascii="Arial" w:eastAsia="Times New Roman" w:hAnsi="Arial" w:cs="Arial"/>
          <w:lang w:eastAsia="cs-CZ"/>
        </w:rPr>
        <w:t>Ve srovnání s Rakouskem, které spadá do horní poloviny skupiny „</w:t>
      </w:r>
      <w:proofErr w:type="spellStart"/>
      <w:r w:rsidRPr="00F57A5E">
        <w:rPr>
          <w:rFonts w:ascii="Arial" w:eastAsia="Times New Roman" w:hAnsi="Arial" w:cs="Arial"/>
          <w:lang w:eastAsia="cs-CZ"/>
        </w:rPr>
        <w:t>Innovation</w:t>
      </w:r>
      <w:proofErr w:type="spellEnd"/>
      <w:r w:rsidRPr="00F57A5E">
        <w:rPr>
          <w:rFonts w:ascii="Arial" w:eastAsia="Times New Roman" w:hAnsi="Arial" w:cs="Arial"/>
          <w:lang w:eastAsia="cs-CZ"/>
        </w:rPr>
        <w:t xml:space="preserve"> </w:t>
      </w:r>
      <w:proofErr w:type="spellStart"/>
      <w:r w:rsidRPr="00F57A5E">
        <w:rPr>
          <w:rFonts w:ascii="Arial" w:eastAsia="Times New Roman" w:hAnsi="Arial" w:cs="Arial"/>
          <w:lang w:eastAsia="cs-CZ"/>
        </w:rPr>
        <w:t>Follow</w:t>
      </w:r>
      <w:r w:rsidR="00934D86">
        <w:rPr>
          <w:rFonts w:ascii="Arial" w:eastAsia="Times New Roman" w:hAnsi="Arial" w:cs="Arial"/>
          <w:lang w:eastAsia="cs-CZ"/>
        </w:rPr>
        <w:t>ers</w:t>
      </w:r>
      <w:proofErr w:type="spellEnd"/>
      <w:r w:rsidR="00934D86">
        <w:rPr>
          <w:rFonts w:ascii="Arial" w:eastAsia="Times New Roman" w:hAnsi="Arial" w:cs="Arial"/>
          <w:lang w:eastAsia="cs-CZ"/>
        </w:rPr>
        <w:t>“, ČR značně zaostává (</w:t>
      </w:r>
      <w:r w:rsidR="000B429D">
        <w:rPr>
          <w:rFonts w:ascii="Arial" w:eastAsia="Times New Roman" w:hAnsi="Arial" w:cs="Arial"/>
          <w:lang w:eastAsia="cs-CZ"/>
        </w:rPr>
        <w:t>obr</w:t>
      </w:r>
      <w:r w:rsidR="00D36A6E">
        <w:rPr>
          <w:rFonts w:ascii="Arial" w:eastAsia="Times New Roman" w:hAnsi="Arial" w:cs="Arial"/>
          <w:lang w:eastAsia="cs-CZ"/>
        </w:rPr>
        <w:t>ázek</w:t>
      </w:r>
      <w:r w:rsidR="00934D86">
        <w:rPr>
          <w:rFonts w:ascii="Arial" w:eastAsia="Times New Roman" w:hAnsi="Arial" w:cs="Arial"/>
          <w:lang w:eastAsia="cs-CZ"/>
        </w:rPr>
        <w:t xml:space="preserve"> </w:t>
      </w:r>
      <w:r w:rsidR="004D56D7">
        <w:rPr>
          <w:rFonts w:ascii="Arial" w:eastAsia="Times New Roman" w:hAnsi="Arial" w:cs="Arial"/>
          <w:lang w:eastAsia="cs-CZ"/>
        </w:rPr>
        <w:t>7.</w:t>
      </w:r>
      <w:r w:rsidR="004E7ED9">
        <w:rPr>
          <w:rFonts w:ascii="Arial" w:eastAsia="Times New Roman" w:hAnsi="Arial" w:cs="Arial"/>
          <w:lang w:eastAsia="cs-CZ"/>
        </w:rPr>
        <w:t>3</w:t>
      </w:r>
      <w:r w:rsidRPr="00F57A5E">
        <w:rPr>
          <w:rFonts w:ascii="Arial" w:eastAsia="Times New Roman" w:hAnsi="Arial" w:cs="Arial"/>
          <w:lang w:eastAsia="cs-CZ"/>
        </w:rPr>
        <w:t xml:space="preserve">). Přestože inovační index v ČR od roku 2006 roste, podobným tempem vzrůstá tento index taktéž v Rakousku, tudíž diference hodnot SII je mezi oběma zeměmi téměř konstantní. Při podrobnějším rozboru jednotlivých dílčích indikátorů a </w:t>
      </w:r>
      <w:r w:rsidR="004D56D7">
        <w:rPr>
          <w:rFonts w:ascii="Arial" w:eastAsia="Times New Roman" w:hAnsi="Arial" w:cs="Arial"/>
          <w:lang w:eastAsia="cs-CZ"/>
        </w:rPr>
        <w:t>jejich vývojových trendů (obr</w:t>
      </w:r>
      <w:r w:rsidR="00D36A6E">
        <w:rPr>
          <w:rFonts w:ascii="Arial" w:eastAsia="Times New Roman" w:hAnsi="Arial" w:cs="Arial"/>
          <w:lang w:eastAsia="cs-CZ"/>
        </w:rPr>
        <w:t>ázek</w:t>
      </w:r>
      <w:r w:rsidR="004D56D7">
        <w:rPr>
          <w:rFonts w:ascii="Arial" w:eastAsia="Times New Roman" w:hAnsi="Arial" w:cs="Arial"/>
          <w:lang w:eastAsia="cs-CZ"/>
        </w:rPr>
        <w:t xml:space="preserve"> 7.</w:t>
      </w:r>
      <w:r w:rsidR="004E7ED9">
        <w:rPr>
          <w:rFonts w:ascii="Arial" w:eastAsia="Times New Roman" w:hAnsi="Arial" w:cs="Arial"/>
          <w:lang w:eastAsia="cs-CZ"/>
        </w:rPr>
        <w:t>7</w:t>
      </w:r>
      <w:r w:rsidRPr="00F57A5E">
        <w:rPr>
          <w:rFonts w:ascii="Arial" w:eastAsia="Times New Roman" w:hAnsi="Arial" w:cs="Arial"/>
          <w:lang w:eastAsia="cs-CZ"/>
        </w:rPr>
        <w:t>) je patrné, že 12 z 25 indikátorů vykazuje meziročně rostoucí trend, 1</w:t>
      </w:r>
      <w:r w:rsidR="00B26577">
        <w:rPr>
          <w:rFonts w:ascii="Arial" w:eastAsia="Times New Roman" w:hAnsi="Arial" w:cs="Arial"/>
          <w:lang w:eastAsia="cs-CZ"/>
        </w:rPr>
        <w:t>3</w:t>
      </w:r>
      <w:r w:rsidR="006C6AB2">
        <w:rPr>
          <w:rFonts w:ascii="Arial" w:eastAsia="Times New Roman" w:hAnsi="Arial" w:cs="Arial"/>
          <w:lang w:eastAsia="cs-CZ"/>
        </w:rPr>
        <w:t> </w:t>
      </w:r>
      <w:r w:rsidRPr="00F57A5E">
        <w:rPr>
          <w:rFonts w:ascii="Arial" w:eastAsia="Times New Roman" w:hAnsi="Arial" w:cs="Arial"/>
          <w:lang w:eastAsia="cs-CZ"/>
        </w:rPr>
        <w:t>indikátorů dlouhodobě stagnuje či klesá. Je možné sledovat, že došlo k prudkému poklesu rizikového kapitálu a poklesu inovací v malých a středních podnicích a spolupráce těchto podniků při zavádění inovací. Dále se ČR dlouhodobě potýká s</w:t>
      </w:r>
      <w:r w:rsidR="00B717D5" w:rsidRPr="00F57A5E">
        <w:rPr>
          <w:rFonts w:ascii="Arial" w:eastAsia="Times New Roman" w:hAnsi="Arial" w:cs="Arial"/>
          <w:lang w:eastAsia="cs-CZ"/>
        </w:rPr>
        <w:t xml:space="preserve"> </w:t>
      </w:r>
      <w:r w:rsidRPr="00F57A5E">
        <w:rPr>
          <w:rFonts w:ascii="Arial" w:eastAsia="Times New Roman" w:hAnsi="Arial" w:cs="Arial"/>
          <w:lang w:eastAsia="cs-CZ"/>
        </w:rPr>
        <w:t>nízkým počtem mezinárodních patentových přihlášek a také došlo k poklesu počtu mladých lidí s dokončeným středoškolským vzděláním.</w:t>
      </w:r>
    </w:p>
    <w:p w:rsidR="000822A0" w:rsidRPr="00F57A5E" w:rsidRDefault="000822A0" w:rsidP="006B4254">
      <w:pPr>
        <w:spacing w:after="0" w:line="360" w:lineRule="auto"/>
        <w:ind w:firstLine="708"/>
        <w:jc w:val="both"/>
        <w:rPr>
          <w:rFonts w:ascii="Arial" w:eastAsia="Times New Roman" w:hAnsi="Arial" w:cs="Arial"/>
          <w:lang w:eastAsia="cs-CZ"/>
        </w:rPr>
      </w:pPr>
      <w:r w:rsidRPr="00F57A5E">
        <w:rPr>
          <w:rFonts w:ascii="Arial" w:eastAsia="Times New Roman" w:hAnsi="Arial" w:cs="Arial"/>
          <w:lang w:eastAsia="cs-CZ"/>
        </w:rPr>
        <w:t>Při srovnání dílčích indikátorů s Rakouskem (</w:t>
      </w:r>
      <w:r w:rsidR="0042088A">
        <w:rPr>
          <w:rFonts w:ascii="Arial" w:eastAsia="Times New Roman" w:hAnsi="Arial" w:cs="Arial"/>
          <w:lang w:eastAsia="cs-CZ"/>
        </w:rPr>
        <w:t>g</w:t>
      </w:r>
      <w:r w:rsidRPr="00F57A5E">
        <w:rPr>
          <w:rFonts w:ascii="Arial" w:eastAsia="Times New Roman" w:hAnsi="Arial" w:cs="Arial"/>
          <w:lang w:eastAsia="cs-CZ"/>
        </w:rPr>
        <w:t xml:space="preserve">raf </w:t>
      </w:r>
      <w:r w:rsidR="004D56D7">
        <w:rPr>
          <w:rFonts w:ascii="Arial" w:eastAsia="Times New Roman" w:hAnsi="Arial" w:cs="Arial"/>
          <w:lang w:eastAsia="cs-CZ"/>
        </w:rPr>
        <w:t>7.</w:t>
      </w:r>
      <w:r w:rsidR="00434802">
        <w:rPr>
          <w:rFonts w:ascii="Arial" w:eastAsia="Times New Roman" w:hAnsi="Arial" w:cs="Arial"/>
          <w:lang w:eastAsia="cs-CZ"/>
        </w:rPr>
        <w:t>9</w:t>
      </w:r>
      <w:r w:rsidRPr="00F57A5E">
        <w:rPr>
          <w:rFonts w:ascii="Arial" w:eastAsia="Times New Roman" w:hAnsi="Arial" w:cs="Arial"/>
          <w:lang w:eastAsia="cs-CZ"/>
        </w:rPr>
        <w:t xml:space="preserve">) platí, že ČR v současnosti zaostává především v počtu mezinárodních patentových přihlášek. V ČR tento ukazatel dosahuje necelých 50 % průměru EU a v Rakousku je nad 100 %. Výdaje v podnikatelském sektoru na VaVaI dosahují v ČR cca 75 % průměru EU a v Rakousku 150 %. Další významné rozdíly jsou v investicích rizikového kapitálu (v ČR méně než 25 % průměru EU, v Rakousku 50 %) a rovněž </w:t>
      </w:r>
      <w:r w:rsidRPr="00F57A5E">
        <w:rPr>
          <w:rFonts w:ascii="Arial" w:eastAsia="Times New Roman" w:hAnsi="Arial" w:cs="Arial"/>
          <w:lang w:eastAsia="cs-CZ"/>
        </w:rPr>
        <w:lastRenderedPageBreak/>
        <w:t>v oblasti mezinárodní (indikátor společné mezinárodní publikace) i národní spolupráce (spolupráce inovujících malých a středních podniků, společné publikace veřejných a podnikatelských subjektů).</w:t>
      </w:r>
    </w:p>
    <w:p w:rsidR="000822A0" w:rsidRPr="000822A0" w:rsidRDefault="00934D86" w:rsidP="000C142B">
      <w:pPr>
        <w:pStyle w:val="Obrzek-nadpis"/>
      </w:pPr>
      <w:r>
        <w:t>Graf 7.6</w:t>
      </w:r>
      <w:r w:rsidR="000822A0" w:rsidRPr="000822A0">
        <w:t>: Dílčí indikátory Inovačního indexu v ČR a jejich vývoj v čase (průměrná změna v</w:t>
      </w:r>
      <w:r w:rsidR="006C6AB2">
        <w:t> </w:t>
      </w:r>
      <w:r w:rsidR="000822A0" w:rsidRPr="000822A0">
        <w:t>období let 2002 – 2012 v %)</w:t>
      </w:r>
    </w:p>
    <w:p w:rsidR="000822A0" w:rsidRDefault="000822A0" w:rsidP="000822A0">
      <w:pPr>
        <w:spacing w:afterLines="60" w:after="144" w:line="360" w:lineRule="auto"/>
        <w:jc w:val="center"/>
        <w:rPr>
          <w:rFonts w:cs="Times New Roman"/>
        </w:rPr>
      </w:pPr>
      <w:r w:rsidRPr="000822A0">
        <w:rPr>
          <w:noProof/>
          <w:lang w:eastAsia="cs-CZ"/>
        </w:rPr>
        <w:drawing>
          <wp:inline distT="0" distB="0" distL="0" distR="0" wp14:anchorId="27051FFB" wp14:editId="0AA8B262">
            <wp:extent cx="5375081" cy="6504167"/>
            <wp:effectExtent l="0" t="0" r="16510" b="11430"/>
            <wp:docPr id="83" name="Graf 83"/>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33168C" w:rsidRPr="000822A0" w:rsidRDefault="0033168C" w:rsidP="0033168C">
      <w:pPr>
        <w:pStyle w:val="Zdroj"/>
      </w:pPr>
      <w:r w:rsidRPr="000822A0">
        <w:t>Zdroj</w:t>
      </w:r>
      <w:r>
        <w:t xml:space="preserve"> dat</w:t>
      </w:r>
      <w:r w:rsidRPr="000822A0">
        <w:t xml:space="preserve">: </w:t>
      </w:r>
      <w:r>
        <w:t>IUS</w:t>
      </w:r>
    </w:p>
    <w:p w:rsidR="000822A0" w:rsidRPr="008E7BFB" w:rsidRDefault="00D831E6" w:rsidP="004D56D7">
      <w:pPr>
        <w:spacing w:after="0" w:line="360" w:lineRule="auto"/>
        <w:ind w:firstLine="708"/>
        <w:jc w:val="both"/>
        <w:rPr>
          <w:rFonts w:ascii="Arial" w:eastAsia="Times New Roman" w:hAnsi="Arial" w:cs="Arial"/>
          <w:lang w:eastAsia="cs-CZ"/>
        </w:rPr>
      </w:pPr>
      <w:r w:rsidRPr="008E7BFB">
        <w:rPr>
          <w:rFonts w:ascii="Arial" w:eastAsia="Times New Roman" w:hAnsi="Arial" w:cs="Arial"/>
          <w:lang w:eastAsia="cs-CZ"/>
        </w:rPr>
        <w:t>Z</w:t>
      </w:r>
      <w:r w:rsidR="000822A0" w:rsidRPr="008E7BFB">
        <w:rPr>
          <w:rFonts w:ascii="Arial" w:eastAsia="Times New Roman" w:hAnsi="Arial" w:cs="Arial"/>
          <w:lang w:eastAsia="cs-CZ"/>
        </w:rPr>
        <w:t>aměříme</w:t>
      </w:r>
      <w:r w:rsidRPr="008E7BFB">
        <w:rPr>
          <w:rFonts w:ascii="Arial" w:eastAsia="Times New Roman" w:hAnsi="Arial" w:cs="Arial"/>
          <w:lang w:eastAsia="cs-CZ"/>
        </w:rPr>
        <w:t>-li se</w:t>
      </w:r>
      <w:r w:rsidR="000822A0" w:rsidRPr="008E7BFB">
        <w:rPr>
          <w:rFonts w:ascii="Arial" w:eastAsia="Times New Roman" w:hAnsi="Arial" w:cs="Arial"/>
          <w:lang w:eastAsia="cs-CZ"/>
        </w:rPr>
        <w:t xml:space="preserve"> na vývoj</w:t>
      </w:r>
      <w:r w:rsidR="004D56D7">
        <w:rPr>
          <w:rFonts w:ascii="Arial" w:eastAsia="Times New Roman" w:hAnsi="Arial" w:cs="Arial"/>
          <w:lang w:eastAsia="cs-CZ"/>
        </w:rPr>
        <w:t>ové trendy v obou zemích (</w:t>
      </w:r>
      <w:r w:rsidR="0042088A">
        <w:rPr>
          <w:rFonts w:ascii="Arial" w:eastAsia="Times New Roman" w:hAnsi="Arial" w:cs="Arial"/>
          <w:lang w:eastAsia="cs-CZ"/>
        </w:rPr>
        <w:t xml:space="preserve">graf </w:t>
      </w:r>
      <w:r w:rsidR="004D56D7">
        <w:rPr>
          <w:rFonts w:ascii="Arial" w:eastAsia="Times New Roman" w:hAnsi="Arial" w:cs="Arial"/>
          <w:lang w:eastAsia="cs-CZ"/>
        </w:rPr>
        <w:t>7.1</w:t>
      </w:r>
      <w:r w:rsidR="004E7ED9">
        <w:rPr>
          <w:rFonts w:ascii="Arial" w:eastAsia="Times New Roman" w:hAnsi="Arial" w:cs="Arial"/>
          <w:lang w:eastAsia="cs-CZ"/>
        </w:rPr>
        <w:t>0</w:t>
      </w:r>
      <w:r w:rsidR="000822A0" w:rsidRPr="008E7BFB">
        <w:rPr>
          <w:rFonts w:ascii="Arial" w:eastAsia="Times New Roman" w:hAnsi="Arial" w:cs="Arial"/>
          <w:lang w:eastAsia="cs-CZ"/>
        </w:rPr>
        <w:t>), ztrácí ČR zejména v oblasti rizikového kapitálu (výraznější pokles než v Rakousku)</w:t>
      </w:r>
      <w:r w:rsidRPr="008E7BFB">
        <w:rPr>
          <w:rFonts w:ascii="Arial" w:eastAsia="Times New Roman" w:hAnsi="Arial" w:cs="Arial"/>
          <w:lang w:eastAsia="cs-CZ"/>
        </w:rPr>
        <w:t xml:space="preserve">, </w:t>
      </w:r>
      <w:r w:rsidR="000822A0" w:rsidRPr="008E7BFB">
        <w:rPr>
          <w:rFonts w:ascii="Arial" w:eastAsia="Times New Roman" w:hAnsi="Arial" w:cs="Arial"/>
          <w:lang w:eastAsia="cs-CZ"/>
        </w:rPr>
        <w:t xml:space="preserve">počtu mezinárodních patentů a spolupráce mezi inovujícími malými </w:t>
      </w:r>
      <w:r w:rsidRPr="008E7BFB">
        <w:rPr>
          <w:rFonts w:ascii="Arial" w:eastAsia="Times New Roman" w:hAnsi="Arial" w:cs="Arial"/>
          <w:lang w:eastAsia="cs-CZ"/>
        </w:rPr>
        <w:t>i</w:t>
      </w:r>
      <w:r w:rsidR="000822A0" w:rsidRPr="008E7BFB">
        <w:rPr>
          <w:rFonts w:ascii="Arial" w:eastAsia="Times New Roman" w:hAnsi="Arial" w:cs="Arial"/>
          <w:lang w:eastAsia="cs-CZ"/>
        </w:rPr>
        <w:t xml:space="preserve"> středními podniky (v ČR pokles, v Rakousku nárůst). </w:t>
      </w:r>
      <w:r w:rsidRPr="008E7BFB">
        <w:rPr>
          <w:rFonts w:ascii="Arial" w:eastAsia="Times New Roman" w:hAnsi="Arial" w:cs="Arial"/>
          <w:lang w:eastAsia="cs-CZ"/>
        </w:rPr>
        <w:t>V</w:t>
      </w:r>
      <w:r w:rsidR="000822A0" w:rsidRPr="008E7BFB">
        <w:rPr>
          <w:rFonts w:ascii="Arial" w:eastAsia="Times New Roman" w:hAnsi="Arial" w:cs="Arial"/>
          <w:lang w:eastAsia="cs-CZ"/>
        </w:rPr>
        <w:t xml:space="preserve">ýdaje na VaVaI </w:t>
      </w:r>
      <w:r w:rsidRPr="008E7BFB">
        <w:rPr>
          <w:rFonts w:ascii="Arial" w:eastAsia="Times New Roman" w:hAnsi="Arial" w:cs="Arial"/>
          <w:lang w:eastAsia="cs-CZ"/>
        </w:rPr>
        <w:t xml:space="preserve">v ČR </w:t>
      </w:r>
      <w:r w:rsidR="000822A0" w:rsidRPr="008E7BFB">
        <w:rPr>
          <w:rFonts w:ascii="Arial" w:eastAsia="Times New Roman" w:hAnsi="Arial" w:cs="Arial"/>
          <w:lang w:eastAsia="cs-CZ"/>
        </w:rPr>
        <w:t xml:space="preserve">(jak veřejné, tak podnikatelské) </w:t>
      </w:r>
      <w:r w:rsidRPr="008E7BFB">
        <w:rPr>
          <w:rFonts w:ascii="Arial" w:eastAsia="Times New Roman" w:hAnsi="Arial" w:cs="Arial"/>
          <w:lang w:eastAsia="cs-CZ"/>
        </w:rPr>
        <w:t xml:space="preserve">naopak </w:t>
      </w:r>
      <w:r w:rsidR="000822A0" w:rsidRPr="008E7BFB">
        <w:rPr>
          <w:rFonts w:ascii="Arial" w:eastAsia="Times New Roman" w:hAnsi="Arial" w:cs="Arial"/>
          <w:lang w:eastAsia="cs-CZ"/>
        </w:rPr>
        <w:t>rostou výrazně rychleji.</w:t>
      </w:r>
      <w:r w:rsidRPr="008E7BFB">
        <w:rPr>
          <w:rFonts w:ascii="Arial" w:eastAsia="Times New Roman" w:hAnsi="Arial" w:cs="Arial"/>
          <w:lang w:eastAsia="cs-CZ"/>
        </w:rPr>
        <w:t xml:space="preserve"> </w:t>
      </w:r>
      <w:r w:rsidR="000822A0" w:rsidRPr="008E7BFB">
        <w:rPr>
          <w:rFonts w:ascii="Arial" w:eastAsia="Times New Roman" w:hAnsi="Arial" w:cs="Arial"/>
          <w:lang w:eastAsia="cs-CZ"/>
        </w:rPr>
        <w:t>ČR zaujímá z hlediska Inovačního indexu pozici pouze ve skupině „</w:t>
      </w:r>
      <w:proofErr w:type="spellStart"/>
      <w:r w:rsidR="000822A0" w:rsidRPr="008E7BFB">
        <w:rPr>
          <w:rFonts w:ascii="Arial" w:eastAsia="Times New Roman" w:hAnsi="Arial" w:cs="Arial"/>
          <w:lang w:eastAsia="cs-CZ"/>
        </w:rPr>
        <w:t>Moderate</w:t>
      </w:r>
      <w:proofErr w:type="spellEnd"/>
      <w:r w:rsidR="000822A0" w:rsidRPr="008E7BFB">
        <w:rPr>
          <w:rFonts w:ascii="Arial" w:eastAsia="Times New Roman" w:hAnsi="Arial" w:cs="Arial"/>
          <w:lang w:eastAsia="cs-CZ"/>
        </w:rPr>
        <w:t xml:space="preserve"> </w:t>
      </w:r>
      <w:proofErr w:type="spellStart"/>
      <w:r w:rsidR="000822A0" w:rsidRPr="008E7BFB">
        <w:rPr>
          <w:rFonts w:ascii="Arial" w:eastAsia="Times New Roman" w:hAnsi="Arial" w:cs="Arial"/>
          <w:lang w:eastAsia="cs-CZ"/>
        </w:rPr>
        <w:t>Innovators</w:t>
      </w:r>
      <w:proofErr w:type="spellEnd"/>
      <w:r w:rsidR="000822A0" w:rsidRPr="008E7BFB">
        <w:rPr>
          <w:rFonts w:ascii="Arial" w:eastAsia="Times New Roman" w:hAnsi="Arial" w:cs="Arial"/>
          <w:lang w:eastAsia="cs-CZ"/>
        </w:rPr>
        <w:t xml:space="preserve">“. </w:t>
      </w:r>
      <w:r w:rsidR="000822A0" w:rsidRPr="00FD7117">
        <w:rPr>
          <w:rFonts w:ascii="Arial" w:eastAsia="Times New Roman" w:hAnsi="Arial" w:cs="Arial"/>
          <w:lang w:eastAsia="cs-CZ"/>
        </w:rPr>
        <w:t xml:space="preserve">Na základě meziročního vývoje </w:t>
      </w:r>
      <w:r w:rsidR="000822A0" w:rsidRPr="00FD7117">
        <w:rPr>
          <w:rFonts w:ascii="Arial" w:eastAsia="Times New Roman" w:hAnsi="Arial" w:cs="Arial"/>
          <w:lang w:eastAsia="cs-CZ"/>
        </w:rPr>
        <w:lastRenderedPageBreak/>
        <w:t>nelze očekávat výrazné zlepšení tohoto stavu</w:t>
      </w:r>
      <w:r w:rsidR="004D56D7" w:rsidRPr="00FD7117">
        <w:rPr>
          <w:rFonts w:ascii="Arial" w:eastAsia="Times New Roman" w:hAnsi="Arial" w:cs="Arial"/>
          <w:lang w:eastAsia="cs-CZ"/>
        </w:rPr>
        <w:t xml:space="preserve"> </w:t>
      </w:r>
      <w:r w:rsidR="000822A0" w:rsidRPr="00FD7117">
        <w:rPr>
          <w:rFonts w:ascii="Arial" w:eastAsia="Times New Roman" w:hAnsi="Arial" w:cs="Arial"/>
          <w:lang w:eastAsia="cs-CZ"/>
        </w:rPr>
        <w:t>a případný posun do skupiny „</w:t>
      </w:r>
      <w:proofErr w:type="spellStart"/>
      <w:r w:rsidR="000822A0" w:rsidRPr="00FD7117">
        <w:rPr>
          <w:rFonts w:ascii="Arial" w:eastAsia="Times New Roman" w:hAnsi="Arial" w:cs="Arial"/>
          <w:lang w:eastAsia="cs-CZ"/>
        </w:rPr>
        <w:t>Innovation</w:t>
      </w:r>
      <w:proofErr w:type="spellEnd"/>
      <w:r w:rsidR="000822A0" w:rsidRPr="00FD7117">
        <w:rPr>
          <w:rFonts w:ascii="Arial" w:eastAsia="Times New Roman" w:hAnsi="Arial" w:cs="Arial"/>
          <w:lang w:eastAsia="cs-CZ"/>
        </w:rPr>
        <w:t xml:space="preserve"> </w:t>
      </w:r>
      <w:proofErr w:type="spellStart"/>
      <w:r w:rsidR="000822A0" w:rsidRPr="00FD7117">
        <w:rPr>
          <w:rFonts w:ascii="Arial" w:eastAsia="Times New Roman" w:hAnsi="Arial" w:cs="Arial"/>
          <w:lang w:eastAsia="cs-CZ"/>
        </w:rPr>
        <w:t>Followers</w:t>
      </w:r>
      <w:proofErr w:type="spellEnd"/>
      <w:r w:rsidR="000822A0" w:rsidRPr="00FD7117">
        <w:rPr>
          <w:rFonts w:ascii="Arial" w:eastAsia="Times New Roman" w:hAnsi="Arial" w:cs="Arial"/>
          <w:lang w:eastAsia="cs-CZ"/>
        </w:rPr>
        <w:t>“,</w:t>
      </w:r>
      <w:r w:rsidR="000822A0" w:rsidRPr="008E7BFB">
        <w:rPr>
          <w:rFonts w:ascii="Arial" w:eastAsia="Times New Roman" w:hAnsi="Arial" w:cs="Arial"/>
          <w:lang w:eastAsia="cs-CZ"/>
        </w:rPr>
        <w:t xml:space="preserve"> např. na úroveň Rakouska. </w:t>
      </w:r>
      <w:r w:rsidR="000822A0" w:rsidRPr="00FD7117">
        <w:rPr>
          <w:rFonts w:ascii="Arial" w:eastAsia="Times New Roman" w:hAnsi="Arial" w:cs="Arial"/>
          <w:lang w:eastAsia="cs-CZ"/>
        </w:rPr>
        <w:t>Postavení ČR je způsobeno především nedostatky v oblasti investic rizikového kapitálu a ochraně duševního vlastnictví formou mezinárodních patentů, částečně i</w:t>
      </w:r>
      <w:r w:rsidR="00DA2744">
        <w:rPr>
          <w:rFonts w:ascii="Arial" w:eastAsia="Times New Roman" w:hAnsi="Arial" w:cs="Arial"/>
          <w:lang w:eastAsia="cs-CZ"/>
        </w:rPr>
        <w:t> </w:t>
      </w:r>
      <w:r w:rsidR="000822A0" w:rsidRPr="00FD7117">
        <w:rPr>
          <w:rFonts w:ascii="Arial" w:eastAsia="Times New Roman" w:hAnsi="Arial" w:cs="Arial"/>
          <w:lang w:eastAsia="cs-CZ"/>
        </w:rPr>
        <w:t>v oblasti lidských zdrojů (středoškolsky vzdělaná mládež). Rovněž tempo růstu internacionalizace výzkumu a kooperace je pomalé. Pro zlepšení postavení ČR je nutno optimalizovat uvedené oblasti.</w:t>
      </w:r>
    </w:p>
    <w:p w:rsidR="000822A0" w:rsidRPr="000822A0" w:rsidRDefault="00934D86" w:rsidP="000C142B">
      <w:pPr>
        <w:pStyle w:val="Obrzek-nadpis"/>
      </w:pPr>
      <w:r>
        <w:t>Obr. 7.</w:t>
      </w:r>
      <w:r w:rsidR="004E7ED9">
        <w:t>7</w:t>
      </w:r>
      <w:r w:rsidR="000822A0" w:rsidRPr="000822A0">
        <w:t>: Dílčí indikátory Inovačního indexu v ČR a jejich vývoj v čase (období let 2002 – 2012)</w:t>
      </w:r>
    </w:p>
    <w:p w:rsidR="000822A0" w:rsidRDefault="000822A0" w:rsidP="000822A0">
      <w:pPr>
        <w:spacing w:afterLines="60" w:after="144" w:line="360" w:lineRule="auto"/>
        <w:jc w:val="center"/>
        <w:rPr>
          <w:rFonts w:cs="Times New Roman"/>
        </w:rPr>
      </w:pPr>
      <w:r w:rsidRPr="000822A0">
        <w:rPr>
          <w:rFonts w:cs="Times New Roman"/>
          <w:noProof/>
          <w:lang w:eastAsia="cs-CZ"/>
        </w:rPr>
        <w:drawing>
          <wp:inline distT="0" distB="0" distL="0" distR="0" wp14:anchorId="04D0170C" wp14:editId="3E10D8BD">
            <wp:extent cx="3919994" cy="5116905"/>
            <wp:effectExtent l="0" t="0" r="4445" b="7620"/>
            <wp:docPr id="84" name="Obráze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919953" cy="5116852"/>
                    </a:xfrm>
                    <a:prstGeom prst="rect">
                      <a:avLst/>
                    </a:prstGeom>
                    <a:noFill/>
                  </pic:spPr>
                </pic:pic>
              </a:graphicData>
            </a:graphic>
          </wp:inline>
        </w:drawing>
      </w:r>
    </w:p>
    <w:p w:rsidR="0033168C" w:rsidRPr="000822A0" w:rsidRDefault="0033168C" w:rsidP="0033168C">
      <w:pPr>
        <w:pStyle w:val="Zdroj"/>
      </w:pPr>
      <w:r w:rsidRPr="000822A0">
        <w:t>Zdroj</w:t>
      </w:r>
      <w:r>
        <w:t xml:space="preserve"> dat</w:t>
      </w:r>
      <w:r w:rsidRPr="000822A0">
        <w:t xml:space="preserve">: </w:t>
      </w:r>
      <w:r>
        <w:t>IUS</w:t>
      </w:r>
    </w:p>
    <w:p w:rsidR="000822A0" w:rsidRPr="000822A0" w:rsidRDefault="00934D86" w:rsidP="000C142B">
      <w:pPr>
        <w:pStyle w:val="Obrzek-nadpis"/>
      </w:pPr>
      <w:r>
        <w:lastRenderedPageBreak/>
        <w:t>Graf 7.</w:t>
      </w:r>
      <w:r w:rsidR="004E7ED9">
        <w:t>8</w:t>
      </w:r>
      <w:r w:rsidR="000822A0" w:rsidRPr="000822A0">
        <w:t>: Kompozitní indikátory SII</w:t>
      </w:r>
    </w:p>
    <w:p w:rsidR="00D25C7B" w:rsidRDefault="000822A0" w:rsidP="0033168C">
      <w:pPr>
        <w:spacing w:afterLines="60" w:after="144" w:line="360" w:lineRule="auto"/>
        <w:jc w:val="center"/>
      </w:pPr>
      <w:r w:rsidRPr="000822A0">
        <w:rPr>
          <w:noProof/>
          <w:lang w:eastAsia="cs-CZ"/>
        </w:rPr>
        <w:drawing>
          <wp:inline distT="0" distB="0" distL="0" distR="0" wp14:anchorId="27579909" wp14:editId="6696C7F5">
            <wp:extent cx="5756744" cy="2934032"/>
            <wp:effectExtent l="0" t="0" r="15875" b="19050"/>
            <wp:docPr id="85" name="Graf 85"/>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33168C" w:rsidRPr="000822A0" w:rsidRDefault="0033168C" w:rsidP="0033168C">
      <w:pPr>
        <w:pStyle w:val="Zdroj"/>
      </w:pPr>
      <w:r w:rsidRPr="000822A0">
        <w:t>Zdroj</w:t>
      </w:r>
      <w:r>
        <w:t xml:space="preserve"> dat</w:t>
      </w:r>
      <w:r w:rsidRPr="000822A0">
        <w:t xml:space="preserve">: </w:t>
      </w:r>
      <w:r>
        <w:t>IUS</w:t>
      </w:r>
    </w:p>
    <w:p w:rsidR="000822A0" w:rsidRDefault="00934D86" w:rsidP="0033168C">
      <w:pPr>
        <w:pStyle w:val="Obrzek-nadpis"/>
        <w:jc w:val="center"/>
      </w:pPr>
      <w:r>
        <w:lastRenderedPageBreak/>
        <w:t>Graf 7.</w:t>
      </w:r>
      <w:r w:rsidR="004E7ED9">
        <w:t>9</w:t>
      </w:r>
      <w:r w:rsidR="000822A0" w:rsidRPr="000822A0">
        <w:t>: Dílčí indikátory Inovačního indexu v ČR ve srovnání s Rakouskem v roce 2013</w:t>
      </w:r>
      <w:r w:rsidR="000822A0" w:rsidRPr="000822A0">
        <w:rPr>
          <w:noProof/>
        </w:rPr>
        <w:drawing>
          <wp:inline distT="0" distB="0" distL="0" distR="0" wp14:anchorId="4181EC1A" wp14:editId="304B8314">
            <wp:extent cx="5828306" cy="8428383"/>
            <wp:effectExtent l="0" t="0" r="20320" b="10795"/>
            <wp:docPr id="86" name="Graf 86"/>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33168C" w:rsidRDefault="0033168C" w:rsidP="0033168C">
      <w:pPr>
        <w:pStyle w:val="Zdroj"/>
      </w:pPr>
      <w:r w:rsidRPr="000822A0">
        <w:t>Zdroj</w:t>
      </w:r>
      <w:r>
        <w:t xml:space="preserve"> dat</w:t>
      </w:r>
      <w:r w:rsidRPr="000822A0">
        <w:t xml:space="preserve">: </w:t>
      </w:r>
      <w:r>
        <w:t>IUS</w:t>
      </w:r>
    </w:p>
    <w:p w:rsidR="006C6AB2" w:rsidRPr="000822A0" w:rsidRDefault="006C6AB2" w:rsidP="0033168C">
      <w:pPr>
        <w:pStyle w:val="Zdroj"/>
      </w:pPr>
      <w:r>
        <w:t>Hodnoty jsou vyjádřeny v % průměru EU (100 = EU 28)</w:t>
      </w:r>
    </w:p>
    <w:p w:rsidR="000822A0" w:rsidRPr="000822A0" w:rsidRDefault="00934D86" w:rsidP="000C142B">
      <w:pPr>
        <w:pStyle w:val="Obrzek-nadpis"/>
      </w:pPr>
      <w:r>
        <w:lastRenderedPageBreak/>
        <w:t>Graf 7.1</w:t>
      </w:r>
      <w:r w:rsidR="004E7ED9">
        <w:t>0</w:t>
      </w:r>
      <w:r w:rsidR="000822A0" w:rsidRPr="000822A0">
        <w:t>: Změny dílčích indikátorů Inovačního indexu v ČR ve srovnání s Rakouskem (průměrná meziroční změna za období 2002 – 2012 v %)</w:t>
      </w:r>
    </w:p>
    <w:p w:rsidR="000822A0" w:rsidRDefault="00DA2744" w:rsidP="0033168C">
      <w:pPr>
        <w:spacing w:beforeLines="60" w:before="144" w:afterLines="60" w:after="144" w:line="240" w:lineRule="auto"/>
        <w:jc w:val="center"/>
        <w:rPr>
          <w:rFonts w:cs="Times New Roman"/>
        </w:rPr>
      </w:pPr>
      <w:r>
        <w:rPr>
          <w:noProof/>
          <w:lang w:eastAsia="cs-CZ"/>
        </w:rPr>
        <w:drawing>
          <wp:inline distT="0" distB="0" distL="0" distR="0" wp14:anchorId="07E5540C" wp14:editId="03D60F14">
            <wp:extent cx="5972810" cy="6832600"/>
            <wp:effectExtent l="0" t="0" r="27940" b="25400"/>
            <wp:docPr id="333" name="Graf 333"/>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0822A0" w:rsidRPr="000822A0" w:rsidRDefault="0033168C" w:rsidP="0033168C">
      <w:pPr>
        <w:pStyle w:val="Zdroj"/>
      </w:pPr>
      <w:r w:rsidRPr="000822A0">
        <w:t>Zdroj</w:t>
      </w:r>
      <w:r>
        <w:t xml:space="preserve"> dat</w:t>
      </w:r>
      <w:r w:rsidRPr="000822A0">
        <w:t xml:space="preserve">: </w:t>
      </w:r>
      <w:r>
        <w:t>IUS</w:t>
      </w:r>
      <w:r w:rsidR="000822A0" w:rsidRPr="000822A0">
        <w:br w:type="page"/>
      </w:r>
    </w:p>
    <w:p w:rsidR="000822A0" w:rsidRPr="008E7BFB" w:rsidRDefault="000822A0" w:rsidP="00D72475">
      <w:pPr>
        <w:spacing w:afterLines="60" w:after="144" w:line="360" w:lineRule="auto"/>
        <w:ind w:firstLine="709"/>
        <w:jc w:val="both"/>
        <w:rPr>
          <w:rFonts w:ascii="Arial" w:hAnsi="Arial" w:cs="Arial"/>
        </w:rPr>
      </w:pPr>
      <w:bookmarkStart w:id="17" w:name="Nový_evropský_indikátor_inovační_výkonno"/>
      <w:proofErr w:type="spellStart"/>
      <w:r w:rsidRPr="008E7BFB">
        <w:rPr>
          <w:rFonts w:ascii="Arial" w:hAnsi="Arial" w:cs="Arial"/>
        </w:rPr>
        <w:lastRenderedPageBreak/>
        <w:t>Innovation</w:t>
      </w:r>
      <w:proofErr w:type="spellEnd"/>
      <w:r w:rsidRPr="008E7BFB">
        <w:rPr>
          <w:rFonts w:ascii="Arial" w:hAnsi="Arial" w:cs="Arial"/>
        </w:rPr>
        <w:t xml:space="preserve"> Output </w:t>
      </w:r>
      <w:proofErr w:type="spellStart"/>
      <w:r w:rsidRPr="008E7BFB">
        <w:rPr>
          <w:rFonts w:ascii="Arial" w:hAnsi="Arial" w:cs="Arial"/>
        </w:rPr>
        <w:t>Indicator</w:t>
      </w:r>
      <w:proofErr w:type="spellEnd"/>
      <w:r w:rsidRPr="008E7BFB">
        <w:rPr>
          <w:rFonts w:ascii="Arial" w:hAnsi="Arial" w:cs="Arial"/>
        </w:rPr>
        <w:t xml:space="preserve"> byl zaveden Evropskou komisí v roce 2013 a slouží především ke srovnávání národních politik inovací. Tento kompozitní indikátor obsahuje 4 ukazatele týkající se výstupů inovač</w:t>
      </w:r>
      <w:r w:rsidR="004D56D7">
        <w:rPr>
          <w:rFonts w:ascii="Arial" w:hAnsi="Arial" w:cs="Arial"/>
        </w:rPr>
        <w:t>ních aktivit (</w:t>
      </w:r>
      <w:r w:rsidR="00D72475">
        <w:rPr>
          <w:rFonts w:ascii="Arial" w:hAnsi="Arial" w:cs="Arial"/>
        </w:rPr>
        <w:t>o</w:t>
      </w:r>
      <w:r w:rsidR="004D56D7">
        <w:rPr>
          <w:rFonts w:ascii="Arial" w:hAnsi="Arial" w:cs="Arial"/>
        </w:rPr>
        <w:t>br</w:t>
      </w:r>
      <w:r w:rsidR="00D36A6E">
        <w:rPr>
          <w:rFonts w:ascii="Arial" w:hAnsi="Arial" w:cs="Arial"/>
        </w:rPr>
        <w:t>ázek</w:t>
      </w:r>
      <w:r w:rsidR="004D56D7">
        <w:rPr>
          <w:rFonts w:ascii="Arial" w:hAnsi="Arial" w:cs="Arial"/>
        </w:rPr>
        <w:t xml:space="preserve"> 7.1</w:t>
      </w:r>
      <w:r w:rsidR="004E7ED9">
        <w:rPr>
          <w:rFonts w:ascii="Arial" w:hAnsi="Arial" w:cs="Arial"/>
        </w:rPr>
        <w:t>2</w:t>
      </w:r>
      <w:r w:rsidRPr="008E7BFB">
        <w:rPr>
          <w:rFonts w:ascii="Arial" w:hAnsi="Arial" w:cs="Arial"/>
        </w:rPr>
        <w:t>)</w:t>
      </w:r>
      <w:r w:rsidR="00D831E6" w:rsidRPr="008E7BFB">
        <w:rPr>
          <w:rFonts w:ascii="Arial" w:hAnsi="Arial" w:cs="Arial"/>
        </w:rPr>
        <w:t>:</w:t>
      </w:r>
    </w:p>
    <w:p w:rsidR="000822A0" w:rsidRPr="008E7BFB" w:rsidRDefault="00D831E6" w:rsidP="008E7BFB">
      <w:pPr>
        <w:numPr>
          <w:ilvl w:val="0"/>
          <w:numId w:val="5"/>
        </w:numPr>
        <w:spacing w:afterLines="60" w:after="144" w:line="360" w:lineRule="auto"/>
        <w:contextualSpacing/>
        <w:jc w:val="both"/>
        <w:rPr>
          <w:rFonts w:ascii="Arial" w:hAnsi="Arial" w:cs="Arial"/>
        </w:rPr>
      </w:pPr>
      <w:r w:rsidRPr="008E7BFB">
        <w:rPr>
          <w:rFonts w:ascii="Arial" w:hAnsi="Arial" w:cs="Arial"/>
        </w:rPr>
        <w:t>t</w:t>
      </w:r>
      <w:r w:rsidR="000822A0" w:rsidRPr="008E7BFB">
        <w:rPr>
          <w:rFonts w:ascii="Arial" w:hAnsi="Arial" w:cs="Arial"/>
        </w:rPr>
        <w:t>echnologickou inovativnost měřenou počtem PCT patentových přihlášek na miliardu HDP v PPS,</w:t>
      </w:r>
    </w:p>
    <w:p w:rsidR="000822A0" w:rsidRPr="008E7BFB" w:rsidRDefault="000822A0" w:rsidP="008E7BFB">
      <w:pPr>
        <w:numPr>
          <w:ilvl w:val="0"/>
          <w:numId w:val="5"/>
        </w:numPr>
        <w:spacing w:afterLines="60" w:after="144" w:line="360" w:lineRule="auto"/>
        <w:contextualSpacing/>
        <w:jc w:val="both"/>
        <w:rPr>
          <w:rFonts w:ascii="Arial" w:hAnsi="Arial" w:cs="Arial"/>
        </w:rPr>
      </w:pPr>
      <w:r w:rsidRPr="008E7BFB">
        <w:rPr>
          <w:rFonts w:ascii="Arial" w:hAnsi="Arial" w:cs="Arial"/>
        </w:rPr>
        <w:t>zaměstnanost ve znalostně intenzivních odvětvích měřenou jako procento z celkové zaměstnanosti,</w:t>
      </w:r>
    </w:p>
    <w:p w:rsidR="000822A0" w:rsidRPr="008E7BFB" w:rsidRDefault="000822A0" w:rsidP="008E7BFB">
      <w:pPr>
        <w:numPr>
          <w:ilvl w:val="0"/>
          <w:numId w:val="5"/>
        </w:numPr>
        <w:spacing w:afterLines="60" w:after="144" w:line="360" w:lineRule="auto"/>
        <w:contextualSpacing/>
        <w:jc w:val="both"/>
        <w:rPr>
          <w:rFonts w:ascii="Arial" w:hAnsi="Arial" w:cs="Arial"/>
        </w:rPr>
      </w:pPr>
      <w:r w:rsidRPr="008E7BFB">
        <w:rPr>
          <w:rFonts w:ascii="Arial" w:hAnsi="Arial" w:cs="Arial"/>
        </w:rPr>
        <w:t>inovativnost rychle rostoucích podniků měřenou jako vážený průměr zaměstnanosti,</w:t>
      </w:r>
    </w:p>
    <w:p w:rsidR="000822A0" w:rsidRPr="008E7BFB" w:rsidRDefault="000822A0" w:rsidP="008E7BFB">
      <w:pPr>
        <w:numPr>
          <w:ilvl w:val="0"/>
          <w:numId w:val="5"/>
        </w:numPr>
        <w:spacing w:afterLines="60" w:after="144" w:line="360" w:lineRule="auto"/>
        <w:contextualSpacing/>
        <w:jc w:val="both"/>
        <w:rPr>
          <w:rFonts w:ascii="Arial" w:hAnsi="Arial" w:cs="Arial"/>
        </w:rPr>
      </w:pPr>
      <w:r w:rsidRPr="008E7BFB">
        <w:rPr>
          <w:rFonts w:ascii="Arial" w:hAnsi="Arial" w:cs="Arial"/>
        </w:rPr>
        <w:t>kombinaci dvou dílčích ukazatelů vyjadřující export produktů a služeb znalostně intenzivních odvětví.</w:t>
      </w:r>
    </w:p>
    <w:bookmarkEnd w:id="17"/>
    <w:p w:rsidR="000822A0" w:rsidRPr="008E7BFB" w:rsidRDefault="000822A0" w:rsidP="00D72475">
      <w:pPr>
        <w:spacing w:afterLines="60" w:after="144" w:line="360" w:lineRule="auto"/>
        <w:ind w:left="51" w:firstLine="709"/>
        <w:jc w:val="both"/>
        <w:rPr>
          <w:rFonts w:ascii="Arial" w:hAnsi="Arial" w:cs="Arial"/>
        </w:rPr>
      </w:pPr>
      <w:r w:rsidRPr="008E7BFB">
        <w:rPr>
          <w:rFonts w:ascii="Arial" w:hAnsi="Arial" w:cs="Arial"/>
        </w:rPr>
        <w:t xml:space="preserve">Stejně jako v případě znalostní intenzity ekonomiky a SII i dle tohoto indikátoru ČR dosahuje o třetinu až polovinu nižších hodnot než země, které se pravidelně umisťují na předních místech žebříčků inovativnosti či konkurenceschopnosti. Vzhledem k tomu, že při kalkulaci IOI je kladen důraz na ukazatele inovačních výstupů, nemohou investice veřejného sektoru do </w:t>
      </w:r>
      <w:proofErr w:type="spellStart"/>
      <w:r w:rsidRPr="008E7BFB">
        <w:rPr>
          <w:rFonts w:ascii="Arial" w:hAnsi="Arial" w:cs="Arial"/>
        </w:rPr>
        <w:t>VaV</w:t>
      </w:r>
      <w:proofErr w:type="spellEnd"/>
      <w:r w:rsidRPr="008E7BFB">
        <w:rPr>
          <w:rFonts w:ascii="Arial" w:hAnsi="Arial" w:cs="Arial"/>
        </w:rPr>
        <w:t xml:space="preserve"> či vzdělávání, které jsou pouze nárazové, zkreslit hodnoty IOI. Odlišnost ve složení dílčích indikátorů mezi IOI a SII ovlivní pořadí zemí. Pro srovnání pozice ČR lze využít hodnot obou složených indikátorů v roce 2012: V žebříčku na základě IOI je ČR o čtyři příčky výše postavená a předčila Itálii (</w:t>
      </w:r>
      <w:r w:rsidR="0042088A">
        <w:rPr>
          <w:rFonts w:ascii="Arial" w:hAnsi="Arial" w:cs="Arial"/>
        </w:rPr>
        <w:t>g</w:t>
      </w:r>
      <w:r w:rsidRPr="008E7BFB">
        <w:rPr>
          <w:rFonts w:ascii="Arial" w:hAnsi="Arial" w:cs="Arial"/>
        </w:rPr>
        <w:t>raf 7</w:t>
      </w:r>
      <w:r w:rsidR="004D56D7">
        <w:rPr>
          <w:rFonts w:ascii="Arial" w:hAnsi="Arial" w:cs="Arial"/>
        </w:rPr>
        <w:t>.12</w:t>
      </w:r>
      <w:r w:rsidRPr="008E7BFB">
        <w:rPr>
          <w:rFonts w:ascii="Arial" w:hAnsi="Arial" w:cs="Arial"/>
        </w:rPr>
        <w:t>), na země, jako je Rakousko, Belgie nebo Holandsko, však i na základě IOI ztrácí.</w:t>
      </w:r>
    </w:p>
    <w:p w:rsidR="000822A0" w:rsidRPr="000822A0" w:rsidRDefault="000822A0" w:rsidP="000C142B">
      <w:pPr>
        <w:pStyle w:val="Obrzek-nadpis"/>
      </w:pPr>
      <w:r w:rsidRPr="000822A0">
        <w:t>Graf 7</w:t>
      </w:r>
      <w:r w:rsidR="00934D86">
        <w:t>.1</w:t>
      </w:r>
      <w:r w:rsidR="004E7ED9">
        <w:t>1</w:t>
      </w:r>
      <w:r w:rsidRPr="000822A0">
        <w:t>: Srovnání SII a IOI v roce 2012</w:t>
      </w:r>
    </w:p>
    <w:p w:rsidR="000822A0" w:rsidRPr="000822A0" w:rsidRDefault="000822A0" w:rsidP="004D56D7">
      <w:pPr>
        <w:spacing w:afterLines="60" w:after="144" w:line="360" w:lineRule="auto"/>
        <w:jc w:val="center"/>
        <w:rPr>
          <w:rFonts w:cs="Times New Roman"/>
        </w:rPr>
      </w:pPr>
      <w:r w:rsidRPr="000822A0">
        <w:rPr>
          <w:noProof/>
          <w:lang w:eastAsia="cs-CZ"/>
        </w:rPr>
        <w:drawing>
          <wp:inline distT="0" distB="0" distL="0" distR="0" wp14:anchorId="2023411E" wp14:editId="0385D2AD">
            <wp:extent cx="5500048" cy="1726442"/>
            <wp:effectExtent l="0" t="0" r="24765" b="26670"/>
            <wp:docPr id="88" name="Graf 88"/>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0822A0" w:rsidRDefault="007578D2" w:rsidP="004D56D7">
      <w:pPr>
        <w:spacing w:afterLines="60" w:after="144" w:line="360" w:lineRule="auto"/>
        <w:jc w:val="center"/>
        <w:rPr>
          <w:noProof/>
          <w:lang w:eastAsia="cs-CZ"/>
        </w:rPr>
      </w:pPr>
      <w:r w:rsidRPr="000822A0">
        <w:rPr>
          <w:noProof/>
          <w:lang w:eastAsia="cs-CZ"/>
        </w:rPr>
        <mc:AlternateContent>
          <mc:Choice Requires="wps">
            <w:drawing>
              <wp:anchor distT="0" distB="0" distL="114300" distR="114300" simplePos="0" relativeHeight="251727872" behindDoc="0" locked="0" layoutInCell="1" allowOverlap="1" wp14:anchorId="3FEFE1DB" wp14:editId="70B8726F">
                <wp:simplePos x="0" y="0"/>
                <wp:positionH relativeFrom="column">
                  <wp:posOffset>3310255</wp:posOffset>
                </wp:positionH>
                <wp:positionV relativeFrom="paragraph">
                  <wp:posOffset>495935</wp:posOffset>
                </wp:positionV>
                <wp:extent cx="109220" cy="341630"/>
                <wp:effectExtent l="57150" t="38100" r="81280" b="96520"/>
                <wp:wrapNone/>
                <wp:docPr id="74" name="Šipka dolů 1"/>
                <wp:cNvGraphicFramePr/>
                <a:graphic xmlns:a="http://schemas.openxmlformats.org/drawingml/2006/main">
                  <a:graphicData uri="http://schemas.microsoft.com/office/word/2010/wordprocessingShape">
                    <wps:wsp>
                      <wps:cNvSpPr/>
                      <wps:spPr>
                        <a:xfrm>
                          <a:off x="0" y="0"/>
                          <a:ext cx="109220" cy="341630"/>
                        </a:xfrm>
                        <a:prstGeom prst="downArrow">
                          <a:avLst/>
                        </a:prstGeom>
                        <a:gradFill rotWithShape="1">
                          <a:gsLst>
                            <a:gs pos="0">
                              <a:srgbClr val="C0504D">
                                <a:tint val="50000"/>
                                <a:satMod val="300000"/>
                              </a:srgbClr>
                            </a:gs>
                            <a:gs pos="35000">
                              <a:srgbClr val="C0504D">
                                <a:tint val="37000"/>
                                <a:satMod val="300000"/>
                              </a:srgbClr>
                            </a:gs>
                            <a:gs pos="100000">
                              <a:srgbClr val="C0504D">
                                <a:tint val="15000"/>
                                <a:satMod val="350000"/>
                              </a:srgbClr>
                            </a:gs>
                          </a:gsLst>
                          <a:lin ang="16200000" scaled="1"/>
                        </a:gradFill>
                        <a:ln w="9525" cap="flat" cmpd="sng" algn="ctr">
                          <a:solidFill>
                            <a:srgbClr val="C0504D">
                              <a:shade val="95000"/>
                              <a:satMod val="105000"/>
                            </a:srgbClr>
                          </a:solidFill>
                          <a:prstDash val="solid"/>
                        </a:ln>
                        <a:effectLst>
                          <a:outerShdw blurRad="40000" dist="20000" dir="5400000" rotWithShape="0">
                            <a:srgbClr val="000000">
                              <a:alpha val="38000"/>
                            </a:srgbClr>
                          </a:outerShdw>
                        </a:effectLst>
                      </wps:spPr>
                      <wps:bodyPr vertOverflow="clip"/>
                    </wps:wsp>
                  </a:graphicData>
                </a:graphic>
              </wp:anchor>
            </w:drawing>
          </mc:Choice>
          <mc:Fallback>
            <w:pict>
              <v:shape id="Šipka dolů 1" o:spid="_x0000_s1026" type="#_x0000_t67" style="position:absolute;margin-left:260.65pt;margin-top:39.05pt;width:8.6pt;height:26.9pt;z-index:251727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" adj="18147" fillcolor="#ffa2a1" strokecolor="#be4b48">
                <v:fill color2="#ffe5e5" rotate="t" angle="180" colors="0 #ffa2a1;22938f #ffbebd;1 #ffe5e5" focus="100%" type="gradient"/>
                <v:shadow on="t" color="black" opacity="24903f" origin=",.5" offset="0,.55556mm"/>
              </v:shape>
            </w:pict>
          </mc:Fallback>
        </mc:AlternateContent>
      </w:r>
      <w:r w:rsidR="000822A0" w:rsidRPr="000822A0">
        <w:rPr>
          <w:noProof/>
          <w:lang w:eastAsia="cs-CZ"/>
        </w:rPr>
        <mc:AlternateContent>
          <mc:Choice Requires="wpg">
            <w:drawing>
              <wp:anchor distT="0" distB="0" distL="114300" distR="114300" simplePos="0" relativeHeight="251730944" behindDoc="0" locked="0" layoutInCell="1" allowOverlap="1" wp14:anchorId="6F0B1165" wp14:editId="16A74050">
                <wp:simplePos x="0" y="0"/>
                <wp:positionH relativeFrom="column">
                  <wp:posOffset>142875</wp:posOffset>
                </wp:positionH>
                <wp:positionV relativeFrom="paragraph">
                  <wp:posOffset>2178050</wp:posOffset>
                </wp:positionV>
                <wp:extent cx="5534660" cy="247650"/>
                <wp:effectExtent l="0" t="0" r="0" b="0"/>
                <wp:wrapNone/>
                <wp:docPr id="55" name="Skupina 55"/>
                <wp:cNvGraphicFramePr/>
                <a:graphic xmlns:a="http://schemas.openxmlformats.org/drawingml/2006/main">
                  <a:graphicData uri="http://schemas.microsoft.com/office/word/2010/wordprocessingGroup">
                    <wpg:wgp>
                      <wpg:cNvGrpSpPr/>
                      <wpg:grpSpPr>
                        <a:xfrm>
                          <a:off x="0" y="0"/>
                          <a:ext cx="5534660" cy="247650"/>
                          <a:chOff x="0" y="0"/>
                          <a:chExt cx="5534853" cy="247650"/>
                        </a:xfrm>
                      </wpg:grpSpPr>
                      <wpg:grpSp>
                        <wpg:cNvPr id="57" name="Skupina 2"/>
                        <wpg:cNvGrpSpPr/>
                        <wpg:grpSpPr>
                          <a:xfrm>
                            <a:off x="0" y="0"/>
                            <a:ext cx="1257300" cy="247650"/>
                            <a:chOff x="123825" y="0"/>
                            <a:chExt cx="1257300" cy="247650"/>
                          </a:xfrm>
                        </wpg:grpSpPr>
                        <wps:wsp>
                          <wps:cNvPr id="59" name="Zaoblený obdélník 59"/>
                          <wps:cNvSpPr/>
                          <wps:spPr>
                            <a:xfrm>
                              <a:off x="123825" y="47626"/>
                              <a:ext cx="114300" cy="114300"/>
                            </a:xfrm>
                            <a:prstGeom prst="roundRect">
                              <a:avLst/>
                            </a:prstGeom>
                            <a:solidFill>
                              <a:srgbClr val="F79646">
                                <a:lumMod val="75000"/>
                              </a:srgbClr>
                            </a:solidFill>
                            <a:ln w="25400" cap="flat" cmpd="sng" algn="ctr">
                              <a:noFill/>
                              <a:prstDash val="solid"/>
                            </a:ln>
                            <a:effectLst/>
                          </wps:spPr>
                          <wps:txbx>
                            <w:txbxContent>
                              <w:p w:rsidR="006F678C" w:rsidRDefault="006F678C" w:rsidP="000822A0">
                                <w:pPr>
                                  <w:rPr>
                                    <w:rFonts w:eastAsia="Times New Roman"/>
                                  </w:rPr>
                                </w:pPr>
                              </w:p>
                            </w:txbxContent>
                          </wps:txbx>
                          <wps:bodyPr rtlCol="0" anchor="t"/>
                        </wps:wsp>
                        <wps:wsp>
                          <wps:cNvPr id="60" name="TextovéPole 4"/>
                          <wps:cNvSpPr txBox="1"/>
                          <wps:spPr>
                            <a:xfrm>
                              <a:off x="238124" y="0"/>
                              <a:ext cx="1143001" cy="247650"/>
                            </a:xfrm>
                            <a:prstGeom prst="rect">
                              <a:avLst/>
                            </a:prstGeom>
                            <a:noFill/>
                            <a:ln w="9525" cmpd="sng">
                              <a:noFill/>
                            </a:ln>
                            <a:effectLst/>
                          </wps:spPr>
                          <wps:txbx>
                            <w:txbxContent>
                              <w:p w:rsidR="006F678C" w:rsidRDefault="006F678C" w:rsidP="000822A0">
                                <w:pPr>
                                  <w:pStyle w:val="Normlnweb"/>
                                  <w:spacing w:after="0"/>
                                </w:pPr>
                                <w:r>
                                  <w:rPr>
                                    <w:rFonts w:asciiTheme="minorHAnsi" w:hAnsi="Calibri" w:cstheme="minorBidi"/>
                                    <w:color w:val="000000" w:themeColor="dark1"/>
                                    <w:sz w:val="16"/>
                                    <w:szCs w:val="16"/>
                                  </w:rPr>
                                  <w:t>MODEST INNOVATORS</w:t>
                                </w:r>
                              </w:p>
                            </w:txbxContent>
                          </wps:txbx>
                          <wps:bodyPr wrap="square" rtlCol="0" anchor="t"/>
                        </wps:wsp>
                      </wpg:grpSp>
                      <wpg:grpSp>
                        <wpg:cNvPr id="65" name="Skupina 15"/>
                        <wpg:cNvGrpSpPr/>
                        <wpg:grpSpPr>
                          <a:xfrm>
                            <a:off x="1256306" y="0"/>
                            <a:ext cx="1552575" cy="247650"/>
                            <a:chOff x="123825" y="0"/>
                            <a:chExt cx="1552575" cy="247650"/>
                          </a:xfrm>
                        </wpg:grpSpPr>
                        <wps:wsp>
                          <wps:cNvPr id="66" name="Zaoblený obdélník 66"/>
                          <wps:cNvSpPr/>
                          <wps:spPr>
                            <a:xfrm>
                              <a:off x="123825" y="47626"/>
                              <a:ext cx="114300" cy="114300"/>
                            </a:xfrm>
                            <a:prstGeom prst="roundRect">
                              <a:avLst/>
                            </a:prstGeom>
                            <a:solidFill>
                              <a:srgbClr val="FFFF00"/>
                            </a:solidFill>
                            <a:ln w="25400" cap="flat" cmpd="sng" algn="ctr">
                              <a:noFill/>
                              <a:prstDash val="solid"/>
                            </a:ln>
                            <a:effectLst/>
                          </wps:spPr>
                          <wps:txbx>
                            <w:txbxContent>
                              <w:p w:rsidR="006F678C" w:rsidRDefault="006F678C" w:rsidP="000822A0">
                                <w:pPr>
                                  <w:rPr>
                                    <w:rFonts w:eastAsia="Times New Roman"/>
                                  </w:rPr>
                                </w:pPr>
                              </w:p>
                            </w:txbxContent>
                          </wps:txbx>
                          <wps:bodyPr rtlCol="0" anchor="t"/>
                        </wps:wsp>
                        <wps:wsp>
                          <wps:cNvPr id="67" name="TextovéPole 6"/>
                          <wps:cNvSpPr txBox="1"/>
                          <wps:spPr>
                            <a:xfrm>
                              <a:off x="238124" y="0"/>
                              <a:ext cx="1438276" cy="247650"/>
                            </a:xfrm>
                            <a:prstGeom prst="rect">
                              <a:avLst/>
                            </a:prstGeom>
                            <a:noFill/>
                            <a:ln w="9525" cmpd="sng">
                              <a:noFill/>
                            </a:ln>
                            <a:effectLst/>
                          </wps:spPr>
                          <wps:txbx>
                            <w:txbxContent>
                              <w:p w:rsidR="006F678C" w:rsidRDefault="006F678C" w:rsidP="000822A0">
                                <w:pPr>
                                  <w:pStyle w:val="Normlnweb"/>
                                  <w:spacing w:after="0"/>
                                </w:pPr>
                                <w:r>
                                  <w:rPr>
                                    <w:rFonts w:asciiTheme="minorHAnsi" w:hAnsi="Calibri" w:cstheme="minorBidi"/>
                                    <w:color w:val="000000" w:themeColor="dark1"/>
                                    <w:sz w:val="16"/>
                                    <w:szCs w:val="16"/>
                                  </w:rPr>
                                  <w:t>MODERATE INNOVATORS</w:t>
                                </w:r>
                              </w:p>
                            </w:txbxContent>
                          </wps:txbx>
                          <wps:bodyPr wrap="square" rtlCol="0" anchor="t"/>
                        </wps:wsp>
                      </wpg:grpSp>
                      <wpg:grpSp>
                        <wpg:cNvPr id="68" name="Skupina 16"/>
                        <wpg:cNvGrpSpPr/>
                        <wpg:grpSpPr>
                          <a:xfrm>
                            <a:off x="2695492" y="0"/>
                            <a:ext cx="1428750" cy="247650"/>
                            <a:chOff x="123825" y="0"/>
                            <a:chExt cx="1428750" cy="247650"/>
                          </a:xfrm>
                        </wpg:grpSpPr>
                        <wps:wsp>
                          <wps:cNvPr id="69" name="Zaoblený obdélník 69"/>
                          <wps:cNvSpPr/>
                          <wps:spPr>
                            <a:xfrm>
                              <a:off x="123825" y="47626"/>
                              <a:ext cx="114300" cy="114300"/>
                            </a:xfrm>
                            <a:prstGeom prst="roundRect">
                              <a:avLst/>
                            </a:prstGeom>
                            <a:solidFill>
                              <a:srgbClr val="8DE3B4"/>
                            </a:solidFill>
                            <a:ln w="25400" cap="flat" cmpd="sng" algn="ctr">
                              <a:noFill/>
                              <a:prstDash val="solid"/>
                            </a:ln>
                            <a:effectLst/>
                          </wps:spPr>
                          <wps:txbx>
                            <w:txbxContent>
                              <w:p w:rsidR="006F678C" w:rsidRDefault="006F678C" w:rsidP="000822A0">
                                <w:pPr>
                                  <w:rPr>
                                    <w:rFonts w:eastAsia="Times New Roman"/>
                                  </w:rPr>
                                </w:pPr>
                              </w:p>
                            </w:txbxContent>
                          </wps:txbx>
                          <wps:bodyPr rtlCol="0" anchor="t"/>
                        </wps:wsp>
                        <wps:wsp>
                          <wps:cNvPr id="70" name="TextovéPole 8"/>
                          <wps:cNvSpPr txBox="1"/>
                          <wps:spPr>
                            <a:xfrm>
                              <a:off x="238124" y="0"/>
                              <a:ext cx="1314451" cy="247650"/>
                            </a:xfrm>
                            <a:prstGeom prst="rect">
                              <a:avLst/>
                            </a:prstGeom>
                            <a:noFill/>
                            <a:ln w="9525" cmpd="sng">
                              <a:noFill/>
                            </a:ln>
                            <a:effectLst/>
                          </wps:spPr>
                          <wps:txbx>
                            <w:txbxContent>
                              <w:p w:rsidR="006F678C" w:rsidRDefault="006F678C" w:rsidP="000822A0">
                                <w:pPr>
                                  <w:pStyle w:val="Normlnweb"/>
                                  <w:spacing w:after="0"/>
                                </w:pPr>
                                <w:r>
                                  <w:rPr>
                                    <w:rFonts w:asciiTheme="minorHAnsi" w:hAnsi="Calibri" w:cstheme="minorBidi"/>
                                    <w:color w:val="000000" w:themeColor="dark1"/>
                                    <w:sz w:val="16"/>
                                    <w:szCs w:val="16"/>
                                  </w:rPr>
                                  <w:t>INNOVATION FOLLOWERS</w:t>
                                </w:r>
                              </w:p>
                            </w:txbxContent>
                          </wps:txbx>
                          <wps:bodyPr wrap="square" rtlCol="0" anchor="t"/>
                        </wps:wsp>
                      </wpg:grpSp>
                      <wpg:grpSp>
                        <wpg:cNvPr id="71" name="Skupina 17"/>
                        <wpg:cNvGrpSpPr/>
                        <wpg:grpSpPr>
                          <a:xfrm>
                            <a:off x="4134678" y="0"/>
                            <a:ext cx="1400175" cy="247650"/>
                            <a:chOff x="123825" y="0"/>
                            <a:chExt cx="1400175" cy="247650"/>
                          </a:xfrm>
                        </wpg:grpSpPr>
                        <wps:wsp>
                          <wps:cNvPr id="72" name="Zaoblený obdélník 72"/>
                          <wps:cNvSpPr/>
                          <wps:spPr>
                            <a:xfrm>
                              <a:off x="123825" y="47626"/>
                              <a:ext cx="114300" cy="114300"/>
                            </a:xfrm>
                            <a:prstGeom prst="roundRect">
                              <a:avLst/>
                            </a:prstGeom>
                            <a:solidFill>
                              <a:srgbClr val="0B970E"/>
                            </a:solidFill>
                            <a:ln w="25400" cap="flat" cmpd="sng" algn="ctr">
                              <a:noFill/>
                              <a:prstDash val="solid"/>
                            </a:ln>
                            <a:effectLst/>
                          </wps:spPr>
                          <wps:txbx>
                            <w:txbxContent>
                              <w:p w:rsidR="006F678C" w:rsidRDefault="006F678C" w:rsidP="000822A0">
                                <w:pPr>
                                  <w:rPr>
                                    <w:rFonts w:eastAsia="Times New Roman"/>
                                  </w:rPr>
                                </w:pPr>
                              </w:p>
                            </w:txbxContent>
                          </wps:txbx>
                          <wps:bodyPr rtlCol="0" anchor="t"/>
                        </wps:wsp>
                        <wps:wsp>
                          <wps:cNvPr id="73" name="TextovéPole 10"/>
                          <wps:cNvSpPr txBox="1"/>
                          <wps:spPr>
                            <a:xfrm>
                              <a:off x="238124" y="0"/>
                              <a:ext cx="1285876" cy="247650"/>
                            </a:xfrm>
                            <a:prstGeom prst="rect">
                              <a:avLst/>
                            </a:prstGeom>
                            <a:noFill/>
                            <a:ln w="9525" cmpd="sng">
                              <a:noFill/>
                            </a:ln>
                            <a:effectLst/>
                          </wps:spPr>
                          <wps:txbx>
                            <w:txbxContent>
                              <w:p w:rsidR="006F678C" w:rsidRDefault="006F678C" w:rsidP="000822A0">
                                <w:pPr>
                                  <w:pStyle w:val="Normlnweb"/>
                                  <w:spacing w:after="0"/>
                                </w:pPr>
                                <w:r>
                                  <w:rPr>
                                    <w:rFonts w:asciiTheme="minorHAnsi" w:hAnsi="Calibri" w:cstheme="minorBidi"/>
                                    <w:color w:val="000000" w:themeColor="dark1"/>
                                    <w:sz w:val="16"/>
                                    <w:szCs w:val="16"/>
                                  </w:rPr>
                                  <w:t>INNOVATION LEADERS</w:t>
                                </w:r>
                              </w:p>
                            </w:txbxContent>
                          </wps:txbx>
                          <wps:bodyPr wrap="square" rtlCol="0" anchor="t"/>
                        </wps:wsp>
                      </wpg:grpSp>
                    </wpg:wgp>
                  </a:graphicData>
                </a:graphic>
              </wp:anchor>
            </w:drawing>
          </mc:Choice>
          <mc:Fallback>
            <w:pict>
              <v:group id="Skupina 55" o:spid="_x0000_s1047" style="position:absolute;left:0;text-align:left;margin-left:11.25pt;margin-top:171.5pt;width:435.8pt;height:19.5pt;z-index:251730944;mso-position-horizontal-relative:text;mso-position-vertical-relative:text" coordsize="55348,24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">
                <v:group id="Skupina 2" o:spid="_x0000_s1048" style="position:absolute;width:12573;height:2476" coordorigin="1238" coordsize="12573,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roundrect id="Zaoblený obdélník 59" o:spid="_x0000_s1049" style="position:absolute;left:1238;top:476;width:1143;height:11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J/GcQA&#10;AADbAAAADwAAAGRycy9kb3ducmV2LnhtbESPS4vCQBCE78L+h6EFbzpRWB9ZR5EFYfWg+FqvvZne&#10;JJjpCZkxxn/vCILHoqq+oqbzxhSipsrllhX0exEI4sTqnFMFx8OyOwbhPLLGwjIpuJOD+eyjNcVY&#10;2xvvqN77VAQIuxgVZN6XsZQuycig69mSOHj/tjLog6xSqSu8Bbgp5CCKhtJgzmEhw5K+M0ou+6tR&#10;UG9/L7weL7CW2Kw259HodF7/KdVpN4svEJ4a/w6/2j9awecEnl/CD5C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yfxnEAAAA2wAAAA8AAAAAAAAAAAAAAAAAmAIAAGRycy9k&#10;b3ducmV2LnhtbFBLBQYAAAAABAAEAPUAAACJAwAAAAA=&#10;" fillcolor="#e46c0a" stroked="f" strokeweight="2pt">
                    <v:textbox>
                      <w:txbxContent>
                        <w:p w:rsidR="006F678C" w:rsidRDefault="006F678C" w:rsidP="000822A0">
                          <w:pPr>
                            <w:rPr>
                              <w:rFonts w:eastAsia="Times New Roman"/>
                            </w:rPr>
                          </w:pPr>
                        </w:p>
                      </w:txbxContent>
                    </v:textbox>
                  </v:roundrect>
                  <v:shape id="TextovéPole 4" o:spid="_x0000_s1050" type="#_x0000_t202" style="position:absolute;left:2381;width:11430;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amhL4A&#10;AADbAAAADwAAAGRycy9kb3ducmV2LnhtbERPy4rCMBTdC/5DuMLsNFFUtBpFFGFWI+ML3F2aa1ts&#10;bkoTbefvzUKY5eG8l+vWluJFtS8caxgOFAji1JmCMw3n074/A+EDssHSMWn4Iw/rVbezxMS4hn/p&#10;dQyZiCHsE9SQh1AlUvo0J4t+4CriyN1dbTFEWGfS1NjEcFvKkVJTabHg2JBjRduc0sfxaTVcfu63&#10;61gdsp2dVI1rlWQ7l1p/9drNAkSgNvyLP+5vo2Ea18cv8QfI1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SGpoS+AAAA2wAAAA8AAAAAAAAAAAAAAAAAmAIAAGRycy9kb3ducmV2&#10;LnhtbFBLBQYAAAAABAAEAPUAAACDAwAAAAA=&#10;" filled="f" stroked="f">
                    <v:textbox>
                      <w:txbxContent>
                        <w:p w:rsidR="006F678C" w:rsidRDefault="006F678C" w:rsidP="000822A0">
                          <w:pPr>
                            <w:pStyle w:val="Normlnweb"/>
                            <w:spacing w:after="0"/>
                          </w:pPr>
                          <w:r>
                            <w:rPr>
                              <w:rFonts w:asciiTheme="minorHAnsi" w:hAnsi="Calibri" w:cstheme="minorBidi"/>
                              <w:color w:val="000000" w:themeColor="dark1"/>
                              <w:sz w:val="16"/>
                              <w:szCs w:val="16"/>
                            </w:rPr>
                            <w:t>MODEST INNOVATORS</w:t>
                          </w:r>
                        </w:p>
                      </w:txbxContent>
                    </v:textbox>
                  </v:shape>
                </v:group>
                <v:group id="Skupina 15" o:spid="_x0000_s1051" style="position:absolute;left:12563;width:15525;height:2476" coordorigin="1238" coordsize="15525,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roundrect id="Zaoblený obdélník 66" o:spid="_x0000_s1052" style="position:absolute;left:1238;top:476;width:1143;height:11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L2hMMA&#10;AADbAAAADwAAAGRycy9kb3ducmV2LnhtbESPQWvCQBSE7wX/w/KE3uquikFSVxGpIMVLY/D8mn3N&#10;hmbfptk1pv++Wyj0OMzMN8xmN7pWDNSHxrOG+UyBIK68abjWUF6OT2sQISIbbD2Thm8KsNtOHjaY&#10;G3/nNxqKWIsE4ZCjBhtjl0sZKksOw8x3xMn78L3DmGRfS9PjPcFdKxdKZdJhw2nBYkcHS9VncXMa&#10;XtqVtZe9qouv13P5fh3Kpb0prR+n4/4ZRKQx/of/2iejIcvg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gL2hMMAAADbAAAADwAAAAAAAAAAAAAAAACYAgAAZHJzL2Rv&#10;d25yZXYueG1sUEsFBgAAAAAEAAQA9QAAAIgDAAAAAA==&#10;" fillcolor="yellow" stroked="f" strokeweight="2pt">
                    <v:textbox>
                      <w:txbxContent>
                        <w:p w:rsidR="006F678C" w:rsidRDefault="006F678C" w:rsidP="000822A0">
                          <w:pPr>
                            <w:rPr>
                              <w:rFonts w:eastAsia="Times New Roman"/>
                            </w:rPr>
                          </w:pPr>
                        </w:p>
                      </w:txbxContent>
                    </v:textbox>
                  </v:roundrect>
                  <v:shape id="TextovéPole 6" o:spid="_x0000_s1053" type="#_x0000_t202" style="position:absolute;left:2381;width:14383;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8+8MMA&#10;AADbAAAADwAAAGRycy9kb3ducmV2LnhtbESPQWvCQBSE74L/YXlCb7prsVZTV5FKoSfFVAVvj+wz&#10;Cc2+DdmtSf+9Kwgeh5n5hlmsOluJKzW+dKxhPFIgiDNnSs41HH6+hjMQPiAbrByThn/ysFr2ewtM&#10;jGt5T9c05CJC2CeooQihTqT0WUEW/cjVxNG7uMZiiLLJpWmwjXBbyVelptJiyXGhwJo+C8p+0z+r&#10;4bi9nE8Ttcs39q1uXack27nU+mXQrT9ABOrCM/xofxsN03e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28+8MMAAADbAAAADwAAAAAAAAAAAAAAAACYAgAAZHJzL2Rv&#10;d25yZXYueG1sUEsFBgAAAAAEAAQA9QAAAIgDAAAAAA==&#10;" filled="f" stroked="f">
                    <v:textbox>
                      <w:txbxContent>
                        <w:p w:rsidR="006F678C" w:rsidRDefault="006F678C" w:rsidP="000822A0">
                          <w:pPr>
                            <w:pStyle w:val="Normlnweb"/>
                            <w:spacing w:after="0"/>
                          </w:pPr>
                          <w:r>
                            <w:rPr>
                              <w:rFonts w:asciiTheme="minorHAnsi" w:hAnsi="Calibri" w:cstheme="minorBidi"/>
                              <w:color w:val="000000" w:themeColor="dark1"/>
                              <w:sz w:val="16"/>
                              <w:szCs w:val="16"/>
                            </w:rPr>
                            <w:t>MODERATE INNOVATORS</w:t>
                          </w:r>
                        </w:p>
                      </w:txbxContent>
                    </v:textbox>
                  </v:shape>
                </v:group>
                <v:group id="Skupina 16" o:spid="_x0000_s1054" style="position:absolute;left:26954;width:14288;height:2476" coordorigin="1238" coordsize="14287,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roundrect id="Zaoblený obdélník 69" o:spid="_x0000_s1055" style="position:absolute;left:1238;top:476;width:1143;height:11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9u/sIA&#10;AADbAAAADwAAAGRycy9kb3ducmV2LnhtbESPQWvCQBSE7wX/w/IEb3WTHkSjqwRRkHpqLD0/ss8k&#10;JPt2yW5N6q93C4LHYWa+YTa70XTiRr1vLCtI5wkI4tLqhisF35fj+xKED8gaO8uk4I887LaTtw1m&#10;2g78RbciVCJC2GeooA7BZVL6siaDfm4dcfSutjcYouwrqXscItx08iNJFtJgw3GhRkf7msq2+DUK&#10;ikN3PA9tnqbLn8/CnFqX67tTajYd8zWIQGN4hZ/tk1awWMH/l/gD5P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n27+wgAAANsAAAAPAAAAAAAAAAAAAAAAAJgCAABkcnMvZG93&#10;bnJldi54bWxQSwUGAAAAAAQABAD1AAAAhwMAAAAA&#10;" fillcolor="#8de3b4" stroked="f" strokeweight="2pt">
                    <v:textbox>
                      <w:txbxContent>
                        <w:p w:rsidR="006F678C" w:rsidRDefault="006F678C" w:rsidP="000822A0">
                          <w:pPr>
                            <w:rPr>
                              <w:rFonts w:eastAsia="Times New Roman"/>
                            </w:rPr>
                          </w:pPr>
                        </w:p>
                      </w:txbxContent>
                    </v:textbox>
                  </v:roundrect>
                  <v:shape id="TextovéPole 8" o:spid="_x0000_s1056" type="#_x0000_t202" style="position:absolute;left:2381;width:13144;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8wWcEA&#10;AADbAAAADwAAAGRycy9kb3ducmV2LnhtbERPz2vCMBS+D/Y/hCfstiaKbrMzylAGOyl2U/D2aJ5t&#10;WfMSmszW/94chB0/vt+L1WBbcaEuNI41jDMFgrh0puFKw8/35/MbiBCRDbaOScOVAqyWjw8LzI3r&#10;eU+XIlYihXDIUUMdo8+lDGVNFkPmPHHizq6zGBPsKmk67FO4beVEqRdpseHUUKOndU3lb/FnNRy2&#10;59NxqnbVxs587wYl2c6l1k+j4eMdRKQh/ovv7i+j4TWtT1/SD5DL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FfMFnBAAAA2wAAAA8AAAAAAAAAAAAAAAAAmAIAAGRycy9kb3du&#10;cmV2LnhtbFBLBQYAAAAABAAEAPUAAACGAwAAAAA=&#10;" filled="f" stroked="f">
                    <v:textbox>
                      <w:txbxContent>
                        <w:p w:rsidR="006F678C" w:rsidRDefault="006F678C" w:rsidP="000822A0">
                          <w:pPr>
                            <w:pStyle w:val="Normlnweb"/>
                            <w:spacing w:after="0"/>
                          </w:pPr>
                          <w:r>
                            <w:rPr>
                              <w:rFonts w:asciiTheme="minorHAnsi" w:hAnsi="Calibri" w:cstheme="minorBidi"/>
                              <w:color w:val="000000" w:themeColor="dark1"/>
                              <w:sz w:val="16"/>
                              <w:szCs w:val="16"/>
                            </w:rPr>
                            <w:t>INNOVATION FOLLOWERS</w:t>
                          </w:r>
                        </w:p>
                      </w:txbxContent>
                    </v:textbox>
                  </v:shape>
                </v:group>
                <v:group id="Skupina 17" o:spid="_x0000_s1057" style="position:absolute;left:41346;width:14002;height:2476" coordorigin="1238" coordsize="14001,2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66CIcUAAADbAAAADwAAAGRycy9kb3ducmV2LnhtbESPT2vCQBTE7wW/w/KE&#10;3ppNlLYSs4pILT2EQlUQb4/sMwlm34bsNn++fbdQ6HGYmd8w2XY0jeipc7VlBUkUgyAurK65VHA+&#10;HZ5WIJxH1thYJgUTOdhuZg8ZptoO/EX90ZciQNilqKDyvk2ldEVFBl1kW+Lg3Wxn0AfZlVJ3OAS4&#10;aeQijl+kwZrDQoUt7Ssq7sdvo+B9wGG3TN76/H7bT9fT8+clT0ipx/m4W4PwNPr/8F/7Qyt4Te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giHFAAAA2wAA&#10;AA8AAAAAAAAAAAAAAAAAqgIAAGRycy9kb3ducmV2LnhtbFBLBQYAAAAABAAEAPoAAACcAwAAAAA=&#10;">
                  <v:roundrect id="Zaoblený obdélník 72" o:spid="_x0000_s1058" style="position:absolute;left:1238;top:476;width:1143;height:11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1FWsEA&#10;AADbAAAADwAAAGRycy9kb3ducmV2LnhtbESPQYvCMBSE74L/IbwFL7KmurIrXaMYUfBqV++P5tkW&#10;m5fSxFr/vVkQPA4z8w2zXPe2Fh21vnKsYDpJQBDnzlRcKDj97T8XIHxANlg7JgUP8rBeDQdLTI27&#10;85G6LBQiQtinqKAMoUml9HlJFv3ENcTRu7jWYoiyLaRp8R7htpazJPmWFiuOCyU2tC0pv2Y3q0An&#10;426rq3lTXOXXeTfVujtordToo9/8ggjUh3f41T4YBT8z+P8Sf4BcP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DdRVrBAAAA2wAAAA8AAAAAAAAAAAAAAAAAmAIAAGRycy9kb3du&#10;cmV2LnhtbFBLBQYAAAAABAAEAPUAAACGAwAAAAA=&#10;" fillcolor="#0b970e" stroked="f" strokeweight="2pt">
                    <v:textbox>
                      <w:txbxContent>
                        <w:p w:rsidR="006F678C" w:rsidRDefault="006F678C" w:rsidP="000822A0">
                          <w:pPr>
                            <w:rPr>
                              <w:rFonts w:eastAsia="Times New Roman"/>
                            </w:rPr>
                          </w:pPr>
                        </w:p>
                      </w:txbxContent>
                    </v:textbox>
                  </v:roundrect>
                  <v:shape id="TextovéPole 10" o:spid="_x0000_s1059" type="#_x0000_t202" style="position:absolute;left:2381;width:12859;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2uLsQA&#10;AADbAAAADwAAAGRycy9kb3ducmV2LnhtbESPT2sCMRTE7wW/Q3hCb5rUqm23G0UsgqeKVgu9PTZv&#10;/+DmZdmk7vrtG0HocZiZ3zDpsre1uFDrK8cansYKBHHmTMWFhuPXZvQKwgdkg7Vj0nAlD8vF4CHF&#10;xLiO93Q5hEJECPsENZQhNImUPivJoh+7hjh6uWsthijbQpoWuwi3tZwoNZcWK44LJTa0Lik7H36t&#10;htNn/vM9Vbviw86azvVKsn2TWj8O+9U7iEB9+A/f21uj4eUZbl/iD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Nri7EAAAA2wAAAA8AAAAAAAAAAAAAAAAAmAIAAGRycy9k&#10;b3ducmV2LnhtbFBLBQYAAAAABAAEAPUAAACJAwAAAAA=&#10;" filled="f" stroked="f">
                    <v:textbox>
                      <w:txbxContent>
                        <w:p w:rsidR="006F678C" w:rsidRDefault="006F678C" w:rsidP="000822A0">
                          <w:pPr>
                            <w:pStyle w:val="Normlnweb"/>
                            <w:spacing w:after="0"/>
                          </w:pPr>
                          <w:r>
                            <w:rPr>
                              <w:rFonts w:asciiTheme="minorHAnsi" w:hAnsi="Calibri" w:cstheme="minorBidi"/>
                              <w:color w:val="000000" w:themeColor="dark1"/>
                              <w:sz w:val="16"/>
                              <w:szCs w:val="16"/>
                            </w:rPr>
                            <w:t>INNOVATION LEADERS</w:t>
                          </w:r>
                        </w:p>
                      </w:txbxContent>
                    </v:textbox>
                  </v:shape>
                </v:group>
              </v:group>
            </w:pict>
          </mc:Fallback>
        </mc:AlternateContent>
      </w:r>
      <w:r w:rsidR="000822A0" w:rsidRPr="000822A0">
        <w:rPr>
          <w:noProof/>
          <w:lang w:eastAsia="cs-CZ"/>
        </w:rPr>
        <w:drawing>
          <wp:inline distT="0" distB="0" distL="0" distR="0" wp14:anchorId="295AF0D7" wp14:editId="20D62F4A">
            <wp:extent cx="5513695" cy="1828800"/>
            <wp:effectExtent l="0" t="0" r="11430" b="19050"/>
            <wp:docPr id="89" name="Graf 89"/>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33168C" w:rsidRPr="000822A0" w:rsidRDefault="0033168C" w:rsidP="0033168C">
      <w:pPr>
        <w:pStyle w:val="Zdroj"/>
        <w:rPr>
          <w:noProof/>
        </w:rPr>
      </w:pPr>
      <w:r w:rsidRPr="000822A0">
        <w:t>Zdroj</w:t>
      </w:r>
      <w:r>
        <w:t xml:space="preserve"> dat</w:t>
      </w:r>
      <w:r w:rsidRPr="000822A0">
        <w:t xml:space="preserve">: DG </w:t>
      </w:r>
      <w:proofErr w:type="spellStart"/>
      <w:r w:rsidRPr="000822A0">
        <w:t>Research</w:t>
      </w:r>
      <w:proofErr w:type="spellEnd"/>
      <w:r w:rsidRPr="000822A0">
        <w:t xml:space="preserve"> and </w:t>
      </w:r>
      <w:proofErr w:type="spellStart"/>
      <w:r w:rsidRPr="000822A0">
        <w:t>Innovation</w:t>
      </w:r>
      <w:proofErr w:type="spellEnd"/>
      <w:r>
        <w:t xml:space="preserve"> a IUS</w:t>
      </w:r>
    </w:p>
    <w:p w:rsidR="000C142B" w:rsidRDefault="000C142B" w:rsidP="000822A0">
      <w:pPr>
        <w:spacing w:afterLines="60" w:after="144" w:line="360" w:lineRule="auto"/>
        <w:jc w:val="both"/>
        <w:rPr>
          <w:rFonts w:cs="Times New Roman"/>
        </w:rPr>
        <w:sectPr w:rsidR="000C142B" w:rsidSect="00E540D1">
          <w:footerReference w:type="default" r:id="rId69"/>
          <w:pgSz w:w="11906" w:h="16838"/>
          <w:pgMar w:top="1134" w:right="1134" w:bottom="1134" w:left="1134" w:header="709" w:footer="709" w:gutter="0"/>
          <w:cols w:space="708"/>
          <w:docGrid w:linePitch="360"/>
        </w:sectPr>
      </w:pPr>
    </w:p>
    <w:p w:rsidR="000822A0" w:rsidRPr="000822A0" w:rsidRDefault="000822A0" w:rsidP="000C142B">
      <w:pPr>
        <w:pStyle w:val="Obrzek-nadpis"/>
      </w:pPr>
      <w:r w:rsidRPr="000822A0">
        <w:lastRenderedPageBreak/>
        <w:t>Obr</w:t>
      </w:r>
      <w:r w:rsidR="004D56D7">
        <w:t>.</w:t>
      </w:r>
      <w:r w:rsidRPr="000822A0">
        <w:t xml:space="preserve"> </w:t>
      </w:r>
      <w:r w:rsidR="00934D86">
        <w:t>7.1</w:t>
      </w:r>
      <w:r w:rsidR="004E7ED9">
        <w:t>2</w:t>
      </w:r>
      <w:r w:rsidRPr="000822A0">
        <w:t xml:space="preserve">: Inovační výkon ČR stanovený na základě </w:t>
      </w:r>
      <w:proofErr w:type="spellStart"/>
      <w:r w:rsidRPr="000822A0">
        <w:t>Innovation</w:t>
      </w:r>
      <w:proofErr w:type="spellEnd"/>
      <w:r w:rsidRPr="000822A0">
        <w:t xml:space="preserve"> Output </w:t>
      </w:r>
      <w:proofErr w:type="spellStart"/>
      <w:r w:rsidRPr="000822A0">
        <w:t>Indicator</w:t>
      </w:r>
      <w:proofErr w:type="spellEnd"/>
      <w:r w:rsidRPr="000822A0">
        <w:t xml:space="preserve"> (IOI) v roce 2012 ve srovnání s Rakouskem a průměrem EU</w:t>
      </w:r>
    </w:p>
    <w:p w:rsidR="000822A0" w:rsidRPr="000822A0" w:rsidRDefault="000822A0" w:rsidP="000822A0">
      <w:pPr>
        <w:spacing w:afterLines="60" w:after="144" w:line="360" w:lineRule="auto"/>
        <w:jc w:val="center"/>
      </w:pPr>
      <w:r w:rsidRPr="000822A0">
        <w:rPr>
          <w:noProof/>
          <w:lang w:eastAsia="cs-CZ"/>
        </w:rPr>
        <mc:AlternateContent>
          <mc:Choice Requires="wps">
            <w:drawing>
              <wp:anchor distT="0" distB="0" distL="114300" distR="114300" simplePos="0" relativeHeight="251725824" behindDoc="0" locked="0" layoutInCell="1" allowOverlap="1" wp14:anchorId="53E0F2CA" wp14:editId="77CEFF1A">
                <wp:simplePos x="0" y="0"/>
                <wp:positionH relativeFrom="column">
                  <wp:posOffset>2590882</wp:posOffset>
                </wp:positionH>
                <wp:positionV relativeFrom="paragraph">
                  <wp:posOffset>-49530</wp:posOffset>
                </wp:positionV>
                <wp:extent cx="660401" cy="4555518"/>
                <wp:effectExtent l="0" t="4445" r="20955" b="20955"/>
                <wp:wrapNone/>
                <wp:docPr id="75" name="Levá složená závorka 75"/>
                <wp:cNvGraphicFramePr/>
                <a:graphic xmlns:a="http://schemas.openxmlformats.org/drawingml/2006/main">
                  <a:graphicData uri="http://schemas.microsoft.com/office/word/2010/wordprocessingShape">
                    <wps:wsp>
                      <wps:cNvSpPr/>
                      <wps:spPr>
                        <a:xfrm rot="5400000">
                          <a:off x="0" y="0"/>
                          <a:ext cx="660401" cy="4555518"/>
                        </a:xfrm>
                        <a:prstGeom prst="leftBrace">
                          <a:avLst>
                            <a:gd name="adj1" fmla="val 215192"/>
                            <a:gd name="adj2" fmla="val 50000"/>
                          </a:avLst>
                        </a:prstGeom>
                        <a:noFill/>
                        <a:ln w="12700" cap="flat" cmpd="sng" algn="ctr">
                          <a:solidFill>
                            <a:srgbClr val="4F81BD">
                              <a:shade val="95000"/>
                              <a:satMod val="10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vá složená závorka 75" o:spid="_x0000_s1026" type="#_x0000_t87" style="position:absolute;margin-left:204pt;margin-top:-3.9pt;width:52pt;height:358.7pt;rotation:90;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" adj="6738" strokecolor="#4a7ebb" strokeweight="1pt"/>
            </w:pict>
          </mc:Fallback>
        </mc:AlternateContent>
      </w:r>
      <w:r w:rsidRPr="000822A0">
        <w:rPr>
          <w:noProof/>
          <w:lang w:eastAsia="cs-CZ"/>
        </w:rPr>
        <w:drawing>
          <wp:inline distT="0" distB="0" distL="0" distR="0" wp14:anchorId="5B1D92D6" wp14:editId="18970877">
            <wp:extent cx="4826442" cy="1900362"/>
            <wp:effectExtent l="0" t="0" r="0" b="0"/>
            <wp:docPr id="90" name="Graf 90"/>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0822A0" w:rsidRPr="000822A0" w:rsidRDefault="000822A0" w:rsidP="000822A0">
      <w:pPr>
        <w:spacing w:afterLines="60" w:after="144" w:line="360" w:lineRule="auto"/>
      </w:pPr>
    </w:p>
    <w:p w:rsidR="007578D2" w:rsidRDefault="000822A0" w:rsidP="000822A0">
      <w:pPr>
        <w:spacing w:afterLines="60" w:after="144" w:line="360" w:lineRule="auto"/>
        <w:jc w:val="center"/>
      </w:pPr>
      <w:r w:rsidRPr="000822A0">
        <w:rPr>
          <w:noProof/>
          <w:lang w:eastAsia="cs-CZ"/>
        </w:rPr>
        <mc:AlternateContent>
          <mc:Choice Requires="wps">
            <w:drawing>
              <wp:anchor distT="0" distB="0" distL="114300" distR="114300" simplePos="0" relativeHeight="251726848" behindDoc="0" locked="0" layoutInCell="1" allowOverlap="1" wp14:anchorId="752C8635" wp14:editId="48259C4F">
                <wp:simplePos x="0" y="0"/>
                <wp:positionH relativeFrom="column">
                  <wp:posOffset>3568506</wp:posOffset>
                </wp:positionH>
                <wp:positionV relativeFrom="paragraph">
                  <wp:posOffset>1506688</wp:posOffset>
                </wp:positionV>
                <wp:extent cx="696209" cy="3812458"/>
                <wp:effectExtent l="4127" t="0" r="13018" b="13017"/>
                <wp:wrapNone/>
                <wp:docPr id="76" name="Levá složená závorka 76"/>
                <wp:cNvGraphicFramePr/>
                <a:graphic xmlns:a="http://schemas.openxmlformats.org/drawingml/2006/main">
                  <a:graphicData uri="http://schemas.microsoft.com/office/word/2010/wordprocessingShape">
                    <wps:wsp>
                      <wps:cNvSpPr/>
                      <wps:spPr>
                        <a:xfrm rot="5400000">
                          <a:off x="0" y="0"/>
                          <a:ext cx="696209" cy="3812458"/>
                        </a:xfrm>
                        <a:prstGeom prst="leftBrace">
                          <a:avLst>
                            <a:gd name="adj1" fmla="val 225863"/>
                            <a:gd name="adj2" fmla="val 50000"/>
                          </a:avLst>
                        </a:prstGeom>
                        <a:noFill/>
                        <a:ln w="12700" cap="flat" cmpd="sng" algn="ctr">
                          <a:solidFill>
                            <a:srgbClr val="4F81BD">
                              <a:shade val="95000"/>
                              <a:satMod val="10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evá složená závorka 76" o:spid="_x0000_s1026" type="#_x0000_t87" style="position:absolute;margin-left:281pt;margin-top:118.65pt;width:54.8pt;height:300.2pt;rotation:90;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" adj="8909" strokecolor="#4a7ebb" strokeweight="1pt"/>
            </w:pict>
          </mc:Fallback>
        </mc:AlternateContent>
      </w:r>
      <w:r w:rsidRPr="000822A0">
        <w:rPr>
          <w:noProof/>
          <w:lang w:eastAsia="cs-CZ"/>
        </w:rPr>
        <w:drawing>
          <wp:inline distT="0" distB="0" distL="0" distR="0" wp14:anchorId="65EA62AE" wp14:editId="6BD8A133">
            <wp:extent cx="2011680" cy="1470992"/>
            <wp:effectExtent l="0" t="0" r="0" b="0"/>
            <wp:docPr id="91" name="Graf 91"/>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r w:rsidRPr="000822A0">
        <w:rPr>
          <w:noProof/>
          <w:lang w:eastAsia="cs-CZ"/>
        </w:rPr>
        <w:drawing>
          <wp:inline distT="0" distB="0" distL="0" distR="0" wp14:anchorId="70AD0242" wp14:editId="383C8AFF">
            <wp:extent cx="2075290" cy="1470992"/>
            <wp:effectExtent l="0" t="0" r="1270" b="0"/>
            <wp:docPr id="92" name="Graf 92"/>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0822A0" w:rsidRPr="000822A0" w:rsidRDefault="000822A0" w:rsidP="000822A0">
      <w:pPr>
        <w:spacing w:afterLines="60" w:after="144" w:line="360" w:lineRule="auto"/>
        <w:jc w:val="center"/>
      </w:pPr>
      <w:r w:rsidRPr="000822A0">
        <w:rPr>
          <w:noProof/>
          <w:lang w:eastAsia="cs-CZ"/>
        </w:rPr>
        <w:drawing>
          <wp:inline distT="0" distB="0" distL="0" distR="0" wp14:anchorId="05AD3D92" wp14:editId="621FB0DA">
            <wp:extent cx="1995778" cy="1510747"/>
            <wp:effectExtent l="0" t="0" r="5080" b="0"/>
            <wp:docPr id="93" name="Graf 93"/>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r w:rsidRPr="000822A0">
        <w:rPr>
          <w:noProof/>
          <w:lang w:eastAsia="cs-CZ"/>
        </w:rPr>
        <w:drawing>
          <wp:inline distT="0" distB="0" distL="0" distR="0" wp14:anchorId="74D0787A" wp14:editId="7CAAE5FD">
            <wp:extent cx="2051437" cy="1486893"/>
            <wp:effectExtent l="0" t="0" r="6350" b="0"/>
            <wp:docPr id="94" name="Graf 94"/>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0822A0" w:rsidRPr="000822A0" w:rsidRDefault="000822A0" w:rsidP="000822A0">
      <w:pPr>
        <w:spacing w:afterLines="60" w:after="144" w:line="360" w:lineRule="auto"/>
      </w:pPr>
    </w:p>
    <w:p w:rsidR="000822A0" w:rsidRPr="000822A0" w:rsidRDefault="000822A0" w:rsidP="000822A0">
      <w:pPr>
        <w:spacing w:afterLines="60" w:after="144" w:line="360" w:lineRule="auto"/>
        <w:jc w:val="right"/>
      </w:pPr>
      <w:r w:rsidRPr="000822A0">
        <w:rPr>
          <w:noProof/>
          <w:lang w:eastAsia="cs-CZ"/>
        </w:rPr>
        <w:drawing>
          <wp:inline distT="0" distB="0" distL="0" distR="0" wp14:anchorId="43461CE9" wp14:editId="73CFF62D">
            <wp:extent cx="1892411" cy="1097280"/>
            <wp:effectExtent l="0" t="0" r="0" b="7620"/>
            <wp:docPr id="95" name="Graf 95"/>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r w:rsidRPr="000822A0">
        <w:rPr>
          <w:noProof/>
          <w:lang w:eastAsia="cs-CZ"/>
        </w:rPr>
        <w:drawing>
          <wp:inline distT="0" distB="0" distL="0" distR="0" wp14:anchorId="0C240CE5" wp14:editId="5E0F59EC">
            <wp:extent cx="1956021" cy="1097280"/>
            <wp:effectExtent l="0" t="0" r="6350" b="7620"/>
            <wp:docPr id="356" name="Graf 356"/>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0822A0" w:rsidRPr="000822A0" w:rsidRDefault="000822A0" w:rsidP="000C142B">
      <w:pPr>
        <w:pStyle w:val="Zdroj"/>
      </w:pPr>
      <w:r w:rsidRPr="000822A0">
        <w:t>Zdroj</w:t>
      </w:r>
      <w:r w:rsidR="000C142B">
        <w:t xml:space="preserve"> dat</w:t>
      </w:r>
      <w:r w:rsidRPr="000822A0">
        <w:t xml:space="preserve">: DG </w:t>
      </w:r>
      <w:proofErr w:type="spellStart"/>
      <w:r w:rsidRPr="000822A0">
        <w:t>Research</w:t>
      </w:r>
      <w:proofErr w:type="spellEnd"/>
      <w:r w:rsidRPr="000822A0">
        <w:t xml:space="preserve"> and </w:t>
      </w:r>
      <w:proofErr w:type="spellStart"/>
      <w:r w:rsidRPr="000822A0">
        <w:t>Innovation</w:t>
      </w:r>
      <w:proofErr w:type="spellEnd"/>
      <w:r w:rsidRPr="000822A0">
        <w:t xml:space="preserve"> – Unit </w:t>
      </w:r>
      <w:proofErr w:type="spellStart"/>
      <w:r w:rsidRPr="000822A0">
        <w:t>for</w:t>
      </w:r>
      <w:proofErr w:type="spellEnd"/>
      <w:r w:rsidRPr="000822A0">
        <w:t xml:space="preserve"> </w:t>
      </w:r>
      <w:proofErr w:type="spellStart"/>
      <w:r w:rsidRPr="000822A0">
        <w:t>the</w:t>
      </w:r>
      <w:proofErr w:type="spellEnd"/>
      <w:r w:rsidRPr="000822A0">
        <w:t xml:space="preserve"> </w:t>
      </w:r>
      <w:proofErr w:type="spellStart"/>
      <w:r w:rsidRPr="000822A0">
        <w:t>Analysis</w:t>
      </w:r>
      <w:proofErr w:type="spellEnd"/>
      <w:r w:rsidRPr="000822A0">
        <w:t xml:space="preserve"> and Monitoring </w:t>
      </w:r>
      <w:proofErr w:type="spellStart"/>
      <w:r w:rsidRPr="000822A0">
        <w:t>of</w:t>
      </w:r>
      <w:proofErr w:type="spellEnd"/>
      <w:r w:rsidRPr="000822A0">
        <w:t xml:space="preserve"> </w:t>
      </w:r>
      <w:proofErr w:type="spellStart"/>
      <w:r w:rsidRPr="000822A0">
        <w:t>National</w:t>
      </w:r>
      <w:proofErr w:type="spellEnd"/>
      <w:r w:rsidRPr="000822A0">
        <w:t xml:space="preserve"> </w:t>
      </w:r>
      <w:proofErr w:type="spellStart"/>
      <w:r w:rsidRPr="000822A0">
        <w:t>Research</w:t>
      </w:r>
      <w:proofErr w:type="spellEnd"/>
      <w:r w:rsidRPr="000822A0">
        <w:t xml:space="preserve"> </w:t>
      </w:r>
      <w:proofErr w:type="spellStart"/>
      <w:r w:rsidRPr="000822A0">
        <w:t>Policies</w:t>
      </w:r>
      <w:proofErr w:type="spellEnd"/>
    </w:p>
    <w:p w:rsidR="000822A0" w:rsidRPr="000822A0" w:rsidRDefault="000822A0" w:rsidP="000C142B">
      <w:pPr>
        <w:pStyle w:val="komentzaobrzkem"/>
      </w:pPr>
      <w:r w:rsidRPr="000822A0">
        <w:t>PCT = Počet PCT patentových přihlášek na miliardu HDP v PPS</w:t>
      </w:r>
    </w:p>
    <w:p w:rsidR="000822A0" w:rsidRPr="000822A0" w:rsidRDefault="000822A0" w:rsidP="000C142B">
      <w:pPr>
        <w:pStyle w:val="komentzaobrzkem"/>
      </w:pPr>
      <w:r w:rsidRPr="000822A0">
        <w:t>KIA = Zaměstnanost ve znalostně intenzivních odvětvích měřenou jako % z celkové zaměstnanosti</w:t>
      </w:r>
    </w:p>
    <w:p w:rsidR="000822A0" w:rsidRPr="000822A0" w:rsidRDefault="000822A0" w:rsidP="000C142B">
      <w:pPr>
        <w:pStyle w:val="komentzaobrzkem"/>
      </w:pPr>
      <w:r w:rsidRPr="000822A0">
        <w:t>DYN = Inovativnost rychle rostoucích podniků měřená jako vážený průměr zaměstnanosti</w:t>
      </w:r>
    </w:p>
    <w:p w:rsidR="000822A0" w:rsidRPr="000822A0" w:rsidRDefault="000822A0" w:rsidP="000C142B">
      <w:pPr>
        <w:pStyle w:val="komentzaobrzkem"/>
      </w:pPr>
      <w:r w:rsidRPr="000822A0">
        <w:t>COMP = Kombinace dílčích ukazatelů zboží a služeb s použitím stejné váhy</w:t>
      </w:r>
    </w:p>
    <w:p w:rsidR="000822A0" w:rsidRPr="000822A0" w:rsidRDefault="000822A0" w:rsidP="000C142B">
      <w:pPr>
        <w:pStyle w:val="komentzaobrzkem"/>
      </w:pPr>
      <w:r w:rsidRPr="000822A0">
        <w:t xml:space="preserve">GOOD = Vývoz </w:t>
      </w:r>
      <w:proofErr w:type="spellStart"/>
      <w:r w:rsidRPr="000822A0">
        <w:t>High-tech</w:t>
      </w:r>
      <w:proofErr w:type="spellEnd"/>
      <w:r w:rsidRPr="000822A0">
        <w:t xml:space="preserve"> a Medium-</w:t>
      </w:r>
      <w:proofErr w:type="spellStart"/>
      <w:r w:rsidRPr="000822A0">
        <w:t>high</w:t>
      </w:r>
      <w:proofErr w:type="spellEnd"/>
      <w:r w:rsidRPr="000822A0">
        <w:t>-</w:t>
      </w:r>
      <w:proofErr w:type="spellStart"/>
      <w:r w:rsidRPr="000822A0">
        <w:t>tech</w:t>
      </w:r>
      <w:proofErr w:type="spellEnd"/>
      <w:r w:rsidRPr="000822A0">
        <w:t xml:space="preserve"> zboží jako% z celkového vývozu zboží</w:t>
      </w:r>
    </w:p>
    <w:p w:rsidR="00C41DE7" w:rsidRDefault="000822A0" w:rsidP="00613032">
      <w:pPr>
        <w:pStyle w:val="komentzaobrzkem"/>
      </w:pPr>
      <w:r w:rsidRPr="000822A0">
        <w:t>SERV = Vývoz znalostně intenzivních služeb jako% z celkového vývozu služeb</w:t>
      </w:r>
      <w:r w:rsidR="00C41DE7">
        <w:br w:type="page"/>
      </w:r>
    </w:p>
    <w:p w:rsidR="00C41DE7" w:rsidRPr="00C41DE7" w:rsidRDefault="000C142B" w:rsidP="00956D00">
      <w:pPr>
        <w:pStyle w:val="Nadpis2"/>
      </w:pPr>
      <w:bookmarkStart w:id="18" w:name="_Toc427676907"/>
      <w:r>
        <w:lastRenderedPageBreak/>
        <w:t xml:space="preserve">8. </w:t>
      </w:r>
      <w:r w:rsidR="00C41DE7" w:rsidRPr="00FD7117">
        <w:t>Odvětví národního hospodářství</w:t>
      </w:r>
      <w:r w:rsidR="00C41DE7" w:rsidRPr="00C41DE7">
        <w:t xml:space="preserve"> ve vazbě na VaVaI</w:t>
      </w:r>
      <w:bookmarkEnd w:id="18"/>
    </w:p>
    <w:p w:rsidR="00C41DE7" w:rsidRPr="008E7BFB" w:rsidRDefault="00C41DE7" w:rsidP="00D72475">
      <w:pPr>
        <w:spacing w:after="0" w:line="360" w:lineRule="auto"/>
        <w:ind w:firstLine="709"/>
        <w:jc w:val="both"/>
        <w:rPr>
          <w:rFonts w:ascii="Arial" w:eastAsia="Times New Roman" w:hAnsi="Arial" w:cs="Arial"/>
          <w:lang w:eastAsia="cs-CZ"/>
        </w:rPr>
      </w:pPr>
      <w:r w:rsidRPr="008E7BFB">
        <w:rPr>
          <w:rFonts w:ascii="Arial" w:eastAsia="Times New Roman" w:hAnsi="Arial" w:cs="Arial"/>
          <w:lang w:eastAsia="cs-CZ"/>
        </w:rPr>
        <w:t>Cílem vynaložených výdajů na VaVaI by měl být viditelný ekonomický a celospolečenský efekt. Ekonomiku ČR pohání podniky, které vyrábějí produkty s vysokou přidanou hodnotou a</w:t>
      </w:r>
      <w:r w:rsidR="008F7EB9">
        <w:rPr>
          <w:rFonts w:ascii="Arial" w:eastAsia="Times New Roman" w:hAnsi="Arial" w:cs="Arial"/>
          <w:lang w:eastAsia="cs-CZ"/>
        </w:rPr>
        <w:t> </w:t>
      </w:r>
      <w:r w:rsidRPr="008E7BFB">
        <w:rPr>
          <w:rFonts w:ascii="Arial" w:eastAsia="Times New Roman" w:hAnsi="Arial" w:cs="Arial"/>
          <w:lang w:eastAsia="cs-CZ"/>
        </w:rPr>
        <w:t>v</w:t>
      </w:r>
      <w:r w:rsidR="008F7EB9">
        <w:rPr>
          <w:rFonts w:ascii="Arial" w:eastAsia="Times New Roman" w:hAnsi="Arial" w:cs="Arial"/>
          <w:lang w:eastAsia="cs-CZ"/>
        </w:rPr>
        <w:t> </w:t>
      </w:r>
      <w:r w:rsidRPr="008E7BFB">
        <w:rPr>
          <w:rFonts w:ascii="Arial" w:eastAsia="Times New Roman" w:hAnsi="Arial" w:cs="Arial"/>
          <w:lang w:eastAsia="cs-CZ"/>
        </w:rPr>
        <w:t>této souvislosti investují velký objem finančních prostředků do vlastního výzkumu, vývoje a</w:t>
      </w:r>
      <w:r w:rsidR="008F7EB9">
        <w:rPr>
          <w:rFonts w:ascii="Arial" w:eastAsia="Times New Roman" w:hAnsi="Arial" w:cs="Arial"/>
          <w:lang w:eastAsia="cs-CZ"/>
        </w:rPr>
        <w:t> </w:t>
      </w:r>
      <w:r w:rsidRPr="008E7BFB">
        <w:rPr>
          <w:rFonts w:ascii="Arial" w:eastAsia="Times New Roman" w:hAnsi="Arial" w:cs="Arial"/>
          <w:lang w:eastAsia="cs-CZ"/>
        </w:rPr>
        <w:t>inovací. Jedním z nástrojů, který by měl přispět k efektivnímu řízení oblasti VaV</w:t>
      </w:r>
      <w:r w:rsidR="00321772">
        <w:rPr>
          <w:rFonts w:ascii="Arial" w:eastAsia="Times New Roman" w:hAnsi="Arial" w:cs="Arial"/>
          <w:lang w:eastAsia="cs-CZ"/>
        </w:rPr>
        <w:t>aI</w:t>
      </w:r>
      <w:r w:rsidRPr="008E7BFB">
        <w:rPr>
          <w:rFonts w:ascii="Arial" w:eastAsia="Times New Roman" w:hAnsi="Arial" w:cs="Arial"/>
          <w:lang w:eastAsia="cs-CZ"/>
        </w:rPr>
        <w:t xml:space="preserve"> na národní a</w:t>
      </w:r>
      <w:r w:rsidR="008F7EB9">
        <w:rPr>
          <w:rFonts w:ascii="Arial" w:eastAsia="Times New Roman" w:hAnsi="Arial" w:cs="Arial"/>
          <w:lang w:eastAsia="cs-CZ"/>
        </w:rPr>
        <w:t> </w:t>
      </w:r>
      <w:r w:rsidRPr="008E7BFB">
        <w:rPr>
          <w:rFonts w:ascii="Arial" w:eastAsia="Times New Roman" w:hAnsi="Arial" w:cs="Arial"/>
          <w:lang w:eastAsia="cs-CZ"/>
        </w:rPr>
        <w:t>regionální úrovni by měla být RIS 3 Strategie, jež má za cíl účelné zaměření finančních prostředků (evropských, národních a soukromých) na aktivity vedoucí k posílení inovační kapacity a do prioritně vytyčených perspektivních oblastí. Významná odvětví národního hospodářství představují prostředí, ve kterých se vědecké poznatky jejich využitím zhodnocují v ekonomické a</w:t>
      </w:r>
      <w:r w:rsidR="008F7EB9">
        <w:rPr>
          <w:rFonts w:ascii="Arial" w:eastAsia="Times New Roman" w:hAnsi="Arial" w:cs="Arial"/>
          <w:lang w:eastAsia="cs-CZ"/>
        </w:rPr>
        <w:t> </w:t>
      </w:r>
      <w:r w:rsidRPr="008E7BFB">
        <w:rPr>
          <w:rFonts w:ascii="Arial" w:eastAsia="Times New Roman" w:hAnsi="Arial" w:cs="Arial"/>
          <w:lang w:eastAsia="cs-CZ"/>
        </w:rPr>
        <w:t>celospolečenské přínosy. Odvětví s vysokými výdaji na VaVaI mají potenciál k využití těchto prostředků pro smysluplný a efektivní výzkum a vývoj ve spolupráci s veřejnými výzkumnými subjekty (vysoké školy, veřejné výzkumné instituce) za využití moderních infrastruktur, k jejichž vybudování přispěly prostředky ESIF.</w:t>
      </w:r>
    </w:p>
    <w:p w:rsidR="00C41DE7" w:rsidRPr="008E7BFB" w:rsidRDefault="00C41DE7" w:rsidP="00D72475">
      <w:pPr>
        <w:spacing w:after="0" w:line="360" w:lineRule="auto"/>
        <w:ind w:firstLine="709"/>
        <w:jc w:val="both"/>
        <w:rPr>
          <w:rFonts w:ascii="Arial" w:eastAsia="Times New Roman" w:hAnsi="Arial" w:cs="Arial"/>
          <w:lang w:eastAsia="cs-CZ"/>
        </w:rPr>
      </w:pPr>
      <w:r w:rsidRPr="008E7BFB">
        <w:rPr>
          <w:rFonts w:ascii="Arial" w:eastAsia="Times New Roman" w:hAnsi="Arial" w:cs="Arial"/>
          <w:lang w:eastAsia="cs-CZ"/>
        </w:rPr>
        <w:t>V následujícím popisu národního hospodářství byla využita agregovaná data, která poskytuje ČSÚ, konkrétně</w:t>
      </w:r>
      <w:r w:rsidR="008D1D76">
        <w:rPr>
          <w:rFonts w:ascii="Arial" w:eastAsia="Times New Roman" w:hAnsi="Arial" w:cs="Arial"/>
          <w:lang w:eastAsia="cs-CZ"/>
        </w:rPr>
        <w:t xml:space="preserve"> byla použita</w:t>
      </w:r>
      <w:r w:rsidRPr="008E7BFB">
        <w:rPr>
          <w:rFonts w:ascii="Arial" w:eastAsia="Times New Roman" w:hAnsi="Arial" w:cs="Arial"/>
          <w:lang w:eastAsia="cs-CZ"/>
        </w:rPr>
        <w:t xml:space="preserve"> </w:t>
      </w:r>
      <w:r w:rsidR="008D1D76">
        <w:rPr>
          <w:rFonts w:ascii="Arial" w:eastAsia="Times New Roman" w:hAnsi="Arial" w:cs="Arial"/>
          <w:lang w:eastAsia="cs-CZ"/>
        </w:rPr>
        <w:t>data z šetření Roční výkaz o výzkumu a vývoji</w:t>
      </w:r>
      <w:r w:rsidRPr="008E7BFB">
        <w:rPr>
          <w:rFonts w:ascii="Arial" w:eastAsia="Times New Roman" w:hAnsi="Arial" w:cs="Arial"/>
          <w:lang w:eastAsia="cs-CZ"/>
        </w:rPr>
        <w:t xml:space="preserve"> v kombinaci s Ročními národními účty</w:t>
      </w:r>
      <w:r w:rsidRPr="008E7BFB">
        <w:rPr>
          <w:rFonts w:ascii="Arial" w:eastAsia="Times New Roman" w:hAnsi="Arial" w:cs="Arial"/>
          <w:vertAlign w:val="superscript"/>
          <w:lang w:eastAsia="cs-CZ"/>
        </w:rPr>
        <w:footnoteReference w:id="26"/>
      </w:r>
      <w:r w:rsidR="00551F63">
        <w:rPr>
          <w:rFonts w:ascii="Arial" w:eastAsia="Times New Roman" w:hAnsi="Arial" w:cs="Arial"/>
          <w:lang w:eastAsia="cs-CZ"/>
        </w:rPr>
        <w:t>. Obr</w:t>
      </w:r>
      <w:r w:rsidR="00D36A6E">
        <w:rPr>
          <w:rFonts w:ascii="Arial" w:eastAsia="Times New Roman" w:hAnsi="Arial" w:cs="Arial"/>
          <w:lang w:eastAsia="cs-CZ"/>
        </w:rPr>
        <w:t>ázek</w:t>
      </w:r>
      <w:r w:rsidR="00551F63">
        <w:rPr>
          <w:rFonts w:ascii="Arial" w:eastAsia="Times New Roman" w:hAnsi="Arial" w:cs="Arial"/>
          <w:lang w:eastAsia="cs-CZ"/>
        </w:rPr>
        <w:t xml:space="preserve"> 8.1</w:t>
      </w:r>
      <w:r w:rsidRPr="008E7BFB">
        <w:rPr>
          <w:rFonts w:ascii="Arial" w:eastAsia="Times New Roman" w:hAnsi="Arial" w:cs="Arial"/>
          <w:lang w:eastAsia="cs-CZ"/>
        </w:rPr>
        <w:t xml:space="preserve"> popisuje strukturu národního hospodářství podle Klasifikace</w:t>
      </w:r>
      <w:r w:rsidR="00ED40E3">
        <w:rPr>
          <w:rFonts w:ascii="Arial" w:eastAsia="Times New Roman" w:hAnsi="Arial" w:cs="Arial"/>
          <w:lang w:eastAsia="cs-CZ"/>
        </w:rPr>
        <w:t xml:space="preserve"> ekonomických činností</w:t>
      </w:r>
      <w:r w:rsidRPr="008E7BFB">
        <w:rPr>
          <w:rFonts w:ascii="Arial" w:eastAsia="Times New Roman" w:hAnsi="Arial" w:cs="Arial"/>
          <w:lang w:eastAsia="cs-CZ"/>
        </w:rPr>
        <w:t xml:space="preserve">, konkrétně podle hlavní ekonomické činnosti subjektů, ve snaze identifikovat </w:t>
      </w:r>
      <w:r w:rsidRPr="00FD7117">
        <w:rPr>
          <w:rFonts w:ascii="Arial" w:eastAsia="Times New Roman" w:hAnsi="Arial" w:cs="Arial"/>
          <w:lang w:eastAsia="cs-CZ"/>
        </w:rPr>
        <w:t>významná odvětví české ekonomiky jak</w:t>
      </w:r>
      <w:r w:rsidRPr="008E7BFB">
        <w:rPr>
          <w:rFonts w:ascii="Arial" w:eastAsia="Times New Roman" w:hAnsi="Arial" w:cs="Arial"/>
          <w:lang w:eastAsia="cs-CZ"/>
        </w:rPr>
        <w:t xml:space="preserve"> z hlediska podílu na hrubé přidané hodnotě, tak z pohledu provádění VaVaI měřeného vynaložen</w:t>
      </w:r>
      <w:r w:rsidR="00ED40E3">
        <w:rPr>
          <w:rFonts w:ascii="Arial" w:eastAsia="Times New Roman" w:hAnsi="Arial" w:cs="Arial"/>
          <w:lang w:eastAsia="cs-CZ"/>
        </w:rPr>
        <w:t>ými finančními prostředky</w:t>
      </w:r>
      <w:r w:rsidRPr="008E7BFB">
        <w:rPr>
          <w:rFonts w:ascii="Arial" w:eastAsia="Times New Roman" w:hAnsi="Arial" w:cs="Arial"/>
          <w:lang w:eastAsia="cs-CZ"/>
        </w:rPr>
        <w:t>.</w:t>
      </w:r>
    </w:p>
    <w:p w:rsidR="00C41DE7" w:rsidRPr="008E7BFB" w:rsidRDefault="004D56D7" w:rsidP="00D72475">
      <w:pPr>
        <w:spacing w:after="0" w:line="360" w:lineRule="auto"/>
        <w:ind w:firstLine="709"/>
        <w:jc w:val="both"/>
        <w:rPr>
          <w:rFonts w:ascii="Arial" w:eastAsia="Times New Roman" w:hAnsi="Arial" w:cs="Arial"/>
          <w:lang w:eastAsia="cs-CZ"/>
        </w:rPr>
      </w:pPr>
      <w:r>
        <w:rPr>
          <w:rFonts w:ascii="Arial" w:eastAsia="Times New Roman" w:hAnsi="Arial" w:cs="Arial"/>
          <w:lang w:eastAsia="cs-CZ"/>
        </w:rPr>
        <w:t>Obr</w:t>
      </w:r>
      <w:r w:rsidR="00D36A6E">
        <w:rPr>
          <w:rFonts w:ascii="Arial" w:eastAsia="Times New Roman" w:hAnsi="Arial" w:cs="Arial"/>
          <w:lang w:eastAsia="cs-CZ"/>
        </w:rPr>
        <w:t>ázek</w:t>
      </w:r>
      <w:r>
        <w:rPr>
          <w:rFonts w:ascii="Arial" w:eastAsia="Times New Roman" w:hAnsi="Arial" w:cs="Arial"/>
          <w:lang w:eastAsia="cs-CZ"/>
        </w:rPr>
        <w:t xml:space="preserve"> 8.1</w:t>
      </w:r>
      <w:r w:rsidR="00C41DE7" w:rsidRPr="008E7BFB">
        <w:rPr>
          <w:rFonts w:ascii="Arial" w:eastAsia="Times New Roman" w:hAnsi="Arial" w:cs="Arial"/>
          <w:lang w:eastAsia="cs-CZ"/>
        </w:rPr>
        <w:t xml:space="preserve"> zaznamenává stav v roce 2013 a průměrné změny v letech 2007 – 2013. Na</w:t>
      </w:r>
      <w:r w:rsidR="006F678C">
        <w:rPr>
          <w:rFonts w:ascii="Arial" w:eastAsia="Times New Roman" w:hAnsi="Arial" w:cs="Arial"/>
          <w:lang w:eastAsia="cs-CZ"/>
        </w:rPr>
        <w:t> </w:t>
      </w:r>
      <w:r w:rsidR="00C41DE7" w:rsidRPr="008E7BFB">
        <w:rPr>
          <w:rFonts w:ascii="Arial" w:eastAsia="Times New Roman" w:hAnsi="Arial" w:cs="Arial"/>
          <w:lang w:eastAsia="cs-CZ"/>
        </w:rPr>
        <w:t xml:space="preserve">základě výdajů na </w:t>
      </w:r>
      <w:proofErr w:type="spellStart"/>
      <w:r w:rsidR="00C41DE7" w:rsidRPr="008E7BFB">
        <w:rPr>
          <w:rFonts w:ascii="Arial" w:eastAsia="Times New Roman" w:hAnsi="Arial" w:cs="Arial"/>
          <w:lang w:eastAsia="cs-CZ"/>
        </w:rPr>
        <w:t>VaV</w:t>
      </w:r>
      <w:proofErr w:type="spellEnd"/>
      <w:r w:rsidR="00C41DE7" w:rsidRPr="008E7BFB">
        <w:rPr>
          <w:rFonts w:ascii="Arial" w:eastAsia="Times New Roman" w:hAnsi="Arial" w:cs="Arial"/>
          <w:lang w:eastAsia="cs-CZ"/>
        </w:rPr>
        <w:t xml:space="preserve"> v podnikatelském </w:t>
      </w:r>
      <w:r w:rsidR="00ED40E3">
        <w:rPr>
          <w:rFonts w:ascii="Arial" w:eastAsia="Times New Roman" w:hAnsi="Arial" w:cs="Arial"/>
          <w:lang w:eastAsia="cs-CZ"/>
        </w:rPr>
        <w:t>sektoru</w:t>
      </w:r>
      <w:r w:rsidR="00C41DE7" w:rsidRPr="008E7BFB">
        <w:rPr>
          <w:rFonts w:ascii="Arial" w:eastAsia="Times New Roman" w:hAnsi="Arial" w:cs="Arial"/>
          <w:lang w:eastAsia="cs-CZ"/>
        </w:rPr>
        <w:t xml:space="preserve"> jsou z něj patrné dvě dobře segregované skupiny odvětví. Skupina I. obsahuje ta odvětví, která ve výdajích na VaVaI přesáhla hodnotu 1 500 mil. Kč. Zároveň se jedná převážně o odvětví relativně významná pro národní hospodářství z hlediska příspěvku na </w:t>
      </w:r>
      <w:r w:rsidR="00C41DE7" w:rsidRPr="00D5450B">
        <w:rPr>
          <w:rFonts w:ascii="Arial" w:eastAsia="Times New Roman" w:hAnsi="Arial" w:cs="Arial"/>
          <w:lang w:eastAsia="cs-CZ"/>
        </w:rPr>
        <w:t>HPH.</w:t>
      </w:r>
      <w:r w:rsidR="00C41DE7" w:rsidRPr="008E7BFB">
        <w:rPr>
          <w:rFonts w:ascii="Arial" w:eastAsia="Times New Roman" w:hAnsi="Arial" w:cs="Arial"/>
          <w:lang w:eastAsia="cs-CZ"/>
        </w:rPr>
        <w:t xml:space="preserve"> Nejvyšší objem vynaložených prostředků vykázala </w:t>
      </w:r>
      <w:r w:rsidR="00C41DE7" w:rsidRPr="000F625B">
        <w:rPr>
          <w:rFonts w:ascii="Arial" w:eastAsia="Times New Roman" w:hAnsi="Arial" w:cs="Arial"/>
          <w:lang w:eastAsia="cs-CZ"/>
        </w:rPr>
        <w:t>odvětví Profesní, vědecké a</w:t>
      </w:r>
      <w:r w:rsidR="008F7EB9">
        <w:rPr>
          <w:rFonts w:ascii="Arial" w:eastAsia="Times New Roman" w:hAnsi="Arial" w:cs="Arial"/>
          <w:lang w:eastAsia="cs-CZ"/>
        </w:rPr>
        <w:t> </w:t>
      </w:r>
      <w:r w:rsidR="00C41DE7" w:rsidRPr="000F625B">
        <w:rPr>
          <w:rFonts w:ascii="Arial" w:eastAsia="Times New Roman" w:hAnsi="Arial" w:cs="Arial"/>
          <w:lang w:eastAsia="cs-CZ"/>
        </w:rPr>
        <w:t>technické činnosti, kam patří odvětví Architektonické a inženýrské činnosti; technické zkoušky a</w:t>
      </w:r>
      <w:r w:rsidR="008F7EB9">
        <w:rPr>
          <w:rFonts w:ascii="Arial" w:eastAsia="Times New Roman" w:hAnsi="Arial" w:cs="Arial"/>
          <w:lang w:eastAsia="cs-CZ"/>
        </w:rPr>
        <w:t> </w:t>
      </w:r>
      <w:r w:rsidR="00C41DE7" w:rsidRPr="000F625B">
        <w:rPr>
          <w:rFonts w:ascii="Arial" w:eastAsia="Times New Roman" w:hAnsi="Arial" w:cs="Arial"/>
          <w:lang w:eastAsia="cs-CZ"/>
        </w:rPr>
        <w:t>analýzy, a především odvětví Výzkum a vývoj; tj. subjekty, u nichž převažuje činnost ve</w:t>
      </w:r>
      <w:r w:rsidR="006F678C">
        <w:rPr>
          <w:rFonts w:ascii="Arial" w:eastAsia="Times New Roman" w:hAnsi="Arial" w:cs="Arial"/>
          <w:lang w:eastAsia="cs-CZ"/>
        </w:rPr>
        <w:t> </w:t>
      </w:r>
      <w:r w:rsidR="00C41DE7" w:rsidRPr="000F625B">
        <w:rPr>
          <w:rFonts w:ascii="Arial" w:eastAsia="Times New Roman" w:hAnsi="Arial" w:cs="Arial"/>
          <w:lang w:eastAsia="cs-CZ"/>
        </w:rPr>
        <w:t>výzkumu a vývoji bez ohledu na jejich zaměření.</w:t>
      </w:r>
      <w:r w:rsidR="00C41DE7" w:rsidRPr="008E7BFB">
        <w:rPr>
          <w:rFonts w:ascii="Arial" w:eastAsia="Times New Roman" w:hAnsi="Arial" w:cs="Arial"/>
          <w:lang w:eastAsia="cs-CZ"/>
        </w:rPr>
        <w:t xml:space="preserve"> Do tohoto odvětví jsou významným způsobem vynakládány prostředky ze státního rozpočtu určené na VaVaI (v roce 2013 1,7 mld. Kč), pr</w:t>
      </w:r>
      <w:r w:rsidR="00551F63">
        <w:rPr>
          <w:rFonts w:ascii="Arial" w:eastAsia="Times New Roman" w:hAnsi="Arial" w:cs="Arial"/>
          <w:lang w:eastAsia="cs-CZ"/>
        </w:rPr>
        <w:t>oto je uvedená skupina v obr</w:t>
      </w:r>
      <w:r w:rsidR="00D36A6E">
        <w:rPr>
          <w:rFonts w:ascii="Arial" w:eastAsia="Times New Roman" w:hAnsi="Arial" w:cs="Arial"/>
          <w:lang w:eastAsia="cs-CZ"/>
        </w:rPr>
        <w:t>ázku</w:t>
      </w:r>
      <w:r w:rsidR="00551F63">
        <w:rPr>
          <w:rFonts w:ascii="Arial" w:eastAsia="Times New Roman" w:hAnsi="Arial" w:cs="Arial"/>
          <w:lang w:eastAsia="cs-CZ"/>
        </w:rPr>
        <w:t xml:space="preserve"> 8.1</w:t>
      </w:r>
      <w:r w:rsidR="00C41DE7" w:rsidRPr="008E7BFB">
        <w:rPr>
          <w:rFonts w:ascii="Arial" w:eastAsia="Times New Roman" w:hAnsi="Arial" w:cs="Arial"/>
          <w:lang w:eastAsia="cs-CZ"/>
        </w:rPr>
        <w:t xml:space="preserve"> na horizontální ose nejvíce vpravo. Z průmyslových odvětví náleží ke</w:t>
      </w:r>
      <w:r w:rsidR="008F7EB9">
        <w:rPr>
          <w:rFonts w:ascii="Arial" w:eastAsia="Times New Roman" w:hAnsi="Arial" w:cs="Arial"/>
          <w:lang w:eastAsia="cs-CZ"/>
        </w:rPr>
        <w:t> </w:t>
      </w:r>
      <w:r w:rsidR="00C41DE7" w:rsidRPr="008E7BFB">
        <w:rPr>
          <w:rFonts w:ascii="Arial" w:eastAsia="Times New Roman" w:hAnsi="Arial" w:cs="Arial"/>
          <w:lang w:eastAsia="cs-CZ"/>
        </w:rPr>
        <w:t>skupině I. Výroba motorových vozidel (kromě motocyklů), přívěsů a návěsů, Výroba strojů a</w:t>
      </w:r>
      <w:r w:rsidR="008F7EB9">
        <w:rPr>
          <w:rFonts w:ascii="Arial" w:eastAsia="Times New Roman" w:hAnsi="Arial" w:cs="Arial"/>
          <w:lang w:eastAsia="cs-CZ"/>
        </w:rPr>
        <w:t> </w:t>
      </w:r>
      <w:r w:rsidR="00C41DE7" w:rsidRPr="008E7BFB">
        <w:rPr>
          <w:rFonts w:ascii="Arial" w:eastAsia="Times New Roman" w:hAnsi="Arial" w:cs="Arial"/>
          <w:lang w:eastAsia="cs-CZ"/>
        </w:rPr>
        <w:t>zařízení, Činnosti v oblasti informačních technologií, Výroba elektrických zařízení a Opravy a</w:t>
      </w:r>
      <w:r w:rsidR="008F7EB9">
        <w:rPr>
          <w:rFonts w:ascii="Arial" w:eastAsia="Times New Roman" w:hAnsi="Arial" w:cs="Arial"/>
          <w:lang w:eastAsia="cs-CZ"/>
        </w:rPr>
        <w:t> </w:t>
      </w:r>
      <w:r w:rsidR="00C41DE7" w:rsidRPr="008E7BFB">
        <w:rPr>
          <w:rFonts w:ascii="Arial" w:eastAsia="Times New Roman" w:hAnsi="Arial" w:cs="Arial"/>
          <w:lang w:eastAsia="cs-CZ"/>
        </w:rPr>
        <w:t xml:space="preserve">instalace strojů a zařízení, která zároveň vykazují rostoucí trend výdajů na </w:t>
      </w:r>
      <w:proofErr w:type="spellStart"/>
      <w:r w:rsidR="00C41DE7" w:rsidRPr="008E7BFB">
        <w:rPr>
          <w:rFonts w:ascii="Arial" w:eastAsia="Times New Roman" w:hAnsi="Arial" w:cs="Arial"/>
          <w:lang w:eastAsia="cs-CZ"/>
        </w:rPr>
        <w:t>VaV</w:t>
      </w:r>
      <w:proofErr w:type="spellEnd"/>
      <w:r w:rsidR="00C41DE7" w:rsidRPr="008E7BFB">
        <w:rPr>
          <w:rFonts w:ascii="Arial" w:eastAsia="Times New Roman" w:hAnsi="Arial" w:cs="Arial"/>
          <w:lang w:eastAsia="cs-CZ"/>
        </w:rPr>
        <w:t xml:space="preserve"> a rostoucí podíl na HPH. Do skupiny I. lze zařadit rovněž odvětví Výroba počítačů, elektronických a optických </w:t>
      </w:r>
      <w:r w:rsidR="00C41DE7" w:rsidRPr="008E7BFB">
        <w:rPr>
          <w:rFonts w:ascii="Arial" w:eastAsia="Times New Roman" w:hAnsi="Arial" w:cs="Arial"/>
          <w:lang w:eastAsia="cs-CZ"/>
        </w:rPr>
        <w:lastRenderedPageBreak/>
        <w:t>přístrojů a zařízení. Podíl výdajů na VaVaI zde sice meziročně klesá, avšak podíl na HPH meziročně roste.</w:t>
      </w:r>
    </w:p>
    <w:p w:rsidR="00C41DE7" w:rsidRPr="008E7BFB" w:rsidRDefault="00C41DE7" w:rsidP="000C142B">
      <w:pPr>
        <w:spacing w:after="0" w:line="360" w:lineRule="auto"/>
        <w:ind w:firstLine="708"/>
        <w:jc w:val="both"/>
        <w:rPr>
          <w:rFonts w:ascii="Arial" w:eastAsia="Times New Roman" w:hAnsi="Arial" w:cs="Arial"/>
          <w:lang w:eastAsia="cs-CZ"/>
        </w:rPr>
      </w:pPr>
      <w:r w:rsidRPr="008E7BFB">
        <w:rPr>
          <w:rFonts w:ascii="Arial" w:eastAsia="Times New Roman" w:hAnsi="Arial" w:cs="Arial"/>
          <w:lang w:eastAsia="cs-CZ"/>
        </w:rPr>
        <w:t>Do skupiny II., která vykazuje výdaje na VaVaI nižší než 1 300 mil. Kč za odvětví, patří z významných průmyslových odvětví Výroba kovových konstrukcí a kovodělných výrobků, Výroba pryžových a plastových výrobků a Výroba a rozvod elektřiny, plynu, tepla a klimatizovaného vzduchu. Z méně významných průmyslových odvětví z hlediska celkového objemu výdajů na</w:t>
      </w:r>
      <w:r w:rsidR="008F7EB9">
        <w:rPr>
          <w:rFonts w:ascii="Arial" w:eastAsia="Times New Roman" w:hAnsi="Arial" w:cs="Arial"/>
          <w:lang w:eastAsia="cs-CZ"/>
        </w:rPr>
        <w:t> </w:t>
      </w:r>
      <w:r w:rsidRPr="008E7BFB">
        <w:rPr>
          <w:rFonts w:ascii="Arial" w:eastAsia="Times New Roman" w:hAnsi="Arial" w:cs="Arial"/>
          <w:lang w:eastAsia="cs-CZ"/>
        </w:rPr>
        <w:t>VaVaI a podílu na HPH jsou součástí skupiny II. Výroba základních farmaceutických výrobků a</w:t>
      </w:r>
      <w:r w:rsidR="008F7EB9">
        <w:rPr>
          <w:rFonts w:ascii="Arial" w:eastAsia="Times New Roman" w:hAnsi="Arial" w:cs="Arial"/>
          <w:lang w:eastAsia="cs-CZ"/>
        </w:rPr>
        <w:t> </w:t>
      </w:r>
      <w:r w:rsidRPr="008E7BFB">
        <w:rPr>
          <w:rFonts w:ascii="Arial" w:eastAsia="Times New Roman" w:hAnsi="Arial" w:cs="Arial"/>
          <w:lang w:eastAsia="cs-CZ"/>
        </w:rPr>
        <w:t>farmaceutických přípravků, Petrochemický, chemický a farmaceutický průmysl, Výroba ostatních nekovových minerálních výrobků, Výroba potravinářských výrobků, Výroba textilií, Výroba základních kovů, hutní zpracování kovů; slévárenství. Dále do této skupiny náleží odvětví s velkým významem pro národní hospodářství, avšak mimo průmysl, tj. např. Veřejná správa a obrana; povinné sociální zabezpečení; vzdělávání, Velkoobchod a maloobchod, Činnosti v oblasti nemovitostí, Peněžnictví a pojišťovnictví, Stavebnictví, Zdravotní</w:t>
      </w:r>
      <w:r w:rsidR="008F7EB9">
        <w:rPr>
          <w:rFonts w:ascii="Arial" w:eastAsia="Times New Roman" w:hAnsi="Arial" w:cs="Arial"/>
          <w:lang w:eastAsia="cs-CZ"/>
        </w:rPr>
        <w:t xml:space="preserve"> péče, Zemědělství, lesnictví a </w:t>
      </w:r>
      <w:r w:rsidRPr="008E7BFB">
        <w:rPr>
          <w:rFonts w:ascii="Arial" w:eastAsia="Times New Roman" w:hAnsi="Arial" w:cs="Arial"/>
          <w:lang w:eastAsia="cs-CZ"/>
        </w:rPr>
        <w:t>rybářství.</w:t>
      </w:r>
    </w:p>
    <w:p w:rsidR="00C41DE7" w:rsidRPr="008E7BFB" w:rsidRDefault="00C41DE7" w:rsidP="00E02893">
      <w:pPr>
        <w:pStyle w:val="Platformanadpis"/>
        <w:spacing w:before="0" w:after="0"/>
      </w:pPr>
      <w:r w:rsidRPr="008E7BFB">
        <w:t>Omezení interpretace</w:t>
      </w:r>
    </w:p>
    <w:p w:rsidR="00C41DE7" w:rsidRPr="008E7BFB" w:rsidRDefault="00C41DE7" w:rsidP="008E7BFB">
      <w:pPr>
        <w:numPr>
          <w:ilvl w:val="0"/>
          <w:numId w:val="8"/>
        </w:numPr>
        <w:spacing w:after="0" w:line="360" w:lineRule="auto"/>
        <w:contextualSpacing/>
        <w:jc w:val="both"/>
        <w:rPr>
          <w:rFonts w:ascii="Arial" w:eastAsia="Times New Roman" w:hAnsi="Arial" w:cs="Arial"/>
          <w:i/>
          <w:lang w:eastAsia="cs-CZ"/>
        </w:rPr>
      </w:pPr>
      <w:r w:rsidRPr="008E7BFB">
        <w:rPr>
          <w:rFonts w:ascii="Arial" w:eastAsia="Times New Roman" w:hAnsi="Arial" w:cs="Arial"/>
          <w:i/>
          <w:lang w:eastAsia="cs-CZ"/>
        </w:rPr>
        <w:t>Omezení</w:t>
      </w:r>
      <w:r w:rsidR="00F224E6">
        <w:rPr>
          <w:rFonts w:ascii="Arial" w:eastAsia="Times New Roman" w:hAnsi="Arial" w:cs="Arial"/>
          <w:i/>
          <w:lang w:eastAsia="cs-CZ"/>
        </w:rPr>
        <w:t xml:space="preserve"> spojená s klasifikací CZ-NACE:</w:t>
      </w:r>
    </w:p>
    <w:p w:rsidR="00C41DE7" w:rsidRPr="008E7BFB" w:rsidRDefault="00C41DE7" w:rsidP="008E7BFB">
      <w:pPr>
        <w:numPr>
          <w:ilvl w:val="1"/>
          <w:numId w:val="8"/>
        </w:numPr>
        <w:spacing w:after="0" w:line="360" w:lineRule="auto"/>
        <w:contextualSpacing/>
        <w:jc w:val="both"/>
        <w:rPr>
          <w:rFonts w:ascii="Arial" w:eastAsia="Times New Roman" w:hAnsi="Arial" w:cs="Arial"/>
          <w:i/>
          <w:lang w:eastAsia="cs-CZ"/>
        </w:rPr>
      </w:pPr>
      <w:r w:rsidRPr="008E7BFB">
        <w:rPr>
          <w:rFonts w:ascii="Arial" w:eastAsia="Times New Roman" w:hAnsi="Arial" w:cs="Arial"/>
          <w:i/>
          <w:lang w:eastAsia="cs-CZ"/>
        </w:rPr>
        <w:t>Klasifikace nemusí odpovídat současným trendům, kdy na základě progresivního rozvoje VaVaI oborů, např. nanotechnologie, biotechnologie, kulturní a kreativní průmysly, mohou vznikat zcela nová odvětví.</w:t>
      </w:r>
    </w:p>
    <w:p w:rsidR="00C41DE7" w:rsidRPr="008E7BFB" w:rsidRDefault="00C41DE7" w:rsidP="008E7BFB">
      <w:pPr>
        <w:numPr>
          <w:ilvl w:val="1"/>
          <w:numId w:val="8"/>
        </w:numPr>
        <w:spacing w:after="0" w:line="360" w:lineRule="auto"/>
        <w:contextualSpacing/>
        <w:jc w:val="both"/>
        <w:rPr>
          <w:rFonts w:ascii="Arial" w:eastAsia="Times New Roman" w:hAnsi="Arial" w:cs="Arial"/>
          <w:i/>
          <w:lang w:eastAsia="cs-CZ"/>
        </w:rPr>
      </w:pPr>
      <w:r w:rsidRPr="008E7BFB">
        <w:rPr>
          <w:rFonts w:ascii="Arial" w:eastAsia="Times New Roman" w:hAnsi="Arial" w:cs="Arial"/>
          <w:i/>
          <w:lang w:eastAsia="cs-CZ"/>
        </w:rPr>
        <w:t>O zařazení subjektu k určitému odvětví rozhoduje převažující činnost v daném roce, nejsou zohledněny další činnosti, přestože mohou být téměř stejně významné a</w:t>
      </w:r>
      <w:r w:rsidR="008F7EB9">
        <w:rPr>
          <w:rFonts w:ascii="Arial" w:eastAsia="Times New Roman" w:hAnsi="Arial" w:cs="Arial"/>
          <w:i/>
          <w:lang w:eastAsia="cs-CZ"/>
        </w:rPr>
        <w:t> </w:t>
      </w:r>
      <w:r w:rsidRPr="008E7BFB">
        <w:rPr>
          <w:rFonts w:ascii="Arial" w:eastAsia="Times New Roman" w:hAnsi="Arial" w:cs="Arial"/>
          <w:i/>
          <w:lang w:eastAsia="cs-CZ"/>
        </w:rPr>
        <w:t xml:space="preserve">v krajním případě mohou způsobit meziroční přesun do jiného odvětví (např. společnosti, jako je IBM nebo </w:t>
      </w:r>
      <w:proofErr w:type="spellStart"/>
      <w:r w:rsidRPr="008E7BFB">
        <w:rPr>
          <w:rFonts w:ascii="Arial" w:eastAsia="Times New Roman" w:hAnsi="Arial" w:cs="Arial"/>
          <w:i/>
          <w:lang w:eastAsia="cs-CZ"/>
        </w:rPr>
        <w:t>Alza</w:t>
      </w:r>
      <w:proofErr w:type="spellEnd"/>
      <w:r w:rsidRPr="008E7BFB">
        <w:rPr>
          <w:rFonts w:ascii="Arial" w:eastAsia="Times New Roman" w:hAnsi="Arial" w:cs="Arial"/>
          <w:i/>
          <w:lang w:eastAsia="cs-CZ"/>
        </w:rPr>
        <w:t>, spadají podle hlavní ekonomické činnosti do</w:t>
      </w:r>
      <w:r w:rsidR="008F7EB9">
        <w:rPr>
          <w:rFonts w:ascii="Arial" w:eastAsia="Times New Roman" w:hAnsi="Arial" w:cs="Arial"/>
          <w:i/>
          <w:lang w:eastAsia="cs-CZ"/>
        </w:rPr>
        <w:t> </w:t>
      </w:r>
      <w:r w:rsidRPr="008E7BFB">
        <w:rPr>
          <w:rFonts w:ascii="Arial" w:eastAsia="Times New Roman" w:hAnsi="Arial" w:cs="Arial"/>
          <w:i/>
          <w:lang w:eastAsia="cs-CZ"/>
        </w:rPr>
        <w:t>odvětví Velkoobchod a maloobchod, přesto mohou být vnímány jako významné subjekty v oblasti informačních a komunikačních technologií).</w:t>
      </w:r>
    </w:p>
    <w:p w:rsidR="00C41DE7" w:rsidRPr="008E7BFB" w:rsidRDefault="00C41DE7" w:rsidP="008E7BFB">
      <w:pPr>
        <w:numPr>
          <w:ilvl w:val="1"/>
          <w:numId w:val="8"/>
        </w:numPr>
        <w:spacing w:after="0" w:line="360" w:lineRule="auto"/>
        <w:contextualSpacing/>
        <w:jc w:val="both"/>
        <w:rPr>
          <w:rFonts w:ascii="Arial" w:eastAsia="Times New Roman" w:hAnsi="Arial" w:cs="Arial"/>
          <w:i/>
          <w:lang w:eastAsia="cs-CZ"/>
        </w:rPr>
      </w:pPr>
      <w:r w:rsidRPr="008E7BFB">
        <w:rPr>
          <w:rFonts w:ascii="Arial" w:eastAsia="Times New Roman" w:hAnsi="Arial" w:cs="Arial"/>
          <w:i/>
          <w:lang w:eastAsia="cs-CZ"/>
        </w:rPr>
        <w:t>Do odvětví výzkum a vývoj jsou řazeny všechny subjekty, v jejichž činnosti převažuje výzkum a vývoj, bez ohledu na jeho zaměření.</w:t>
      </w:r>
    </w:p>
    <w:p w:rsidR="00C41DE7" w:rsidRPr="008E7BFB" w:rsidRDefault="00C41DE7" w:rsidP="008E7BFB">
      <w:pPr>
        <w:numPr>
          <w:ilvl w:val="1"/>
          <w:numId w:val="8"/>
        </w:numPr>
        <w:spacing w:after="0" w:line="360" w:lineRule="auto"/>
        <w:contextualSpacing/>
        <w:jc w:val="both"/>
        <w:rPr>
          <w:rFonts w:ascii="Arial" w:eastAsia="Times New Roman" w:hAnsi="Arial" w:cs="Arial"/>
          <w:i/>
          <w:lang w:eastAsia="cs-CZ"/>
        </w:rPr>
      </w:pPr>
      <w:r w:rsidRPr="008E7BFB">
        <w:rPr>
          <w:rFonts w:ascii="Arial" w:eastAsia="Times New Roman" w:hAnsi="Arial" w:cs="Arial"/>
          <w:i/>
          <w:lang w:eastAsia="cs-CZ"/>
        </w:rPr>
        <w:t>Klasifikace nezachycuje celý segment subdodavatelů, kteří jsou mnohdy na odvětví navázáni.</w:t>
      </w:r>
    </w:p>
    <w:p w:rsidR="00C41DE7" w:rsidRPr="008E7BFB" w:rsidRDefault="00C41DE7" w:rsidP="008E7BFB">
      <w:pPr>
        <w:numPr>
          <w:ilvl w:val="0"/>
          <w:numId w:val="8"/>
        </w:numPr>
        <w:spacing w:after="0" w:line="360" w:lineRule="auto"/>
        <w:contextualSpacing/>
        <w:jc w:val="both"/>
        <w:rPr>
          <w:rFonts w:ascii="Arial" w:eastAsia="Times New Roman" w:hAnsi="Arial" w:cs="Arial"/>
          <w:i/>
          <w:lang w:eastAsia="cs-CZ"/>
        </w:rPr>
      </w:pPr>
      <w:r w:rsidRPr="008E7BFB">
        <w:rPr>
          <w:rFonts w:ascii="Arial" w:eastAsia="Times New Roman" w:hAnsi="Arial" w:cs="Arial"/>
          <w:i/>
          <w:lang w:eastAsia="cs-CZ"/>
        </w:rPr>
        <w:t>Omezení spojená s volbou ukazatelů</w:t>
      </w:r>
      <w:r w:rsidR="0050729D" w:rsidRPr="008E7BFB">
        <w:rPr>
          <w:rFonts w:ascii="Arial" w:eastAsia="Times New Roman" w:hAnsi="Arial" w:cs="Arial"/>
          <w:i/>
          <w:lang w:eastAsia="cs-CZ"/>
        </w:rPr>
        <w:t>:</w:t>
      </w:r>
    </w:p>
    <w:p w:rsidR="00C41DE7" w:rsidRPr="008E7BFB" w:rsidRDefault="00C41DE7" w:rsidP="008E7BFB">
      <w:pPr>
        <w:numPr>
          <w:ilvl w:val="1"/>
          <w:numId w:val="8"/>
        </w:numPr>
        <w:spacing w:after="0" w:line="360" w:lineRule="auto"/>
        <w:contextualSpacing/>
        <w:jc w:val="both"/>
        <w:rPr>
          <w:rFonts w:ascii="Arial" w:eastAsia="Times New Roman" w:hAnsi="Arial" w:cs="Arial"/>
          <w:i/>
          <w:lang w:eastAsia="cs-CZ"/>
        </w:rPr>
      </w:pPr>
      <w:r w:rsidRPr="008E7BFB">
        <w:rPr>
          <w:rFonts w:ascii="Arial" w:eastAsia="Times New Roman" w:hAnsi="Arial" w:cs="Arial"/>
          <w:i/>
          <w:lang w:eastAsia="cs-CZ"/>
        </w:rPr>
        <w:t>Nejsou zohledněny nově vznikající subjekty typu start-up a spin-</w:t>
      </w:r>
      <w:proofErr w:type="spellStart"/>
      <w:r w:rsidRPr="008E7BFB">
        <w:rPr>
          <w:rFonts w:ascii="Arial" w:eastAsia="Times New Roman" w:hAnsi="Arial" w:cs="Arial"/>
          <w:i/>
          <w:lang w:eastAsia="cs-CZ"/>
        </w:rPr>
        <w:t>off</w:t>
      </w:r>
      <w:proofErr w:type="spellEnd"/>
      <w:r w:rsidRPr="008E7BFB">
        <w:rPr>
          <w:rFonts w:ascii="Arial" w:eastAsia="Times New Roman" w:hAnsi="Arial" w:cs="Arial"/>
          <w:i/>
          <w:lang w:eastAsia="cs-CZ"/>
        </w:rPr>
        <w:t xml:space="preserve">, </w:t>
      </w:r>
      <w:r w:rsidR="0050729D" w:rsidRPr="008E7BFB">
        <w:rPr>
          <w:rFonts w:ascii="Arial" w:eastAsia="Times New Roman" w:hAnsi="Arial" w:cs="Arial"/>
          <w:i/>
          <w:lang w:eastAsia="cs-CZ"/>
        </w:rPr>
        <w:t xml:space="preserve">jež </w:t>
      </w:r>
      <w:r w:rsidRPr="008E7BFB">
        <w:rPr>
          <w:rFonts w:ascii="Arial" w:eastAsia="Times New Roman" w:hAnsi="Arial" w:cs="Arial"/>
          <w:i/>
          <w:lang w:eastAsia="cs-CZ"/>
        </w:rPr>
        <w:t>se projeví ve vztahu k HPH až za několik let po jejich vzniku, navíc na počátku své existence nevykazují vysoké výdaje na VaVaI.</w:t>
      </w:r>
    </w:p>
    <w:p w:rsidR="00C41DE7" w:rsidRPr="00E02893" w:rsidRDefault="00C41DE7" w:rsidP="00E02893">
      <w:pPr>
        <w:numPr>
          <w:ilvl w:val="1"/>
          <w:numId w:val="8"/>
        </w:numPr>
        <w:spacing w:after="0" w:line="360" w:lineRule="auto"/>
        <w:contextualSpacing/>
        <w:jc w:val="both"/>
        <w:rPr>
          <w:rFonts w:ascii="Arial" w:eastAsia="Times New Roman" w:hAnsi="Arial" w:cs="Arial"/>
          <w:i/>
          <w:lang w:eastAsia="cs-CZ"/>
        </w:rPr>
      </w:pPr>
      <w:r w:rsidRPr="00E02893">
        <w:rPr>
          <w:rFonts w:ascii="Arial" w:eastAsia="Times New Roman" w:hAnsi="Arial" w:cs="Arial"/>
          <w:i/>
          <w:lang w:eastAsia="cs-CZ"/>
        </w:rPr>
        <w:t>Nemusí být zahrnuty subjekty (zejména z řad MSP), které jsou v určitém odvětví významné např. vysokou přidanou hodnotou výrobku na bázi nových poznatků VaVaI, intenzitou zavádění inovací a to i v nadnárodním měřítku, avšak s ohledem na minoritní objemy finančních toků v rámci odvětví v ČR nemohou ovlivnit pozici odvětví.</w:t>
      </w:r>
    </w:p>
    <w:p w:rsidR="00C41DE7" w:rsidRPr="00C41DE7" w:rsidRDefault="00C41DE7" w:rsidP="00C41DE7">
      <w:pPr>
        <w:spacing w:after="0" w:line="240" w:lineRule="auto"/>
        <w:jc w:val="both"/>
        <w:rPr>
          <w:rFonts w:ascii="Times New Roman" w:eastAsia="Times New Roman" w:hAnsi="Times New Roman" w:cs="Times New Roman"/>
          <w:sz w:val="24"/>
          <w:szCs w:val="24"/>
          <w:lang w:eastAsia="cs-CZ"/>
        </w:rPr>
        <w:sectPr w:rsidR="00C41DE7" w:rsidRPr="00C41DE7" w:rsidSect="00E540D1">
          <w:pgSz w:w="11906" w:h="16838"/>
          <w:pgMar w:top="1134" w:right="1134" w:bottom="1134" w:left="1134" w:header="709" w:footer="709" w:gutter="0"/>
          <w:cols w:space="708"/>
          <w:docGrid w:linePitch="360"/>
        </w:sectPr>
      </w:pPr>
    </w:p>
    <w:p w:rsidR="00C41DE7" w:rsidRPr="00C41DE7" w:rsidRDefault="004D56D7" w:rsidP="00D36A6E">
      <w:pPr>
        <w:pStyle w:val="Obrzek-nadpis"/>
      </w:pPr>
      <w:r>
        <w:lastRenderedPageBreak/>
        <w:t>Obr. 8.1</w:t>
      </w:r>
      <w:r w:rsidR="00C41DE7" w:rsidRPr="00C41DE7">
        <w:t xml:space="preserve">: Výdaje na </w:t>
      </w:r>
      <w:proofErr w:type="spellStart"/>
      <w:r w:rsidR="00C41DE7" w:rsidRPr="00C41DE7">
        <w:t>VaV</w:t>
      </w:r>
      <w:proofErr w:type="spellEnd"/>
      <w:r w:rsidR="00C41DE7" w:rsidRPr="00C41DE7">
        <w:t xml:space="preserve"> a podíl vybraných odvětví národního hospodářství na hrubé přidané hodnotě podle klasifikace CZ-NACE </w:t>
      </w:r>
    </w:p>
    <w:p w:rsidR="00C41DE7" w:rsidRPr="00C41DE7" w:rsidRDefault="00C41DE7" w:rsidP="00C41DE7">
      <w:pPr>
        <w:spacing w:after="0" w:line="240" w:lineRule="auto"/>
        <w:jc w:val="both"/>
        <w:rPr>
          <w:rFonts w:ascii="Times New Roman" w:eastAsia="Times New Roman" w:hAnsi="Times New Roman" w:cs="Times New Roman"/>
          <w:sz w:val="24"/>
          <w:szCs w:val="24"/>
          <w:lang w:eastAsia="cs-CZ"/>
        </w:rPr>
      </w:pPr>
      <w:r w:rsidRPr="00C41DE7">
        <w:rPr>
          <w:rFonts w:ascii="Times New Roman" w:eastAsia="Times New Roman" w:hAnsi="Times New Roman" w:cs="Times New Roman"/>
          <w:noProof/>
          <w:sz w:val="24"/>
          <w:szCs w:val="24"/>
          <w:lang w:eastAsia="cs-CZ"/>
        </w:rPr>
        <w:drawing>
          <wp:inline distT="0" distB="0" distL="0" distR="0" wp14:anchorId="0DF99D70" wp14:editId="3C1977FA">
            <wp:extent cx="8892540" cy="3850616"/>
            <wp:effectExtent l="0" t="0" r="381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8892540" cy="3850616"/>
                    </a:xfrm>
                    <a:prstGeom prst="rect">
                      <a:avLst/>
                    </a:prstGeom>
                    <a:noFill/>
                    <a:ln>
                      <a:noFill/>
                    </a:ln>
                  </pic:spPr>
                </pic:pic>
              </a:graphicData>
            </a:graphic>
          </wp:inline>
        </w:drawing>
      </w:r>
    </w:p>
    <w:p w:rsidR="00C41DE7" w:rsidRPr="00C41DE7" w:rsidRDefault="00C41DE7" w:rsidP="000C142B">
      <w:pPr>
        <w:pStyle w:val="Zdroj"/>
      </w:pPr>
      <w:r w:rsidRPr="00C41DE7">
        <w:t>Zdroj dat: ČSÚ</w:t>
      </w:r>
    </w:p>
    <w:p w:rsidR="00C41DE7" w:rsidRPr="00C41DE7" w:rsidRDefault="00C41DE7" w:rsidP="000C142B">
      <w:pPr>
        <w:pStyle w:val="komentzaobrzkem"/>
      </w:pPr>
      <w:r w:rsidRPr="00C41DE7">
        <w:t xml:space="preserve">Horizontální osa: podnikatelské výdaje na </w:t>
      </w:r>
      <w:proofErr w:type="spellStart"/>
      <w:r w:rsidRPr="00C41DE7">
        <w:t>VaV</w:t>
      </w:r>
      <w:proofErr w:type="spellEnd"/>
      <w:r w:rsidRPr="00C41DE7">
        <w:t xml:space="preserve"> v roce 2013 (BERD) v mil. Kč</w:t>
      </w:r>
    </w:p>
    <w:p w:rsidR="00C41DE7" w:rsidRPr="00C41DE7" w:rsidRDefault="00C41DE7" w:rsidP="000C142B">
      <w:pPr>
        <w:pStyle w:val="komentzaobrzkem"/>
      </w:pPr>
      <w:r w:rsidRPr="00C41DE7">
        <w:t>Vertikální osa: střední hodnota meziroční změny podílu na hrubé přidané hodnotě (HPH) za roky 2007 – 2013 v %</w:t>
      </w:r>
    </w:p>
    <w:p w:rsidR="00C41DE7" w:rsidRPr="00C41DE7" w:rsidRDefault="00C41DE7" w:rsidP="000C142B">
      <w:pPr>
        <w:pStyle w:val="komentzaobrzkem"/>
      </w:pPr>
      <w:r w:rsidRPr="00C41DE7">
        <w:t>Plocha bublin: podíl na HPH v roce 2013</w:t>
      </w:r>
    </w:p>
    <w:p w:rsidR="00C41DE7" w:rsidRPr="00C41DE7" w:rsidRDefault="00C41DE7" w:rsidP="000C142B">
      <w:pPr>
        <w:pStyle w:val="komentzaobrzkem"/>
      </w:pPr>
      <w:r w:rsidRPr="00C41DE7">
        <w:t>Barevná škála: střední hodnota meziroční změny BERD za roky 2008 - 2013</w:t>
      </w:r>
    </w:p>
    <w:p w:rsidR="00C41DE7" w:rsidRPr="00C41DE7" w:rsidRDefault="00C41DE7" w:rsidP="000C142B">
      <w:pPr>
        <w:pStyle w:val="komentzaobrzkem"/>
      </w:pPr>
      <w:r w:rsidRPr="00C41DE7">
        <w:t>Obrázek pro přehlednost neobsahuje odvětví, jejichž výdaje na VaVaI v roce 2013 nedosáhly hranice 50 mil. Kč. Obrázek zachycuje rozdělení 41,6 mld. Kč z celkových 42,1 mld. Kč podnikatelských výdajů na VaVaI v ČR (BERD), tj. 98,8 %, podle odvětvového třídění.</w:t>
      </w:r>
    </w:p>
    <w:p w:rsidR="00C41DE7" w:rsidRPr="00C41DE7" w:rsidRDefault="00C41DE7" w:rsidP="000C142B">
      <w:pPr>
        <w:pStyle w:val="komentzaobrzkem"/>
      </w:pPr>
      <w:r w:rsidRPr="00C41DE7">
        <w:t>V obrázku zaznamenaná odvětví představují v součtu 87% celkové HPH v ČR v roce 2013.</w:t>
      </w:r>
    </w:p>
    <w:p w:rsidR="00C41DE7" w:rsidRPr="00C41DE7" w:rsidRDefault="00C41DE7" w:rsidP="00C41DE7">
      <w:pPr>
        <w:spacing w:after="0" w:line="240" w:lineRule="auto"/>
        <w:rPr>
          <w:rFonts w:ascii="Times New Roman" w:eastAsia="Times New Roman" w:hAnsi="Times New Roman" w:cs="Times New Roman"/>
          <w:i/>
          <w:sz w:val="20"/>
          <w:szCs w:val="20"/>
          <w:lang w:eastAsia="cs-CZ"/>
        </w:rPr>
        <w:sectPr w:rsidR="00C41DE7" w:rsidRPr="00C41DE7" w:rsidSect="00E540D1">
          <w:pgSz w:w="16838" w:h="11906" w:orient="landscape"/>
          <w:pgMar w:top="1134" w:right="1134" w:bottom="1134" w:left="1134" w:header="709" w:footer="709" w:gutter="0"/>
          <w:cols w:space="708"/>
          <w:docGrid w:linePitch="360"/>
        </w:sectPr>
      </w:pPr>
    </w:p>
    <w:p w:rsidR="00C41DE7" w:rsidRPr="008E7BFB" w:rsidRDefault="00C41DE7" w:rsidP="00D72475">
      <w:pPr>
        <w:spacing w:after="0" w:line="360" w:lineRule="auto"/>
        <w:ind w:firstLine="709"/>
        <w:jc w:val="both"/>
        <w:rPr>
          <w:rFonts w:ascii="Arial" w:eastAsia="Times New Roman" w:hAnsi="Arial" w:cs="Arial"/>
          <w:lang w:eastAsia="cs-CZ"/>
        </w:rPr>
      </w:pPr>
      <w:r w:rsidRPr="008E7BFB">
        <w:rPr>
          <w:rFonts w:ascii="Arial" w:eastAsia="Times New Roman" w:hAnsi="Arial" w:cs="Arial"/>
          <w:lang w:eastAsia="cs-CZ"/>
        </w:rPr>
        <w:lastRenderedPageBreak/>
        <w:t>Kromě zmíněných interpretačních nedostatků v souvislosti s využitím agregovaných dat k definici významných odvětví NH vykazuje ČR další specifika:</w:t>
      </w:r>
    </w:p>
    <w:p w:rsidR="00C41DE7" w:rsidRPr="008E7BFB" w:rsidRDefault="00C41DE7" w:rsidP="008E7BFB">
      <w:pPr>
        <w:numPr>
          <w:ilvl w:val="0"/>
          <w:numId w:val="9"/>
        </w:numPr>
        <w:spacing w:after="0" w:line="360" w:lineRule="auto"/>
        <w:contextualSpacing/>
        <w:jc w:val="both"/>
        <w:rPr>
          <w:rFonts w:ascii="Arial" w:eastAsia="Times New Roman" w:hAnsi="Arial" w:cs="Arial"/>
          <w:i/>
          <w:lang w:eastAsia="cs-CZ"/>
        </w:rPr>
      </w:pPr>
      <w:r w:rsidRPr="008E7BFB">
        <w:rPr>
          <w:rFonts w:ascii="Arial" w:eastAsia="Times New Roman" w:hAnsi="Arial" w:cs="Arial"/>
          <w:i/>
          <w:lang w:eastAsia="cs-CZ"/>
        </w:rPr>
        <w:t>struktura ekonomiky ČR vykazuje poměrně velkou četnost podniků, které patří ve</w:t>
      </w:r>
      <w:r w:rsidR="008F7EB9">
        <w:rPr>
          <w:rFonts w:ascii="Arial" w:eastAsia="Times New Roman" w:hAnsi="Arial" w:cs="Arial"/>
          <w:i/>
          <w:lang w:eastAsia="cs-CZ"/>
        </w:rPr>
        <w:t> </w:t>
      </w:r>
      <w:r w:rsidRPr="008E7BFB">
        <w:rPr>
          <w:rFonts w:ascii="Arial" w:eastAsia="Times New Roman" w:hAnsi="Arial" w:cs="Arial"/>
          <w:i/>
          <w:lang w:eastAsia="cs-CZ"/>
        </w:rPr>
        <w:t>specifické nice mezi globální či mezinárodní lídry,</w:t>
      </w:r>
    </w:p>
    <w:p w:rsidR="00C41DE7" w:rsidRPr="000F625B" w:rsidRDefault="00C41DE7" w:rsidP="008E7BFB">
      <w:pPr>
        <w:numPr>
          <w:ilvl w:val="0"/>
          <w:numId w:val="9"/>
        </w:numPr>
        <w:spacing w:after="0" w:line="360" w:lineRule="auto"/>
        <w:contextualSpacing/>
        <w:jc w:val="both"/>
        <w:rPr>
          <w:rFonts w:ascii="Arial" w:eastAsia="Times New Roman" w:hAnsi="Arial" w:cs="Arial"/>
          <w:i/>
          <w:lang w:eastAsia="cs-CZ"/>
        </w:rPr>
      </w:pPr>
      <w:r w:rsidRPr="000F625B">
        <w:rPr>
          <w:rFonts w:ascii="Arial" w:eastAsia="Times New Roman" w:hAnsi="Arial" w:cs="Arial"/>
          <w:i/>
          <w:lang w:eastAsia="cs-CZ"/>
        </w:rPr>
        <w:t>jiný strategický význam kromě finančního – zaměstnanost v regionu, tradice, cestovní ruch například v případě energetiky, hutnictví, ocelářství a slévárenství nebo v tzv. tradičních kulturních a kreativních průmyslech,</w:t>
      </w:r>
    </w:p>
    <w:p w:rsidR="00C41DE7" w:rsidRPr="008E7BFB" w:rsidRDefault="00C41DE7" w:rsidP="008E7BFB">
      <w:pPr>
        <w:numPr>
          <w:ilvl w:val="0"/>
          <w:numId w:val="9"/>
        </w:numPr>
        <w:spacing w:after="0" w:line="360" w:lineRule="auto"/>
        <w:contextualSpacing/>
        <w:jc w:val="both"/>
        <w:rPr>
          <w:rFonts w:ascii="Arial" w:eastAsia="Times New Roman" w:hAnsi="Arial" w:cs="Arial"/>
          <w:i/>
          <w:lang w:eastAsia="cs-CZ"/>
        </w:rPr>
      </w:pPr>
      <w:r w:rsidRPr="008E7BFB">
        <w:rPr>
          <w:rFonts w:ascii="Arial" w:eastAsia="Times New Roman" w:hAnsi="Arial" w:cs="Arial"/>
          <w:i/>
          <w:lang w:eastAsia="cs-CZ"/>
        </w:rPr>
        <w:t>nově vznikající průmysly, které jsou založeny na nejnovějších technologiích a jsou jedním z</w:t>
      </w:r>
      <w:r w:rsidR="008F7EB9">
        <w:rPr>
          <w:rFonts w:ascii="Arial" w:eastAsia="Times New Roman" w:hAnsi="Arial" w:cs="Arial"/>
          <w:i/>
          <w:lang w:eastAsia="cs-CZ"/>
        </w:rPr>
        <w:t> </w:t>
      </w:r>
      <w:r w:rsidRPr="008E7BFB">
        <w:rPr>
          <w:rFonts w:ascii="Arial" w:eastAsia="Times New Roman" w:hAnsi="Arial" w:cs="Arial"/>
          <w:i/>
          <w:lang w:eastAsia="cs-CZ"/>
        </w:rPr>
        <w:t>inovačních driverů zavedených či dlouhodobě fungujících průmyslových sektorů.</w:t>
      </w:r>
    </w:p>
    <w:p w:rsidR="00C41DE7" w:rsidRPr="008E7BFB" w:rsidRDefault="00C41DE7" w:rsidP="00D72475">
      <w:pPr>
        <w:spacing w:after="0" w:line="360" w:lineRule="auto"/>
        <w:ind w:firstLine="709"/>
        <w:jc w:val="both"/>
        <w:rPr>
          <w:rFonts w:ascii="Arial" w:eastAsia="Times New Roman" w:hAnsi="Arial" w:cs="Arial"/>
          <w:lang w:eastAsia="cs-CZ"/>
        </w:rPr>
      </w:pPr>
      <w:r w:rsidRPr="008E7BFB">
        <w:rPr>
          <w:rFonts w:ascii="Arial" w:eastAsia="Times New Roman" w:hAnsi="Arial" w:cs="Arial"/>
          <w:lang w:eastAsia="cs-CZ"/>
        </w:rPr>
        <w:t xml:space="preserve">Úřad Vlády – Sekce VVI sestavila </w:t>
      </w:r>
      <w:r w:rsidR="00C43BA9">
        <w:rPr>
          <w:rFonts w:ascii="Arial" w:eastAsia="Times New Roman" w:hAnsi="Arial" w:cs="Arial"/>
          <w:lang w:eastAsia="cs-CZ"/>
        </w:rPr>
        <w:t xml:space="preserve">na základě externích ukazatelů </w:t>
      </w:r>
      <w:r w:rsidRPr="008E7BFB">
        <w:rPr>
          <w:rFonts w:ascii="Arial" w:eastAsia="Times New Roman" w:hAnsi="Arial" w:cs="Arial"/>
          <w:lang w:eastAsia="cs-CZ"/>
        </w:rPr>
        <w:t>sektorové platfo</w:t>
      </w:r>
      <w:r w:rsidR="00551F63">
        <w:rPr>
          <w:rFonts w:ascii="Arial" w:eastAsia="Times New Roman" w:hAnsi="Arial" w:cs="Arial"/>
          <w:lang w:eastAsia="cs-CZ"/>
        </w:rPr>
        <w:t>rmy</w:t>
      </w:r>
      <w:r w:rsidR="00C43BA9">
        <w:rPr>
          <w:rFonts w:ascii="Arial" w:eastAsia="Times New Roman" w:hAnsi="Arial" w:cs="Arial"/>
          <w:lang w:eastAsia="cs-CZ"/>
        </w:rPr>
        <w:t xml:space="preserve"> z představitelů významných aktivních </w:t>
      </w:r>
      <w:r w:rsidR="00C43BA9" w:rsidRPr="000F625B">
        <w:rPr>
          <w:rFonts w:ascii="Arial" w:eastAsia="Times New Roman" w:hAnsi="Arial" w:cs="Arial"/>
          <w:lang w:eastAsia="cs-CZ"/>
        </w:rPr>
        <w:t>subjektů sektoru</w:t>
      </w:r>
      <w:r w:rsidR="00551F63">
        <w:rPr>
          <w:rFonts w:ascii="Arial" w:eastAsia="Times New Roman" w:hAnsi="Arial" w:cs="Arial"/>
          <w:lang w:eastAsia="cs-CZ"/>
        </w:rPr>
        <w:t xml:space="preserve"> (viz </w:t>
      </w:r>
      <w:r w:rsidR="000F625B">
        <w:rPr>
          <w:rFonts w:ascii="Arial" w:eastAsia="Times New Roman" w:hAnsi="Arial" w:cs="Arial"/>
          <w:lang w:eastAsia="cs-CZ"/>
        </w:rPr>
        <w:t>t</w:t>
      </w:r>
      <w:r w:rsidR="00551F63">
        <w:rPr>
          <w:rFonts w:ascii="Arial" w:eastAsia="Times New Roman" w:hAnsi="Arial" w:cs="Arial"/>
          <w:lang w:eastAsia="cs-CZ"/>
        </w:rPr>
        <w:t>abulka 8.2</w:t>
      </w:r>
      <w:r w:rsidRPr="008E7BFB">
        <w:rPr>
          <w:rFonts w:ascii="Arial" w:eastAsia="Times New Roman" w:hAnsi="Arial" w:cs="Arial"/>
          <w:lang w:eastAsia="cs-CZ"/>
        </w:rPr>
        <w:t>) s cílem získat od</w:t>
      </w:r>
      <w:r w:rsidR="006F678C">
        <w:rPr>
          <w:rFonts w:ascii="Arial" w:eastAsia="Times New Roman" w:hAnsi="Arial" w:cs="Arial"/>
          <w:lang w:eastAsia="cs-CZ"/>
        </w:rPr>
        <w:t> </w:t>
      </w:r>
      <w:r w:rsidRPr="008E7BFB">
        <w:rPr>
          <w:rFonts w:ascii="Arial" w:eastAsia="Times New Roman" w:hAnsi="Arial" w:cs="Arial"/>
          <w:lang w:eastAsia="cs-CZ"/>
        </w:rPr>
        <w:t>vybraných subjektů tyto informace:</w:t>
      </w:r>
    </w:p>
    <w:p w:rsidR="00C41DE7" w:rsidRPr="008E7BFB" w:rsidRDefault="00C41DE7" w:rsidP="008E7BFB">
      <w:pPr>
        <w:numPr>
          <w:ilvl w:val="0"/>
          <w:numId w:val="10"/>
        </w:numPr>
        <w:spacing w:after="0" w:line="360" w:lineRule="auto"/>
        <w:contextualSpacing/>
        <w:jc w:val="both"/>
        <w:rPr>
          <w:rFonts w:ascii="Arial" w:eastAsia="Times New Roman" w:hAnsi="Arial" w:cs="Arial"/>
          <w:i/>
          <w:lang w:eastAsia="cs-CZ"/>
        </w:rPr>
      </w:pPr>
      <w:r w:rsidRPr="008E7BFB">
        <w:rPr>
          <w:rFonts w:ascii="Arial" w:eastAsia="Times New Roman" w:hAnsi="Arial" w:cs="Arial"/>
          <w:i/>
          <w:lang w:eastAsia="cs-CZ"/>
        </w:rPr>
        <w:t>priority v oblasti VaVaI dle odvětví,</w:t>
      </w:r>
    </w:p>
    <w:p w:rsidR="00C41DE7" w:rsidRPr="008E7BFB" w:rsidRDefault="00C41DE7" w:rsidP="008E7BFB">
      <w:pPr>
        <w:numPr>
          <w:ilvl w:val="0"/>
          <w:numId w:val="10"/>
        </w:numPr>
        <w:spacing w:after="0" w:line="360" w:lineRule="auto"/>
        <w:contextualSpacing/>
        <w:jc w:val="both"/>
        <w:rPr>
          <w:rFonts w:ascii="Arial" w:eastAsia="Times New Roman" w:hAnsi="Arial" w:cs="Arial"/>
          <w:i/>
          <w:lang w:eastAsia="cs-CZ"/>
        </w:rPr>
      </w:pPr>
      <w:r w:rsidRPr="008E7BFB">
        <w:rPr>
          <w:rFonts w:ascii="Arial" w:eastAsia="Times New Roman" w:hAnsi="Arial" w:cs="Arial"/>
          <w:i/>
          <w:lang w:eastAsia="cs-CZ"/>
        </w:rPr>
        <w:t>trendy směřování sektorů,</w:t>
      </w:r>
    </w:p>
    <w:p w:rsidR="00C41DE7" w:rsidRPr="008E7BFB" w:rsidRDefault="00C41DE7" w:rsidP="008E7BFB">
      <w:pPr>
        <w:numPr>
          <w:ilvl w:val="0"/>
          <w:numId w:val="10"/>
        </w:numPr>
        <w:spacing w:after="0" w:line="360" w:lineRule="auto"/>
        <w:contextualSpacing/>
        <w:jc w:val="both"/>
        <w:rPr>
          <w:rFonts w:ascii="Arial" w:eastAsia="Times New Roman" w:hAnsi="Arial" w:cs="Arial"/>
          <w:i/>
          <w:lang w:eastAsia="cs-CZ"/>
        </w:rPr>
      </w:pPr>
      <w:r w:rsidRPr="008E7BFB">
        <w:rPr>
          <w:rFonts w:ascii="Arial" w:eastAsia="Times New Roman" w:hAnsi="Arial" w:cs="Arial"/>
          <w:i/>
          <w:lang w:eastAsia="cs-CZ"/>
        </w:rPr>
        <w:t xml:space="preserve">výhled klíčových témat v oblasti </w:t>
      </w:r>
      <w:r w:rsidRPr="000F625B">
        <w:rPr>
          <w:rFonts w:ascii="Arial" w:eastAsia="Times New Roman" w:hAnsi="Arial" w:cs="Arial"/>
          <w:i/>
          <w:lang w:eastAsia="cs-CZ"/>
        </w:rPr>
        <w:t>VaV</w:t>
      </w:r>
      <w:r w:rsidR="00321772">
        <w:rPr>
          <w:rFonts w:ascii="Arial" w:eastAsia="Times New Roman" w:hAnsi="Arial" w:cs="Arial"/>
          <w:i/>
          <w:lang w:eastAsia="cs-CZ"/>
        </w:rPr>
        <w:t>aI</w:t>
      </w:r>
      <w:r w:rsidRPr="008E7BFB">
        <w:rPr>
          <w:rFonts w:ascii="Arial" w:eastAsia="Times New Roman" w:hAnsi="Arial" w:cs="Arial"/>
          <w:i/>
          <w:lang w:eastAsia="cs-CZ"/>
        </w:rPr>
        <w:t xml:space="preserve"> v dlouhodobém horizontu.</w:t>
      </w:r>
    </w:p>
    <w:p w:rsidR="00C41DE7" w:rsidRPr="008E7BFB" w:rsidRDefault="00C41DE7" w:rsidP="00D72475">
      <w:pPr>
        <w:spacing w:after="0" w:line="360" w:lineRule="auto"/>
        <w:ind w:firstLine="709"/>
        <w:jc w:val="both"/>
        <w:rPr>
          <w:rFonts w:ascii="Arial" w:eastAsia="Times New Roman" w:hAnsi="Arial" w:cs="Arial"/>
          <w:lang w:eastAsia="cs-CZ"/>
        </w:rPr>
      </w:pPr>
      <w:r w:rsidRPr="008E7BFB">
        <w:rPr>
          <w:rFonts w:ascii="Arial" w:eastAsia="Times New Roman" w:hAnsi="Arial" w:cs="Arial"/>
          <w:lang w:eastAsia="cs-CZ"/>
        </w:rPr>
        <w:t>Byly zvoleny dva metodické přístupy pro sestavení sektorových platforem a zahájení dialogu:</w:t>
      </w:r>
    </w:p>
    <w:p w:rsidR="00C41DE7" w:rsidRPr="008E7BFB" w:rsidRDefault="00C41DE7" w:rsidP="008E7BFB">
      <w:pPr>
        <w:numPr>
          <w:ilvl w:val="0"/>
          <w:numId w:val="11"/>
        </w:numPr>
        <w:spacing w:after="0" w:line="360" w:lineRule="auto"/>
        <w:contextualSpacing/>
        <w:jc w:val="both"/>
        <w:rPr>
          <w:rFonts w:ascii="Arial" w:eastAsia="Times New Roman" w:hAnsi="Arial" w:cs="Arial"/>
          <w:i/>
          <w:lang w:eastAsia="cs-CZ"/>
        </w:rPr>
      </w:pPr>
      <w:r w:rsidRPr="008E7BFB">
        <w:rPr>
          <w:rFonts w:ascii="Arial" w:eastAsia="Times New Roman" w:hAnsi="Arial" w:cs="Arial"/>
          <w:i/>
          <w:lang w:eastAsia="cs-CZ"/>
        </w:rPr>
        <w:t xml:space="preserve">zohlednění výdajů na </w:t>
      </w:r>
      <w:proofErr w:type="spellStart"/>
      <w:r w:rsidRPr="008E7BFB">
        <w:rPr>
          <w:rFonts w:ascii="Arial" w:eastAsia="Times New Roman" w:hAnsi="Arial" w:cs="Arial"/>
          <w:i/>
          <w:lang w:eastAsia="cs-CZ"/>
        </w:rPr>
        <w:t>VaV</w:t>
      </w:r>
      <w:proofErr w:type="spellEnd"/>
      <w:r w:rsidRPr="008E7BFB">
        <w:rPr>
          <w:rFonts w:ascii="Arial" w:eastAsia="Times New Roman" w:hAnsi="Arial" w:cs="Arial"/>
          <w:i/>
          <w:lang w:eastAsia="cs-CZ"/>
        </w:rPr>
        <w:t xml:space="preserve"> v odvětvích podnikatelského sektoru,</w:t>
      </w:r>
    </w:p>
    <w:p w:rsidR="00C41DE7" w:rsidRPr="008E7BFB" w:rsidRDefault="00C41DE7" w:rsidP="008E7BFB">
      <w:pPr>
        <w:numPr>
          <w:ilvl w:val="0"/>
          <w:numId w:val="11"/>
        </w:numPr>
        <w:spacing w:after="0" w:line="360" w:lineRule="auto"/>
        <w:contextualSpacing/>
        <w:jc w:val="both"/>
        <w:rPr>
          <w:rFonts w:ascii="Arial" w:eastAsia="Times New Roman" w:hAnsi="Arial" w:cs="Arial"/>
          <w:i/>
          <w:lang w:eastAsia="cs-CZ"/>
        </w:rPr>
      </w:pPr>
      <w:r w:rsidRPr="008E7BFB">
        <w:rPr>
          <w:rFonts w:ascii="Arial" w:eastAsia="Times New Roman" w:hAnsi="Arial" w:cs="Arial"/>
          <w:i/>
          <w:lang w:eastAsia="cs-CZ"/>
        </w:rPr>
        <w:t>zohlednění strategických vazeb nebo využívání nejnovějších technologií.</w:t>
      </w:r>
    </w:p>
    <w:p w:rsidR="00C41DE7" w:rsidRPr="008E7BFB" w:rsidRDefault="00C41DE7" w:rsidP="00D72475">
      <w:pPr>
        <w:spacing w:after="0" w:line="360" w:lineRule="auto"/>
        <w:ind w:firstLine="709"/>
        <w:jc w:val="both"/>
        <w:rPr>
          <w:rFonts w:ascii="Arial" w:eastAsia="Times New Roman" w:hAnsi="Arial" w:cs="Arial"/>
          <w:lang w:eastAsia="cs-CZ"/>
        </w:rPr>
      </w:pPr>
      <w:r w:rsidRPr="008E7BFB">
        <w:rPr>
          <w:rFonts w:ascii="Arial" w:eastAsia="Times New Roman" w:hAnsi="Arial" w:cs="Arial"/>
          <w:lang w:eastAsia="cs-CZ"/>
        </w:rPr>
        <w:t>Management VaVaI doposud nemohl pracovat s informací o tom, které vědecké poznatky (v návaznosti na členění oborů) jsou nezbytné pro rozvoj odvětví a tím i konkurenceschopnosti a</w:t>
      </w:r>
      <w:r w:rsidR="008F7EB9">
        <w:rPr>
          <w:rFonts w:ascii="Arial" w:eastAsia="Times New Roman" w:hAnsi="Arial" w:cs="Arial"/>
          <w:lang w:eastAsia="cs-CZ"/>
        </w:rPr>
        <w:t> </w:t>
      </w:r>
      <w:r w:rsidRPr="008E7BFB">
        <w:rPr>
          <w:rFonts w:ascii="Arial" w:eastAsia="Times New Roman" w:hAnsi="Arial" w:cs="Arial"/>
          <w:lang w:eastAsia="cs-CZ"/>
        </w:rPr>
        <w:t>zvyšování ekonomických přínosů. Je pravděpodobné, že většina průmyslových odvětví využívá vědecké poznatky napříč vědními obory, přičemž vazbu mezi odvětvím a vědními obory nelze ze</w:t>
      </w:r>
      <w:r w:rsidR="008F7EB9">
        <w:rPr>
          <w:rFonts w:ascii="Arial" w:eastAsia="Times New Roman" w:hAnsi="Arial" w:cs="Arial"/>
          <w:lang w:eastAsia="cs-CZ"/>
        </w:rPr>
        <w:t> </w:t>
      </w:r>
      <w:r w:rsidRPr="008E7BFB">
        <w:rPr>
          <w:rFonts w:ascii="Arial" w:eastAsia="Times New Roman" w:hAnsi="Arial" w:cs="Arial"/>
          <w:lang w:eastAsia="cs-CZ"/>
        </w:rPr>
        <w:t>statistických údajů určit.</w:t>
      </w:r>
    </w:p>
    <w:p w:rsidR="00C41DE7" w:rsidRPr="00C41DE7" w:rsidRDefault="00551F63" w:rsidP="00D72475">
      <w:pPr>
        <w:spacing w:after="0" w:line="360" w:lineRule="auto"/>
        <w:ind w:firstLine="709"/>
        <w:jc w:val="both"/>
        <w:rPr>
          <w:rFonts w:ascii="Times New Roman" w:eastAsia="Times New Roman" w:hAnsi="Times New Roman" w:cs="Times New Roman"/>
          <w:sz w:val="24"/>
          <w:szCs w:val="24"/>
          <w:lang w:eastAsia="cs-CZ"/>
        </w:rPr>
      </w:pPr>
      <w:r>
        <w:rPr>
          <w:rFonts w:ascii="Arial" w:eastAsia="Times New Roman" w:hAnsi="Arial" w:cs="Arial"/>
          <w:lang w:eastAsia="cs-CZ"/>
        </w:rPr>
        <w:t xml:space="preserve">V následující </w:t>
      </w:r>
      <w:r w:rsidR="0042088A">
        <w:rPr>
          <w:rFonts w:ascii="Arial" w:eastAsia="Times New Roman" w:hAnsi="Arial" w:cs="Arial"/>
          <w:lang w:eastAsia="cs-CZ"/>
        </w:rPr>
        <w:t>t</w:t>
      </w:r>
      <w:r>
        <w:rPr>
          <w:rFonts w:ascii="Arial" w:eastAsia="Times New Roman" w:hAnsi="Arial" w:cs="Arial"/>
          <w:lang w:eastAsia="cs-CZ"/>
        </w:rPr>
        <w:t>abulce 8.2</w:t>
      </w:r>
      <w:r w:rsidR="00C41DE7" w:rsidRPr="008E7BFB">
        <w:rPr>
          <w:rFonts w:ascii="Arial" w:eastAsia="Times New Roman" w:hAnsi="Arial" w:cs="Arial"/>
          <w:lang w:eastAsia="cs-CZ"/>
        </w:rPr>
        <w:t xml:space="preserve"> je přehled Sektorových platforem, oranžově zbarvené jsou ty platformy, </w:t>
      </w:r>
      <w:r w:rsidR="00FA0210">
        <w:rPr>
          <w:rFonts w:ascii="Arial" w:eastAsia="Times New Roman" w:hAnsi="Arial" w:cs="Arial"/>
          <w:lang w:eastAsia="cs-CZ"/>
        </w:rPr>
        <w:t>kde již proběhla jednání</w:t>
      </w:r>
      <w:r w:rsidR="00E02893">
        <w:rPr>
          <w:rFonts w:ascii="Arial" w:eastAsia="Times New Roman" w:hAnsi="Arial" w:cs="Arial"/>
          <w:lang w:eastAsia="cs-CZ"/>
        </w:rPr>
        <w:t>.</w:t>
      </w:r>
    </w:p>
    <w:p w:rsidR="00C41DE7" w:rsidRPr="00C41DE7" w:rsidRDefault="00C41DE7" w:rsidP="00C41DE7">
      <w:pPr>
        <w:rPr>
          <w:rFonts w:ascii="Times New Roman" w:eastAsia="Times New Roman" w:hAnsi="Times New Roman" w:cs="Times New Roman"/>
          <w:sz w:val="24"/>
          <w:szCs w:val="24"/>
          <w:lang w:eastAsia="cs-CZ"/>
        </w:rPr>
        <w:sectPr w:rsidR="00C41DE7" w:rsidRPr="00C41DE7" w:rsidSect="00E540D1">
          <w:pgSz w:w="11906" w:h="16838"/>
          <w:pgMar w:top="1134" w:right="1134" w:bottom="1134" w:left="1134" w:header="709" w:footer="709" w:gutter="0"/>
          <w:cols w:space="708"/>
          <w:docGrid w:linePitch="360"/>
        </w:sectPr>
      </w:pPr>
    </w:p>
    <w:p w:rsidR="00C41DE7" w:rsidRPr="00C41DE7" w:rsidRDefault="004D56D7" w:rsidP="000C142B">
      <w:pPr>
        <w:pStyle w:val="Obrzek-nadpis"/>
        <w:rPr>
          <w:i/>
          <w:sz w:val="20"/>
          <w:szCs w:val="20"/>
        </w:rPr>
      </w:pPr>
      <w:r>
        <w:lastRenderedPageBreak/>
        <w:t>Tab. 8.2</w:t>
      </w:r>
      <w:r w:rsidR="00C41DE7" w:rsidRPr="00C41DE7">
        <w:t xml:space="preserve">: Seznam Sektorových platforem koordinovaných </w:t>
      </w:r>
      <w:r w:rsidR="00A623DC">
        <w:t>S</w:t>
      </w:r>
      <w:r w:rsidR="00C41DE7" w:rsidRPr="00C41DE7">
        <w:t>ekcí VVI</w:t>
      </w:r>
    </w:p>
    <w:tbl>
      <w:tblPr>
        <w:tblW w:w="14077" w:type="dxa"/>
        <w:jc w:val="center"/>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95"/>
        <w:gridCol w:w="2516"/>
        <w:gridCol w:w="3232"/>
        <w:gridCol w:w="1139"/>
        <w:gridCol w:w="1139"/>
        <w:gridCol w:w="1139"/>
        <w:gridCol w:w="1139"/>
        <w:gridCol w:w="1280"/>
        <w:gridCol w:w="998"/>
      </w:tblGrid>
      <w:tr w:rsidR="00471FC6" w:rsidRPr="00C41DE7" w:rsidTr="006F678C">
        <w:trPr>
          <w:trHeight w:val="314"/>
          <w:tblHeader/>
          <w:jc w:val="center"/>
        </w:trPr>
        <w:tc>
          <w:tcPr>
            <w:tcW w:w="1495" w:type="dxa"/>
            <w:vMerge w:val="restart"/>
            <w:shd w:val="clear" w:color="000000" w:fill="D9D9D9"/>
            <w:vAlign w:val="center"/>
            <w:hideMark/>
          </w:tcPr>
          <w:p w:rsidR="00471FC6" w:rsidRPr="00C41DE7" w:rsidRDefault="00471FC6" w:rsidP="00C41DE7">
            <w:pPr>
              <w:spacing w:after="0" w:line="240" w:lineRule="auto"/>
              <w:jc w:val="center"/>
              <w:rPr>
                <w:rFonts w:ascii="Arial" w:eastAsia="Times New Roman" w:hAnsi="Arial" w:cs="Arial"/>
                <w:b/>
                <w:bCs/>
                <w:color w:val="000000"/>
                <w:sz w:val="18"/>
                <w:szCs w:val="18"/>
                <w:lang w:eastAsia="cs-CZ"/>
              </w:rPr>
            </w:pPr>
            <w:r w:rsidRPr="00C41DE7">
              <w:rPr>
                <w:rFonts w:ascii="Arial" w:eastAsia="Times New Roman" w:hAnsi="Arial" w:cs="Arial"/>
                <w:b/>
                <w:bCs/>
                <w:color w:val="000000"/>
                <w:sz w:val="18"/>
                <w:szCs w:val="18"/>
                <w:lang w:eastAsia="cs-CZ"/>
              </w:rPr>
              <w:t>CZ-NACE</w:t>
            </w:r>
          </w:p>
        </w:tc>
        <w:tc>
          <w:tcPr>
            <w:tcW w:w="2516" w:type="dxa"/>
            <w:vMerge w:val="restart"/>
            <w:shd w:val="clear" w:color="000000" w:fill="D9D9D9"/>
            <w:vAlign w:val="center"/>
            <w:hideMark/>
          </w:tcPr>
          <w:p w:rsidR="00471FC6" w:rsidRPr="00C41DE7" w:rsidRDefault="00471FC6" w:rsidP="00C41DE7">
            <w:pPr>
              <w:spacing w:after="0" w:line="240" w:lineRule="auto"/>
              <w:jc w:val="center"/>
              <w:rPr>
                <w:rFonts w:ascii="Arial" w:eastAsia="Times New Roman" w:hAnsi="Arial" w:cs="Arial"/>
                <w:b/>
                <w:bCs/>
                <w:color w:val="000000"/>
                <w:sz w:val="18"/>
                <w:szCs w:val="18"/>
                <w:lang w:eastAsia="cs-CZ"/>
              </w:rPr>
            </w:pPr>
            <w:r w:rsidRPr="00C41DE7">
              <w:rPr>
                <w:rFonts w:ascii="Arial" w:eastAsia="Times New Roman" w:hAnsi="Arial" w:cs="Arial"/>
                <w:b/>
                <w:bCs/>
                <w:color w:val="000000"/>
                <w:sz w:val="18"/>
                <w:szCs w:val="18"/>
                <w:lang w:eastAsia="cs-CZ"/>
              </w:rPr>
              <w:t>Odvětví</w:t>
            </w:r>
          </w:p>
        </w:tc>
        <w:tc>
          <w:tcPr>
            <w:tcW w:w="10066" w:type="dxa"/>
            <w:gridSpan w:val="7"/>
            <w:shd w:val="clear" w:color="000000" w:fill="D9D9D9"/>
            <w:vAlign w:val="center"/>
            <w:hideMark/>
          </w:tcPr>
          <w:p w:rsidR="00471FC6" w:rsidRPr="00C41DE7" w:rsidRDefault="00471FC6" w:rsidP="00C41DE7">
            <w:pPr>
              <w:spacing w:after="0" w:line="240" w:lineRule="auto"/>
              <w:jc w:val="center"/>
              <w:rPr>
                <w:rFonts w:ascii="Arial" w:eastAsia="Times New Roman" w:hAnsi="Arial" w:cs="Arial"/>
                <w:b/>
                <w:bCs/>
                <w:color w:val="000000"/>
                <w:sz w:val="24"/>
                <w:szCs w:val="24"/>
                <w:lang w:eastAsia="cs-CZ"/>
              </w:rPr>
            </w:pPr>
            <w:r w:rsidRPr="00C41DE7">
              <w:rPr>
                <w:rFonts w:ascii="Arial" w:eastAsia="Times New Roman" w:hAnsi="Arial" w:cs="Arial"/>
                <w:b/>
                <w:bCs/>
                <w:color w:val="000000"/>
                <w:sz w:val="24"/>
                <w:szCs w:val="24"/>
                <w:lang w:eastAsia="cs-CZ"/>
              </w:rPr>
              <w:t>Sektorová platforma</w:t>
            </w:r>
          </w:p>
        </w:tc>
      </w:tr>
      <w:tr w:rsidR="00471FC6" w:rsidRPr="00C41DE7" w:rsidTr="006F678C">
        <w:trPr>
          <w:trHeight w:val="328"/>
          <w:tblHeader/>
          <w:jc w:val="center"/>
        </w:trPr>
        <w:tc>
          <w:tcPr>
            <w:tcW w:w="1495" w:type="dxa"/>
            <w:vMerge/>
            <w:vAlign w:val="center"/>
            <w:hideMark/>
          </w:tcPr>
          <w:p w:rsidR="00471FC6" w:rsidRPr="00C41DE7" w:rsidRDefault="00471FC6" w:rsidP="00C41DE7">
            <w:pPr>
              <w:spacing w:after="0" w:line="240" w:lineRule="auto"/>
              <w:rPr>
                <w:rFonts w:ascii="Arial" w:eastAsia="Times New Roman" w:hAnsi="Arial" w:cs="Arial"/>
                <w:b/>
                <w:bCs/>
                <w:color w:val="000000"/>
                <w:sz w:val="18"/>
                <w:szCs w:val="18"/>
                <w:lang w:eastAsia="cs-CZ"/>
              </w:rPr>
            </w:pPr>
          </w:p>
        </w:tc>
        <w:tc>
          <w:tcPr>
            <w:tcW w:w="2516" w:type="dxa"/>
            <w:vMerge/>
            <w:vAlign w:val="center"/>
            <w:hideMark/>
          </w:tcPr>
          <w:p w:rsidR="00471FC6" w:rsidRPr="00C41DE7" w:rsidRDefault="00471FC6" w:rsidP="00C41DE7">
            <w:pPr>
              <w:spacing w:after="0" w:line="240" w:lineRule="auto"/>
              <w:rPr>
                <w:rFonts w:ascii="Arial" w:eastAsia="Times New Roman" w:hAnsi="Arial" w:cs="Arial"/>
                <w:b/>
                <w:bCs/>
                <w:color w:val="000000"/>
                <w:sz w:val="18"/>
                <w:szCs w:val="18"/>
                <w:lang w:eastAsia="cs-CZ"/>
              </w:rPr>
            </w:pPr>
          </w:p>
        </w:tc>
        <w:tc>
          <w:tcPr>
            <w:tcW w:w="3232" w:type="dxa"/>
            <w:vMerge w:val="restart"/>
            <w:shd w:val="clear" w:color="000000" w:fill="D9D9D9"/>
            <w:vAlign w:val="center"/>
            <w:hideMark/>
          </w:tcPr>
          <w:p w:rsidR="00471FC6" w:rsidRPr="00C41DE7" w:rsidRDefault="00471FC6" w:rsidP="00C41DE7">
            <w:pPr>
              <w:spacing w:after="0" w:line="240" w:lineRule="auto"/>
              <w:jc w:val="center"/>
              <w:rPr>
                <w:rFonts w:ascii="Arial" w:eastAsia="Times New Roman" w:hAnsi="Arial" w:cs="Arial"/>
                <w:b/>
                <w:bCs/>
                <w:color w:val="000000"/>
                <w:sz w:val="24"/>
                <w:szCs w:val="24"/>
                <w:lang w:eastAsia="cs-CZ"/>
              </w:rPr>
            </w:pPr>
            <w:r w:rsidRPr="00C41DE7">
              <w:rPr>
                <w:rFonts w:ascii="Arial" w:eastAsia="Times New Roman" w:hAnsi="Arial" w:cs="Arial"/>
                <w:b/>
                <w:bCs/>
                <w:color w:val="000000"/>
                <w:sz w:val="24"/>
                <w:szCs w:val="24"/>
                <w:lang w:eastAsia="cs-CZ"/>
              </w:rPr>
              <w:t>Název</w:t>
            </w:r>
          </w:p>
        </w:tc>
        <w:tc>
          <w:tcPr>
            <w:tcW w:w="6834" w:type="dxa"/>
            <w:gridSpan w:val="6"/>
            <w:tcBorders>
              <w:bottom w:val="single" w:sz="4" w:space="0" w:color="auto"/>
            </w:tcBorders>
            <w:shd w:val="clear" w:color="000000" w:fill="D9D9D9"/>
            <w:vAlign w:val="center"/>
            <w:hideMark/>
          </w:tcPr>
          <w:p w:rsidR="00471FC6" w:rsidRPr="00C41DE7" w:rsidRDefault="00471FC6" w:rsidP="00C41DE7">
            <w:pPr>
              <w:spacing w:after="0" w:line="240" w:lineRule="auto"/>
              <w:jc w:val="center"/>
              <w:rPr>
                <w:rFonts w:ascii="Arial" w:eastAsia="Times New Roman" w:hAnsi="Arial" w:cs="Arial"/>
                <w:b/>
                <w:bCs/>
                <w:color w:val="000000"/>
                <w:sz w:val="24"/>
                <w:szCs w:val="24"/>
                <w:lang w:eastAsia="cs-CZ"/>
              </w:rPr>
            </w:pPr>
            <w:r w:rsidRPr="00C41DE7">
              <w:rPr>
                <w:rFonts w:ascii="Arial" w:eastAsia="Times New Roman" w:hAnsi="Arial" w:cs="Arial"/>
                <w:b/>
                <w:bCs/>
                <w:color w:val="000000"/>
                <w:sz w:val="24"/>
                <w:szCs w:val="24"/>
                <w:lang w:eastAsia="cs-CZ"/>
              </w:rPr>
              <w:t>Charakteristika</w:t>
            </w:r>
          </w:p>
        </w:tc>
      </w:tr>
      <w:tr w:rsidR="00115879" w:rsidRPr="00C41DE7" w:rsidTr="006F678C">
        <w:trPr>
          <w:trHeight w:val="685"/>
          <w:jc w:val="center"/>
        </w:trPr>
        <w:tc>
          <w:tcPr>
            <w:tcW w:w="1495" w:type="dxa"/>
            <w:vMerge/>
            <w:shd w:val="clear" w:color="auto" w:fill="auto"/>
            <w:noWrap/>
            <w:vAlign w:val="center"/>
          </w:tcPr>
          <w:p w:rsidR="00471FC6" w:rsidRPr="00C41DE7" w:rsidRDefault="00471FC6" w:rsidP="00C41DE7">
            <w:pPr>
              <w:spacing w:after="0" w:line="240" w:lineRule="auto"/>
              <w:jc w:val="center"/>
              <w:rPr>
                <w:rFonts w:ascii="Arial" w:eastAsia="Times New Roman" w:hAnsi="Arial" w:cs="Arial"/>
                <w:color w:val="000000"/>
                <w:sz w:val="18"/>
                <w:szCs w:val="18"/>
                <w:lang w:eastAsia="cs-CZ"/>
              </w:rPr>
            </w:pPr>
          </w:p>
        </w:tc>
        <w:tc>
          <w:tcPr>
            <w:tcW w:w="2516" w:type="dxa"/>
            <w:vMerge/>
            <w:shd w:val="clear" w:color="auto" w:fill="auto"/>
            <w:vAlign w:val="center"/>
          </w:tcPr>
          <w:p w:rsidR="00471FC6" w:rsidRPr="00C41DE7" w:rsidRDefault="00471FC6" w:rsidP="00C41DE7">
            <w:pPr>
              <w:spacing w:after="0" w:line="240" w:lineRule="auto"/>
              <w:ind w:firstLineChars="100" w:firstLine="181"/>
              <w:rPr>
                <w:rFonts w:ascii="Arial" w:eastAsia="Times New Roman" w:hAnsi="Arial" w:cs="Arial"/>
                <w:b/>
                <w:bCs/>
                <w:color w:val="000000"/>
                <w:sz w:val="18"/>
                <w:szCs w:val="18"/>
                <w:lang w:eastAsia="cs-CZ"/>
              </w:rPr>
            </w:pPr>
          </w:p>
        </w:tc>
        <w:tc>
          <w:tcPr>
            <w:tcW w:w="3232" w:type="dxa"/>
            <w:vMerge/>
            <w:shd w:val="clear" w:color="auto" w:fill="auto"/>
            <w:vAlign w:val="center"/>
          </w:tcPr>
          <w:p w:rsidR="00471FC6" w:rsidRPr="00C41DE7" w:rsidRDefault="00471FC6" w:rsidP="00C41DE7">
            <w:pPr>
              <w:spacing w:after="0" w:line="240" w:lineRule="auto"/>
              <w:jc w:val="center"/>
              <w:rPr>
                <w:rFonts w:ascii="Arial" w:eastAsia="Times New Roman" w:hAnsi="Arial" w:cs="Arial"/>
                <w:b/>
                <w:bCs/>
                <w:color w:val="000000"/>
                <w:sz w:val="18"/>
                <w:szCs w:val="18"/>
                <w:lang w:eastAsia="cs-CZ"/>
              </w:rPr>
            </w:pPr>
          </w:p>
        </w:tc>
        <w:tc>
          <w:tcPr>
            <w:tcW w:w="1139" w:type="dxa"/>
            <w:vMerge w:val="restart"/>
            <w:shd w:val="clear" w:color="auto" w:fill="D9D9D9" w:themeFill="background1" w:themeFillShade="D9"/>
            <w:vAlign w:val="center"/>
          </w:tcPr>
          <w:p w:rsidR="00471FC6" w:rsidRPr="00471FC6" w:rsidRDefault="00471FC6" w:rsidP="00115879">
            <w:pPr>
              <w:spacing w:after="0" w:line="240" w:lineRule="auto"/>
              <w:jc w:val="center"/>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Podíl na BERD v</w:t>
            </w:r>
            <w:r w:rsidR="00285947">
              <w:rPr>
                <w:rFonts w:ascii="Arial" w:eastAsia="Times New Roman" w:hAnsi="Arial" w:cs="Arial"/>
                <w:b/>
                <w:bCs/>
                <w:color w:val="000000"/>
                <w:sz w:val="16"/>
                <w:szCs w:val="16"/>
                <w:lang w:eastAsia="cs-CZ"/>
              </w:rPr>
              <w:t> </w:t>
            </w:r>
            <w:r w:rsidRPr="00471FC6">
              <w:rPr>
                <w:rFonts w:ascii="Arial" w:eastAsia="Times New Roman" w:hAnsi="Arial" w:cs="Arial"/>
                <w:b/>
                <w:bCs/>
                <w:color w:val="000000"/>
                <w:sz w:val="16"/>
                <w:szCs w:val="16"/>
                <w:lang w:eastAsia="cs-CZ"/>
              </w:rPr>
              <w:t>%</w:t>
            </w:r>
          </w:p>
        </w:tc>
        <w:tc>
          <w:tcPr>
            <w:tcW w:w="2278" w:type="dxa"/>
            <w:gridSpan w:val="2"/>
            <w:tcBorders>
              <w:bottom w:val="single" w:sz="4" w:space="0" w:color="auto"/>
            </w:tcBorders>
            <w:shd w:val="clear" w:color="auto" w:fill="D9D9D9" w:themeFill="background1" w:themeFillShade="D9"/>
            <w:vAlign w:val="center"/>
          </w:tcPr>
          <w:p w:rsidR="00471FC6" w:rsidRPr="00471FC6" w:rsidRDefault="00471FC6" w:rsidP="00115879">
            <w:pPr>
              <w:jc w:val="center"/>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 xml:space="preserve">Počet subjektů provádějících </w:t>
            </w:r>
            <w:proofErr w:type="spellStart"/>
            <w:r w:rsidRPr="00471FC6">
              <w:rPr>
                <w:rFonts w:ascii="Arial" w:eastAsia="Times New Roman" w:hAnsi="Arial" w:cs="Arial"/>
                <w:b/>
                <w:bCs/>
                <w:color w:val="000000"/>
                <w:sz w:val="16"/>
                <w:szCs w:val="16"/>
                <w:lang w:eastAsia="cs-CZ"/>
              </w:rPr>
              <w:t>VaV</w:t>
            </w:r>
            <w:proofErr w:type="spellEnd"/>
            <w:r w:rsidRPr="00471FC6">
              <w:rPr>
                <w:rFonts w:ascii="Arial" w:eastAsia="Times New Roman" w:hAnsi="Arial" w:cs="Arial"/>
                <w:b/>
                <w:bCs/>
                <w:color w:val="000000"/>
                <w:sz w:val="16"/>
                <w:szCs w:val="16"/>
                <w:lang w:eastAsia="cs-CZ"/>
              </w:rPr>
              <w:t xml:space="preserve"> (průměr za roky 2009-2012)</w:t>
            </w:r>
          </w:p>
        </w:tc>
        <w:tc>
          <w:tcPr>
            <w:tcW w:w="1139" w:type="dxa"/>
            <w:vMerge w:val="restart"/>
            <w:shd w:val="clear" w:color="auto" w:fill="D9D9D9" w:themeFill="background1" w:themeFillShade="D9"/>
            <w:vAlign w:val="center"/>
          </w:tcPr>
          <w:p w:rsidR="00471FC6" w:rsidRPr="00471FC6" w:rsidRDefault="00471FC6" w:rsidP="00115879">
            <w:pPr>
              <w:jc w:val="center"/>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Podíl na HPH v %</w:t>
            </w:r>
          </w:p>
        </w:tc>
        <w:tc>
          <w:tcPr>
            <w:tcW w:w="1280" w:type="dxa"/>
            <w:vMerge w:val="restart"/>
            <w:shd w:val="clear" w:color="auto" w:fill="D9D9D9" w:themeFill="background1" w:themeFillShade="D9"/>
            <w:vAlign w:val="center"/>
          </w:tcPr>
          <w:p w:rsidR="00471FC6" w:rsidRPr="00471FC6" w:rsidRDefault="00471FC6" w:rsidP="00115879">
            <w:pPr>
              <w:jc w:val="center"/>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Podíl na celkovém počtu zaměstnanců v</w:t>
            </w:r>
            <w:r w:rsidR="00285947">
              <w:rPr>
                <w:rFonts w:ascii="Arial" w:eastAsia="Times New Roman" w:hAnsi="Arial" w:cs="Arial"/>
                <w:b/>
                <w:bCs/>
                <w:color w:val="000000"/>
                <w:sz w:val="16"/>
                <w:szCs w:val="16"/>
                <w:lang w:eastAsia="cs-CZ"/>
              </w:rPr>
              <w:t> </w:t>
            </w:r>
            <w:r w:rsidRPr="00471FC6">
              <w:rPr>
                <w:rFonts w:ascii="Arial" w:eastAsia="Times New Roman" w:hAnsi="Arial" w:cs="Arial"/>
                <w:b/>
                <w:bCs/>
                <w:color w:val="000000"/>
                <w:sz w:val="16"/>
                <w:szCs w:val="16"/>
                <w:lang w:eastAsia="cs-CZ"/>
              </w:rPr>
              <w:t>%</w:t>
            </w:r>
          </w:p>
        </w:tc>
        <w:tc>
          <w:tcPr>
            <w:tcW w:w="998" w:type="dxa"/>
            <w:vMerge w:val="restart"/>
            <w:shd w:val="clear" w:color="auto" w:fill="D9D9D9" w:themeFill="background1" w:themeFillShade="D9"/>
            <w:vAlign w:val="center"/>
          </w:tcPr>
          <w:p w:rsidR="00471FC6" w:rsidRPr="00471FC6" w:rsidRDefault="00471FC6" w:rsidP="00115879">
            <w:pPr>
              <w:jc w:val="center"/>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Počet podniků</w:t>
            </w:r>
          </w:p>
        </w:tc>
      </w:tr>
      <w:tr w:rsidR="00EE6F3D" w:rsidRPr="00C41DE7" w:rsidTr="006F678C">
        <w:trPr>
          <w:trHeight w:val="257"/>
          <w:jc w:val="center"/>
        </w:trPr>
        <w:tc>
          <w:tcPr>
            <w:tcW w:w="1495" w:type="dxa"/>
            <w:vMerge/>
            <w:shd w:val="clear" w:color="auto" w:fill="auto"/>
            <w:noWrap/>
            <w:vAlign w:val="center"/>
          </w:tcPr>
          <w:p w:rsidR="00471FC6" w:rsidRPr="00C41DE7" w:rsidRDefault="00471FC6" w:rsidP="00C41DE7">
            <w:pPr>
              <w:spacing w:after="0" w:line="240" w:lineRule="auto"/>
              <w:jc w:val="center"/>
              <w:rPr>
                <w:rFonts w:ascii="Arial" w:eastAsia="Times New Roman" w:hAnsi="Arial" w:cs="Arial"/>
                <w:color w:val="000000"/>
                <w:sz w:val="18"/>
                <w:szCs w:val="18"/>
                <w:lang w:eastAsia="cs-CZ"/>
              </w:rPr>
            </w:pPr>
          </w:p>
        </w:tc>
        <w:tc>
          <w:tcPr>
            <w:tcW w:w="2516" w:type="dxa"/>
            <w:vMerge/>
            <w:shd w:val="clear" w:color="auto" w:fill="auto"/>
            <w:vAlign w:val="center"/>
          </w:tcPr>
          <w:p w:rsidR="00471FC6" w:rsidRPr="00C41DE7" w:rsidRDefault="00471FC6" w:rsidP="00C41DE7">
            <w:pPr>
              <w:spacing w:after="0" w:line="240" w:lineRule="auto"/>
              <w:ind w:firstLineChars="100" w:firstLine="181"/>
              <w:rPr>
                <w:rFonts w:ascii="Arial" w:eastAsia="Times New Roman" w:hAnsi="Arial" w:cs="Arial"/>
                <w:b/>
                <w:bCs/>
                <w:color w:val="000000"/>
                <w:sz w:val="18"/>
                <w:szCs w:val="18"/>
                <w:lang w:eastAsia="cs-CZ"/>
              </w:rPr>
            </w:pPr>
          </w:p>
        </w:tc>
        <w:tc>
          <w:tcPr>
            <w:tcW w:w="3232" w:type="dxa"/>
            <w:vMerge/>
            <w:shd w:val="clear" w:color="auto" w:fill="auto"/>
            <w:vAlign w:val="center"/>
          </w:tcPr>
          <w:p w:rsidR="00471FC6" w:rsidRPr="00C41DE7" w:rsidRDefault="00471FC6" w:rsidP="00C41DE7">
            <w:pPr>
              <w:spacing w:after="0" w:line="240" w:lineRule="auto"/>
              <w:jc w:val="center"/>
              <w:rPr>
                <w:rFonts w:ascii="Arial" w:eastAsia="Times New Roman" w:hAnsi="Arial" w:cs="Arial"/>
                <w:b/>
                <w:bCs/>
                <w:color w:val="000000"/>
                <w:sz w:val="18"/>
                <w:szCs w:val="18"/>
                <w:lang w:eastAsia="cs-CZ"/>
              </w:rPr>
            </w:pPr>
          </w:p>
        </w:tc>
        <w:tc>
          <w:tcPr>
            <w:tcW w:w="1139" w:type="dxa"/>
            <w:vMerge/>
            <w:shd w:val="clear" w:color="auto" w:fill="auto"/>
            <w:vAlign w:val="center"/>
          </w:tcPr>
          <w:p w:rsidR="00471FC6" w:rsidRDefault="00471FC6">
            <w:pPr>
              <w:jc w:val="right"/>
              <w:rPr>
                <w:rFonts w:ascii="Arial" w:hAnsi="Arial" w:cs="Arial"/>
                <w:b/>
                <w:bCs/>
                <w:color w:val="000000"/>
                <w:sz w:val="18"/>
                <w:szCs w:val="18"/>
              </w:rPr>
            </w:pPr>
          </w:p>
        </w:tc>
        <w:tc>
          <w:tcPr>
            <w:tcW w:w="1139" w:type="dxa"/>
            <w:shd w:val="clear" w:color="auto" w:fill="D9D9D9" w:themeFill="background1" w:themeFillShade="D9"/>
            <w:vAlign w:val="center"/>
          </w:tcPr>
          <w:p w:rsidR="00471FC6" w:rsidRPr="00115879" w:rsidRDefault="00471FC6" w:rsidP="00471FC6">
            <w:pPr>
              <w:spacing w:after="0" w:line="240" w:lineRule="auto"/>
              <w:jc w:val="center"/>
              <w:rPr>
                <w:rFonts w:ascii="Arial" w:eastAsia="Times New Roman" w:hAnsi="Arial" w:cs="Arial"/>
                <w:b/>
                <w:bCs/>
                <w:color w:val="000000"/>
                <w:sz w:val="16"/>
                <w:szCs w:val="16"/>
                <w:lang w:eastAsia="cs-CZ"/>
              </w:rPr>
            </w:pPr>
            <w:r w:rsidRPr="00115879">
              <w:rPr>
                <w:rFonts w:ascii="Arial" w:eastAsia="Times New Roman" w:hAnsi="Arial" w:cs="Arial"/>
                <w:b/>
                <w:bCs/>
                <w:color w:val="000000"/>
                <w:sz w:val="16"/>
                <w:szCs w:val="16"/>
                <w:lang w:eastAsia="cs-CZ"/>
              </w:rPr>
              <w:t>Celkem</w:t>
            </w:r>
          </w:p>
        </w:tc>
        <w:tc>
          <w:tcPr>
            <w:tcW w:w="1139" w:type="dxa"/>
            <w:shd w:val="clear" w:color="auto" w:fill="D9D9D9" w:themeFill="background1" w:themeFillShade="D9"/>
            <w:vAlign w:val="center"/>
          </w:tcPr>
          <w:p w:rsidR="00471FC6" w:rsidRPr="00115879" w:rsidRDefault="00471FC6" w:rsidP="00471FC6">
            <w:pPr>
              <w:spacing w:after="0" w:line="240" w:lineRule="auto"/>
              <w:jc w:val="center"/>
              <w:rPr>
                <w:rFonts w:ascii="Arial" w:eastAsia="Times New Roman" w:hAnsi="Arial" w:cs="Arial"/>
                <w:b/>
                <w:bCs/>
                <w:color w:val="000000"/>
                <w:sz w:val="16"/>
                <w:szCs w:val="16"/>
                <w:lang w:eastAsia="cs-CZ"/>
              </w:rPr>
            </w:pPr>
            <w:r w:rsidRPr="00115879">
              <w:rPr>
                <w:rFonts w:ascii="Arial" w:eastAsia="Times New Roman" w:hAnsi="Arial" w:cs="Arial"/>
                <w:b/>
                <w:bCs/>
                <w:color w:val="000000"/>
                <w:sz w:val="16"/>
                <w:szCs w:val="16"/>
                <w:lang w:eastAsia="cs-CZ"/>
              </w:rPr>
              <w:t>Z toho MSP</w:t>
            </w:r>
          </w:p>
        </w:tc>
        <w:tc>
          <w:tcPr>
            <w:tcW w:w="1139" w:type="dxa"/>
            <w:vMerge/>
            <w:vAlign w:val="center"/>
          </w:tcPr>
          <w:p w:rsidR="00471FC6" w:rsidRPr="00C41DE7" w:rsidRDefault="00471FC6" w:rsidP="00D24DDF">
            <w:pPr>
              <w:spacing w:after="0" w:line="240" w:lineRule="auto"/>
              <w:jc w:val="center"/>
              <w:rPr>
                <w:rFonts w:ascii="Arial" w:eastAsia="Times New Roman" w:hAnsi="Arial" w:cs="Arial"/>
                <w:b/>
                <w:bCs/>
                <w:color w:val="000000"/>
                <w:sz w:val="18"/>
                <w:szCs w:val="18"/>
                <w:lang w:eastAsia="cs-CZ"/>
              </w:rPr>
            </w:pPr>
          </w:p>
        </w:tc>
        <w:tc>
          <w:tcPr>
            <w:tcW w:w="1280" w:type="dxa"/>
            <w:vMerge/>
          </w:tcPr>
          <w:p w:rsidR="00471FC6" w:rsidRPr="00C41DE7" w:rsidRDefault="00471FC6" w:rsidP="00D24DDF">
            <w:pPr>
              <w:spacing w:after="0" w:line="240" w:lineRule="auto"/>
              <w:jc w:val="center"/>
              <w:rPr>
                <w:rFonts w:ascii="Arial" w:eastAsia="Times New Roman" w:hAnsi="Arial" w:cs="Arial"/>
                <w:b/>
                <w:bCs/>
                <w:color w:val="000000"/>
                <w:sz w:val="18"/>
                <w:szCs w:val="18"/>
                <w:lang w:eastAsia="cs-CZ"/>
              </w:rPr>
            </w:pPr>
          </w:p>
        </w:tc>
        <w:tc>
          <w:tcPr>
            <w:tcW w:w="998" w:type="dxa"/>
            <w:vMerge/>
          </w:tcPr>
          <w:p w:rsidR="00471FC6" w:rsidRPr="00C41DE7" w:rsidRDefault="00471FC6" w:rsidP="00D24DDF">
            <w:pPr>
              <w:spacing w:after="0" w:line="240" w:lineRule="auto"/>
              <w:jc w:val="center"/>
              <w:rPr>
                <w:rFonts w:ascii="Arial" w:eastAsia="Times New Roman" w:hAnsi="Arial" w:cs="Arial"/>
                <w:b/>
                <w:bCs/>
                <w:color w:val="000000"/>
                <w:sz w:val="18"/>
                <w:szCs w:val="18"/>
                <w:lang w:eastAsia="cs-CZ"/>
              </w:rPr>
            </w:pPr>
          </w:p>
        </w:tc>
      </w:tr>
      <w:tr w:rsidR="00611C08" w:rsidRPr="00C41DE7" w:rsidTr="006F678C">
        <w:trPr>
          <w:trHeight w:val="831"/>
          <w:jc w:val="center"/>
        </w:trPr>
        <w:tc>
          <w:tcPr>
            <w:tcW w:w="1495" w:type="dxa"/>
            <w:shd w:val="clear" w:color="auto" w:fill="auto"/>
            <w:noWrap/>
            <w:vAlign w:val="center"/>
            <w:hideMark/>
          </w:tcPr>
          <w:p w:rsidR="00042809" w:rsidRPr="00C41DE7" w:rsidRDefault="00042809" w:rsidP="00C41DE7">
            <w:pPr>
              <w:spacing w:after="0" w:line="240" w:lineRule="auto"/>
              <w:jc w:val="center"/>
              <w:rPr>
                <w:rFonts w:ascii="Arial" w:eastAsia="Times New Roman" w:hAnsi="Arial" w:cs="Arial"/>
                <w:color w:val="000000"/>
                <w:sz w:val="18"/>
                <w:szCs w:val="18"/>
                <w:lang w:eastAsia="cs-CZ"/>
              </w:rPr>
            </w:pPr>
            <w:r w:rsidRPr="00C41DE7">
              <w:rPr>
                <w:rFonts w:ascii="Arial" w:eastAsia="Times New Roman" w:hAnsi="Arial" w:cs="Arial"/>
                <w:color w:val="000000"/>
                <w:sz w:val="18"/>
                <w:szCs w:val="18"/>
                <w:lang w:eastAsia="cs-CZ"/>
              </w:rPr>
              <w:t>72</w:t>
            </w:r>
          </w:p>
        </w:tc>
        <w:tc>
          <w:tcPr>
            <w:tcW w:w="2516" w:type="dxa"/>
            <w:shd w:val="clear" w:color="auto" w:fill="auto"/>
            <w:vAlign w:val="center"/>
            <w:hideMark/>
          </w:tcPr>
          <w:p w:rsidR="00042809" w:rsidRPr="00471FC6" w:rsidRDefault="00042809" w:rsidP="00471FC6">
            <w:pPr>
              <w:spacing w:after="0" w:line="240" w:lineRule="auto"/>
              <w:ind w:firstLineChars="100" w:firstLine="161"/>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Výzkum a vývoj</w:t>
            </w:r>
          </w:p>
        </w:tc>
        <w:tc>
          <w:tcPr>
            <w:tcW w:w="3232" w:type="dxa"/>
            <w:shd w:val="clear" w:color="auto" w:fill="auto"/>
            <w:vAlign w:val="center"/>
            <w:hideMark/>
          </w:tcPr>
          <w:p w:rsidR="00042809" w:rsidRPr="00C41DE7" w:rsidRDefault="00042809" w:rsidP="00C41DE7">
            <w:pPr>
              <w:spacing w:after="0" w:line="240" w:lineRule="auto"/>
              <w:jc w:val="center"/>
              <w:rPr>
                <w:rFonts w:ascii="Arial" w:eastAsia="Times New Roman" w:hAnsi="Arial" w:cs="Arial"/>
                <w:b/>
                <w:bCs/>
                <w:color w:val="000000"/>
                <w:sz w:val="18"/>
                <w:szCs w:val="18"/>
                <w:lang w:eastAsia="cs-CZ"/>
              </w:rPr>
            </w:pPr>
            <w:r w:rsidRPr="00C41DE7">
              <w:rPr>
                <w:rFonts w:ascii="Arial" w:eastAsia="Times New Roman" w:hAnsi="Arial" w:cs="Arial"/>
                <w:b/>
                <w:bCs/>
                <w:color w:val="000000"/>
                <w:sz w:val="18"/>
                <w:szCs w:val="18"/>
                <w:lang w:eastAsia="cs-CZ"/>
              </w:rPr>
              <w:t>Do tohoto odvětví patří výzkumné instituce, kterým se ÚV VVI věnuje jiným způsobem.</w:t>
            </w:r>
          </w:p>
        </w:tc>
        <w:tc>
          <w:tcPr>
            <w:tcW w:w="1139" w:type="dxa"/>
            <w:shd w:val="clear" w:color="auto" w:fill="auto"/>
            <w:vAlign w:val="center"/>
          </w:tcPr>
          <w:p w:rsidR="00042809" w:rsidRPr="00EE6F3D" w:rsidRDefault="00042809" w:rsidP="00EE6F3D">
            <w:pPr>
              <w:spacing w:after="0" w:line="240" w:lineRule="auto"/>
              <w:jc w:val="center"/>
              <w:rPr>
                <w:rFonts w:ascii="Arial" w:eastAsia="Times New Roman" w:hAnsi="Arial" w:cs="Arial"/>
                <w:b/>
                <w:bCs/>
                <w:color w:val="000000"/>
                <w:sz w:val="18"/>
                <w:szCs w:val="18"/>
                <w:lang w:eastAsia="cs-CZ"/>
              </w:rPr>
            </w:pPr>
            <w:r w:rsidRPr="00EE6F3D">
              <w:rPr>
                <w:rFonts w:ascii="Arial" w:eastAsia="Times New Roman" w:hAnsi="Arial" w:cs="Arial"/>
                <w:b/>
                <w:bCs/>
                <w:color w:val="000000"/>
                <w:sz w:val="18"/>
                <w:szCs w:val="18"/>
                <w:lang w:eastAsia="cs-CZ"/>
              </w:rPr>
              <w:t>13,90%</w:t>
            </w:r>
          </w:p>
        </w:tc>
        <w:tc>
          <w:tcPr>
            <w:tcW w:w="1139" w:type="dxa"/>
            <w:vAlign w:val="center"/>
          </w:tcPr>
          <w:p w:rsidR="00042809" w:rsidRPr="00471FC6" w:rsidRDefault="00042809" w:rsidP="00042809">
            <w:pPr>
              <w:spacing w:after="0" w:line="240" w:lineRule="auto"/>
              <w:jc w:val="center"/>
              <w:rPr>
                <w:rFonts w:ascii="Arial" w:eastAsia="Times New Roman" w:hAnsi="Arial" w:cs="Arial"/>
                <w:b/>
                <w:bCs/>
                <w:color w:val="000000"/>
                <w:sz w:val="18"/>
                <w:szCs w:val="18"/>
                <w:lang w:eastAsia="cs-CZ"/>
              </w:rPr>
            </w:pPr>
          </w:p>
        </w:tc>
        <w:tc>
          <w:tcPr>
            <w:tcW w:w="1139" w:type="dxa"/>
            <w:vAlign w:val="center"/>
          </w:tcPr>
          <w:p w:rsidR="00042809" w:rsidRPr="00471FC6" w:rsidRDefault="00042809" w:rsidP="00042809">
            <w:pPr>
              <w:spacing w:after="0" w:line="240" w:lineRule="auto"/>
              <w:jc w:val="center"/>
              <w:rPr>
                <w:rFonts w:ascii="Arial" w:eastAsia="Times New Roman" w:hAnsi="Arial" w:cs="Arial"/>
                <w:b/>
                <w:bCs/>
                <w:color w:val="000000"/>
                <w:sz w:val="18"/>
                <w:szCs w:val="18"/>
                <w:lang w:eastAsia="cs-CZ"/>
              </w:rPr>
            </w:pPr>
          </w:p>
        </w:tc>
        <w:tc>
          <w:tcPr>
            <w:tcW w:w="1139" w:type="dxa"/>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0,65%</w:t>
            </w:r>
          </w:p>
        </w:tc>
        <w:tc>
          <w:tcPr>
            <w:tcW w:w="1280" w:type="dxa"/>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0,57%</w:t>
            </w:r>
          </w:p>
        </w:tc>
        <w:tc>
          <w:tcPr>
            <w:tcW w:w="998" w:type="dxa"/>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Pr>
                <w:rFonts w:ascii="Arial" w:eastAsia="Times New Roman" w:hAnsi="Arial" w:cs="Arial"/>
                <w:b/>
                <w:bCs/>
                <w:color w:val="000000"/>
                <w:sz w:val="18"/>
                <w:szCs w:val="18"/>
                <w:lang w:eastAsia="cs-CZ"/>
              </w:rPr>
              <w:t>998</w:t>
            </w:r>
          </w:p>
        </w:tc>
      </w:tr>
      <w:tr w:rsidR="00115879" w:rsidRPr="00C41DE7" w:rsidTr="006F678C">
        <w:trPr>
          <w:trHeight w:val="758"/>
          <w:jc w:val="center"/>
        </w:trPr>
        <w:tc>
          <w:tcPr>
            <w:tcW w:w="1495" w:type="dxa"/>
            <w:shd w:val="clear" w:color="auto" w:fill="auto"/>
            <w:noWrap/>
            <w:vAlign w:val="center"/>
            <w:hideMark/>
          </w:tcPr>
          <w:p w:rsidR="00471FC6" w:rsidRPr="00C41DE7" w:rsidRDefault="00471FC6" w:rsidP="00C41DE7">
            <w:pPr>
              <w:spacing w:after="0" w:line="240" w:lineRule="auto"/>
              <w:jc w:val="center"/>
              <w:rPr>
                <w:rFonts w:ascii="Arial" w:eastAsia="Times New Roman" w:hAnsi="Arial" w:cs="Arial"/>
                <w:color w:val="000000"/>
                <w:sz w:val="18"/>
                <w:szCs w:val="18"/>
                <w:lang w:eastAsia="cs-CZ"/>
              </w:rPr>
            </w:pPr>
            <w:r w:rsidRPr="00C41DE7">
              <w:rPr>
                <w:rFonts w:ascii="Arial" w:eastAsia="Times New Roman" w:hAnsi="Arial" w:cs="Arial"/>
                <w:color w:val="000000"/>
                <w:sz w:val="18"/>
                <w:szCs w:val="18"/>
                <w:lang w:eastAsia="cs-CZ"/>
              </w:rPr>
              <w:t>582, 62, 631, 26</w:t>
            </w:r>
          </w:p>
        </w:tc>
        <w:tc>
          <w:tcPr>
            <w:tcW w:w="2516" w:type="dxa"/>
            <w:shd w:val="clear" w:color="auto" w:fill="auto"/>
            <w:vAlign w:val="center"/>
            <w:hideMark/>
          </w:tcPr>
          <w:p w:rsidR="00471FC6" w:rsidRPr="00471FC6" w:rsidRDefault="00471FC6" w:rsidP="00C41DE7">
            <w:pPr>
              <w:spacing w:after="0" w:line="240" w:lineRule="auto"/>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Činnosti v oblasti IT, Výroba počítačů, elektronických a optických přístrojů a zařízení</w:t>
            </w:r>
          </w:p>
        </w:tc>
        <w:tc>
          <w:tcPr>
            <w:tcW w:w="3232" w:type="dxa"/>
            <w:shd w:val="clear" w:color="000000" w:fill="E6B8B7"/>
            <w:vAlign w:val="center"/>
            <w:hideMark/>
          </w:tcPr>
          <w:p w:rsidR="00471FC6" w:rsidRPr="00C41DE7" w:rsidRDefault="00471FC6" w:rsidP="00421E43">
            <w:pPr>
              <w:spacing w:after="0" w:line="240" w:lineRule="auto"/>
              <w:jc w:val="center"/>
              <w:rPr>
                <w:rFonts w:ascii="Arial" w:eastAsia="Times New Roman" w:hAnsi="Arial" w:cs="Arial"/>
                <w:b/>
                <w:bCs/>
                <w:color w:val="000000"/>
                <w:sz w:val="18"/>
                <w:szCs w:val="18"/>
                <w:lang w:eastAsia="cs-CZ"/>
              </w:rPr>
            </w:pPr>
            <w:r w:rsidRPr="00C41DE7">
              <w:rPr>
                <w:rFonts w:ascii="Arial" w:eastAsia="Times New Roman" w:hAnsi="Arial" w:cs="Arial"/>
                <w:b/>
                <w:bCs/>
                <w:color w:val="000000"/>
                <w:sz w:val="18"/>
                <w:szCs w:val="18"/>
                <w:lang w:eastAsia="cs-CZ"/>
              </w:rPr>
              <w:t xml:space="preserve">DIGITÁLNÍ EKONOMIKA </w:t>
            </w:r>
          </w:p>
        </w:tc>
        <w:tc>
          <w:tcPr>
            <w:tcW w:w="1139" w:type="dxa"/>
            <w:shd w:val="clear" w:color="000000" w:fill="E6B8B7"/>
            <w:vAlign w:val="center"/>
          </w:tcPr>
          <w:p w:rsidR="00471FC6" w:rsidRPr="00EE6F3D" w:rsidRDefault="00471FC6" w:rsidP="00EE6F3D">
            <w:pPr>
              <w:spacing w:after="0" w:line="240" w:lineRule="auto"/>
              <w:jc w:val="center"/>
              <w:rPr>
                <w:rFonts w:ascii="Arial" w:eastAsia="Times New Roman" w:hAnsi="Arial" w:cs="Arial"/>
                <w:b/>
                <w:bCs/>
                <w:color w:val="000000"/>
                <w:sz w:val="18"/>
                <w:szCs w:val="18"/>
                <w:lang w:eastAsia="cs-CZ"/>
              </w:rPr>
            </w:pPr>
            <w:r w:rsidRPr="00EE6F3D">
              <w:rPr>
                <w:rFonts w:ascii="Arial" w:eastAsia="Times New Roman" w:hAnsi="Arial" w:cs="Arial"/>
                <w:b/>
                <w:bCs/>
                <w:color w:val="000000"/>
                <w:sz w:val="18"/>
                <w:szCs w:val="18"/>
                <w:lang w:eastAsia="cs-CZ"/>
              </w:rPr>
              <w:t>16,10%</w:t>
            </w:r>
          </w:p>
        </w:tc>
        <w:tc>
          <w:tcPr>
            <w:tcW w:w="1139" w:type="dxa"/>
            <w:shd w:val="clear" w:color="000000" w:fill="E6B8B7"/>
            <w:vAlign w:val="center"/>
          </w:tcPr>
          <w:p w:rsidR="00471FC6" w:rsidRPr="00471FC6" w:rsidRDefault="00471FC6" w:rsidP="00042809">
            <w:pPr>
              <w:spacing w:after="0" w:line="240" w:lineRule="auto"/>
              <w:jc w:val="center"/>
              <w:rPr>
                <w:rFonts w:ascii="Arial" w:eastAsia="Times New Roman" w:hAnsi="Arial" w:cs="Arial"/>
                <w:b/>
                <w:bCs/>
                <w:color w:val="000000"/>
                <w:sz w:val="18"/>
                <w:szCs w:val="18"/>
                <w:lang w:eastAsia="cs-CZ"/>
              </w:rPr>
            </w:pPr>
            <w:r w:rsidRPr="00471FC6">
              <w:rPr>
                <w:rFonts w:ascii="Arial" w:eastAsia="Times New Roman" w:hAnsi="Arial" w:cs="Arial"/>
                <w:b/>
                <w:bCs/>
                <w:color w:val="000000"/>
                <w:sz w:val="18"/>
                <w:szCs w:val="18"/>
                <w:lang w:eastAsia="cs-CZ"/>
              </w:rPr>
              <w:t>327</w:t>
            </w:r>
          </w:p>
        </w:tc>
        <w:tc>
          <w:tcPr>
            <w:tcW w:w="1139" w:type="dxa"/>
            <w:shd w:val="clear" w:color="000000" w:fill="E6B8B7"/>
            <w:vAlign w:val="center"/>
          </w:tcPr>
          <w:p w:rsidR="00471FC6" w:rsidRPr="00471FC6" w:rsidRDefault="00BC2124" w:rsidP="00042809">
            <w:pPr>
              <w:spacing w:after="0" w:line="240" w:lineRule="auto"/>
              <w:jc w:val="center"/>
              <w:rPr>
                <w:rFonts w:ascii="Arial" w:eastAsia="Times New Roman" w:hAnsi="Arial" w:cs="Arial"/>
                <w:b/>
                <w:bCs/>
                <w:color w:val="000000"/>
                <w:sz w:val="18"/>
                <w:szCs w:val="18"/>
                <w:lang w:eastAsia="cs-CZ"/>
              </w:rPr>
            </w:pPr>
            <w:r>
              <w:rPr>
                <w:rFonts w:ascii="Arial" w:eastAsia="Times New Roman" w:hAnsi="Arial" w:cs="Arial"/>
                <w:b/>
                <w:bCs/>
                <w:color w:val="000000"/>
                <w:sz w:val="18"/>
                <w:szCs w:val="18"/>
                <w:lang w:eastAsia="cs-CZ"/>
              </w:rPr>
              <w:t>305</w:t>
            </w:r>
          </w:p>
        </w:tc>
        <w:tc>
          <w:tcPr>
            <w:tcW w:w="1139" w:type="dxa"/>
            <w:shd w:val="clear" w:color="000000" w:fill="E6B8B7"/>
            <w:vAlign w:val="center"/>
          </w:tcPr>
          <w:p w:rsidR="00471FC6" w:rsidRPr="00471FC6" w:rsidRDefault="00BC2124" w:rsidP="00042809">
            <w:pPr>
              <w:spacing w:after="0" w:line="240" w:lineRule="auto"/>
              <w:jc w:val="center"/>
              <w:rPr>
                <w:rFonts w:ascii="Arial" w:eastAsia="Times New Roman" w:hAnsi="Arial" w:cs="Arial"/>
                <w:b/>
                <w:bCs/>
                <w:color w:val="000000"/>
                <w:sz w:val="18"/>
                <w:szCs w:val="18"/>
                <w:lang w:eastAsia="cs-CZ"/>
              </w:rPr>
            </w:pPr>
            <w:r>
              <w:rPr>
                <w:rFonts w:ascii="Arial" w:eastAsia="Times New Roman" w:hAnsi="Arial" w:cs="Arial"/>
                <w:b/>
                <w:bCs/>
                <w:color w:val="000000"/>
                <w:sz w:val="18"/>
                <w:szCs w:val="18"/>
                <w:lang w:eastAsia="cs-CZ"/>
              </w:rPr>
              <w:t>4,51%</w:t>
            </w:r>
          </w:p>
        </w:tc>
        <w:tc>
          <w:tcPr>
            <w:tcW w:w="1280" w:type="dxa"/>
            <w:shd w:val="clear" w:color="000000" w:fill="E6B8B7"/>
            <w:vAlign w:val="center"/>
          </w:tcPr>
          <w:p w:rsidR="00471FC6" w:rsidRPr="00471FC6" w:rsidRDefault="00BC2124" w:rsidP="00042809">
            <w:pPr>
              <w:spacing w:after="0" w:line="240" w:lineRule="auto"/>
              <w:jc w:val="center"/>
              <w:rPr>
                <w:rFonts w:ascii="Arial" w:eastAsia="Times New Roman" w:hAnsi="Arial" w:cs="Arial"/>
                <w:b/>
                <w:bCs/>
                <w:color w:val="000000"/>
                <w:sz w:val="18"/>
                <w:szCs w:val="18"/>
                <w:lang w:eastAsia="cs-CZ"/>
              </w:rPr>
            </w:pPr>
            <w:r>
              <w:rPr>
                <w:rFonts w:ascii="Arial" w:eastAsia="Times New Roman" w:hAnsi="Arial" w:cs="Arial"/>
                <w:b/>
                <w:bCs/>
                <w:color w:val="000000"/>
                <w:sz w:val="18"/>
                <w:szCs w:val="18"/>
                <w:lang w:eastAsia="cs-CZ"/>
              </w:rPr>
              <w:t>2,95%</w:t>
            </w:r>
          </w:p>
        </w:tc>
        <w:tc>
          <w:tcPr>
            <w:tcW w:w="998" w:type="dxa"/>
            <w:shd w:val="clear" w:color="000000" w:fill="E6B8B7"/>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r>
              <w:rPr>
                <w:rFonts w:ascii="Arial" w:eastAsia="Times New Roman" w:hAnsi="Arial" w:cs="Arial"/>
                <w:b/>
                <w:bCs/>
                <w:color w:val="000000"/>
                <w:sz w:val="18"/>
                <w:szCs w:val="18"/>
                <w:lang w:eastAsia="cs-CZ"/>
              </w:rPr>
              <w:t>28 446</w:t>
            </w:r>
          </w:p>
        </w:tc>
      </w:tr>
      <w:tr w:rsidR="00115879" w:rsidRPr="00C41DE7" w:rsidTr="006F678C">
        <w:trPr>
          <w:trHeight w:val="415"/>
          <w:jc w:val="center"/>
        </w:trPr>
        <w:tc>
          <w:tcPr>
            <w:tcW w:w="1495" w:type="dxa"/>
            <w:shd w:val="clear" w:color="auto" w:fill="auto"/>
            <w:noWrap/>
            <w:vAlign w:val="center"/>
            <w:hideMark/>
          </w:tcPr>
          <w:p w:rsidR="00042809" w:rsidRPr="00C41DE7" w:rsidRDefault="00042809" w:rsidP="00C41DE7">
            <w:pPr>
              <w:spacing w:after="0" w:line="240" w:lineRule="auto"/>
              <w:jc w:val="center"/>
              <w:rPr>
                <w:rFonts w:ascii="Arial" w:eastAsia="Times New Roman" w:hAnsi="Arial" w:cs="Arial"/>
                <w:color w:val="000000"/>
                <w:sz w:val="18"/>
                <w:szCs w:val="18"/>
                <w:lang w:eastAsia="cs-CZ"/>
              </w:rPr>
            </w:pPr>
            <w:r w:rsidRPr="00C41DE7">
              <w:rPr>
                <w:rFonts w:ascii="Arial" w:eastAsia="Times New Roman" w:hAnsi="Arial" w:cs="Arial"/>
                <w:color w:val="000000"/>
                <w:sz w:val="18"/>
                <w:szCs w:val="18"/>
                <w:lang w:eastAsia="cs-CZ"/>
              </w:rPr>
              <w:t>29</w:t>
            </w:r>
          </w:p>
        </w:tc>
        <w:tc>
          <w:tcPr>
            <w:tcW w:w="2516" w:type="dxa"/>
            <w:shd w:val="clear" w:color="auto" w:fill="auto"/>
            <w:vAlign w:val="center"/>
            <w:hideMark/>
          </w:tcPr>
          <w:p w:rsidR="00042809" w:rsidRPr="00471FC6" w:rsidRDefault="00042809" w:rsidP="00C41DE7">
            <w:pPr>
              <w:spacing w:after="0" w:line="240" w:lineRule="auto"/>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Automobilový průmysl - výroba motorových vozidel</w:t>
            </w:r>
          </w:p>
        </w:tc>
        <w:tc>
          <w:tcPr>
            <w:tcW w:w="3232" w:type="dxa"/>
            <w:shd w:val="clear" w:color="000000" w:fill="E6B8B7"/>
            <w:vAlign w:val="center"/>
            <w:hideMark/>
          </w:tcPr>
          <w:p w:rsidR="00042809" w:rsidRPr="00C41DE7" w:rsidRDefault="00042809" w:rsidP="00C41DE7">
            <w:pPr>
              <w:spacing w:after="0" w:line="240" w:lineRule="auto"/>
              <w:jc w:val="center"/>
              <w:rPr>
                <w:rFonts w:ascii="Arial" w:eastAsia="Times New Roman" w:hAnsi="Arial" w:cs="Arial"/>
                <w:b/>
                <w:bCs/>
                <w:color w:val="000000"/>
                <w:sz w:val="18"/>
                <w:szCs w:val="18"/>
                <w:lang w:eastAsia="cs-CZ"/>
              </w:rPr>
            </w:pPr>
            <w:r w:rsidRPr="00C41DE7">
              <w:rPr>
                <w:rFonts w:ascii="Arial" w:eastAsia="Times New Roman" w:hAnsi="Arial" w:cs="Arial"/>
                <w:b/>
                <w:bCs/>
                <w:color w:val="000000"/>
                <w:sz w:val="18"/>
                <w:szCs w:val="18"/>
                <w:lang w:eastAsia="cs-CZ"/>
              </w:rPr>
              <w:t>AUTOMOTIVE</w:t>
            </w:r>
          </w:p>
        </w:tc>
        <w:tc>
          <w:tcPr>
            <w:tcW w:w="1139" w:type="dxa"/>
            <w:shd w:val="clear" w:color="000000" w:fill="E6B8B7"/>
            <w:vAlign w:val="center"/>
          </w:tcPr>
          <w:p w:rsidR="00042809" w:rsidRPr="00EE6F3D" w:rsidRDefault="00042809" w:rsidP="00EE6F3D">
            <w:pPr>
              <w:spacing w:after="0" w:line="240" w:lineRule="auto"/>
              <w:jc w:val="center"/>
              <w:rPr>
                <w:rFonts w:ascii="Arial" w:eastAsia="Times New Roman" w:hAnsi="Arial" w:cs="Arial"/>
                <w:b/>
                <w:bCs/>
                <w:color w:val="000000"/>
                <w:sz w:val="18"/>
                <w:szCs w:val="18"/>
                <w:lang w:eastAsia="cs-CZ"/>
              </w:rPr>
            </w:pPr>
            <w:r w:rsidRPr="00EE6F3D">
              <w:rPr>
                <w:rFonts w:ascii="Arial" w:eastAsia="Times New Roman" w:hAnsi="Arial" w:cs="Arial"/>
                <w:b/>
                <w:bCs/>
                <w:color w:val="000000"/>
                <w:sz w:val="18"/>
                <w:szCs w:val="18"/>
                <w:lang w:eastAsia="cs-CZ"/>
              </w:rPr>
              <w:t>15,43%</w:t>
            </w:r>
          </w:p>
        </w:tc>
        <w:tc>
          <w:tcPr>
            <w:tcW w:w="1139" w:type="dxa"/>
            <w:shd w:val="clear" w:color="000000" w:fill="E6B8B7"/>
            <w:vAlign w:val="center"/>
          </w:tcPr>
          <w:p w:rsidR="00042809" w:rsidRPr="00471FC6" w:rsidRDefault="00042809" w:rsidP="00042809">
            <w:pPr>
              <w:spacing w:after="0" w:line="240" w:lineRule="auto"/>
              <w:jc w:val="center"/>
              <w:rPr>
                <w:rFonts w:ascii="Arial" w:eastAsia="Times New Roman" w:hAnsi="Arial" w:cs="Arial"/>
                <w:b/>
                <w:bCs/>
                <w:color w:val="000000"/>
                <w:sz w:val="18"/>
                <w:szCs w:val="18"/>
                <w:lang w:eastAsia="cs-CZ"/>
              </w:rPr>
            </w:pPr>
            <w:r w:rsidRPr="00471FC6">
              <w:rPr>
                <w:rFonts w:ascii="Arial" w:eastAsia="Times New Roman" w:hAnsi="Arial" w:cs="Arial"/>
                <w:b/>
                <w:bCs/>
                <w:color w:val="000000"/>
                <w:sz w:val="18"/>
                <w:szCs w:val="18"/>
                <w:lang w:eastAsia="cs-CZ"/>
              </w:rPr>
              <w:t>61</w:t>
            </w:r>
          </w:p>
        </w:tc>
        <w:tc>
          <w:tcPr>
            <w:tcW w:w="1139" w:type="dxa"/>
            <w:shd w:val="clear" w:color="000000" w:fill="E6B8B7"/>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31</w:t>
            </w:r>
          </w:p>
        </w:tc>
        <w:tc>
          <w:tcPr>
            <w:tcW w:w="1139" w:type="dxa"/>
            <w:shd w:val="clear" w:color="000000" w:fill="E6B8B7"/>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4,45%</w:t>
            </w:r>
          </w:p>
        </w:tc>
        <w:tc>
          <w:tcPr>
            <w:tcW w:w="1280" w:type="dxa"/>
            <w:shd w:val="clear" w:color="000000" w:fill="E6B8B7"/>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3,70%</w:t>
            </w:r>
          </w:p>
        </w:tc>
        <w:tc>
          <w:tcPr>
            <w:tcW w:w="998" w:type="dxa"/>
            <w:shd w:val="clear" w:color="000000" w:fill="E6B8B7"/>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1 209</w:t>
            </w:r>
          </w:p>
        </w:tc>
      </w:tr>
      <w:tr w:rsidR="00115879" w:rsidRPr="00C41DE7" w:rsidTr="006F678C">
        <w:trPr>
          <w:trHeight w:val="491"/>
          <w:jc w:val="center"/>
        </w:trPr>
        <w:tc>
          <w:tcPr>
            <w:tcW w:w="1495" w:type="dxa"/>
            <w:shd w:val="clear" w:color="auto" w:fill="auto"/>
            <w:noWrap/>
            <w:vAlign w:val="center"/>
            <w:hideMark/>
          </w:tcPr>
          <w:p w:rsidR="00042809" w:rsidRPr="00C41DE7" w:rsidRDefault="00042809" w:rsidP="00C41DE7">
            <w:pPr>
              <w:spacing w:after="0" w:line="240" w:lineRule="auto"/>
              <w:jc w:val="center"/>
              <w:rPr>
                <w:rFonts w:ascii="Arial" w:eastAsia="Times New Roman" w:hAnsi="Arial" w:cs="Arial"/>
                <w:color w:val="000000"/>
                <w:sz w:val="18"/>
                <w:szCs w:val="18"/>
                <w:lang w:eastAsia="cs-CZ"/>
              </w:rPr>
            </w:pPr>
            <w:r w:rsidRPr="00C41DE7">
              <w:rPr>
                <w:rFonts w:ascii="Arial" w:eastAsia="Times New Roman" w:hAnsi="Arial" w:cs="Arial"/>
                <w:color w:val="000000"/>
                <w:sz w:val="18"/>
                <w:szCs w:val="18"/>
                <w:lang w:eastAsia="cs-CZ"/>
              </w:rPr>
              <w:t>28, 331</w:t>
            </w:r>
          </w:p>
        </w:tc>
        <w:tc>
          <w:tcPr>
            <w:tcW w:w="2516" w:type="dxa"/>
            <w:shd w:val="clear" w:color="auto" w:fill="auto"/>
            <w:vAlign w:val="center"/>
            <w:hideMark/>
          </w:tcPr>
          <w:p w:rsidR="00042809" w:rsidRPr="00471FC6" w:rsidRDefault="00042809" w:rsidP="00C41DE7">
            <w:pPr>
              <w:spacing w:after="0" w:line="240" w:lineRule="auto"/>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 xml:space="preserve">Strojírenský průmysl - výroba strojů a zařízení </w:t>
            </w:r>
            <w:proofErr w:type="spellStart"/>
            <w:proofErr w:type="gramStart"/>
            <w:r w:rsidRPr="00471FC6">
              <w:rPr>
                <w:rFonts w:ascii="Arial" w:eastAsia="Times New Roman" w:hAnsi="Arial" w:cs="Arial"/>
                <w:b/>
                <w:bCs/>
                <w:color w:val="000000"/>
                <w:sz w:val="16"/>
                <w:szCs w:val="16"/>
                <w:lang w:eastAsia="cs-CZ"/>
              </w:rPr>
              <w:t>j.n</w:t>
            </w:r>
            <w:proofErr w:type="spellEnd"/>
            <w:r w:rsidRPr="00471FC6">
              <w:rPr>
                <w:rFonts w:ascii="Arial" w:eastAsia="Times New Roman" w:hAnsi="Arial" w:cs="Arial"/>
                <w:b/>
                <w:bCs/>
                <w:color w:val="000000"/>
                <w:sz w:val="16"/>
                <w:szCs w:val="16"/>
                <w:lang w:eastAsia="cs-CZ"/>
              </w:rPr>
              <w:t>.</w:t>
            </w:r>
            <w:proofErr w:type="gramEnd"/>
          </w:p>
        </w:tc>
        <w:tc>
          <w:tcPr>
            <w:tcW w:w="3232" w:type="dxa"/>
            <w:shd w:val="clear" w:color="000000" w:fill="E6B8B7"/>
            <w:vAlign w:val="center"/>
            <w:hideMark/>
          </w:tcPr>
          <w:p w:rsidR="00042809" w:rsidRPr="00C41DE7" w:rsidRDefault="00042809" w:rsidP="00C41DE7">
            <w:pPr>
              <w:spacing w:after="0" w:line="240" w:lineRule="auto"/>
              <w:jc w:val="center"/>
              <w:rPr>
                <w:rFonts w:ascii="Arial" w:eastAsia="Times New Roman" w:hAnsi="Arial" w:cs="Arial"/>
                <w:b/>
                <w:bCs/>
                <w:color w:val="000000"/>
                <w:sz w:val="18"/>
                <w:szCs w:val="18"/>
                <w:lang w:eastAsia="cs-CZ"/>
              </w:rPr>
            </w:pPr>
            <w:r w:rsidRPr="00C41DE7">
              <w:rPr>
                <w:rFonts w:ascii="Arial" w:eastAsia="Times New Roman" w:hAnsi="Arial" w:cs="Arial"/>
                <w:b/>
                <w:bCs/>
                <w:color w:val="000000"/>
                <w:sz w:val="18"/>
                <w:szCs w:val="18"/>
                <w:lang w:eastAsia="cs-CZ"/>
              </w:rPr>
              <w:t>PŘESNÉ STROJÍRENSTVÍ</w:t>
            </w:r>
          </w:p>
        </w:tc>
        <w:tc>
          <w:tcPr>
            <w:tcW w:w="1139" w:type="dxa"/>
            <w:shd w:val="clear" w:color="000000" w:fill="E6B8B7"/>
            <w:vAlign w:val="center"/>
          </w:tcPr>
          <w:p w:rsidR="00042809" w:rsidRPr="00EE6F3D" w:rsidRDefault="00042809" w:rsidP="00EE6F3D">
            <w:pPr>
              <w:spacing w:after="0" w:line="240" w:lineRule="auto"/>
              <w:jc w:val="center"/>
              <w:rPr>
                <w:rFonts w:ascii="Arial" w:eastAsia="Times New Roman" w:hAnsi="Arial" w:cs="Arial"/>
                <w:b/>
                <w:bCs/>
                <w:color w:val="000000"/>
                <w:sz w:val="18"/>
                <w:szCs w:val="18"/>
                <w:lang w:eastAsia="cs-CZ"/>
              </w:rPr>
            </w:pPr>
            <w:r w:rsidRPr="00EE6F3D">
              <w:rPr>
                <w:rFonts w:ascii="Arial" w:eastAsia="Times New Roman" w:hAnsi="Arial" w:cs="Arial"/>
                <w:b/>
                <w:bCs/>
                <w:color w:val="000000"/>
                <w:sz w:val="18"/>
                <w:szCs w:val="18"/>
                <w:lang w:eastAsia="cs-CZ"/>
              </w:rPr>
              <w:t>10,28%</w:t>
            </w:r>
          </w:p>
        </w:tc>
        <w:tc>
          <w:tcPr>
            <w:tcW w:w="1139" w:type="dxa"/>
            <w:vMerge w:val="restart"/>
            <w:shd w:val="clear" w:color="000000" w:fill="E6B8B7"/>
            <w:vAlign w:val="center"/>
          </w:tcPr>
          <w:p w:rsidR="00042809" w:rsidRPr="00471FC6" w:rsidRDefault="00042809" w:rsidP="00042809">
            <w:pPr>
              <w:spacing w:after="0" w:line="240" w:lineRule="auto"/>
              <w:jc w:val="center"/>
              <w:rPr>
                <w:rFonts w:ascii="Arial" w:eastAsia="Times New Roman" w:hAnsi="Arial" w:cs="Arial"/>
                <w:b/>
                <w:bCs/>
                <w:color w:val="000000"/>
                <w:sz w:val="18"/>
                <w:szCs w:val="18"/>
                <w:lang w:eastAsia="cs-CZ"/>
              </w:rPr>
            </w:pPr>
            <w:r w:rsidRPr="00471FC6">
              <w:rPr>
                <w:rFonts w:ascii="Arial" w:eastAsia="Times New Roman" w:hAnsi="Arial" w:cs="Arial"/>
                <w:b/>
                <w:bCs/>
                <w:color w:val="000000"/>
                <w:sz w:val="18"/>
                <w:szCs w:val="18"/>
                <w:lang w:eastAsia="cs-CZ"/>
              </w:rPr>
              <w:t>319</w:t>
            </w:r>
          </w:p>
        </w:tc>
        <w:tc>
          <w:tcPr>
            <w:tcW w:w="1139" w:type="dxa"/>
            <w:vMerge w:val="restart"/>
            <w:shd w:val="clear" w:color="000000" w:fill="E6B8B7"/>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Pr>
                <w:rFonts w:ascii="Arial" w:eastAsia="Times New Roman" w:hAnsi="Arial" w:cs="Arial"/>
                <w:b/>
                <w:bCs/>
                <w:color w:val="000000"/>
                <w:sz w:val="18"/>
                <w:szCs w:val="18"/>
                <w:lang w:eastAsia="cs-CZ"/>
              </w:rPr>
              <w:t>246</w:t>
            </w:r>
          </w:p>
        </w:tc>
        <w:tc>
          <w:tcPr>
            <w:tcW w:w="1139" w:type="dxa"/>
            <w:vMerge w:val="restart"/>
            <w:shd w:val="clear" w:color="000000" w:fill="E6B8B7"/>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4,52%</w:t>
            </w:r>
          </w:p>
        </w:tc>
        <w:tc>
          <w:tcPr>
            <w:tcW w:w="1280" w:type="dxa"/>
            <w:vMerge w:val="restart"/>
            <w:shd w:val="clear" w:color="000000" w:fill="E6B8B7"/>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5,41%</w:t>
            </w:r>
          </w:p>
        </w:tc>
        <w:tc>
          <w:tcPr>
            <w:tcW w:w="998" w:type="dxa"/>
            <w:shd w:val="clear" w:color="000000" w:fill="E6B8B7"/>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15 516</w:t>
            </w:r>
          </w:p>
        </w:tc>
      </w:tr>
      <w:tr w:rsidR="00115879" w:rsidRPr="00C41DE7" w:rsidTr="006F678C">
        <w:trPr>
          <w:trHeight w:val="469"/>
          <w:jc w:val="center"/>
        </w:trPr>
        <w:tc>
          <w:tcPr>
            <w:tcW w:w="1495" w:type="dxa"/>
            <w:shd w:val="clear" w:color="auto" w:fill="auto"/>
            <w:noWrap/>
            <w:vAlign w:val="center"/>
            <w:hideMark/>
          </w:tcPr>
          <w:p w:rsidR="00042809" w:rsidRPr="00C41DE7" w:rsidRDefault="00042809" w:rsidP="00C41DE7">
            <w:pPr>
              <w:spacing w:after="0" w:line="240" w:lineRule="auto"/>
              <w:jc w:val="center"/>
              <w:rPr>
                <w:rFonts w:ascii="Arial" w:eastAsia="Times New Roman" w:hAnsi="Arial" w:cs="Arial"/>
                <w:color w:val="000000"/>
                <w:sz w:val="18"/>
                <w:szCs w:val="18"/>
                <w:lang w:eastAsia="cs-CZ"/>
              </w:rPr>
            </w:pPr>
            <w:r w:rsidRPr="00C41DE7">
              <w:rPr>
                <w:rFonts w:ascii="Arial" w:eastAsia="Times New Roman" w:hAnsi="Arial" w:cs="Arial"/>
                <w:color w:val="000000"/>
                <w:sz w:val="18"/>
                <w:szCs w:val="18"/>
                <w:lang w:eastAsia="cs-CZ"/>
              </w:rPr>
              <w:t>18, 32, 332</w:t>
            </w:r>
          </w:p>
        </w:tc>
        <w:tc>
          <w:tcPr>
            <w:tcW w:w="2516" w:type="dxa"/>
            <w:shd w:val="clear" w:color="auto" w:fill="auto"/>
            <w:vAlign w:val="center"/>
            <w:hideMark/>
          </w:tcPr>
          <w:p w:rsidR="00042809" w:rsidRPr="00471FC6" w:rsidRDefault="00042809" w:rsidP="00C41DE7">
            <w:pPr>
              <w:spacing w:after="0" w:line="240" w:lineRule="auto"/>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Ostatní zpracovatelský průmysl</w:t>
            </w:r>
          </w:p>
        </w:tc>
        <w:tc>
          <w:tcPr>
            <w:tcW w:w="3232" w:type="dxa"/>
            <w:shd w:val="clear" w:color="000000" w:fill="E6B8B7"/>
            <w:vAlign w:val="center"/>
            <w:hideMark/>
          </w:tcPr>
          <w:p w:rsidR="00042809" w:rsidRPr="00C41DE7" w:rsidRDefault="00042809" w:rsidP="00C41DE7">
            <w:pPr>
              <w:spacing w:after="0" w:line="240" w:lineRule="auto"/>
              <w:jc w:val="center"/>
              <w:rPr>
                <w:rFonts w:ascii="Arial" w:eastAsia="Times New Roman" w:hAnsi="Arial" w:cs="Arial"/>
                <w:b/>
                <w:bCs/>
                <w:color w:val="000000"/>
                <w:sz w:val="18"/>
                <w:szCs w:val="18"/>
                <w:lang w:eastAsia="cs-CZ"/>
              </w:rPr>
            </w:pPr>
            <w:r w:rsidRPr="00C41DE7">
              <w:rPr>
                <w:rFonts w:ascii="Arial" w:eastAsia="Times New Roman" w:hAnsi="Arial" w:cs="Arial"/>
                <w:b/>
                <w:bCs/>
                <w:color w:val="000000"/>
                <w:sz w:val="18"/>
                <w:szCs w:val="18"/>
                <w:lang w:eastAsia="cs-CZ"/>
              </w:rPr>
              <w:t>OBRÁBĚCÍ A TVÁŘECÍ STROJE</w:t>
            </w:r>
          </w:p>
        </w:tc>
        <w:tc>
          <w:tcPr>
            <w:tcW w:w="1139" w:type="dxa"/>
            <w:shd w:val="clear" w:color="000000" w:fill="E6B8B7"/>
            <w:vAlign w:val="center"/>
          </w:tcPr>
          <w:p w:rsidR="00042809" w:rsidRPr="00EE6F3D" w:rsidRDefault="00042809" w:rsidP="00EE6F3D">
            <w:pPr>
              <w:spacing w:after="0" w:line="240" w:lineRule="auto"/>
              <w:jc w:val="center"/>
              <w:rPr>
                <w:rFonts w:ascii="Arial" w:eastAsia="Times New Roman" w:hAnsi="Arial" w:cs="Arial"/>
                <w:b/>
                <w:bCs/>
                <w:color w:val="000000"/>
                <w:sz w:val="18"/>
                <w:szCs w:val="18"/>
                <w:lang w:eastAsia="cs-CZ"/>
              </w:rPr>
            </w:pPr>
            <w:r w:rsidRPr="00EE6F3D">
              <w:rPr>
                <w:rFonts w:ascii="Arial" w:eastAsia="Times New Roman" w:hAnsi="Arial" w:cs="Arial"/>
                <w:b/>
                <w:bCs/>
                <w:color w:val="000000"/>
                <w:sz w:val="18"/>
                <w:szCs w:val="18"/>
                <w:lang w:eastAsia="cs-CZ"/>
              </w:rPr>
              <w:t>6,87%</w:t>
            </w:r>
          </w:p>
        </w:tc>
        <w:tc>
          <w:tcPr>
            <w:tcW w:w="1139" w:type="dxa"/>
            <w:vMerge/>
            <w:shd w:val="clear" w:color="000000" w:fill="E6B8B7"/>
            <w:vAlign w:val="center"/>
          </w:tcPr>
          <w:p w:rsidR="00042809" w:rsidRPr="00471FC6" w:rsidRDefault="00042809" w:rsidP="00042809">
            <w:pPr>
              <w:spacing w:after="0" w:line="240" w:lineRule="auto"/>
              <w:jc w:val="center"/>
              <w:rPr>
                <w:rFonts w:ascii="Arial" w:eastAsia="Times New Roman" w:hAnsi="Arial" w:cs="Arial"/>
                <w:b/>
                <w:bCs/>
                <w:color w:val="000000"/>
                <w:sz w:val="18"/>
                <w:szCs w:val="18"/>
                <w:lang w:eastAsia="cs-CZ"/>
              </w:rPr>
            </w:pPr>
          </w:p>
        </w:tc>
        <w:tc>
          <w:tcPr>
            <w:tcW w:w="1139" w:type="dxa"/>
            <w:vMerge/>
            <w:shd w:val="clear" w:color="000000" w:fill="E6B8B7"/>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p>
        </w:tc>
        <w:tc>
          <w:tcPr>
            <w:tcW w:w="1139" w:type="dxa"/>
            <w:vMerge/>
            <w:shd w:val="clear" w:color="000000" w:fill="E6B8B7"/>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p>
        </w:tc>
        <w:tc>
          <w:tcPr>
            <w:tcW w:w="1280" w:type="dxa"/>
            <w:vMerge/>
            <w:shd w:val="clear" w:color="000000" w:fill="E6B8B7"/>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p>
        </w:tc>
        <w:tc>
          <w:tcPr>
            <w:tcW w:w="998" w:type="dxa"/>
            <w:shd w:val="clear" w:color="000000" w:fill="E6B8B7"/>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19 291</w:t>
            </w:r>
          </w:p>
        </w:tc>
      </w:tr>
      <w:tr w:rsidR="00611C08" w:rsidRPr="00C41DE7" w:rsidTr="006F678C">
        <w:trPr>
          <w:trHeight w:val="648"/>
          <w:jc w:val="center"/>
        </w:trPr>
        <w:tc>
          <w:tcPr>
            <w:tcW w:w="1495" w:type="dxa"/>
            <w:shd w:val="clear" w:color="auto" w:fill="auto"/>
            <w:noWrap/>
            <w:vAlign w:val="center"/>
            <w:hideMark/>
          </w:tcPr>
          <w:p w:rsidR="00042809" w:rsidRPr="00C41DE7" w:rsidRDefault="00042809" w:rsidP="00C41DE7">
            <w:pPr>
              <w:spacing w:after="0" w:line="240" w:lineRule="auto"/>
              <w:jc w:val="center"/>
              <w:rPr>
                <w:rFonts w:ascii="Arial" w:eastAsia="Times New Roman" w:hAnsi="Arial" w:cs="Arial"/>
                <w:color w:val="000000"/>
                <w:sz w:val="18"/>
                <w:szCs w:val="18"/>
                <w:lang w:eastAsia="cs-CZ"/>
              </w:rPr>
            </w:pPr>
            <w:r w:rsidRPr="00C41DE7">
              <w:rPr>
                <w:rFonts w:ascii="Arial" w:eastAsia="Times New Roman" w:hAnsi="Arial" w:cs="Arial"/>
                <w:color w:val="000000"/>
                <w:sz w:val="18"/>
                <w:szCs w:val="18"/>
                <w:lang w:eastAsia="cs-CZ"/>
              </w:rPr>
              <w:t>71</w:t>
            </w:r>
          </w:p>
        </w:tc>
        <w:tc>
          <w:tcPr>
            <w:tcW w:w="2516" w:type="dxa"/>
            <w:shd w:val="clear" w:color="auto" w:fill="auto"/>
            <w:vAlign w:val="center"/>
            <w:hideMark/>
          </w:tcPr>
          <w:p w:rsidR="00042809" w:rsidRPr="00471FC6" w:rsidRDefault="00042809" w:rsidP="00C41DE7">
            <w:pPr>
              <w:spacing w:after="0" w:line="240" w:lineRule="auto"/>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Architektonické a inženýrské činnosti; technické zkoušky a analýzy</w:t>
            </w:r>
          </w:p>
        </w:tc>
        <w:tc>
          <w:tcPr>
            <w:tcW w:w="3232" w:type="dxa"/>
            <w:shd w:val="clear" w:color="auto" w:fill="auto"/>
            <w:vAlign w:val="center"/>
            <w:hideMark/>
          </w:tcPr>
          <w:p w:rsidR="00042809" w:rsidRPr="00C41DE7" w:rsidRDefault="00042809" w:rsidP="00C41DE7">
            <w:pPr>
              <w:spacing w:after="0" w:line="240" w:lineRule="auto"/>
              <w:jc w:val="center"/>
              <w:rPr>
                <w:rFonts w:ascii="Arial" w:eastAsia="Times New Roman" w:hAnsi="Arial" w:cs="Arial"/>
                <w:b/>
                <w:bCs/>
                <w:color w:val="000000"/>
                <w:sz w:val="18"/>
                <w:szCs w:val="18"/>
                <w:lang w:eastAsia="cs-CZ"/>
              </w:rPr>
            </w:pPr>
            <w:r w:rsidRPr="00C41DE7">
              <w:rPr>
                <w:rFonts w:ascii="Arial" w:eastAsia="Times New Roman" w:hAnsi="Arial" w:cs="Arial"/>
                <w:b/>
                <w:bCs/>
                <w:color w:val="000000"/>
                <w:sz w:val="18"/>
                <w:szCs w:val="18"/>
                <w:lang w:eastAsia="cs-CZ"/>
              </w:rPr>
              <w:t>ENGINEERING &amp; ZKUŠEBNICTVÍ</w:t>
            </w:r>
          </w:p>
        </w:tc>
        <w:tc>
          <w:tcPr>
            <w:tcW w:w="1139" w:type="dxa"/>
            <w:shd w:val="clear" w:color="auto" w:fill="auto"/>
            <w:vAlign w:val="center"/>
          </w:tcPr>
          <w:p w:rsidR="00042809" w:rsidRPr="00EE6F3D" w:rsidRDefault="00042809" w:rsidP="00EE6F3D">
            <w:pPr>
              <w:spacing w:after="0" w:line="240" w:lineRule="auto"/>
              <w:jc w:val="center"/>
              <w:rPr>
                <w:rFonts w:ascii="Arial" w:eastAsia="Times New Roman" w:hAnsi="Arial" w:cs="Arial"/>
                <w:b/>
                <w:bCs/>
                <w:color w:val="000000"/>
                <w:sz w:val="18"/>
                <w:szCs w:val="18"/>
                <w:lang w:eastAsia="cs-CZ"/>
              </w:rPr>
            </w:pPr>
            <w:r w:rsidRPr="00EE6F3D">
              <w:rPr>
                <w:rFonts w:ascii="Arial" w:eastAsia="Times New Roman" w:hAnsi="Arial" w:cs="Arial"/>
                <w:b/>
                <w:bCs/>
                <w:color w:val="000000"/>
                <w:sz w:val="18"/>
                <w:szCs w:val="18"/>
                <w:lang w:eastAsia="cs-CZ"/>
              </w:rPr>
              <w:t>4,41%</w:t>
            </w:r>
          </w:p>
        </w:tc>
        <w:tc>
          <w:tcPr>
            <w:tcW w:w="1139" w:type="dxa"/>
            <w:vAlign w:val="center"/>
          </w:tcPr>
          <w:p w:rsidR="00042809" w:rsidRPr="00471FC6" w:rsidRDefault="00042809" w:rsidP="00042809">
            <w:pPr>
              <w:spacing w:after="0" w:line="240" w:lineRule="auto"/>
              <w:jc w:val="center"/>
              <w:rPr>
                <w:rFonts w:ascii="Arial" w:eastAsia="Times New Roman" w:hAnsi="Arial" w:cs="Arial"/>
                <w:b/>
                <w:bCs/>
                <w:color w:val="000000"/>
                <w:sz w:val="18"/>
                <w:szCs w:val="18"/>
                <w:lang w:eastAsia="cs-CZ"/>
              </w:rPr>
            </w:pPr>
            <w:r w:rsidRPr="00471FC6">
              <w:rPr>
                <w:rFonts w:ascii="Arial" w:eastAsia="Times New Roman" w:hAnsi="Arial" w:cs="Arial"/>
                <w:b/>
                <w:bCs/>
                <w:color w:val="000000"/>
                <w:sz w:val="18"/>
                <w:szCs w:val="18"/>
                <w:lang w:eastAsia="cs-CZ"/>
              </w:rPr>
              <w:t>146</w:t>
            </w:r>
          </w:p>
        </w:tc>
        <w:tc>
          <w:tcPr>
            <w:tcW w:w="1139" w:type="dxa"/>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140</w:t>
            </w:r>
          </w:p>
        </w:tc>
        <w:tc>
          <w:tcPr>
            <w:tcW w:w="1139" w:type="dxa"/>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1,39%</w:t>
            </w:r>
          </w:p>
        </w:tc>
        <w:tc>
          <w:tcPr>
            <w:tcW w:w="1280" w:type="dxa"/>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1,33%</w:t>
            </w:r>
          </w:p>
        </w:tc>
        <w:tc>
          <w:tcPr>
            <w:tcW w:w="998" w:type="dxa"/>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36 218</w:t>
            </w:r>
          </w:p>
        </w:tc>
      </w:tr>
      <w:tr w:rsidR="00115879" w:rsidRPr="00C41DE7" w:rsidTr="006F678C">
        <w:trPr>
          <w:trHeight w:val="545"/>
          <w:jc w:val="center"/>
        </w:trPr>
        <w:tc>
          <w:tcPr>
            <w:tcW w:w="1495" w:type="dxa"/>
            <w:shd w:val="clear" w:color="auto" w:fill="auto"/>
            <w:noWrap/>
            <w:vAlign w:val="center"/>
            <w:hideMark/>
          </w:tcPr>
          <w:p w:rsidR="00042809" w:rsidRPr="00C41DE7" w:rsidRDefault="00042809" w:rsidP="00C41DE7">
            <w:pPr>
              <w:spacing w:after="0" w:line="240" w:lineRule="auto"/>
              <w:jc w:val="center"/>
              <w:rPr>
                <w:rFonts w:ascii="Arial" w:eastAsia="Times New Roman" w:hAnsi="Arial" w:cs="Arial"/>
                <w:color w:val="000000"/>
                <w:sz w:val="18"/>
                <w:szCs w:val="18"/>
                <w:lang w:eastAsia="cs-CZ"/>
              </w:rPr>
            </w:pPr>
            <w:r w:rsidRPr="00C41DE7">
              <w:rPr>
                <w:rFonts w:ascii="Arial" w:eastAsia="Times New Roman" w:hAnsi="Arial" w:cs="Arial"/>
                <w:color w:val="000000"/>
                <w:sz w:val="18"/>
                <w:szCs w:val="18"/>
                <w:lang w:eastAsia="cs-CZ"/>
              </w:rPr>
              <w:t>27</w:t>
            </w:r>
          </w:p>
        </w:tc>
        <w:tc>
          <w:tcPr>
            <w:tcW w:w="2516" w:type="dxa"/>
            <w:shd w:val="clear" w:color="auto" w:fill="auto"/>
            <w:vAlign w:val="center"/>
            <w:hideMark/>
          </w:tcPr>
          <w:p w:rsidR="00042809" w:rsidRPr="00471FC6" w:rsidRDefault="00042809" w:rsidP="00C41DE7">
            <w:pPr>
              <w:spacing w:after="0" w:line="240" w:lineRule="auto"/>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Elektrotechnický průmysl - výroba elektrických zařízení</w:t>
            </w:r>
          </w:p>
        </w:tc>
        <w:tc>
          <w:tcPr>
            <w:tcW w:w="3232" w:type="dxa"/>
            <w:shd w:val="clear" w:color="auto" w:fill="E5B8B7" w:themeFill="accent2" w:themeFillTint="66"/>
            <w:vAlign w:val="center"/>
            <w:hideMark/>
          </w:tcPr>
          <w:p w:rsidR="00042809" w:rsidRPr="00C41DE7" w:rsidRDefault="00042809" w:rsidP="00C41DE7">
            <w:pPr>
              <w:spacing w:after="0" w:line="240" w:lineRule="auto"/>
              <w:jc w:val="center"/>
              <w:rPr>
                <w:rFonts w:ascii="Arial" w:eastAsia="Times New Roman" w:hAnsi="Arial" w:cs="Arial"/>
                <w:b/>
                <w:bCs/>
                <w:color w:val="000000"/>
                <w:sz w:val="18"/>
                <w:szCs w:val="18"/>
                <w:lang w:eastAsia="cs-CZ"/>
              </w:rPr>
            </w:pPr>
            <w:r w:rsidRPr="00C41DE7">
              <w:rPr>
                <w:rFonts w:ascii="Arial" w:eastAsia="Times New Roman" w:hAnsi="Arial" w:cs="Arial"/>
                <w:b/>
                <w:bCs/>
                <w:color w:val="000000"/>
                <w:sz w:val="18"/>
                <w:szCs w:val="18"/>
                <w:lang w:eastAsia="cs-CZ"/>
              </w:rPr>
              <w:t>ELEKTROTECHNIKA</w:t>
            </w:r>
          </w:p>
        </w:tc>
        <w:tc>
          <w:tcPr>
            <w:tcW w:w="1139" w:type="dxa"/>
            <w:shd w:val="clear" w:color="auto" w:fill="E5B8B7" w:themeFill="accent2" w:themeFillTint="66"/>
            <w:vAlign w:val="center"/>
          </w:tcPr>
          <w:p w:rsidR="00042809" w:rsidRPr="00EE6F3D" w:rsidRDefault="00042809" w:rsidP="00EE6F3D">
            <w:pPr>
              <w:spacing w:after="0" w:line="240" w:lineRule="auto"/>
              <w:jc w:val="center"/>
              <w:rPr>
                <w:rFonts w:ascii="Arial" w:eastAsia="Times New Roman" w:hAnsi="Arial" w:cs="Arial"/>
                <w:b/>
                <w:bCs/>
                <w:color w:val="000000"/>
                <w:sz w:val="18"/>
                <w:szCs w:val="18"/>
                <w:lang w:eastAsia="cs-CZ"/>
              </w:rPr>
            </w:pPr>
            <w:r w:rsidRPr="00EE6F3D">
              <w:rPr>
                <w:rFonts w:ascii="Arial" w:eastAsia="Times New Roman" w:hAnsi="Arial" w:cs="Arial"/>
                <w:b/>
                <w:bCs/>
                <w:color w:val="000000"/>
                <w:sz w:val="18"/>
                <w:szCs w:val="18"/>
                <w:lang w:eastAsia="cs-CZ"/>
              </w:rPr>
              <w:t>4,47%</w:t>
            </w:r>
          </w:p>
        </w:tc>
        <w:tc>
          <w:tcPr>
            <w:tcW w:w="1139" w:type="dxa"/>
            <w:shd w:val="clear" w:color="auto" w:fill="E5B8B7" w:themeFill="accent2" w:themeFillTint="66"/>
            <w:vAlign w:val="center"/>
          </w:tcPr>
          <w:p w:rsidR="00042809" w:rsidRPr="00471FC6" w:rsidRDefault="00042809" w:rsidP="00042809">
            <w:pPr>
              <w:spacing w:after="0" w:line="240" w:lineRule="auto"/>
              <w:jc w:val="center"/>
              <w:rPr>
                <w:rFonts w:ascii="Arial" w:eastAsia="Times New Roman" w:hAnsi="Arial" w:cs="Arial"/>
                <w:b/>
                <w:bCs/>
                <w:color w:val="000000"/>
                <w:sz w:val="18"/>
                <w:szCs w:val="18"/>
                <w:lang w:eastAsia="cs-CZ"/>
              </w:rPr>
            </w:pPr>
            <w:r w:rsidRPr="00471FC6">
              <w:rPr>
                <w:rFonts w:ascii="Arial" w:eastAsia="Times New Roman" w:hAnsi="Arial" w:cs="Arial"/>
                <w:b/>
                <w:bCs/>
                <w:color w:val="000000"/>
                <w:sz w:val="18"/>
                <w:szCs w:val="18"/>
                <w:lang w:eastAsia="cs-CZ"/>
              </w:rPr>
              <w:t>118</w:t>
            </w:r>
          </w:p>
        </w:tc>
        <w:tc>
          <w:tcPr>
            <w:tcW w:w="1139" w:type="dxa"/>
            <w:shd w:val="clear" w:color="auto" w:fill="E5B8B7" w:themeFill="accent2" w:themeFillTint="66"/>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88</w:t>
            </w:r>
          </w:p>
        </w:tc>
        <w:tc>
          <w:tcPr>
            <w:tcW w:w="1139" w:type="dxa"/>
            <w:shd w:val="clear" w:color="auto" w:fill="E5B8B7" w:themeFill="accent2" w:themeFillTint="66"/>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1,84%</w:t>
            </w:r>
          </w:p>
        </w:tc>
        <w:tc>
          <w:tcPr>
            <w:tcW w:w="1280" w:type="dxa"/>
            <w:shd w:val="clear" w:color="auto" w:fill="E5B8B7" w:themeFill="accent2" w:themeFillTint="66"/>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2,17%</w:t>
            </w:r>
          </w:p>
        </w:tc>
        <w:tc>
          <w:tcPr>
            <w:tcW w:w="998" w:type="dxa"/>
            <w:shd w:val="clear" w:color="auto" w:fill="E5B8B7" w:themeFill="accent2" w:themeFillTint="66"/>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14 753</w:t>
            </w:r>
          </w:p>
        </w:tc>
      </w:tr>
      <w:tr w:rsidR="00115879" w:rsidRPr="00C41DE7" w:rsidTr="006F678C">
        <w:trPr>
          <w:trHeight w:val="583"/>
          <w:jc w:val="center"/>
        </w:trPr>
        <w:tc>
          <w:tcPr>
            <w:tcW w:w="1495" w:type="dxa"/>
            <w:vMerge w:val="restart"/>
            <w:shd w:val="clear" w:color="auto" w:fill="auto"/>
            <w:noWrap/>
            <w:vAlign w:val="center"/>
            <w:hideMark/>
          </w:tcPr>
          <w:p w:rsidR="00042809" w:rsidRPr="00C41DE7" w:rsidRDefault="00042809" w:rsidP="00C41DE7">
            <w:pPr>
              <w:spacing w:after="0" w:line="240" w:lineRule="auto"/>
              <w:jc w:val="center"/>
              <w:rPr>
                <w:rFonts w:ascii="Arial" w:eastAsia="Times New Roman" w:hAnsi="Arial" w:cs="Arial"/>
                <w:color w:val="000000"/>
                <w:sz w:val="18"/>
                <w:szCs w:val="18"/>
                <w:lang w:eastAsia="cs-CZ"/>
              </w:rPr>
            </w:pPr>
            <w:r w:rsidRPr="00C41DE7">
              <w:rPr>
                <w:rFonts w:ascii="Arial" w:eastAsia="Times New Roman" w:hAnsi="Arial" w:cs="Arial"/>
                <w:color w:val="000000"/>
                <w:sz w:val="18"/>
                <w:szCs w:val="18"/>
                <w:lang w:eastAsia="cs-CZ"/>
              </w:rPr>
              <w:t>30</w:t>
            </w:r>
          </w:p>
        </w:tc>
        <w:tc>
          <w:tcPr>
            <w:tcW w:w="2516" w:type="dxa"/>
            <w:vMerge w:val="restart"/>
            <w:shd w:val="clear" w:color="auto" w:fill="auto"/>
            <w:vAlign w:val="center"/>
            <w:hideMark/>
          </w:tcPr>
          <w:p w:rsidR="00042809" w:rsidRPr="00471FC6" w:rsidRDefault="00042809" w:rsidP="00C41DE7">
            <w:pPr>
              <w:spacing w:after="0" w:line="240" w:lineRule="auto"/>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Výroba ostatních dopravních prostředků a zařízení</w:t>
            </w:r>
          </w:p>
        </w:tc>
        <w:tc>
          <w:tcPr>
            <w:tcW w:w="3232" w:type="dxa"/>
            <w:shd w:val="clear" w:color="000000" w:fill="E6B8B7"/>
            <w:vAlign w:val="center"/>
            <w:hideMark/>
          </w:tcPr>
          <w:p w:rsidR="00042809" w:rsidRPr="00C41DE7" w:rsidRDefault="00042809" w:rsidP="00C41DE7">
            <w:pPr>
              <w:spacing w:after="0" w:line="240" w:lineRule="auto"/>
              <w:jc w:val="center"/>
              <w:rPr>
                <w:rFonts w:ascii="Arial" w:eastAsia="Times New Roman" w:hAnsi="Arial" w:cs="Arial"/>
                <w:b/>
                <w:bCs/>
                <w:color w:val="000000"/>
                <w:sz w:val="18"/>
                <w:szCs w:val="18"/>
                <w:lang w:eastAsia="cs-CZ"/>
              </w:rPr>
            </w:pPr>
            <w:r w:rsidRPr="00C41DE7">
              <w:rPr>
                <w:rFonts w:ascii="Arial" w:eastAsia="Times New Roman" w:hAnsi="Arial" w:cs="Arial"/>
                <w:b/>
                <w:bCs/>
                <w:color w:val="000000"/>
                <w:sz w:val="18"/>
                <w:szCs w:val="18"/>
                <w:lang w:eastAsia="cs-CZ"/>
              </w:rPr>
              <w:t>ŽELEZNIČNÍ A KOLEJOVÁ VOZIDLA</w:t>
            </w:r>
          </w:p>
        </w:tc>
        <w:tc>
          <w:tcPr>
            <w:tcW w:w="1139" w:type="dxa"/>
            <w:vMerge w:val="restart"/>
            <w:shd w:val="clear" w:color="000000" w:fill="E6B8B7"/>
            <w:vAlign w:val="center"/>
          </w:tcPr>
          <w:p w:rsidR="00042809" w:rsidRPr="00471FC6" w:rsidRDefault="00042809" w:rsidP="00042809">
            <w:pPr>
              <w:spacing w:after="0" w:line="240" w:lineRule="auto"/>
              <w:jc w:val="center"/>
              <w:rPr>
                <w:rFonts w:ascii="Arial" w:eastAsia="Times New Roman" w:hAnsi="Arial" w:cs="Arial"/>
                <w:b/>
                <w:bCs/>
                <w:color w:val="000000"/>
                <w:sz w:val="18"/>
                <w:szCs w:val="18"/>
                <w:lang w:eastAsia="cs-CZ"/>
              </w:rPr>
            </w:pPr>
            <w:r w:rsidRPr="00471FC6">
              <w:rPr>
                <w:rFonts w:ascii="Arial" w:eastAsia="Times New Roman" w:hAnsi="Arial" w:cs="Arial"/>
                <w:b/>
                <w:bCs/>
                <w:color w:val="000000"/>
                <w:sz w:val="18"/>
                <w:szCs w:val="18"/>
                <w:lang w:eastAsia="cs-CZ"/>
              </w:rPr>
              <w:t>4,07%</w:t>
            </w:r>
          </w:p>
        </w:tc>
        <w:tc>
          <w:tcPr>
            <w:tcW w:w="1139" w:type="dxa"/>
            <w:vMerge w:val="restart"/>
            <w:shd w:val="clear" w:color="000000" w:fill="E6B8B7"/>
            <w:vAlign w:val="center"/>
          </w:tcPr>
          <w:p w:rsidR="00042809" w:rsidRPr="00471FC6" w:rsidRDefault="00042809" w:rsidP="00042809">
            <w:pPr>
              <w:spacing w:after="0" w:line="240" w:lineRule="auto"/>
              <w:jc w:val="center"/>
              <w:rPr>
                <w:rFonts w:ascii="Arial" w:eastAsia="Times New Roman" w:hAnsi="Arial" w:cs="Arial"/>
                <w:b/>
                <w:bCs/>
                <w:color w:val="000000"/>
                <w:sz w:val="18"/>
                <w:szCs w:val="18"/>
                <w:lang w:eastAsia="cs-CZ"/>
              </w:rPr>
            </w:pPr>
            <w:r w:rsidRPr="00471FC6">
              <w:rPr>
                <w:rFonts w:ascii="Arial" w:eastAsia="Times New Roman" w:hAnsi="Arial" w:cs="Arial"/>
                <w:b/>
                <w:bCs/>
                <w:color w:val="000000"/>
                <w:sz w:val="18"/>
                <w:szCs w:val="18"/>
                <w:lang w:eastAsia="cs-CZ"/>
              </w:rPr>
              <w:t>36</w:t>
            </w:r>
          </w:p>
        </w:tc>
        <w:tc>
          <w:tcPr>
            <w:tcW w:w="1139" w:type="dxa"/>
            <w:vMerge w:val="restart"/>
            <w:shd w:val="clear" w:color="000000" w:fill="E6B8B7"/>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21</w:t>
            </w:r>
          </w:p>
        </w:tc>
        <w:tc>
          <w:tcPr>
            <w:tcW w:w="1139" w:type="dxa"/>
            <w:vMerge w:val="restart"/>
            <w:shd w:val="clear" w:color="000000" w:fill="E6B8B7"/>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0,51%</w:t>
            </w:r>
          </w:p>
        </w:tc>
        <w:tc>
          <w:tcPr>
            <w:tcW w:w="1280" w:type="dxa"/>
            <w:vMerge w:val="restart"/>
            <w:shd w:val="clear" w:color="000000" w:fill="E6B8B7"/>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0,51%</w:t>
            </w:r>
          </w:p>
        </w:tc>
        <w:tc>
          <w:tcPr>
            <w:tcW w:w="998" w:type="dxa"/>
            <w:vMerge w:val="restart"/>
            <w:shd w:val="clear" w:color="000000" w:fill="E6B8B7"/>
            <w:vAlign w:val="center"/>
          </w:tcPr>
          <w:p w:rsidR="00042809" w:rsidRPr="00042809" w:rsidRDefault="00042809" w:rsidP="00042809">
            <w:pPr>
              <w:spacing w:after="0" w:line="240" w:lineRule="auto"/>
              <w:jc w:val="center"/>
              <w:rPr>
                <w:rFonts w:ascii="Arial" w:eastAsia="Times New Roman" w:hAnsi="Arial" w:cs="Arial"/>
                <w:b/>
                <w:bCs/>
                <w:color w:val="000000"/>
                <w:sz w:val="18"/>
                <w:szCs w:val="18"/>
                <w:lang w:eastAsia="cs-CZ"/>
              </w:rPr>
            </w:pPr>
            <w:r w:rsidRPr="00042809">
              <w:rPr>
                <w:rFonts w:ascii="Arial" w:eastAsia="Times New Roman" w:hAnsi="Arial" w:cs="Arial"/>
                <w:b/>
                <w:bCs/>
                <w:color w:val="000000"/>
                <w:sz w:val="18"/>
                <w:szCs w:val="18"/>
                <w:lang w:eastAsia="cs-CZ"/>
              </w:rPr>
              <w:t>584</w:t>
            </w:r>
          </w:p>
        </w:tc>
      </w:tr>
      <w:tr w:rsidR="00115879" w:rsidRPr="00C41DE7" w:rsidTr="006F678C">
        <w:trPr>
          <w:trHeight w:val="328"/>
          <w:jc w:val="center"/>
        </w:trPr>
        <w:tc>
          <w:tcPr>
            <w:tcW w:w="1495" w:type="dxa"/>
            <w:vMerge/>
            <w:vAlign w:val="center"/>
            <w:hideMark/>
          </w:tcPr>
          <w:p w:rsidR="00BC2124" w:rsidRPr="00C41DE7" w:rsidRDefault="00BC2124" w:rsidP="00C41DE7">
            <w:pPr>
              <w:spacing w:after="0" w:line="240" w:lineRule="auto"/>
              <w:rPr>
                <w:rFonts w:ascii="Arial" w:eastAsia="Times New Roman" w:hAnsi="Arial" w:cs="Arial"/>
                <w:color w:val="000000"/>
                <w:sz w:val="18"/>
                <w:szCs w:val="18"/>
                <w:lang w:eastAsia="cs-CZ"/>
              </w:rPr>
            </w:pPr>
          </w:p>
        </w:tc>
        <w:tc>
          <w:tcPr>
            <w:tcW w:w="2516" w:type="dxa"/>
            <w:vMerge/>
            <w:vAlign w:val="center"/>
            <w:hideMark/>
          </w:tcPr>
          <w:p w:rsidR="00BC2124" w:rsidRPr="00471FC6" w:rsidRDefault="00BC2124" w:rsidP="00C41DE7">
            <w:pPr>
              <w:spacing w:after="0" w:line="240" w:lineRule="auto"/>
              <w:rPr>
                <w:rFonts w:ascii="Arial" w:eastAsia="Times New Roman" w:hAnsi="Arial" w:cs="Arial"/>
                <w:b/>
                <w:bCs/>
                <w:color w:val="000000"/>
                <w:sz w:val="16"/>
                <w:szCs w:val="16"/>
                <w:lang w:eastAsia="cs-CZ"/>
              </w:rPr>
            </w:pPr>
          </w:p>
        </w:tc>
        <w:tc>
          <w:tcPr>
            <w:tcW w:w="3232" w:type="dxa"/>
            <w:shd w:val="clear" w:color="000000" w:fill="E6B8B7"/>
            <w:vAlign w:val="center"/>
            <w:hideMark/>
          </w:tcPr>
          <w:p w:rsidR="00BC2124" w:rsidRPr="00C41DE7" w:rsidRDefault="00BC2124" w:rsidP="00C41DE7">
            <w:pPr>
              <w:spacing w:after="0" w:line="240" w:lineRule="auto"/>
              <w:jc w:val="center"/>
              <w:rPr>
                <w:rFonts w:ascii="Arial" w:eastAsia="Times New Roman" w:hAnsi="Arial" w:cs="Arial"/>
                <w:b/>
                <w:bCs/>
                <w:color w:val="000000"/>
                <w:sz w:val="18"/>
                <w:szCs w:val="18"/>
                <w:lang w:eastAsia="cs-CZ"/>
              </w:rPr>
            </w:pPr>
            <w:r w:rsidRPr="00C41DE7">
              <w:rPr>
                <w:rFonts w:ascii="Arial" w:eastAsia="Times New Roman" w:hAnsi="Arial" w:cs="Arial"/>
                <w:b/>
                <w:bCs/>
                <w:color w:val="000000"/>
                <w:sz w:val="18"/>
                <w:szCs w:val="18"/>
                <w:lang w:eastAsia="cs-CZ"/>
              </w:rPr>
              <w:t>LETECKÝ PRŮMYSL</w:t>
            </w:r>
          </w:p>
        </w:tc>
        <w:tc>
          <w:tcPr>
            <w:tcW w:w="1139" w:type="dxa"/>
            <w:vMerge/>
            <w:shd w:val="clear" w:color="000000" w:fill="E6B8B7"/>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139" w:type="dxa"/>
            <w:vMerge/>
            <w:shd w:val="clear" w:color="000000" w:fill="E6B8B7"/>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139" w:type="dxa"/>
            <w:vMerge/>
            <w:shd w:val="clear" w:color="000000" w:fill="E6B8B7"/>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139" w:type="dxa"/>
            <w:vMerge/>
            <w:shd w:val="clear" w:color="000000" w:fill="E6B8B7"/>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280" w:type="dxa"/>
            <w:vMerge/>
            <w:shd w:val="clear" w:color="000000" w:fill="E6B8B7"/>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998" w:type="dxa"/>
            <w:vMerge/>
            <w:shd w:val="clear" w:color="000000" w:fill="E6B8B7"/>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r>
      <w:tr w:rsidR="00EE6F3D" w:rsidRPr="00C41DE7" w:rsidTr="006F678C">
        <w:trPr>
          <w:trHeight w:val="196"/>
          <w:jc w:val="center"/>
        </w:trPr>
        <w:tc>
          <w:tcPr>
            <w:tcW w:w="1495" w:type="dxa"/>
            <w:vMerge/>
            <w:vAlign w:val="center"/>
            <w:hideMark/>
          </w:tcPr>
          <w:p w:rsidR="00BC2124" w:rsidRPr="00C41DE7" w:rsidRDefault="00BC2124" w:rsidP="00C41DE7">
            <w:pPr>
              <w:spacing w:after="0" w:line="240" w:lineRule="auto"/>
              <w:rPr>
                <w:rFonts w:ascii="Arial" w:eastAsia="Times New Roman" w:hAnsi="Arial" w:cs="Arial"/>
                <w:color w:val="000000"/>
                <w:sz w:val="18"/>
                <w:szCs w:val="18"/>
                <w:lang w:eastAsia="cs-CZ"/>
              </w:rPr>
            </w:pPr>
          </w:p>
        </w:tc>
        <w:tc>
          <w:tcPr>
            <w:tcW w:w="2516" w:type="dxa"/>
            <w:vMerge/>
            <w:vAlign w:val="center"/>
            <w:hideMark/>
          </w:tcPr>
          <w:p w:rsidR="00BC2124" w:rsidRPr="00471FC6" w:rsidRDefault="00BC2124" w:rsidP="00C41DE7">
            <w:pPr>
              <w:spacing w:after="0" w:line="240" w:lineRule="auto"/>
              <w:rPr>
                <w:rFonts w:ascii="Arial" w:eastAsia="Times New Roman" w:hAnsi="Arial" w:cs="Arial"/>
                <w:b/>
                <w:bCs/>
                <w:color w:val="000000"/>
                <w:sz w:val="16"/>
                <w:szCs w:val="16"/>
                <w:lang w:eastAsia="cs-CZ"/>
              </w:rPr>
            </w:pPr>
          </w:p>
        </w:tc>
        <w:tc>
          <w:tcPr>
            <w:tcW w:w="3232" w:type="dxa"/>
            <w:shd w:val="clear" w:color="auto" w:fill="auto"/>
            <w:vAlign w:val="center"/>
            <w:hideMark/>
          </w:tcPr>
          <w:p w:rsidR="00BC2124" w:rsidRPr="00C41DE7" w:rsidRDefault="00BC2124" w:rsidP="00C41DE7">
            <w:pPr>
              <w:spacing w:after="0" w:line="240" w:lineRule="auto"/>
              <w:jc w:val="center"/>
              <w:rPr>
                <w:rFonts w:ascii="Arial" w:eastAsia="Times New Roman" w:hAnsi="Arial" w:cs="Arial"/>
                <w:b/>
                <w:bCs/>
                <w:color w:val="000000"/>
                <w:sz w:val="18"/>
                <w:szCs w:val="18"/>
                <w:lang w:eastAsia="cs-CZ"/>
              </w:rPr>
            </w:pPr>
            <w:r w:rsidRPr="00C41DE7">
              <w:rPr>
                <w:rFonts w:ascii="Arial" w:eastAsia="Times New Roman" w:hAnsi="Arial" w:cs="Arial"/>
                <w:b/>
                <w:bCs/>
                <w:color w:val="000000"/>
                <w:sz w:val="18"/>
                <w:szCs w:val="18"/>
                <w:lang w:eastAsia="cs-CZ"/>
              </w:rPr>
              <w:t>KOSMICKÝ VÝZKUM</w:t>
            </w:r>
          </w:p>
        </w:tc>
        <w:tc>
          <w:tcPr>
            <w:tcW w:w="1139" w:type="dxa"/>
            <w:vMerge/>
            <w:shd w:val="clear" w:color="auto" w:fill="auto"/>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139"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139"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139"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280"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998"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r>
      <w:tr w:rsidR="00115879" w:rsidRPr="00C41DE7" w:rsidTr="006F678C">
        <w:trPr>
          <w:trHeight w:val="328"/>
          <w:jc w:val="center"/>
        </w:trPr>
        <w:tc>
          <w:tcPr>
            <w:tcW w:w="1495" w:type="dxa"/>
            <w:shd w:val="clear" w:color="auto" w:fill="auto"/>
            <w:noWrap/>
            <w:vAlign w:val="center"/>
            <w:hideMark/>
          </w:tcPr>
          <w:p w:rsidR="00042809" w:rsidRPr="00C41DE7" w:rsidRDefault="00042809" w:rsidP="00C41DE7">
            <w:pPr>
              <w:spacing w:after="0" w:line="240" w:lineRule="auto"/>
              <w:jc w:val="center"/>
              <w:rPr>
                <w:rFonts w:ascii="Arial" w:eastAsia="Times New Roman" w:hAnsi="Arial" w:cs="Arial"/>
                <w:color w:val="000000"/>
                <w:sz w:val="18"/>
                <w:szCs w:val="18"/>
                <w:lang w:eastAsia="cs-CZ"/>
              </w:rPr>
            </w:pPr>
            <w:r w:rsidRPr="00C41DE7">
              <w:rPr>
                <w:rFonts w:ascii="Arial" w:eastAsia="Times New Roman" w:hAnsi="Arial" w:cs="Arial"/>
                <w:color w:val="000000"/>
                <w:sz w:val="18"/>
                <w:szCs w:val="18"/>
                <w:lang w:eastAsia="cs-CZ"/>
              </w:rPr>
              <w:t>21</w:t>
            </w:r>
          </w:p>
        </w:tc>
        <w:tc>
          <w:tcPr>
            <w:tcW w:w="2516" w:type="dxa"/>
            <w:shd w:val="clear" w:color="auto" w:fill="auto"/>
            <w:vAlign w:val="center"/>
            <w:hideMark/>
          </w:tcPr>
          <w:p w:rsidR="00042809" w:rsidRPr="00471FC6" w:rsidRDefault="00042809" w:rsidP="00C41DE7">
            <w:pPr>
              <w:spacing w:after="0" w:line="240" w:lineRule="auto"/>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Farmaceutický průmysl</w:t>
            </w:r>
          </w:p>
        </w:tc>
        <w:tc>
          <w:tcPr>
            <w:tcW w:w="3232" w:type="dxa"/>
            <w:shd w:val="clear" w:color="000000" w:fill="E6B8B7"/>
            <w:vAlign w:val="center"/>
            <w:hideMark/>
          </w:tcPr>
          <w:p w:rsidR="00042809" w:rsidRPr="00C41DE7" w:rsidRDefault="00042809" w:rsidP="00C41DE7">
            <w:pPr>
              <w:spacing w:after="0" w:line="240" w:lineRule="auto"/>
              <w:jc w:val="center"/>
              <w:rPr>
                <w:rFonts w:ascii="Arial" w:eastAsia="Times New Roman" w:hAnsi="Arial" w:cs="Arial"/>
                <w:b/>
                <w:bCs/>
                <w:color w:val="000000"/>
                <w:sz w:val="18"/>
                <w:szCs w:val="18"/>
                <w:lang w:eastAsia="cs-CZ"/>
              </w:rPr>
            </w:pPr>
            <w:r w:rsidRPr="00C41DE7">
              <w:rPr>
                <w:rFonts w:ascii="Arial" w:eastAsia="Times New Roman" w:hAnsi="Arial" w:cs="Arial"/>
                <w:b/>
                <w:bCs/>
                <w:color w:val="000000"/>
                <w:sz w:val="18"/>
                <w:szCs w:val="18"/>
                <w:lang w:eastAsia="cs-CZ"/>
              </w:rPr>
              <w:t>BIOTECHNOLOGIE</w:t>
            </w:r>
          </w:p>
        </w:tc>
        <w:tc>
          <w:tcPr>
            <w:tcW w:w="1139" w:type="dxa"/>
            <w:shd w:val="clear" w:color="000000" w:fill="E6B8B7"/>
            <w:vAlign w:val="center"/>
          </w:tcPr>
          <w:p w:rsidR="00042809" w:rsidRPr="00EE6F3D" w:rsidRDefault="00042809" w:rsidP="00EE6F3D">
            <w:pPr>
              <w:spacing w:after="0" w:line="240" w:lineRule="auto"/>
              <w:jc w:val="center"/>
              <w:rPr>
                <w:rFonts w:ascii="Arial" w:eastAsia="Times New Roman" w:hAnsi="Arial" w:cs="Arial"/>
                <w:b/>
                <w:bCs/>
                <w:color w:val="000000"/>
                <w:sz w:val="18"/>
                <w:szCs w:val="18"/>
                <w:lang w:eastAsia="cs-CZ"/>
              </w:rPr>
            </w:pPr>
            <w:r w:rsidRPr="00EE6F3D">
              <w:rPr>
                <w:rFonts w:ascii="Arial" w:eastAsia="Times New Roman" w:hAnsi="Arial" w:cs="Arial"/>
                <w:b/>
                <w:bCs/>
                <w:color w:val="000000"/>
                <w:sz w:val="18"/>
                <w:szCs w:val="18"/>
                <w:lang w:eastAsia="cs-CZ"/>
              </w:rPr>
              <w:t>2,33%</w:t>
            </w:r>
          </w:p>
        </w:tc>
        <w:tc>
          <w:tcPr>
            <w:tcW w:w="1139" w:type="dxa"/>
            <w:shd w:val="clear" w:color="000000" w:fill="E6B8B7"/>
            <w:vAlign w:val="center"/>
          </w:tcPr>
          <w:p w:rsidR="00042809" w:rsidRPr="00471FC6" w:rsidRDefault="00042809" w:rsidP="00042809">
            <w:pPr>
              <w:spacing w:after="0" w:line="240" w:lineRule="auto"/>
              <w:jc w:val="center"/>
              <w:rPr>
                <w:rFonts w:ascii="Arial" w:eastAsia="Times New Roman" w:hAnsi="Arial" w:cs="Arial"/>
                <w:b/>
                <w:bCs/>
                <w:color w:val="000000"/>
                <w:sz w:val="18"/>
                <w:szCs w:val="18"/>
                <w:lang w:eastAsia="cs-CZ"/>
              </w:rPr>
            </w:pPr>
            <w:r w:rsidRPr="00471FC6">
              <w:rPr>
                <w:rFonts w:ascii="Arial" w:eastAsia="Times New Roman" w:hAnsi="Arial" w:cs="Arial"/>
                <w:b/>
                <w:bCs/>
                <w:color w:val="000000"/>
                <w:sz w:val="18"/>
                <w:szCs w:val="18"/>
                <w:lang w:eastAsia="cs-CZ"/>
              </w:rPr>
              <w:t>25</w:t>
            </w:r>
          </w:p>
        </w:tc>
        <w:tc>
          <w:tcPr>
            <w:tcW w:w="1139" w:type="dxa"/>
            <w:shd w:val="clear" w:color="000000" w:fill="E6B8B7"/>
            <w:vAlign w:val="center"/>
          </w:tcPr>
          <w:p w:rsidR="00042809" w:rsidRPr="001E7576" w:rsidRDefault="00042809" w:rsidP="001E7576">
            <w:pPr>
              <w:spacing w:after="0" w:line="240" w:lineRule="auto"/>
              <w:jc w:val="center"/>
              <w:rPr>
                <w:rFonts w:ascii="Arial" w:eastAsia="Times New Roman" w:hAnsi="Arial" w:cs="Arial"/>
                <w:b/>
                <w:bCs/>
                <w:color w:val="000000"/>
                <w:sz w:val="18"/>
                <w:szCs w:val="18"/>
                <w:lang w:eastAsia="cs-CZ"/>
              </w:rPr>
            </w:pPr>
            <w:r w:rsidRPr="001E7576">
              <w:rPr>
                <w:rFonts w:ascii="Arial" w:eastAsia="Times New Roman" w:hAnsi="Arial" w:cs="Arial"/>
                <w:b/>
                <w:bCs/>
                <w:color w:val="000000"/>
                <w:sz w:val="18"/>
                <w:szCs w:val="18"/>
                <w:lang w:eastAsia="cs-CZ"/>
              </w:rPr>
              <w:t>17</w:t>
            </w:r>
          </w:p>
        </w:tc>
        <w:tc>
          <w:tcPr>
            <w:tcW w:w="1139" w:type="dxa"/>
            <w:shd w:val="clear" w:color="000000" w:fill="E6B8B7"/>
            <w:vAlign w:val="center"/>
          </w:tcPr>
          <w:p w:rsidR="00042809" w:rsidRPr="001E7576" w:rsidRDefault="00042809" w:rsidP="001E7576">
            <w:pPr>
              <w:spacing w:after="0" w:line="240" w:lineRule="auto"/>
              <w:jc w:val="center"/>
              <w:rPr>
                <w:rFonts w:ascii="Arial" w:eastAsia="Times New Roman" w:hAnsi="Arial" w:cs="Arial"/>
                <w:b/>
                <w:bCs/>
                <w:color w:val="000000"/>
                <w:sz w:val="18"/>
                <w:szCs w:val="18"/>
                <w:lang w:eastAsia="cs-CZ"/>
              </w:rPr>
            </w:pPr>
            <w:r w:rsidRPr="001E7576">
              <w:rPr>
                <w:rFonts w:ascii="Arial" w:eastAsia="Times New Roman" w:hAnsi="Arial" w:cs="Arial"/>
                <w:b/>
                <w:bCs/>
                <w:color w:val="000000"/>
                <w:sz w:val="18"/>
                <w:szCs w:val="18"/>
                <w:lang w:eastAsia="cs-CZ"/>
              </w:rPr>
              <w:t>0,44%</w:t>
            </w:r>
          </w:p>
        </w:tc>
        <w:tc>
          <w:tcPr>
            <w:tcW w:w="1280" w:type="dxa"/>
            <w:shd w:val="clear" w:color="000000" w:fill="E6B8B7"/>
            <w:vAlign w:val="center"/>
          </w:tcPr>
          <w:p w:rsidR="00042809" w:rsidRPr="001E7576" w:rsidRDefault="00042809" w:rsidP="001E7576">
            <w:pPr>
              <w:spacing w:after="0" w:line="240" w:lineRule="auto"/>
              <w:jc w:val="center"/>
              <w:rPr>
                <w:rFonts w:ascii="Arial" w:eastAsia="Times New Roman" w:hAnsi="Arial" w:cs="Arial"/>
                <w:b/>
                <w:bCs/>
                <w:color w:val="000000"/>
                <w:sz w:val="18"/>
                <w:szCs w:val="18"/>
                <w:lang w:eastAsia="cs-CZ"/>
              </w:rPr>
            </w:pPr>
            <w:r w:rsidRPr="001E7576">
              <w:rPr>
                <w:rFonts w:ascii="Arial" w:eastAsia="Times New Roman" w:hAnsi="Arial" w:cs="Arial"/>
                <w:b/>
                <w:bCs/>
                <w:color w:val="000000"/>
                <w:sz w:val="18"/>
                <w:szCs w:val="18"/>
                <w:lang w:eastAsia="cs-CZ"/>
              </w:rPr>
              <w:t>0,23%</w:t>
            </w:r>
          </w:p>
        </w:tc>
        <w:tc>
          <w:tcPr>
            <w:tcW w:w="998" w:type="dxa"/>
            <w:shd w:val="clear" w:color="000000" w:fill="E6B8B7"/>
            <w:vAlign w:val="center"/>
          </w:tcPr>
          <w:p w:rsidR="00042809" w:rsidRPr="001E7576" w:rsidRDefault="00042809" w:rsidP="001E7576">
            <w:pPr>
              <w:spacing w:after="0" w:line="240" w:lineRule="auto"/>
              <w:ind w:firstLineChars="200" w:firstLine="361"/>
              <w:jc w:val="center"/>
              <w:rPr>
                <w:rFonts w:ascii="Arial" w:eastAsia="Times New Roman" w:hAnsi="Arial" w:cs="Arial"/>
                <w:b/>
                <w:bCs/>
                <w:color w:val="000000"/>
                <w:sz w:val="18"/>
                <w:szCs w:val="18"/>
                <w:lang w:eastAsia="cs-CZ"/>
              </w:rPr>
            </w:pPr>
            <w:r w:rsidRPr="001E7576">
              <w:rPr>
                <w:rFonts w:ascii="Arial" w:eastAsia="Times New Roman" w:hAnsi="Arial" w:cs="Arial"/>
                <w:b/>
                <w:bCs/>
                <w:color w:val="000000"/>
                <w:sz w:val="18"/>
                <w:szCs w:val="18"/>
                <w:lang w:eastAsia="cs-CZ"/>
              </w:rPr>
              <w:t>88</w:t>
            </w:r>
          </w:p>
        </w:tc>
      </w:tr>
      <w:tr w:rsidR="00115879" w:rsidRPr="00C41DE7" w:rsidTr="006F678C">
        <w:trPr>
          <w:trHeight w:val="715"/>
          <w:jc w:val="center"/>
        </w:trPr>
        <w:tc>
          <w:tcPr>
            <w:tcW w:w="1495" w:type="dxa"/>
            <w:shd w:val="clear" w:color="auto" w:fill="auto"/>
            <w:noWrap/>
            <w:vAlign w:val="center"/>
            <w:hideMark/>
          </w:tcPr>
          <w:p w:rsidR="00042809" w:rsidRPr="00C41DE7" w:rsidRDefault="00042809" w:rsidP="00C41DE7">
            <w:pPr>
              <w:spacing w:after="0" w:line="240" w:lineRule="auto"/>
              <w:jc w:val="center"/>
              <w:rPr>
                <w:rFonts w:ascii="Arial" w:eastAsia="Times New Roman" w:hAnsi="Arial" w:cs="Arial"/>
                <w:color w:val="000000"/>
                <w:sz w:val="18"/>
                <w:szCs w:val="18"/>
                <w:lang w:eastAsia="cs-CZ"/>
              </w:rPr>
            </w:pPr>
            <w:r w:rsidRPr="00C41DE7">
              <w:rPr>
                <w:rFonts w:ascii="Arial" w:eastAsia="Times New Roman" w:hAnsi="Arial" w:cs="Arial"/>
                <w:color w:val="000000"/>
                <w:sz w:val="18"/>
                <w:szCs w:val="18"/>
                <w:lang w:eastAsia="cs-CZ"/>
              </w:rPr>
              <w:t>35-39</w:t>
            </w:r>
          </w:p>
        </w:tc>
        <w:tc>
          <w:tcPr>
            <w:tcW w:w="2516" w:type="dxa"/>
            <w:shd w:val="clear" w:color="auto" w:fill="auto"/>
            <w:vAlign w:val="center"/>
            <w:hideMark/>
          </w:tcPr>
          <w:p w:rsidR="00042809" w:rsidRPr="00471FC6" w:rsidRDefault="00042809" w:rsidP="00C41DE7">
            <w:pPr>
              <w:spacing w:after="0" w:line="240" w:lineRule="auto"/>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Výroba a rozvod vody, elektřiny, plynu, tepla a činnosti související s odpady</w:t>
            </w:r>
          </w:p>
        </w:tc>
        <w:tc>
          <w:tcPr>
            <w:tcW w:w="3232" w:type="dxa"/>
            <w:shd w:val="clear" w:color="000000" w:fill="E6B8B7"/>
            <w:vAlign w:val="center"/>
            <w:hideMark/>
          </w:tcPr>
          <w:p w:rsidR="00042809" w:rsidRPr="00C41DE7" w:rsidRDefault="00042809" w:rsidP="00C41DE7">
            <w:pPr>
              <w:spacing w:after="0" w:line="240" w:lineRule="auto"/>
              <w:jc w:val="center"/>
              <w:rPr>
                <w:rFonts w:ascii="Arial" w:eastAsia="Times New Roman" w:hAnsi="Arial" w:cs="Arial"/>
                <w:b/>
                <w:bCs/>
                <w:color w:val="000000"/>
                <w:sz w:val="18"/>
                <w:szCs w:val="18"/>
                <w:lang w:eastAsia="cs-CZ"/>
              </w:rPr>
            </w:pPr>
            <w:r w:rsidRPr="00C41DE7">
              <w:rPr>
                <w:rFonts w:ascii="Arial" w:eastAsia="Times New Roman" w:hAnsi="Arial" w:cs="Arial"/>
                <w:b/>
                <w:bCs/>
                <w:color w:val="000000"/>
                <w:sz w:val="18"/>
                <w:szCs w:val="18"/>
                <w:lang w:eastAsia="cs-CZ"/>
              </w:rPr>
              <w:t>ENERGETIKA</w:t>
            </w:r>
          </w:p>
        </w:tc>
        <w:tc>
          <w:tcPr>
            <w:tcW w:w="1139" w:type="dxa"/>
            <w:shd w:val="clear" w:color="000000" w:fill="E6B8B7"/>
            <w:vAlign w:val="center"/>
          </w:tcPr>
          <w:p w:rsidR="00042809" w:rsidRPr="00EE6F3D" w:rsidRDefault="00042809" w:rsidP="00EE6F3D">
            <w:pPr>
              <w:spacing w:after="0" w:line="240" w:lineRule="auto"/>
              <w:jc w:val="center"/>
              <w:rPr>
                <w:rFonts w:ascii="Arial" w:eastAsia="Times New Roman" w:hAnsi="Arial" w:cs="Arial"/>
                <w:b/>
                <w:bCs/>
                <w:color w:val="000000"/>
                <w:sz w:val="18"/>
                <w:szCs w:val="18"/>
                <w:lang w:eastAsia="cs-CZ"/>
              </w:rPr>
            </w:pPr>
            <w:r w:rsidRPr="00EE6F3D">
              <w:rPr>
                <w:rFonts w:ascii="Arial" w:eastAsia="Times New Roman" w:hAnsi="Arial" w:cs="Arial"/>
                <w:b/>
                <w:bCs/>
                <w:color w:val="000000"/>
                <w:sz w:val="18"/>
                <w:szCs w:val="18"/>
                <w:lang w:eastAsia="cs-CZ"/>
              </w:rPr>
              <w:t>0,45%</w:t>
            </w:r>
          </w:p>
        </w:tc>
        <w:tc>
          <w:tcPr>
            <w:tcW w:w="1139" w:type="dxa"/>
            <w:shd w:val="clear" w:color="000000" w:fill="E6B8B7"/>
            <w:vAlign w:val="center"/>
          </w:tcPr>
          <w:p w:rsidR="00042809" w:rsidRPr="00471FC6" w:rsidRDefault="00042809" w:rsidP="00611C08">
            <w:pPr>
              <w:spacing w:after="0" w:line="240" w:lineRule="auto"/>
              <w:jc w:val="center"/>
              <w:rPr>
                <w:rFonts w:ascii="Arial" w:eastAsia="Times New Roman" w:hAnsi="Arial" w:cs="Arial"/>
                <w:b/>
                <w:bCs/>
                <w:color w:val="000000"/>
                <w:sz w:val="18"/>
                <w:szCs w:val="18"/>
                <w:lang w:eastAsia="cs-CZ"/>
              </w:rPr>
            </w:pPr>
            <w:r w:rsidRPr="00611C08">
              <w:rPr>
                <w:rFonts w:ascii="Arial" w:eastAsia="Times New Roman" w:hAnsi="Arial" w:cs="Arial"/>
                <w:b/>
                <w:bCs/>
                <w:color w:val="000000"/>
                <w:sz w:val="18"/>
                <w:szCs w:val="18"/>
                <w:lang w:eastAsia="cs-CZ"/>
              </w:rPr>
              <w:t>18</w:t>
            </w:r>
          </w:p>
        </w:tc>
        <w:tc>
          <w:tcPr>
            <w:tcW w:w="1139" w:type="dxa"/>
            <w:shd w:val="clear" w:color="000000" w:fill="E6B8B7"/>
            <w:vAlign w:val="center"/>
          </w:tcPr>
          <w:p w:rsidR="00042809" w:rsidRPr="00611C08" w:rsidRDefault="00042809" w:rsidP="00611C08">
            <w:pPr>
              <w:spacing w:after="0" w:line="240" w:lineRule="auto"/>
              <w:jc w:val="center"/>
              <w:rPr>
                <w:rFonts w:ascii="Arial" w:eastAsia="Times New Roman" w:hAnsi="Arial" w:cs="Arial"/>
                <w:b/>
                <w:bCs/>
                <w:color w:val="000000"/>
                <w:sz w:val="18"/>
                <w:szCs w:val="18"/>
                <w:lang w:eastAsia="cs-CZ"/>
              </w:rPr>
            </w:pPr>
            <w:r w:rsidRPr="00611C08">
              <w:rPr>
                <w:rFonts w:ascii="Arial" w:eastAsia="Times New Roman" w:hAnsi="Arial" w:cs="Arial"/>
                <w:b/>
                <w:bCs/>
                <w:color w:val="000000"/>
                <w:sz w:val="18"/>
                <w:szCs w:val="18"/>
                <w:lang w:eastAsia="cs-CZ"/>
              </w:rPr>
              <w:t>16</w:t>
            </w:r>
          </w:p>
        </w:tc>
        <w:tc>
          <w:tcPr>
            <w:tcW w:w="1139" w:type="dxa"/>
            <w:shd w:val="clear" w:color="000000" w:fill="E6B8B7"/>
            <w:vAlign w:val="center"/>
          </w:tcPr>
          <w:p w:rsidR="00042809" w:rsidRPr="00611C08" w:rsidRDefault="00042809" w:rsidP="00611C08">
            <w:pPr>
              <w:spacing w:after="0" w:line="240" w:lineRule="auto"/>
              <w:jc w:val="center"/>
              <w:rPr>
                <w:rFonts w:ascii="Arial" w:eastAsia="Times New Roman" w:hAnsi="Arial" w:cs="Arial"/>
                <w:b/>
                <w:bCs/>
                <w:color w:val="000000"/>
                <w:sz w:val="18"/>
                <w:szCs w:val="18"/>
                <w:lang w:eastAsia="cs-CZ"/>
              </w:rPr>
            </w:pPr>
            <w:r w:rsidRPr="00611C08">
              <w:rPr>
                <w:rFonts w:ascii="Arial" w:eastAsia="Times New Roman" w:hAnsi="Arial" w:cs="Arial"/>
                <w:b/>
                <w:bCs/>
                <w:color w:val="000000"/>
                <w:sz w:val="18"/>
                <w:szCs w:val="18"/>
                <w:lang w:eastAsia="cs-CZ"/>
              </w:rPr>
              <w:t>5,27%</w:t>
            </w:r>
          </w:p>
        </w:tc>
        <w:tc>
          <w:tcPr>
            <w:tcW w:w="1280" w:type="dxa"/>
            <w:shd w:val="clear" w:color="000000" w:fill="E6B8B7"/>
            <w:vAlign w:val="center"/>
          </w:tcPr>
          <w:p w:rsidR="00042809" w:rsidRPr="00611C08" w:rsidRDefault="00042809" w:rsidP="00611C08">
            <w:pPr>
              <w:spacing w:after="0" w:line="240" w:lineRule="auto"/>
              <w:jc w:val="center"/>
              <w:rPr>
                <w:rFonts w:ascii="Arial" w:eastAsia="Times New Roman" w:hAnsi="Arial" w:cs="Arial"/>
                <w:b/>
                <w:bCs/>
                <w:color w:val="000000"/>
                <w:sz w:val="18"/>
                <w:szCs w:val="18"/>
                <w:lang w:eastAsia="cs-CZ"/>
              </w:rPr>
            </w:pPr>
            <w:r w:rsidRPr="00611C08">
              <w:rPr>
                <w:rFonts w:ascii="Arial" w:eastAsia="Times New Roman" w:hAnsi="Arial" w:cs="Arial"/>
                <w:b/>
                <w:bCs/>
                <w:color w:val="000000"/>
                <w:sz w:val="18"/>
                <w:szCs w:val="18"/>
                <w:lang w:eastAsia="cs-CZ"/>
              </w:rPr>
              <w:t>2,03%</w:t>
            </w:r>
          </w:p>
        </w:tc>
        <w:tc>
          <w:tcPr>
            <w:tcW w:w="998" w:type="dxa"/>
            <w:shd w:val="clear" w:color="000000" w:fill="E6B8B7"/>
            <w:vAlign w:val="center"/>
          </w:tcPr>
          <w:p w:rsidR="00042809" w:rsidRPr="00611C08" w:rsidRDefault="00042809" w:rsidP="00611C08">
            <w:pPr>
              <w:spacing w:after="0" w:line="240" w:lineRule="auto"/>
              <w:ind w:firstLineChars="200" w:firstLine="361"/>
              <w:jc w:val="center"/>
              <w:rPr>
                <w:rFonts w:ascii="Arial" w:eastAsia="Times New Roman" w:hAnsi="Arial" w:cs="Arial"/>
                <w:b/>
                <w:bCs/>
                <w:color w:val="000000"/>
                <w:sz w:val="18"/>
                <w:szCs w:val="18"/>
                <w:lang w:eastAsia="cs-CZ"/>
              </w:rPr>
            </w:pPr>
            <w:r w:rsidRPr="00611C08">
              <w:rPr>
                <w:rFonts w:ascii="Arial" w:eastAsia="Times New Roman" w:hAnsi="Arial" w:cs="Arial"/>
                <w:b/>
                <w:bCs/>
                <w:color w:val="000000"/>
                <w:sz w:val="18"/>
                <w:szCs w:val="18"/>
                <w:lang w:eastAsia="cs-CZ"/>
              </w:rPr>
              <w:t>12 374</w:t>
            </w:r>
          </w:p>
        </w:tc>
      </w:tr>
      <w:tr w:rsidR="00471FC6" w:rsidRPr="00C41DE7" w:rsidTr="006F678C">
        <w:trPr>
          <w:trHeight w:val="466"/>
          <w:jc w:val="center"/>
        </w:trPr>
        <w:tc>
          <w:tcPr>
            <w:tcW w:w="1495" w:type="dxa"/>
            <w:shd w:val="clear" w:color="auto" w:fill="auto"/>
            <w:noWrap/>
            <w:vAlign w:val="center"/>
            <w:hideMark/>
          </w:tcPr>
          <w:p w:rsidR="00471FC6" w:rsidRPr="00C41DE7" w:rsidRDefault="00471FC6" w:rsidP="00C41DE7">
            <w:pPr>
              <w:spacing w:after="0" w:line="240" w:lineRule="auto"/>
              <w:jc w:val="center"/>
              <w:rPr>
                <w:rFonts w:ascii="Arial" w:eastAsia="Times New Roman" w:hAnsi="Arial" w:cs="Arial"/>
                <w:color w:val="000000"/>
                <w:sz w:val="18"/>
                <w:szCs w:val="18"/>
                <w:lang w:eastAsia="cs-CZ"/>
              </w:rPr>
            </w:pPr>
            <w:r w:rsidRPr="00C41DE7">
              <w:rPr>
                <w:rFonts w:ascii="Arial" w:eastAsia="Times New Roman" w:hAnsi="Arial" w:cs="Arial"/>
                <w:color w:val="000000"/>
                <w:sz w:val="18"/>
                <w:szCs w:val="18"/>
                <w:lang w:eastAsia="cs-CZ"/>
              </w:rPr>
              <w:lastRenderedPageBreak/>
              <w:t>13-15</w:t>
            </w:r>
          </w:p>
        </w:tc>
        <w:tc>
          <w:tcPr>
            <w:tcW w:w="2516" w:type="dxa"/>
            <w:shd w:val="clear" w:color="auto" w:fill="auto"/>
            <w:vAlign w:val="center"/>
            <w:hideMark/>
          </w:tcPr>
          <w:p w:rsidR="00471FC6" w:rsidRPr="00471FC6" w:rsidRDefault="00471FC6" w:rsidP="00C41DE7">
            <w:pPr>
              <w:spacing w:after="0" w:line="240" w:lineRule="auto"/>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Textilní, oděvní a obuvnický průmysl</w:t>
            </w:r>
          </w:p>
        </w:tc>
        <w:tc>
          <w:tcPr>
            <w:tcW w:w="3232" w:type="dxa"/>
            <w:vMerge w:val="restart"/>
            <w:shd w:val="clear" w:color="000000" w:fill="E6B8B7"/>
            <w:vAlign w:val="center"/>
            <w:hideMark/>
          </w:tcPr>
          <w:p w:rsidR="00471FC6" w:rsidRPr="00C41DE7" w:rsidRDefault="00471FC6" w:rsidP="00C41DE7">
            <w:pPr>
              <w:spacing w:after="0" w:line="240" w:lineRule="auto"/>
              <w:jc w:val="center"/>
              <w:rPr>
                <w:rFonts w:ascii="Arial" w:eastAsia="Times New Roman" w:hAnsi="Arial" w:cs="Arial"/>
                <w:b/>
                <w:bCs/>
                <w:color w:val="000000"/>
                <w:sz w:val="18"/>
                <w:szCs w:val="18"/>
                <w:lang w:eastAsia="cs-CZ"/>
              </w:rPr>
            </w:pPr>
            <w:r w:rsidRPr="00C41DE7">
              <w:rPr>
                <w:rFonts w:ascii="Arial" w:eastAsia="Times New Roman" w:hAnsi="Arial" w:cs="Arial"/>
                <w:b/>
                <w:bCs/>
                <w:color w:val="000000"/>
                <w:sz w:val="18"/>
                <w:szCs w:val="18"/>
                <w:lang w:eastAsia="cs-CZ"/>
              </w:rPr>
              <w:t>TRADIČNÍ KULTURNÍ A KREATIVNÍ PRŮMYSLY</w:t>
            </w:r>
            <w:bookmarkStart w:id="19" w:name="_Ref421257442"/>
            <w:r w:rsidRPr="00C41DE7">
              <w:rPr>
                <w:rFonts w:ascii="Arial" w:eastAsia="Times New Roman" w:hAnsi="Arial" w:cs="Arial"/>
                <w:b/>
                <w:bCs/>
                <w:color w:val="000000"/>
                <w:sz w:val="18"/>
                <w:szCs w:val="18"/>
                <w:vertAlign w:val="superscript"/>
                <w:lang w:eastAsia="cs-CZ"/>
              </w:rPr>
              <w:footnoteReference w:id="27"/>
            </w:r>
            <w:bookmarkEnd w:id="19"/>
          </w:p>
        </w:tc>
        <w:tc>
          <w:tcPr>
            <w:tcW w:w="6834" w:type="dxa"/>
            <w:gridSpan w:val="6"/>
            <w:vMerge w:val="restart"/>
            <w:shd w:val="clear" w:color="000000" w:fill="E6B8B7"/>
            <w:vAlign w:val="center"/>
          </w:tcPr>
          <w:p w:rsidR="00471FC6" w:rsidRPr="00471FC6" w:rsidRDefault="00471FC6" w:rsidP="00042809">
            <w:pPr>
              <w:spacing w:after="0" w:line="240" w:lineRule="auto"/>
              <w:jc w:val="center"/>
              <w:rPr>
                <w:rFonts w:ascii="Arial" w:eastAsia="Times New Roman" w:hAnsi="Arial" w:cs="Arial"/>
                <w:bCs/>
                <w:color w:val="000000"/>
                <w:sz w:val="18"/>
                <w:szCs w:val="18"/>
                <w:lang w:eastAsia="cs-CZ"/>
              </w:rPr>
            </w:pPr>
            <w:r w:rsidRPr="00471FC6">
              <w:rPr>
                <w:rFonts w:ascii="Arial" w:eastAsia="Times New Roman" w:hAnsi="Arial" w:cs="Arial"/>
                <w:bCs/>
                <w:color w:val="000000"/>
                <w:sz w:val="18"/>
                <w:szCs w:val="18"/>
                <w:lang w:eastAsia="cs-CZ"/>
              </w:rPr>
              <w:t xml:space="preserve">Podílejí se na tvorbě HDP </w:t>
            </w:r>
            <w:proofErr w:type="gramStart"/>
            <w:r w:rsidRPr="00471FC6">
              <w:rPr>
                <w:rFonts w:ascii="Arial" w:eastAsia="Times New Roman" w:hAnsi="Arial" w:cs="Arial"/>
                <w:bCs/>
                <w:color w:val="000000"/>
                <w:sz w:val="18"/>
                <w:szCs w:val="18"/>
                <w:lang w:eastAsia="cs-CZ"/>
              </w:rPr>
              <w:t>cca z 1,9</w:t>
            </w:r>
            <w:proofErr w:type="gramEnd"/>
            <w:r w:rsidRPr="00471FC6">
              <w:rPr>
                <w:rFonts w:ascii="Arial" w:eastAsia="Times New Roman" w:hAnsi="Arial" w:cs="Arial"/>
                <w:bCs/>
                <w:color w:val="000000"/>
                <w:sz w:val="18"/>
                <w:szCs w:val="18"/>
                <w:lang w:eastAsia="cs-CZ"/>
              </w:rPr>
              <w:t xml:space="preserve"> % (spolu s novými kulturními a kreativními průmysly, s nimiž tvoří tzv. účet kultury vypracovaný ČSÚ). Významně přispívají k rozvoji dalších odvětví a společenskému růstu. Subjekty byly vybrány na základě podrobného kvalitativního mapování ČR</w:t>
            </w:r>
            <w:bookmarkStart w:id="20" w:name="_Ref421259825"/>
            <w:r w:rsidRPr="00471FC6">
              <w:rPr>
                <w:rFonts w:ascii="Arial" w:eastAsia="Times New Roman" w:hAnsi="Arial" w:cs="Arial"/>
                <w:bCs/>
                <w:color w:val="000000"/>
                <w:sz w:val="18"/>
                <w:szCs w:val="18"/>
                <w:vertAlign w:val="superscript"/>
                <w:lang w:eastAsia="cs-CZ"/>
              </w:rPr>
              <w:footnoteReference w:id="28"/>
            </w:r>
            <w:bookmarkEnd w:id="20"/>
            <w:r w:rsidRPr="00471FC6">
              <w:rPr>
                <w:rFonts w:ascii="Arial" w:eastAsia="Times New Roman" w:hAnsi="Arial" w:cs="Arial"/>
                <w:bCs/>
                <w:color w:val="000000"/>
                <w:sz w:val="18"/>
                <w:szCs w:val="18"/>
                <w:lang w:eastAsia="cs-CZ"/>
              </w:rPr>
              <w:t>.</w:t>
            </w:r>
          </w:p>
        </w:tc>
      </w:tr>
      <w:tr w:rsidR="00471FC6" w:rsidRPr="00C41DE7" w:rsidTr="006F678C">
        <w:trPr>
          <w:trHeight w:val="328"/>
          <w:jc w:val="center"/>
        </w:trPr>
        <w:tc>
          <w:tcPr>
            <w:tcW w:w="1495" w:type="dxa"/>
            <w:shd w:val="clear" w:color="auto" w:fill="auto"/>
            <w:noWrap/>
            <w:vAlign w:val="center"/>
            <w:hideMark/>
          </w:tcPr>
          <w:p w:rsidR="00471FC6" w:rsidRPr="00C41DE7" w:rsidRDefault="00471FC6" w:rsidP="00C41DE7">
            <w:pPr>
              <w:spacing w:after="0" w:line="240" w:lineRule="auto"/>
              <w:jc w:val="center"/>
              <w:rPr>
                <w:rFonts w:ascii="Arial" w:eastAsia="Times New Roman" w:hAnsi="Arial" w:cs="Arial"/>
                <w:color w:val="000000"/>
                <w:sz w:val="18"/>
                <w:szCs w:val="18"/>
                <w:lang w:eastAsia="cs-CZ"/>
              </w:rPr>
            </w:pPr>
            <w:r w:rsidRPr="00C41DE7">
              <w:rPr>
                <w:rFonts w:ascii="Arial" w:eastAsia="Times New Roman" w:hAnsi="Arial" w:cs="Arial"/>
                <w:color w:val="000000"/>
                <w:sz w:val="18"/>
                <w:szCs w:val="18"/>
                <w:lang w:eastAsia="cs-CZ"/>
              </w:rPr>
              <w:t>16-17, 31</w:t>
            </w:r>
          </w:p>
        </w:tc>
        <w:tc>
          <w:tcPr>
            <w:tcW w:w="2516" w:type="dxa"/>
            <w:shd w:val="clear" w:color="auto" w:fill="auto"/>
            <w:vAlign w:val="center"/>
            <w:hideMark/>
          </w:tcPr>
          <w:p w:rsidR="00471FC6" w:rsidRPr="00471FC6" w:rsidRDefault="00471FC6" w:rsidP="00C41DE7">
            <w:pPr>
              <w:spacing w:after="0" w:line="240" w:lineRule="auto"/>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Dřevozpracující, papírenský a nábytkářský průmysl</w:t>
            </w:r>
          </w:p>
        </w:tc>
        <w:tc>
          <w:tcPr>
            <w:tcW w:w="3232" w:type="dxa"/>
            <w:vMerge/>
            <w:vAlign w:val="center"/>
            <w:hideMark/>
          </w:tcPr>
          <w:p w:rsidR="00471FC6" w:rsidRPr="00C41DE7" w:rsidRDefault="00471FC6" w:rsidP="00C41DE7">
            <w:pPr>
              <w:spacing w:after="0" w:line="240" w:lineRule="auto"/>
              <w:rPr>
                <w:rFonts w:ascii="Arial" w:eastAsia="Times New Roman" w:hAnsi="Arial" w:cs="Arial"/>
                <w:b/>
                <w:bCs/>
                <w:color w:val="000000"/>
                <w:sz w:val="18"/>
                <w:szCs w:val="18"/>
                <w:lang w:eastAsia="cs-CZ"/>
              </w:rPr>
            </w:pPr>
          </w:p>
        </w:tc>
        <w:tc>
          <w:tcPr>
            <w:tcW w:w="6834" w:type="dxa"/>
            <w:gridSpan w:val="6"/>
            <w:vMerge/>
            <w:vAlign w:val="center"/>
          </w:tcPr>
          <w:p w:rsidR="00471FC6" w:rsidRPr="00471FC6" w:rsidRDefault="00471FC6" w:rsidP="00042809">
            <w:pPr>
              <w:spacing w:after="0" w:line="240" w:lineRule="auto"/>
              <w:jc w:val="center"/>
              <w:rPr>
                <w:rFonts w:ascii="Arial" w:eastAsia="Times New Roman" w:hAnsi="Arial" w:cs="Arial"/>
                <w:b/>
                <w:bCs/>
                <w:color w:val="000000"/>
                <w:sz w:val="18"/>
                <w:szCs w:val="18"/>
                <w:lang w:eastAsia="cs-CZ"/>
              </w:rPr>
            </w:pPr>
          </w:p>
        </w:tc>
      </w:tr>
      <w:tr w:rsidR="00471FC6" w:rsidRPr="00C41DE7" w:rsidTr="006F678C">
        <w:trPr>
          <w:trHeight w:val="698"/>
          <w:jc w:val="center"/>
        </w:trPr>
        <w:tc>
          <w:tcPr>
            <w:tcW w:w="1495" w:type="dxa"/>
            <w:shd w:val="clear" w:color="auto" w:fill="auto"/>
            <w:noWrap/>
            <w:vAlign w:val="center"/>
            <w:hideMark/>
          </w:tcPr>
          <w:p w:rsidR="00471FC6" w:rsidRPr="00C41DE7" w:rsidRDefault="00471FC6" w:rsidP="00C41DE7">
            <w:pPr>
              <w:spacing w:after="0" w:line="240" w:lineRule="auto"/>
              <w:jc w:val="center"/>
              <w:rPr>
                <w:rFonts w:ascii="Arial" w:eastAsia="Times New Roman" w:hAnsi="Arial" w:cs="Arial"/>
                <w:color w:val="000000"/>
                <w:sz w:val="18"/>
                <w:szCs w:val="18"/>
                <w:lang w:eastAsia="cs-CZ"/>
              </w:rPr>
            </w:pPr>
            <w:r w:rsidRPr="00C41DE7">
              <w:rPr>
                <w:rFonts w:ascii="Arial" w:eastAsia="Times New Roman" w:hAnsi="Arial" w:cs="Arial"/>
                <w:color w:val="000000"/>
                <w:sz w:val="18"/>
                <w:szCs w:val="18"/>
                <w:lang w:eastAsia="cs-CZ"/>
              </w:rPr>
              <w:t>23</w:t>
            </w:r>
          </w:p>
        </w:tc>
        <w:tc>
          <w:tcPr>
            <w:tcW w:w="2516" w:type="dxa"/>
            <w:shd w:val="clear" w:color="auto" w:fill="auto"/>
            <w:vAlign w:val="center"/>
            <w:hideMark/>
          </w:tcPr>
          <w:p w:rsidR="00471FC6" w:rsidRPr="00471FC6" w:rsidRDefault="00471FC6" w:rsidP="00C41DE7">
            <w:pPr>
              <w:spacing w:after="0" w:line="240" w:lineRule="auto"/>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Průmysl skla, keramiky, porcelánu a stavebních hmot</w:t>
            </w:r>
          </w:p>
        </w:tc>
        <w:tc>
          <w:tcPr>
            <w:tcW w:w="3232" w:type="dxa"/>
            <w:vMerge/>
            <w:vAlign w:val="center"/>
            <w:hideMark/>
          </w:tcPr>
          <w:p w:rsidR="00471FC6" w:rsidRPr="00C41DE7" w:rsidRDefault="00471FC6" w:rsidP="00C41DE7">
            <w:pPr>
              <w:spacing w:after="0" w:line="240" w:lineRule="auto"/>
              <w:rPr>
                <w:rFonts w:ascii="Arial" w:eastAsia="Times New Roman" w:hAnsi="Arial" w:cs="Arial"/>
                <w:b/>
                <w:bCs/>
                <w:color w:val="000000"/>
                <w:sz w:val="18"/>
                <w:szCs w:val="18"/>
                <w:lang w:eastAsia="cs-CZ"/>
              </w:rPr>
            </w:pPr>
          </w:p>
        </w:tc>
        <w:tc>
          <w:tcPr>
            <w:tcW w:w="6834" w:type="dxa"/>
            <w:gridSpan w:val="6"/>
            <w:vMerge/>
            <w:vAlign w:val="center"/>
          </w:tcPr>
          <w:p w:rsidR="00471FC6" w:rsidRPr="00471FC6" w:rsidRDefault="00471FC6" w:rsidP="00042809">
            <w:pPr>
              <w:spacing w:after="0" w:line="240" w:lineRule="auto"/>
              <w:jc w:val="center"/>
              <w:rPr>
                <w:rFonts w:ascii="Arial" w:eastAsia="Times New Roman" w:hAnsi="Arial" w:cs="Arial"/>
                <w:b/>
                <w:bCs/>
                <w:color w:val="000000"/>
                <w:sz w:val="18"/>
                <w:szCs w:val="18"/>
                <w:lang w:eastAsia="cs-CZ"/>
              </w:rPr>
            </w:pPr>
          </w:p>
        </w:tc>
      </w:tr>
      <w:tr w:rsidR="00115879" w:rsidRPr="00C41DE7" w:rsidTr="006F678C">
        <w:trPr>
          <w:trHeight w:val="328"/>
          <w:jc w:val="center"/>
        </w:trPr>
        <w:tc>
          <w:tcPr>
            <w:tcW w:w="1495" w:type="dxa"/>
            <w:shd w:val="clear" w:color="auto" w:fill="auto"/>
            <w:noWrap/>
            <w:vAlign w:val="center"/>
            <w:hideMark/>
          </w:tcPr>
          <w:p w:rsidR="00BC2124" w:rsidRPr="00C41DE7" w:rsidRDefault="00BC2124" w:rsidP="00C41DE7">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05-0</w:t>
            </w:r>
            <w:r w:rsidRPr="00C41DE7">
              <w:rPr>
                <w:rFonts w:ascii="Arial" w:eastAsia="Times New Roman" w:hAnsi="Arial" w:cs="Arial"/>
                <w:color w:val="000000"/>
                <w:sz w:val="18"/>
                <w:szCs w:val="18"/>
                <w:lang w:eastAsia="cs-CZ"/>
              </w:rPr>
              <w:t>9</w:t>
            </w:r>
          </w:p>
        </w:tc>
        <w:tc>
          <w:tcPr>
            <w:tcW w:w="2516" w:type="dxa"/>
            <w:shd w:val="clear" w:color="auto" w:fill="auto"/>
            <w:vAlign w:val="center"/>
            <w:hideMark/>
          </w:tcPr>
          <w:p w:rsidR="00BC2124" w:rsidRPr="00471FC6" w:rsidRDefault="00BC2124" w:rsidP="00C41DE7">
            <w:pPr>
              <w:spacing w:after="0" w:line="240" w:lineRule="auto"/>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Těžba a dobývání</w:t>
            </w:r>
          </w:p>
        </w:tc>
        <w:tc>
          <w:tcPr>
            <w:tcW w:w="3232" w:type="dxa"/>
            <w:vMerge w:val="restart"/>
            <w:shd w:val="clear" w:color="000000" w:fill="E6B8B7"/>
            <w:vAlign w:val="center"/>
            <w:hideMark/>
          </w:tcPr>
          <w:p w:rsidR="00BC2124" w:rsidRPr="00C41DE7" w:rsidRDefault="00BC2124" w:rsidP="00C41DE7">
            <w:pPr>
              <w:spacing w:after="0" w:line="240" w:lineRule="auto"/>
              <w:jc w:val="center"/>
              <w:rPr>
                <w:rFonts w:ascii="Arial" w:eastAsia="Times New Roman" w:hAnsi="Arial" w:cs="Arial"/>
                <w:b/>
                <w:bCs/>
                <w:color w:val="000000"/>
                <w:sz w:val="18"/>
                <w:szCs w:val="18"/>
                <w:lang w:eastAsia="cs-CZ"/>
              </w:rPr>
            </w:pPr>
            <w:r w:rsidRPr="00C41DE7">
              <w:rPr>
                <w:rFonts w:ascii="Arial" w:eastAsia="Times New Roman" w:hAnsi="Arial" w:cs="Arial"/>
                <w:b/>
                <w:bCs/>
                <w:color w:val="000000"/>
                <w:sz w:val="18"/>
                <w:szCs w:val="18"/>
                <w:lang w:eastAsia="cs-CZ"/>
              </w:rPr>
              <w:t>HUTNICTVÍ, OCELÁŘSTVÍ, SLÉVÁRENSTVÍ</w:t>
            </w:r>
          </w:p>
        </w:tc>
        <w:tc>
          <w:tcPr>
            <w:tcW w:w="1139" w:type="dxa"/>
            <w:vMerge w:val="restart"/>
            <w:shd w:val="clear" w:color="000000" w:fill="E6B8B7"/>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r w:rsidRPr="00471FC6">
              <w:rPr>
                <w:rFonts w:ascii="Arial" w:eastAsia="Times New Roman" w:hAnsi="Arial" w:cs="Arial"/>
                <w:b/>
                <w:bCs/>
                <w:color w:val="000000"/>
                <w:sz w:val="18"/>
                <w:szCs w:val="18"/>
                <w:lang w:eastAsia="cs-CZ"/>
              </w:rPr>
              <w:t>2,66%</w:t>
            </w:r>
          </w:p>
        </w:tc>
        <w:tc>
          <w:tcPr>
            <w:tcW w:w="1139" w:type="dxa"/>
            <w:vMerge w:val="restart"/>
            <w:shd w:val="clear" w:color="000000" w:fill="E6B8B7"/>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r>
              <w:rPr>
                <w:rFonts w:ascii="Arial" w:eastAsia="Times New Roman" w:hAnsi="Arial" w:cs="Arial"/>
                <w:b/>
                <w:bCs/>
                <w:color w:val="000000"/>
                <w:sz w:val="18"/>
                <w:szCs w:val="18"/>
                <w:lang w:eastAsia="cs-CZ"/>
              </w:rPr>
              <w:t>159</w:t>
            </w:r>
          </w:p>
        </w:tc>
        <w:tc>
          <w:tcPr>
            <w:tcW w:w="1139" w:type="dxa"/>
            <w:vMerge w:val="restart"/>
            <w:shd w:val="clear" w:color="000000" w:fill="E6B8B7"/>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r>
              <w:rPr>
                <w:rFonts w:ascii="Arial" w:eastAsia="Times New Roman" w:hAnsi="Arial" w:cs="Arial"/>
                <w:b/>
                <w:bCs/>
                <w:color w:val="000000"/>
                <w:sz w:val="18"/>
                <w:szCs w:val="18"/>
                <w:lang w:eastAsia="cs-CZ"/>
              </w:rPr>
              <w:t>104</w:t>
            </w:r>
          </w:p>
        </w:tc>
        <w:tc>
          <w:tcPr>
            <w:tcW w:w="1139" w:type="dxa"/>
            <w:vMerge w:val="restart"/>
            <w:shd w:val="clear" w:color="000000" w:fill="E6B8B7"/>
            <w:vAlign w:val="center"/>
          </w:tcPr>
          <w:p w:rsidR="00BC2124" w:rsidRPr="00471FC6" w:rsidRDefault="00042809" w:rsidP="00042809">
            <w:pPr>
              <w:spacing w:after="0" w:line="240" w:lineRule="auto"/>
              <w:jc w:val="center"/>
              <w:rPr>
                <w:rFonts w:ascii="Arial" w:eastAsia="Times New Roman" w:hAnsi="Arial" w:cs="Arial"/>
                <w:b/>
                <w:bCs/>
                <w:color w:val="000000"/>
                <w:sz w:val="18"/>
                <w:szCs w:val="18"/>
                <w:lang w:eastAsia="cs-CZ"/>
              </w:rPr>
            </w:pPr>
            <w:r>
              <w:rPr>
                <w:rFonts w:ascii="Arial" w:eastAsia="Times New Roman" w:hAnsi="Arial" w:cs="Arial"/>
                <w:b/>
                <w:bCs/>
                <w:color w:val="000000"/>
                <w:sz w:val="18"/>
                <w:szCs w:val="18"/>
                <w:lang w:eastAsia="cs-CZ"/>
              </w:rPr>
              <w:t>4,48%</w:t>
            </w:r>
          </w:p>
        </w:tc>
        <w:tc>
          <w:tcPr>
            <w:tcW w:w="1280" w:type="dxa"/>
            <w:vMerge w:val="restart"/>
            <w:shd w:val="clear" w:color="000000" w:fill="E6B8B7"/>
            <w:vAlign w:val="center"/>
          </w:tcPr>
          <w:p w:rsidR="00BC2124" w:rsidRPr="00471FC6" w:rsidRDefault="00042809" w:rsidP="00042809">
            <w:pPr>
              <w:spacing w:after="0" w:line="240" w:lineRule="auto"/>
              <w:jc w:val="center"/>
              <w:rPr>
                <w:rFonts w:ascii="Arial" w:eastAsia="Times New Roman" w:hAnsi="Arial" w:cs="Arial"/>
                <w:b/>
                <w:bCs/>
                <w:color w:val="000000"/>
                <w:sz w:val="18"/>
                <w:szCs w:val="18"/>
                <w:lang w:eastAsia="cs-CZ"/>
              </w:rPr>
            </w:pPr>
            <w:r>
              <w:rPr>
                <w:rFonts w:ascii="Arial" w:eastAsia="Times New Roman" w:hAnsi="Arial" w:cs="Arial"/>
                <w:b/>
                <w:bCs/>
                <w:color w:val="000000"/>
                <w:sz w:val="18"/>
                <w:szCs w:val="18"/>
                <w:lang w:eastAsia="cs-CZ"/>
              </w:rPr>
              <w:t>5,49%</w:t>
            </w:r>
          </w:p>
        </w:tc>
        <w:tc>
          <w:tcPr>
            <w:tcW w:w="998" w:type="dxa"/>
            <w:vMerge w:val="restart"/>
            <w:shd w:val="clear" w:color="000000" w:fill="E6B8B7"/>
            <w:vAlign w:val="center"/>
          </w:tcPr>
          <w:p w:rsidR="00BC2124" w:rsidRPr="00471FC6" w:rsidRDefault="00042809" w:rsidP="00042809">
            <w:pPr>
              <w:spacing w:after="0" w:line="240" w:lineRule="auto"/>
              <w:jc w:val="center"/>
              <w:rPr>
                <w:rFonts w:ascii="Arial" w:eastAsia="Times New Roman" w:hAnsi="Arial" w:cs="Arial"/>
                <w:b/>
                <w:bCs/>
                <w:color w:val="000000"/>
                <w:sz w:val="18"/>
                <w:szCs w:val="18"/>
                <w:lang w:eastAsia="cs-CZ"/>
              </w:rPr>
            </w:pPr>
            <w:r>
              <w:rPr>
                <w:rFonts w:ascii="Arial" w:eastAsia="Times New Roman" w:hAnsi="Arial" w:cs="Arial"/>
                <w:b/>
                <w:bCs/>
                <w:color w:val="000000"/>
                <w:sz w:val="18"/>
                <w:szCs w:val="18"/>
                <w:lang w:eastAsia="cs-CZ"/>
              </w:rPr>
              <w:t>45 343</w:t>
            </w:r>
          </w:p>
        </w:tc>
      </w:tr>
      <w:tr w:rsidR="00611C08" w:rsidRPr="00C41DE7" w:rsidTr="006F678C">
        <w:trPr>
          <w:trHeight w:val="516"/>
          <w:jc w:val="center"/>
        </w:trPr>
        <w:tc>
          <w:tcPr>
            <w:tcW w:w="1495" w:type="dxa"/>
            <w:shd w:val="clear" w:color="auto" w:fill="auto"/>
            <w:noWrap/>
            <w:vAlign w:val="center"/>
            <w:hideMark/>
          </w:tcPr>
          <w:p w:rsidR="00BC2124" w:rsidRPr="00C41DE7" w:rsidRDefault="00BC2124" w:rsidP="00C41DE7">
            <w:pPr>
              <w:spacing w:after="0" w:line="240" w:lineRule="auto"/>
              <w:jc w:val="center"/>
              <w:rPr>
                <w:rFonts w:ascii="Arial" w:eastAsia="Times New Roman" w:hAnsi="Arial" w:cs="Arial"/>
                <w:color w:val="000000"/>
                <w:sz w:val="18"/>
                <w:szCs w:val="18"/>
                <w:lang w:eastAsia="cs-CZ"/>
              </w:rPr>
            </w:pPr>
            <w:r w:rsidRPr="00C41DE7">
              <w:rPr>
                <w:rFonts w:ascii="Arial" w:eastAsia="Times New Roman" w:hAnsi="Arial" w:cs="Arial"/>
                <w:color w:val="000000"/>
                <w:sz w:val="18"/>
                <w:szCs w:val="18"/>
                <w:lang w:eastAsia="cs-CZ"/>
              </w:rPr>
              <w:t>24</w:t>
            </w:r>
          </w:p>
        </w:tc>
        <w:tc>
          <w:tcPr>
            <w:tcW w:w="2516" w:type="dxa"/>
            <w:shd w:val="clear" w:color="auto" w:fill="auto"/>
            <w:vAlign w:val="center"/>
            <w:hideMark/>
          </w:tcPr>
          <w:p w:rsidR="00BC2124" w:rsidRPr="00471FC6" w:rsidRDefault="00BC2124" w:rsidP="00C41DE7">
            <w:pPr>
              <w:spacing w:after="0" w:line="240" w:lineRule="auto"/>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Metalurgický průmysl - výroba základních kovů, hutní zpracování kovů, slévárenství</w:t>
            </w:r>
          </w:p>
        </w:tc>
        <w:tc>
          <w:tcPr>
            <w:tcW w:w="3232" w:type="dxa"/>
            <w:vMerge/>
            <w:vAlign w:val="center"/>
            <w:hideMark/>
          </w:tcPr>
          <w:p w:rsidR="00BC2124" w:rsidRPr="00C41DE7" w:rsidRDefault="00BC2124" w:rsidP="00C41DE7">
            <w:pPr>
              <w:spacing w:after="0" w:line="240" w:lineRule="auto"/>
              <w:rPr>
                <w:rFonts w:ascii="Arial" w:eastAsia="Times New Roman" w:hAnsi="Arial" w:cs="Arial"/>
                <w:b/>
                <w:bCs/>
                <w:color w:val="000000"/>
                <w:sz w:val="18"/>
                <w:szCs w:val="18"/>
                <w:lang w:eastAsia="cs-CZ"/>
              </w:rPr>
            </w:pPr>
          </w:p>
        </w:tc>
        <w:tc>
          <w:tcPr>
            <w:tcW w:w="1139"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139"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139"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139"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280"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998"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r>
      <w:tr w:rsidR="00611C08" w:rsidRPr="00C41DE7" w:rsidTr="006F678C">
        <w:trPr>
          <w:trHeight w:val="328"/>
          <w:jc w:val="center"/>
        </w:trPr>
        <w:tc>
          <w:tcPr>
            <w:tcW w:w="1495" w:type="dxa"/>
            <w:shd w:val="clear" w:color="auto" w:fill="auto"/>
            <w:noWrap/>
            <w:vAlign w:val="center"/>
            <w:hideMark/>
          </w:tcPr>
          <w:p w:rsidR="00BC2124" w:rsidRPr="00C41DE7" w:rsidRDefault="00BC2124" w:rsidP="00C41DE7">
            <w:pPr>
              <w:spacing w:after="0" w:line="240" w:lineRule="auto"/>
              <w:jc w:val="center"/>
              <w:rPr>
                <w:rFonts w:ascii="Arial" w:eastAsia="Times New Roman" w:hAnsi="Arial" w:cs="Arial"/>
                <w:color w:val="000000"/>
                <w:sz w:val="18"/>
                <w:szCs w:val="18"/>
                <w:lang w:eastAsia="cs-CZ"/>
              </w:rPr>
            </w:pPr>
            <w:r w:rsidRPr="00C41DE7">
              <w:rPr>
                <w:rFonts w:ascii="Arial" w:eastAsia="Times New Roman" w:hAnsi="Arial" w:cs="Arial"/>
                <w:color w:val="000000"/>
                <w:sz w:val="18"/>
                <w:szCs w:val="18"/>
                <w:lang w:eastAsia="cs-CZ"/>
              </w:rPr>
              <w:t>25</w:t>
            </w:r>
          </w:p>
        </w:tc>
        <w:tc>
          <w:tcPr>
            <w:tcW w:w="2516" w:type="dxa"/>
            <w:shd w:val="clear" w:color="auto" w:fill="auto"/>
            <w:vAlign w:val="center"/>
            <w:hideMark/>
          </w:tcPr>
          <w:p w:rsidR="00BC2124" w:rsidRPr="00471FC6" w:rsidRDefault="00BC2124" w:rsidP="00C41DE7">
            <w:pPr>
              <w:spacing w:after="0" w:line="240" w:lineRule="auto"/>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Výroba kovových konstrukcí a kovodělných výrobků</w:t>
            </w:r>
          </w:p>
        </w:tc>
        <w:tc>
          <w:tcPr>
            <w:tcW w:w="3232" w:type="dxa"/>
            <w:vMerge/>
            <w:vAlign w:val="center"/>
            <w:hideMark/>
          </w:tcPr>
          <w:p w:rsidR="00BC2124" w:rsidRPr="00C41DE7" w:rsidRDefault="00BC2124" w:rsidP="00C41DE7">
            <w:pPr>
              <w:spacing w:after="0" w:line="240" w:lineRule="auto"/>
              <w:rPr>
                <w:rFonts w:ascii="Arial" w:eastAsia="Times New Roman" w:hAnsi="Arial" w:cs="Arial"/>
                <w:b/>
                <w:bCs/>
                <w:color w:val="000000"/>
                <w:sz w:val="18"/>
                <w:szCs w:val="18"/>
                <w:lang w:eastAsia="cs-CZ"/>
              </w:rPr>
            </w:pPr>
          </w:p>
        </w:tc>
        <w:tc>
          <w:tcPr>
            <w:tcW w:w="1139"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139"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139"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139"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280"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998"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r>
      <w:tr w:rsidR="00611C08" w:rsidRPr="00C41DE7" w:rsidTr="006F678C">
        <w:trPr>
          <w:trHeight w:val="322"/>
          <w:jc w:val="center"/>
        </w:trPr>
        <w:tc>
          <w:tcPr>
            <w:tcW w:w="1495" w:type="dxa"/>
            <w:shd w:val="clear" w:color="auto" w:fill="auto"/>
            <w:noWrap/>
            <w:vAlign w:val="center"/>
            <w:hideMark/>
          </w:tcPr>
          <w:p w:rsidR="00BC2124" w:rsidRPr="00C41DE7" w:rsidRDefault="00BC2124" w:rsidP="00C41DE7">
            <w:pPr>
              <w:spacing w:after="0" w:line="240" w:lineRule="auto"/>
              <w:jc w:val="center"/>
              <w:rPr>
                <w:rFonts w:ascii="Arial" w:eastAsia="Times New Roman" w:hAnsi="Arial" w:cs="Arial"/>
                <w:color w:val="000000"/>
                <w:sz w:val="18"/>
                <w:szCs w:val="18"/>
                <w:lang w:eastAsia="cs-CZ"/>
              </w:rPr>
            </w:pPr>
            <w:r w:rsidRPr="00C41DE7">
              <w:rPr>
                <w:rFonts w:ascii="Arial" w:eastAsia="Times New Roman" w:hAnsi="Arial" w:cs="Arial"/>
                <w:color w:val="000000"/>
                <w:sz w:val="18"/>
                <w:szCs w:val="18"/>
                <w:lang w:eastAsia="cs-CZ"/>
              </w:rPr>
              <w:t>23.2</w:t>
            </w:r>
          </w:p>
        </w:tc>
        <w:tc>
          <w:tcPr>
            <w:tcW w:w="2516" w:type="dxa"/>
            <w:shd w:val="clear" w:color="auto" w:fill="auto"/>
            <w:vAlign w:val="center"/>
            <w:hideMark/>
          </w:tcPr>
          <w:p w:rsidR="00BC2124" w:rsidRPr="00471FC6" w:rsidRDefault="00BC2124" w:rsidP="00C41DE7">
            <w:pPr>
              <w:spacing w:after="0" w:line="240" w:lineRule="auto"/>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Výroba žáruvzdorných výrobků</w:t>
            </w:r>
          </w:p>
        </w:tc>
        <w:tc>
          <w:tcPr>
            <w:tcW w:w="3232" w:type="dxa"/>
            <w:vMerge/>
            <w:vAlign w:val="center"/>
            <w:hideMark/>
          </w:tcPr>
          <w:p w:rsidR="00BC2124" w:rsidRPr="00C41DE7" w:rsidRDefault="00BC2124" w:rsidP="00C41DE7">
            <w:pPr>
              <w:spacing w:after="0" w:line="240" w:lineRule="auto"/>
              <w:rPr>
                <w:rFonts w:ascii="Arial" w:eastAsia="Times New Roman" w:hAnsi="Arial" w:cs="Arial"/>
                <w:b/>
                <w:bCs/>
                <w:color w:val="000000"/>
                <w:sz w:val="18"/>
                <w:szCs w:val="18"/>
                <w:lang w:eastAsia="cs-CZ"/>
              </w:rPr>
            </w:pPr>
          </w:p>
        </w:tc>
        <w:tc>
          <w:tcPr>
            <w:tcW w:w="1139"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139"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139"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139"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1280"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c>
          <w:tcPr>
            <w:tcW w:w="998" w:type="dxa"/>
            <w:vMerge/>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r>
      <w:tr w:rsidR="00471FC6" w:rsidRPr="00C41DE7" w:rsidTr="006F678C">
        <w:trPr>
          <w:trHeight w:val="936"/>
          <w:jc w:val="center"/>
        </w:trPr>
        <w:tc>
          <w:tcPr>
            <w:tcW w:w="4011" w:type="dxa"/>
            <w:gridSpan w:val="2"/>
            <w:shd w:val="clear" w:color="auto" w:fill="auto"/>
            <w:vAlign w:val="center"/>
            <w:hideMark/>
          </w:tcPr>
          <w:p w:rsidR="00471FC6" w:rsidRPr="00471FC6" w:rsidRDefault="00471FC6" w:rsidP="00C41DE7">
            <w:pPr>
              <w:spacing w:after="0" w:line="240" w:lineRule="auto"/>
              <w:jc w:val="center"/>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 xml:space="preserve">Nově vznikající průmysly - tzv. </w:t>
            </w:r>
            <w:proofErr w:type="spellStart"/>
            <w:r w:rsidRPr="00471FC6">
              <w:rPr>
                <w:rFonts w:ascii="Arial" w:eastAsia="Times New Roman" w:hAnsi="Arial" w:cs="Arial"/>
                <w:b/>
                <w:bCs/>
                <w:color w:val="000000"/>
                <w:sz w:val="16"/>
                <w:szCs w:val="16"/>
                <w:lang w:eastAsia="cs-CZ"/>
              </w:rPr>
              <w:t>emerging</w:t>
            </w:r>
            <w:proofErr w:type="spellEnd"/>
            <w:r w:rsidRPr="00471FC6">
              <w:rPr>
                <w:rFonts w:ascii="Arial" w:eastAsia="Times New Roman" w:hAnsi="Arial" w:cs="Arial"/>
                <w:b/>
                <w:bCs/>
                <w:color w:val="000000"/>
                <w:sz w:val="16"/>
                <w:szCs w:val="16"/>
                <w:lang w:eastAsia="cs-CZ"/>
              </w:rPr>
              <w:t xml:space="preserve"> </w:t>
            </w:r>
            <w:proofErr w:type="spellStart"/>
            <w:r w:rsidRPr="00471FC6">
              <w:rPr>
                <w:rFonts w:ascii="Arial" w:eastAsia="Times New Roman" w:hAnsi="Arial" w:cs="Arial"/>
                <w:b/>
                <w:bCs/>
                <w:color w:val="000000"/>
                <w:sz w:val="16"/>
                <w:szCs w:val="16"/>
                <w:lang w:eastAsia="cs-CZ"/>
              </w:rPr>
              <w:t>industries</w:t>
            </w:r>
            <w:proofErr w:type="spellEnd"/>
          </w:p>
        </w:tc>
        <w:tc>
          <w:tcPr>
            <w:tcW w:w="3232" w:type="dxa"/>
            <w:shd w:val="clear" w:color="000000" w:fill="E6B8B7"/>
            <w:vAlign w:val="center"/>
            <w:hideMark/>
          </w:tcPr>
          <w:p w:rsidR="00471FC6" w:rsidRPr="00C41DE7" w:rsidRDefault="00471FC6" w:rsidP="00C41DE7">
            <w:pPr>
              <w:spacing w:after="0" w:line="240" w:lineRule="auto"/>
              <w:jc w:val="center"/>
              <w:rPr>
                <w:rFonts w:ascii="Arial" w:eastAsia="Times New Roman" w:hAnsi="Arial" w:cs="Arial"/>
                <w:b/>
                <w:bCs/>
                <w:color w:val="000000"/>
                <w:sz w:val="18"/>
                <w:szCs w:val="18"/>
                <w:lang w:eastAsia="cs-CZ"/>
              </w:rPr>
            </w:pPr>
            <w:r w:rsidRPr="00C41DE7">
              <w:rPr>
                <w:rFonts w:ascii="Arial" w:eastAsia="Times New Roman" w:hAnsi="Arial" w:cs="Arial"/>
                <w:b/>
                <w:bCs/>
                <w:color w:val="000000"/>
                <w:sz w:val="18"/>
                <w:szCs w:val="18"/>
                <w:lang w:eastAsia="cs-CZ"/>
              </w:rPr>
              <w:t>NOVÉ KULTURNÍ A KREATIVNÍ PRŮMYSLY</w:t>
            </w:r>
            <w:r w:rsidRPr="00C41DE7">
              <w:rPr>
                <w:rFonts w:ascii="Arial" w:eastAsia="Times New Roman" w:hAnsi="Arial" w:cs="Arial"/>
                <w:b/>
                <w:bCs/>
                <w:color w:val="000000"/>
                <w:sz w:val="18"/>
                <w:szCs w:val="18"/>
                <w:vertAlign w:val="superscript"/>
                <w:lang w:eastAsia="cs-CZ"/>
              </w:rPr>
              <w:fldChar w:fldCharType="begin"/>
            </w:r>
            <w:r w:rsidRPr="00C41DE7">
              <w:rPr>
                <w:rFonts w:ascii="Arial" w:eastAsia="Times New Roman" w:hAnsi="Arial" w:cs="Arial"/>
                <w:b/>
                <w:bCs/>
                <w:color w:val="000000"/>
                <w:sz w:val="18"/>
                <w:szCs w:val="18"/>
                <w:vertAlign w:val="superscript"/>
                <w:lang w:eastAsia="cs-CZ"/>
              </w:rPr>
              <w:instrText xml:space="preserve"> NOTEREF _Ref421257442 \h  \* MERGEFORMAT </w:instrText>
            </w:r>
            <w:r w:rsidRPr="00C41DE7">
              <w:rPr>
                <w:rFonts w:ascii="Arial" w:eastAsia="Times New Roman" w:hAnsi="Arial" w:cs="Arial"/>
                <w:b/>
                <w:bCs/>
                <w:color w:val="000000"/>
                <w:sz w:val="18"/>
                <w:szCs w:val="18"/>
                <w:vertAlign w:val="superscript"/>
                <w:lang w:eastAsia="cs-CZ"/>
              </w:rPr>
            </w:r>
            <w:r w:rsidRPr="00C41DE7">
              <w:rPr>
                <w:rFonts w:ascii="Arial" w:eastAsia="Times New Roman" w:hAnsi="Arial" w:cs="Arial"/>
                <w:b/>
                <w:bCs/>
                <w:color w:val="000000"/>
                <w:sz w:val="18"/>
                <w:szCs w:val="18"/>
                <w:vertAlign w:val="superscript"/>
                <w:lang w:eastAsia="cs-CZ"/>
              </w:rPr>
              <w:fldChar w:fldCharType="separate"/>
            </w:r>
            <w:r>
              <w:rPr>
                <w:rFonts w:ascii="Arial" w:eastAsia="Times New Roman" w:hAnsi="Arial" w:cs="Arial"/>
                <w:b/>
                <w:bCs/>
                <w:color w:val="000000"/>
                <w:sz w:val="18"/>
                <w:szCs w:val="18"/>
                <w:vertAlign w:val="superscript"/>
                <w:lang w:eastAsia="cs-CZ"/>
              </w:rPr>
              <w:t>27</w:t>
            </w:r>
            <w:r w:rsidRPr="00C41DE7">
              <w:rPr>
                <w:rFonts w:ascii="Arial" w:eastAsia="Times New Roman" w:hAnsi="Arial" w:cs="Arial"/>
                <w:b/>
                <w:bCs/>
                <w:color w:val="000000"/>
                <w:sz w:val="18"/>
                <w:szCs w:val="18"/>
                <w:vertAlign w:val="superscript"/>
                <w:lang w:eastAsia="cs-CZ"/>
              </w:rPr>
              <w:fldChar w:fldCharType="end"/>
            </w:r>
          </w:p>
        </w:tc>
        <w:tc>
          <w:tcPr>
            <w:tcW w:w="6834" w:type="dxa"/>
            <w:gridSpan w:val="6"/>
            <w:shd w:val="clear" w:color="000000" w:fill="E6B8B7"/>
            <w:vAlign w:val="center"/>
          </w:tcPr>
          <w:p w:rsidR="00471FC6" w:rsidRPr="00471FC6" w:rsidRDefault="00471FC6" w:rsidP="00042809">
            <w:pPr>
              <w:spacing w:after="0" w:line="240" w:lineRule="auto"/>
              <w:jc w:val="center"/>
              <w:rPr>
                <w:rFonts w:ascii="Arial" w:eastAsia="Times New Roman" w:hAnsi="Arial" w:cs="Arial"/>
                <w:bCs/>
                <w:color w:val="000000"/>
                <w:sz w:val="18"/>
                <w:szCs w:val="18"/>
                <w:lang w:eastAsia="cs-CZ"/>
              </w:rPr>
            </w:pPr>
            <w:r w:rsidRPr="00471FC6">
              <w:rPr>
                <w:rFonts w:ascii="Arial" w:eastAsia="Times New Roman" w:hAnsi="Arial" w:cs="Arial"/>
                <w:bCs/>
                <w:color w:val="000000"/>
                <w:sz w:val="18"/>
                <w:szCs w:val="18"/>
                <w:lang w:eastAsia="cs-CZ"/>
              </w:rPr>
              <w:t>Podílejí se na tvorbě HDP cca 1,9 % (spolu s tradičními kulturními a kreativními průmysly, se kterými tvoří tzv. účet kultury vypracovaný ČSÚ). Významně přispívají k rozvoji dalších odvětví a společenskému růstu. Subjekty byly vybrány na základě podrobného kvalitativního mapování ČR</w:t>
            </w:r>
            <w:r w:rsidRPr="00471FC6">
              <w:rPr>
                <w:rFonts w:ascii="Arial" w:eastAsia="Times New Roman" w:hAnsi="Arial" w:cs="Arial"/>
                <w:bCs/>
                <w:color w:val="000000"/>
                <w:sz w:val="18"/>
                <w:szCs w:val="18"/>
                <w:vertAlign w:val="superscript"/>
                <w:lang w:eastAsia="cs-CZ"/>
              </w:rPr>
              <w:fldChar w:fldCharType="begin"/>
            </w:r>
            <w:r w:rsidRPr="00471FC6">
              <w:rPr>
                <w:rFonts w:ascii="Arial" w:eastAsia="Times New Roman" w:hAnsi="Arial" w:cs="Arial"/>
                <w:bCs/>
                <w:color w:val="000000"/>
                <w:sz w:val="18"/>
                <w:szCs w:val="18"/>
                <w:vertAlign w:val="superscript"/>
                <w:lang w:eastAsia="cs-CZ"/>
              </w:rPr>
              <w:instrText xml:space="preserve"> NOTEREF _Ref421259825 \h  \* MERGEFORMAT </w:instrText>
            </w:r>
            <w:r w:rsidRPr="00471FC6">
              <w:rPr>
                <w:rFonts w:ascii="Arial" w:eastAsia="Times New Roman" w:hAnsi="Arial" w:cs="Arial"/>
                <w:bCs/>
                <w:color w:val="000000"/>
                <w:sz w:val="18"/>
                <w:szCs w:val="18"/>
                <w:vertAlign w:val="superscript"/>
                <w:lang w:eastAsia="cs-CZ"/>
              </w:rPr>
            </w:r>
            <w:r w:rsidRPr="00471FC6">
              <w:rPr>
                <w:rFonts w:ascii="Arial" w:eastAsia="Times New Roman" w:hAnsi="Arial" w:cs="Arial"/>
                <w:bCs/>
                <w:color w:val="000000"/>
                <w:sz w:val="18"/>
                <w:szCs w:val="18"/>
                <w:vertAlign w:val="superscript"/>
                <w:lang w:eastAsia="cs-CZ"/>
              </w:rPr>
              <w:fldChar w:fldCharType="separate"/>
            </w:r>
            <w:r w:rsidRPr="00471FC6">
              <w:rPr>
                <w:rFonts w:ascii="Arial" w:eastAsia="Times New Roman" w:hAnsi="Arial" w:cs="Arial"/>
                <w:bCs/>
                <w:color w:val="000000"/>
                <w:sz w:val="18"/>
                <w:szCs w:val="18"/>
                <w:vertAlign w:val="superscript"/>
                <w:lang w:eastAsia="cs-CZ"/>
              </w:rPr>
              <w:t>28</w:t>
            </w:r>
            <w:r w:rsidRPr="00471FC6">
              <w:rPr>
                <w:rFonts w:ascii="Arial" w:eastAsia="Times New Roman" w:hAnsi="Arial" w:cs="Arial"/>
                <w:bCs/>
                <w:color w:val="000000"/>
                <w:sz w:val="18"/>
                <w:szCs w:val="18"/>
                <w:vertAlign w:val="superscript"/>
                <w:lang w:eastAsia="cs-CZ"/>
              </w:rPr>
              <w:fldChar w:fldCharType="end"/>
            </w:r>
            <w:r w:rsidRPr="00471FC6">
              <w:rPr>
                <w:rFonts w:ascii="Arial" w:eastAsia="Times New Roman" w:hAnsi="Arial" w:cs="Arial"/>
                <w:bCs/>
                <w:color w:val="000000"/>
                <w:sz w:val="18"/>
                <w:szCs w:val="18"/>
                <w:lang w:eastAsia="cs-CZ"/>
              </w:rPr>
              <w:t>.</w:t>
            </w:r>
          </w:p>
        </w:tc>
      </w:tr>
      <w:tr w:rsidR="00BC2124" w:rsidRPr="00C41DE7" w:rsidTr="006F678C">
        <w:trPr>
          <w:trHeight w:val="328"/>
          <w:jc w:val="center"/>
        </w:trPr>
        <w:tc>
          <w:tcPr>
            <w:tcW w:w="4011" w:type="dxa"/>
            <w:gridSpan w:val="2"/>
            <w:shd w:val="clear" w:color="auto" w:fill="auto"/>
            <w:vAlign w:val="center"/>
            <w:hideMark/>
          </w:tcPr>
          <w:p w:rsidR="00BC2124" w:rsidRPr="00471FC6" w:rsidRDefault="00BC2124" w:rsidP="00C41DE7">
            <w:pPr>
              <w:spacing w:after="0" w:line="240" w:lineRule="auto"/>
              <w:jc w:val="center"/>
              <w:rPr>
                <w:rFonts w:ascii="Arial" w:eastAsia="Times New Roman" w:hAnsi="Arial" w:cs="Arial"/>
                <w:b/>
                <w:bCs/>
                <w:color w:val="000000"/>
                <w:sz w:val="16"/>
                <w:szCs w:val="16"/>
                <w:lang w:eastAsia="cs-CZ"/>
              </w:rPr>
            </w:pPr>
            <w:r w:rsidRPr="00471FC6">
              <w:rPr>
                <w:rFonts w:ascii="Arial" w:eastAsia="Times New Roman" w:hAnsi="Arial" w:cs="Arial"/>
                <w:b/>
                <w:bCs/>
                <w:color w:val="000000"/>
                <w:sz w:val="16"/>
                <w:szCs w:val="16"/>
                <w:lang w:eastAsia="cs-CZ"/>
              </w:rPr>
              <w:t>Sektorové skupiny mající široký přesah mezi jednotlivými odvětvími</w:t>
            </w:r>
          </w:p>
        </w:tc>
        <w:tc>
          <w:tcPr>
            <w:tcW w:w="3232" w:type="dxa"/>
            <w:shd w:val="clear" w:color="000000" w:fill="E6B8B7"/>
            <w:vAlign w:val="center"/>
            <w:hideMark/>
          </w:tcPr>
          <w:p w:rsidR="00BC2124" w:rsidRPr="00C41DE7" w:rsidRDefault="00BC2124" w:rsidP="00C41DE7">
            <w:pPr>
              <w:spacing w:after="0" w:line="240" w:lineRule="auto"/>
              <w:jc w:val="center"/>
              <w:rPr>
                <w:rFonts w:ascii="Arial" w:eastAsia="Times New Roman" w:hAnsi="Arial" w:cs="Arial"/>
                <w:b/>
                <w:bCs/>
                <w:color w:val="000000"/>
                <w:sz w:val="18"/>
                <w:szCs w:val="18"/>
                <w:lang w:eastAsia="cs-CZ"/>
              </w:rPr>
            </w:pPr>
            <w:r w:rsidRPr="00C41DE7">
              <w:rPr>
                <w:rFonts w:ascii="Arial" w:eastAsia="Times New Roman" w:hAnsi="Arial" w:cs="Arial"/>
                <w:b/>
                <w:bCs/>
                <w:color w:val="000000"/>
                <w:sz w:val="18"/>
                <w:szCs w:val="18"/>
                <w:lang w:eastAsia="cs-CZ"/>
              </w:rPr>
              <w:t>NANOTECHNOLOGIE</w:t>
            </w:r>
          </w:p>
        </w:tc>
        <w:tc>
          <w:tcPr>
            <w:tcW w:w="6834" w:type="dxa"/>
            <w:gridSpan w:val="6"/>
            <w:shd w:val="clear" w:color="000000" w:fill="E6B8B7"/>
            <w:vAlign w:val="center"/>
          </w:tcPr>
          <w:p w:rsidR="00BC2124" w:rsidRPr="00471FC6" w:rsidRDefault="00BC2124" w:rsidP="00042809">
            <w:pPr>
              <w:spacing w:after="0" w:line="240" w:lineRule="auto"/>
              <w:jc w:val="center"/>
              <w:rPr>
                <w:rFonts w:ascii="Arial" w:eastAsia="Times New Roman" w:hAnsi="Arial" w:cs="Arial"/>
                <w:b/>
                <w:bCs/>
                <w:color w:val="000000"/>
                <w:sz w:val="18"/>
                <w:szCs w:val="18"/>
                <w:lang w:eastAsia="cs-CZ"/>
              </w:rPr>
            </w:pPr>
          </w:p>
        </w:tc>
      </w:tr>
    </w:tbl>
    <w:p w:rsidR="00C41DE7" w:rsidRPr="00C41DE7" w:rsidRDefault="00C41DE7" w:rsidP="00C41DE7">
      <w:pPr>
        <w:spacing w:after="0" w:line="240" w:lineRule="auto"/>
        <w:rPr>
          <w:rFonts w:ascii="Times New Roman" w:eastAsia="Times New Roman" w:hAnsi="Times New Roman" w:cs="Times New Roman"/>
          <w:i/>
          <w:sz w:val="20"/>
          <w:szCs w:val="20"/>
          <w:lang w:eastAsia="cs-CZ"/>
        </w:rPr>
        <w:sectPr w:rsidR="00C41DE7" w:rsidRPr="00C41DE7" w:rsidSect="00E540D1">
          <w:pgSz w:w="16838" w:h="11906" w:orient="landscape"/>
          <w:pgMar w:top="1134" w:right="1134" w:bottom="1134" w:left="1134" w:header="709" w:footer="709" w:gutter="0"/>
          <w:cols w:space="708"/>
          <w:docGrid w:linePitch="360"/>
        </w:sectPr>
      </w:pPr>
    </w:p>
    <w:p w:rsidR="00D774E6" w:rsidRDefault="00C21902" w:rsidP="00C21902">
      <w:pPr>
        <w:spacing w:after="0" w:line="360" w:lineRule="auto"/>
        <w:ind w:firstLine="708"/>
        <w:jc w:val="both"/>
        <w:rPr>
          <w:rFonts w:ascii="Arial" w:eastAsia="Times New Roman" w:hAnsi="Arial" w:cs="Arial"/>
          <w:lang w:eastAsia="cs-CZ"/>
        </w:rPr>
      </w:pPr>
      <w:r w:rsidRPr="00C21902">
        <w:rPr>
          <w:rFonts w:ascii="Arial" w:eastAsia="Times New Roman" w:hAnsi="Arial" w:cs="Arial"/>
          <w:lang w:eastAsia="cs-CZ"/>
        </w:rPr>
        <w:lastRenderedPageBreak/>
        <w:t xml:space="preserve">Sektorové platformy jsou </w:t>
      </w:r>
      <w:r>
        <w:rPr>
          <w:rFonts w:ascii="Arial" w:eastAsia="Times New Roman" w:hAnsi="Arial" w:cs="Arial"/>
          <w:lang w:eastAsia="cs-CZ"/>
        </w:rPr>
        <w:t xml:space="preserve">aktuálně </w:t>
      </w:r>
      <w:r w:rsidRPr="00C21902">
        <w:rPr>
          <w:rFonts w:ascii="Arial" w:eastAsia="Times New Roman" w:hAnsi="Arial" w:cs="Arial"/>
          <w:lang w:eastAsia="cs-CZ"/>
        </w:rPr>
        <w:t>transformovány</w:t>
      </w:r>
      <w:r w:rsidR="00D774E6">
        <w:rPr>
          <w:rFonts w:ascii="Arial" w:eastAsia="Times New Roman" w:hAnsi="Arial" w:cs="Arial"/>
          <w:lang w:eastAsia="cs-CZ"/>
        </w:rPr>
        <w:t xml:space="preserve"> v</w:t>
      </w:r>
      <w:r w:rsidRPr="00C21902">
        <w:rPr>
          <w:rFonts w:ascii="Arial" w:eastAsia="Times New Roman" w:hAnsi="Arial" w:cs="Arial"/>
          <w:lang w:eastAsia="cs-CZ"/>
        </w:rPr>
        <w:t xml:space="preserve"> Pracovní skupiny za účelem poskytování vstupů do rozhodovacích procesů vážících se na činnost R</w:t>
      </w:r>
      <w:r>
        <w:rPr>
          <w:rFonts w:ascii="Arial" w:eastAsia="Times New Roman" w:hAnsi="Arial" w:cs="Arial"/>
          <w:lang w:eastAsia="cs-CZ"/>
        </w:rPr>
        <w:t>ady vlády pro</w:t>
      </w:r>
      <w:r w:rsidR="006F678C">
        <w:rPr>
          <w:rFonts w:ascii="Arial" w:eastAsia="Times New Roman" w:hAnsi="Arial" w:cs="Arial"/>
          <w:lang w:eastAsia="cs-CZ"/>
        </w:rPr>
        <w:t> </w:t>
      </w:r>
      <w:r>
        <w:rPr>
          <w:rFonts w:ascii="Arial" w:eastAsia="Times New Roman" w:hAnsi="Arial" w:cs="Arial"/>
          <w:lang w:eastAsia="cs-CZ"/>
        </w:rPr>
        <w:t>konkurenceschopnost a hospodářský růst (R</w:t>
      </w:r>
      <w:r w:rsidRPr="00C21902">
        <w:rPr>
          <w:rFonts w:ascii="Arial" w:eastAsia="Times New Roman" w:hAnsi="Arial" w:cs="Arial"/>
          <w:lang w:eastAsia="cs-CZ"/>
        </w:rPr>
        <w:t>VKHR</w:t>
      </w:r>
      <w:r>
        <w:rPr>
          <w:rFonts w:ascii="Arial" w:eastAsia="Times New Roman" w:hAnsi="Arial" w:cs="Arial"/>
          <w:lang w:eastAsia="cs-CZ"/>
        </w:rPr>
        <w:t>)</w:t>
      </w:r>
      <w:r w:rsidRPr="00C21902">
        <w:rPr>
          <w:rFonts w:ascii="Arial" w:eastAsia="Times New Roman" w:hAnsi="Arial" w:cs="Arial"/>
          <w:lang w:eastAsia="cs-CZ"/>
        </w:rPr>
        <w:t xml:space="preserve"> a RVVI. Zároveň jsou personálně propojeny s</w:t>
      </w:r>
      <w:r w:rsidR="00D774E6">
        <w:rPr>
          <w:rFonts w:ascii="Arial" w:eastAsia="Times New Roman" w:hAnsi="Arial" w:cs="Arial"/>
          <w:lang w:eastAsia="cs-CZ"/>
        </w:rPr>
        <w:t> </w:t>
      </w:r>
      <w:r w:rsidRPr="00C21902">
        <w:rPr>
          <w:rFonts w:ascii="Arial" w:eastAsia="Times New Roman" w:hAnsi="Arial" w:cs="Arial"/>
          <w:lang w:eastAsia="cs-CZ"/>
        </w:rPr>
        <w:t>Národními inovačními platformami, které existují v rámci RIS 3</w:t>
      </w:r>
      <w:r w:rsidR="00D774E6">
        <w:rPr>
          <w:rFonts w:ascii="Arial" w:eastAsia="Times New Roman" w:hAnsi="Arial" w:cs="Arial"/>
          <w:lang w:eastAsia="cs-CZ"/>
        </w:rPr>
        <w:t>.</w:t>
      </w:r>
    </w:p>
    <w:p w:rsidR="00D774E6" w:rsidRDefault="00D774E6" w:rsidP="00C21902">
      <w:pPr>
        <w:spacing w:after="0" w:line="360" w:lineRule="auto"/>
        <w:ind w:firstLine="708"/>
        <w:jc w:val="both"/>
        <w:rPr>
          <w:rFonts w:ascii="Arial" w:eastAsia="Times New Roman" w:hAnsi="Arial" w:cs="Arial"/>
          <w:lang w:eastAsia="cs-CZ"/>
        </w:rPr>
      </w:pPr>
      <w:r w:rsidRPr="00C21902">
        <w:rPr>
          <w:rFonts w:ascii="Arial" w:eastAsia="Times New Roman" w:hAnsi="Arial" w:cs="Arial"/>
          <w:lang w:eastAsia="cs-CZ"/>
        </w:rPr>
        <w:t xml:space="preserve">Pracovní skupiny, stejně tak i Národní inovační platformy, nabízejí významnou zpětnou vazbu k poskytování veřejné podpory na VaVaI v ČR a zároveň poskytují věcné vstupy v podobě potřeb definování dlouhodobých výzkumných témat sektorů a v oblasti lidských zdrojů. Takto definované a široce prodiskutované priority sektorů se stanou základem pro </w:t>
      </w:r>
      <w:proofErr w:type="spellStart"/>
      <w:r w:rsidRPr="00C21902">
        <w:rPr>
          <w:rFonts w:ascii="Arial" w:eastAsia="Times New Roman" w:hAnsi="Arial" w:cs="Arial"/>
          <w:lang w:eastAsia="cs-CZ"/>
        </w:rPr>
        <w:t>vertikalizaci</w:t>
      </w:r>
      <w:proofErr w:type="spellEnd"/>
      <w:r w:rsidRPr="00C21902">
        <w:rPr>
          <w:rFonts w:ascii="Arial" w:eastAsia="Times New Roman" w:hAnsi="Arial" w:cs="Arial"/>
          <w:lang w:eastAsia="cs-CZ"/>
        </w:rPr>
        <w:t xml:space="preserve"> RIS 3</w:t>
      </w:r>
      <w:r w:rsidR="00010F88">
        <w:rPr>
          <w:rFonts w:ascii="Arial" w:eastAsia="Times New Roman" w:hAnsi="Arial" w:cs="Arial"/>
          <w:lang w:eastAsia="cs-CZ"/>
        </w:rPr>
        <w:t>.</w:t>
      </w:r>
      <w:r w:rsidRPr="00C21902">
        <w:rPr>
          <w:rFonts w:ascii="Arial" w:eastAsia="Times New Roman" w:hAnsi="Arial" w:cs="Arial"/>
          <w:lang w:eastAsia="cs-CZ"/>
        </w:rPr>
        <w:t xml:space="preserve"> </w:t>
      </w:r>
      <w:r w:rsidRPr="000F625B">
        <w:rPr>
          <w:rFonts w:ascii="Arial" w:eastAsia="Times New Roman" w:hAnsi="Arial" w:cs="Arial"/>
          <w:lang w:eastAsia="cs-CZ"/>
        </w:rPr>
        <w:t>Cílem celého procesu je mít představu o dlouhodobých potřebách sektorů s významným podílem soukromých investic do VaVaI, díky kterým budou nastaveny státní politiky tak, aby byly vytvářeny podmínky pro jejich další rozvoj.</w:t>
      </w:r>
    </w:p>
    <w:p w:rsidR="00C21902" w:rsidRPr="00C21902" w:rsidRDefault="00AA7631" w:rsidP="00C21902">
      <w:pPr>
        <w:spacing w:after="0" w:line="360" w:lineRule="auto"/>
        <w:ind w:firstLine="708"/>
        <w:jc w:val="both"/>
        <w:rPr>
          <w:rFonts w:ascii="Arial" w:eastAsia="Times New Roman" w:hAnsi="Arial" w:cs="Arial"/>
          <w:lang w:eastAsia="cs-CZ"/>
        </w:rPr>
      </w:pPr>
      <w:r>
        <w:rPr>
          <w:rFonts w:ascii="Arial" w:eastAsia="Times New Roman" w:hAnsi="Arial" w:cs="Arial"/>
          <w:lang w:eastAsia="cs-CZ"/>
        </w:rPr>
        <w:t>V</w:t>
      </w:r>
      <w:r w:rsidR="005D7511">
        <w:rPr>
          <w:rFonts w:ascii="Arial" w:eastAsia="Times New Roman" w:hAnsi="Arial" w:cs="Arial"/>
          <w:lang w:eastAsia="cs-CZ"/>
        </w:rPr>
        <w:t> </w:t>
      </w:r>
      <w:r>
        <w:rPr>
          <w:rFonts w:ascii="Arial" w:eastAsia="Times New Roman" w:hAnsi="Arial" w:cs="Arial"/>
          <w:lang w:eastAsia="cs-CZ"/>
        </w:rPr>
        <w:t>příloze</w:t>
      </w:r>
      <w:r w:rsidR="005D7511">
        <w:rPr>
          <w:rFonts w:ascii="Arial" w:eastAsia="Times New Roman" w:hAnsi="Arial" w:cs="Arial"/>
          <w:lang w:eastAsia="cs-CZ"/>
        </w:rPr>
        <w:t xml:space="preserve"> č. 2</w:t>
      </w:r>
      <w:r w:rsidR="00397889">
        <w:rPr>
          <w:rFonts w:ascii="Arial" w:eastAsia="Times New Roman" w:hAnsi="Arial" w:cs="Arial"/>
          <w:lang w:eastAsia="cs-CZ"/>
        </w:rPr>
        <w:t xml:space="preserve"> </w:t>
      </w:r>
      <w:r w:rsidR="00D774E6">
        <w:rPr>
          <w:rFonts w:ascii="Arial" w:eastAsia="Times New Roman" w:hAnsi="Arial" w:cs="Arial"/>
          <w:lang w:eastAsia="cs-CZ"/>
        </w:rPr>
        <w:t xml:space="preserve">jsou uvedena </w:t>
      </w:r>
      <w:r w:rsidR="00C41DE7" w:rsidRPr="008E7BFB">
        <w:rPr>
          <w:rFonts w:ascii="Arial" w:eastAsia="Times New Roman" w:hAnsi="Arial" w:cs="Arial"/>
          <w:lang w:eastAsia="cs-CZ"/>
        </w:rPr>
        <w:t xml:space="preserve">klíčová výzkumná témata nezbytná pro </w:t>
      </w:r>
      <w:r w:rsidR="00D774E6">
        <w:rPr>
          <w:rFonts w:ascii="Arial" w:eastAsia="Times New Roman" w:hAnsi="Arial" w:cs="Arial"/>
          <w:lang w:eastAsia="cs-CZ"/>
        </w:rPr>
        <w:t>d</w:t>
      </w:r>
      <w:r w:rsidR="00C41DE7" w:rsidRPr="008E7BFB">
        <w:rPr>
          <w:rFonts w:ascii="Arial" w:eastAsia="Times New Roman" w:hAnsi="Arial" w:cs="Arial"/>
          <w:lang w:eastAsia="cs-CZ"/>
        </w:rPr>
        <w:t>alší rozvoj</w:t>
      </w:r>
      <w:r w:rsidR="00D774E6">
        <w:rPr>
          <w:rFonts w:ascii="Arial" w:eastAsia="Times New Roman" w:hAnsi="Arial" w:cs="Arial"/>
          <w:lang w:eastAsia="cs-CZ"/>
        </w:rPr>
        <w:t xml:space="preserve"> vymezených odvětví</w:t>
      </w:r>
      <w:r w:rsidR="00304A96">
        <w:rPr>
          <w:rFonts w:ascii="Arial" w:eastAsia="Times New Roman" w:hAnsi="Arial" w:cs="Arial"/>
          <w:lang w:eastAsia="cs-CZ"/>
        </w:rPr>
        <w:t xml:space="preserve">. </w:t>
      </w:r>
      <w:r w:rsidR="00397889">
        <w:rPr>
          <w:rFonts w:ascii="Arial" w:eastAsia="Times New Roman" w:hAnsi="Arial" w:cs="Arial"/>
          <w:lang w:eastAsia="cs-CZ"/>
        </w:rPr>
        <w:t xml:space="preserve">Jedná se </w:t>
      </w:r>
      <w:r w:rsidR="0042088A">
        <w:rPr>
          <w:rFonts w:ascii="Arial" w:eastAsia="Times New Roman" w:hAnsi="Arial" w:cs="Arial"/>
          <w:lang w:eastAsia="cs-CZ"/>
        </w:rPr>
        <w:t xml:space="preserve">o </w:t>
      </w:r>
      <w:r w:rsidR="00397889">
        <w:rPr>
          <w:rFonts w:ascii="Arial" w:eastAsia="Times New Roman" w:hAnsi="Arial" w:cs="Arial"/>
          <w:lang w:eastAsia="cs-CZ"/>
        </w:rPr>
        <w:t xml:space="preserve">prvotní a neuzavřený seznam, který </w:t>
      </w:r>
      <w:r w:rsidR="00D774E6">
        <w:rPr>
          <w:rFonts w:ascii="Arial" w:eastAsia="Times New Roman" w:hAnsi="Arial" w:cs="Arial"/>
          <w:lang w:eastAsia="cs-CZ"/>
        </w:rPr>
        <w:t>může být</w:t>
      </w:r>
      <w:r w:rsidR="00397889">
        <w:rPr>
          <w:rFonts w:ascii="Arial" w:eastAsia="Times New Roman" w:hAnsi="Arial" w:cs="Arial"/>
          <w:lang w:eastAsia="cs-CZ"/>
        </w:rPr>
        <w:t xml:space="preserve">, podobně jako počet účastníků </w:t>
      </w:r>
      <w:r w:rsidR="00D774E6">
        <w:rPr>
          <w:rFonts w:ascii="Arial" w:eastAsia="Times New Roman" w:hAnsi="Arial" w:cs="Arial"/>
          <w:lang w:eastAsia="cs-CZ"/>
        </w:rPr>
        <w:t>pracovních skupin</w:t>
      </w:r>
      <w:r w:rsidR="00452BAE">
        <w:rPr>
          <w:rFonts w:ascii="Arial" w:eastAsia="Times New Roman" w:hAnsi="Arial" w:cs="Arial"/>
          <w:lang w:eastAsia="cs-CZ"/>
        </w:rPr>
        <w:t>,</w:t>
      </w:r>
      <w:r w:rsidR="00397889">
        <w:rPr>
          <w:rFonts w:ascii="Arial" w:eastAsia="Times New Roman" w:hAnsi="Arial" w:cs="Arial"/>
          <w:lang w:eastAsia="cs-CZ"/>
        </w:rPr>
        <w:t xml:space="preserve"> dále doplňován v rámci probíhajícího </w:t>
      </w:r>
      <w:proofErr w:type="spellStart"/>
      <w:r w:rsidR="00397889">
        <w:rPr>
          <w:rFonts w:ascii="Arial" w:eastAsia="Times New Roman" w:hAnsi="Arial" w:cs="Arial"/>
          <w:lang w:eastAsia="cs-CZ"/>
        </w:rPr>
        <w:t>Entrepreneurial</w:t>
      </w:r>
      <w:proofErr w:type="spellEnd"/>
      <w:r w:rsidR="00397889">
        <w:rPr>
          <w:rFonts w:ascii="Arial" w:eastAsia="Times New Roman" w:hAnsi="Arial" w:cs="Arial"/>
          <w:lang w:eastAsia="cs-CZ"/>
        </w:rPr>
        <w:t xml:space="preserve"> </w:t>
      </w:r>
      <w:proofErr w:type="spellStart"/>
      <w:r w:rsidR="00397889">
        <w:rPr>
          <w:rFonts w:ascii="Arial" w:eastAsia="Times New Roman" w:hAnsi="Arial" w:cs="Arial"/>
          <w:lang w:eastAsia="cs-CZ"/>
        </w:rPr>
        <w:t>Discovery</w:t>
      </w:r>
      <w:proofErr w:type="spellEnd"/>
      <w:r w:rsidR="00397889">
        <w:rPr>
          <w:rFonts w:ascii="Arial" w:eastAsia="Times New Roman" w:hAnsi="Arial" w:cs="Arial"/>
          <w:lang w:eastAsia="cs-CZ"/>
        </w:rPr>
        <w:t xml:space="preserve"> </w:t>
      </w:r>
      <w:proofErr w:type="spellStart"/>
      <w:r w:rsidR="00397889">
        <w:rPr>
          <w:rFonts w:ascii="Arial" w:eastAsia="Times New Roman" w:hAnsi="Arial" w:cs="Arial"/>
          <w:lang w:eastAsia="cs-CZ"/>
        </w:rPr>
        <w:t>Process</w:t>
      </w:r>
      <w:proofErr w:type="spellEnd"/>
      <w:r w:rsidR="00397889">
        <w:rPr>
          <w:rFonts w:ascii="Arial" w:eastAsia="Times New Roman" w:hAnsi="Arial" w:cs="Arial"/>
          <w:lang w:eastAsia="cs-CZ"/>
        </w:rPr>
        <w:t>.</w:t>
      </w:r>
      <w:r w:rsidR="00C21902">
        <w:rPr>
          <w:rFonts w:ascii="Arial" w:eastAsia="Times New Roman" w:hAnsi="Arial" w:cs="Arial"/>
          <w:lang w:eastAsia="cs-CZ"/>
        </w:rPr>
        <w:t xml:space="preserve"> </w:t>
      </w:r>
    </w:p>
    <w:p w:rsidR="00486796" w:rsidRPr="007E6226" w:rsidRDefault="00486796" w:rsidP="007E6226">
      <w:pPr>
        <w:numPr>
          <w:ilvl w:val="1"/>
          <w:numId w:val="12"/>
        </w:numPr>
        <w:spacing w:after="0" w:line="360" w:lineRule="auto"/>
        <w:contextualSpacing/>
        <w:jc w:val="both"/>
        <w:rPr>
          <w:rFonts w:ascii="Arial" w:eastAsia="Times New Roman" w:hAnsi="Arial" w:cs="Arial"/>
          <w:lang w:eastAsia="cs-CZ"/>
        </w:rPr>
      </w:pPr>
      <w:r w:rsidRPr="007E6226">
        <w:rPr>
          <w:rFonts w:ascii="Arial" w:eastAsia="Times New Roman" w:hAnsi="Arial" w:cs="Arial"/>
          <w:lang w:eastAsia="cs-CZ"/>
        </w:rPr>
        <w:br w:type="page"/>
      </w:r>
    </w:p>
    <w:p w:rsidR="00486796" w:rsidRDefault="00486796" w:rsidP="00956D00">
      <w:pPr>
        <w:pStyle w:val="Nadpis2"/>
      </w:pPr>
      <w:bookmarkStart w:id="21" w:name="_Toc427676908"/>
      <w:r>
        <w:lastRenderedPageBreak/>
        <w:t>9. Datové zdroje ve VaVaI</w:t>
      </w:r>
      <w:bookmarkEnd w:id="21"/>
    </w:p>
    <w:p w:rsidR="00381AF1" w:rsidRPr="00381AF1" w:rsidRDefault="00381AF1" w:rsidP="00381AF1">
      <w:pPr>
        <w:spacing w:after="0" w:line="360" w:lineRule="auto"/>
        <w:ind w:firstLine="357"/>
        <w:jc w:val="both"/>
        <w:rPr>
          <w:rFonts w:ascii="Arial" w:eastAsia="Times New Roman" w:hAnsi="Arial" w:cs="Arial"/>
          <w:lang w:eastAsia="cs-CZ"/>
        </w:rPr>
      </w:pPr>
      <w:r w:rsidRPr="00CB4BFE">
        <w:rPr>
          <w:rFonts w:ascii="Arial" w:eastAsia="Times New Roman" w:hAnsi="Arial" w:cs="Arial"/>
          <w:lang w:eastAsia="cs-CZ"/>
        </w:rPr>
        <w:t xml:space="preserve">Základem každé kvalitní empirické analýzy by měla být aktuální a relevantní data. Rovněž při tvorbě tohoto dokumentu je cílem použití takových statisticko-matematických nástrojů, aby bylo možné nejen hodnotit minulý a současný stav i vývoj VaVaI, </w:t>
      </w:r>
      <w:r w:rsidRPr="00FC6C7A">
        <w:rPr>
          <w:rFonts w:ascii="Arial" w:eastAsia="Times New Roman" w:hAnsi="Arial" w:cs="Arial"/>
          <w:lang w:eastAsia="cs-CZ"/>
        </w:rPr>
        <w:t xml:space="preserve">ale také predikovat vývoj budoucí </w:t>
      </w:r>
      <w:r w:rsidRPr="00924504">
        <w:rPr>
          <w:rFonts w:ascii="Arial" w:eastAsia="Times New Roman" w:hAnsi="Arial" w:cs="Arial"/>
          <w:lang w:eastAsia="cs-CZ"/>
        </w:rPr>
        <w:t>či evaluovat intervence. K použití těchto sofistikovaných metod je však nutné mít k dispozici kvalitní datovou základnu. Ukazuje se totiž, že pro analýzy VaVaI jsou data v agregované podobě nedostačující, neboť pro komple</w:t>
      </w:r>
      <w:r w:rsidRPr="00CB4BFE">
        <w:rPr>
          <w:rFonts w:ascii="Arial" w:eastAsia="Times New Roman" w:hAnsi="Arial" w:cs="Arial"/>
          <w:lang w:eastAsia="cs-CZ"/>
        </w:rPr>
        <w:t>xní zhodnocení je nutné analyzovat individuální data o jednotlivých subjektech VaVaI.</w:t>
      </w:r>
    </w:p>
    <w:p w:rsidR="00381AF1" w:rsidRPr="00381AF1" w:rsidRDefault="00381AF1" w:rsidP="00381AF1">
      <w:pPr>
        <w:spacing w:after="0" w:line="360" w:lineRule="auto"/>
        <w:ind w:firstLine="357"/>
        <w:jc w:val="both"/>
        <w:rPr>
          <w:rFonts w:ascii="Arial" w:eastAsia="Times New Roman" w:hAnsi="Arial" w:cs="Arial"/>
          <w:lang w:eastAsia="cs-CZ"/>
        </w:rPr>
      </w:pPr>
      <w:r w:rsidRPr="00381AF1">
        <w:rPr>
          <w:rFonts w:ascii="Arial" w:eastAsia="Times New Roman" w:hAnsi="Arial" w:cs="Arial"/>
          <w:lang w:eastAsia="cs-CZ"/>
        </w:rPr>
        <w:t>Tab</w:t>
      </w:r>
      <w:r w:rsidR="00291BB8">
        <w:rPr>
          <w:rFonts w:ascii="Arial" w:eastAsia="Times New Roman" w:hAnsi="Arial" w:cs="Arial"/>
          <w:lang w:eastAsia="cs-CZ"/>
        </w:rPr>
        <w:t>ulka</w:t>
      </w:r>
      <w:r w:rsidRPr="00381AF1">
        <w:rPr>
          <w:rFonts w:ascii="Arial" w:eastAsia="Times New Roman" w:hAnsi="Arial" w:cs="Arial"/>
          <w:lang w:eastAsia="cs-CZ"/>
        </w:rPr>
        <w:t xml:space="preserve"> 9.1 stručně shrnuje datové zdroje využitelné pro analýzu VaVaI v ČR. V zásadě lze datové zdroje rozdělit na národní a zahraniční. Důležitými národními institucemi, které spravují primární statistiky o VaVaI, jsou RVVI a ČSÚ. </w:t>
      </w:r>
      <w:r w:rsidRPr="00CB4BFE">
        <w:rPr>
          <w:rFonts w:ascii="Arial" w:eastAsia="Times New Roman" w:hAnsi="Arial" w:cs="Arial"/>
          <w:lang w:eastAsia="cs-CZ"/>
        </w:rPr>
        <w:t>RVVI je správcem IS VaVaI a provozovatelem informačního systému je Úřad vlády ČR, IS</w:t>
      </w:r>
      <w:r w:rsidRPr="00381AF1">
        <w:rPr>
          <w:rFonts w:ascii="Arial" w:eastAsia="Times New Roman" w:hAnsi="Arial" w:cs="Arial"/>
          <w:lang w:eastAsia="cs-CZ"/>
        </w:rPr>
        <w:t xml:space="preserve"> VaVaI zajišťuje shromažďování, zpracování, poskytování a využívání údajů o VaVaI podporovaných z veřejných prostředků. Cíle a obsah IS</w:t>
      </w:r>
      <w:r w:rsidR="006F678C">
        <w:rPr>
          <w:rFonts w:ascii="Arial" w:eastAsia="Times New Roman" w:hAnsi="Arial" w:cs="Arial"/>
          <w:lang w:eastAsia="cs-CZ"/>
        </w:rPr>
        <w:t> </w:t>
      </w:r>
      <w:proofErr w:type="spellStart"/>
      <w:r w:rsidRPr="00381AF1">
        <w:rPr>
          <w:rFonts w:ascii="Arial" w:eastAsia="Times New Roman" w:hAnsi="Arial" w:cs="Arial"/>
          <w:lang w:eastAsia="cs-CZ"/>
        </w:rPr>
        <w:t>VaVaI</w:t>
      </w:r>
      <w:proofErr w:type="spellEnd"/>
      <w:r w:rsidRPr="00381AF1">
        <w:rPr>
          <w:rFonts w:ascii="Arial" w:eastAsia="Times New Roman" w:hAnsi="Arial" w:cs="Arial"/>
          <w:lang w:eastAsia="cs-CZ"/>
        </w:rPr>
        <w:t>, dále práva, povinnosti a postup při předání, zařazení, zpracování a poskytování údajů jsou stanoveny Zákonem o podpoře výzkumu, experimentálního vývoje a inovací, dále pak nařízením vlády č. 397/2009 Sb., o informačním systému výzkumu, experimentálního vývoje a</w:t>
      </w:r>
      <w:r w:rsidR="006F678C">
        <w:rPr>
          <w:rFonts w:ascii="Arial" w:eastAsia="Times New Roman" w:hAnsi="Arial" w:cs="Arial"/>
          <w:lang w:eastAsia="cs-CZ"/>
        </w:rPr>
        <w:t> </w:t>
      </w:r>
      <w:r w:rsidRPr="00381AF1">
        <w:rPr>
          <w:rFonts w:ascii="Arial" w:eastAsia="Times New Roman" w:hAnsi="Arial" w:cs="Arial"/>
          <w:lang w:eastAsia="cs-CZ"/>
        </w:rPr>
        <w:t xml:space="preserve">inovací, zvláštními právními předpisy a Provozním řádem IS VaVaI. Databáze IS VaVaI obsahuje data projektů od roku 1994, data výsledků od 1998 a data o výzkumných záměrech taktéž od roku 1998. ČSÚ sleduje charakteristiky </w:t>
      </w:r>
      <w:proofErr w:type="spellStart"/>
      <w:r w:rsidRPr="00381AF1">
        <w:rPr>
          <w:rFonts w:ascii="Arial" w:eastAsia="Times New Roman" w:hAnsi="Arial" w:cs="Arial"/>
          <w:lang w:eastAsia="cs-CZ"/>
        </w:rPr>
        <w:t>VaV</w:t>
      </w:r>
      <w:proofErr w:type="spellEnd"/>
      <w:r w:rsidRPr="00381AF1">
        <w:rPr>
          <w:rFonts w:ascii="Arial" w:eastAsia="Times New Roman" w:hAnsi="Arial" w:cs="Arial"/>
          <w:lang w:eastAsia="cs-CZ"/>
        </w:rPr>
        <w:t xml:space="preserve"> pomocí přímého dotazníkového statistického šetření, dále zpracovává data dalších institucí. Dlouhodobým cílem ČSÚ je vytváření komplexního obrazu o</w:t>
      </w:r>
      <w:r w:rsidR="006F678C">
        <w:rPr>
          <w:rFonts w:ascii="Arial" w:eastAsia="Times New Roman" w:hAnsi="Arial" w:cs="Arial"/>
          <w:lang w:eastAsia="cs-CZ"/>
        </w:rPr>
        <w:t> </w:t>
      </w:r>
      <w:r w:rsidRPr="00381AF1">
        <w:rPr>
          <w:rFonts w:ascii="Arial" w:eastAsia="Times New Roman" w:hAnsi="Arial" w:cs="Arial"/>
          <w:lang w:eastAsia="cs-CZ"/>
        </w:rPr>
        <w:t xml:space="preserve">rozvoji </w:t>
      </w:r>
      <w:proofErr w:type="spellStart"/>
      <w:r w:rsidRPr="00381AF1">
        <w:rPr>
          <w:rFonts w:ascii="Arial" w:eastAsia="Times New Roman" w:hAnsi="Arial" w:cs="Arial"/>
          <w:lang w:eastAsia="cs-CZ"/>
        </w:rPr>
        <w:t>VaV</w:t>
      </w:r>
      <w:proofErr w:type="spellEnd"/>
      <w:r w:rsidRPr="00381AF1">
        <w:rPr>
          <w:rFonts w:ascii="Arial" w:eastAsia="Times New Roman" w:hAnsi="Arial" w:cs="Arial"/>
          <w:lang w:eastAsia="cs-CZ"/>
        </w:rPr>
        <w:t xml:space="preserve"> v České republice statistickými nástroji, informacemi a analytickou činností v</w:t>
      </w:r>
      <w:r w:rsidR="006F678C">
        <w:rPr>
          <w:rFonts w:ascii="Arial" w:eastAsia="Times New Roman" w:hAnsi="Arial" w:cs="Arial"/>
          <w:lang w:eastAsia="cs-CZ"/>
        </w:rPr>
        <w:t> </w:t>
      </w:r>
      <w:r w:rsidRPr="00381AF1">
        <w:rPr>
          <w:rFonts w:ascii="Arial" w:eastAsia="Times New Roman" w:hAnsi="Arial" w:cs="Arial"/>
          <w:lang w:eastAsia="cs-CZ"/>
        </w:rPr>
        <w:t>kontextu dalších makroekonomických a strukturálních ukazatelů. Konkrétně od roku 19</w:t>
      </w:r>
      <w:r>
        <w:rPr>
          <w:rFonts w:ascii="Arial" w:eastAsia="Times New Roman" w:hAnsi="Arial" w:cs="Arial"/>
          <w:lang w:eastAsia="cs-CZ"/>
        </w:rPr>
        <w:t xml:space="preserve">95 je každoročně prováděno </w:t>
      </w:r>
      <w:r w:rsidRPr="00381AF1">
        <w:rPr>
          <w:rFonts w:ascii="Arial" w:eastAsia="Times New Roman" w:hAnsi="Arial" w:cs="Arial"/>
          <w:lang w:eastAsia="cs-CZ"/>
        </w:rPr>
        <w:t>výběrové dotazníkové šetření VTR 5-01.</w:t>
      </w:r>
    </w:p>
    <w:p w:rsidR="00381AF1" w:rsidRPr="00381AF1" w:rsidRDefault="00A623DC" w:rsidP="00381AF1">
      <w:pPr>
        <w:spacing w:after="0" w:line="360" w:lineRule="auto"/>
        <w:ind w:firstLine="357"/>
        <w:jc w:val="both"/>
        <w:rPr>
          <w:rFonts w:ascii="Arial" w:eastAsia="Times New Roman" w:hAnsi="Arial" w:cs="Arial"/>
          <w:lang w:eastAsia="cs-CZ"/>
        </w:rPr>
      </w:pPr>
      <w:proofErr w:type="spellStart"/>
      <w:r w:rsidRPr="00381AF1">
        <w:rPr>
          <w:rFonts w:ascii="Arial" w:eastAsia="Times New Roman" w:hAnsi="Arial" w:cs="Arial"/>
          <w:lang w:eastAsia="cs-CZ"/>
        </w:rPr>
        <w:t>E</w:t>
      </w:r>
      <w:r>
        <w:rPr>
          <w:rFonts w:ascii="Arial" w:eastAsia="Times New Roman" w:hAnsi="Arial" w:cs="Arial"/>
          <w:lang w:eastAsia="cs-CZ"/>
        </w:rPr>
        <w:t>urostat</w:t>
      </w:r>
      <w:proofErr w:type="spellEnd"/>
      <w:r w:rsidRPr="00381AF1">
        <w:rPr>
          <w:rFonts w:ascii="Arial" w:eastAsia="Times New Roman" w:hAnsi="Arial" w:cs="Arial"/>
          <w:lang w:eastAsia="cs-CZ"/>
        </w:rPr>
        <w:t xml:space="preserve"> </w:t>
      </w:r>
      <w:r w:rsidR="00381AF1" w:rsidRPr="00381AF1">
        <w:rPr>
          <w:rFonts w:ascii="Arial" w:eastAsia="Times New Roman" w:hAnsi="Arial" w:cs="Arial"/>
          <w:lang w:eastAsia="cs-CZ"/>
        </w:rPr>
        <w:t>a OECD patří mezi hlavní zahraniční instituce provozující databáze poskytující informace o VaVaI. Po vstupu ČR do EU vznikla potřeba i povinnost vést evidenci, kontrolovat průběh realizace jednotlivých projektů a monitorovat průběh čerpání finančních prostředků ze</w:t>
      </w:r>
      <w:r w:rsidR="006F678C">
        <w:rPr>
          <w:rFonts w:ascii="Arial" w:eastAsia="Times New Roman" w:hAnsi="Arial" w:cs="Arial"/>
          <w:lang w:eastAsia="cs-CZ"/>
        </w:rPr>
        <w:t> </w:t>
      </w:r>
      <w:r w:rsidR="00381AF1" w:rsidRPr="00381AF1">
        <w:rPr>
          <w:rFonts w:ascii="Arial" w:eastAsia="Times New Roman" w:hAnsi="Arial" w:cs="Arial"/>
          <w:lang w:eastAsia="cs-CZ"/>
        </w:rPr>
        <w:t>strukturálních fondů a Fondu soudržnosti. Tuto evidenci má v gesci především MMR. V průběhu Programového období 2007–2013 byl využíván informační systém MSC2007. Následně byl nově spuštěn systém MS2014+, který je určený pro monitorování Evropských strukturálních a</w:t>
      </w:r>
      <w:r w:rsidR="006F678C">
        <w:rPr>
          <w:rFonts w:ascii="Arial" w:eastAsia="Times New Roman" w:hAnsi="Arial" w:cs="Arial"/>
          <w:lang w:eastAsia="cs-CZ"/>
        </w:rPr>
        <w:t> </w:t>
      </w:r>
      <w:r w:rsidR="00381AF1" w:rsidRPr="00381AF1">
        <w:rPr>
          <w:rFonts w:ascii="Arial" w:eastAsia="Times New Roman" w:hAnsi="Arial" w:cs="Arial"/>
          <w:lang w:eastAsia="cs-CZ"/>
        </w:rPr>
        <w:t>investičních fondů (tzv. ESI fondy) v programovém období 2014–2020.</w:t>
      </w:r>
    </w:p>
    <w:p w:rsidR="00381AF1" w:rsidRPr="00381AF1" w:rsidRDefault="00381AF1" w:rsidP="00381AF1">
      <w:pPr>
        <w:rPr>
          <w:rFonts w:ascii="Arial" w:eastAsia="Times New Roman" w:hAnsi="Arial" w:cs="Arial"/>
          <w:lang w:eastAsia="cs-CZ"/>
        </w:rPr>
      </w:pPr>
      <w:r w:rsidRPr="00381AF1">
        <w:rPr>
          <w:rFonts w:ascii="Arial" w:eastAsia="Times New Roman" w:hAnsi="Arial" w:cs="Arial"/>
          <w:lang w:eastAsia="cs-CZ"/>
        </w:rPr>
        <w:br w:type="page"/>
      </w:r>
    </w:p>
    <w:p w:rsidR="00381AF1" w:rsidRPr="00381AF1" w:rsidRDefault="00381AF1" w:rsidP="00381AF1">
      <w:pPr>
        <w:pStyle w:val="Obrzek-nadpis"/>
      </w:pPr>
      <w:r w:rsidRPr="00381AF1">
        <w:lastRenderedPageBreak/>
        <w:t>Tab. 9.1: Datové zdroje VaVaI</w:t>
      </w:r>
    </w:p>
    <w:tbl>
      <w:tblPr>
        <w:tblW w:w="10206" w:type="dxa"/>
        <w:jc w:val="center"/>
        <w:tblInd w:w="55" w:type="dxa"/>
        <w:tblLayout w:type="fixed"/>
        <w:tblCellMar>
          <w:left w:w="70" w:type="dxa"/>
          <w:right w:w="70" w:type="dxa"/>
        </w:tblCellMar>
        <w:tblLook w:val="04A0" w:firstRow="1" w:lastRow="0" w:firstColumn="1" w:lastColumn="0" w:noHBand="0" w:noVBand="1"/>
      </w:tblPr>
      <w:tblGrid>
        <w:gridCol w:w="425"/>
        <w:gridCol w:w="852"/>
        <w:gridCol w:w="991"/>
        <w:gridCol w:w="2410"/>
        <w:gridCol w:w="5528"/>
      </w:tblGrid>
      <w:tr w:rsidR="00381AF1" w:rsidRPr="00381AF1" w:rsidTr="00D653B6">
        <w:trPr>
          <w:trHeight w:val="303"/>
          <w:jc w:val="center"/>
        </w:trPr>
        <w:tc>
          <w:tcPr>
            <w:tcW w:w="425" w:type="dxa"/>
            <w:tcBorders>
              <w:top w:val="nil"/>
              <w:left w:val="nil"/>
              <w:bottom w:val="nil"/>
              <w:right w:val="nil"/>
            </w:tcBorders>
            <w:shd w:val="clear" w:color="auto" w:fill="auto"/>
            <w:vAlign w:val="center"/>
            <w:hideMark/>
          </w:tcPr>
          <w:p w:rsidR="00381AF1" w:rsidRPr="00381AF1" w:rsidRDefault="00381AF1" w:rsidP="00381AF1">
            <w:pPr>
              <w:spacing w:after="0" w:line="240" w:lineRule="auto"/>
              <w:rPr>
                <w:rFonts w:ascii="Arial" w:eastAsia="Times New Roman" w:hAnsi="Arial" w:cs="Arial"/>
                <w:color w:val="000000"/>
                <w:lang w:eastAsia="cs-CZ"/>
              </w:rPr>
            </w:pPr>
          </w:p>
        </w:tc>
        <w:tc>
          <w:tcPr>
            <w:tcW w:w="852"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b/>
                <w:bCs/>
                <w:color w:val="000000"/>
                <w:sz w:val="20"/>
                <w:szCs w:val="20"/>
                <w:lang w:eastAsia="cs-CZ"/>
              </w:rPr>
            </w:pPr>
            <w:r w:rsidRPr="00381AF1">
              <w:rPr>
                <w:rFonts w:ascii="Arial" w:eastAsia="Times New Roman" w:hAnsi="Arial" w:cs="Arial"/>
                <w:b/>
                <w:bCs/>
                <w:color w:val="000000"/>
                <w:sz w:val="20"/>
                <w:szCs w:val="20"/>
                <w:lang w:eastAsia="cs-CZ"/>
              </w:rPr>
              <w:t> </w:t>
            </w:r>
          </w:p>
        </w:tc>
        <w:tc>
          <w:tcPr>
            <w:tcW w:w="3401" w:type="dxa"/>
            <w:gridSpan w:val="2"/>
            <w:tcBorders>
              <w:top w:val="single" w:sz="8" w:space="0" w:color="auto"/>
              <w:left w:val="nil"/>
              <w:bottom w:val="single" w:sz="8" w:space="0" w:color="auto"/>
              <w:right w:val="single" w:sz="8" w:space="0" w:color="000000"/>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b/>
                <w:bCs/>
                <w:color w:val="000000"/>
                <w:sz w:val="20"/>
                <w:szCs w:val="20"/>
                <w:lang w:eastAsia="cs-CZ"/>
              </w:rPr>
            </w:pPr>
            <w:r w:rsidRPr="00381AF1">
              <w:rPr>
                <w:rFonts w:ascii="Arial" w:eastAsia="Times New Roman" w:hAnsi="Arial" w:cs="Arial"/>
                <w:b/>
                <w:bCs/>
                <w:color w:val="000000"/>
                <w:sz w:val="20"/>
                <w:szCs w:val="20"/>
                <w:lang w:eastAsia="cs-CZ"/>
              </w:rPr>
              <w:t>Data</w:t>
            </w:r>
          </w:p>
        </w:tc>
        <w:tc>
          <w:tcPr>
            <w:tcW w:w="5528" w:type="dxa"/>
            <w:tcBorders>
              <w:top w:val="single" w:sz="8" w:space="0" w:color="auto"/>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b/>
                <w:bCs/>
                <w:color w:val="000000"/>
                <w:sz w:val="20"/>
                <w:szCs w:val="20"/>
                <w:lang w:eastAsia="cs-CZ"/>
              </w:rPr>
            </w:pPr>
            <w:r w:rsidRPr="00381AF1">
              <w:rPr>
                <w:rFonts w:ascii="Arial" w:eastAsia="Times New Roman" w:hAnsi="Arial" w:cs="Arial"/>
                <w:b/>
                <w:bCs/>
                <w:color w:val="000000"/>
                <w:sz w:val="20"/>
                <w:szCs w:val="20"/>
                <w:lang w:eastAsia="cs-CZ"/>
              </w:rPr>
              <w:t>Poznámka</w:t>
            </w:r>
          </w:p>
        </w:tc>
      </w:tr>
      <w:tr w:rsidR="00381AF1" w:rsidRPr="00381AF1" w:rsidTr="00D653B6">
        <w:trPr>
          <w:trHeight w:val="505"/>
          <w:jc w:val="center"/>
        </w:trPr>
        <w:tc>
          <w:tcPr>
            <w:tcW w:w="425"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381AF1" w:rsidRPr="00381AF1" w:rsidRDefault="00381AF1" w:rsidP="00381AF1">
            <w:pPr>
              <w:spacing w:after="0" w:line="240" w:lineRule="auto"/>
              <w:jc w:val="center"/>
              <w:rPr>
                <w:rFonts w:ascii="Arial" w:eastAsia="Times New Roman" w:hAnsi="Arial" w:cs="Arial"/>
                <w:color w:val="000000"/>
                <w:sz w:val="20"/>
                <w:szCs w:val="20"/>
                <w:lang w:eastAsia="cs-CZ"/>
              </w:rPr>
            </w:pPr>
            <w:r w:rsidRPr="00381AF1">
              <w:rPr>
                <w:rFonts w:ascii="Arial" w:eastAsia="Times New Roman" w:hAnsi="Arial" w:cs="Arial"/>
                <w:color w:val="000000"/>
                <w:sz w:val="20"/>
                <w:szCs w:val="20"/>
                <w:lang w:eastAsia="cs-CZ"/>
              </w:rPr>
              <w:t>NÁRODNÍ</w:t>
            </w:r>
          </w:p>
        </w:tc>
        <w:tc>
          <w:tcPr>
            <w:tcW w:w="852" w:type="dxa"/>
            <w:vMerge w:val="restart"/>
            <w:tcBorders>
              <w:top w:val="nil"/>
              <w:left w:val="single" w:sz="8" w:space="0" w:color="auto"/>
              <w:bottom w:val="single" w:sz="8" w:space="0" w:color="000000"/>
              <w:right w:val="single" w:sz="8" w:space="0" w:color="auto"/>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b/>
                <w:bCs/>
                <w:color w:val="000000"/>
                <w:sz w:val="18"/>
                <w:szCs w:val="18"/>
                <w:lang w:eastAsia="cs-CZ"/>
              </w:rPr>
            </w:pPr>
            <w:r w:rsidRPr="00381AF1">
              <w:rPr>
                <w:rFonts w:ascii="Arial" w:eastAsia="Times New Roman" w:hAnsi="Arial" w:cs="Arial"/>
                <w:b/>
                <w:bCs/>
                <w:color w:val="000000"/>
                <w:sz w:val="18"/>
                <w:szCs w:val="18"/>
                <w:lang w:eastAsia="cs-CZ"/>
              </w:rPr>
              <w:t>RVVI</w:t>
            </w:r>
          </w:p>
          <w:p w:rsidR="00381AF1" w:rsidRPr="00381AF1" w:rsidRDefault="00381AF1" w:rsidP="00381AF1">
            <w:pPr>
              <w:spacing w:after="0" w:line="240" w:lineRule="auto"/>
              <w:jc w:val="center"/>
              <w:rPr>
                <w:rFonts w:ascii="Arial" w:eastAsia="Times New Roman" w:hAnsi="Arial" w:cs="Arial"/>
                <w:b/>
                <w:bCs/>
                <w:color w:val="000000"/>
                <w:sz w:val="16"/>
                <w:szCs w:val="16"/>
                <w:lang w:eastAsia="cs-CZ"/>
              </w:rPr>
            </w:pPr>
            <w:r w:rsidRPr="00381AF1">
              <w:rPr>
                <w:rFonts w:ascii="Arial" w:eastAsia="Times New Roman" w:hAnsi="Arial" w:cs="Arial"/>
                <w:b/>
                <w:bCs/>
                <w:color w:val="000000"/>
                <w:sz w:val="16"/>
                <w:szCs w:val="16"/>
                <w:lang w:eastAsia="cs-CZ"/>
              </w:rPr>
              <w:t>(ÚV ČR)</w:t>
            </w:r>
          </w:p>
        </w:tc>
        <w:tc>
          <w:tcPr>
            <w:tcW w:w="991" w:type="dxa"/>
            <w:vMerge w:val="restart"/>
            <w:tcBorders>
              <w:top w:val="nil"/>
              <w:left w:val="single" w:sz="8" w:space="0" w:color="auto"/>
              <w:bottom w:val="single" w:sz="8" w:space="0" w:color="000000"/>
              <w:right w:val="single" w:sz="8" w:space="0" w:color="auto"/>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IS VaVaI</w:t>
            </w:r>
          </w:p>
        </w:tc>
        <w:tc>
          <w:tcPr>
            <w:tcW w:w="2410"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CEA</w:t>
            </w: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 xml:space="preserve">Informace o poskytovatelích podpory VaVaI, o programech VaVaI </w:t>
            </w:r>
            <w:r w:rsidRPr="00381AF1">
              <w:rPr>
                <w:rFonts w:ascii="Arial" w:eastAsia="Times New Roman" w:hAnsi="Arial" w:cs="Arial"/>
                <w:color w:val="000000"/>
                <w:sz w:val="18"/>
                <w:szCs w:val="18"/>
                <w:lang w:eastAsia="cs-CZ"/>
              </w:rPr>
              <w:br/>
              <w:t>a subjektech ve VaVaI (od roku 2010)</w:t>
            </w:r>
          </w:p>
        </w:tc>
      </w:tr>
      <w:tr w:rsidR="00381AF1" w:rsidRPr="00381AF1" w:rsidTr="00D653B6">
        <w:trPr>
          <w:trHeight w:val="303"/>
          <w:jc w:val="center"/>
        </w:trPr>
        <w:tc>
          <w:tcPr>
            <w:tcW w:w="425" w:type="dxa"/>
            <w:vMerge/>
            <w:tcBorders>
              <w:top w:val="single" w:sz="8" w:space="0" w:color="auto"/>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852"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b/>
                <w:bCs/>
                <w:color w:val="000000"/>
                <w:sz w:val="18"/>
                <w:szCs w:val="18"/>
                <w:lang w:eastAsia="cs-CZ"/>
              </w:rPr>
            </w:pPr>
          </w:p>
        </w:tc>
        <w:tc>
          <w:tcPr>
            <w:tcW w:w="991"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18"/>
                <w:szCs w:val="18"/>
                <w:lang w:eastAsia="cs-CZ"/>
              </w:rPr>
            </w:pPr>
          </w:p>
        </w:tc>
        <w:tc>
          <w:tcPr>
            <w:tcW w:w="2410"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VES</w:t>
            </w: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Informace o veřejných soutěžích ve VaVaI (od roku 2000)</w:t>
            </w:r>
          </w:p>
        </w:tc>
      </w:tr>
      <w:tr w:rsidR="00381AF1" w:rsidRPr="00381AF1" w:rsidTr="00D653B6">
        <w:trPr>
          <w:trHeight w:val="303"/>
          <w:jc w:val="center"/>
        </w:trPr>
        <w:tc>
          <w:tcPr>
            <w:tcW w:w="425" w:type="dxa"/>
            <w:vMerge/>
            <w:tcBorders>
              <w:top w:val="single" w:sz="8" w:space="0" w:color="auto"/>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852"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b/>
                <w:bCs/>
                <w:color w:val="000000"/>
                <w:sz w:val="18"/>
                <w:szCs w:val="18"/>
                <w:lang w:eastAsia="cs-CZ"/>
              </w:rPr>
            </w:pPr>
          </w:p>
        </w:tc>
        <w:tc>
          <w:tcPr>
            <w:tcW w:w="991"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18"/>
                <w:szCs w:val="18"/>
                <w:lang w:eastAsia="cs-CZ"/>
              </w:rPr>
            </w:pPr>
          </w:p>
        </w:tc>
        <w:tc>
          <w:tcPr>
            <w:tcW w:w="2410"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CEP</w:t>
            </w: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Informace o projektech VaVaI (od roku 1994)</w:t>
            </w:r>
          </w:p>
        </w:tc>
      </w:tr>
      <w:tr w:rsidR="00381AF1" w:rsidRPr="00381AF1" w:rsidTr="00D653B6">
        <w:trPr>
          <w:trHeight w:val="303"/>
          <w:jc w:val="center"/>
        </w:trPr>
        <w:tc>
          <w:tcPr>
            <w:tcW w:w="425" w:type="dxa"/>
            <w:vMerge/>
            <w:tcBorders>
              <w:top w:val="single" w:sz="8" w:space="0" w:color="auto"/>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852"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b/>
                <w:bCs/>
                <w:color w:val="000000"/>
                <w:sz w:val="18"/>
                <w:szCs w:val="18"/>
                <w:lang w:eastAsia="cs-CZ"/>
              </w:rPr>
            </w:pPr>
          </w:p>
        </w:tc>
        <w:tc>
          <w:tcPr>
            <w:tcW w:w="991"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18"/>
                <w:szCs w:val="18"/>
                <w:lang w:eastAsia="cs-CZ"/>
              </w:rPr>
            </w:pPr>
          </w:p>
        </w:tc>
        <w:tc>
          <w:tcPr>
            <w:tcW w:w="2410"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CEZ</w:t>
            </w: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r w:rsidRPr="00CB4BFE">
              <w:rPr>
                <w:rFonts w:ascii="Arial" w:eastAsia="Times New Roman" w:hAnsi="Arial" w:cs="Arial"/>
                <w:color w:val="000000"/>
                <w:sz w:val="18"/>
                <w:szCs w:val="18"/>
                <w:lang w:eastAsia="cs-CZ"/>
              </w:rPr>
              <w:t>Informace o výzkumných záměrech (od roku 1998)</w:t>
            </w:r>
          </w:p>
        </w:tc>
      </w:tr>
      <w:tr w:rsidR="00381AF1" w:rsidRPr="00381AF1" w:rsidTr="00D653B6">
        <w:trPr>
          <w:trHeight w:val="303"/>
          <w:jc w:val="center"/>
        </w:trPr>
        <w:tc>
          <w:tcPr>
            <w:tcW w:w="425" w:type="dxa"/>
            <w:vMerge/>
            <w:tcBorders>
              <w:top w:val="single" w:sz="8" w:space="0" w:color="auto"/>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852"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b/>
                <w:bCs/>
                <w:color w:val="000000"/>
                <w:sz w:val="18"/>
                <w:szCs w:val="18"/>
                <w:lang w:eastAsia="cs-CZ"/>
              </w:rPr>
            </w:pPr>
          </w:p>
        </w:tc>
        <w:tc>
          <w:tcPr>
            <w:tcW w:w="991"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18"/>
                <w:szCs w:val="18"/>
                <w:lang w:eastAsia="cs-CZ"/>
              </w:rPr>
            </w:pPr>
          </w:p>
        </w:tc>
        <w:tc>
          <w:tcPr>
            <w:tcW w:w="2410"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RIV</w:t>
            </w: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Informace o výsledcích VaVaI (od roku 1998)</w:t>
            </w:r>
          </w:p>
        </w:tc>
      </w:tr>
      <w:tr w:rsidR="00381AF1" w:rsidRPr="00381AF1" w:rsidTr="00D653B6">
        <w:trPr>
          <w:trHeight w:val="303"/>
          <w:jc w:val="center"/>
        </w:trPr>
        <w:tc>
          <w:tcPr>
            <w:tcW w:w="425" w:type="dxa"/>
            <w:vMerge/>
            <w:tcBorders>
              <w:top w:val="single" w:sz="8" w:space="0" w:color="auto"/>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852" w:type="dxa"/>
            <w:vMerge w:val="restart"/>
            <w:tcBorders>
              <w:top w:val="nil"/>
              <w:left w:val="single" w:sz="8" w:space="0" w:color="auto"/>
              <w:bottom w:val="single" w:sz="8" w:space="0" w:color="000000"/>
              <w:right w:val="single" w:sz="8" w:space="0" w:color="auto"/>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b/>
                <w:bCs/>
                <w:color w:val="000000"/>
                <w:sz w:val="18"/>
                <w:szCs w:val="18"/>
                <w:lang w:eastAsia="cs-CZ"/>
              </w:rPr>
            </w:pPr>
            <w:r w:rsidRPr="00381AF1">
              <w:rPr>
                <w:rFonts w:ascii="Arial" w:eastAsia="Times New Roman" w:hAnsi="Arial" w:cs="Arial"/>
                <w:b/>
                <w:bCs/>
                <w:color w:val="000000"/>
                <w:sz w:val="18"/>
                <w:szCs w:val="18"/>
                <w:lang w:eastAsia="cs-CZ"/>
              </w:rPr>
              <w:t>ČSÚ</w:t>
            </w:r>
          </w:p>
        </w:tc>
        <w:tc>
          <w:tcPr>
            <w:tcW w:w="3401" w:type="dxa"/>
            <w:gridSpan w:val="2"/>
            <w:tcBorders>
              <w:top w:val="single" w:sz="8" w:space="0" w:color="auto"/>
              <w:left w:val="nil"/>
              <w:bottom w:val="single" w:sz="8" w:space="0" w:color="auto"/>
              <w:right w:val="single" w:sz="8" w:space="0" w:color="000000"/>
            </w:tcBorders>
            <w:shd w:val="clear" w:color="auto" w:fill="auto"/>
            <w:vAlign w:val="center"/>
            <w:hideMark/>
          </w:tcPr>
          <w:p w:rsidR="00381AF1" w:rsidRPr="00381AF1" w:rsidRDefault="00381AF1" w:rsidP="00381AF1">
            <w:pPr>
              <w:spacing w:after="0" w:line="240" w:lineRule="auto"/>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Ukazatele výzkumu a vývoje</w:t>
            </w: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Pravidelné roční dotazníkové šetření (VTR 5-01)</w:t>
            </w:r>
          </w:p>
        </w:tc>
      </w:tr>
      <w:tr w:rsidR="00381AF1" w:rsidRPr="00381AF1" w:rsidTr="00D653B6">
        <w:trPr>
          <w:trHeight w:val="303"/>
          <w:jc w:val="center"/>
        </w:trPr>
        <w:tc>
          <w:tcPr>
            <w:tcW w:w="425" w:type="dxa"/>
            <w:vMerge/>
            <w:tcBorders>
              <w:top w:val="single" w:sz="8" w:space="0" w:color="auto"/>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852"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b/>
                <w:bCs/>
                <w:color w:val="000000"/>
                <w:sz w:val="18"/>
                <w:szCs w:val="18"/>
                <w:lang w:eastAsia="cs-CZ"/>
              </w:rPr>
            </w:pPr>
          </w:p>
        </w:tc>
        <w:tc>
          <w:tcPr>
            <w:tcW w:w="3401" w:type="dxa"/>
            <w:gridSpan w:val="2"/>
            <w:tcBorders>
              <w:top w:val="single" w:sz="8" w:space="0" w:color="auto"/>
              <w:left w:val="nil"/>
              <w:bottom w:val="single" w:sz="8" w:space="0" w:color="auto"/>
              <w:right w:val="single" w:sz="8" w:space="0" w:color="000000"/>
            </w:tcBorders>
            <w:shd w:val="clear" w:color="auto" w:fill="auto"/>
            <w:vAlign w:val="center"/>
            <w:hideMark/>
          </w:tcPr>
          <w:p w:rsidR="00381AF1" w:rsidRPr="00381AF1" w:rsidRDefault="00381AF1" w:rsidP="00381AF1">
            <w:pPr>
              <w:spacing w:after="0" w:line="240" w:lineRule="auto"/>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Nepřímá podpora výzkumu a vývoje v ČR</w:t>
            </w: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proofErr w:type="spellStart"/>
            <w:r w:rsidRPr="00381AF1">
              <w:rPr>
                <w:rFonts w:ascii="Arial" w:eastAsia="Times New Roman" w:hAnsi="Arial" w:cs="Arial"/>
                <w:color w:val="000000"/>
                <w:sz w:val="18"/>
                <w:szCs w:val="18"/>
                <w:lang w:eastAsia="cs-CZ"/>
              </w:rPr>
              <w:t>Metadata</w:t>
            </w:r>
            <w:proofErr w:type="spellEnd"/>
            <w:r w:rsidRPr="00381AF1">
              <w:rPr>
                <w:rFonts w:ascii="Arial" w:eastAsia="Times New Roman" w:hAnsi="Arial" w:cs="Arial"/>
                <w:color w:val="000000"/>
                <w:sz w:val="18"/>
                <w:szCs w:val="18"/>
                <w:lang w:eastAsia="cs-CZ"/>
              </w:rPr>
              <w:t xml:space="preserve"> z databáze GFŘ - MF</w:t>
            </w:r>
          </w:p>
        </w:tc>
      </w:tr>
      <w:tr w:rsidR="00381AF1" w:rsidRPr="00381AF1" w:rsidTr="00D653B6">
        <w:trPr>
          <w:trHeight w:val="750"/>
          <w:jc w:val="center"/>
        </w:trPr>
        <w:tc>
          <w:tcPr>
            <w:tcW w:w="425" w:type="dxa"/>
            <w:vMerge/>
            <w:tcBorders>
              <w:top w:val="single" w:sz="8" w:space="0" w:color="auto"/>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852"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b/>
                <w:bCs/>
                <w:color w:val="000000"/>
                <w:sz w:val="18"/>
                <w:szCs w:val="18"/>
                <w:lang w:eastAsia="cs-CZ"/>
              </w:rPr>
            </w:pPr>
          </w:p>
        </w:tc>
        <w:tc>
          <w:tcPr>
            <w:tcW w:w="3401" w:type="dxa"/>
            <w:gridSpan w:val="2"/>
            <w:tcBorders>
              <w:top w:val="single" w:sz="8" w:space="0" w:color="auto"/>
              <w:left w:val="nil"/>
              <w:bottom w:val="single" w:sz="8" w:space="0" w:color="auto"/>
              <w:right w:val="single" w:sz="8" w:space="0" w:color="000000"/>
            </w:tcBorders>
            <w:shd w:val="clear" w:color="auto" w:fill="auto"/>
            <w:vAlign w:val="center"/>
            <w:hideMark/>
          </w:tcPr>
          <w:p w:rsidR="00381AF1" w:rsidRPr="00381AF1" w:rsidRDefault="00381AF1" w:rsidP="00381AF1">
            <w:pPr>
              <w:spacing w:after="0" w:line="240" w:lineRule="auto"/>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Statistické šetření o inovacích</w:t>
            </w: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Poslední zveřejněné šetření (TI2012) se vztahuje k období v letech 2010 až 2012. Ke sběru dat je využit harmonizovaný dotazník zemí EU k inovačnímu šetření společenství CIS.</w:t>
            </w:r>
          </w:p>
        </w:tc>
      </w:tr>
      <w:tr w:rsidR="00381AF1" w:rsidRPr="00381AF1" w:rsidTr="00D653B6">
        <w:trPr>
          <w:trHeight w:val="303"/>
          <w:jc w:val="center"/>
        </w:trPr>
        <w:tc>
          <w:tcPr>
            <w:tcW w:w="425" w:type="dxa"/>
            <w:vMerge/>
            <w:tcBorders>
              <w:top w:val="single" w:sz="8" w:space="0" w:color="auto"/>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852"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b/>
                <w:bCs/>
                <w:color w:val="000000"/>
                <w:sz w:val="18"/>
                <w:szCs w:val="18"/>
                <w:lang w:eastAsia="cs-CZ"/>
              </w:rPr>
            </w:pPr>
          </w:p>
        </w:tc>
        <w:tc>
          <w:tcPr>
            <w:tcW w:w="3401" w:type="dxa"/>
            <w:gridSpan w:val="2"/>
            <w:tcBorders>
              <w:top w:val="single" w:sz="8" w:space="0" w:color="auto"/>
              <w:left w:val="nil"/>
              <w:bottom w:val="single" w:sz="8" w:space="0" w:color="auto"/>
              <w:right w:val="single" w:sz="8" w:space="0" w:color="000000"/>
            </w:tcBorders>
            <w:shd w:val="clear" w:color="auto" w:fill="auto"/>
            <w:vAlign w:val="center"/>
            <w:hideMark/>
          </w:tcPr>
          <w:p w:rsidR="00381AF1" w:rsidRPr="00CB4BFE" w:rsidRDefault="00381AF1" w:rsidP="00381AF1">
            <w:pPr>
              <w:spacing w:after="0" w:line="240" w:lineRule="auto"/>
              <w:rPr>
                <w:rFonts w:ascii="Arial" w:eastAsia="Times New Roman" w:hAnsi="Arial" w:cs="Arial"/>
                <w:color w:val="000000"/>
                <w:sz w:val="18"/>
                <w:szCs w:val="18"/>
                <w:lang w:eastAsia="cs-CZ"/>
              </w:rPr>
            </w:pPr>
            <w:proofErr w:type="spellStart"/>
            <w:r w:rsidRPr="00CB4BFE">
              <w:rPr>
                <w:rFonts w:ascii="Arial" w:eastAsia="Times New Roman" w:hAnsi="Arial" w:cs="Arial"/>
                <w:color w:val="000000"/>
                <w:sz w:val="18"/>
                <w:szCs w:val="18"/>
                <w:lang w:eastAsia="cs-CZ"/>
              </w:rPr>
              <w:t>Bibliometrie</w:t>
            </w:r>
            <w:proofErr w:type="spellEnd"/>
          </w:p>
        </w:tc>
        <w:tc>
          <w:tcPr>
            <w:tcW w:w="5528" w:type="dxa"/>
            <w:tcBorders>
              <w:top w:val="nil"/>
              <w:left w:val="nil"/>
              <w:bottom w:val="single" w:sz="8" w:space="0" w:color="auto"/>
              <w:right w:val="single" w:sz="8" w:space="0" w:color="auto"/>
            </w:tcBorders>
            <w:shd w:val="clear" w:color="auto" w:fill="auto"/>
            <w:vAlign w:val="center"/>
            <w:hideMark/>
          </w:tcPr>
          <w:p w:rsidR="00381AF1" w:rsidRPr="00CB4BFE" w:rsidRDefault="00381AF1" w:rsidP="00381AF1">
            <w:pPr>
              <w:spacing w:after="0" w:line="240" w:lineRule="auto"/>
              <w:jc w:val="both"/>
              <w:rPr>
                <w:rFonts w:ascii="Arial" w:eastAsia="Times New Roman" w:hAnsi="Arial" w:cs="Arial"/>
                <w:color w:val="000000"/>
                <w:sz w:val="18"/>
                <w:szCs w:val="18"/>
                <w:lang w:eastAsia="cs-CZ"/>
              </w:rPr>
            </w:pPr>
            <w:proofErr w:type="spellStart"/>
            <w:r w:rsidRPr="00CB4BFE">
              <w:rPr>
                <w:rFonts w:ascii="Arial" w:eastAsia="Times New Roman" w:hAnsi="Arial" w:cs="Arial"/>
                <w:color w:val="000000"/>
                <w:sz w:val="18"/>
                <w:szCs w:val="18"/>
                <w:lang w:eastAsia="cs-CZ"/>
              </w:rPr>
              <w:t>Metadata</w:t>
            </w:r>
            <w:proofErr w:type="spellEnd"/>
            <w:r w:rsidRPr="00CB4BFE">
              <w:rPr>
                <w:rFonts w:ascii="Arial" w:eastAsia="Times New Roman" w:hAnsi="Arial" w:cs="Arial"/>
                <w:color w:val="000000"/>
                <w:sz w:val="18"/>
                <w:szCs w:val="18"/>
                <w:lang w:eastAsia="cs-CZ"/>
              </w:rPr>
              <w:t xml:space="preserve"> z citačního rejstříku: Thomson Reuters/(in-</w:t>
            </w:r>
            <w:proofErr w:type="spellStart"/>
            <w:r w:rsidRPr="00CB4BFE">
              <w:rPr>
                <w:rFonts w:ascii="Arial" w:eastAsia="Times New Roman" w:hAnsi="Arial" w:cs="Arial"/>
                <w:color w:val="000000"/>
                <w:sz w:val="18"/>
                <w:szCs w:val="18"/>
                <w:lang w:eastAsia="cs-CZ"/>
              </w:rPr>
              <w:t>Cites</w:t>
            </w:r>
            <w:proofErr w:type="spellEnd"/>
            <w:r w:rsidRPr="00CB4BFE">
              <w:rPr>
                <w:rFonts w:ascii="Arial" w:eastAsia="Times New Roman" w:hAnsi="Arial" w:cs="Arial"/>
                <w:color w:val="000000"/>
                <w:sz w:val="18"/>
                <w:szCs w:val="18"/>
                <w:lang w:eastAsia="cs-CZ"/>
              </w:rPr>
              <w:t>)</w:t>
            </w:r>
          </w:p>
        </w:tc>
      </w:tr>
      <w:tr w:rsidR="00381AF1" w:rsidRPr="00381AF1" w:rsidTr="00D653B6">
        <w:trPr>
          <w:trHeight w:val="303"/>
          <w:jc w:val="center"/>
        </w:trPr>
        <w:tc>
          <w:tcPr>
            <w:tcW w:w="425" w:type="dxa"/>
            <w:vMerge/>
            <w:tcBorders>
              <w:top w:val="single" w:sz="8" w:space="0" w:color="auto"/>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852"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b/>
                <w:bCs/>
                <w:color w:val="000000"/>
                <w:sz w:val="18"/>
                <w:szCs w:val="18"/>
                <w:lang w:eastAsia="cs-CZ"/>
              </w:rPr>
            </w:pPr>
          </w:p>
        </w:tc>
        <w:tc>
          <w:tcPr>
            <w:tcW w:w="3401" w:type="dxa"/>
            <w:gridSpan w:val="2"/>
            <w:tcBorders>
              <w:top w:val="single" w:sz="8" w:space="0" w:color="auto"/>
              <w:left w:val="nil"/>
              <w:bottom w:val="single" w:sz="8" w:space="0" w:color="auto"/>
              <w:right w:val="single" w:sz="8" w:space="0" w:color="000000"/>
            </w:tcBorders>
            <w:shd w:val="clear" w:color="auto" w:fill="auto"/>
            <w:vAlign w:val="center"/>
            <w:hideMark/>
          </w:tcPr>
          <w:p w:rsidR="00381AF1" w:rsidRPr="00381AF1" w:rsidRDefault="00381AF1" w:rsidP="00381AF1">
            <w:pPr>
              <w:spacing w:after="0" w:line="240" w:lineRule="auto"/>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Patentová statistika</w:t>
            </w: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proofErr w:type="spellStart"/>
            <w:r w:rsidRPr="00381AF1">
              <w:rPr>
                <w:rFonts w:ascii="Arial" w:eastAsia="Times New Roman" w:hAnsi="Arial" w:cs="Arial"/>
                <w:color w:val="000000"/>
                <w:sz w:val="18"/>
                <w:szCs w:val="18"/>
                <w:lang w:eastAsia="cs-CZ"/>
              </w:rPr>
              <w:t>Metadata</w:t>
            </w:r>
            <w:proofErr w:type="spellEnd"/>
            <w:r w:rsidRPr="00381AF1">
              <w:rPr>
                <w:rFonts w:ascii="Arial" w:eastAsia="Times New Roman" w:hAnsi="Arial" w:cs="Arial"/>
                <w:color w:val="000000"/>
                <w:sz w:val="18"/>
                <w:szCs w:val="18"/>
                <w:lang w:eastAsia="cs-CZ"/>
              </w:rPr>
              <w:t xml:space="preserve"> ÚPV ČR a EP</w:t>
            </w:r>
            <w:r w:rsidR="00A623DC">
              <w:rPr>
                <w:rFonts w:ascii="Arial" w:eastAsia="Times New Roman" w:hAnsi="Arial" w:cs="Arial"/>
                <w:color w:val="000000"/>
                <w:sz w:val="18"/>
                <w:szCs w:val="18"/>
                <w:lang w:eastAsia="cs-CZ"/>
              </w:rPr>
              <w:t>O</w:t>
            </w:r>
          </w:p>
        </w:tc>
      </w:tr>
      <w:tr w:rsidR="00381AF1" w:rsidRPr="00381AF1" w:rsidTr="00D653B6">
        <w:trPr>
          <w:trHeight w:val="303"/>
          <w:jc w:val="center"/>
        </w:trPr>
        <w:tc>
          <w:tcPr>
            <w:tcW w:w="425" w:type="dxa"/>
            <w:vMerge/>
            <w:tcBorders>
              <w:top w:val="single" w:sz="8" w:space="0" w:color="auto"/>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852"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b/>
                <w:bCs/>
                <w:color w:val="000000"/>
                <w:sz w:val="18"/>
                <w:szCs w:val="18"/>
                <w:lang w:eastAsia="cs-CZ"/>
              </w:rPr>
            </w:pPr>
          </w:p>
        </w:tc>
        <w:tc>
          <w:tcPr>
            <w:tcW w:w="3401" w:type="dxa"/>
            <w:gridSpan w:val="2"/>
            <w:tcBorders>
              <w:top w:val="single" w:sz="8" w:space="0" w:color="auto"/>
              <w:left w:val="nil"/>
              <w:bottom w:val="single" w:sz="8" w:space="0" w:color="auto"/>
              <w:right w:val="single" w:sz="8" w:space="0" w:color="000000"/>
            </w:tcBorders>
            <w:shd w:val="clear" w:color="auto" w:fill="auto"/>
            <w:vAlign w:val="center"/>
            <w:hideMark/>
          </w:tcPr>
          <w:p w:rsidR="00381AF1" w:rsidRPr="00381AF1" w:rsidRDefault="00381AF1" w:rsidP="00381AF1">
            <w:pPr>
              <w:spacing w:after="0" w:line="240" w:lineRule="auto"/>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Licence</w:t>
            </w: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Pravidelné roční statistické šetření (Lic 5-01)</w:t>
            </w:r>
          </w:p>
        </w:tc>
      </w:tr>
      <w:tr w:rsidR="00381AF1" w:rsidRPr="00381AF1" w:rsidTr="00D653B6">
        <w:trPr>
          <w:trHeight w:val="303"/>
          <w:jc w:val="center"/>
        </w:trPr>
        <w:tc>
          <w:tcPr>
            <w:tcW w:w="425" w:type="dxa"/>
            <w:vMerge/>
            <w:tcBorders>
              <w:top w:val="single" w:sz="8" w:space="0" w:color="auto"/>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852"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b/>
                <w:bCs/>
                <w:color w:val="000000"/>
                <w:sz w:val="18"/>
                <w:szCs w:val="18"/>
                <w:lang w:eastAsia="cs-CZ"/>
              </w:rPr>
            </w:pPr>
          </w:p>
        </w:tc>
        <w:tc>
          <w:tcPr>
            <w:tcW w:w="3401" w:type="dxa"/>
            <w:gridSpan w:val="2"/>
            <w:tcBorders>
              <w:top w:val="single" w:sz="8" w:space="0" w:color="auto"/>
              <w:left w:val="nil"/>
              <w:bottom w:val="single" w:sz="8" w:space="0" w:color="auto"/>
              <w:right w:val="single" w:sz="8" w:space="0" w:color="000000"/>
            </w:tcBorders>
            <w:shd w:val="clear" w:color="auto" w:fill="auto"/>
            <w:vAlign w:val="center"/>
            <w:hideMark/>
          </w:tcPr>
          <w:p w:rsidR="00381AF1" w:rsidRPr="00381AF1" w:rsidRDefault="00381AF1" w:rsidP="00381AF1">
            <w:pPr>
              <w:spacing w:after="0" w:line="240" w:lineRule="auto"/>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Státní rozpočtové výdaje a dotace na výzkum a vývoj</w:t>
            </w: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proofErr w:type="spellStart"/>
            <w:r w:rsidRPr="00381AF1">
              <w:rPr>
                <w:rFonts w:ascii="Arial" w:eastAsia="Times New Roman" w:hAnsi="Arial" w:cs="Arial"/>
                <w:color w:val="000000"/>
                <w:sz w:val="18"/>
                <w:szCs w:val="18"/>
                <w:lang w:eastAsia="cs-CZ"/>
              </w:rPr>
              <w:t>Metadata</w:t>
            </w:r>
            <w:proofErr w:type="spellEnd"/>
            <w:r w:rsidRPr="00381AF1">
              <w:rPr>
                <w:rFonts w:ascii="Arial" w:eastAsia="Times New Roman" w:hAnsi="Arial" w:cs="Arial"/>
                <w:color w:val="000000"/>
                <w:sz w:val="18"/>
                <w:szCs w:val="18"/>
                <w:lang w:eastAsia="cs-CZ"/>
              </w:rPr>
              <w:t xml:space="preserve"> IS </w:t>
            </w:r>
            <w:proofErr w:type="spellStart"/>
            <w:r w:rsidRPr="00381AF1">
              <w:rPr>
                <w:rFonts w:ascii="Arial" w:eastAsia="Times New Roman" w:hAnsi="Arial" w:cs="Arial"/>
                <w:color w:val="000000"/>
                <w:sz w:val="18"/>
                <w:szCs w:val="18"/>
                <w:lang w:eastAsia="cs-CZ"/>
              </w:rPr>
              <w:t>VaVaI</w:t>
            </w:r>
            <w:proofErr w:type="spellEnd"/>
            <w:r w:rsidRPr="00381AF1">
              <w:rPr>
                <w:rFonts w:ascii="Arial" w:eastAsia="Times New Roman" w:hAnsi="Arial" w:cs="Arial"/>
                <w:color w:val="000000"/>
                <w:sz w:val="18"/>
                <w:szCs w:val="18"/>
                <w:lang w:eastAsia="cs-CZ"/>
              </w:rPr>
              <w:t xml:space="preserve"> a resortní statistiky</w:t>
            </w:r>
          </w:p>
        </w:tc>
      </w:tr>
      <w:tr w:rsidR="00381AF1" w:rsidRPr="00381AF1" w:rsidTr="00D653B6">
        <w:trPr>
          <w:trHeight w:val="303"/>
          <w:jc w:val="center"/>
        </w:trPr>
        <w:tc>
          <w:tcPr>
            <w:tcW w:w="425" w:type="dxa"/>
            <w:vMerge/>
            <w:tcBorders>
              <w:top w:val="single" w:sz="8" w:space="0" w:color="auto"/>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852"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b/>
                <w:bCs/>
                <w:color w:val="000000"/>
                <w:sz w:val="18"/>
                <w:szCs w:val="18"/>
                <w:lang w:eastAsia="cs-CZ"/>
              </w:rPr>
            </w:pPr>
          </w:p>
        </w:tc>
        <w:tc>
          <w:tcPr>
            <w:tcW w:w="3401" w:type="dxa"/>
            <w:gridSpan w:val="2"/>
            <w:tcBorders>
              <w:top w:val="single" w:sz="8" w:space="0" w:color="auto"/>
              <w:left w:val="nil"/>
              <w:bottom w:val="single" w:sz="8" w:space="0" w:color="auto"/>
              <w:right w:val="single" w:sz="8" w:space="0" w:color="000000"/>
            </w:tcBorders>
            <w:shd w:val="clear" w:color="auto" w:fill="auto"/>
            <w:vAlign w:val="center"/>
            <w:hideMark/>
          </w:tcPr>
          <w:p w:rsidR="00381AF1" w:rsidRPr="00381AF1" w:rsidRDefault="00381AF1" w:rsidP="00381AF1">
            <w:pPr>
              <w:spacing w:after="0" w:line="240" w:lineRule="auto"/>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 xml:space="preserve">Zahraniční obchod s </w:t>
            </w:r>
            <w:proofErr w:type="spellStart"/>
            <w:r w:rsidRPr="00381AF1">
              <w:rPr>
                <w:rFonts w:ascii="Arial" w:eastAsia="Times New Roman" w:hAnsi="Arial" w:cs="Arial"/>
                <w:color w:val="000000"/>
                <w:sz w:val="18"/>
                <w:szCs w:val="18"/>
                <w:lang w:eastAsia="cs-CZ"/>
              </w:rPr>
              <w:t>high-tech</w:t>
            </w:r>
            <w:proofErr w:type="spellEnd"/>
            <w:r w:rsidRPr="00381AF1">
              <w:rPr>
                <w:rFonts w:ascii="Arial" w:eastAsia="Times New Roman" w:hAnsi="Arial" w:cs="Arial"/>
                <w:color w:val="000000"/>
                <w:sz w:val="18"/>
                <w:szCs w:val="18"/>
                <w:lang w:eastAsia="cs-CZ"/>
              </w:rPr>
              <w:t xml:space="preserve"> zbožím</w:t>
            </w: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 xml:space="preserve">Databáze zahraničního obchodu a </w:t>
            </w:r>
            <w:proofErr w:type="spellStart"/>
            <w:r w:rsidRPr="00381AF1">
              <w:rPr>
                <w:rFonts w:ascii="Arial" w:eastAsia="Times New Roman" w:hAnsi="Arial" w:cs="Arial"/>
                <w:color w:val="000000"/>
                <w:sz w:val="18"/>
                <w:szCs w:val="18"/>
                <w:lang w:eastAsia="cs-CZ"/>
              </w:rPr>
              <w:t>metadata</w:t>
            </w:r>
            <w:proofErr w:type="spellEnd"/>
            <w:r w:rsidRPr="00381AF1">
              <w:rPr>
                <w:rFonts w:ascii="Arial" w:eastAsia="Times New Roman" w:hAnsi="Arial" w:cs="Arial"/>
                <w:color w:val="000000"/>
                <w:sz w:val="18"/>
                <w:szCs w:val="18"/>
                <w:lang w:eastAsia="cs-CZ"/>
              </w:rPr>
              <w:t xml:space="preserve"> z </w:t>
            </w:r>
            <w:proofErr w:type="spellStart"/>
            <w:r w:rsidRPr="00381AF1">
              <w:rPr>
                <w:rFonts w:ascii="Arial" w:eastAsia="Times New Roman" w:hAnsi="Arial" w:cs="Arial"/>
                <w:color w:val="000000"/>
                <w:sz w:val="18"/>
                <w:szCs w:val="18"/>
                <w:lang w:eastAsia="cs-CZ"/>
              </w:rPr>
              <w:t>Eurostatu</w:t>
            </w:r>
            <w:proofErr w:type="spellEnd"/>
          </w:p>
        </w:tc>
      </w:tr>
      <w:tr w:rsidR="00381AF1" w:rsidRPr="00381AF1" w:rsidTr="00D653B6">
        <w:trPr>
          <w:trHeight w:val="303"/>
          <w:jc w:val="center"/>
        </w:trPr>
        <w:tc>
          <w:tcPr>
            <w:tcW w:w="425" w:type="dxa"/>
            <w:vMerge/>
            <w:tcBorders>
              <w:top w:val="single" w:sz="8" w:space="0" w:color="auto"/>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852"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b/>
                <w:bCs/>
                <w:color w:val="000000"/>
                <w:sz w:val="18"/>
                <w:szCs w:val="18"/>
                <w:lang w:eastAsia="cs-CZ"/>
              </w:rPr>
            </w:pPr>
          </w:p>
        </w:tc>
        <w:tc>
          <w:tcPr>
            <w:tcW w:w="3401" w:type="dxa"/>
            <w:gridSpan w:val="2"/>
            <w:tcBorders>
              <w:top w:val="single" w:sz="8" w:space="0" w:color="auto"/>
              <w:left w:val="nil"/>
              <w:bottom w:val="single" w:sz="8" w:space="0" w:color="auto"/>
              <w:right w:val="single" w:sz="8" w:space="0" w:color="000000"/>
            </w:tcBorders>
            <w:shd w:val="clear" w:color="auto" w:fill="auto"/>
            <w:vAlign w:val="center"/>
            <w:hideMark/>
          </w:tcPr>
          <w:p w:rsidR="00381AF1" w:rsidRPr="00381AF1" w:rsidRDefault="00381AF1" w:rsidP="00381AF1">
            <w:pPr>
              <w:spacing w:after="0" w:line="240" w:lineRule="auto"/>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Technologická platební bilance - zahraniční obchod s technologickými službami</w:t>
            </w: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 xml:space="preserve">Čtvrtletní výkaz o dovozu a vývozu služeb (ZO 1-04) a </w:t>
            </w:r>
            <w:proofErr w:type="spellStart"/>
            <w:r w:rsidRPr="00381AF1">
              <w:rPr>
                <w:rFonts w:ascii="Arial" w:eastAsia="Times New Roman" w:hAnsi="Arial" w:cs="Arial"/>
                <w:color w:val="000000"/>
                <w:sz w:val="18"/>
                <w:szCs w:val="18"/>
                <w:lang w:eastAsia="cs-CZ"/>
              </w:rPr>
              <w:t>metadata</w:t>
            </w:r>
            <w:proofErr w:type="spellEnd"/>
            <w:r w:rsidRPr="00381AF1">
              <w:rPr>
                <w:rFonts w:ascii="Arial" w:eastAsia="Times New Roman" w:hAnsi="Arial" w:cs="Arial"/>
                <w:color w:val="000000"/>
                <w:sz w:val="18"/>
                <w:szCs w:val="18"/>
                <w:lang w:eastAsia="cs-CZ"/>
              </w:rPr>
              <w:t xml:space="preserve"> </w:t>
            </w:r>
            <w:r w:rsidRPr="00381AF1">
              <w:rPr>
                <w:rFonts w:ascii="Arial" w:eastAsia="Times New Roman" w:hAnsi="Arial" w:cs="Arial"/>
                <w:color w:val="000000"/>
                <w:sz w:val="18"/>
                <w:szCs w:val="18"/>
                <w:lang w:eastAsia="cs-CZ"/>
              </w:rPr>
              <w:br/>
              <w:t>z ČNB</w:t>
            </w:r>
          </w:p>
        </w:tc>
      </w:tr>
      <w:tr w:rsidR="00381AF1" w:rsidRPr="00381AF1" w:rsidTr="00D653B6">
        <w:trPr>
          <w:trHeight w:val="303"/>
          <w:jc w:val="center"/>
        </w:trPr>
        <w:tc>
          <w:tcPr>
            <w:tcW w:w="425" w:type="dxa"/>
            <w:vMerge/>
            <w:tcBorders>
              <w:top w:val="single" w:sz="8" w:space="0" w:color="auto"/>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852" w:type="dxa"/>
            <w:vMerge w:val="restart"/>
            <w:tcBorders>
              <w:top w:val="nil"/>
              <w:left w:val="single" w:sz="8" w:space="0" w:color="auto"/>
              <w:bottom w:val="single" w:sz="8" w:space="0" w:color="000000"/>
              <w:right w:val="single" w:sz="8" w:space="0" w:color="auto"/>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b/>
                <w:bCs/>
                <w:color w:val="000000"/>
                <w:sz w:val="18"/>
                <w:szCs w:val="18"/>
                <w:lang w:eastAsia="cs-CZ"/>
              </w:rPr>
            </w:pPr>
            <w:r w:rsidRPr="00381AF1">
              <w:rPr>
                <w:rFonts w:ascii="Arial" w:eastAsia="Times New Roman" w:hAnsi="Arial" w:cs="Arial"/>
                <w:b/>
                <w:bCs/>
                <w:color w:val="000000"/>
                <w:sz w:val="18"/>
                <w:szCs w:val="18"/>
                <w:lang w:eastAsia="cs-CZ"/>
              </w:rPr>
              <w:t>MMR</w:t>
            </w:r>
          </w:p>
        </w:tc>
        <w:tc>
          <w:tcPr>
            <w:tcW w:w="3401" w:type="dxa"/>
            <w:gridSpan w:val="2"/>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MSC2007</w:t>
            </w:r>
          </w:p>
        </w:tc>
        <w:tc>
          <w:tcPr>
            <w:tcW w:w="5528" w:type="dxa"/>
            <w:tcBorders>
              <w:top w:val="nil"/>
              <w:left w:val="single" w:sz="8" w:space="0" w:color="auto"/>
              <w:bottom w:val="single" w:sz="8" w:space="0" w:color="000000"/>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Slouží pro věcný a finanční monitoring všech programů a projektů hrazených z fondů EU.</w:t>
            </w:r>
          </w:p>
        </w:tc>
      </w:tr>
      <w:tr w:rsidR="00381AF1" w:rsidRPr="00381AF1" w:rsidTr="00D653B6">
        <w:trPr>
          <w:trHeight w:val="303"/>
          <w:jc w:val="center"/>
        </w:trPr>
        <w:tc>
          <w:tcPr>
            <w:tcW w:w="425" w:type="dxa"/>
            <w:vMerge/>
            <w:tcBorders>
              <w:top w:val="single" w:sz="8" w:space="0" w:color="auto"/>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852"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b/>
                <w:bCs/>
                <w:color w:val="000000"/>
                <w:sz w:val="18"/>
                <w:szCs w:val="18"/>
                <w:lang w:eastAsia="cs-CZ"/>
              </w:rPr>
            </w:pPr>
          </w:p>
        </w:tc>
        <w:tc>
          <w:tcPr>
            <w:tcW w:w="3401" w:type="dxa"/>
            <w:gridSpan w:val="2"/>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MS2014+</w:t>
            </w:r>
          </w:p>
        </w:tc>
        <w:tc>
          <w:tcPr>
            <w:tcW w:w="5528" w:type="dxa"/>
            <w:tcBorders>
              <w:top w:val="nil"/>
              <w:left w:val="single" w:sz="8" w:space="0" w:color="auto"/>
              <w:bottom w:val="single" w:sz="8" w:space="0" w:color="000000"/>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Slouží pro věcný a finanční monitoring všech programů a projektů hrazených z ESI fondů.</w:t>
            </w:r>
          </w:p>
        </w:tc>
      </w:tr>
      <w:tr w:rsidR="00381AF1" w:rsidRPr="00381AF1" w:rsidTr="00D653B6">
        <w:trPr>
          <w:trHeight w:val="303"/>
          <w:jc w:val="center"/>
        </w:trPr>
        <w:tc>
          <w:tcPr>
            <w:tcW w:w="425" w:type="dxa"/>
            <w:vMerge/>
            <w:tcBorders>
              <w:top w:val="single" w:sz="8" w:space="0" w:color="auto"/>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9781" w:type="dxa"/>
            <w:gridSpan w:val="4"/>
            <w:tcBorders>
              <w:top w:val="single" w:sz="8" w:space="0" w:color="auto"/>
              <w:left w:val="nil"/>
              <w:bottom w:val="single" w:sz="8" w:space="0" w:color="auto"/>
              <w:right w:val="single" w:sz="8" w:space="0" w:color="000000"/>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další statistiky poskytovatelů nebo resortů a jiných organizací*</w:t>
            </w:r>
          </w:p>
        </w:tc>
      </w:tr>
      <w:tr w:rsidR="00381AF1" w:rsidRPr="00381AF1" w:rsidTr="00D653B6">
        <w:trPr>
          <w:trHeight w:val="303"/>
          <w:jc w:val="center"/>
        </w:trPr>
        <w:tc>
          <w:tcPr>
            <w:tcW w:w="425" w:type="dxa"/>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rsidR="00381AF1" w:rsidRPr="00381AF1" w:rsidRDefault="00381AF1" w:rsidP="00381AF1">
            <w:pPr>
              <w:spacing w:after="0" w:line="240" w:lineRule="auto"/>
              <w:jc w:val="center"/>
              <w:rPr>
                <w:rFonts w:ascii="Arial" w:eastAsia="Times New Roman" w:hAnsi="Arial" w:cs="Arial"/>
                <w:color w:val="000000"/>
                <w:sz w:val="20"/>
                <w:szCs w:val="20"/>
                <w:lang w:eastAsia="cs-CZ"/>
              </w:rPr>
            </w:pPr>
            <w:r w:rsidRPr="00381AF1">
              <w:rPr>
                <w:rFonts w:ascii="Arial" w:eastAsia="Times New Roman" w:hAnsi="Arial" w:cs="Arial"/>
                <w:color w:val="000000"/>
                <w:sz w:val="20"/>
                <w:szCs w:val="20"/>
                <w:lang w:eastAsia="cs-CZ"/>
              </w:rPr>
              <w:t>ZAHRANIČNÍ</w:t>
            </w:r>
          </w:p>
        </w:tc>
        <w:tc>
          <w:tcPr>
            <w:tcW w:w="4253" w:type="dxa"/>
            <w:gridSpan w:val="3"/>
            <w:tcBorders>
              <w:top w:val="single" w:sz="8" w:space="0" w:color="auto"/>
              <w:left w:val="nil"/>
              <w:bottom w:val="single" w:sz="8" w:space="0" w:color="auto"/>
              <w:right w:val="single" w:sz="8" w:space="0" w:color="000000"/>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b/>
                <w:bCs/>
                <w:color w:val="000000"/>
                <w:sz w:val="20"/>
                <w:szCs w:val="20"/>
                <w:lang w:eastAsia="cs-CZ"/>
              </w:rPr>
            </w:pPr>
            <w:r w:rsidRPr="00381AF1">
              <w:rPr>
                <w:rFonts w:ascii="Arial" w:eastAsia="Times New Roman" w:hAnsi="Arial" w:cs="Arial"/>
                <w:b/>
                <w:bCs/>
                <w:color w:val="000000"/>
                <w:sz w:val="20"/>
                <w:szCs w:val="20"/>
                <w:lang w:eastAsia="cs-CZ"/>
              </w:rPr>
              <w:t>Data</w:t>
            </w: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b/>
                <w:bCs/>
                <w:color w:val="000000"/>
                <w:sz w:val="20"/>
                <w:szCs w:val="20"/>
                <w:lang w:eastAsia="cs-CZ"/>
              </w:rPr>
            </w:pPr>
            <w:r w:rsidRPr="00381AF1">
              <w:rPr>
                <w:rFonts w:ascii="Arial" w:eastAsia="Times New Roman" w:hAnsi="Arial" w:cs="Arial"/>
                <w:b/>
                <w:bCs/>
                <w:color w:val="000000"/>
                <w:sz w:val="20"/>
                <w:szCs w:val="20"/>
                <w:lang w:eastAsia="cs-CZ"/>
              </w:rPr>
              <w:t>Poznámka</w:t>
            </w:r>
          </w:p>
        </w:tc>
      </w:tr>
      <w:tr w:rsidR="00381AF1" w:rsidRPr="00381AF1" w:rsidTr="00D653B6">
        <w:trPr>
          <w:trHeight w:val="303"/>
          <w:jc w:val="center"/>
        </w:trPr>
        <w:tc>
          <w:tcPr>
            <w:tcW w:w="425"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4253" w:type="dxa"/>
            <w:gridSpan w:val="3"/>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EUROSTAT</w:t>
            </w: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proofErr w:type="spellStart"/>
            <w:r w:rsidRPr="00381AF1">
              <w:rPr>
                <w:rFonts w:ascii="Arial" w:eastAsia="Times New Roman" w:hAnsi="Arial" w:cs="Arial"/>
                <w:color w:val="000000"/>
                <w:sz w:val="18"/>
                <w:szCs w:val="18"/>
                <w:lang w:eastAsia="cs-CZ"/>
              </w:rPr>
              <w:t>Government</w:t>
            </w:r>
            <w:proofErr w:type="spellEnd"/>
            <w:r w:rsidRPr="00381AF1">
              <w:rPr>
                <w:rFonts w:ascii="Arial" w:eastAsia="Times New Roman" w:hAnsi="Arial" w:cs="Arial"/>
                <w:color w:val="000000"/>
                <w:sz w:val="18"/>
                <w:szCs w:val="18"/>
                <w:lang w:eastAsia="cs-CZ"/>
              </w:rPr>
              <w:t xml:space="preserve"> budget </w:t>
            </w:r>
            <w:proofErr w:type="spellStart"/>
            <w:r w:rsidRPr="00381AF1">
              <w:rPr>
                <w:rFonts w:ascii="Arial" w:eastAsia="Times New Roman" w:hAnsi="Arial" w:cs="Arial"/>
                <w:color w:val="000000"/>
                <w:sz w:val="18"/>
                <w:szCs w:val="18"/>
                <w:lang w:eastAsia="cs-CZ"/>
              </w:rPr>
              <w:t>appropriations</w:t>
            </w:r>
            <w:proofErr w:type="spellEnd"/>
            <w:r w:rsidRPr="00381AF1">
              <w:rPr>
                <w:rFonts w:ascii="Arial" w:eastAsia="Times New Roman" w:hAnsi="Arial" w:cs="Arial"/>
                <w:color w:val="000000"/>
                <w:sz w:val="18"/>
                <w:szCs w:val="18"/>
                <w:lang w:eastAsia="cs-CZ"/>
              </w:rPr>
              <w:t xml:space="preserve"> </w:t>
            </w:r>
            <w:proofErr w:type="spellStart"/>
            <w:r w:rsidRPr="00381AF1">
              <w:rPr>
                <w:rFonts w:ascii="Arial" w:eastAsia="Times New Roman" w:hAnsi="Arial" w:cs="Arial"/>
                <w:color w:val="000000"/>
                <w:sz w:val="18"/>
                <w:szCs w:val="18"/>
                <w:lang w:eastAsia="cs-CZ"/>
              </w:rPr>
              <w:t>or</w:t>
            </w:r>
            <w:proofErr w:type="spellEnd"/>
            <w:r w:rsidRPr="00381AF1">
              <w:rPr>
                <w:rFonts w:ascii="Arial" w:eastAsia="Times New Roman" w:hAnsi="Arial" w:cs="Arial"/>
                <w:color w:val="000000"/>
                <w:sz w:val="18"/>
                <w:szCs w:val="18"/>
                <w:lang w:eastAsia="cs-CZ"/>
              </w:rPr>
              <w:t xml:space="preserve"> </w:t>
            </w:r>
            <w:proofErr w:type="spellStart"/>
            <w:r w:rsidRPr="00381AF1">
              <w:rPr>
                <w:rFonts w:ascii="Arial" w:eastAsia="Times New Roman" w:hAnsi="Arial" w:cs="Arial"/>
                <w:color w:val="000000"/>
                <w:sz w:val="18"/>
                <w:szCs w:val="18"/>
                <w:lang w:eastAsia="cs-CZ"/>
              </w:rPr>
              <w:t>outlays</w:t>
            </w:r>
            <w:proofErr w:type="spellEnd"/>
            <w:r w:rsidRPr="00381AF1">
              <w:rPr>
                <w:rFonts w:ascii="Arial" w:eastAsia="Times New Roman" w:hAnsi="Arial" w:cs="Arial"/>
                <w:color w:val="000000"/>
                <w:sz w:val="18"/>
                <w:szCs w:val="18"/>
                <w:lang w:eastAsia="cs-CZ"/>
              </w:rPr>
              <w:t xml:space="preserve"> on R&amp;D </w:t>
            </w:r>
            <w:proofErr w:type="spellStart"/>
            <w:r w:rsidRPr="00381AF1">
              <w:rPr>
                <w:rFonts w:ascii="Arial" w:eastAsia="Times New Roman" w:hAnsi="Arial" w:cs="Arial"/>
                <w:color w:val="000000"/>
                <w:sz w:val="18"/>
                <w:szCs w:val="18"/>
                <w:lang w:eastAsia="cs-CZ"/>
              </w:rPr>
              <w:t>statistics</w:t>
            </w:r>
            <w:proofErr w:type="spellEnd"/>
          </w:p>
        </w:tc>
      </w:tr>
      <w:tr w:rsidR="00381AF1" w:rsidRPr="00381AF1" w:rsidTr="00D653B6">
        <w:trPr>
          <w:trHeight w:val="303"/>
          <w:jc w:val="center"/>
        </w:trPr>
        <w:tc>
          <w:tcPr>
            <w:tcW w:w="425"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4253" w:type="dxa"/>
            <w:gridSpan w:val="3"/>
            <w:vMerge/>
            <w:tcBorders>
              <w:top w:val="single" w:sz="8" w:space="0" w:color="auto"/>
              <w:left w:val="single" w:sz="8" w:space="0" w:color="auto"/>
              <w:bottom w:val="single" w:sz="8" w:space="0" w:color="000000"/>
              <w:right w:val="single" w:sz="8" w:space="0" w:color="000000"/>
            </w:tcBorders>
            <w:vAlign w:val="center"/>
            <w:hideMark/>
          </w:tcPr>
          <w:p w:rsidR="00381AF1" w:rsidRPr="00381AF1" w:rsidRDefault="00381AF1" w:rsidP="00381AF1">
            <w:pPr>
              <w:spacing w:after="0" w:line="240" w:lineRule="auto"/>
              <w:rPr>
                <w:rFonts w:ascii="Arial" w:eastAsia="Times New Roman" w:hAnsi="Arial" w:cs="Arial"/>
                <w:color w:val="000000"/>
                <w:sz w:val="18"/>
                <w:szCs w:val="18"/>
                <w:lang w:eastAsia="cs-CZ"/>
              </w:rPr>
            </w:pP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proofErr w:type="spellStart"/>
            <w:r w:rsidRPr="00381AF1">
              <w:rPr>
                <w:rFonts w:ascii="Arial" w:eastAsia="Times New Roman" w:hAnsi="Arial" w:cs="Arial"/>
                <w:color w:val="000000"/>
                <w:sz w:val="18"/>
                <w:szCs w:val="18"/>
                <w:lang w:eastAsia="cs-CZ"/>
              </w:rPr>
              <w:t>Community</w:t>
            </w:r>
            <w:proofErr w:type="spellEnd"/>
            <w:r w:rsidRPr="00381AF1">
              <w:rPr>
                <w:rFonts w:ascii="Arial" w:eastAsia="Times New Roman" w:hAnsi="Arial" w:cs="Arial"/>
                <w:color w:val="000000"/>
                <w:sz w:val="18"/>
                <w:szCs w:val="18"/>
                <w:lang w:eastAsia="cs-CZ"/>
              </w:rPr>
              <w:t xml:space="preserve"> </w:t>
            </w:r>
            <w:proofErr w:type="spellStart"/>
            <w:r w:rsidRPr="00381AF1">
              <w:rPr>
                <w:rFonts w:ascii="Arial" w:eastAsia="Times New Roman" w:hAnsi="Arial" w:cs="Arial"/>
                <w:color w:val="000000"/>
                <w:sz w:val="18"/>
                <w:szCs w:val="18"/>
                <w:lang w:eastAsia="cs-CZ"/>
              </w:rPr>
              <w:t>innovation</w:t>
            </w:r>
            <w:proofErr w:type="spellEnd"/>
            <w:r w:rsidRPr="00381AF1">
              <w:rPr>
                <w:rFonts w:ascii="Arial" w:eastAsia="Times New Roman" w:hAnsi="Arial" w:cs="Arial"/>
                <w:color w:val="000000"/>
                <w:sz w:val="18"/>
                <w:szCs w:val="18"/>
                <w:lang w:eastAsia="cs-CZ"/>
              </w:rPr>
              <w:t xml:space="preserve"> </w:t>
            </w:r>
            <w:proofErr w:type="spellStart"/>
            <w:r w:rsidRPr="00381AF1">
              <w:rPr>
                <w:rFonts w:ascii="Arial" w:eastAsia="Times New Roman" w:hAnsi="Arial" w:cs="Arial"/>
                <w:color w:val="000000"/>
                <w:sz w:val="18"/>
                <w:szCs w:val="18"/>
                <w:lang w:eastAsia="cs-CZ"/>
              </w:rPr>
              <w:t>survey</w:t>
            </w:r>
            <w:proofErr w:type="spellEnd"/>
          </w:p>
        </w:tc>
      </w:tr>
      <w:tr w:rsidR="00381AF1" w:rsidRPr="00381AF1" w:rsidTr="00D653B6">
        <w:trPr>
          <w:trHeight w:val="303"/>
          <w:jc w:val="center"/>
        </w:trPr>
        <w:tc>
          <w:tcPr>
            <w:tcW w:w="425"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4253" w:type="dxa"/>
            <w:gridSpan w:val="3"/>
            <w:vMerge/>
            <w:tcBorders>
              <w:top w:val="single" w:sz="8" w:space="0" w:color="auto"/>
              <w:left w:val="single" w:sz="8" w:space="0" w:color="auto"/>
              <w:bottom w:val="single" w:sz="8" w:space="0" w:color="000000"/>
              <w:right w:val="single" w:sz="8" w:space="0" w:color="000000"/>
            </w:tcBorders>
            <w:vAlign w:val="center"/>
            <w:hideMark/>
          </w:tcPr>
          <w:p w:rsidR="00381AF1" w:rsidRPr="00381AF1" w:rsidRDefault="00381AF1" w:rsidP="00381AF1">
            <w:pPr>
              <w:spacing w:after="0" w:line="240" w:lineRule="auto"/>
              <w:rPr>
                <w:rFonts w:ascii="Arial" w:eastAsia="Times New Roman" w:hAnsi="Arial" w:cs="Arial"/>
                <w:color w:val="000000"/>
                <w:sz w:val="18"/>
                <w:szCs w:val="18"/>
                <w:lang w:eastAsia="cs-CZ"/>
              </w:rPr>
            </w:pP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proofErr w:type="spellStart"/>
            <w:r w:rsidRPr="00381AF1">
              <w:rPr>
                <w:rFonts w:ascii="Arial" w:eastAsia="Times New Roman" w:hAnsi="Arial" w:cs="Arial"/>
                <w:color w:val="000000"/>
                <w:sz w:val="18"/>
                <w:szCs w:val="18"/>
                <w:lang w:eastAsia="cs-CZ"/>
              </w:rPr>
              <w:t>High-tech</w:t>
            </w:r>
            <w:proofErr w:type="spellEnd"/>
            <w:r w:rsidRPr="00381AF1">
              <w:rPr>
                <w:rFonts w:ascii="Arial" w:eastAsia="Times New Roman" w:hAnsi="Arial" w:cs="Arial"/>
                <w:color w:val="000000"/>
                <w:sz w:val="18"/>
                <w:szCs w:val="18"/>
                <w:lang w:eastAsia="cs-CZ"/>
              </w:rPr>
              <w:t xml:space="preserve"> </w:t>
            </w:r>
            <w:proofErr w:type="spellStart"/>
            <w:r w:rsidRPr="00381AF1">
              <w:rPr>
                <w:rFonts w:ascii="Arial" w:eastAsia="Times New Roman" w:hAnsi="Arial" w:cs="Arial"/>
                <w:color w:val="000000"/>
                <w:sz w:val="18"/>
                <w:szCs w:val="18"/>
                <w:lang w:eastAsia="cs-CZ"/>
              </w:rPr>
              <w:t>industry</w:t>
            </w:r>
            <w:proofErr w:type="spellEnd"/>
            <w:r w:rsidRPr="00381AF1">
              <w:rPr>
                <w:rFonts w:ascii="Arial" w:eastAsia="Times New Roman" w:hAnsi="Arial" w:cs="Arial"/>
                <w:color w:val="000000"/>
                <w:sz w:val="18"/>
                <w:szCs w:val="18"/>
                <w:lang w:eastAsia="cs-CZ"/>
              </w:rPr>
              <w:t xml:space="preserve"> and </w:t>
            </w:r>
            <w:proofErr w:type="spellStart"/>
            <w:r w:rsidRPr="00381AF1">
              <w:rPr>
                <w:rFonts w:ascii="Arial" w:eastAsia="Times New Roman" w:hAnsi="Arial" w:cs="Arial"/>
                <w:color w:val="000000"/>
                <w:sz w:val="18"/>
                <w:szCs w:val="18"/>
                <w:lang w:eastAsia="cs-CZ"/>
              </w:rPr>
              <w:t>knowledge-intensive</w:t>
            </w:r>
            <w:proofErr w:type="spellEnd"/>
            <w:r w:rsidRPr="00381AF1">
              <w:rPr>
                <w:rFonts w:ascii="Arial" w:eastAsia="Times New Roman" w:hAnsi="Arial" w:cs="Arial"/>
                <w:color w:val="000000"/>
                <w:sz w:val="18"/>
                <w:szCs w:val="18"/>
                <w:lang w:eastAsia="cs-CZ"/>
              </w:rPr>
              <w:t xml:space="preserve"> </w:t>
            </w:r>
            <w:proofErr w:type="spellStart"/>
            <w:r w:rsidRPr="00381AF1">
              <w:rPr>
                <w:rFonts w:ascii="Arial" w:eastAsia="Times New Roman" w:hAnsi="Arial" w:cs="Arial"/>
                <w:color w:val="000000"/>
                <w:sz w:val="18"/>
                <w:szCs w:val="18"/>
                <w:lang w:eastAsia="cs-CZ"/>
              </w:rPr>
              <w:t>services</w:t>
            </w:r>
            <w:proofErr w:type="spellEnd"/>
            <w:r w:rsidRPr="00381AF1">
              <w:rPr>
                <w:rFonts w:ascii="Arial" w:eastAsia="Times New Roman" w:hAnsi="Arial" w:cs="Arial"/>
                <w:color w:val="000000"/>
                <w:sz w:val="18"/>
                <w:szCs w:val="18"/>
                <w:lang w:eastAsia="cs-CZ"/>
              </w:rPr>
              <w:t xml:space="preserve"> </w:t>
            </w:r>
            <w:proofErr w:type="spellStart"/>
            <w:r w:rsidRPr="00381AF1">
              <w:rPr>
                <w:rFonts w:ascii="Arial" w:eastAsia="Times New Roman" w:hAnsi="Arial" w:cs="Arial"/>
                <w:color w:val="000000"/>
                <w:sz w:val="18"/>
                <w:szCs w:val="18"/>
                <w:lang w:eastAsia="cs-CZ"/>
              </w:rPr>
              <w:t>statistics</w:t>
            </w:r>
            <w:proofErr w:type="spellEnd"/>
          </w:p>
        </w:tc>
      </w:tr>
      <w:tr w:rsidR="00381AF1" w:rsidRPr="00381AF1" w:rsidTr="00D653B6">
        <w:trPr>
          <w:trHeight w:val="303"/>
          <w:jc w:val="center"/>
        </w:trPr>
        <w:tc>
          <w:tcPr>
            <w:tcW w:w="425"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4253" w:type="dxa"/>
            <w:gridSpan w:val="3"/>
            <w:vMerge/>
            <w:tcBorders>
              <w:top w:val="single" w:sz="8" w:space="0" w:color="auto"/>
              <w:left w:val="single" w:sz="8" w:space="0" w:color="auto"/>
              <w:bottom w:val="single" w:sz="8" w:space="0" w:color="000000"/>
              <w:right w:val="single" w:sz="8" w:space="0" w:color="000000"/>
            </w:tcBorders>
            <w:vAlign w:val="center"/>
            <w:hideMark/>
          </w:tcPr>
          <w:p w:rsidR="00381AF1" w:rsidRPr="00381AF1" w:rsidRDefault="00381AF1" w:rsidP="00381AF1">
            <w:pPr>
              <w:spacing w:after="0" w:line="240" w:lineRule="auto"/>
              <w:rPr>
                <w:rFonts w:ascii="Arial" w:eastAsia="Times New Roman" w:hAnsi="Arial" w:cs="Arial"/>
                <w:color w:val="000000"/>
                <w:sz w:val="18"/>
                <w:szCs w:val="18"/>
                <w:lang w:eastAsia="cs-CZ"/>
              </w:rPr>
            </w:pP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 xml:space="preserve">Patent </w:t>
            </w:r>
            <w:proofErr w:type="spellStart"/>
            <w:r w:rsidRPr="00381AF1">
              <w:rPr>
                <w:rFonts w:ascii="Arial" w:eastAsia="Times New Roman" w:hAnsi="Arial" w:cs="Arial"/>
                <w:color w:val="000000"/>
                <w:sz w:val="18"/>
                <w:szCs w:val="18"/>
                <w:lang w:eastAsia="cs-CZ"/>
              </w:rPr>
              <w:t>statistics</w:t>
            </w:r>
            <w:proofErr w:type="spellEnd"/>
          </w:p>
        </w:tc>
      </w:tr>
      <w:tr w:rsidR="00381AF1" w:rsidRPr="00381AF1" w:rsidTr="00D653B6">
        <w:trPr>
          <w:trHeight w:val="303"/>
          <w:jc w:val="center"/>
        </w:trPr>
        <w:tc>
          <w:tcPr>
            <w:tcW w:w="425"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4253" w:type="dxa"/>
            <w:gridSpan w:val="3"/>
            <w:vMerge/>
            <w:tcBorders>
              <w:top w:val="single" w:sz="8" w:space="0" w:color="auto"/>
              <w:left w:val="single" w:sz="8" w:space="0" w:color="auto"/>
              <w:bottom w:val="single" w:sz="8" w:space="0" w:color="000000"/>
              <w:right w:val="single" w:sz="8" w:space="0" w:color="000000"/>
            </w:tcBorders>
            <w:vAlign w:val="center"/>
            <w:hideMark/>
          </w:tcPr>
          <w:p w:rsidR="00381AF1" w:rsidRPr="00381AF1" w:rsidRDefault="00381AF1" w:rsidP="00381AF1">
            <w:pPr>
              <w:spacing w:after="0" w:line="240" w:lineRule="auto"/>
              <w:rPr>
                <w:rFonts w:ascii="Arial" w:eastAsia="Times New Roman" w:hAnsi="Arial" w:cs="Arial"/>
                <w:color w:val="000000"/>
                <w:sz w:val="18"/>
                <w:szCs w:val="18"/>
                <w:lang w:eastAsia="cs-CZ"/>
              </w:rPr>
            </w:pP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proofErr w:type="spellStart"/>
            <w:r w:rsidRPr="00381AF1">
              <w:rPr>
                <w:rFonts w:ascii="Arial" w:eastAsia="Times New Roman" w:hAnsi="Arial" w:cs="Arial"/>
                <w:color w:val="000000"/>
                <w:sz w:val="18"/>
                <w:szCs w:val="18"/>
                <w:lang w:eastAsia="cs-CZ"/>
              </w:rPr>
              <w:t>Statistics</w:t>
            </w:r>
            <w:proofErr w:type="spellEnd"/>
            <w:r w:rsidRPr="00381AF1">
              <w:rPr>
                <w:rFonts w:ascii="Arial" w:eastAsia="Times New Roman" w:hAnsi="Arial" w:cs="Arial"/>
                <w:color w:val="000000"/>
                <w:sz w:val="18"/>
                <w:szCs w:val="18"/>
                <w:lang w:eastAsia="cs-CZ"/>
              </w:rPr>
              <w:t xml:space="preserve"> on </w:t>
            </w:r>
            <w:proofErr w:type="spellStart"/>
            <w:r w:rsidRPr="00381AF1">
              <w:rPr>
                <w:rFonts w:ascii="Arial" w:eastAsia="Times New Roman" w:hAnsi="Arial" w:cs="Arial"/>
                <w:color w:val="000000"/>
                <w:sz w:val="18"/>
                <w:szCs w:val="18"/>
                <w:lang w:eastAsia="cs-CZ"/>
              </w:rPr>
              <w:t>Human</w:t>
            </w:r>
            <w:proofErr w:type="spellEnd"/>
            <w:r w:rsidRPr="00381AF1">
              <w:rPr>
                <w:rFonts w:ascii="Arial" w:eastAsia="Times New Roman" w:hAnsi="Arial" w:cs="Arial"/>
                <w:color w:val="000000"/>
                <w:sz w:val="18"/>
                <w:szCs w:val="18"/>
                <w:lang w:eastAsia="cs-CZ"/>
              </w:rPr>
              <w:t xml:space="preserve"> </w:t>
            </w:r>
            <w:proofErr w:type="spellStart"/>
            <w:r w:rsidRPr="00381AF1">
              <w:rPr>
                <w:rFonts w:ascii="Arial" w:eastAsia="Times New Roman" w:hAnsi="Arial" w:cs="Arial"/>
                <w:color w:val="000000"/>
                <w:sz w:val="18"/>
                <w:szCs w:val="18"/>
                <w:lang w:eastAsia="cs-CZ"/>
              </w:rPr>
              <w:t>Resources</w:t>
            </w:r>
            <w:proofErr w:type="spellEnd"/>
            <w:r w:rsidRPr="00381AF1">
              <w:rPr>
                <w:rFonts w:ascii="Arial" w:eastAsia="Times New Roman" w:hAnsi="Arial" w:cs="Arial"/>
                <w:color w:val="000000"/>
                <w:sz w:val="18"/>
                <w:szCs w:val="18"/>
                <w:lang w:eastAsia="cs-CZ"/>
              </w:rPr>
              <w:t xml:space="preserve"> in Science &amp; Technology</w:t>
            </w:r>
          </w:p>
        </w:tc>
      </w:tr>
      <w:tr w:rsidR="00381AF1" w:rsidRPr="00381AF1" w:rsidTr="00D653B6">
        <w:trPr>
          <w:trHeight w:val="303"/>
          <w:jc w:val="center"/>
        </w:trPr>
        <w:tc>
          <w:tcPr>
            <w:tcW w:w="425"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4253" w:type="dxa"/>
            <w:gridSpan w:val="3"/>
            <w:tcBorders>
              <w:top w:val="single" w:sz="8" w:space="0" w:color="auto"/>
              <w:left w:val="nil"/>
              <w:bottom w:val="single" w:sz="8" w:space="0" w:color="auto"/>
              <w:right w:val="single" w:sz="8" w:space="0" w:color="000000"/>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OECD</w:t>
            </w:r>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proofErr w:type="spellStart"/>
            <w:r w:rsidRPr="00381AF1">
              <w:rPr>
                <w:rFonts w:ascii="Arial" w:eastAsia="Times New Roman" w:hAnsi="Arial" w:cs="Arial"/>
                <w:color w:val="000000"/>
                <w:sz w:val="18"/>
                <w:szCs w:val="18"/>
                <w:lang w:eastAsia="cs-CZ"/>
              </w:rPr>
              <w:t>Research</w:t>
            </w:r>
            <w:proofErr w:type="spellEnd"/>
            <w:r w:rsidRPr="00381AF1">
              <w:rPr>
                <w:rFonts w:ascii="Arial" w:eastAsia="Times New Roman" w:hAnsi="Arial" w:cs="Arial"/>
                <w:color w:val="000000"/>
                <w:sz w:val="18"/>
                <w:szCs w:val="18"/>
                <w:lang w:eastAsia="cs-CZ"/>
              </w:rPr>
              <w:t xml:space="preserve"> and </w:t>
            </w:r>
            <w:proofErr w:type="spellStart"/>
            <w:r w:rsidRPr="00381AF1">
              <w:rPr>
                <w:rFonts w:ascii="Arial" w:eastAsia="Times New Roman" w:hAnsi="Arial" w:cs="Arial"/>
                <w:color w:val="000000"/>
                <w:sz w:val="18"/>
                <w:szCs w:val="18"/>
                <w:lang w:eastAsia="cs-CZ"/>
              </w:rPr>
              <w:t>Development</w:t>
            </w:r>
            <w:proofErr w:type="spellEnd"/>
            <w:r w:rsidRPr="00381AF1">
              <w:rPr>
                <w:rFonts w:ascii="Arial" w:eastAsia="Times New Roman" w:hAnsi="Arial" w:cs="Arial"/>
                <w:color w:val="000000"/>
                <w:sz w:val="18"/>
                <w:szCs w:val="18"/>
                <w:lang w:eastAsia="cs-CZ"/>
              </w:rPr>
              <w:t xml:space="preserve"> </w:t>
            </w:r>
            <w:proofErr w:type="spellStart"/>
            <w:r w:rsidRPr="00381AF1">
              <w:rPr>
                <w:rFonts w:ascii="Arial" w:eastAsia="Times New Roman" w:hAnsi="Arial" w:cs="Arial"/>
                <w:color w:val="000000"/>
                <w:sz w:val="18"/>
                <w:szCs w:val="18"/>
                <w:lang w:eastAsia="cs-CZ"/>
              </w:rPr>
              <w:t>Statistics</w:t>
            </w:r>
            <w:proofErr w:type="spellEnd"/>
            <w:r w:rsidRPr="00381AF1">
              <w:rPr>
                <w:rFonts w:ascii="Arial" w:eastAsia="Times New Roman" w:hAnsi="Arial" w:cs="Arial"/>
                <w:color w:val="000000"/>
                <w:sz w:val="18"/>
                <w:szCs w:val="18"/>
                <w:lang w:eastAsia="cs-CZ"/>
              </w:rPr>
              <w:t xml:space="preserve"> </w:t>
            </w:r>
          </w:p>
        </w:tc>
      </w:tr>
      <w:tr w:rsidR="00381AF1" w:rsidRPr="00381AF1" w:rsidTr="00D653B6">
        <w:trPr>
          <w:trHeight w:val="303"/>
          <w:jc w:val="center"/>
        </w:trPr>
        <w:tc>
          <w:tcPr>
            <w:tcW w:w="425"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4253" w:type="dxa"/>
            <w:gridSpan w:val="3"/>
            <w:tcBorders>
              <w:top w:val="single" w:sz="8" w:space="0" w:color="auto"/>
              <w:left w:val="nil"/>
              <w:bottom w:val="single" w:sz="8" w:space="0" w:color="auto"/>
              <w:right w:val="single" w:sz="8" w:space="0" w:color="000000"/>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color w:val="000000"/>
                <w:sz w:val="18"/>
                <w:szCs w:val="18"/>
                <w:lang w:eastAsia="cs-CZ"/>
              </w:rPr>
            </w:pPr>
            <w:proofErr w:type="spellStart"/>
            <w:r w:rsidRPr="00381AF1">
              <w:rPr>
                <w:rFonts w:ascii="Arial" w:eastAsia="Times New Roman" w:hAnsi="Arial" w:cs="Arial"/>
                <w:color w:val="000000"/>
                <w:sz w:val="18"/>
                <w:szCs w:val="18"/>
                <w:lang w:eastAsia="cs-CZ"/>
              </w:rPr>
              <w:t>Cordis</w:t>
            </w:r>
            <w:proofErr w:type="spellEnd"/>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Informace o projektech Rámcových programů</w:t>
            </w:r>
          </w:p>
        </w:tc>
      </w:tr>
      <w:tr w:rsidR="00381AF1" w:rsidRPr="00381AF1" w:rsidTr="00D653B6">
        <w:trPr>
          <w:trHeight w:val="505"/>
          <w:jc w:val="center"/>
        </w:trPr>
        <w:tc>
          <w:tcPr>
            <w:tcW w:w="425"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1843" w:type="dxa"/>
            <w:gridSpan w:val="2"/>
            <w:tcBorders>
              <w:top w:val="single" w:sz="8" w:space="0" w:color="auto"/>
              <w:left w:val="nil"/>
              <w:bottom w:val="single" w:sz="8" w:space="0" w:color="auto"/>
              <w:right w:val="single" w:sz="8" w:space="0" w:color="000000"/>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E-CORDA</w:t>
            </w:r>
          </w:p>
        </w:tc>
        <w:tc>
          <w:tcPr>
            <w:tcW w:w="2410"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color w:val="000000"/>
                <w:sz w:val="18"/>
                <w:szCs w:val="18"/>
                <w:lang w:eastAsia="cs-CZ"/>
              </w:rPr>
            </w:pPr>
            <w:proofErr w:type="spellStart"/>
            <w:r w:rsidRPr="00381AF1">
              <w:rPr>
                <w:rFonts w:ascii="Arial" w:eastAsia="Times New Roman" w:hAnsi="Arial" w:cs="Arial"/>
                <w:color w:val="000000"/>
                <w:sz w:val="18"/>
                <w:szCs w:val="18"/>
                <w:lang w:eastAsia="cs-CZ"/>
              </w:rPr>
              <w:t>External</w:t>
            </w:r>
            <w:proofErr w:type="spellEnd"/>
            <w:r w:rsidRPr="00381AF1">
              <w:rPr>
                <w:rFonts w:ascii="Arial" w:eastAsia="Times New Roman" w:hAnsi="Arial" w:cs="Arial"/>
                <w:color w:val="000000"/>
                <w:sz w:val="18"/>
                <w:szCs w:val="18"/>
                <w:lang w:eastAsia="cs-CZ"/>
              </w:rPr>
              <w:t xml:space="preserve"> </w:t>
            </w:r>
            <w:proofErr w:type="spellStart"/>
            <w:r w:rsidRPr="00381AF1">
              <w:rPr>
                <w:rFonts w:ascii="Arial" w:eastAsia="Times New Roman" w:hAnsi="Arial" w:cs="Arial"/>
                <w:color w:val="000000"/>
                <w:sz w:val="18"/>
                <w:szCs w:val="18"/>
                <w:lang w:eastAsia="cs-CZ"/>
              </w:rPr>
              <w:t>Common</w:t>
            </w:r>
            <w:proofErr w:type="spellEnd"/>
            <w:r w:rsidRPr="00381AF1">
              <w:rPr>
                <w:rFonts w:ascii="Arial" w:eastAsia="Times New Roman" w:hAnsi="Arial" w:cs="Arial"/>
                <w:color w:val="000000"/>
                <w:sz w:val="18"/>
                <w:szCs w:val="18"/>
                <w:lang w:eastAsia="cs-CZ"/>
              </w:rPr>
              <w:t xml:space="preserve"> </w:t>
            </w:r>
            <w:proofErr w:type="spellStart"/>
            <w:r w:rsidRPr="00381AF1">
              <w:rPr>
                <w:rFonts w:ascii="Arial" w:eastAsia="Times New Roman" w:hAnsi="Arial" w:cs="Arial"/>
                <w:color w:val="000000"/>
                <w:sz w:val="18"/>
                <w:szCs w:val="18"/>
                <w:lang w:eastAsia="cs-CZ"/>
              </w:rPr>
              <w:t>Research</w:t>
            </w:r>
            <w:proofErr w:type="spellEnd"/>
            <w:r w:rsidRPr="00381AF1">
              <w:rPr>
                <w:rFonts w:ascii="Arial" w:eastAsia="Times New Roman" w:hAnsi="Arial" w:cs="Arial"/>
                <w:color w:val="000000"/>
                <w:sz w:val="18"/>
                <w:szCs w:val="18"/>
                <w:lang w:eastAsia="cs-CZ"/>
              </w:rPr>
              <w:t xml:space="preserve"> </w:t>
            </w:r>
            <w:proofErr w:type="spellStart"/>
            <w:r w:rsidRPr="00381AF1">
              <w:rPr>
                <w:rFonts w:ascii="Arial" w:eastAsia="Times New Roman" w:hAnsi="Arial" w:cs="Arial"/>
                <w:color w:val="000000"/>
                <w:sz w:val="18"/>
                <w:szCs w:val="18"/>
                <w:lang w:eastAsia="cs-CZ"/>
              </w:rPr>
              <w:t>DAta</w:t>
            </w:r>
            <w:proofErr w:type="spellEnd"/>
            <w:r w:rsidRPr="00381AF1">
              <w:rPr>
                <w:rFonts w:ascii="Arial" w:eastAsia="Times New Roman" w:hAnsi="Arial" w:cs="Arial"/>
                <w:color w:val="000000"/>
                <w:sz w:val="18"/>
                <w:szCs w:val="18"/>
                <w:lang w:eastAsia="cs-CZ"/>
              </w:rPr>
              <w:t xml:space="preserve"> </w:t>
            </w:r>
            <w:proofErr w:type="spellStart"/>
            <w:r w:rsidRPr="00381AF1">
              <w:rPr>
                <w:rFonts w:ascii="Arial" w:eastAsia="Times New Roman" w:hAnsi="Arial" w:cs="Arial"/>
                <w:color w:val="000000"/>
                <w:sz w:val="18"/>
                <w:szCs w:val="18"/>
                <w:lang w:eastAsia="cs-CZ"/>
              </w:rPr>
              <w:t>Warehouse</w:t>
            </w:r>
            <w:proofErr w:type="spellEnd"/>
          </w:p>
        </w:tc>
        <w:tc>
          <w:tcPr>
            <w:tcW w:w="5528" w:type="dxa"/>
            <w:tcBorders>
              <w:top w:val="nil"/>
              <w:left w:val="nil"/>
              <w:bottom w:val="single" w:sz="8" w:space="0" w:color="auto"/>
              <w:right w:val="single" w:sz="8" w:space="0" w:color="auto"/>
            </w:tcBorders>
            <w:shd w:val="clear" w:color="auto" w:fill="auto"/>
            <w:vAlign w:val="center"/>
            <w:hideMark/>
          </w:tcPr>
          <w:p w:rsidR="00381AF1" w:rsidRPr="00381AF1" w:rsidRDefault="00381AF1" w:rsidP="00381AF1">
            <w:pPr>
              <w:spacing w:after="0" w:line="240" w:lineRule="auto"/>
              <w:jc w:val="both"/>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Umožnuje zpracovávat statistiky účasti RP (databáze grantových dohod a databáze návrhu projektů a žadatelů).</w:t>
            </w:r>
          </w:p>
        </w:tc>
      </w:tr>
      <w:tr w:rsidR="007C4434" w:rsidRPr="00381AF1" w:rsidTr="00AA218C">
        <w:trPr>
          <w:trHeight w:val="303"/>
          <w:jc w:val="center"/>
        </w:trPr>
        <w:tc>
          <w:tcPr>
            <w:tcW w:w="425" w:type="dxa"/>
            <w:vMerge/>
            <w:tcBorders>
              <w:top w:val="nil"/>
              <w:left w:val="single" w:sz="8" w:space="0" w:color="auto"/>
              <w:bottom w:val="single" w:sz="8" w:space="0" w:color="000000"/>
              <w:right w:val="single" w:sz="8" w:space="0" w:color="auto"/>
            </w:tcBorders>
            <w:vAlign w:val="center"/>
            <w:hideMark/>
          </w:tcPr>
          <w:p w:rsidR="007C4434" w:rsidRPr="00381AF1" w:rsidRDefault="007C4434" w:rsidP="00381AF1">
            <w:pPr>
              <w:spacing w:after="0" w:line="240" w:lineRule="auto"/>
              <w:rPr>
                <w:rFonts w:ascii="Arial" w:eastAsia="Times New Roman" w:hAnsi="Arial" w:cs="Arial"/>
                <w:color w:val="000000"/>
                <w:sz w:val="20"/>
                <w:szCs w:val="20"/>
                <w:lang w:eastAsia="cs-CZ"/>
              </w:rPr>
            </w:pPr>
          </w:p>
        </w:tc>
        <w:tc>
          <w:tcPr>
            <w:tcW w:w="1843" w:type="dxa"/>
            <w:gridSpan w:val="2"/>
            <w:tcBorders>
              <w:top w:val="single" w:sz="8" w:space="0" w:color="auto"/>
              <w:left w:val="nil"/>
              <w:bottom w:val="single" w:sz="8" w:space="0" w:color="auto"/>
              <w:right w:val="single" w:sz="8" w:space="0" w:color="000000"/>
            </w:tcBorders>
            <w:shd w:val="clear" w:color="auto" w:fill="auto"/>
            <w:vAlign w:val="center"/>
            <w:hideMark/>
          </w:tcPr>
          <w:p w:rsidR="007C4434" w:rsidRPr="00381AF1" w:rsidRDefault="007C4434" w:rsidP="00381AF1">
            <w:pPr>
              <w:spacing w:after="0" w:line="240" w:lineRule="auto"/>
              <w:jc w:val="center"/>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Thomson Reuters</w:t>
            </w:r>
          </w:p>
        </w:tc>
        <w:tc>
          <w:tcPr>
            <w:tcW w:w="2410" w:type="dxa"/>
            <w:tcBorders>
              <w:top w:val="nil"/>
              <w:left w:val="nil"/>
              <w:bottom w:val="single" w:sz="8" w:space="0" w:color="auto"/>
              <w:right w:val="single" w:sz="8" w:space="0" w:color="auto"/>
            </w:tcBorders>
            <w:shd w:val="clear" w:color="auto" w:fill="auto"/>
            <w:vAlign w:val="center"/>
            <w:hideMark/>
          </w:tcPr>
          <w:p w:rsidR="007C4434" w:rsidRPr="00381AF1" w:rsidRDefault="007C4434" w:rsidP="00381AF1">
            <w:pPr>
              <w:spacing w:after="0" w:line="240" w:lineRule="auto"/>
              <w:jc w:val="center"/>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 xml:space="preserve">Web </w:t>
            </w:r>
            <w:proofErr w:type="spellStart"/>
            <w:r w:rsidRPr="00381AF1">
              <w:rPr>
                <w:rFonts w:ascii="Arial" w:eastAsia="Times New Roman" w:hAnsi="Arial" w:cs="Arial"/>
                <w:color w:val="000000"/>
                <w:sz w:val="18"/>
                <w:szCs w:val="18"/>
                <w:lang w:eastAsia="cs-CZ"/>
              </w:rPr>
              <w:t>of</w:t>
            </w:r>
            <w:proofErr w:type="spellEnd"/>
            <w:r w:rsidRPr="00381AF1">
              <w:rPr>
                <w:rFonts w:ascii="Arial" w:eastAsia="Times New Roman" w:hAnsi="Arial" w:cs="Arial"/>
                <w:color w:val="000000"/>
                <w:sz w:val="18"/>
                <w:szCs w:val="18"/>
                <w:lang w:eastAsia="cs-CZ"/>
              </w:rPr>
              <w:t xml:space="preserve"> Science</w:t>
            </w:r>
          </w:p>
        </w:tc>
        <w:tc>
          <w:tcPr>
            <w:tcW w:w="5528" w:type="dxa"/>
            <w:vMerge w:val="restart"/>
            <w:tcBorders>
              <w:top w:val="nil"/>
              <w:left w:val="single" w:sz="8" w:space="0" w:color="auto"/>
              <w:right w:val="single" w:sz="8" w:space="0" w:color="auto"/>
            </w:tcBorders>
            <w:shd w:val="clear" w:color="auto" w:fill="auto"/>
            <w:vAlign w:val="center"/>
            <w:hideMark/>
          </w:tcPr>
          <w:p w:rsidR="007C4434" w:rsidRPr="00381AF1" w:rsidRDefault="007C4434" w:rsidP="00381AF1">
            <w:pPr>
              <w:spacing w:after="0" w:line="240" w:lineRule="auto"/>
              <w:jc w:val="both"/>
              <w:rPr>
                <w:rFonts w:ascii="Arial" w:eastAsia="Times New Roman" w:hAnsi="Arial" w:cs="Arial"/>
                <w:color w:val="000000"/>
                <w:sz w:val="18"/>
                <w:szCs w:val="18"/>
                <w:lang w:eastAsia="cs-CZ"/>
              </w:rPr>
            </w:pPr>
            <w:r w:rsidRPr="007C4434">
              <w:rPr>
                <w:rFonts w:ascii="Arial" w:eastAsia="Times New Roman" w:hAnsi="Arial" w:cs="Arial"/>
                <w:color w:val="000000"/>
                <w:sz w:val="18"/>
                <w:szCs w:val="18"/>
                <w:lang w:eastAsia="cs-CZ"/>
              </w:rPr>
              <w:t>Citační rejstříky</w:t>
            </w:r>
          </w:p>
        </w:tc>
      </w:tr>
      <w:tr w:rsidR="007C4434" w:rsidRPr="00381AF1" w:rsidTr="00AA218C">
        <w:trPr>
          <w:trHeight w:val="303"/>
          <w:jc w:val="center"/>
        </w:trPr>
        <w:tc>
          <w:tcPr>
            <w:tcW w:w="425" w:type="dxa"/>
            <w:vMerge/>
            <w:tcBorders>
              <w:top w:val="nil"/>
              <w:left w:val="single" w:sz="8" w:space="0" w:color="auto"/>
              <w:bottom w:val="single" w:sz="8" w:space="0" w:color="000000"/>
              <w:right w:val="single" w:sz="8" w:space="0" w:color="auto"/>
            </w:tcBorders>
            <w:vAlign w:val="center"/>
            <w:hideMark/>
          </w:tcPr>
          <w:p w:rsidR="007C4434" w:rsidRPr="00381AF1" w:rsidRDefault="007C4434" w:rsidP="00381AF1">
            <w:pPr>
              <w:spacing w:after="0" w:line="240" w:lineRule="auto"/>
              <w:rPr>
                <w:rFonts w:ascii="Arial" w:eastAsia="Times New Roman" w:hAnsi="Arial" w:cs="Arial"/>
                <w:color w:val="000000"/>
                <w:sz w:val="20"/>
                <w:szCs w:val="20"/>
                <w:lang w:eastAsia="cs-CZ"/>
              </w:rPr>
            </w:pPr>
          </w:p>
        </w:tc>
        <w:tc>
          <w:tcPr>
            <w:tcW w:w="1843" w:type="dxa"/>
            <w:gridSpan w:val="2"/>
            <w:tcBorders>
              <w:top w:val="single" w:sz="8" w:space="0" w:color="auto"/>
              <w:left w:val="nil"/>
              <w:bottom w:val="single" w:sz="8" w:space="0" w:color="auto"/>
              <w:right w:val="single" w:sz="8" w:space="0" w:color="000000"/>
            </w:tcBorders>
            <w:shd w:val="clear" w:color="auto" w:fill="auto"/>
            <w:vAlign w:val="center"/>
            <w:hideMark/>
          </w:tcPr>
          <w:p w:rsidR="007C4434" w:rsidRPr="00381AF1" w:rsidRDefault="007C4434" w:rsidP="00381AF1">
            <w:pPr>
              <w:spacing w:after="0" w:line="240" w:lineRule="auto"/>
              <w:jc w:val="center"/>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Thomson Reuters</w:t>
            </w:r>
          </w:p>
        </w:tc>
        <w:tc>
          <w:tcPr>
            <w:tcW w:w="2410" w:type="dxa"/>
            <w:tcBorders>
              <w:top w:val="nil"/>
              <w:left w:val="nil"/>
              <w:bottom w:val="single" w:sz="8" w:space="0" w:color="auto"/>
              <w:right w:val="single" w:sz="8" w:space="0" w:color="auto"/>
            </w:tcBorders>
            <w:shd w:val="clear" w:color="auto" w:fill="auto"/>
            <w:vAlign w:val="center"/>
            <w:hideMark/>
          </w:tcPr>
          <w:p w:rsidR="007C4434" w:rsidRPr="00381AF1" w:rsidRDefault="007C4434" w:rsidP="00381AF1">
            <w:pPr>
              <w:spacing w:after="0" w:line="240" w:lineRule="auto"/>
              <w:jc w:val="center"/>
              <w:rPr>
                <w:rFonts w:ascii="Arial" w:eastAsia="Times New Roman" w:hAnsi="Arial" w:cs="Arial"/>
                <w:color w:val="000000"/>
                <w:sz w:val="18"/>
                <w:szCs w:val="18"/>
                <w:lang w:eastAsia="cs-CZ"/>
              </w:rPr>
            </w:pPr>
            <w:proofErr w:type="spellStart"/>
            <w:r w:rsidRPr="00381AF1">
              <w:rPr>
                <w:rFonts w:ascii="Arial" w:eastAsia="Times New Roman" w:hAnsi="Arial" w:cs="Arial"/>
                <w:color w:val="000000"/>
                <w:sz w:val="18"/>
                <w:szCs w:val="18"/>
                <w:lang w:eastAsia="cs-CZ"/>
              </w:rPr>
              <w:t>Journal</w:t>
            </w:r>
            <w:proofErr w:type="spellEnd"/>
            <w:r w:rsidRPr="00381AF1">
              <w:rPr>
                <w:rFonts w:ascii="Arial" w:eastAsia="Times New Roman" w:hAnsi="Arial" w:cs="Arial"/>
                <w:color w:val="000000"/>
                <w:sz w:val="18"/>
                <w:szCs w:val="18"/>
                <w:lang w:eastAsia="cs-CZ"/>
              </w:rPr>
              <w:t xml:space="preserve"> </w:t>
            </w:r>
            <w:proofErr w:type="spellStart"/>
            <w:r w:rsidRPr="00381AF1">
              <w:rPr>
                <w:rFonts w:ascii="Arial" w:eastAsia="Times New Roman" w:hAnsi="Arial" w:cs="Arial"/>
                <w:color w:val="000000"/>
                <w:sz w:val="18"/>
                <w:szCs w:val="18"/>
                <w:lang w:eastAsia="cs-CZ"/>
              </w:rPr>
              <w:t>Citation</w:t>
            </w:r>
            <w:proofErr w:type="spellEnd"/>
            <w:r w:rsidRPr="00381AF1">
              <w:rPr>
                <w:rFonts w:ascii="Arial" w:eastAsia="Times New Roman" w:hAnsi="Arial" w:cs="Arial"/>
                <w:color w:val="000000"/>
                <w:sz w:val="18"/>
                <w:szCs w:val="18"/>
                <w:lang w:eastAsia="cs-CZ"/>
              </w:rPr>
              <w:t xml:space="preserve"> </w:t>
            </w:r>
            <w:proofErr w:type="spellStart"/>
            <w:r w:rsidRPr="00381AF1">
              <w:rPr>
                <w:rFonts w:ascii="Arial" w:eastAsia="Times New Roman" w:hAnsi="Arial" w:cs="Arial"/>
                <w:color w:val="000000"/>
                <w:sz w:val="18"/>
                <w:szCs w:val="18"/>
                <w:lang w:eastAsia="cs-CZ"/>
              </w:rPr>
              <w:t>Reports</w:t>
            </w:r>
            <w:proofErr w:type="spellEnd"/>
          </w:p>
        </w:tc>
        <w:tc>
          <w:tcPr>
            <w:tcW w:w="5528" w:type="dxa"/>
            <w:vMerge/>
            <w:tcBorders>
              <w:left w:val="single" w:sz="8" w:space="0" w:color="auto"/>
              <w:right w:val="single" w:sz="8" w:space="0" w:color="auto"/>
            </w:tcBorders>
            <w:vAlign w:val="center"/>
            <w:hideMark/>
          </w:tcPr>
          <w:p w:rsidR="007C4434" w:rsidRPr="00381AF1" w:rsidRDefault="007C4434" w:rsidP="00381AF1">
            <w:pPr>
              <w:spacing w:after="0" w:line="240" w:lineRule="auto"/>
              <w:rPr>
                <w:rFonts w:ascii="Arial" w:eastAsia="Times New Roman" w:hAnsi="Arial" w:cs="Arial"/>
                <w:color w:val="000000"/>
                <w:sz w:val="18"/>
                <w:szCs w:val="18"/>
                <w:lang w:eastAsia="cs-CZ"/>
              </w:rPr>
            </w:pPr>
          </w:p>
        </w:tc>
      </w:tr>
      <w:tr w:rsidR="007C4434" w:rsidRPr="00381AF1" w:rsidTr="00AA218C">
        <w:trPr>
          <w:trHeight w:val="303"/>
          <w:jc w:val="center"/>
        </w:trPr>
        <w:tc>
          <w:tcPr>
            <w:tcW w:w="425" w:type="dxa"/>
            <w:vMerge/>
            <w:tcBorders>
              <w:top w:val="nil"/>
              <w:left w:val="single" w:sz="8" w:space="0" w:color="auto"/>
              <w:bottom w:val="single" w:sz="8" w:space="0" w:color="000000"/>
              <w:right w:val="single" w:sz="8" w:space="0" w:color="auto"/>
            </w:tcBorders>
            <w:vAlign w:val="center"/>
            <w:hideMark/>
          </w:tcPr>
          <w:p w:rsidR="007C4434" w:rsidRPr="00381AF1" w:rsidRDefault="007C4434" w:rsidP="00381AF1">
            <w:pPr>
              <w:spacing w:after="0" w:line="240" w:lineRule="auto"/>
              <w:rPr>
                <w:rFonts w:ascii="Arial" w:eastAsia="Times New Roman" w:hAnsi="Arial" w:cs="Arial"/>
                <w:color w:val="000000"/>
                <w:sz w:val="20"/>
                <w:szCs w:val="20"/>
                <w:lang w:eastAsia="cs-CZ"/>
              </w:rPr>
            </w:pPr>
          </w:p>
        </w:tc>
        <w:tc>
          <w:tcPr>
            <w:tcW w:w="1843" w:type="dxa"/>
            <w:gridSpan w:val="2"/>
            <w:tcBorders>
              <w:top w:val="single" w:sz="8" w:space="0" w:color="auto"/>
              <w:left w:val="nil"/>
              <w:bottom w:val="single" w:sz="8" w:space="0" w:color="auto"/>
              <w:right w:val="single" w:sz="8" w:space="0" w:color="000000"/>
            </w:tcBorders>
            <w:shd w:val="clear" w:color="auto" w:fill="auto"/>
            <w:vAlign w:val="center"/>
            <w:hideMark/>
          </w:tcPr>
          <w:p w:rsidR="007C4434" w:rsidRPr="00381AF1" w:rsidRDefault="007C4434" w:rsidP="00381AF1">
            <w:pPr>
              <w:spacing w:after="0" w:line="240" w:lineRule="auto"/>
              <w:jc w:val="center"/>
              <w:rPr>
                <w:rFonts w:ascii="Arial" w:eastAsia="Times New Roman" w:hAnsi="Arial" w:cs="Arial"/>
                <w:color w:val="000000"/>
                <w:sz w:val="18"/>
                <w:szCs w:val="18"/>
                <w:lang w:eastAsia="cs-CZ"/>
              </w:rPr>
            </w:pPr>
            <w:proofErr w:type="spellStart"/>
            <w:r w:rsidRPr="00381AF1">
              <w:rPr>
                <w:rFonts w:ascii="Arial" w:eastAsia="Times New Roman" w:hAnsi="Arial" w:cs="Arial"/>
                <w:color w:val="000000"/>
                <w:sz w:val="18"/>
                <w:szCs w:val="18"/>
                <w:lang w:eastAsia="cs-CZ"/>
              </w:rPr>
              <w:t>Elsevier</w:t>
            </w:r>
            <w:proofErr w:type="spellEnd"/>
          </w:p>
        </w:tc>
        <w:tc>
          <w:tcPr>
            <w:tcW w:w="2410" w:type="dxa"/>
            <w:tcBorders>
              <w:top w:val="nil"/>
              <w:left w:val="nil"/>
              <w:bottom w:val="single" w:sz="8" w:space="0" w:color="auto"/>
              <w:right w:val="single" w:sz="8" w:space="0" w:color="auto"/>
            </w:tcBorders>
            <w:shd w:val="clear" w:color="auto" w:fill="auto"/>
            <w:vAlign w:val="center"/>
            <w:hideMark/>
          </w:tcPr>
          <w:p w:rsidR="007C4434" w:rsidRPr="00381AF1" w:rsidRDefault="007C4434" w:rsidP="00381AF1">
            <w:pPr>
              <w:spacing w:after="0" w:line="240" w:lineRule="auto"/>
              <w:jc w:val="center"/>
              <w:rPr>
                <w:rFonts w:ascii="Arial" w:eastAsia="Times New Roman" w:hAnsi="Arial" w:cs="Arial"/>
                <w:color w:val="000000"/>
                <w:sz w:val="18"/>
                <w:szCs w:val="18"/>
                <w:lang w:eastAsia="cs-CZ"/>
              </w:rPr>
            </w:pPr>
            <w:proofErr w:type="spellStart"/>
            <w:r w:rsidRPr="00381AF1">
              <w:rPr>
                <w:rFonts w:ascii="Arial" w:eastAsia="Times New Roman" w:hAnsi="Arial" w:cs="Arial"/>
                <w:color w:val="000000"/>
                <w:sz w:val="18"/>
                <w:szCs w:val="18"/>
                <w:lang w:eastAsia="cs-CZ"/>
              </w:rPr>
              <w:t>Scopus</w:t>
            </w:r>
            <w:proofErr w:type="spellEnd"/>
          </w:p>
        </w:tc>
        <w:tc>
          <w:tcPr>
            <w:tcW w:w="5528" w:type="dxa"/>
            <w:vMerge/>
            <w:tcBorders>
              <w:left w:val="single" w:sz="8" w:space="0" w:color="auto"/>
              <w:right w:val="single" w:sz="8" w:space="0" w:color="auto"/>
            </w:tcBorders>
            <w:vAlign w:val="center"/>
            <w:hideMark/>
          </w:tcPr>
          <w:p w:rsidR="007C4434" w:rsidRPr="00381AF1" w:rsidRDefault="007C4434" w:rsidP="00381AF1">
            <w:pPr>
              <w:spacing w:after="0" w:line="240" w:lineRule="auto"/>
              <w:rPr>
                <w:rFonts w:ascii="Arial" w:eastAsia="Times New Roman" w:hAnsi="Arial" w:cs="Arial"/>
                <w:color w:val="000000"/>
                <w:sz w:val="18"/>
                <w:szCs w:val="18"/>
                <w:lang w:eastAsia="cs-CZ"/>
              </w:rPr>
            </w:pPr>
          </w:p>
        </w:tc>
      </w:tr>
      <w:tr w:rsidR="007C4434" w:rsidRPr="00381AF1" w:rsidTr="00AA218C">
        <w:trPr>
          <w:trHeight w:val="303"/>
          <w:jc w:val="center"/>
        </w:trPr>
        <w:tc>
          <w:tcPr>
            <w:tcW w:w="425" w:type="dxa"/>
            <w:vMerge/>
            <w:tcBorders>
              <w:top w:val="nil"/>
              <w:left w:val="single" w:sz="8" w:space="0" w:color="auto"/>
              <w:bottom w:val="single" w:sz="8" w:space="0" w:color="000000"/>
              <w:right w:val="single" w:sz="8" w:space="0" w:color="auto"/>
            </w:tcBorders>
            <w:vAlign w:val="center"/>
          </w:tcPr>
          <w:p w:rsidR="007C4434" w:rsidRPr="00381AF1" w:rsidRDefault="007C4434" w:rsidP="00381AF1">
            <w:pPr>
              <w:spacing w:after="0" w:line="240" w:lineRule="auto"/>
              <w:rPr>
                <w:rFonts w:ascii="Arial" w:eastAsia="Times New Roman" w:hAnsi="Arial" w:cs="Arial"/>
                <w:color w:val="000000"/>
                <w:sz w:val="20"/>
                <w:szCs w:val="20"/>
                <w:lang w:eastAsia="cs-CZ"/>
              </w:rPr>
            </w:pPr>
          </w:p>
        </w:tc>
        <w:tc>
          <w:tcPr>
            <w:tcW w:w="1843" w:type="dxa"/>
            <w:gridSpan w:val="2"/>
            <w:tcBorders>
              <w:top w:val="single" w:sz="8" w:space="0" w:color="auto"/>
              <w:left w:val="nil"/>
              <w:bottom w:val="single" w:sz="8" w:space="0" w:color="auto"/>
              <w:right w:val="single" w:sz="8" w:space="0" w:color="000000"/>
            </w:tcBorders>
            <w:shd w:val="clear" w:color="auto" w:fill="auto"/>
            <w:vAlign w:val="center"/>
          </w:tcPr>
          <w:p w:rsidR="007C4434" w:rsidRPr="00381AF1" w:rsidRDefault="007C4434" w:rsidP="00381AF1">
            <w:pPr>
              <w:spacing w:after="0" w:line="240" w:lineRule="auto"/>
              <w:jc w:val="center"/>
              <w:rPr>
                <w:rFonts w:ascii="Arial" w:eastAsia="Times New Roman" w:hAnsi="Arial" w:cs="Arial"/>
                <w:color w:val="000000"/>
                <w:sz w:val="18"/>
                <w:szCs w:val="18"/>
                <w:lang w:eastAsia="cs-CZ"/>
              </w:rPr>
            </w:pPr>
            <w:proofErr w:type="spellStart"/>
            <w:r>
              <w:rPr>
                <w:rFonts w:ascii="Arial" w:eastAsia="Times New Roman" w:hAnsi="Arial" w:cs="Arial"/>
                <w:color w:val="000000"/>
                <w:sz w:val="18"/>
                <w:szCs w:val="18"/>
                <w:lang w:eastAsia="cs-CZ"/>
              </w:rPr>
              <w:t>European</w:t>
            </w:r>
            <w:proofErr w:type="spellEnd"/>
            <w:r>
              <w:rPr>
                <w:rFonts w:ascii="Arial" w:eastAsia="Times New Roman" w:hAnsi="Arial" w:cs="Arial"/>
                <w:color w:val="000000"/>
                <w:sz w:val="18"/>
                <w:szCs w:val="18"/>
                <w:lang w:eastAsia="cs-CZ"/>
              </w:rPr>
              <w:t xml:space="preserve"> science </w:t>
            </w:r>
            <w:proofErr w:type="spellStart"/>
            <w:r>
              <w:rPr>
                <w:rFonts w:ascii="Arial" w:eastAsia="Times New Roman" w:hAnsi="Arial" w:cs="Arial"/>
                <w:color w:val="000000"/>
                <w:sz w:val="18"/>
                <w:szCs w:val="18"/>
                <w:lang w:eastAsia="cs-CZ"/>
              </w:rPr>
              <w:t>foundation</w:t>
            </w:r>
            <w:proofErr w:type="spellEnd"/>
          </w:p>
        </w:tc>
        <w:tc>
          <w:tcPr>
            <w:tcW w:w="2410" w:type="dxa"/>
            <w:tcBorders>
              <w:top w:val="nil"/>
              <w:left w:val="nil"/>
              <w:bottom w:val="single" w:sz="8" w:space="0" w:color="auto"/>
              <w:right w:val="single" w:sz="8" w:space="0" w:color="auto"/>
            </w:tcBorders>
            <w:shd w:val="clear" w:color="auto" w:fill="auto"/>
            <w:vAlign w:val="center"/>
          </w:tcPr>
          <w:p w:rsidR="007C4434" w:rsidRPr="00381AF1" w:rsidRDefault="007C4434" w:rsidP="00381AF1">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ERIH</w:t>
            </w:r>
          </w:p>
        </w:tc>
        <w:tc>
          <w:tcPr>
            <w:tcW w:w="5528" w:type="dxa"/>
            <w:vMerge/>
            <w:tcBorders>
              <w:left w:val="single" w:sz="8" w:space="0" w:color="auto"/>
              <w:bottom w:val="single" w:sz="8" w:space="0" w:color="000000"/>
              <w:right w:val="single" w:sz="8" w:space="0" w:color="auto"/>
            </w:tcBorders>
            <w:vAlign w:val="center"/>
          </w:tcPr>
          <w:p w:rsidR="007C4434" w:rsidRPr="00381AF1" w:rsidRDefault="007C4434" w:rsidP="00381AF1">
            <w:pPr>
              <w:spacing w:after="0" w:line="240" w:lineRule="auto"/>
              <w:rPr>
                <w:rFonts w:ascii="Arial" w:eastAsia="Times New Roman" w:hAnsi="Arial" w:cs="Arial"/>
                <w:color w:val="000000"/>
                <w:sz w:val="18"/>
                <w:szCs w:val="18"/>
                <w:lang w:eastAsia="cs-CZ"/>
              </w:rPr>
            </w:pPr>
          </w:p>
        </w:tc>
      </w:tr>
      <w:tr w:rsidR="00381AF1" w:rsidRPr="00381AF1" w:rsidTr="00D653B6">
        <w:trPr>
          <w:trHeight w:val="303"/>
          <w:jc w:val="center"/>
        </w:trPr>
        <w:tc>
          <w:tcPr>
            <w:tcW w:w="425" w:type="dxa"/>
            <w:vMerge/>
            <w:tcBorders>
              <w:top w:val="nil"/>
              <w:left w:val="single" w:sz="8" w:space="0" w:color="auto"/>
              <w:bottom w:val="single" w:sz="8" w:space="0" w:color="000000"/>
              <w:right w:val="single" w:sz="8" w:space="0" w:color="auto"/>
            </w:tcBorders>
            <w:vAlign w:val="center"/>
            <w:hideMark/>
          </w:tcPr>
          <w:p w:rsidR="00381AF1" w:rsidRPr="00381AF1" w:rsidRDefault="00381AF1" w:rsidP="00381AF1">
            <w:pPr>
              <w:spacing w:after="0" w:line="240" w:lineRule="auto"/>
              <w:rPr>
                <w:rFonts w:ascii="Arial" w:eastAsia="Times New Roman" w:hAnsi="Arial" w:cs="Arial"/>
                <w:color w:val="000000"/>
                <w:sz w:val="20"/>
                <w:szCs w:val="20"/>
                <w:lang w:eastAsia="cs-CZ"/>
              </w:rPr>
            </w:pPr>
          </w:p>
        </w:tc>
        <w:tc>
          <w:tcPr>
            <w:tcW w:w="9781" w:type="dxa"/>
            <w:gridSpan w:val="4"/>
            <w:tcBorders>
              <w:top w:val="nil"/>
              <w:left w:val="nil"/>
              <w:bottom w:val="single" w:sz="8" w:space="0" w:color="auto"/>
              <w:right w:val="single" w:sz="8" w:space="0" w:color="000000"/>
            </w:tcBorders>
            <w:shd w:val="clear" w:color="auto" w:fill="auto"/>
            <w:vAlign w:val="center"/>
            <w:hideMark/>
          </w:tcPr>
          <w:p w:rsidR="00381AF1" w:rsidRPr="00381AF1" w:rsidRDefault="00381AF1" w:rsidP="00381AF1">
            <w:pPr>
              <w:spacing w:after="0" w:line="240" w:lineRule="auto"/>
              <w:jc w:val="center"/>
              <w:rPr>
                <w:rFonts w:ascii="Arial" w:eastAsia="Times New Roman" w:hAnsi="Arial" w:cs="Arial"/>
                <w:color w:val="000000"/>
                <w:sz w:val="18"/>
                <w:szCs w:val="18"/>
                <w:lang w:eastAsia="cs-CZ"/>
              </w:rPr>
            </w:pPr>
            <w:r w:rsidRPr="00381AF1">
              <w:rPr>
                <w:rFonts w:ascii="Arial" w:eastAsia="Times New Roman" w:hAnsi="Arial" w:cs="Arial"/>
                <w:color w:val="000000"/>
                <w:sz w:val="18"/>
                <w:szCs w:val="18"/>
                <w:lang w:eastAsia="cs-CZ"/>
              </w:rPr>
              <w:t>další statistiky a studie**</w:t>
            </w:r>
          </w:p>
        </w:tc>
      </w:tr>
    </w:tbl>
    <w:p w:rsidR="00381AF1" w:rsidRPr="00381AF1" w:rsidRDefault="00381AF1" w:rsidP="00381AF1">
      <w:pPr>
        <w:pStyle w:val="Zdroj"/>
      </w:pPr>
      <w:r w:rsidRPr="00381AF1">
        <w:t>Zdroj dat: Vlastní zpracování</w:t>
      </w:r>
    </w:p>
    <w:p w:rsidR="00381AF1" w:rsidRPr="00381AF1" w:rsidRDefault="00381AF1" w:rsidP="00381AF1">
      <w:pPr>
        <w:pStyle w:val="komentzaobrzkem"/>
        <w:tabs>
          <w:tab w:val="left" w:pos="426"/>
        </w:tabs>
      </w:pPr>
      <w:r w:rsidRPr="00381AF1">
        <w:t>*</w:t>
      </w:r>
      <w:r w:rsidRPr="00381AF1">
        <w:tab/>
        <w:t>např. Rejstřík veřejných výzkumných institucí; Databáze akreditovaných studijních programů</w:t>
      </w:r>
    </w:p>
    <w:p w:rsidR="00381AF1" w:rsidRPr="00381AF1" w:rsidRDefault="00381AF1" w:rsidP="00381AF1">
      <w:pPr>
        <w:pStyle w:val="komentzaobrzkem"/>
        <w:tabs>
          <w:tab w:val="left" w:pos="426"/>
        </w:tabs>
      </w:pPr>
      <w:r w:rsidRPr="00381AF1">
        <w:t>**</w:t>
      </w:r>
      <w:r w:rsidRPr="00381AF1">
        <w:tab/>
        <w:t xml:space="preserve">např. </w:t>
      </w:r>
      <w:proofErr w:type="spellStart"/>
      <w:r w:rsidRPr="00381AF1">
        <w:t>Innovation</w:t>
      </w:r>
      <w:proofErr w:type="spellEnd"/>
      <w:r w:rsidRPr="00381AF1">
        <w:t xml:space="preserve"> Union </w:t>
      </w:r>
      <w:proofErr w:type="spellStart"/>
      <w:r w:rsidRPr="00381AF1">
        <w:t>Scoreboard</w:t>
      </w:r>
      <w:proofErr w:type="spellEnd"/>
    </w:p>
    <w:p w:rsidR="00381AF1" w:rsidRPr="00381AF1" w:rsidRDefault="00381AF1" w:rsidP="00381AF1">
      <w:pPr>
        <w:pStyle w:val="komentzaobrzkem"/>
      </w:pPr>
      <w:r w:rsidRPr="00381AF1">
        <w:t>V</w:t>
      </w:r>
      <w:r w:rsidR="006F678C">
        <w:t>zhledem k současným potřebám</w:t>
      </w:r>
      <w:r w:rsidRPr="00381AF1">
        <w:t xml:space="preserve"> by bylo dobré statistiky doplnit o evidenci institucionálních prostředků podle oborů VaVaI, které byly podpořeny, a dále evidovat </w:t>
      </w:r>
      <w:r w:rsidRPr="005D6ACA">
        <w:t xml:space="preserve">podporu VaVaI na národní úrovni v účetním členění na přímé a nepřímé náklady za jednotlivé finanční nástroje. Zatím chybí sjednocení číselníků vědních oborů používaných v ČR se strukturou definovanou OECD - </w:t>
      </w:r>
      <w:proofErr w:type="spellStart"/>
      <w:r w:rsidRPr="005D6ACA">
        <w:t>Fields</w:t>
      </w:r>
      <w:proofErr w:type="spellEnd"/>
      <w:r w:rsidRPr="005D6ACA">
        <w:t xml:space="preserve"> </w:t>
      </w:r>
      <w:proofErr w:type="spellStart"/>
      <w:r w:rsidRPr="005D6ACA">
        <w:t>of</w:t>
      </w:r>
      <w:proofErr w:type="spellEnd"/>
      <w:r w:rsidRPr="005D6ACA">
        <w:t xml:space="preserve"> Science</w:t>
      </w:r>
      <w:r w:rsidR="00496F66" w:rsidRPr="005D6ACA">
        <w:t xml:space="preserve"> </w:t>
      </w:r>
      <w:r w:rsidR="00496F66" w:rsidRPr="005D6ACA">
        <w:rPr>
          <w:rFonts w:cs="Arial"/>
          <w:szCs w:val="18"/>
        </w:rPr>
        <w:t>jak na úrovni evidence IS VaVaI (skupiny oborů CEP</w:t>
      </w:r>
      <w:r w:rsidR="00496F66" w:rsidRPr="00E50D47">
        <w:rPr>
          <w:rFonts w:cs="Arial"/>
          <w:color w:val="454545"/>
          <w:kern w:val="36"/>
          <w:szCs w:val="18"/>
        </w:rPr>
        <w:t>&amp;CEZ&amp;</w:t>
      </w:r>
      <w:r w:rsidR="00496F66" w:rsidRPr="005D6ACA">
        <w:rPr>
          <w:rFonts w:cs="Arial"/>
          <w:szCs w:val="18"/>
        </w:rPr>
        <w:t xml:space="preserve">RIV) tak oborových </w:t>
      </w:r>
      <w:r w:rsidR="00496F66" w:rsidRPr="005D6ACA">
        <w:rPr>
          <w:rFonts w:cs="Arial"/>
          <w:szCs w:val="18"/>
        </w:rPr>
        <w:lastRenderedPageBreak/>
        <w:t>skupin pro hodnocení dle Metodiky hodnocení výsledků</w:t>
      </w:r>
      <w:r w:rsidR="00263B24">
        <w:rPr>
          <w:rFonts w:cs="Arial"/>
          <w:szCs w:val="18"/>
        </w:rPr>
        <w:t>, p</w:t>
      </w:r>
      <w:r w:rsidR="00496F66" w:rsidRPr="005D6ACA">
        <w:rPr>
          <w:rFonts w:cs="Arial"/>
          <w:szCs w:val="18"/>
        </w:rPr>
        <w:t>říloh</w:t>
      </w:r>
      <w:r w:rsidR="00263B24">
        <w:rPr>
          <w:rFonts w:cs="Arial"/>
          <w:szCs w:val="18"/>
        </w:rPr>
        <w:t>y</w:t>
      </w:r>
      <w:r w:rsidR="00496F66" w:rsidRPr="005D6ACA">
        <w:rPr>
          <w:rFonts w:cs="Arial"/>
          <w:szCs w:val="18"/>
        </w:rPr>
        <w:t xml:space="preserve"> č. 7)</w:t>
      </w:r>
      <w:r w:rsidRPr="005D6ACA">
        <w:rPr>
          <w:rFonts w:cs="Arial"/>
          <w:szCs w:val="18"/>
        </w:rPr>
        <w:t>.</w:t>
      </w:r>
      <w:r w:rsidRPr="005D6ACA">
        <w:t xml:space="preserve"> Bylo by dobré na národní úrovni sledovat a mít k</w:t>
      </w:r>
      <w:r w:rsidR="006F678C">
        <w:t> </w:t>
      </w:r>
      <w:r w:rsidRPr="005D6ACA">
        <w:t>dispozici statistiky o využití výsledků. V oblasti</w:t>
      </w:r>
      <w:r w:rsidRPr="00381AF1">
        <w:t xml:space="preserve"> lidských zdrojů by bylo vhodné propojit dat</w:t>
      </w:r>
      <w:r w:rsidR="006F678C">
        <w:t>a s daty z oblasti trhu práce a </w:t>
      </w:r>
      <w:r w:rsidRPr="00381AF1">
        <w:t>rozšířit je o genderové statistiky.</w:t>
      </w:r>
    </w:p>
    <w:p w:rsidR="00EA4F74" w:rsidRDefault="00EA4F74" w:rsidP="00956D00">
      <w:pPr>
        <w:pStyle w:val="Nadpis1"/>
      </w:pPr>
      <w:bookmarkStart w:id="22" w:name="_Toc427676909"/>
      <w:r w:rsidRPr="00CB4BFE">
        <w:t>STRATEGICKÁ DOPORUČENÍ</w:t>
      </w:r>
      <w:bookmarkEnd w:id="22"/>
    </w:p>
    <w:p w:rsidR="00EA4F74" w:rsidRDefault="00EA4F74" w:rsidP="00EA4F74">
      <w:pPr>
        <w:spacing w:after="0" w:line="360" w:lineRule="auto"/>
        <w:ind w:firstLine="426"/>
        <w:contextualSpacing/>
        <w:jc w:val="both"/>
        <w:rPr>
          <w:rFonts w:ascii="Arial" w:eastAsia="Times New Roman" w:hAnsi="Arial" w:cs="Arial"/>
          <w:lang w:eastAsia="cs-CZ"/>
        </w:rPr>
      </w:pPr>
      <w:r>
        <w:rPr>
          <w:rFonts w:ascii="Arial" w:eastAsia="Times New Roman" w:hAnsi="Arial" w:cs="Arial"/>
          <w:lang w:eastAsia="cs-CZ"/>
        </w:rPr>
        <w:t xml:space="preserve">Na základě provedených analýz Rada pro výzkum, vývoj a inovace doporučuje provedení níže uvedených strategických </w:t>
      </w:r>
      <w:r w:rsidR="008B16EC">
        <w:rPr>
          <w:rFonts w:ascii="Arial" w:eastAsia="Times New Roman" w:hAnsi="Arial" w:cs="Arial"/>
          <w:lang w:eastAsia="cs-CZ"/>
        </w:rPr>
        <w:t xml:space="preserve">opatření (řazených dle kapitol dokumentu), která </w:t>
      </w:r>
      <w:r>
        <w:rPr>
          <w:rFonts w:ascii="Arial" w:eastAsia="Times New Roman" w:hAnsi="Arial" w:cs="Arial"/>
          <w:lang w:eastAsia="cs-CZ"/>
        </w:rPr>
        <w:t>by měla přispět ke</w:t>
      </w:r>
      <w:r w:rsidR="006F678C">
        <w:rPr>
          <w:rFonts w:ascii="Arial" w:eastAsia="Times New Roman" w:hAnsi="Arial" w:cs="Arial"/>
          <w:lang w:eastAsia="cs-CZ"/>
        </w:rPr>
        <w:t> </w:t>
      </w:r>
      <w:r>
        <w:rPr>
          <w:rFonts w:ascii="Arial" w:eastAsia="Times New Roman" w:hAnsi="Arial" w:cs="Arial"/>
          <w:lang w:eastAsia="cs-CZ"/>
        </w:rPr>
        <w:t>stabilizaci dobře fungujících souč</w:t>
      </w:r>
      <w:r w:rsidR="008B16EC">
        <w:rPr>
          <w:rFonts w:ascii="Arial" w:eastAsia="Times New Roman" w:hAnsi="Arial" w:cs="Arial"/>
          <w:lang w:eastAsia="cs-CZ"/>
        </w:rPr>
        <w:t>ástí systému VaVaI a k optimalizaci slabších částí</w:t>
      </w:r>
      <w:r>
        <w:rPr>
          <w:rFonts w:ascii="Arial" w:eastAsia="Times New Roman" w:hAnsi="Arial" w:cs="Arial"/>
          <w:lang w:eastAsia="cs-CZ"/>
        </w:rPr>
        <w:t>. V</w:t>
      </w:r>
      <w:r w:rsidR="008B16EC">
        <w:rPr>
          <w:rFonts w:ascii="Arial" w:eastAsia="Times New Roman" w:hAnsi="Arial" w:cs="Arial"/>
          <w:lang w:eastAsia="cs-CZ"/>
        </w:rPr>
        <w:t> některých oblastech</w:t>
      </w:r>
      <w:r>
        <w:rPr>
          <w:rFonts w:ascii="Arial" w:eastAsia="Times New Roman" w:hAnsi="Arial" w:cs="Arial"/>
          <w:lang w:eastAsia="cs-CZ"/>
        </w:rPr>
        <w:t xml:space="preserve"> je </w:t>
      </w:r>
      <w:r w:rsidR="008B16EC">
        <w:rPr>
          <w:rFonts w:ascii="Arial" w:eastAsia="Times New Roman" w:hAnsi="Arial" w:cs="Arial"/>
          <w:lang w:eastAsia="cs-CZ"/>
        </w:rPr>
        <w:t>nezbytné</w:t>
      </w:r>
      <w:r>
        <w:rPr>
          <w:rFonts w:ascii="Arial" w:eastAsia="Times New Roman" w:hAnsi="Arial" w:cs="Arial"/>
          <w:lang w:eastAsia="cs-CZ"/>
        </w:rPr>
        <w:t xml:space="preserve"> prov</w:t>
      </w:r>
      <w:r w:rsidR="008B16EC">
        <w:rPr>
          <w:rFonts w:ascii="Arial" w:eastAsia="Times New Roman" w:hAnsi="Arial" w:cs="Arial"/>
          <w:lang w:eastAsia="cs-CZ"/>
        </w:rPr>
        <w:t>ést</w:t>
      </w:r>
      <w:r>
        <w:rPr>
          <w:rFonts w:ascii="Arial" w:eastAsia="Times New Roman" w:hAnsi="Arial" w:cs="Arial"/>
          <w:lang w:eastAsia="cs-CZ"/>
        </w:rPr>
        <w:t xml:space="preserve"> podrobnější analýzy, které jsou mnohd</w:t>
      </w:r>
      <w:r w:rsidR="00DB316D">
        <w:rPr>
          <w:rFonts w:ascii="Arial" w:eastAsia="Times New Roman" w:hAnsi="Arial" w:cs="Arial"/>
          <w:lang w:eastAsia="cs-CZ"/>
        </w:rPr>
        <w:t>y</w:t>
      </w:r>
      <w:r>
        <w:rPr>
          <w:rFonts w:ascii="Arial" w:eastAsia="Times New Roman" w:hAnsi="Arial" w:cs="Arial"/>
          <w:lang w:eastAsia="cs-CZ"/>
        </w:rPr>
        <w:t xml:space="preserve"> limitovány chybějícími daty. </w:t>
      </w:r>
      <w:r w:rsidR="008B16EC">
        <w:rPr>
          <w:rFonts w:ascii="Arial" w:eastAsia="Times New Roman" w:hAnsi="Arial" w:cs="Arial"/>
          <w:lang w:eastAsia="cs-CZ"/>
        </w:rPr>
        <w:t>Z tohoto důvodu jsou některá opatření směřována do oblasti datové základny.</w:t>
      </w:r>
    </w:p>
    <w:p w:rsidR="008B16EC" w:rsidRPr="008B16EC" w:rsidRDefault="008B16EC" w:rsidP="00EA4F74">
      <w:pPr>
        <w:spacing w:after="0" w:line="360" w:lineRule="auto"/>
        <w:ind w:firstLine="426"/>
        <w:contextualSpacing/>
        <w:jc w:val="both"/>
        <w:rPr>
          <w:rFonts w:ascii="Arial" w:eastAsia="Times New Roman" w:hAnsi="Arial" w:cs="Arial"/>
          <w:b/>
          <w:lang w:eastAsia="cs-CZ"/>
        </w:rPr>
      </w:pPr>
      <w:r w:rsidRPr="008B16EC">
        <w:rPr>
          <w:rFonts w:ascii="Arial" w:eastAsia="Times New Roman" w:hAnsi="Arial" w:cs="Arial"/>
          <w:b/>
          <w:lang w:eastAsia="cs-CZ"/>
        </w:rPr>
        <w:t>Opatření</w:t>
      </w:r>
      <w:r>
        <w:rPr>
          <w:rFonts w:ascii="Arial" w:eastAsia="Times New Roman" w:hAnsi="Arial" w:cs="Arial"/>
          <w:b/>
          <w:lang w:eastAsia="cs-CZ"/>
        </w:rPr>
        <w:t>:</w:t>
      </w:r>
    </w:p>
    <w:p w:rsidR="008B16EC" w:rsidRDefault="008B16EC" w:rsidP="008B16EC">
      <w:pPr>
        <w:pStyle w:val="Odstavecseseznamem"/>
        <w:numPr>
          <w:ilvl w:val="0"/>
          <w:numId w:val="18"/>
        </w:numPr>
        <w:spacing w:after="0" w:line="360" w:lineRule="auto"/>
        <w:jc w:val="both"/>
        <w:rPr>
          <w:rFonts w:ascii="Arial" w:eastAsia="Times New Roman" w:hAnsi="Arial" w:cs="Arial"/>
          <w:lang w:eastAsia="cs-CZ"/>
        </w:rPr>
      </w:pPr>
      <w:r>
        <w:rPr>
          <w:rFonts w:ascii="Arial" w:eastAsia="Times New Roman" w:hAnsi="Arial" w:cs="Arial"/>
          <w:lang w:eastAsia="cs-CZ"/>
        </w:rPr>
        <w:t>P</w:t>
      </w:r>
      <w:r w:rsidRPr="000A22D2">
        <w:rPr>
          <w:rFonts w:ascii="Arial" w:eastAsia="Times New Roman" w:hAnsi="Arial" w:cs="Arial"/>
          <w:lang w:eastAsia="cs-CZ"/>
        </w:rPr>
        <w:t>řipravit systém VaVaI, tj. zejména nastavit národní veřejné zdroje, na období po roce 2020, kdy finanční prostředky z ESIF nebudou k dispozici.</w:t>
      </w:r>
    </w:p>
    <w:p w:rsidR="008B16EC" w:rsidRDefault="008B16EC" w:rsidP="008B16EC">
      <w:pPr>
        <w:pStyle w:val="Odstavecseseznamem"/>
        <w:numPr>
          <w:ilvl w:val="0"/>
          <w:numId w:val="18"/>
        </w:numPr>
        <w:spacing w:after="0" w:line="360" w:lineRule="auto"/>
        <w:jc w:val="both"/>
        <w:rPr>
          <w:rFonts w:ascii="Arial" w:eastAsia="Times New Roman" w:hAnsi="Arial" w:cs="Arial"/>
          <w:lang w:eastAsia="cs-CZ"/>
        </w:rPr>
      </w:pPr>
      <w:r w:rsidRPr="008B16EC">
        <w:rPr>
          <w:rFonts w:ascii="Arial" w:eastAsia="Times New Roman" w:hAnsi="Arial" w:cs="Arial"/>
          <w:lang w:eastAsia="cs-CZ"/>
        </w:rPr>
        <w:t xml:space="preserve">Provést detailní rozbor finančních toků pocházejících </w:t>
      </w:r>
      <w:r w:rsidR="006F678C">
        <w:rPr>
          <w:rFonts w:ascii="Arial" w:eastAsia="Times New Roman" w:hAnsi="Arial" w:cs="Arial"/>
          <w:lang w:eastAsia="cs-CZ"/>
        </w:rPr>
        <w:t>z podnikatelského sektoru a </w:t>
      </w:r>
      <w:r w:rsidRPr="008B16EC">
        <w:rPr>
          <w:rFonts w:ascii="Arial" w:eastAsia="Times New Roman" w:hAnsi="Arial" w:cs="Arial"/>
          <w:lang w:eastAsia="cs-CZ"/>
        </w:rPr>
        <w:t>prostředků, které mají podniky k dispozici z veřejných zdrojů, ať již ve formě přímé podpory výzkumu, nebo nepřímé podpory.</w:t>
      </w:r>
    </w:p>
    <w:p w:rsidR="008B16EC" w:rsidRPr="008B16EC" w:rsidRDefault="008B16EC" w:rsidP="008B16EC">
      <w:pPr>
        <w:pStyle w:val="Odstavecseseznamem"/>
        <w:numPr>
          <w:ilvl w:val="0"/>
          <w:numId w:val="18"/>
        </w:numPr>
        <w:spacing w:after="0" w:line="360" w:lineRule="auto"/>
        <w:jc w:val="both"/>
        <w:rPr>
          <w:rFonts w:ascii="Arial" w:eastAsia="Times New Roman" w:hAnsi="Arial" w:cs="Arial"/>
          <w:lang w:eastAsia="cs-CZ"/>
        </w:rPr>
      </w:pPr>
      <w:r w:rsidRPr="008B16EC">
        <w:rPr>
          <w:rFonts w:ascii="Arial" w:eastAsia="Times New Roman" w:hAnsi="Arial" w:cs="Arial"/>
          <w:lang w:eastAsia="cs-CZ"/>
        </w:rPr>
        <w:t>Posílit dlouhodobou institucionální složku státního rozpočtu vůči účelové.</w:t>
      </w:r>
    </w:p>
    <w:p w:rsidR="008B16EC" w:rsidRPr="008B16EC" w:rsidRDefault="008B16EC" w:rsidP="008B16EC">
      <w:pPr>
        <w:pStyle w:val="Odstavecseseznamem"/>
        <w:numPr>
          <w:ilvl w:val="0"/>
          <w:numId w:val="18"/>
        </w:numPr>
        <w:spacing w:after="0" w:line="360" w:lineRule="auto"/>
        <w:jc w:val="both"/>
        <w:rPr>
          <w:rFonts w:ascii="Arial" w:eastAsia="Times New Roman" w:hAnsi="Arial" w:cs="Arial"/>
          <w:lang w:eastAsia="cs-CZ"/>
        </w:rPr>
      </w:pPr>
      <w:r w:rsidRPr="008B16EC">
        <w:rPr>
          <w:rFonts w:ascii="Arial" w:eastAsia="Times New Roman" w:hAnsi="Arial" w:cs="Arial"/>
          <w:lang w:eastAsia="cs-CZ"/>
        </w:rPr>
        <w:t>Analyzovat přínosy jednotlivých nástrojů finanční podpory a výstupy analýz používat k jejich optimalizaci.</w:t>
      </w:r>
    </w:p>
    <w:p w:rsidR="008B16EC" w:rsidRPr="005D6ACA" w:rsidRDefault="008B16EC" w:rsidP="008B16EC">
      <w:pPr>
        <w:pStyle w:val="Odstavecseseznamem"/>
        <w:numPr>
          <w:ilvl w:val="0"/>
          <w:numId w:val="18"/>
        </w:numPr>
        <w:spacing w:after="0" w:line="360" w:lineRule="auto"/>
        <w:jc w:val="both"/>
        <w:rPr>
          <w:rFonts w:ascii="Arial" w:eastAsia="Times New Roman" w:hAnsi="Arial" w:cs="Arial"/>
          <w:lang w:eastAsia="cs-CZ"/>
        </w:rPr>
      </w:pPr>
      <w:r w:rsidRPr="005D6ACA">
        <w:rPr>
          <w:rFonts w:ascii="Arial" w:eastAsia="Times New Roman" w:hAnsi="Arial" w:cs="Arial"/>
          <w:lang w:eastAsia="cs-CZ"/>
        </w:rPr>
        <w:t>Zabezpečit evidenci institucionálních prostředků podle oborů VaVaI, které byly podpořeny.</w:t>
      </w:r>
    </w:p>
    <w:p w:rsidR="008B16EC" w:rsidRPr="005D6ACA" w:rsidRDefault="008B16EC" w:rsidP="008B16EC">
      <w:pPr>
        <w:pStyle w:val="Odstavecseseznamem"/>
        <w:numPr>
          <w:ilvl w:val="0"/>
          <w:numId w:val="18"/>
        </w:numPr>
        <w:spacing w:after="0" w:line="360" w:lineRule="auto"/>
        <w:jc w:val="both"/>
        <w:rPr>
          <w:rFonts w:ascii="Arial" w:eastAsia="Times New Roman" w:hAnsi="Arial" w:cs="Arial"/>
          <w:lang w:eastAsia="cs-CZ"/>
        </w:rPr>
      </w:pPr>
      <w:r w:rsidRPr="005D6ACA">
        <w:rPr>
          <w:rFonts w:ascii="Arial" w:eastAsia="Times New Roman" w:hAnsi="Arial" w:cs="Arial"/>
          <w:lang w:eastAsia="cs-CZ"/>
        </w:rPr>
        <w:t>Evidovat podporu VaVaI na národní úrovni v účetním členění na přímé náklady (mzdové, materiál, služby) a nepřímé za jednotlivé finanční nástroje, zejména institucionální.</w:t>
      </w:r>
    </w:p>
    <w:p w:rsidR="008B16EC" w:rsidRPr="005D6ACA" w:rsidRDefault="008B16EC" w:rsidP="008B16EC">
      <w:pPr>
        <w:pStyle w:val="Odstavecseseznamem"/>
        <w:numPr>
          <w:ilvl w:val="0"/>
          <w:numId w:val="18"/>
        </w:numPr>
        <w:spacing w:after="0" w:line="360" w:lineRule="auto"/>
        <w:jc w:val="both"/>
        <w:rPr>
          <w:rFonts w:ascii="Arial" w:eastAsia="Times New Roman" w:hAnsi="Arial" w:cs="Arial"/>
          <w:lang w:eastAsia="cs-CZ"/>
        </w:rPr>
      </w:pPr>
      <w:r w:rsidRPr="005D6ACA">
        <w:rPr>
          <w:rFonts w:ascii="Arial" w:eastAsia="Times New Roman" w:hAnsi="Arial" w:cs="Arial"/>
          <w:lang w:eastAsia="cs-CZ"/>
        </w:rPr>
        <w:t>Sjednotit číselníky vědních oborů</w:t>
      </w:r>
      <w:r w:rsidR="00334C28" w:rsidRPr="005D6ACA">
        <w:rPr>
          <w:rFonts w:ascii="Arial" w:eastAsia="Times New Roman" w:hAnsi="Arial" w:cs="Arial"/>
          <w:lang w:eastAsia="cs-CZ"/>
        </w:rPr>
        <w:t xml:space="preserve"> a skupin oborů</w:t>
      </w:r>
      <w:r w:rsidRPr="005D6ACA">
        <w:rPr>
          <w:rFonts w:ascii="Arial" w:eastAsia="Times New Roman" w:hAnsi="Arial" w:cs="Arial"/>
          <w:lang w:eastAsia="cs-CZ"/>
        </w:rPr>
        <w:t xml:space="preserve"> používaných v ČR se strukturou OECD </w:t>
      </w:r>
      <w:proofErr w:type="spellStart"/>
      <w:r w:rsidRPr="005D6ACA">
        <w:rPr>
          <w:rFonts w:ascii="Arial" w:eastAsia="Times New Roman" w:hAnsi="Arial" w:cs="Arial"/>
          <w:lang w:eastAsia="cs-CZ"/>
        </w:rPr>
        <w:t>Fields</w:t>
      </w:r>
      <w:proofErr w:type="spellEnd"/>
      <w:r w:rsidRPr="005D6ACA">
        <w:rPr>
          <w:rFonts w:ascii="Arial" w:eastAsia="Times New Roman" w:hAnsi="Arial" w:cs="Arial"/>
          <w:lang w:eastAsia="cs-CZ"/>
        </w:rPr>
        <w:t xml:space="preserve"> </w:t>
      </w:r>
      <w:proofErr w:type="spellStart"/>
      <w:r w:rsidRPr="005D6ACA">
        <w:rPr>
          <w:rFonts w:ascii="Arial" w:eastAsia="Times New Roman" w:hAnsi="Arial" w:cs="Arial"/>
          <w:lang w:eastAsia="cs-CZ"/>
        </w:rPr>
        <w:t>of</w:t>
      </w:r>
      <w:proofErr w:type="spellEnd"/>
      <w:r w:rsidRPr="005D6ACA">
        <w:rPr>
          <w:rFonts w:ascii="Arial" w:eastAsia="Times New Roman" w:hAnsi="Arial" w:cs="Arial"/>
          <w:lang w:eastAsia="cs-CZ"/>
        </w:rPr>
        <w:t xml:space="preserve"> Science (součást tzv. </w:t>
      </w:r>
      <w:proofErr w:type="spellStart"/>
      <w:r w:rsidRPr="005D6ACA">
        <w:rPr>
          <w:rFonts w:ascii="Arial" w:eastAsia="Times New Roman" w:hAnsi="Arial" w:cs="Arial"/>
          <w:lang w:eastAsia="cs-CZ"/>
        </w:rPr>
        <w:t>Frascati</w:t>
      </w:r>
      <w:proofErr w:type="spellEnd"/>
      <w:r w:rsidRPr="005D6ACA">
        <w:rPr>
          <w:rFonts w:ascii="Arial" w:eastAsia="Times New Roman" w:hAnsi="Arial" w:cs="Arial"/>
          <w:lang w:eastAsia="cs-CZ"/>
        </w:rPr>
        <w:t xml:space="preserve"> manuálu), což by umožnilo v budoucnu analyzovat vazbu mezi finančními prostředky a výsledky oborově specificky.</w:t>
      </w:r>
    </w:p>
    <w:p w:rsidR="001309B5" w:rsidRPr="005D6ACA" w:rsidRDefault="001309B5" w:rsidP="001309B5">
      <w:pPr>
        <w:pStyle w:val="Odstavecseseznamem"/>
        <w:numPr>
          <w:ilvl w:val="0"/>
          <w:numId w:val="18"/>
        </w:numPr>
        <w:spacing w:after="0" w:line="360" w:lineRule="auto"/>
        <w:jc w:val="both"/>
        <w:rPr>
          <w:rFonts w:ascii="Arial" w:eastAsia="Times New Roman" w:hAnsi="Arial" w:cs="Arial"/>
          <w:lang w:eastAsia="cs-CZ"/>
        </w:rPr>
      </w:pPr>
      <w:r w:rsidRPr="005D6ACA">
        <w:rPr>
          <w:rFonts w:ascii="Arial" w:eastAsia="Times New Roman" w:hAnsi="Arial" w:cs="Arial"/>
          <w:lang w:eastAsia="cs-CZ"/>
        </w:rPr>
        <w:t>Propojit data z šetření ČSÚ a IS VaVaI s daty z oblasti trhu práce (registry Státní správy sociálního zabezpečení) a jejich rozšíření o genderové statistiky. Na základě nových dat a</w:t>
      </w:r>
      <w:r w:rsidR="001C57AC">
        <w:rPr>
          <w:rFonts w:ascii="Arial" w:eastAsia="Times New Roman" w:hAnsi="Arial" w:cs="Arial"/>
          <w:lang w:eastAsia="cs-CZ"/>
        </w:rPr>
        <w:t> </w:t>
      </w:r>
      <w:r w:rsidRPr="005D6ACA">
        <w:rPr>
          <w:rFonts w:ascii="Arial" w:eastAsia="Times New Roman" w:hAnsi="Arial" w:cs="Arial"/>
          <w:lang w:eastAsia="cs-CZ"/>
        </w:rPr>
        <w:t>přístupů provést podrobnější analýzy lidských zdrojů ve VaVaI.</w:t>
      </w:r>
    </w:p>
    <w:p w:rsidR="001309B5" w:rsidRPr="005D6ACA" w:rsidRDefault="001309B5" w:rsidP="001309B5">
      <w:pPr>
        <w:pStyle w:val="Odstavecseseznamem"/>
        <w:numPr>
          <w:ilvl w:val="0"/>
          <w:numId w:val="18"/>
        </w:numPr>
        <w:spacing w:after="0" w:line="360" w:lineRule="auto"/>
        <w:jc w:val="both"/>
        <w:rPr>
          <w:rFonts w:ascii="Arial" w:eastAsia="Times New Roman" w:hAnsi="Arial" w:cs="Arial"/>
          <w:lang w:eastAsia="cs-CZ"/>
        </w:rPr>
      </w:pPr>
      <w:r w:rsidRPr="005D6ACA">
        <w:rPr>
          <w:rFonts w:ascii="Arial" w:eastAsia="Times New Roman" w:hAnsi="Arial" w:cs="Arial"/>
          <w:lang w:eastAsia="cs-CZ"/>
        </w:rPr>
        <w:t>Vytvořit virtuální platformy zaměřené na konkrétní výzkumná a vývojová témata potřebná pro posílení konkurenceschopnosti významných odvětví národního hospodářství, ve kterých budou hrát klíčovou roli infrastruktury VaVaI.</w:t>
      </w:r>
    </w:p>
    <w:p w:rsidR="001309B5" w:rsidRPr="005D6ACA" w:rsidRDefault="001309B5" w:rsidP="001309B5">
      <w:pPr>
        <w:pStyle w:val="Odstavecseseznamem"/>
        <w:numPr>
          <w:ilvl w:val="0"/>
          <w:numId w:val="18"/>
        </w:numPr>
        <w:spacing w:after="0" w:line="360" w:lineRule="auto"/>
        <w:jc w:val="both"/>
        <w:rPr>
          <w:rFonts w:ascii="Arial" w:eastAsia="Times New Roman" w:hAnsi="Arial" w:cs="Arial"/>
          <w:lang w:eastAsia="cs-CZ"/>
        </w:rPr>
      </w:pPr>
      <w:r w:rsidRPr="005D6ACA">
        <w:rPr>
          <w:rFonts w:ascii="Arial" w:eastAsia="Times New Roman" w:hAnsi="Arial" w:cs="Arial"/>
          <w:lang w:eastAsia="cs-CZ"/>
        </w:rPr>
        <w:t>Posílit složku institucionální podpory dlouhodobého koncepčního rozvoje výzkumných organizací ve financování provozu a dalšího rozvoje infrastruktur.</w:t>
      </w:r>
    </w:p>
    <w:p w:rsidR="001309B5" w:rsidRPr="00380950" w:rsidRDefault="001309B5" w:rsidP="001309B5">
      <w:pPr>
        <w:pStyle w:val="Odstavecseseznamem"/>
        <w:numPr>
          <w:ilvl w:val="0"/>
          <w:numId w:val="18"/>
        </w:numPr>
        <w:spacing w:after="0" w:line="360" w:lineRule="auto"/>
        <w:jc w:val="both"/>
        <w:rPr>
          <w:rFonts w:ascii="Arial" w:eastAsia="Times New Roman" w:hAnsi="Arial" w:cs="Arial"/>
          <w:lang w:eastAsia="cs-CZ"/>
        </w:rPr>
      </w:pPr>
      <w:r w:rsidRPr="005D6ACA">
        <w:rPr>
          <w:rFonts w:ascii="Arial" w:eastAsia="Times New Roman" w:hAnsi="Arial" w:cs="Arial"/>
          <w:lang w:eastAsia="cs-CZ"/>
        </w:rPr>
        <w:t>Zmapovat možnosti uplatnění infrastruktur v aplikovaném výzkumu</w:t>
      </w:r>
      <w:r>
        <w:rPr>
          <w:rFonts w:ascii="Arial" w:eastAsia="Times New Roman" w:hAnsi="Arial" w:cs="Arial"/>
          <w:lang w:eastAsia="cs-CZ"/>
        </w:rPr>
        <w:t xml:space="preserve"> pro potřeby významných odvětví národního hospodářství a definovat jejich roli v systému provádění a podpory aplikovaného výzkumu v ČR.</w:t>
      </w:r>
    </w:p>
    <w:p w:rsidR="001309B5" w:rsidRPr="00F02504" w:rsidRDefault="001309B5" w:rsidP="001309B5">
      <w:pPr>
        <w:numPr>
          <w:ilvl w:val="0"/>
          <w:numId w:val="18"/>
        </w:numPr>
        <w:spacing w:after="0" w:line="360" w:lineRule="auto"/>
        <w:contextualSpacing/>
        <w:jc w:val="both"/>
        <w:rPr>
          <w:rFonts w:ascii="Arial" w:hAnsi="Arial" w:cs="Arial"/>
        </w:rPr>
      </w:pPr>
      <w:r w:rsidRPr="00F02504">
        <w:rPr>
          <w:rFonts w:ascii="Arial" w:hAnsi="Arial" w:cs="Arial"/>
        </w:rPr>
        <w:t>Zavést opatření motivující výzkumné organizace k provádění aplikovaného výzkumu, což by se mělo projevit nárůstem poměru aplikovaných výsledků vůči publikačním.</w:t>
      </w:r>
    </w:p>
    <w:p w:rsidR="001309B5" w:rsidRDefault="001309B5" w:rsidP="001309B5">
      <w:pPr>
        <w:numPr>
          <w:ilvl w:val="0"/>
          <w:numId w:val="18"/>
        </w:numPr>
        <w:spacing w:after="0" w:line="360" w:lineRule="auto"/>
        <w:contextualSpacing/>
        <w:jc w:val="both"/>
        <w:rPr>
          <w:rFonts w:ascii="Arial" w:hAnsi="Arial" w:cs="Arial"/>
        </w:rPr>
      </w:pPr>
      <w:r w:rsidRPr="00F02504">
        <w:rPr>
          <w:rFonts w:ascii="Arial" w:hAnsi="Arial" w:cs="Arial"/>
        </w:rPr>
        <w:lastRenderedPageBreak/>
        <w:t>Zavést opatření podporující zvyšování kvality publikačních výstupů, zejména v</w:t>
      </w:r>
      <w:r>
        <w:rPr>
          <w:rFonts w:ascii="Arial" w:hAnsi="Arial" w:cs="Arial"/>
        </w:rPr>
        <w:t> </w:t>
      </w:r>
      <w:r w:rsidRPr="00F02504">
        <w:rPr>
          <w:rFonts w:ascii="Arial" w:hAnsi="Arial" w:cs="Arial"/>
        </w:rPr>
        <w:t xml:space="preserve">základním výzkumu. </w:t>
      </w:r>
    </w:p>
    <w:p w:rsidR="00334C28" w:rsidRPr="005D6ACA" w:rsidRDefault="00263B24" w:rsidP="001309B5">
      <w:pPr>
        <w:numPr>
          <w:ilvl w:val="0"/>
          <w:numId w:val="18"/>
        </w:numPr>
        <w:spacing w:after="0" w:line="360" w:lineRule="auto"/>
        <w:contextualSpacing/>
        <w:jc w:val="both"/>
        <w:rPr>
          <w:rFonts w:ascii="Arial" w:hAnsi="Arial" w:cs="Arial"/>
        </w:rPr>
      </w:pPr>
      <w:r>
        <w:rPr>
          <w:rFonts w:ascii="Arial" w:hAnsi="Arial" w:cs="Arial"/>
        </w:rPr>
        <w:t>Optimalizovat</w:t>
      </w:r>
      <w:r w:rsidR="00334C28" w:rsidRPr="005D6ACA">
        <w:rPr>
          <w:rFonts w:ascii="Arial" w:hAnsi="Arial" w:cs="Arial"/>
        </w:rPr>
        <w:t xml:space="preserve"> způsob hodnocení </w:t>
      </w:r>
      <w:r w:rsidR="009A1D5A">
        <w:rPr>
          <w:rFonts w:ascii="Arial" w:hAnsi="Arial" w:cs="Arial"/>
        </w:rPr>
        <w:t>organizací pro výzkum a šíření znalostí</w:t>
      </w:r>
      <w:r>
        <w:rPr>
          <w:rFonts w:ascii="Arial" w:hAnsi="Arial" w:cs="Arial"/>
        </w:rPr>
        <w:t xml:space="preserve"> zohledňující kvalitu vytvořených </w:t>
      </w:r>
      <w:r w:rsidR="00334C28" w:rsidRPr="005D6ACA">
        <w:rPr>
          <w:rFonts w:ascii="Arial" w:hAnsi="Arial" w:cs="Arial"/>
        </w:rPr>
        <w:t xml:space="preserve">výsledků </w:t>
      </w:r>
      <w:r>
        <w:rPr>
          <w:rFonts w:ascii="Arial" w:hAnsi="Arial" w:cs="Arial"/>
        </w:rPr>
        <w:t>dle mezinárodně užívaných s</w:t>
      </w:r>
      <w:r w:rsidRPr="005D6ACA">
        <w:rPr>
          <w:rFonts w:ascii="Arial" w:hAnsi="Arial" w:cs="Arial"/>
        </w:rPr>
        <w:t>tandardů a doporučení</w:t>
      </w:r>
      <w:r>
        <w:rPr>
          <w:rFonts w:ascii="Arial" w:hAnsi="Arial" w:cs="Arial"/>
        </w:rPr>
        <w:t xml:space="preserve"> </w:t>
      </w:r>
      <w:proofErr w:type="spellStart"/>
      <w:r w:rsidR="00334C28" w:rsidRPr="005D6ACA">
        <w:rPr>
          <w:rFonts w:ascii="Arial" w:hAnsi="Arial" w:cs="Arial"/>
        </w:rPr>
        <w:t>VaVaI</w:t>
      </w:r>
      <w:proofErr w:type="spellEnd"/>
      <w:r w:rsidR="00334C28" w:rsidRPr="005D6ACA">
        <w:rPr>
          <w:rFonts w:ascii="Arial" w:hAnsi="Arial" w:cs="Arial"/>
        </w:rPr>
        <w:t xml:space="preserve"> </w:t>
      </w:r>
      <w:r>
        <w:rPr>
          <w:rFonts w:ascii="Arial" w:hAnsi="Arial" w:cs="Arial"/>
        </w:rPr>
        <w:t>při</w:t>
      </w:r>
      <w:r w:rsidR="008B7162">
        <w:rPr>
          <w:rFonts w:ascii="Arial" w:hAnsi="Arial" w:cs="Arial"/>
        </w:rPr>
        <w:t> </w:t>
      </w:r>
      <w:bookmarkStart w:id="23" w:name="_GoBack"/>
      <w:bookmarkEnd w:id="23"/>
      <w:r>
        <w:rPr>
          <w:rFonts w:ascii="Arial" w:hAnsi="Arial" w:cs="Arial"/>
        </w:rPr>
        <w:t>respektování specifik ČR</w:t>
      </w:r>
      <w:r w:rsidR="00334C28" w:rsidRPr="005D6ACA">
        <w:rPr>
          <w:rFonts w:ascii="Arial" w:hAnsi="Arial" w:cs="Arial"/>
        </w:rPr>
        <w:t>.</w:t>
      </w:r>
    </w:p>
    <w:p w:rsidR="001309B5" w:rsidRPr="005D6ACA" w:rsidRDefault="001309B5" w:rsidP="001309B5">
      <w:pPr>
        <w:pStyle w:val="Odstavecseseznamem"/>
        <w:numPr>
          <w:ilvl w:val="0"/>
          <w:numId w:val="18"/>
        </w:numPr>
        <w:spacing w:after="0" w:line="360" w:lineRule="auto"/>
        <w:jc w:val="both"/>
        <w:rPr>
          <w:rFonts w:ascii="Arial" w:eastAsia="Times New Roman" w:hAnsi="Arial" w:cs="Arial"/>
          <w:lang w:eastAsia="cs-CZ"/>
        </w:rPr>
      </w:pPr>
      <w:r w:rsidRPr="005D6ACA">
        <w:rPr>
          <w:rFonts w:ascii="Arial" w:hAnsi="Arial" w:cs="Arial"/>
        </w:rPr>
        <w:t>Zajistit evidenci informací o využití výsledků na národní úrovni.</w:t>
      </w:r>
    </w:p>
    <w:p w:rsidR="001309B5" w:rsidRPr="005D6ACA" w:rsidRDefault="001309B5" w:rsidP="001309B5">
      <w:pPr>
        <w:numPr>
          <w:ilvl w:val="0"/>
          <w:numId w:val="18"/>
        </w:numPr>
        <w:spacing w:after="0" w:line="360" w:lineRule="auto"/>
        <w:contextualSpacing/>
        <w:jc w:val="both"/>
        <w:rPr>
          <w:rFonts w:ascii="Arial" w:hAnsi="Arial" w:cs="Arial"/>
        </w:rPr>
      </w:pPr>
      <w:r w:rsidRPr="005D6ACA">
        <w:rPr>
          <w:rFonts w:ascii="Arial" w:hAnsi="Arial" w:cs="Arial"/>
        </w:rPr>
        <w:t>Podrobněji analyzovat hlavní bariéry inovačního pokroku v ČR v podobě nízkých investic rizikového kapitálu, nízkého využití ochrany duševního vlastnictví formou mezinárodních patentů, nedostatků v oblasti lidských zdrojů (středoškolsky vzdělaná mládež) a zavést opatření k jejich postupnému odstraňování.</w:t>
      </w:r>
    </w:p>
    <w:p w:rsidR="001309B5" w:rsidRDefault="001309B5" w:rsidP="001309B5">
      <w:pPr>
        <w:numPr>
          <w:ilvl w:val="0"/>
          <w:numId w:val="18"/>
        </w:numPr>
        <w:spacing w:after="0" w:line="360" w:lineRule="auto"/>
        <w:contextualSpacing/>
        <w:jc w:val="both"/>
        <w:rPr>
          <w:rFonts w:ascii="Arial" w:hAnsi="Arial" w:cs="Arial"/>
        </w:rPr>
      </w:pPr>
      <w:r>
        <w:rPr>
          <w:rFonts w:ascii="Arial" w:hAnsi="Arial" w:cs="Arial"/>
        </w:rPr>
        <w:t>Při odvětvově zaměřených analýzách pracovat na vstupu s individuálními daty s relevancí k </w:t>
      </w:r>
      <w:r w:rsidRPr="00CB4BFE">
        <w:rPr>
          <w:rFonts w:ascii="Arial" w:hAnsi="Arial" w:cs="Arial"/>
        </w:rPr>
        <w:t>výzkumu a vývoji v podnikatelském sektoru, např. ze statistických šetření ČSÚ, a z těchto dat vytvářet specifické agregáty, což neohrozí anonymitu individuáln</w:t>
      </w:r>
      <w:r w:rsidRPr="00FC6C7A">
        <w:rPr>
          <w:rFonts w:ascii="Arial" w:hAnsi="Arial" w:cs="Arial"/>
        </w:rPr>
        <w:t>ích dat.</w:t>
      </w:r>
    </w:p>
    <w:p w:rsidR="008B7162" w:rsidRDefault="001309B5" w:rsidP="008B7162">
      <w:pPr>
        <w:numPr>
          <w:ilvl w:val="0"/>
          <w:numId w:val="18"/>
        </w:numPr>
        <w:spacing w:after="0" w:line="360" w:lineRule="auto"/>
        <w:contextualSpacing/>
        <w:jc w:val="both"/>
        <w:rPr>
          <w:rFonts w:ascii="Arial" w:hAnsi="Arial" w:cs="Arial"/>
        </w:rPr>
      </w:pPr>
      <w:r w:rsidRPr="009F1B1F">
        <w:rPr>
          <w:rFonts w:ascii="Arial" w:hAnsi="Arial" w:cs="Arial"/>
        </w:rPr>
        <w:t xml:space="preserve">Dále prohloubit a rozšířit strategické debaty </w:t>
      </w:r>
      <w:r w:rsidRPr="00CB4BFE">
        <w:rPr>
          <w:rFonts w:ascii="Arial" w:hAnsi="Arial" w:cs="Arial"/>
        </w:rPr>
        <w:t>o prioritách jednotlivých odvětví národního hospodářství a tyto široce diskutovat v rámci Národních inovačních platforem.</w:t>
      </w:r>
      <w:r w:rsidR="008B7162" w:rsidRPr="008B7162">
        <w:rPr>
          <w:rFonts w:ascii="Arial" w:hAnsi="Arial" w:cs="Arial"/>
        </w:rPr>
        <w:t xml:space="preserve"> </w:t>
      </w:r>
    </w:p>
    <w:p w:rsidR="001309B5" w:rsidRPr="008B7162" w:rsidRDefault="008B7162" w:rsidP="008B7162">
      <w:pPr>
        <w:numPr>
          <w:ilvl w:val="0"/>
          <w:numId w:val="18"/>
        </w:numPr>
        <w:spacing w:after="0" w:line="360" w:lineRule="auto"/>
        <w:contextualSpacing/>
        <w:jc w:val="both"/>
        <w:rPr>
          <w:rFonts w:ascii="Arial" w:hAnsi="Arial" w:cs="Arial"/>
        </w:rPr>
      </w:pPr>
      <w:r>
        <w:rPr>
          <w:rFonts w:ascii="Arial" w:hAnsi="Arial" w:cs="Arial"/>
        </w:rPr>
        <w:t xml:space="preserve">Podrobně zmapovat základní makroekonomické veličiny dle jednotlivých odvětví ve vazbě na aplikovaný výzkum </w:t>
      </w:r>
      <w:r>
        <w:rPr>
          <w:rFonts w:ascii="Arial" w:hAnsi="Arial" w:cs="Arial"/>
        </w:rPr>
        <w:t>a tyto veličiny meziročně porovnávat.</w:t>
      </w:r>
    </w:p>
    <w:p w:rsidR="00297B96" w:rsidRDefault="00297B96">
      <w:pPr>
        <w:rPr>
          <w:rFonts w:ascii="Arial" w:eastAsia="Times New Roman" w:hAnsi="Arial" w:cs="Arial"/>
          <w:lang w:eastAsia="cs-CZ"/>
        </w:rPr>
      </w:pPr>
      <w:r>
        <w:rPr>
          <w:rFonts w:ascii="Arial" w:eastAsia="Times New Roman" w:hAnsi="Arial" w:cs="Arial"/>
          <w:lang w:eastAsia="cs-CZ"/>
        </w:rPr>
        <w:br w:type="page"/>
      </w:r>
    </w:p>
    <w:p w:rsidR="007F374B" w:rsidRDefault="007F374B" w:rsidP="007F374B">
      <w:pPr>
        <w:pStyle w:val="Nadpis1"/>
      </w:pPr>
      <w:bookmarkStart w:id="24" w:name="_Toc427676910"/>
      <w:r>
        <w:lastRenderedPageBreak/>
        <w:t>Seznam zkratek</w:t>
      </w:r>
      <w:bookmarkEnd w:id="24"/>
    </w:p>
    <w:p w:rsidR="00473D34" w:rsidRDefault="00473D34" w:rsidP="00473D34">
      <w:pPr>
        <w:tabs>
          <w:tab w:val="left" w:pos="1418"/>
        </w:tabs>
        <w:spacing w:after="60" w:line="240" w:lineRule="auto"/>
      </w:pPr>
      <w:r>
        <w:t>7. RP</w:t>
      </w:r>
      <w:r>
        <w:tab/>
        <w:t>7. rámcový program Evropské unie pro výzkum a technologický rozvoj</w:t>
      </w:r>
    </w:p>
    <w:p w:rsidR="00473D34" w:rsidRDefault="00473D34" w:rsidP="00473D34">
      <w:pPr>
        <w:tabs>
          <w:tab w:val="left" w:pos="1418"/>
        </w:tabs>
        <w:spacing w:after="60" w:line="240" w:lineRule="auto"/>
      </w:pPr>
      <w:r>
        <w:t>AT</w:t>
      </w:r>
      <w:r>
        <w:tab/>
        <w:t>Rakousko</w:t>
      </w:r>
    </w:p>
    <w:p w:rsidR="00473D34" w:rsidRDefault="00473D34" w:rsidP="00473D34">
      <w:pPr>
        <w:tabs>
          <w:tab w:val="left" w:pos="1418"/>
        </w:tabs>
        <w:spacing w:after="60" w:line="240" w:lineRule="auto"/>
      </w:pPr>
      <w:r>
        <w:t xml:space="preserve">AV </w:t>
      </w:r>
      <w:r>
        <w:tab/>
        <w:t xml:space="preserve">Veřejné výzkumné instituce, které zřídila AV ČR dle zákona č. 341/2005 </w:t>
      </w:r>
      <w:proofErr w:type="spellStart"/>
      <w:r>
        <w:t>Sb</w:t>
      </w:r>
      <w:proofErr w:type="spellEnd"/>
    </w:p>
    <w:p w:rsidR="00473D34" w:rsidRDefault="00473D34" w:rsidP="00473D34">
      <w:pPr>
        <w:tabs>
          <w:tab w:val="left" w:pos="1418"/>
        </w:tabs>
        <w:spacing w:after="60" w:line="240" w:lineRule="auto"/>
      </w:pPr>
      <w:r>
        <w:t>AV ČR</w:t>
      </w:r>
      <w:r>
        <w:tab/>
        <w:t>Akademie věd České republiky</w:t>
      </w:r>
    </w:p>
    <w:p w:rsidR="00473D34" w:rsidRDefault="00473D34" w:rsidP="00473D34">
      <w:pPr>
        <w:tabs>
          <w:tab w:val="left" w:pos="1418"/>
        </w:tabs>
        <w:spacing w:after="60" w:line="240" w:lineRule="auto"/>
      </w:pPr>
      <w:r>
        <w:t>BERD</w:t>
      </w:r>
      <w:r>
        <w:tab/>
        <w:t xml:space="preserve">Business </w:t>
      </w:r>
      <w:proofErr w:type="spellStart"/>
      <w:r>
        <w:t>Enterprise</w:t>
      </w:r>
      <w:proofErr w:type="spellEnd"/>
      <w:r>
        <w:t xml:space="preserve"> </w:t>
      </w:r>
      <w:proofErr w:type="spellStart"/>
      <w:r>
        <w:t>Expenditure</w:t>
      </w:r>
      <w:proofErr w:type="spellEnd"/>
      <w:r>
        <w:t xml:space="preserve"> on R&amp;D – výdaje na </w:t>
      </w:r>
      <w:proofErr w:type="spellStart"/>
      <w:r>
        <w:t>VaV</w:t>
      </w:r>
      <w:proofErr w:type="spellEnd"/>
      <w:r>
        <w:t xml:space="preserve"> v podnikatelském sektoru</w:t>
      </w:r>
    </w:p>
    <w:p w:rsidR="00473D34" w:rsidRDefault="00473D34" w:rsidP="00473D34">
      <w:pPr>
        <w:tabs>
          <w:tab w:val="left" w:pos="1418"/>
        </w:tabs>
        <w:spacing w:after="60" w:line="240" w:lineRule="auto"/>
      </w:pPr>
      <w:r>
        <w:t>BIOCEV</w:t>
      </w:r>
      <w:r>
        <w:tab/>
      </w:r>
      <w:r w:rsidR="001354D7" w:rsidRPr="001354D7">
        <w:t>Biotechnologické a biomedicínské centrum Akademie věd ČR a Univerzity Karlovy v Praze</w:t>
      </w:r>
    </w:p>
    <w:p w:rsidR="00473D34" w:rsidRDefault="00473D34" w:rsidP="00473D34">
      <w:pPr>
        <w:tabs>
          <w:tab w:val="left" w:pos="1418"/>
        </w:tabs>
        <w:spacing w:after="60" w:line="240" w:lineRule="auto"/>
      </w:pPr>
      <w:r>
        <w:t>BIOMEDREG</w:t>
      </w:r>
      <w:r>
        <w:tab/>
        <w:t>Biomedicína pro regionální rozvoj a lidské zdroj</w:t>
      </w:r>
    </w:p>
    <w:p w:rsidR="00473D34" w:rsidRDefault="00473D34" w:rsidP="00473D34">
      <w:pPr>
        <w:tabs>
          <w:tab w:val="left" w:pos="1418"/>
        </w:tabs>
        <w:spacing w:after="60" w:line="240" w:lineRule="auto"/>
      </w:pPr>
      <w:r>
        <w:t>CCI</w:t>
      </w:r>
      <w:r>
        <w:tab/>
      </w:r>
      <w:proofErr w:type="spellStart"/>
      <w:r>
        <w:t>Cultural</w:t>
      </w:r>
      <w:proofErr w:type="spellEnd"/>
      <w:r>
        <w:t xml:space="preserve"> &amp; </w:t>
      </w:r>
      <w:proofErr w:type="spellStart"/>
      <w:r>
        <w:t>Creative</w:t>
      </w:r>
      <w:proofErr w:type="spellEnd"/>
      <w:r>
        <w:t xml:space="preserve"> </w:t>
      </w:r>
      <w:proofErr w:type="spellStart"/>
      <w:r>
        <w:t>Industry</w:t>
      </w:r>
      <w:proofErr w:type="spellEnd"/>
    </w:p>
    <w:p w:rsidR="00473D34" w:rsidRDefault="00473D34" w:rsidP="00473D34">
      <w:pPr>
        <w:tabs>
          <w:tab w:val="left" w:pos="1418"/>
        </w:tabs>
        <w:spacing w:after="60" w:line="240" w:lineRule="auto"/>
      </w:pPr>
      <w:r>
        <w:t>CEA</w:t>
      </w:r>
      <w:r>
        <w:tab/>
        <w:t>Centrální evidence aktivit výzkumu</w:t>
      </w:r>
    </w:p>
    <w:p w:rsidR="00473D34" w:rsidRDefault="00473D34" w:rsidP="00473D34">
      <w:pPr>
        <w:tabs>
          <w:tab w:val="left" w:pos="1418"/>
        </w:tabs>
        <w:spacing w:after="60" w:line="240" w:lineRule="auto"/>
      </w:pPr>
      <w:r>
        <w:t>CEITEC</w:t>
      </w:r>
      <w:r>
        <w:tab/>
      </w:r>
      <w:r w:rsidR="001354D7" w:rsidRPr="001354D7">
        <w:t>CEITEC-středoevropský technologický institut</w:t>
      </w:r>
    </w:p>
    <w:p w:rsidR="00473D34" w:rsidRDefault="00473D34" w:rsidP="00473D34">
      <w:pPr>
        <w:tabs>
          <w:tab w:val="left" w:pos="1418"/>
        </w:tabs>
        <w:spacing w:after="60" w:line="240" w:lineRule="auto"/>
      </w:pPr>
      <w:r>
        <w:t>CEP</w:t>
      </w:r>
      <w:r>
        <w:tab/>
        <w:t>Centrální evidence projektů výzkumu, experimentálního vývoje a inovací</w:t>
      </w:r>
    </w:p>
    <w:p w:rsidR="00473D34" w:rsidRDefault="00473D34" w:rsidP="00473D34">
      <w:pPr>
        <w:tabs>
          <w:tab w:val="left" w:pos="1418"/>
        </w:tabs>
        <w:spacing w:after="60" w:line="240" w:lineRule="auto"/>
      </w:pPr>
      <w:r>
        <w:t>CETOCOEN</w:t>
      </w:r>
      <w:r>
        <w:tab/>
        <w:t>Centrum pro výzkum toxických látek v prostředí</w:t>
      </w:r>
    </w:p>
    <w:p w:rsidR="00473D34" w:rsidRDefault="00473D34" w:rsidP="00473D34">
      <w:pPr>
        <w:tabs>
          <w:tab w:val="left" w:pos="1418"/>
        </w:tabs>
        <w:spacing w:after="60" w:line="240" w:lineRule="auto"/>
      </w:pPr>
      <w:r>
        <w:t xml:space="preserve">CEZ </w:t>
      </w:r>
      <w:r>
        <w:tab/>
        <w:t>Centrální evidence výzkumných záměrů</w:t>
      </w:r>
    </w:p>
    <w:p w:rsidR="00473D34" w:rsidRDefault="00473D34" w:rsidP="00473D34">
      <w:pPr>
        <w:tabs>
          <w:tab w:val="left" w:pos="1418"/>
        </w:tabs>
        <w:spacing w:after="60" w:line="240" w:lineRule="auto"/>
      </w:pPr>
      <w:r>
        <w:t>CIS</w:t>
      </w:r>
      <w:r>
        <w:tab/>
      </w:r>
      <w:proofErr w:type="spellStart"/>
      <w:r>
        <w:t>Community</w:t>
      </w:r>
      <w:proofErr w:type="spellEnd"/>
      <w:r>
        <w:t xml:space="preserve"> </w:t>
      </w:r>
      <w:proofErr w:type="spellStart"/>
      <w:r>
        <w:t>Innovation</w:t>
      </w:r>
      <w:proofErr w:type="spellEnd"/>
      <w:r>
        <w:t xml:space="preserve"> </w:t>
      </w:r>
      <w:proofErr w:type="spellStart"/>
      <w:r>
        <w:t>Survey</w:t>
      </w:r>
      <w:proofErr w:type="spellEnd"/>
    </w:p>
    <w:p w:rsidR="00473D34" w:rsidRDefault="00473D34" w:rsidP="00473D34">
      <w:pPr>
        <w:tabs>
          <w:tab w:val="left" w:pos="1418"/>
        </w:tabs>
        <w:spacing w:after="60" w:line="240" w:lineRule="auto"/>
      </w:pPr>
      <w:r>
        <w:t>COMP</w:t>
      </w:r>
      <w:r>
        <w:tab/>
        <w:t>Kombinace dílčích ukazatelů zboží a služeb s použitím stejné váhy</w:t>
      </w:r>
    </w:p>
    <w:p w:rsidR="00473D34" w:rsidRDefault="00473D34" w:rsidP="00473D34">
      <w:pPr>
        <w:tabs>
          <w:tab w:val="left" w:pos="1418"/>
        </w:tabs>
        <w:spacing w:after="60" w:line="240" w:lineRule="auto"/>
      </w:pPr>
      <w:r>
        <w:t>CZ-NACE</w:t>
      </w:r>
      <w:r>
        <w:tab/>
        <w:t>Klasifikace ekonomických činností</w:t>
      </w:r>
    </w:p>
    <w:p w:rsidR="00473D34" w:rsidRDefault="00473D34" w:rsidP="00473D34">
      <w:pPr>
        <w:tabs>
          <w:tab w:val="left" w:pos="1418"/>
        </w:tabs>
        <w:spacing w:after="60" w:line="240" w:lineRule="auto"/>
      </w:pPr>
      <w:r>
        <w:t>ČNB</w:t>
      </w:r>
      <w:r>
        <w:tab/>
        <w:t>Česká národní banka</w:t>
      </w:r>
    </w:p>
    <w:p w:rsidR="00473D34" w:rsidRDefault="00473D34" w:rsidP="00473D34">
      <w:pPr>
        <w:tabs>
          <w:tab w:val="left" w:pos="1418"/>
        </w:tabs>
        <w:spacing w:after="60" w:line="240" w:lineRule="auto"/>
      </w:pPr>
      <w:r>
        <w:t>ČR</w:t>
      </w:r>
      <w:r>
        <w:tab/>
        <w:t>Česká republika</w:t>
      </w:r>
    </w:p>
    <w:p w:rsidR="00473D34" w:rsidRDefault="00473D34" w:rsidP="00473D34">
      <w:pPr>
        <w:tabs>
          <w:tab w:val="left" w:pos="1418"/>
        </w:tabs>
        <w:spacing w:after="60" w:line="240" w:lineRule="auto"/>
      </w:pPr>
      <w:r>
        <w:t>ČSÚ</w:t>
      </w:r>
      <w:r>
        <w:tab/>
        <w:t>Český statistický úřad</w:t>
      </w:r>
    </w:p>
    <w:p w:rsidR="00473D34" w:rsidRDefault="00473D34" w:rsidP="00473D34">
      <w:pPr>
        <w:tabs>
          <w:tab w:val="left" w:pos="1418"/>
        </w:tabs>
        <w:spacing w:after="60" w:line="240" w:lineRule="auto"/>
      </w:pPr>
      <w:r>
        <w:t>DYN</w:t>
      </w:r>
      <w:r>
        <w:tab/>
        <w:t>Inovativnost rychle rostoucích podniků měřená jako vážený průměr zaměstnanosti</w:t>
      </w:r>
    </w:p>
    <w:p w:rsidR="00473D34" w:rsidRDefault="00473D34" w:rsidP="00473D34">
      <w:pPr>
        <w:tabs>
          <w:tab w:val="left" w:pos="1418"/>
        </w:tabs>
        <w:spacing w:after="60" w:line="240" w:lineRule="auto"/>
      </w:pPr>
      <w:r>
        <w:t>EGSE</w:t>
      </w:r>
      <w:r>
        <w:tab/>
      </w:r>
      <w:proofErr w:type="spellStart"/>
      <w:r>
        <w:t>Electrical</w:t>
      </w:r>
      <w:proofErr w:type="spellEnd"/>
      <w:r>
        <w:t xml:space="preserve"> </w:t>
      </w:r>
      <w:proofErr w:type="spellStart"/>
      <w:r>
        <w:t>Ground</w:t>
      </w:r>
      <w:proofErr w:type="spellEnd"/>
      <w:r>
        <w:t xml:space="preserve"> Support </w:t>
      </w:r>
      <w:proofErr w:type="spellStart"/>
      <w:r>
        <w:t>Equipment</w:t>
      </w:r>
      <w:proofErr w:type="spellEnd"/>
      <w:r>
        <w:t xml:space="preserve"> </w:t>
      </w:r>
    </w:p>
    <w:p w:rsidR="00473D34" w:rsidRDefault="00473D34" w:rsidP="00473D34">
      <w:pPr>
        <w:tabs>
          <w:tab w:val="left" w:pos="1418"/>
        </w:tabs>
        <w:spacing w:after="60" w:line="240" w:lineRule="auto"/>
      </w:pPr>
      <w:r>
        <w:t>EK</w:t>
      </w:r>
      <w:r>
        <w:tab/>
        <w:t xml:space="preserve">Evropské komise / </w:t>
      </w:r>
      <w:proofErr w:type="spellStart"/>
      <w:r>
        <w:t>European</w:t>
      </w:r>
      <w:proofErr w:type="spellEnd"/>
      <w:r>
        <w:t xml:space="preserve"> </w:t>
      </w:r>
      <w:proofErr w:type="spellStart"/>
      <w:r>
        <w:t>Commission</w:t>
      </w:r>
      <w:proofErr w:type="spellEnd"/>
    </w:p>
    <w:p w:rsidR="00473D34" w:rsidRDefault="00473D34" w:rsidP="00473D34">
      <w:pPr>
        <w:tabs>
          <w:tab w:val="left" w:pos="1418"/>
        </w:tabs>
        <w:spacing w:after="60" w:line="240" w:lineRule="auto"/>
      </w:pPr>
      <w:r>
        <w:t>ELI</w:t>
      </w:r>
      <w:r>
        <w:tab/>
      </w:r>
      <w:proofErr w:type="spellStart"/>
      <w:r>
        <w:t>Extreme</w:t>
      </w:r>
      <w:proofErr w:type="spellEnd"/>
      <w:r>
        <w:t xml:space="preserve"> </w:t>
      </w:r>
      <w:proofErr w:type="spellStart"/>
      <w:r>
        <w:t>Light</w:t>
      </w:r>
      <w:proofErr w:type="spellEnd"/>
      <w:r>
        <w:t xml:space="preserve"> </w:t>
      </w:r>
      <w:proofErr w:type="spellStart"/>
      <w:r>
        <w:t>Infrastructure</w:t>
      </w:r>
      <w:proofErr w:type="spellEnd"/>
    </w:p>
    <w:p w:rsidR="00473D34" w:rsidRDefault="00473D34" w:rsidP="00473D34">
      <w:pPr>
        <w:tabs>
          <w:tab w:val="left" w:pos="1418"/>
        </w:tabs>
        <w:spacing w:after="60" w:line="240" w:lineRule="auto"/>
      </w:pPr>
      <w:r>
        <w:t>EPO</w:t>
      </w:r>
      <w:r>
        <w:tab/>
        <w:t>Evropský patentový úřad</w:t>
      </w:r>
    </w:p>
    <w:p w:rsidR="00473D34" w:rsidRDefault="00473D34" w:rsidP="00473D34">
      <w:pPr>
        <w:tabs>
          <w:tab w:val="left" w:pos="1418"/>
        </w:tabs>
        <w:spacing w:after="60" w:line="240" w:lineRule="auto"/>
      </w:pPr>
      <w:r>
        <w:t>ERDF</w:t>
      </w:r>
      <w:r>
        <w:tab/>
        <w:t>Evropský fond pro regionální rozvoj</w:t>
      </w:r>
    </w:p>
    <w:p w:rsidR="00473D34" w:rsidRDefault="00473D34" w:rsidP="00473D34">
      <w:pPr>
        <w:tabs>
          <w:tab w:val="left" w:pos="1418"/>
        </w:tabs>
        <w:spacing w:after="60" w:line="240" w:lineRule="auto"/>
      </w:pPr>
      <w:r>
        <w:t>ERIC</w:t>
      </w:r>
      <w:r>
        <w:tab/>
        <w:t>Společenství pro konsorcium evropské výzkumné infrastruktury</w:t>
      </w:r>
    </w:p>
    <w:p w:rsidR="00473D34" w:rsidRDefault="00473D34" w:rsidP="00473D34">
      <w:pPr>
        <w:tabs>
          <w:tab w:val="left" w:pos="1418"/>
        </w:tabs>
        <w:spacing w:after="60" w:line="240" w:lineRule="auto"/>
      </w:pPr>
      <w:r>
        <w:t>ES</w:t>
      </w:r>
      <w:r>
        <w:tab/>
        <w:t>Evropské společenství</w:t>
      </w:r>
    </w:p>
    <w:p w:rsidR="00473D34" w:rsidRDefault="00473D34" w:rsidP="00473D34">
      <w:pPr>
        <w:tabs>
          <w:tab w:val="left" w:pos="1418"/>
        </w:tabs>
        <w:spacing w:after="60" w:line="240" w:lineRule="auto"/>
      </w:pPr>
      <w:r>
        <w:t>ESF</w:t>
      </w:r>
      <w:r>
        <w:tab/>
        <w:t>Evropský sociální fond</w:t>
      </w:r>
    </w:p>
    <w:p w:rsidR="00473D34" w:rsidRDefault="00473D34" w:rsidP="00473D34">
      <w:pPr>
        <w:tabs>
          <w:tab w:val="left" w:pos="1418"/>
        </w:tabs>
        <w:spacing w:after="60" w:line="240" w:lineRule="auto"/>
      </w:pPr>
      <w:r>
        <w:t>ESFRI</w:t>
      </w:r>
      <w:r>
        <w:tab/>
        <w:t>Evropského strategického fóra pro výzkumné infrastruktury</w:t>
      </w:r>
    </w:p>
    <w:p w:rsidR="00473D34" w:rsidRDefault="00473D34" w:rsidP="00473D34">
      <w:pPr>
        <w:tabs>
          <w:tab w:val="left" w:pos="1418"/>
        </w:tabs>
        <w:spacing w:after="60" w:line="240" w:lineRule="auto"/>
      </w:pPr>
      <w:r>
        <w:t>ESIF</w:t>
      </w:r>
      <w:r>
        <w:tab/>
        <w:t>Evropské strukturální a investiční fondy</w:t>
      </w:r>
    </w:p>
    <w:p w:rsidR="00473D34" w:rsidRDefault="00473D34" w:rsidP="00473D34">
      <w:pPr>
        <w:tabs>
          <w:tab w:val="left" w:pos="1418"/>
        </w:tabs>
        <w:spacing w:after="60" w:line="240" w:lineRule="auto"/>
      </w:pPr>
      <w:r>
        <w:t>EU</w:t>
      </w:r>
      <w:r>
        <w:tab/>
        <w:t>Evropská unie</w:t>
      </w:r>
    </w:p>
    <w:p w:rsidR="00473D34" w:rsidRDefault="00473D34" w:rsidP="00473D34">
      <w:pPr>
        <w:tabs>
          <w:tab w:val="left" w:pos="1418"/>
        </w:tabs>
        <w:spacing w:after="60" w:line="240" w:lineRule="auto"/>
      </w:pPr>
      <w:r>
        <w:t>EU 28</w:t>
      </w:r>
      <w:r>
        <w:tab/>
        <w:t>Všechny členské státy EU od července 2013 (včetně Chorvatska)</w:t>
      </w:r>
    </w:p>
    <w:p w:rsidR="00473D34" w:rsidRDefault="00473D34" w:rsidP="00473D34">
      <w:pPr>
        <w:tabs>
          <w:tab w:val="left" w:pos="1418"/>
        </w:tabs>
        <w:spacing w:after="60" w:line="240" w:lineRule="auto"/>
      </w:pPr>
      <w:proofErr w:type="spellStart"/>
      <w:r>
        <w:t>Eurostat</w:t>
      </w:r>
      <w:proofErr w:type="spellEnd"/>
      <w:r>
        <w:tab/>
        <w:t>Evropský statistický úřad</w:t>
      </w:r>
    </w:p>
    <w:p w:rsidR="00473D34" w:rsidRDefault="00473D34" w:rsidP="00473D34">
      <w:pPr>
        <w:tabs>
          <w:tab w:val="left" w:pos="1418"/>
        </w:tabs>
        <w:spacing w:after="60" w:line="240" w:lineRule="auto"/>
      </w:pPr>
      <w:r>
        <w:t>FTE</w:t>
      </w:r>
      <w:r>
        <w:tab/>
        <w:t xml:space="preserve">Full </w:t>
      </w:r>
      <w:proofErr w:type="spellStart"/>
      <w:r>
        <w:t>time</w:t>
      </w:r>
      <w:proofErr w:type="spellEnd"/>
      <w:r>
        <w:t xml:space="preserve"> </w:t>
      </w:r>
      <w:proofErr w:type="spellStart"/>
      <w:r>
        <w:t>equivalent</w:t>
      </w:r>
      <w:proofErr w:type="spellEnd"/>
    </w:p>
    <w:p w:rsidR="00473D34" w:rsidRDefault="00473D34" w:rsidP="00473D34">
      <w:pPr>
        <w:tabs>
          <w:tab w:val="left" w:pos="1418"/>
        </w:tabs>
        <w:spacing w:after="60" w:line="240" w:lineRule="auto"/>
      </w:pPr>
      <w:r>
        <w:t xml:space="preserve">GA ČR </w:t>
      </w:r>
      <w:r>
        <w:tab/>
        <w:t>Grantová agentura České republiky</w:t>
      </w:r>
    </w:p>
    <w:p w:rsidR="00473D34" w:rsidRDefault="00473D34" w:rsidP="00473D34">
      <w:pPr>
        <w:tabs>
          <w:tab w:val="left" w:pos="1418"/>
        </w:tabs>
        <w:spacing w:after="60" w:line="240" w:lineRule="auto"/>
      </w:pPr>
      <w:r>
        <w:t>GERD</w:t>
      </w:r>
      <w:r>
        <w:tab/>
        <w:t xml:space="preserve">Gross </w:t>
      </w:r>
      <w:proofErr w:type="spellStart"/>
      <w:r>
        <w:t>Expenditure</w:t>
      </w:r>
      <w:proofErr w:type="spellEnd"/>
      <w:r>
        <w:t xml:space="preserve"> on R&amp;D – celkové (hrubé) výdaje na </w:t>
      </w:r>
      <w:proofErr w:type="spellStart"/>
      <w:r>
        <w:t>VaV</w:t>
      </w:r>
      <w:proofErr w:type="spellEnd"/>
    </w:p>
    <w:p w:rsidR="00473D34" w:rsidRDefault="00473D34" w:rsidP="00473D34">
      <w:pPr>
        <w:tabs>
          <w:tab w:val="left" w:pos="1418"/>
        </w:tabs>
        <w:spacing w:after="60" w:line="240" w:lineRule="auto"/>
      </w:pPr>
      <w:r>
        <w:t>GFŘ</w:t>
      </w:r>
      <w:r>
        <w:tab/>
        <w:t>Generální finanční ředitelství</w:t>
      </w:r>
    </w:p>
    <w:p w:rsidR="00473D34" w:rsidRDefault="00473D34" w:rsidP="00473D34">
      <w:pPr>
        <w:tabs>
          <w:tab w:val="left" w:pos="1418"/>
        </w:tabs>
        <w:spacing w:after="60" w:line="240" w:lineRule="auto"/>
      </w:pPr>
      <w:r>
        <w:t>GOOD</w:t>
      </w:r>
      <w:r>
        <w:tab/>
        <w:t xml:space="preserve">Vývoz </w:t>
      </w:r>
      <w:proofErr w:type="spellStart"/>
      <w:r>
        <w:t>High-tech</w:t>
      </w:r>
      <w:proofErr w:type="spellEnd"/>
      <w:r>
        <w:t xml:space="preserve"> a Medium-</w:t>
      </w:r>
      <w:proofErr w:type="spellStart"/>
      <w:r>
        <w:t>high</w:t>
      </w:r>
      <w:proofErr w:type="spellEnd"/>
      <w:r>
        <w:t>-</w:t>
      </w:r>
      <w:proofErr w:type="spellStart"/>
      <w:r>
        <w:t>tech</w:t>
      </w:r>
      <w:proofErr w:type="spellEnd"/>
      <w:r>
        <w:t xml:space="preserve"> zboží jako% z celkového vývozu zboží</w:t>
      </w:r>
    </w:p>
    <w:p w:rsidR="00473D34" w:rsidRDefault="00473D34" w:rsidP="00473D34">
      <w:pPr>
        <w:tabs>
          <w:tab w:val="left" w:pos="1418"/>
        </w:tabs>
        <w:spacing w:after="60" w:line="240" w:lineRule="auto"/>
      </w:pPr>
      <w:r>
        <w:t>GOVERD</w:t>
      </w:r>
      <w:r>
        <w:tab/>
      </w:r>
      <w:proofErr w:type="spellStart"/>
      <w:r>
        <w:t>Government</w:t>
      </w:r>
      <w:proofErr w:type="spellEnd"/>
      <w:r>
        <w:t xml:space="preserve"> </w:t>
      </w:r>
      <w:proofErr w:type="spellStart"/>
      <w:r>
        <w:t>Expenditure</w:t>
      </w:r>
      <w:proofErr w:type="spellEnd"/>
      <w:r>
        <w:t xml:space="preserve"> on R&amp;D – výdaje na </w:t>
      </w:r>
      <w:proofErr w:type="spellStart"/>
      <w:r>
        <w:t>VaV</w:t>
      </w:r>
      <w:proofErr w:type="spellEnd"/>
      <w:r>
        <w:t xml:space="preserve"> ve vládním sektoru</w:t>
      </w:r>
    </w:p>
    <w:p w:rsidR="00473D34" w:rsidRDefault="00473D34" w:rsidP="00473D34">
      <w:pPr>
        <w:tabs>
          <w:tab w:val="left" w:pos="1418"/>
        </w:tabs>
        <w:spacing w:after="60" w:line="240" w:lineRule="auto"/>
      </w:pPr>
      <w:r>
        <w:t>H2020</w:t>
      </w:r>
      <w:r>
        <w:tab/>
        <w:t xml:space="preserve">Rámcový program EU pro výzkum a inovace Horizont 2020 </w:t>
      </w:r>
    </w:p>
    <w:p w:rsidR="00473D34" w:rsidRDefault="00473D34" w:rsidP="00473D34">
      <w:pPr>
        <w:tabs>
          <w:tab w:val="left" w:pos="1418"/>
        </w:tabs>
        <w:spacing w:after="60" w:line="240" w:lineRule="auto"/>
      </w:pPr>
      <w:r>
        <w:t>HC</w:t>
      </w:r>
      <w:r>
        <w:tab/>
      </w:r>
      <w:proofErr w:type="spellStart"/>
      <w:r>
        <w:t>Headcount</w:t>
      </w:r>
      <w:proofErr w:type="spellEnd"/>
    </w:p>
    <w:p w:rsidR="00473D34" w:rsidRDefault="00473D34" w:rsidP="00473D34">
      <w:pPr>
        <w:tabs>
          <w:tab w:val="left" w:pos="1418"/>
        </w:tabs>
        <w:spacing w:after="60" w:line="240" w:lineRule="auto"/>
      </w:pPr>
      <w:r>
        <w:t>HDP</w:t>
      </w:r>
      <w:r>
        <w:tab/>
        <w:t>Hrubý domácí produkt</w:t>
      </w:r>
    </w:p>
    <w:p w:rsidR="00473D34" w:rsidRDefault="00473D34" w:rsidP="00473D34">
      <w:pPr>
        <w:tabs>
          <w:tab w:val="left" w:pos="1418"/>
        </w:tabs>
        <w:spacing w:after="60" w:line="240" w:lineRule="auto"/>
      </w:pPr>
      <w:r>
        <w:lastRenderedPageBreak/>
        <w:t>HERD</w:t>
      </w:r>
      <w:r>
        <w:tab/>
      </w:r>
      <w:proofErr w:type="spellStart"/>
      <w:r>
        <w:t>Expenditure</w:t>
      </w:r>
      <w:proofErr w:type="spellEnd"/>
      <w:r>
        <w:t xml:space="preserve"> on R&amp;D in </w:t>
      </w:r>
      <w:proofErr w:type="spellStart"/>
      <w:r>
        <w:t>Higher</w:t>
      </w:r>
      <w:proofErr w:type="spellEnd"/>
      <w:r>
        <w:t xml:space="preserve"> </w:t>
      </w:r>
      <w:proofErr w:type="spellStart"/>
      <w:r>
        <w:t>Education</w:t>
      </w:r>
      <w:proofErr w:type="spellEnd"/>
      <w:r>
        <w:t xml:space="preserve"> </w:t>
      </w:r>
      <w:proofErr w:type="spellStart"/>
      <w:r>
        <w:t>Sector</w:t>
      </w:r>
      <w:proofErr w:type="spellEnd"/>
      <w:r>
        <w:t xml:space="preserve"> – výdaje na </w:t>
      </w:r>
      <w:proofErr w:type="spellStart"/>
      <w:r>
        <w:t>VaV</w:t>
      </w:r>
      <w:proofErr w:type="spellEnd"/>
      <w:r>
        <w:t xml:space="preserve"> ve vysokoškolském sektoru</w:t>
      </w:r>
    </w:p>
    <w:p w:rsidR="00473D34" w:rsidRDefault="00473D34" w:rsidP="00473D34">
      <w:pPr>
        <w:tabs>
          <w:tab w:val="left" w:pos="1418"/>
        </w:tabs>
        <w:spacing w:after="60" w:line="240" w:lineRule="auto"/>
      </w:pPr>
      <w:r>
        <w:t>HPH</w:t>
      </w:r>
      <w:r>
        <w:tab/>
        <w:t>Hrubá přidaná hodnota</w:t>
      </w:r>
    </w:p>
    <w:p w:rsidR="00473D34" w:rsidRDefault="00473D34" w:rsidP="00473D34">
      <w:pPr>
        <w:tabs>
          <w:tab w:val="left" w:pos="1418"/>
        </w:tabs>
        <w:spacing w:after="60" w:line="240" w:lineRule="auto"/>
      </w:pPr>
      <w:r>
        <w:t>ICRC</w:t>
      </w:r>
      <w:r>
        <w:tab/>
      </w:r>
      <w:r w:rsidR="00131475" w:rsidRPr="00131475">
        <w:t>Fakultní nemocnice u sv. Anny v Brně - Mezinárodní centrum klinického výzkumu</w:t>
      </w:r>
    </w:p>
    <w:p w:rsidR="00473D34" w:rsidRDefault="00473D34" w:rsidP="00473D34">
      <w:pPr>
        <w:tabs>
          <w:tab w:val="left" w:pos="1418"/>
        </w:tabs>
        <w:spacing w:after="60" w:line="240" w:lineRule="auto"/>
      </w:pPr>
      <w:r>
        <w:t>ICT</w:t>
      </w:r>
      <w:r>
        <w:tab/>
        <w:t>Informační a komunikační technologie</w:t>
      </w:r>
    </w:p>
    <w:p w:rsidR="00473D34" w:rsidRDefault="00473D34" w:rsidP="00473D34">
      <w:pPr>
        <w:tabs>
          <w:tab w:val="left" w:pos="1418"/>
        </w:tabs>
        <w:spacing w:after="60" w:line="240" w:lineRule="auto"/>
      </w:pPr>
      <w:r>
        <w:t>IGBT</w:t>
      </w:r>
      <w:r>
        <w:tab/>
      </w:r>
      <w:proofErr w:type="spellStart"/>
      <w:r w:rsidR="00ED40E3">
        <w:t>I</w:t>
      </w:r>
      <w:r>
        <w:t>nsulated-gate</w:t>
      </w:r>
      <w:proofErr w:type="spellEnd"/>
      <w:r>
        <w:t xml:space="preserve"> </w:t>
      </w:r>
      <w:proofErr w:type="spellStart"/>
      <w:r>
        <w:t>bipolar</w:t>
      </w:r>
      <w:proofErr w:type="spellEnd"/>
      <w:r>
        <w:t xml:space="preserve"> transistor </w:t>
      </w:r>
    </w:p>
    <w:p w:rsidR="00473D34" w:rsidRDefault="00473D34" w:rsidP="00473D34">
      <w:pPr>
        <w:tabs>
          <w:tab w:val="left" w:pos="1418"/>
        </w:tabs>
        <w:spacing w:after="60" w:line="240" w:lineRule="auto"/>
      </w:pPr>
      <w:r>
        <w:t>INFRA</w:t>
      </w:r>
      <w:r>
        <w:tab/>
        <w:t xml:space="preserve">Projekty velkých infrastruktur </w:t>
      </w:r>
    </w:p>
    <w:p w:rsidR="00CD0A39" w:rsidRDefault="00CD0A39" w:rsidP="00473D34">
      <w:pPr>
        <w:tabs>
          <w:tab w:val="left" w:pos="1418"/>
        </w:tabs>
        <w:spacing w:after="60" w:line="240" w:lineRule="auto"/>
      </w:pPr>
      <w:proofErr w:type="spellStart"/>
      <w:r w:rsidRPr="00CD0A39">
        <w:t>IPn</w:t>
      </w:r>
      <w:proofErr w:type="spellEnd"/>
      <w:r w:rsidRPr="00CD0A39">
        <w:t xml:space="preserve"> Metodika</w:t>
      </w:r>
      <w:r>
        <w:tab/>
      </w:r>
      <w:r w:rsidRPr="00CD0A39">
        <w:t>Efektivní systém hodnocení a financování výzkum</w:t>
      </w:r>
      <w:r>
        <w:t>u, vývoje a inovací</w:t>
      </w:r>
    </w:p>
    <w:p w:rsidR="00473D34" w:rsidRDefault="00473D34" w:rsidP="00473D34">
      <w:pPr>
        <w:tabs>
          <w:tab w:val="left" w:pos="1418"/>
        </w:tabs>
        <w:spacing w:after="60" w:line="240" w:lineRule="auto"/>
      </w:pPr>
      <w:r>
        <w:t>IOI</w:t>
      </w:r>
      <w:r>
        <w:tab/>
      </w:r>
      <w:proofErr w:type="spellStart"/>
      <w:r>
        <w:t>The</w:t>
      </w:r>
      <w:proofErr w:type="spellEnd"/>
      <w:r>
        <w:t xml:space="preserve"> </w:t>
      </w:r>
      <w:proofErr w:type="spellStart"/>
      <w:r>
        <w:t>Innovation</w:t>
      </w:r>
      <w:proofErr w:type="spellEnd"/>
      <w:r>
        <w:t xml:space="preserve"> Output </w:t>
      </w:r>
      <w:proofErr w:type="spellStart"/>
      <w:r>
        <w:t>Indicator</w:t>
      </w:r>
      <w:proofErr w:type="spellEnd"/>
    </w:p>
    <w:p w:rsidR="00473D34" w:rsidRDefault="00473D34" w:rsidP="00473D34">
      <w:pPr>
        <w:tabs>
          <w:tab w:val="left" w:pos="1418"/>
        </w:tabs>
        <w:spacing w:after="60" w:line="240" w:lineRule="auto"/>
      </w:pPr>
      <w:r>
        <w:t>IS VaVaI</w:t>
      </w:r>
      <w:r>
        <w:tab/>
        <w:t>Informační systém výzkumu, experimentálního vývoje a inovací</w:t>
      </w:r>
    </w:p>
    <w:p w:rsidR="00473D34" w:rsidRDefault="00473D34" w:rsidP="00473D34">
      <w:pPr>
        <w:tabs>
          <w:tab w:val="left" w:pos="1418"/>
        </w:tabs>
        <w:spacing w:after="60" w:line="240" w:lineRule="auto"/>
      </w:pPr>
      <w:r>
        <w:t>IT4I</w:t>
      </w:r>
      <w:r>
        <w:tab/>
        <w:t>Centrum excelence IT4Inovations</w:t>
      </w:r>
    </w:p>
    <w:p w:rsidR="00473D34" w:rsidRDefault="00473D34" w:rsidP="00473D34">
      <w:pPr>
        <w:tabs>
          <w:tab w:val="left" w:pos="1418"/>
        </w:tabs>
        <w:spacing w:after="60" w:line="240" w:lineRule="auto"/>
      </w:pPr>
      <w:r>
        <w:t>ITS</w:t>
      </w:r>
      <w:r>
        <w:tab/>
        <w:t>Inteligentní dopravní systémy</w:t>
      </w:r>
    </w:p>
    <w:p w:rsidR="00FF41AA" w:rsidRDefault="00FF41AA" w:rsidP="00473D34">
      <w:pPr>
        <w:tabs>
          <w:tab w:val="left" w:pos="1418"/>
        </w:tabs>
        <w:spacing w:after="60" w:line="240" w:lineRule="auto"/>
      </w:pPr>
      <w:r>
        <w:t>IUS</w:t>
      </w:r>
      <w:r>
        <w:tab/>
      </w:r>
      <w:proofErr w:type="spellStart"/>
      <w:r w:rsidRPr="00FF41AA">
        <w:t>Innovation</w:t>
      </w:r>
      <w:proofErr w:type="spellEnd"/>
      <w:r w:rsidRPr="00FF41AA">
        <w:t xml:space="preserve"> Union </w:t>
      </w:r>
      <w:proofErr w:type="spellStart"/>
      <w:r w:rsidRPr="00FF41AA">
        <w:t>Scoreboard</w:t>
      </w:r>
      <w:proofErr w:type="spellEnd"/>
    </w:p>
    <w:p w:rsidR="00473D34" w:rsidRDefault="00473D34" w:rsidP="00473D34">
      <w:pPr>
        <w:tabs>
          <w:tab w:val="left" w:pos="1418"/>
        </w:tabs>
        <w:spacing w:after="60" w:line="240" w:lineRule="auto"/>
      </w:pPr>
      <w:r>
        <w:t>KIA</w:t>
      </w:r>
      <w:r>
        <w:tab/>
        <w:t>Zaměstnanost ve znalostně intenzivních odvětvích měřenou jako % z celkové zaměstnanosti</w:t>
      </w:r>
    </w:p>
    <w:p w:rsidR="00BA0384" w:rsidRDefault="00BA0384" w:rsidP="00473D34">
      <w:pPr>
        <w:tabs>
          <w:tab w:val="left" w:pos="1418"/>
        </w:tabs>
        <w:spacing w:after="60" w:line="240" w:lineRule="auto"/>
      </w:pPr>
      <w:r>
        <w:t>KKP</w:t>
      </w:r>
      <w:r>
        <w:tab/>
        <w:t>Kulturní a kreativní průmysly</w:t>
      </w:r>
    </w:p>
    <w:p w:rsidR="00473D34" w:rsidRDefault="00473D34" w:rsidP="00473D34">
      <w:pPr>
        <w:tabs>
          <w:tab w:val="left" w:pos="1418"/>
        </w:tabs>
        <w:spacing w:after="60" w:line="240" w:lineRule="auto"/>
      </w:pPr>
      <w:r>
        <w:t>LED</w:t>
      </w:r>
      <w:r>
        <w:tab/>
      </w:r>
      <w:proofErr w:type="spellStart"/>
      <w:r>
        <w:t>Light-Emitting</w:t>
      </w:r>
      <w:proofErr w:type="spellEnd"/>
      <w:r>
        <w:t xml:space="preserve"> </w:t>
      </w:r>
      <w:proofErr w:type="spellStart"/>
      <w:r>
        <w:t>Diode</w:t>
      </w:r>
      <w:proofErr w:type="spellEnd"/>
    </w:p>
    <w:p w:rsidR="00473D34" w:rsidRDefault="00473D34" w:rsidP="00473D34">
      <w:pPr>
        <w:tabs>
          <w:tab w:val="left" w:pos="1418"/>
        </w:tabs>
        <w:spacing w:after="60" w:line="240" w:lineRule="auto"/>
      </w:pPr>
      <w:r>
        <w:t>Lic 5-01</w:t>
      </w:r>
      <w:r>
        <w:tab/>
        <w:t>Roční výkaz o licencích</w:t>
      </w:r>
    </w:p>
    <w:p w:rsidR="00473D34" w:rsidRDefault="00473D34" w:rsidP="00473D34">
      <w:pPr>
        <w:tabs>
          <w:tab w:val="left" w:pos="1418"/>
        </w:tabs>
        <w:spacing w:after="60" w:line="240" w:lineRule="auto"/>
      </w:pPr>
      <w:r>
        <w:t>Lic 5-01</w:t>
      </w:r>
      <w:r>
        <w:tab/>
        <w:t>Šetření ČSÚ Roční výkaz o licencích</w:t>
      </w:r>
    </w:p>
    <w:p w:rsidR="00473D34" w:rsidRDefault="00473D34" w:rsidP="00473D34">
      <w:pPr>
        <w:tabs>
          <w:tab w:val="left" w:pos="1418"/>
        </w:tabs>
        <w:spacing w:after="60" w:line="240" w:lineRule="auto"/>
      </w:pPr>
      <w:r>
        <w:t>MEMS</w:t>
      </w:r>
      <w:r>
        <w:tab/>
      </w:r>
      <w:proofErr w:type="spellStart"/>
      <w:r>
        <w:t>Micro-Electro-Mechanical</w:t>
      </w:r>
      <w:proofErr w:type="spellEnd"/>
      <w:r>
        <w:t xml:space="preserve"> Systems</w:t>
      </w:r>
    </w:p>
    <w:p w:rsidR="00473D34" w:rsidRDefault="00473D34" w:rsidP="00473D34">
      <w:pPr>
        <w:tabs>
          <w:tab w:val="left" w:pos="1418"/>
        </w:tabs>
        <w:spacing w:after="60" w:line="240" w:lineRule="auto"/>
      </w:pPr>
      <w:r>
        <w:t>MEZINAR</w:t>
      </w:r>
      <w:r>
        <w:tab/>
        <w:t xml:space="preserve">Mezinárodní spolupráce ČR ve výzkumu a vývoji realizovaná na základě mezinárodních </w:t>
      </w:r>
      <w:r>
        <w:br/>
      </w:r>
      <w:r>
        <w:tab/>
        <w:t>smluv</w:t>
      </w:r>
    </w:p>
    <w:p w:rsidR="00473D34" w:rsidRDefault="00473D34" w:rsidP="00473D34">
      <w:pPr>
        <w:tabs>
          <w:tab w:val="left" w:pos="1418"/>
        </w:tabs>
        <w:spacing w:after="60" w:line="240" w:lineRule="auto"/>
      </w:pPr>
      <w:r>
        <w:t>MF</w:t>
      </w:r>
      <w:r>
        <w:tab/>
        <w:t>Ministerstvo financí</w:t>
      </w:r>
    </w:p>
    <w:p w:rsidR="00473D34" w:rsidRDefault="00473D34" w:rsidP="00473D34">
      <w:pPr>
        <w:tabs>
          <w:tab w:val="left" w:pos="1418"/>
        </w:tabs>
        <w:spacing w:after="60" w:line="240" w:lineRule="auto"/>
      </w:pPr>
      <w:r>
        <w:t>MGSE</w:t>
      </w:r>
      <w:r>
        <w:tab/>
      </w:r>
      <w:proofErr w:type="spellStart"/>
      <w:r>
        <w:t>Mechanical</w:t>
      </w:r>
      <w:proofErr w:type="spellEnd"/>
      <w:r>
        <w:t xml:space="preserve"> </w:t>
      </w:r>
      <w:proofErr w:type="spellStart"/>
      <w:r>
        <w:t>Ground</w:t>
      </w:r>
      <w:proofErr w:type="spellEnd"/>
      <w:r>
        <w:t xml:space="preserve"> Support </w:t>
      </w:r>
      <w:proofErr w:type="spellStart"/>
      <w:r>
        <w:t>Equipment</w:t>
      </w:r>
      <w:proofErr w:type="spellEnd"/>
      <w:r>
        <w:t xml:space="preserve"> </w:t>
      </w:r>
    </w:p>
    <w:p w:rsidR="00473D34" w:rsidRDefault="00473D34" w:rsidP="00473D34">
      <w:pPr>
        <w:tabs>
          <w:tab w:val="left" w:pos="1418"/>
        </w:tabs>
        <w:spacing w:after="60" w:line="240" w:lineRule="auto"/>
      </w:pPr>
      <w:r>
        <w:t>MK</w:t>
      </w:r>
      <w:r>
        <w:tab/>
        <w:t>Ministerstvo kultury</w:t>
      </w:r>
    </w:p>
    <w:p w:rsidR="00473D34" w:rsidRDefault="00473D34" w:rsidP="00473D34">
      <w:pPr>
        <w:tabs>
          <w:tab w:val="left" w:pos="1418"/>
        </w:tabs>
        <w:spacing w:after="60" w:line="240" w:lineRule="auto"/>
      </w:pPr>
      <w:r>
        <w:t>MMR</w:t>
      </w:r>
      <w:r>
        <w:tab/>
        <w:t>Ministerstvo pro místní rozvoj</w:t>
      </w:r>
    </w:p>
    <w:p w:rsidR="00473D34" w:rsidRDefault="00473D34" w:rsidP="00473D34">
      <w:pPr>
        <w:tabs>
          <w:tab w:val="left" w:pos="1418"/>
        </w:tabs>
        <w:spacing w:after="60" w:line="240" w:lineRule="auto"/>
      </w:pPr>
      <w:r>
        <w:t>MO</w:t>
      </w:r>
      <w:r>
        <w:tab/>
        <w:t>Ministerstvo obrany</w:t>
      </w:r>
    </w:p>
    <w:p w:rsidR="00473D34" w:rsidRDefault="00473D34" w:rsidP="00473D34">
      <w:pPr>
        <w:tabs>
          <w:tab w:val="left" w:pos="1418"/>
        </w:tabs>
        <w:spacing w:after="60" w:line="240" w:lineRule="auto"/>
      </w:pPr>
      <w:r>
        <w:t>MPO</w:t>
      </w:r>
      <w:r>
        <w:tab/>
        <w:t>Ministerstvo průmyslu a obchodu</w:t>
      </w:r>
    </w:p>
    <w:p w:rsidR="00473D34" w:rsidRDefault="00473D34" w:rsidP="00473D34">
      <w:pPr>
        <w:tabs>
          <w:tab w:val="left" w:pos="1418"/>
        </w:tabs>
        <w:spacing w:after="60" w:line="240" w:lineRule="auto"/>
      </w:pPr>
      <w:r>
        <w:t>MS2014+</w:t>
      </w:r>
      <w:r>
        <w:tab/>
        <w:t>Monitorovací systém evropských strukturálních a investičních fondů (ESIF) pro programové</w:t>
      </w:r>
      <w:r>
        <w:br/>
      </w:r>
      <w:r>
        <w:tab/>
        <w:t>období 2014–2020</w:t>
      </w:r>
    </w:p>
    <w:p w:rsidR="00473D34" w:rsidRDefault="00473D34" w:rsidP="00473D34">
      <w:pPr>
        <w:tabs>
          <w:tab w:val="left" w:pos="1418"/>
        </w:tabs>
        <w:spacing w:after="60" w:line="240" w:lineRule="auto"/>
      </w:pPr>
      <w:r>
        <w:t>MSC2007</w:t>
      </w:r>
      <w:r>
        <w:tab/>
        <w:t>Monitorovací systém Strukturálních fondů</w:t>
      </w:r>
    </w:p>
    <w:p w:rsidR="00473D34" w:rsidRDefault="00473D34" w:rsidP="00473D34">
      <w:pPr>
        <w:tabs>
          <w:tab w:val="left" w:pos="1418"/>
        </w:tabs>
        <w:spacing w:after="60" w:line="240" w:lineRule="auto"/>
      </w:pPr>
      <w:r>
        <w:t>MSP</w:t>
      </w:r>
      <w:r>
        <w:tab/>
        <w:t>Malý a střední podnik</w:t>
      </w:r>
    </w:p>
    <w:p w:rsidR="00473D34" w:rsidRDefault="00473D34" w:rsidP="00473D34">
      <w:pPr>
        <w:tabs>
          <w:tab w:val="left" w:pos="1418"/>
        </w:tabs>
        <w:spacing w:after="60" w:line="240" w:lineRule="auto"/>
      </w:pPr>
      <w:r>
        <w:t>MSTI</w:t>
      </w:r>
      <w:r>
        <w:tab/>
      </w:r>
      <w:proofErr w:type="spellStart"/>
      <w:r>
        <w:t>Main</w:t>
      </w:r>
      <w:proofErr w:type="spellEnd"/>
      <w:r>
        <w:t xml:space="preserve"> Science and Technology </w:t>
      </w:r>
      <w:proofErr w:type="spellStart"/>
      <w:r>
        <w:t>Indicators</w:t>
      </w:r>
      <w:proofErr w:type="spellEnd"/>
      <w:r>
        <w:t>, OECD</w:t>
      </w:r>
    </w:p>
    <w:p w:rsidR="00473D34" w:rsidRDefault="00473D34" w:rsidP="00473D34">
      <w:pPr>
        <w:tabs>
          <w:tab w:val="left" w:pos="1418"/>
        </w:tabs>
        <w:spacing w:after="60" w:line="240" w:lineRule="auto"/>
      </w:pPr>
      <w:r>
        <w:t xml:space="preserve">MŠMT </w:t>
      </w:r>
      <w:r>
        <w:tab/>
        <w:t>Ministerstvo školství, mládeže a tělovýchovy</w:t>
      </w:r>
    </w:p>
    <w:p w:rsidR="00473D34" w:rsidRDefault="00473D34" w:rsidP="00473D34">
      <w:pPr>
        <w:tabs>
          <w:tab w:val="left" w:pos="1418"/>
        </w:tabs>
        <w:spacing w:after="60" w:line="240" w:lineRule="auto"/>
      </w:pPr>
      <w:r>
        <w:t>MV</w:t>
      </w:r>
      <w:r>
        <w:tab/>
        <w:t>Ministerstvo vnitra</w:t>
      </w:r>
    </w:p>
    <w:p w:rsidR="00473D34" w:rsidRDefault="00473D34" w:rsidP="00473D34">
      <w:pPr>
        <w:tabs>
          <w:tab w:val="left" w:pos="1418"/>
        </w:tabs>
        <w:spacing w:after="60" w:line="240" w:lineRule="auto"/>
      </w:pPr>
      <w:r>
        <w:t>MZ</w:t>
      </w:r>
      <w:r>
        <w:tab/>
        <w:t>Ministerstvo zdravotnictví</w:t>
      </w:r>
    </w:p>
    <w:p w:rsidR="00473D34" w:rsidRDefault="00473D34" w:rsidP="00473D34">
      <w:pPr>
        <w:tabs>
          <w:tab w:val="left" w:pos="1418"/>
        </w:tabs>
        <w:spacing w:after="60" w:line="240" w:lineRule="auto"/>
      </w:pPr>
      <w:proofErr w:type="spellStart"/>
      <w:r>
        <w:t>MZe</w:t>
      </w:r>
      <w:proofErr w:type="spellEnd"/>
      <w:r>
        <w:tab/>
        <w:t>Ministerstvo zemědělství</w:t>
      </w:r>
    </w:p>
    <w:p w:rsidR="00473D34" w:rsidRDefault="00473D34" w:rsidP="00473D34">
      <w:pPr>
        <w:tabs>
          <w:tab w:val="left" w:pos="1418"/>
        </w:tabs>
        <w:spacing w:after="60" w:line="240" w:lineRule="auto"/>
      </w:pPr>
      <w:r>
        <w:t>NPU</w:t>
      </w:r>
      <w:r>
        <w:tab/>
        <w:t>Národní programy udržitelnosti I a II</w:t>
      </w:r>
    </w:p>
    <w:p w:rsidR="00473D34" w:rsidRDefault="00473D34" w:rsidP="00473D34">
      <w:pPr>
        <w:tabs>
          <w:tab w:val="left" w:pos="1418"/>
        </w:tabs>
        <w:spacing w:after="60" w:line="240" w:lineRule="auto"/>
      </w:pPr>
      <w:r>
        <w:t>OECD</w:t>
      </w:r>
      <w:r>
        <w:tab/>
        <w:t>Organizace pro ekonomickou spolupráci a rozvoj</w:t>
      </w:r>
    </w:p>
    <w:p w:rsidR="00473D34" w:rsidRDefault="00473D34" w:rsidP="00473D34">
      <w:pPr>
        <w:tabs>
          <w:tab w:val="left" w:pos="1418"/>
        </w:tabs>
        <w:spacing w:after="60" w:line="240" w:lineRule="auto"/>
      </w:pPr>
      <w:r>
        <w:t>OGSE</w:t>
      </w:r>
      <w:r>
        <w:tab/>
      </w:r>
      <w:proofErr w:type="spellStart"/>
      <w:r>
        <w:t>Optical</w:t>
      </w:r>
      <w:proofErr w:type="spellEnd"/>
      <w:r>
        <w:t xml:space="preserve"> </w:t>
      </w:r>
      <w:proofErr w:type="spellStart"/>
      <w:r>
        <w:t>Ground</w:t>
      </w:r>
      <w:proofErr w:type="spellEnd"/>
      <w:r>
        <w:t xml:space="preserve"> Support </w:t>
      </w:r>
      <w:proofErr w:type="spellStart"/>
      <w:r>
        <w:t>Equipment</w:t>
      </w:r>
      <w:proofErr w:type="spellEnd"/>
      <w:r>
        <w:t xml:space="preserve"> </w:t>
      </w:r>
    </w:p>
    <w:p w:rsidR="00473D34" w:rsidRDefault="00473D34" w:rsidP="00473D34">
      <w:pPr>
        <w:tabs>
          <w:tab w:val="left" w:pos="1418"/>
        </w:tabs>
        <w:spacing w:after="60" w:line="240" w:lineRule="auto"/>
      </w:pPr>
      <w:proofErr w:type="spellStart"/>
      <w:r>
        <w:t>oLED</w:t>
      </w:r>
      <w:proofErr w:type="spellEnd"/>
      <w:r>
        <w:tab/>
      </w:r>
      <w:proofErr w:type="spellStart"/>
      <w:r>
        <w:t>Organic</w:t>
      </w:r>
      <w:proofErr w:type="spellEnd"/>
      <w:r>
        <w:t xml:space="preserve"> </w:t>
      </w:r>
      <w:proofErr w:type="spellStart"/>
      <w:r>
        <w:t>light-emitting</w:t>
      </w:r>
      <w:proofErr w:type="spellEnd"/>
      <w:r>
        <w:t xml:space="preserve"> </w:t>
      </w:r>
      <w:proofErr w:type="spellStart"/>
      <w:r>
        <w:t>diode</w:t>
      </w:r>
      <w:proofErr w:type="spellEnd"/>
    </w:p>
    <w:p w:rsidR="00473D34" w:rsidRDefault="00473D34" w:rsidP="00473D34">
      <w:pPr>
        <w:tabs>
          <w:tab w:val="left" w:pos="1418"/>
        </w:tabs>
        <w:spacing w:after="60" w:line="240" w:lineRule="auto"/>
      </w:pPr>
      <w:r>
        <w:t>OP</w:t>
      </w:r>
      <w:r>
        <w:tab/>
        <w:t>Operační program</w:t>
      </w:r>
    </w:p>
    <w:p w:rsidR="00473D34" w:rsidRDefault="00473D34" w:rsidP="00473D34">
      <w:pPr>
        <w:tabs>
          <w:tab w:val="left" w:pos="1418"/>
        </w:tabs>
        <w:spacing w:after="60" w:line="240" w:lineRule="auto"/>
      </w:pPr>
      <w:r>
        <w:t>OP PI</w:t>
      </w:r>
      <w:r>
        <w:tab/>
        <w:t>Operační program podnikání a inovace</w:t>
      </w:r>
    </w:p>
    <w:p w:rsidR="00473D34" w:rsidRDefault="00473D34" w:rsidP="00473D34">
      <w:pPr>
        <w:tabs>
          <w:tab w:val="left" w:pos="1418"/>
        </w:tabs>
        <w:spacing w:after="60" w:line="240" w:lineRule="auto"/>
      </w:pPr>
      <w:r>
        <w:t>OP PIK</w:t>
      </w:r>
      <w:r>
        <w:tab/>
        <w:t>Operační program podnikání a inovace pro konkurenceschopnost</w:t>
      </w:r>
    </w:p>
    <w:p w:rsidR="00473D34" w:rsidRDefault="00473D34" w:rsidP="00473D34">
      <w:pPr>
        <w:tabs>
          <w:tab w:val="left" w:pos="1418"/>
        </w:tabs>
        <w:spacing w:after="60" w:line="240" w:lineRule="auto"/>
      </w:pPr>
      <w:r>
        <w:t xml:space="preserve">OP </w:t>
      </w:r>
      <w:proofErr w:type="spellStart"/>
      <w:r>
        <w:t>VaVpI</w:t>
      </w:r>
      <w:proofErr w:type="spellEnd"/>
      <w:r>
        <w:t xml:space="preserve"> </w:t>
      </w:r>
      <w:r>
        <w:tab/>
        <w:t>Operační program Výzkum a vývoj pro inovace</w:t>
      </w:r>
    </w:p>
    <w:p w:rsidR="00473D34" w:rsidRDefault="00473D34" w:rsidP="00473D34">
      <w:pPr>
        <w:tabs>
          <w:tab w:val="left" w:pos="1418"/>
        </w:tabs>
        <w:spacing w:after="60" w:line="240" w:lineRule="auto"/>
      </w:pPr>
      <w:r>
        <w:t>OP VK</w:t>
      </w:r>
      <w:r>
        <w:tab/>
        <w:t>Operační program Vzdělávání pro konkurenceschopnost</w:t>
      </w:r>
    </w:p>
    <w:p w:rsidR="00473D34" w:rsidRDefault="00473D34" w:rsidP="00473D34">
      <w:pPr>
        <w:tabs>
          <w:tab w:val="left" w:pos="1418"/>
        </w:tabs>
        <w:spacing w:after="60" w:line="240" w:lineRule="auto"/>
      </w:pPr>
      <w:r>
        <w:lastRenderedPageBreak/>
        <w:t>OP VVV</w:t>
      </w:r>
      <w:r>
        <w:tab/>
        <w:t>Operační program Výzkum, vývoj a vzdělávání</w:t>
      </w:r>
    </w:p>
    <w:p w:rsidR="00473D34" w:rsidRDefault="00473D34" w:rsidP="00473D34">
      <w:pPr>
        <w:tabs>
          <w:tab w:val="left" w:pos="1418"/>
        </w:tabs>
        <w:spacing w:after="60" w:line="240" w:lineRule="auto"/>
      </w:pPr>
      <w:r>
        <w:t>OSS</w:t>
      </w:r>
      <w:r>
        <w:tab/>
        <w:t>Organizační složka státu</w:t>
      </w:r>
    </w:p>
    <w:p w:rsidR="00473D34" w:rsidRDefault="00473D34" w:rsidP="00473D34">
      <w:pPr>
        <w:tabs>
          <w:tab w:val="left" w:pos="1418"/>
        </w:tabs>
        <w:spacing w:after="60" w:line="240" w:lineRule="auto"/>
      </w:pPr>
      <w:r>
        <w:t>OZE</w:t>
      </w:r>
      <w:r>
        <w:tab/>
        <w:t xml:space="preserve">Obnovitelný zdroj energie </w:t>
      </w:r>
    </w:p>
    <w:p w:rsidR="00473D34" w:rsidRDefault="00473D34" w:rsidP="00473D34">
      <w:pPr>
        <w:tabs>
          <w:tab w:val="left" w:pos="1418"/>
        </w:tabs>
        <w:spacing w:after="60" w:line="240" w:lineRule="auto"/>
      </w:pPr>
      <w:r>
        <w:t>PCT</w:t>
      </w:r>
      <w:r>
        <w:tab/>
        <w:t xml:space="preserve">Smlouva o patentové spolupráci / Patent </w:t>
      </w:r>
      <w:proofErr w:type="spellStart"/>
      <w:r>
        <w:t>Cooperation</w:t>
      </w:r>
      <w:proofErr w:type="spellEnd"/>
      <w:r>
        <w:t xml:space="preserve"> </w:t>
      </w:r>
      <w:proofErr w:type="spellStart"/>
      <w:r>
        <w:t>Treaty</w:t>
      </w:r>
      <w:proofErr w:type="spellEnd"/>
    </w:p>
    <w:p w:rsidR="00473D34" w:rsidRDefault="00473D34" w:rsidP="00473D34">
      <w:pPr>
        <w:tabs>
          <w:tab w:val="left" w:pos="1418"/>
        </w:tabs>
        <w:spacing w:after="60" w:line="240" w:lineRule="auto"/>
      </w:pPr>
      <w:r>
        <w:t>PF</w:t>
      </w:r>
      <w:r>
        <w:tab/>
        <w:t>právnické a fyzické osoby mimo vysoké školy</w:t>
      </w:r>
    </w:p>
    <w:p w:rsidR="00473D34" w:rsidRDefault="00473D34" w:rsidP="00473D34">
      <w:pPr>
        <w:tabs>
          <w:tab w:val="left" w:pos="1418"/>
        </w:tabs>
        <w:spacing w:after="60" w:line="240" w:lineRule="auto"/>
      </w:pPr>
      <w:r>
        <w:t>PPS</w:t>
      </w:r>
      <w:r>
        <w:tab/>
      </w:r>
      <w:proofErr w:type="spellStart"/>
      <w:r>
        <w:t>Purchasing</w:t>
      </w:r>
      <w:proofErr w:type="spellEnd"/>
      <w:r>
        <w:t xml:space="preserve"> </w:t>
      </w:r>
      <w:proofErr w:type="spellStart"/>
      <w:r>
        <w:t>Power</w:t>
      </w:r>
      <w:proofErr w:type="spellEnd"/>
      <w:r>
        <w:t xml:space="preserve"> Standard - standard kupní síly; jednotka pro měření kupní síly příslušné</w:t>
      </w:r>
      <w:r>
        <w:br/>
      </w:r>
      <w:r>
        <w:tab/>
        <w:t>měnové jednotky</w:t>
      </w:r>
    </w:p>
    <w:p w:rsidR="00473D34" w:rsidRDefault="00473D34" w:rsidP="00473D34">
      <w:pPr>
        <w:tabs>
          <w:tab w:val="left" w:pos="1418"/>
        </w:tabs>
        <w:spacing w:after="60" w:line="240" w:lineRule="auto"/>
      </w:pPr>
      <w:r>
        <w:t>PS</w:t>
      </w:r>
      <w:r>
        <w:tab/>
        <w:t>Pracovní skupina</w:t>
      </w:r>
    </w:p>
    <w:p w:rsidR="00473D34" w:rsidRDefault="00473D34" w:rsidP="00473D34">
      <w:pPr>
        <w:tabs>
          <w:tab w:val="left" w:pos="1418"/>
        </w:tabs>
        <w:spacing w:after="60" w:line="240" w:lineRule="auto"/>
      </w:pPr>
      <w:r>
        <w:t>PS a DS</w:t>
      </w:r>
      <w:r>
        <w:tab/>
        <w:t xml:space="preserve">Přenosové soustavy a distribuční soustavy </w:t>
      </w:r>
    </w:p>
    <w:p w:rsidR="00473D34" w:rsidRDefault="00473D34" w:rsidP="00473D34">
      <w:pPr>
        <w:tabs>
          <w:tab w:val="left" w:pos="1418"/>
        </w:tabs>
        <w:spacing w:after="60" w:line="240" w:lineRule="auto"/>
      </w:pPr>
      <w:r>
        <w:t xml:space="preserve">R&amp;D </w:t>
      </w:r>
      <w:r>
        <w:tab/>
      </w:r>
      <w:proofErr w:type="spellStart"/>
      <w:r>
        <w:t>Research</w:t>
      </w:r>
      <w:proofErr w:type="spellEnd"/>
      <w:r>
        <w:t xml:space="preserve"> and </w:t>
      </w:r>
      <w:proofErr w:type="spellStart"/>
      <w:r>
        <w:t>Development</w:t>
      </w:r>
      <w:proofErr w:type="spellEnd"/>
    </w:p>
    <w:p w:rsidR="00473D34" w:rsidRDefault="00473D34" w:rsidP="00473D34">
      <w:pPr>
        <w:tabs>
          <w:tab w:val="left" w:pos="1418"/>
        </w:tabs>
        <w:spacing w:after="60" w:line="240" w:lineRule="auto"/>
      </w:pPr>
      <w:r>
        <w:t>RIS 3</w:t>
      </w:r>
      <w:r>
        <w:tab/>
        <w:t xml:space="preserve">Národní výzkumná a inovační strategie pro inteligentní specializaci České republiky </w:t>
      </w:r>
    </w:p>
    <w:p w:rsidR="00473D34" w:rsidRDefault="00473D34" w:rsidP="00473D34">
      <w:pPr>
        <w:tabs>
          <w:tab w:val="left" w:pos="1418"/>
        </w:tabs>
        <w:spacing w:after="60" w:line="240" w:lineRule="auto"/>
      </w:pPr>
      <w:r>
        <w:t>RIV</w:t>
      </w:r>
      <w:r>
        <w:tab/>
        <w:t>Rejstřík informací o výsledcích</w:t>
      </w:r>
    </w:p>
    <w:p w:rsidR="00473D34" w:rsidRDefault="00473D34" w:rsidP="00473D34">
      <w:pPr>
        <w:tabs>
          <w:tab w:val="left" w:pos="1418"/>
        </w:tabs>
        <w:spacing w:after="60" w:line="240" w:lineRule="auto"/>
      </w:pPr>
      <w:r>
        <w:t>RP</w:t>
      </w:r>
      <w:r>
        <w:tab/>
        <w:t>Rámcové programy EU pro výzkum a technologický rozvoj</w:t>
      </w:r>
    </w:p>
    <w:p w:rsidR="00473D34" w:rsidRDefault="00473D34" w:rsidP="00473D34">
      <w:pPr>
        <w:tabs>
          <w:tab w:val="left" w:pos="1418"/>
        </w:tabs>
        <w:spacing w:after="60" w:line="240" w:lineRule="auto"/>
      </w:pPr>
      <w:r>
        <w:t>RVO</w:t>
      </w:r>
      <w:r>
        <w:tab/>
        <w:t>Rozvoj výzkumných organizací</w:t>
      </w:r>
    </w:p>
    <w:p w:rsidR="00473D34" w:rsidRDefault="00473D34" w:rsidP="00473D34">
      <w:pPr>
        <w:tabs>
          <w:tab w:val="left" w:pos="1418"/>
        </w:tabs>
        <w:spacing w:after="60" w:line="240" w:lineRule="auto"/>
      </w:pPr>
      <w:r>
        <w:t>RVVI</w:t>
      </w:r>
      <w:r>
        <w:tab/>
        <w:t>Rada pro výzkum, vývoj a inovace</w:t>
      </w:r>
    </w:p>
    <w:p w:rsidR="00473D34" w:rsidRDefault="00473D34" w:rsidP="00473D34">
      <w:pPr>
        <w:tabs>
          <w:tab w:val="left" w:pos="1418"/>
        </w:tabs>
        <w:spacing w:after="60" w:line="240" w:lineRule="auto"/>
      </w:pPr>
      <w:r>
        <w:t>Sekce VVI</w:t>
      </w:r>
      <w:r>
        <w:tab/>
        <w:t>Sekce pro vědu, výzkum a inovace</w:t>
      </w:r>
    </w:p>
    <w:p w:rsidR="00473D34" w:rsidRDefault="00473D34" w:rsidP="00473D34">
      <w:pPr>
        <w:tabs>
          <w:tab w:val="left" w:pos="1418"/>
        </w:tabs>
        <w:spacing w:after="60" w:line="240" w:lineRule="auto"/>
      </w:pPr>
      <w:r>
        <w:t>SERV</w:t>
      </w:r>
      <w:r>
        <w:tab/>
        <w:t>Vývoz znalostně intenzivních služeb jako% z celkového vývozu služeb</w:t>
      </w:r>
    </w:p>
    <w:p w:rsidR="00473D34" w:rsidRDefault="00473D34" w:rsidP="00473D34">
      <w:pPr>
        <w:tabs>
          <w:tab w:val="left" w:pos="1418"/>
        </w:tabs>
        <w:spacing w:after="60" w:line="240" w:lineRule="auto"/>
      </w:pPr>
      <w:r>
        <w:t>SF</w:t>
      </w:r>
      <w:r>
        <w:tab/>
        <w:t>Strukturální fondy</w:t>
      </w:r>
    </w:p>
    <w:p w:rsidR="00473D34" w:rsidRDefault="00473D34" w:rsidP="00473D34">
      <w:pPr>
        <w:tabs>
          <w:tab w:val="left" w:pos="1418"/>
        </w:tabs>
        <w:spacing w:after="60" w:line="240" w:lineRule="auto"/>
      </w:pPr>
      <w:r>
        <w:t>SII</w:t>
      </w:r>
      <w:r>
        <w:tab/>
        <w:t>Souhrnný inovační index</w:t>
      </w:r>
    </w:p>
    <w:p w:rsidR="00473D34" w:rsidRDefault="00473D34" w:rsidP="00473D34">
      <w:pPr>
        <w:tabs>
          <w:tab w:val="left" w:pos="1418"/>
        </w:tabs>
        <w:spacing w:after="60" w:line="240" w:lineRule="auto"/>
      </w:pPr>
      <w:r>
        <w:t>SP</w:t>
      </w:r>
      <w:r>
        <w:tab/>
        <w:t>Státní příspěvkové organizace (SPO), organizační složky státu (OSS) a veřejné výzkumné</w:t>
      </w:r>
      <w:r>
        <w:br/>
      </w:r>
      <w:r>
        <w:tab/>
        <w:t>instituce (VVI) mimo ústavů AV ČR</w:t>
      </w:r>
    </w:p>
    <w:p w:rsidR="00473D34" w:rsidRDefault="00473D34" w:rsidP="00473D34">
      <w:pPr>
        <w:tabs>
          <w:tab w:val="left" w:pos="1418"/>
        </w:tabs>
        <w:spacing w:after="60" w:line="240" w:lineRule="auto"/>
      </w:pPr>
      <w:r>
        <w:t>SPO</w:t>
      </w:r>
      <w:r>
        <w:tab/>
        <w:t>Státní příspěvkové organizace</w:t>
      </w:r>
    </w:p>
    <w:p w:rsidR="00473D34" w:rsidRDefault="00473D34" w:rsidP="00473D34">
      <w:pPr>
        <w:tabs>
          <w:tab w:val="left" w:pos="1418"/>
        </w:tabs>
        <w:spacing w:after="60" w:line="240" w:lineRule="auto"/>
      </w:pPr>
      <w:r>
        <w:t>SPOLUFIN</w:t>
      </w:r>
      <w:r>
        <w:tab/>
        <w:t>Spolufinancování operačních programů ve VaVaI ze státního rozpočtu</w:t>
      </w:r>
    </w:p>
    <w:p w:rsidR="00473D34" w:rsidRDefault="00473D34" w:rsidP="00473D34">
      <w:pPr>
        <w:tabs>
          <w:tab w:val="left" w:pos="1418"/>
        </w:tabs>
        <w:spacing w:after="60" w:line="240" w:lineRule="auto"/>
      </w:pPr>
      <w:r>
        <w:t>SR</w:t>
      </w:r>
      <w:r>
        <w:tab/>
        <w:t>Státní rozpočet</w:t>
      </w:r>
    </w:p>
    <w:p w:rsidR="00473D34" w:rsidRDefault="00473D34" w:rsidP="00473D34">
      <w:pPr>
        <w:tabs>
          <w:tab w:val="left" w:pos="1418"/>
        </w:tabs>
        <w:spacing w:after="60" w:line="240" w:lineRule="auto"/>
      </w:pPr>
      <w:r>
        <w:t>SUSEN</w:t>
      </w:r>
      <w:r>
        <w:tab/>
        <w:t>Udržitelná energetika</w:t>
      </w:r>
    </w:p>
    <w:p w:rsidR="00473D34" w:rsidRDefault="00473D34" w:rsidP="00473D34">
      <w:pPr>
        <w:tabs>
          <w:tab w:val="left" w:pos="1418"/>
        </w:tabs>
        <w:spacing w:after="60" w:line="240" w:lineRule="auto"/>
      </w:pPr>
      <w:r>
        <w:t>SVV</w:t>
      </w:r>
      <w:r>
        <w:tab/>
        <w:t xml:space="preserve">Specifický vysokoškolský výzkum </w:t>
      </w:r>
    </w:p>
    <w:p w:rsidR="00473D34" w:rsidRDefault="00473D34" w:rsidP="00473D34">
      <w:pPr>
        <w:tabs>
          <w:tab w:val="left" w:pos="1418"/>
        </w:tabs>
        <w:spacing w:after="60" w:line="240" w:lineRule="auto"/>
      </w:pPr>
      <w:r>
        <w:t>SZT</w:t>
      </w:r>
      <w:r>
        <w:tab/>
        <w:t>Systémy zabezpečovací techniky</w:t>
      </w:r>
    </w:p>
    <w:p w:rsidR="00473D34" w:rsidRDefault="00473D34" w:rsidP="00473D34">
      <w:pPr>
        <w:tabs>
          <w:tab w:val="left" w:pos="1418"/>
        </w:tabs>
        <w:spacing w:after="60" w:line="240" w:lineRule="auto"/>
      </w:pPr>
      <w:r>
        <w:t>TA ČR</w:t>
      </w:r>
      <w:r>
        <w:tab/>
        <w:t>Technologická agentura ČR</w:t>
      </w:r>
    </w:p>
    <w:p w:rsidR="00473D34" w:rsidRDefault="00473D34" w:rsidP="00473D34">
      <w:pPr>
        <w:tabs>
          <w:tab w:val="left" w:pos="1418"/>
        </w:tabs>
        <w:spacing w:after="60" w:line="240" w:lineRule="auto"/>
      </w:pPr>
      <w:r>
        <w:t>TC AV</w:t>
      </w:r>
      <w:r>
        <w:tab/>
        <w:t>Technologické centrum Akademie věd České republiky</w:t>
      </w:r>
    </w:p>
    <w:p w:rsidR="00473D34" w:rsidRDefault="00473D34" w:rsidP="00473D34">
      <w:pPr>
        <w:tabs>
          <w:tab w:val="left" w:pos="1418"/>
        </w:tabs>
        <w:spacing w:after="60" w:line="240" w:lineRule="auto"/>
      </w:pPr>
      <w:r>
        <w:t>TI2012</w:t>
      </w:r>
      <w:r>
        <w:tab/>
        <w:t>Šetření ČSÚ o inovacích v podnikatelském sektoru</w:t>
      </w:r>
    </w:p>
    <w:p w:rsidR="00473D34" w:rsidRDefault="00473D34" w:rsidP="00473D34">
      <w:pPr>
        <w:tabs>
          <w:tab w:val="left" w:pos="1418"/>
        </w:tabs>
        <w:spacing w:after="60" w:line="240" w:lineRule="auto"/>
      </w:pPr>
      <w:r>
        <w:t>TiO2</w:t>
      </w:r>
      <w:r>
        <w:tab/>
        <w:t>Oxid titaničitý</w:t>
      </w:r>
    </w:p>
    <w:p w:rsidR="00473D34" w:rsidRDefault="00473D34" w:rsidP="00473D34">
      <w:pPr>
        <w:tabs>
          <w:tab w:val="left" w:pos="1418"/>
        </w:tabs>
        <w:spacing w:after="60" w:line="240" w:lineRule="auto"/>
      </w:pPr>
      <w:r>
        <w:t>ÚPV ČR</w:t>
      </w:r>
      <w:r>
        <w:tab/>
        <w:t>Úřad průmyslového vlastnictví České republiky</w:t>
      </w:r>
    </w:p>
    <w:p w:rsidR="00473D34" w:rsidRDefault="00473D34" w:rsidP="00473D34">
      <w:pPr>
        <w:tabs>
          <w:tab w:val="left" w:pos="1418"/>
        </w:tabs>
        <w:spacing w:after="60" w:line="240" w:lineRule="auto"/>
      </w:pPr>
      <w:r>
        <w:t>ÚV ČR</w:t>
      </w:r>
      <w:r>
        <w:tab/>
        <w:t>Úřad vlády České republiky</w:t>
      </w:r>
    </w:p>
    <w:p w:rsidR="00473D34" w:rsidRDefault="00473D34" w:rsidP="00473D34">
      <w:pPr>
        <w:tabs>
          <w:tab w:val="left" w:pos="1418"/>
        </w:tabs>
        <w:spacing w:after="60" w:line="240" w:lineRule="auto"/>
      </w:pPr>
      <w:proofErr w:type="spellStart"/>
      <w:r>
        <w:t>VaV</w:t>
      </w:r>
      <w:proofErr w:type="spellEnd"/>
      <w:r>
        <w:tab/>
        <w:t>Výzkum a vývoj</w:t>
      </w:r>
    </w:p>
    <w:p w:rsidR="00473D34" w:rsidRDefault="00473D34" w:rsidP="00473D34">
      <w:pPr>
        <w:tabs>
          <w:tab w:val="left" w:pos="1418"/>
        </w:tabs>
        <w:spacing w:after="60" w:line="240" w:lineRule="auto"/>
      </w:pPr>
      <w:r>
        <w:t>VaVaI</w:t>
      </w:r>
      <w:r>
        <w:tab/>
        <w:t>Výzkum, experimentální vývoj a inovace</w:t>
      </w:r>
    </w:p>
    <w:p w:rsidR="00473D34" w:rsidRDefault="00473D34" w:rsidP="00473D34">
      <w:pPr>
        <w:tabs>
          <w:tab w:val="left" w:pos="1418"/>
        </w:tabs>
        <w:spacing w:after="60" w:line="240" w:lineRule="auto"/>
      </w:pPr>
      <w:r>
        <w:t>VES</w:t>
      </w:r>
      <w:r>
        <w:tab/>
        <w:t xml:space="preserve">Evidence veřejných soutěží ve výzkumu, experimentálním vývoji a inovacích </w:t>
      </w:r>
    </w:p>
    <w:p w:rsidR="00FF41AA" w:rsidRDefault="00FF41AA" w:rsidP="00473D34">
      <w:pPr>
        <w:tabs>
          <w:tab w:val="left" w:pos="1418"/>
        </w:tabs>
        <w:spacing w:after="60" w:line="240" w:lineRule="auto"/>
      </w:pPr>
      <w:r>
        <w:t>VO</w:t>
      </w:r>
      <w:r>
        <w:tab/>
        <w:t>Výzkumné organizace</w:t>
      </w:r>
    </w:p>
    <w:p w:rsidR="00473D34" w:rsidRDefault="00473D34" w:rsidP="00473D34">
      <w:pPr>
        <w:tabs>
          <w:tab w:val="left" w:pos="1418"/>
        </w:tabs>
        <w:spacing w:after="60" w:line="240" w:lineRule="auto"/>
      </w:pPr>
      <w:r>
        <w:t>VŠ</w:t>
      </w:r>
      <w:r>
        <w:tab/>
        <w:t>Vysoká škola (státní, veřejná, soukromá, obchodní společnost</w:t>
      </w:r>
      <w:r w:rsidR="00B96E06">
        <w:t>)</w:t>
      </w:r>
    </w:p>
    <w:p w:rsidR="00473D34" w:rsidRDefault="00473D34" w:rsidP="00473D34">
      <w:pPr>
        <w:tabs>
          <w:tab w:val="left" w:pos="1418"/>
        </w:tabs>
        <w:spacing w:after="60" w:line="240" w:lineRule="auto"/>
      </w:pPr>
      <w:r>
        <w:t xml:space="preserve">VTOL/STOL </w:t>
      </w:r>
      <w:r>
        <w:tab/>
      </w:r>
      <w:proofErr w:type="spellStart"/>
      <w:r>
        <w:t>Vertical</w:t>
      </w:r>
      <w:proofErr w:type="spellEnd"/>
      <w:r>
        <w:t xml:space="preserve"> and/</w:t>
      </w:r>
      <w:proofErr w:type="spellStart"/>
      <w:r>
        <w:t>or</w:t>
      </w:r>
      <w:proofErr w:type="spellEnd"/>
      <w:r>
        <w:t xml:space="preserve"> </w:t>
      </w:r>
      <w:proofErr w:type="spellStart"/>
      <w:r>
        <w:t>Short</w:t>
      </w:r>
      <w:proofErr w:type="spellEnd"/>
      <w:r>
        <w:t xml:space="preserve"> </w:t>
      </w:r>
      <w:proofErr w:type="spellStart"/>
      <w:r>
        <w:t>Take-Off</w:t>
      </w:r>
      <w:proofErr w:type="spellEnd"/>
      <w:r>
        <w:t xml:space="preserve"> and </w:t>
      </w:r>
      <w:proofErr w:type="spellStart"/>
      <w:r>
        <w:t>Landing</w:t>
      </w:r>
      <w:proofErr w:type="spellEnd"/>
    </w:p>
    <w:p w:rsidR="00473D34" w:rsidRDefault="00473D34" w:rsidP="00473D34">
      <w:pPr>
        <w:tabs>
          <w:tab w:val="left" w:pos="1418"/>
        </w:tabs>
        <w:spacing w:after="60" w:line="240" w:lineRule="auto"/>
      </w:pPr>
      <w:r>
        <w:t>VTP</w:t>
      </w:r>
      <w:r>
        <w:tab/>
        <w:t xml:space="preserve">Vědeckotechnický park </w:t>
      </w:r>
    </w:p>
    <w:p w:rsidR="00473D34" w:rsidRDefault="00473D34" w:rsidP="00473D34">
      <w:pPr>
        <w:tabs>
          <w:tab w:val="left" w:pos="1418"/>
        </w:tabs>
        <w:spacing w:after="60" w:line="240" w:lineRule="auto"/>
      </w:pPr>
      <w:r>
        <w:t xml:space="preserve">VTR 5-01 </w:t>
      </w:r>
      <w:r>
        <w:tab/>
        <w:t>Šetření ČSÚ Roční výkaz o výzkumu a vývoji</w:t>
      </w:r>
    </w:p>
    <w:p w:rsidR="00473D34" w:rsidRDefault="00473D34" w:rsidP="00473D34">
      <w:pPr>
        <w:tabs>
          <w:tab w:val="left" w:pos="1418"/>
        </w:tabs>
        <w:spacing w:after="60" w:line="240" w:lineRule="auto"/>
      </w:pPr>
      <w:r>
        <w:t>VVI</w:t>
      </w:r>
      <w:r>
        <w:tab/>
        <w:t>Veřejná výzkumná instituce</w:t>
      </w:r>
    </w:p>
    <w:p w:rsidR="00473D34" w:rsidRDefault="00473D34" w:rsidP="00473D34">
      <w:pPr>
        <w:tabs>
          <w:tab w:val="left" w:pos="1418"/>
        </w:tabs>
        <w:spacing w:after="60" w:line="240" w:lineRule="auto"/>
      </w:pPr>
      <w:r>
        <w:t>VVŠ</w:t>
      </w:r>
      <w:r>
        <w:tab/>
        <w:t>Veřejná nebo státní vysoká škola</w:t>
      </w:r>
    </w:p>
    <w:p w:rsidR="007F374B" w:rsidRDefault="00473D34" w:rsidP="00D10E2E">
      <w:pPr>
        <w:tabs>
          <w:tab w:val="left" w:pos="1418"/>
        </w:tabs>
        <w:spacing w:after="60" w:line="240" w:lineRule="auto"/>
        <w:rPr>
          <w:rFonts w:ascii="Arial" w:eastAsia="Times New Roman" w:hAnsi="Arial" w:cs="Arial"/>
          <w:lang w:eastAsia="cs-CZ"/>
        </w:rPr>
      </w:pPr>
      <w:r>
        <w:t>ZO 1-04</w:t>
      </w:r>
      <w:r>
        <w:tab/>
        <w:t>Čtvrtletní výkaz o dovozu a vývozu služeb</w:t>
      </w:r>
      <w:r w:rsidR="007F374B">
        <w:rPr>
          <w:rFonts w:ascii="Arial" w:eastAsia="Times New Roman" w:hAnsi="Arial" w:cs="Arial"/>
          <w:lang w:eastAsia="cs-CZ"/>
        </w:rPr>
        <w:br w:type="page"/>
      </w:r>
    </w:p>
    <w:p w:rsidR="007B7CB8" w:rsidRDefault="007B7CB8" w:rsidP="001309B5">
      <w:pPr>
        <w:rPr>
          <w:rFonts w:ascii="Arial" w:hAnsi="Arial" w:cs="Arial"/>
          <w:b/>
        </w:rPr>
      </w:pPr>
      <w:r>
        <w:rPr>
          <w:rFonts w:ascii="Arial" w:hAnsi="Arial" w:cs="Arial"/>
          <w:b/>
        </w:rPr>
        <w:lastRenderedPageBreak/>
        <w:t>Zpracovatel:</w:t>
      </w:r>
    </w:p>
    <w:p w:rsidR="007B7CB8" w:rsidRDefault="007B7CB8" w:rsidP="001309B5">
      <w:pPr>
        <w:rPr>
          <w:rFonts w:ascii="Arial" w:hAnsi="Arial" w:cs="Arial"/>
          <w:b/>
        </w:rPr>
      </w:pPr>
      <w:r>
        <w:rPr>
          <w:rFonts w:ascii="Arial" w:hAnsi="Arial" w:cs="Arial"/>
          <w:b/>
        </w:rPr>
        <w:t xml:space="preserve">Odbor analýz a koordinace vědy, výzkumu a inovací: </w:t>
      </w:r>
      <w:r w:rsidRPr="00D35C9F">
        <w:rPr>
          <w:rFonts w:ascii="Arial" w:hAnsi="Arial" w:cs="Arial"/>
          <w:i/>
        </w:rPr>
        <w:t>Dagmar Korbelová</w:t>
      </w:r>
    </w:p>
    <w:p w:rsidR="007B7CB8" w:rsidRDefault="007B7CB8" w:rsidP="001309B5">
      <w:pPr>
        <w:rPr>
          <w:rFonts w:ascii="Arial" w:hAnsi="Arial" w:cs="Arial"/>
          <w:b/>
        </w:rPr>
      </w:pPr>
      <w:r>
        <w:rPr>
          <w:rFonts w:ascii="Arial" w:hAnsi="Arial" w:cs="Arial"/>
          <w:b/>
        </w:rPr>
        <w:t xml:space="preserve">Oddělení analýz vědy, výzkumu a inovací: </w:t>
      </w:r>
      <w:r w:rsidRPr="00D35C9F">
        <w:rPr>
          <w:rFonts w:ascii="Arial" w:hAnsi="Arial" w:cs="Arial"/>
          <w:i/>
        </w:rPr>
        <w:t>Přemysl Filip</w:t>
      </w:r>
    </w:p>
    <w:p w:rsidR="00297B96" w:rsidRPr="001309B5" w:rsidRDefault="00297B96" w:rsidP="007F374B">
      <w:pPr>
        <w:spacing w:before="480"/>
        <w:rPr>
          <w:rFonts w:ascii="Arial" w:hAnsi="Arial" w:cs="Arial"/>
          <w:b/>
        </w:rPr>
      </w:pPr>
      <w:r w:rsidRPr="001309B5">
        <w:rPr>
          <w:rFonts w:ascii="Arial" w:hAnsi="Arial" w:cs="Arial"/>
          <w:b/>
        </w:rPr>
        <w:t xml:space="preserve">Autoři </w:t>
      </w:r>
      <w:r w:rsidR="00FE2895" w:rsidRPr="001309B5">
        <w:rPr>
          <w:rFonts w:ascii="Arial" w:hAnsi="Arial" w:cs="Arial"/>
          <w:b/>
        </w:rPr>
        <w:t>jednotlivých kapitol Dokumentu</w:t>
      </w:r>
      <w:r w:rsidRPr="001309B5">
        <w:rPr>
          <w:rFonts w:ascii="Arial" w:hAnsi="Arial" w:cs="Arial"/>
          <w:b/>
        </w:rPr>
        <w:t>:</w:t>
      </w:r>
    </w:p>
    <w:p w:rsidR="00297B96" w:rsidRPr="006A469E" w:rsidRDefault="00297B96" w:rsidP="006A469E">
      <w:pPr>
        <w:rPr>
          <w:rFonts w:ascii="Arial" w:hAnsi="Arial" w:cs="Arial"/>
        </w:rPr>
      </w:pPr>
      <w:r w:rsidRPr="006A469E">
        <w:rPr>
          <w:rFonts w:ascii="Arial" w:hAnsi="Arial" w:cs="Arial"/>
          <w:b/>
        </w:rPr>
        <w:t>Finanční toky</w:t>
      </w:r>
      <w:r w:rsidRPr="006A469E">
        <w:rPr>
          <w:rFonts w:ascii="Arial" w:hAnsi="Arial" w:cs="Arial"/>
        </w:rPr>
        <w:t xml:space="preserve"> – </w:t>
      </w:r>
      <w:r w:rsidRPr="006A469E">
        <w:rPr>
          <w:rFonts w:ascii="Arial" w:hAnsi="Arial" w:cs="Arial"/>
          <w:i/>
        </w:rPr>
        <w:t xml:space="preserve">Tomáš Vítek, Lucie </w:t>
      </w:r>
      <w:proofErr w:type="spellStart"/>
      <w:r w:rsidRPr="006A469E">
        <w:rPr>
          <w:rFonts w:ascii="Arial" w:hAnsi="Arial" w:cs="Arial"/>
          <w:i/>
        </w:rPr>
        <w:t>Kureková</w:t>
      </w:r>
      <w:proofErr w:type="spellEnd"/>
    </w:p>
    <w:p w:rsidR="00297B96" w:rsidRPr="006A469E" w:rsidRDefault="00297B96" w:rsidP="006A469E">
      <w:pPr>
        <w:rPr>
          <w:rFonts w:ascii="Arial" w:hAnsi="Arial" w:cs="Arial"/>
          <w:i/>
        </w:rPr>
      </w:pPr>
      <w:r w:rsidRPr="006A469E">
        <w:rPr>
          <w:rFonts w:ascii="Arial" w:hAnsi="Arial" w:cs="Arial"/>
          <w:b/>
        </w:rPr>
        <w:t>Financování VaVaI ze státního rozpočtu</w:t>
      </w:r>
      <w:r w:rsidRPr="006A469E">
        <w:rPr>
          <w:rFonts w:ascii="Arial" w:hAnsi="Arial" w:cs="Arial"/>
        </w:rPr>
        <w:t xml:space="preserve"> – </w:t>
      </w:r>
      <w:r w:rsidRPr="006A469E">
        <w:rPr>
          <w:rFonts w:ascii="Arial" w:hAnsi="Arial" w:cs="Arial"/>
          <w:i/>
        </w:rPr>
        <w:t xml:space="preserve">Tomáš Vítek, Lucie </w:t>
      </w:r>
      <w:proofErr w:type="spellStart"/>
      <w:r w:rsidRPr="006A469E">
        <w:rPr>
          <w:rFonts w:ascii="Arial" w:hAnsi="Arial" w:cs="Arial"/>
          <w:i/>
        </w:rPr>
        <w:t>Kureková</w:t>
      </w:r>
      <w:proofErr w:type="spellEnd"/>
    </w:p>
    <w:p w:rsidR="00297B96" w:rsidRPr="006A469E" w:rsidRDefault="00297B96" w:rsidP="006A469E">
      <w:pPr>
        <w:rPr>
          <w:rFonts w:ascii="Arial" w:hAnsi="Arial" w:cs="Arial"/>
          <w:i/>
        </w:rPr>
      </w:pPr>
      <w:r w:rsidRPr="006A469E">
        <w:rPr>
          <w:rFonts w:ascii="Arial" w:hAnsi="Arial" w:cs="Arial"/>
          <w:b/>
        </w:rPr>
        <w:t xml:space="preserve">Podpora VaVaI v ČR z </w:t>
      </w:r>
      <w:r w:rsidR="00FE2895" w:rsidRPr="006A469E">
        <w:rPr>
          <w:rFonts w:ascii="Arial" w:hAnsi="Arial" w:cs="Arial"/>
          <w:b/>
        </w:rPr>
        <w:t xml:space="preserve">evropských </w:t>
      </w:r>
      <w:r w:rsidRPr="006A469E">
        <w:rPr>
          <w:rFonts w:ascii="Arial" w:hAnsi="Arial" w:cs="Arial"/>
          <w:b/>
        </w:rPr>
        <w:t>prostředků</w:t>
      </w:r>
      <w:r w:rsidRPr="006A469E">
        <w:rPr>
          <w:rFonts w:ascii="Arial" w:hAnsi="Arial" w:cs="Arial"/>
        </w:rPr>
        <w:t xml:space="preserve"> – </w:t>
      </w:r>
      <w:r w:rsidRPr="006A469E">
        <w:rPr>
          <w:rFonts w:ascii="Arial" w:hAnsi="Arial" w:cs="Arial"/>
          <w:i/>
        </w:rPr>
        <w:t xml:space="preserve">Lucie </w:t>
      </w:r>
      <w:proofErr w:type="spellStart"/>
      <w:r w:rsidRPr="006A469E">
        <w:rPr>
          <w:rFonts w:ascii="Arial" w:hAnsi="Arial" w:cs="Arial"/>
          <w:i/>
        </w:rPr>
        <w:t>Kureková</w:t>
      </w:r>
      <w:proofErr w:type="spellEnd"/>
      <w:r w:rsidRPr="006A469E">
        <w:rPr>
          <w:rFonts w:ascii="Arial" w:hAnsi="Arial" w:cs="Arial"/>
          <w:i/>
        </w:rPr>
        <w:t>, Tomáš Vítek, Miroslav Daněk</w:t>
      </w:r>
    </w:p>
    <w:p w:rsidR="00297B96" w:rsidRPr="006A469E" w:rsidRDefault="00FE2895" w:rsidP="006A469E">
      <w:pPr>
        <w:rPr>
          <w:rFonts w:ascii="Arial" w:hAnsi="Arial" w:cs="Arial"/>
          <w:i/>
        </w:rPr>
      </w:pPr>
      <w:r w:rsidRPr="006A469E">
        <w:rPr>
          <w:rFonts w:ascii="Arial" w:hAnsi="Arial" w:cs="Arial"/>
          <w:b/>
        </w:rPr>
        <w:t>Lidské zdroje ve VaVaI</w:t>
      </w:r>
      <w:r w:rsidR="00297B96" w:rsidRPr="006A469E">
        <w:rPr>
          <w:rFonts w:ascii="Arial" w:hAnsi="Arial" w:cs="Arial"/>
        </w:rPr>
        <w:t xml:space="preserve"> –</w:t>
      </w:r>
      <w:r w:rsidRPr="006A469E">
        <w:rPr>
          <w:rFonts w:ascii="Arial" w:hAnsi="Arial" w:cs="Arial"/>
        </w:rPr>
        <w:t xml:space="preserve"> </w:t>
      </w:r>
      <w:r w:rsidR="00297B96" w:rsidRPr="006A469E">
        <w:rPr>
          <w:rFonts w:ascii="Arial" w:hAnsi="Arial" w:cs="Arial"/>
          <w:i/>
        </w:rPr>
        <w:t>Tomáš Vítek</w:t>
      </w:r>
      <w:r w:rsidRPr="006A469E">
        <w:rPr>
          <w:rFonts w:ascii="Arial" w:hAnsi="Arial" w:cs="Arial"/>
          <w:i/>
        </w:rPr>
        <w:t xml:space="preserve">, Marek Šorm, Lucie </w:t>
      </w:r>
      <w:proofErr w:type="spellStart"/>
      <w:r w:rsidRPr="006A469E">
        <w:rPr>
          <w:rFonts w:ascii="Arial" w:hAnsi="Arial" w:cs="Arial"/>
          <w:i/>
        </w:rPr>
        <w:t>Kureková</w:t>
      </w:r>
      <w:proofErr w:type="spellEnd"/>
    </w:p>
    <w:p w:rsidR="00297B96" w:rsidRPr="006A469E" w:rsidRDefault="00297B96" w:rsidP="006A469E">
      <w:pPr>
        <w:rPr>
          <w:rFonts w:ascii="Arial" w:hAnsi="Arial" w:cs="Arial"/>
        </w:rPr>
      </w:pPr>
      <w:r w:rsidRPr="006A469E">
        <w:rPr>
          <w:rFonts w:ascii="Arial" w:hAnsi="Arial" w:cs="Arial"/>
          <w:b/>
        </w:rPr>
        <w:t>Infrastruktury VaVaI</w:t>
      </w:r>
      <w:r w:rsidRPr="006A469E">
        <w:rPr>
          <w:rFonts w:ascii="Arial" w:hAnsi="Arial" w:cs="Arial"/>
        </w:rPr>
        <w:t xml:space="preserve"> – </w:t>
      </w:r>
      <w:r w:rsidRPr="006A469E">
        <w:rPr>
          <w:rFonts w:ascii="Arial" w:hAnsi="Arial" w:cs="Arial"/>
          <w:i/>
        </w:rPr>
        <w:t xml:space="preserve">Tomáš Vítek, Lucie </w:t>
      </w:r>
      <w:proofErr w:type="spellStart"/>
      <w:r w:rsidRPr="006A469E">
        <w:rPr>
          <w:rFonts w:ascii="Arial" w:hAnsi="Arial" w:cs="Arial"/>
          <w:i/>
        </w:rPr>
        <w:t>Kureková</w:t>
      </w:r>
      <w:proofErr w:type="spellEnd"/>
    </w:p>
    <w:p w:rsidR="00297B96" w:rsidRPr="006A469E" w:rsidRDefault="00297B96" w:rsidP="006A469E">
      <w:pPr>
        <w:rPr>
          <w:rFonts w:ascii="Arial" w:hAnsi="Arial" w:cs="Arial"/>
        </w:rPr>
      </w:pPr>
      <w:r w:rsidRPr="006A469E">
        <w:rPr>
          <w:rFonts w:ascii="Arial" w:hAnsi="Arial" w:cs="Arial"/>
          <w:b/>
        </w:rPr>
        <w:t>Výsledky výzkumu a vývoje</w:t>
      </w:r>
      <w:r w:rsidRPr="006A469E">
        <w:rPr>
          <w:rFonts w:ascii="Arial" w:hAnsi="Arial" w:cs="Arial"/>
        </w:rPr>
        <w:t xml:space="preserve"> – </w:t>
      </w:r>
      <w:r w:rsidR="00FE2895" w:rsidRPr="006A469E">
        <w:rPr>
          <w:rFonts w:ascii="Arial" w:hAnsi="Arial" w:cs="Arial"/>
          <w:i/>
        </w:rPr>
        <w:t xml:space="preserve">Tomáš Vítek, Jakub </w:t>
      </w:r>
      <w:proofErr w:type="spellStart"/>
      <w:r w:rsidR="00FE2895" w:rsidRPr="006A469E">
        <w:rPr>
          <w:rFonts w:ascii="Arial" w:hAnsi="Arial" w:cs="Arial"/>
          <w:i/>
        </w:rPr>
        <w:t>Drdák</w:t>
      </w:r>
      <w:proofErr w:type="spellEnd"/>
      <w:r w:rsidR="00FE2895" w:rsidRPr="006A469E">
        <w:rPr>
          <w:rFonts w:ascii="Arial" w:hAnsi="Arial" w:cs="Arial"/>
          <w:i/>
        </w:rPr>
        <w:t xml:space="preserve">, Lucie </w:t>
      </w:r>
      <w:proofErr w:type="spellStart"/>
      <w:r w:rsidR="00FE2895" w:rsidRPr="006A469E">
        <w:rPr>
          <w:rFonts w:ascii="Arial" w:hAnsi="Arial" w:cs="Arial"/>
          <w:i/>
        </w:rPr>
        <w:t>Kureková</w:t>
      </w:r>
      <w:proofErr w:type="spellEnd"/>
      <w:r w:rsidR="003A7DA3">
        <w:rPr>
          <w:rFonts w:ascii="Arial" w:hAnsi="Arial" w:cs="Arial"/>
          <w:i/>
        </w:rPr>
        <w:t xml:space="preserve">, Kateřina </w:t>
      </w:r>
      <w:proofErr w:type="spellStart"/>
      <w:r w:rsidR="003A7DA3">
        <w:rPr>
          <w:rFonts w:ascii="Arial" w:hAnsi="Arial" w:cs="Arial"/>
          <w:i/>
        </w:rPr>
        <w:t>Miholová</w:t>
      </w:r>
      <w:proofErr w:type="spellEnd"/>
    </w:p>
    <w:p w:rsidR="00297B96" w:rsidRPr="006A469E" w:rsidRDefault="00297B96" w:rsidP="006A469E">
      <w:pPr>
        <w:rPr>
          <w:rFonts w:ascii="Arial" w:hAnsi="Arial" w:cs="Arial"/>
          <w:i/>
        </w:rPr>
      </w:pPr>
      <w:r w:rsidRPr="006A469E">
        <w:rPr>
          <w:rFonts w:ascii="Arial" w:hAnsi="Arial" w:cs="Arial"/>
          <w:b/>
        </w:rPr>
        <w:t>Inovační výkonnost české ekonomiky a její mezinárodní srovnání</w:t>
      </w:r>
      <w:r w:rsidRPr="006A469E">
        <w:rPr>
          <w:rFonts w:ascii="Arial" w:hAnsi="Arial" w:cs="Arial"/>
        </w:rPr>
        <w:t xml:space="preserve"> – </w:t>
      </w:r>
      <w:r w:rsidRPr="006A469E">
        <w:rPr>
          <w:rFonts w:ascii="Arial" w:hAnsi="Arial" w:cs="Arial"/>
          <w:i/>
        </w:rPr>
        <w:t xml:space="preserve">Lucie </w:t>
      </w:r>
      <w:proofErr w:type="spellStart"/>
      <w:r w:rsidRPr="006A469E">
        <w:rPr>
          <w:rFonts w:ascii="Arial" w:hAnsi="Arial" w:cs="Arial"/>
          <w:i/>
        </w:rPr>
        <w:t>Kureková</w:t>
      </w:r>
      <w:proofErr w:type="spellEnd"/>
      <w:r w:rsidRPr="006A469E">
        <w:rPr>
          <w:rFonts w:ascii="Arial" w:hAnsi="Arial" w:cs="Arial"/>
          <w:i/>
        </w:rPr>
        <w:t xml:space="preserve">, </w:t>
      </w:r>
      <w:r w:rsidR="007F374B">
        <w:rPr>
          <w:rFonts w:ascii="Arial" w:hAnsi="Arial" w:cs="Arial"/>
          <w:i/>
        </w:rPr>
        <w:br/>
      </w:r>
      <w:r w:rsidR="007F374B">
        <w:rPr>
          <w:rFonts w:ascii="Arial" w:hAnsi="Arial" w:cs="Arial"/>
          <w:i/>
        </w:rPr>
        <w:tab/>
      </w:r>
      <w:r w:rsidRPr="006A469E">
        <w:rPr>
          <w:rFonts w:ascii="Arial" w:hAnsi="Arial" w:cs="Arial"/>
          <w:i/>
        </w:rPr>
        <w:t>Tomáš</w:t>
      </w:r>
      <w:r w:rsidR="003659EC">
        <w:rPr>
          <w:rFonts w:ascii="Arial" w:hAnsi="Arial" w:cs="Arial"/>
          <w:i/>
        </w:rPr>
        <w:t> </w:t>
      </w:r>
      <w:r w:rsidRPr="006A469E">
        <w:rPr>
          <w:rFonts w:ascii="Arial" w:hAnsi="Arial" w:cs="Arial"/>
          <w:i/>
        </w:rPr>
        <w:t>Vítek</w:t>
      </w:r>
    </w:p>
    <w:p w:rsidR="00297B96" w:rsidRDefault="00297B96" w:rsidP="006A469E">
      <w:pPr>
        <w:rPr>
          <w:rFonts w:ascii="Arial" w:hAnsi="Arial" w:cs="Arial"/>
          <w:i/>
        </w:rPr>
      </w:pPr>
      <w:r w:rsidRPr="006A469E">
        <w:rPr>
          <w:rFonts w:ascii="Arial" w:hAnsi="Arial" w:cs="Arial"/>
          <w:b/>
        </w:rPr>
        <w:t xml:space="preserve">Odvětví národního hospodářství ve vazbě na </w:t>
      </w:r>
      <w:proofErr w:type="spellStart"/>
      <w:r w:rsidRPr="006A469E">
        <w:rPr>
          <w:rFonts w:ascii="Arial" w:hAnsi="Arial" w:cs="Arial"/>
          <w:b/>
        </w:rPr>
        <w:t>VaVaI</w:t>
      </w:r>
      <w:proofErr w:type="spellEnd"/>
      <w:r w:rsidRPr="006A469E">
        <w:rPr>
          <w:rFonts w:ascii="Arial" w:hAnsi="Arial" w:cs="Arial"/>
        </w:rPr>
        <w:t xml:space="preserve"> – </w:t>
      </w:r>
      <w:r w:rsidRPr="006A469E">
        <w:rPr>
          <w:rFonts w:ascii="Arial" w:hAnsi="Arial" w:cs="Arial"/>
          <w:i/>
        </w:rPr>
        <w:t xml:space="preserve">Lucie </w:t>
      </w:r>
      <w:proofErr w:type="spellStart"/>
      <w:r w:rsidRPr="006A469E">
        <w:rPr>
          <w:rFonts w:ascii="Arial" w:hAnsi="Arial" w:cs="Arial"/>
          <w:i/>
        </w:rPr>
        <w:t>Kureková</w:t>
      </w:r>
      <w:proofErr w:type="spellEnd"/>
      <w:r w:rsidRPr="006A469E">
        <w:rPr>
          <w:rFonts w:ascii="Arial" w:hAnsi="Arial" w:cs="Arial"/>
          <w:i/>
        </w:rPr>
        <w:t xml:space="preserve">, </w:t>
      </w:r>
      <w:r w:rsidR="00F202B5" w:rsidRPr="006A469E">
        <w:rPr>
          <w:rFonts w:ascii="Arial" w:hAnsi="Arial" w:cs="Arial"/>
          <w:i/>
        </w:rPr>
        <w:t xml:space="preserve">Jana Adamcová, </w:t>
      </w:r>
      <w:r w:rsidR="007F374B">
        <w:rPr>
          <w:rFonts w:ascii="Arial" w:hAnsi="Arial" w:cs="Arial"/>
          <w:i/>
        </w:rPr>
        <w:br/>
      </w:r>
      <w:r w:rsidR="007F374B">
        <w:rPr>
          <w:rFonts w:ascii="Arial" w:hAnsi="Arial" w:cs="Arial"/>
          <w:i/>
        </w:rPr>
        <w:tab/>
      </w:r>
      <w:r w:rsidRPr="006A469E">
        <w:rPr>
          <w:rFonts w:ascii="Arial" w:hAnsi="Arial" w:cs="Arial"/>
          <w:i/>
        </w:rPr>
        <w:t>Tomáš</w:t>
      </w:r>
      <w:r w:rsidR="003659EC">
        <w:rPr>
          <w:rFonts w:ascii="Arial" w:hAnsi="Arial" w:cs="Arial"/>
          <w:i/>
        </w:rPr>
        <w:t> </w:t>
      </w:r>
      <w:r w:rsidRPr="006A469E">
        <w:rPr>
          <w:rFonts w:ascii="Arial" w:hAnsi="Arial" w:cs="Arial"/>
          <w:i/>
        </w:rPr>
        <w:t xml:space="preserve">Vítek, Michaela </w:t>
      </w:r>
      <w:proofErr w:type="spellStart"/>
      <w:r w:rsidRPr="006A469E">
        <w:rPr>
          <w:rFonts w:ascii="Arial" w:hAnsi="Arial" w:cs="Arial"/>
          <w:i/>
        </w:rPr>
        <w:t>Kádnerová</w:t>
      </w:r>
      <w:proofErr w:type="spellEnd"/>
      <w:r w:rsidRPr="006A469E">
        <w:rPr>
          <w:rFonts w:ascii="Arial" w:hAnsi="Arial" w:cs="Arial"/>
          <w:i/>
        </w:rPr>
        <w:t xml:space="preserve">, Kateřina </w:t>
      </w:r>
      <w:proofErr w:type="spellStart"/>
      <w:r w:rsidRPr="006A469E">
        <w:rPr>
          <w:rFonts w:ascii="Arial" w:hAnsi="Arial" w:cs="Arial"/>
          <w:i/>
        </w:rPr>
        <w:t>Bumanová</w:t>
      </w:r>
      <w:proofErr w:type="spellEnd"/>
    </w:p>
    <w:p w:rsidR="001309B5" w:rsidRPr="001309B5" w:rsidRDefault="00381AF1" w:rsidP="001309B5">
      <w:pPr>
        <w:rPr>
          <w:rFonts w:ascii="Arial" w:hAnsi="Arial" w:cs="Arial"/>
        </w:rPr>
      </w:pPr>
      <w:r>
        <w:rPr>
          <w:rFonts w:ascii="Arial" w:hAnsi="Arial" w:cs="Arial"/>
          <w:b/>
        </w:rPr>
        <w:t xml:space="preserve">Datové zdroje ve </w:t>
      </w:r>
      <w:proofErr w:type="spellStart"/>
      <w:r>
        <w:rPr>
          <w:rFonts w:ascii="Arial" w:hAnsi="Arial" w:cs="Arial"/>
          <w:b/>
        </w:rPr>
        <w:t>VaVaI</w:t>
      </w:r>
      <w:proofErr w:type="spellEnd"/>
      <w:r w:rsidR="001309B5" w:rsidRPr="001309B5">
        <w:rPr>
          <w:rFonts w:ascii="Arial" w:hAnsi="Arial" w:cs="Arial"/>
          <w:b/>
        </w:rPr>
        <w:t xml:space="preserve"> </w:t>
      </w:r>
      <w:r w:rsidR="001309B5" w:rsidRPr="001309B5">
        <w:rPr>
          <w:rFonts w:ascii="Arial" w:hAnsi="Arial" w:cs="Arial"/>
        </w:rPr>
        <w:t xml:space="preserve">– </w:t>
      </w:r>
      <w:r w:rsidR="001309B5" w:rsidRPr="001309B5">
        <w:rPr>
          <w:rFonts w:ascii="Arial" w:hAnsi="Arial" w:cs="Arial"/>
          <w:i/>
        </w:rPr>
        <w:t xml:space="preserve">Lucie </w:t>
      </w:r>
      <w:proofErr w:type="spellStart"/>
      <w:r w:rsidR="001309B5" w:rsidRPr="001309B5">
        <w:rPr>
          <w:rFonts w:ascii="Arial" w:hAnsi="Arial" w:cs="Arial"/>
          <w:i/>
        </w:rPr>
        <w:t>Kureková</w:t>
      </w:r>
      <w:proofErr w:type="spellEnd"/>
      <w:r w:rsidR="00A3564C">
        <w:rPr>
          <w:rFonts w:ascii="Arial" w:hAnsi="Arial" w:cs="Arial"/>
          <w:i/>
        </w:rPr>
        <w:t>, Tomáš Vítek</w:t>
      </w:r>
    </w:p>
    <w:p w:rsidR="00C41DE7" w:rsidRPr="006A469E" w:rsidRDefault="00297B96" w:rsidP="006A469E">
      <w:pPr>
        <w:spacing w:before="840"/>
        <w:rPr>
          <w:rFonts w:ascii="Arial" w:hAnsi="Arial" w:cs="Arial"/>
        </w:rPr>
      </w:pPr>
      <w:r w:rsidRPr="006A469E">
        <w:rPr>
          <w:rFonts w:ascii="Arial" w:hAnsi="Arial" w:cs="Arial"/>
          <w:b/>
        </w:rPr>
        <w:t>Datové podklady z IS VaVaI:</w:t>
      </w:r>
      <w:r w:rsidRPr="006A469E">
        <w:rPr>
          <w:rFonts w:ascii="Arial" w:hAnsi="Arial" w:cs="Arial"/>
        </w:rPr>
        <w:t xml:space="preserve"> </w:t>
      </w:r>
      <w:r w:rsidR="007B7CB8" w:rsidRPr="00D35C9F">
        <w:rPr>
          <w:rFonts w:ascii="Arial" w:hAnsi="Arial" w:cs="Arial"/>
          <w:i/>
        </w:rPr>
        <w:t xml:space="preserve">Jiřina Nováková, </w:t>
      </w:r>
      <w:r w:rsidRPr="00D35C9F">
        <w:rPr>
          <w:rFonts w:ascii="Arial" w:hAnsi="Arial" w:cs="Arial"/>
          <w:i/>
        </w:rPr>
        <w:t>Viera Hudečková</w:t>
      </w:r>
    </w:p>
    <w:p w:rsidR="00FE2895" w:rsidRPr="006A469E" w:rsidRDefault="00FE2895" w:rsidP="006A469E">
      <w:pPr>
        <w:spacing w:before="840"/>
        <w:rPr>
          <w:rFonts w:ascii="Arial" w:hAnsi="Arial" w:cs="Arial"/>
          <w:b/>
        </w:rPr>
      </w:pPr>
      <w:r w:rsidRPr="006A469E">
        <w:rPr>
          <w:rFonts w:ascii="Arial" w:hAnsi="Arial" w:cs="Arial"/>
          <w:b/>
        </w:rPr>
        <w:t>Odborní recenzenti:</w:t>
      </w:r>
    </w:p>
    <w:p w:rsidR="00FE2895" w:rsidRDefault="00FE2895" w:rsidP="006A469E">
      <w:pPr>
        <w:rPr>
          <w:rFonts w:ascii="Arial" w:hAnsi="Arial" w:cs="Arial"/>
        </w:rPr>
      </w:pPr>
      <w:r w:rsidRPr="006A469E">
        <w:rPr>
          <w:rFonts w:ascii="Arial" w:hAnsi="Arial" w:cs="Arial"/>
        </w:rPr>
        <w:t xml:space="preserve">Prof. </w:t>
      </w:r>
      <w:r w:rsidR="004D1D71">
        <w:rPr>
          <w:rFonts w:ascii="Arial" w:hAnsi="Arial" w:cs="Arial"/>
        </w:rPr>
        <w:t xml:space="preserve">Ing. </w:t>
      </w:r>
      <w:proofErr w:type="spellStart"/>
      <w:r w:rsidRPr="006A469E">
        <w:rPr>
          <w:rFonts w:ascii="Arial" w:hAnsi="Arial" w:cs="Arial"/>
        </w:rPr>
        <w:t>Šťepán</w:t>
      </w:r>
      <w:proofErr w:type="spellEnd"/>
      <w:r w:rsidRPr="006A469E">
        <w:rPr>
          <w:rFonts w:ascii="Arial" w:hAnsi="Arial" w:cs="Arial"/>
        </w:rPr>
        <w:t xml:space="preserve"> </w:t>
      </w:r>
      <w:proofErr w:type="spellStart"/>
      <w:r w:rsidRPr="006A469E">
        <w:rPr>
          <w:rFonts w:ascii="Arial" w:hAnsi="Arial" w:cs="Arial"/>
        </w:rPr>
        <w:t>Jurajda</w:t>
      </w:r>
      <w:proofErr w:type="spellEnd"/>
      <w:r w:rsidR="004D1D71">
        <w:rPr>
          <w:rFonts w:ascii="Arial" w:hAnsi="Arial" w:cs="Arial"/>
        </w:rPr>
        <w:t>, Ph.D.</w:t>
      </w:r>
    </w:p>
    <w:p w:rsidR="004D1D71" w:rsidRPr="006A469E" w:rsidRDefault="004D1D71" w:rsidP="006A469E">
      <w:pPr>
        <w:rPr>
          <w:rFonts w:ascii="Arial" w:hAnsi="Arial" w:cs="Arial"/>
        </w:rPr>
      </w:pPr>
      <w:r>
        <w:rPr>
          <w:rFonts w:ascii="Arial" w:hAnsi="Arial" w:cs="Arial"/>
        </w:rPr>
        <w:t>Doc. Ing. Karel Havlíček, Ph.D., MBA</w:t>
      </w:r>
    </w:p>
    <w:sectPr w:rsidR="004D1D71" w:rsidRPr="006A469E" w:rsidSect="00E540D1">
      <w:footerReference w:type="default" r:id="rId78"/>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F678C" w:rsidRDefault="006F678C" w:rsidP="000822A0">
      <w:pPr>
        <w:spacing w:after="0" w:line="240" w:lineRule="auto"/>
      </w:pPr>
      <w:r>
        <w:separator/>
      </w:r>
    </w:p>
  </w:endnote>
  <w:endnote w:type="continuationSeparator" w:id="0">
    <w:p w:rsidR="006F678C" w:rsidRDefault="006F678C" w:rsidP="000822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CE-Bold">
    <w:panose1 w:val="00000000000000000000"/>
    <w:charset w:val="EE"/>
    <w:family w:val="auto"/>
    <w:notTrueType/>
    <w:pitch w:val="default"/>
    <w:sig w:usb0="00000005" w:usb1="00000000" w:usb2="00000000" w:usb3="00000000" w:csb0="00000002" w:csb1="00000000"/>
  </w:font>
  <w:font w:name="TimesCE-Roman">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02323486"/>
      <w:docPartObj>
        <w:docPartGallery w:val="Page Numbers (Bottom of Page)"/>
        <w:docPartUnique/>
      </w:docPartObj>
    </w:sdtPr>
    <w:sdtContent>
      <w:p w:rsidR="006F678C" w:rsidRDefault="006F678C">
        <w:pPr>
          <w:pStyle w:val="Zpat"/>
          <w:jc w:val="right"/>
        </w:pPr>
        <w:r>
          <w:fldChar w:fldCharType="begin"/>
        </w:r>
        <w:r>
          <w:instrText>PAGE   \* MERGEFORMAT</w:instrText>
        </w:r>
        <w:r>
          <w:fldChar w:fldCharType="separate"/>
        </w:r>
        <w:r w:rsidR="008B7162">
          <w:rPr>
            <w:noProof/>
          </w:rPr>
          <w:t>32</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82609395"/>
      <w:docPartObj>
        <w:docPartGallery w:val="Page Numbers (Bottom of Page)"/>
        <w:docPartUnique/>
      </w:docPartObj>
    </w:sdtPr>
    <w:sdtContent>
      <w:p w:rsidR="006F678C" w:rsidRDefault="006F678C" w:rsidP="00B53C4C">
        <w:pPr>
          <w:pStyle w:val="Zpat"/>
          <w:jc w:val="right"/>
        </w:pPr>
        <w:r>
          <w:fldChar w:fldCharType="begin"/>
        </w:r>
        <w:r>
          <w:instrText>PAGE   \* MERGEFORMAT</w:instrText>
        </w:r>
        <w:r>
          <w:fldChar w:fldCharType="separate"/>
        </w:r>
        <w:r w:rsidR="001C57AC">
          <w:rPr>
            <w:noProof/>
          </w:rPr>
          <w:t>39</w:t>
        </w:r>
        <w: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6935464"/>
      <w:docPartObj>
        <w:docPartGallery w:val="Page Numbers (Bottom of Page)"/>
        <w:docPartUnique/>
      </w:docPartObj>
    </w:sdtPr>
    <w:sdtContent>
      <w:p w:rsidR="006F678C" w:rsidRDefault="006F678C">
        <w:pPr>
          <w:pStyle w:val="Zpat"/>
          <w:jc w:val="right"/>
        </w:pPr>
        <w:r>
          <w:fldChar w:fldCharType="begin"/>
        </w:r>
        <w:r>
          <w:instrText>PAGE   \* MERGEFORMAT</w:instrText>
        </w:r>
        <w:r>
          <w:fldChar w:fldCharType="separate"/>
        </w:r>
        <w:r w:rsidR="001C57AC">
          <w:rPr>
            <w:noProof/>
          </w:rPr>
          <w:t>41</w:t>
        </w:r>
        <w:r>
          <w:fldChar w:fldCharType="end"/>
        </w:r>
      </w:p>
    </w:sdtContent>
  </w:sdt>
  <w:p w:rsidR="006F678C" w:rsidRDefault="006F678C"/>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16568758"/>
      <w:docPartObj>
        <w:docPartGallery w:val="Page Numbers (Bottom of Page)"/>
        <w:docPartUnique/>
      </w:docPartObj>
    </w:sdtPr>
    <w:sdtContent>
      <w:p w:rsidR="006F678C" w:rsidRDefault="006F678C">
        <w:pPr>
          <w:pStyle w:val="Zpat"/>
          <w:jc w:val="right"/>
        </w:pPr>
        <w:r>
          <w:fldChar w:fldCharType="begin"/>
        </w:r>
        <w:r>
          <w:instrText>PAGE   \* MERGEFORMAT</w:instrText>
        </w:r>
        <w:r>
          <w:fldChar w:fldCharType="separate"/>
        </w:r>
        <w:r w:rsidR="008B7162">
          <w:rPr>
            <w:noProof/>
          </w:rPr>
          <w:t>54</w:t>
        </w:r>
        <w:r>
          <w:fldChar w:fldCharType="end"/>
        </w:r>
      </w:p>
    </w:sdtContent>
  </w:sdt>
  <w:p w:rsidR="006F678C" w:rsidRDefault="006F678C">
    <w:pPr>
      <w:pStyle w:val="Zpa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64081213"/>
      <w:docPartObj>
        <w:docPartGallery w:val="Page Numbers (Bottom of Page)"/>
        <w:docPartUnique/>
      </w:docPartObj>
    </w:sdtPr>
    <w:sdtContent>
      <w:p w:rsidR="006F678C" w:rsidRDefault="006F678C">
        <w:pPr>
          <w:pStyle w:val="Zpat"/>
          <w:jc w:val="right"/>
        </w:pPr>
        <w:r>
          <w:fldChar w:fldCharType="begin"/>
        </w:r>
        <w:r>
          <w:instrText>PAGE   \* MERGEFORMAT</w:instrText>
        </w:r>
        <w:r>
          <w:fldChar w:fldCharType="separate"/>
        </w:r>
        <w:r w:rsidR="001C57AC">
          <w:rPr>
            <w:noProof/>
          </w:rPr>
          <w:t>69</w:t>
        </w:r>
        <w: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0987146"/>
      <w:docPartObj>
        <w:docPartGallery w:val="Page Numbers (Bottom of Page)"/>
        <w:docPartUnique/>
      </w:docPartObj>
    </w:sdtPr>
    <w:sdtContent>
      <w:p w:rsidR="006F678C" w:rsidRDefault="006F678C">
        <w:pPr>
          <w:pStyle w:val="Zpat"/>
          <w:jc w:val="right"/>
        </w:pPr>
        <w:r>
          <w:fldChar w:fldCharType="begin"/>
        </w:r>
        <w:r>
          <w:instrText>PAGE   \* MERGEFORMAT</w:instrText>
        </w:r>
        <w:r>
          <w:fldChar w:fldCharType="separate"/>
        </w:r>
        <w:r w:rsidR="008B7162">
          <w:rPr>
            <w:noProof/>
          </w:rPr>
          <w:t>94</w:t>
        </w:r>
        <w: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17367864"/>
      <w:docPartObj>
        <w:docPartGallery w:val="Page Numbers (Bottom of Page)"/>
        <w:docPartUnique/>
      </w:docPartObj>
    </w:sdtPr>
    <w:sdtContent>
      <w:p w:rsidR="006F678C" w:rsidRDefault="006F678C">
        <w:pPr>
          <w:pStyle w:val="Zpat"/>
          <w:jc w:val="right"/>
        </w:pPr>
        <w:r>
          <w:fldChar w:fldCharType="begin"/>
        </w:r>
        <w:r>
          <w:instrText>PAGE   \* MERGEFORMAT</w:instrText>
        </w:r>
        <w:r>
          <w:fldChar w:fldCharType="separate"/>
        </w:r>
        <w:r w:rsidR="008B7162">
          <w:rPr>
            <w:noProof/>
          </w:rPr>
          <w:t>100</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F678C" w:rsidRDefault="006F678C" w:rsidP="000822A0">
      <w:pPr>
        <w:spacing w:after="0" w:line="240" w:lineRule="auto"/>
      </w:pPr>
      <w:r>
        <w:separator/>
      </w:r>
    </w:p>
  </w:footnote>
  <w:footnote w:type="continuationSeparator" w:id="0">
    <w:p w:rsidR="006F678C" w:rsidRDefault="006F678C" w:rsidP="000822A0">
      <w:pPr>
        <w:spacing w:after="0" w:line="240" w:lineRule="auto"/>
      </w:pPr>
      <w:r>
        <w:continuationSeparator/>
      </w:r>
    </w:p>
  </w:footnote>
  <w:footnote w:id="1">
    <w:p w:rsidR="006F678C" w:rsidRPr="00775EA7" w:rsidRDefault="006F678C" w:rsidP="00775EA7">
      <w:pPr>
        <w:pStyle w:val="Textpoznpodarou"/>
      </w:pPr>
      <w:r>
        <w:rPr>
          <w:rStyle w:val="Znakapoznpodarou"/>
        </w:rPr>
        <w:footnoteRef/>
      </w:r>
      <w:r>
        <w:t xml:space="preserve"> </w:t>
      </w:r>
      <w:hyperlink r:id="rId1" w:history="1">
        <w:r w:rsidRPr="00775EA7">
          <w:rPr>
            <w:rFonts w:eastAsiaTheme="majorEastAsia"/>
          </w:rPr>
          <w:t>http://www.mfcr.cz/cs/verejny-sektor/hospodareni/rozpoctove-ramce-statisticke-informace/verejny-sektor/verejne-spolecnosti/2014/seznam-verejnych-spolecnosti-v-cr-rijen-17019</w:t>
        </w:r>
      </w:hyperlink>
    </w:p>
  </w:footnote>
  <w:footnote w:id="2">
    <w:p w:rsidR="006F678C" w:rsidRPr="00775EA7" w:rsidRDefault="006F678C" w:rsidP="00775EA7">
      <w:pPr>
        <w:pStyle w:val="Textpoznpodarou"/>
      </w:pPr>
      <w:r>
        <w:rPr>
          <w:rStyle w:val="Znakapoznpodarou"/>
        </w:rPr>
        <w:footnoteRef/>
      </w:r>
      <w:r>
        <w:t xml:space="preserve"> </w:t>
      </w:r>
      <w:r w:rsidRPr="00775EA7">
        <w:t>IS VaVaI zařazuje subjekty do odlišných kategorií. Údaje z IS VaVaI byly převedeny na kategorie ČSÚ využívané v</w:t>
      </w:r>
      <w:r>
        <w:t> </w:t>
      </w:r>
      <w:r w:rsidRPr="00775EA7">
        <w:t>Roční</w:t>
      </w:r>
      <w:r>
        <w:t>m</w:t>
      </w:r>
      <w:r w:rsidRPr="00775EA7">
        <w:t xml:space="preserve"> šetření o výzkumu a vývoji.</w:t>
      </w:r>
    </w:p>
  </w:footnote>
  <w:footnote w:id="3">
    <w:p w:rsidR="006F678C" w:rsidRPr="00F91A7F" w:rsidRDefault="006F678C" w:rsidP="00775EA7">
      <w:pPr>
        <w:pStyle w:val="Textpoznpodarou"/>
      </w:pPr>
      <w:r>
        <w:rPr>
          <w:rStyle w:val="Znakapoznpodarou"/>
        </w:rPr>
        <w:footnoteRef/>
      </w:r>
      <w:r>
        <w:t xml:space="preserve"> </w:t>
      </w:r>
      <w:r w:rsidRPr="00F91A7F">
        <w:t>podle Postupu při posuzování výzkumných organizací schváleného Radou pro výzkum, vývoj a inovace na jejím 261. zasedání dne 28. ledna 2011</w:t>
      </w:r>
    </w:p>
  </w:footnote>
  <w:footnote w:id="4">
    <w:p w:rsidR="006F678C" w:rsidRDefault="006F678C">
      <w:pPr>
        <w:pStyle w:val="Textpoznpodarou"/>
      </w:pPr>
      <w:r>
        <w:rPr>
          <w:rStyle w:val="Znakapoznpodarou"/>
        </w:rPr>
        <w:footnoteRef/>
      </w:r>
      <w:r>
        <w:t xml:space="preserve"> Je pravděpodobné, že po odečtení </w:t>
      </w:r>
      <w:r w:rsidRPr="00DD6F06">
        <w:rPr>
          <w:rFonts w:cs="Arial"/>
        </w:rPr>
        <w:t>licenční</w:t>
      </w:r>
      <w:r>
        <w:rPr>
          <w:rFonts w:cs="Arial"/>
        </w:rPr>
        <w:t>ch</w:t>
      </w:r>
      <w:r w:rsidRPr="00DD6F06">
        <w:rPr>
          <w:rFonts w:cs="Arial"/>
        </w:rPr>
        <w:t xml:space="preserve"> poplatk</w:t>
      </w:r>
      <w:r>
        <w:rPr>
          <w:rFonts w:cs="Arial"/>
        </w:rPr>
        <w:t>ů</w:t>
      </w:r>
      <w:r w:rsidRPr="00DD6F06">
        <w:rPr>
          <w:rFonts w:cs="Arial"/>
        </w:rPr>
        <w:t xml:space="preserve"> Ústavu organické chemie a biochemie AV ČR, </w:t>
      </w:r>
      <w:proofErr w:type="spellStart"/>
      <w:proofErr w:type="gramStart"/>
      <w:r w:rsidRPr="00DD6F06">
        <w:rPr>
          <w:rFonts w:cs="Arial"/>
        </w:rPr>
        <w:t>v.v.</w:t>
      </w:r>
      <w:proofErr w:type="gramEnd"/>
      <w:r w:rsidRPr="00DD6F06">
        <w:rPr>
          <w:rFonts w:cs="Arial"/>
        </w:rPr>
        <w:t>i</w:t>
      </w:r>
      <w:proofErr w:type="spellEnd"/>
      <w:r w:rsidRPr="00DD6F06">
        <w:rPr>
          <w:rFonts w:cs="Arial"/>
        </w:rPr>
        <w:t>.</w:t>
      </w:r>
      <w:r>
        <w:rPr>
          <w:rFonts w:cs="Arial"/>
        </w:rPr>
        <w:t xml:space="preserve"> by byl uvedený podíl podstatně nižší.</w:t>
      </w:r>
    </w:p>
  </w:footnote>
  <w:footnote w:id="5">
    <w:p w:rsidR="006F678C" w:rsidRDefault="006F678C" w:rsidP="00775EA7">
      <w:pPr>
        <w:pStyle w:val="Textpoznpodarou"/>
      </w:pPr>
      <w:r>
        <w:rPr>
          <w:rStyle w:val="Znakapoznpodarou"/>
        </w:rPr>
        <w:footnoteRef/>
      </w:r>
      <w:r>
        <w:t xml:space="preserve"> </w:t>
      </w:r>
      <w:r w:rsidRPr="00E8670C">
        <w:t>Podle § 34 odst. 4 zákona č. 586/1992 Sb., o daních z příjmů.</w:t>
      </w:r>
    </w:p>
  </w:footnote>
  <w:footnote w:id="6">
    <w:p w:rsidR="006F678C" w:rsidRDefault="006F678C" w:rsidP="00076B14">
      <w:pPr>
        <w:pStyle w:val="Textpoznpodarou"/>
      </w:pPr>
      <w:r>
        <w:rPr>
          <w:rStyle w:val="Znakapoznpodarou"/>
        </w:rPr>
        <w:footnoteRef/>
      </w:r>
      <w:r>
        <w:t xml:space="preserve"> </w:t>
      </w:r>
      <w:r w:rsidRPr="00AC50DD">
        <w:t>Státní vysoké školy jsou v IS VaVaI řazeny do skupiny SP, proto směřují prostředky SVV rovněž skupině příjemců SP</w:t>
      </w:r>
      <w:r>
        <w:t>.</w:t>
      </w:r>
    </w:p>
  </w:footnote>
  <w:footnote w:id="7">
    <w:p w:rsidR="006F678C" w:rsidRDefault="006F678C" w:rsidP="00775EA7">
      <w:pPr>
        <w:pStyle w:val="Textpoznpodarou"/>
      </w:pPr>
      <w:r>
        <w:rPr>
          <w:rStyle w:val="Znakapoznpodarou"/>
        </w:rPr>
        <w:footnoteRef/>
      </w:r>
      <w:r>
        <w:t xml:space="preserve"> </w:t>
      </w:r>
      <w:r w:rsidRPr="004F4CF5">
        <w:t>Výzkumnou základnou</w:t>
      </w:r>
      <w:r>
        <w:t xml:space="preserve"> jsou míněny lidské zdroje v oblasti VaVaI a infrastruktury, které jsou koncentrovány v organizacích provádějících výzkum, vývoj, inovace a přenos znalostí.</w:t>
      </w:r>
    </w:p>
  </w:footnote>
  <w:footnote w:id="8">
    <w:p w:rsidR="006F678C" w:rsidRDefault="006F678C" w:rsidP="00775EA7">
      <w:pPr>
        <w:pStyle w:val="Textpoznpodarou"/>
      </w:pPr>
      <w:r>
        <w:rPr>
          <w:rStyle w:val="Znakapoznpodarou"/>
        </w:rPr>
        <w:footnoteRef/>
      </w:r>
      <w:r>
        <w:t xml:space="preserve"> Např. Národní priority orientovaného výzkumu, experimentálního vývoje a inovací, resortní koncepce rozvoje výzkumu, vývoje a inovací.</w:t>
      </w:r>
    </w:p>
  </w:footnote>
  <w:footnote w:id="9">
    <w:p w:rsidR="006F678C" w:rsidRDefault="006F678C">
      <w:pPr>
        <w:pStyle w:val="Textpoznpodarou"/>
      </w:pPr>
      <w:r>
        <w:rPr>
          <w:rStyle w:val="Znakapoznpodarou"/>
        </w:rPr>
        <w:footnoteRef/>
      </w:r>
      <w:r>
        <w:t xml:space="preserve"> </w:t>
      </w:r>
      <w:r w:rsidRPr="001C67BF">
        <w:t xml:space="preserve">R&amp;D </w:t>
      </w:r>
      <w:proofErr w:type="spellStart"/>
      <w:r w:rsidRPr="001C67BF">
        <w:t>Governance</w:t>
      </w:r>
      <w:proofErr w:type="spellEnd"/>
      <w:r w:rsidRPr="001C67BF">
        <w:t xml:space="preserve"> in </w:t>
      </w:r>
      <w:proofErr w:type="spellStart"/>
      <w:r w:rsidRPr="001C67BF">
        <w:t>the</w:t>
      </w:r>
      <w:proofErr w:type="spellEnd"/>
      <w:r w:rsidRPr="001C67BF">
        <w:t xml:space="preserve"> Czech Republic, International Audit </w:t>
      </w:r>
      <w:proofErr w:type="spellStart"/>
      <w:r w:rsidRPr="001C67BF">
        <w:t>of</w:t>
      </w:r>
      <w:proofErr w:type="spellEnd"/>
      <w:r w:rsidRPr="001C67BF">
        <w:t xml:space="preserve"> </w:t>
      </w:r>
      <w:proofErr w:type="spellStart"/>
      <w:r w:rsidRPr="001C67BF">
        <w:t>Research</w:t>
      </w:r>
      <w:proofErr w:type="spellEnd"/>
      <w:r w:rsidRPr="001C67BF">
        <w:t xml:space="preserve">, </w:t>
      </w:r>
      <w:proofErr w:type="spellStart"/>
      <w:r w:rsidRPr="001C67BF">
        <w:t>Development</w:t>
      </w:r>
      <w:proofErr w:type="spellEnd"/>
      <w:r w:rsidRPr="001C67BF">
        <w:t xml:space="preserve"> &amp; </w:t>
      </w:r>
      <w:proofErr w:type="spellStart"/>
      <w:r w:rsidRPr="001C67BF">
        <w:t>Innovation</w:t>
      </w:r>
      <w:proofErr w:type="spellEnd"/>
      <w:r w:rsidRPr="001C67BF">
        <w:t xml:space="preserve"> in </w:t>
      </w:r>
      <w:proofErr w:type="spellStart"/>
      <w:r w:rsidRPr="001C67BF">
        <w:t>the</w:t>
      </w:r>
      <w:proofErr w:type="spellEnd"/>
      <w:r w:rsidRPr="001C67BF">
        <w:t xml:space="preserve"> Czech Republic, </w:t>
      </w:r>
      <w:proofErr w:type="spellStart"/>
      <w:r w:rsidRPr="001C67BF">
        <w:t>Annex</w:t>
      </w:r>
      <w:proofErr w:type="spellEnd"/>
      <w:r w:rsidRPr="001C67BF">
        <w:t xml:space="preserve"> 2 to </w:t>
      </w:r>
      <w:proofErr w:type="spellStart"/>
      <w:r w:rsidRPr="001C67BF">
        <w:t>the</w:t>
      </w:r>
      <w:proofErr w:type="spellEnd"/>
      <w:r w:rsidRPr="001C67BF">
        <w:t xml:space="preserve"> Second Interim Report, Brighton, </w:t>
      </w:r>
      <w:proofErr w:type="spellStart"/>
      <w:r w:rsidRPr="001C67BF">
        <w:t>Technopolis</w:t>
      </w:r>
      <w:proofErr w:type="spellEnd"/>
      <w:r w:rsidRPr="001C67BF">
        <w:t xml:space="preserve"> Group</w:t>
      </w:r>
      <w:r>
        <w:t xml:space="preserve">. </w:t>
      </w:r>
      <w:proofErr w:type="gramStart"/>
      <w:r w:rsidRPr="001C67BF">
        <w:t>http</w:t>
      </w:r>
      <w:proofErr w:type="gramEnd"/>
      <w:r w:rsidRPr="001C67BF">
        <w:t>://audit-vav.reformy-msmt.cz/soubory-ke-stazeni/zaverecna-zprava-z-auditu-vaval</w:t>
      </w:r>
    </w:p>
  </w:footnote>
  <w:footnote w:id="10">
    <w:p w:rsidR="006F678C" w:rsidRDefault="006F678C">
      <w:pPr>
        <w:pStyle w:val="Textpoznpodarou"/>
      </w:pPr>
      <w:r>
        <w:rPr>
          <w:rStyle w:val="Znakapoznpodarou"/>
        </w:rPr>
        <w:footnoteRef/>
      </w:r>
      <w:r>
        <w:t xml:space="preserve"> Kromě institucionální podpory obsahuje rozpočtová kapitola Akademie věd ČR rovněž náklady na činnost – v roce 2014 to bylo 1 441 mil. Kč.</w:t>
      </w:r>
    </w:p>
  </w:footnote>
  <w:footnote w:id="11">
    <w:p w:rsidR="006F678C" w:rsidRDefault="006F678C" w:rsidP="00B53C4C">
      <w:pPr>
        <w:pStyle w:val="Textpoznpodarou"/>
      </w:pPr>
      <w:r>
        <w:rPr>
          <w:rStyle w:val="Znakapoznpodarou"/>
        </w:rPr>
        <w:footnoteRef/>
      </w:r>
      <w:r>
        <w:t xml:space="preserve"> Program H2020 doplňuje také program EURATOM, jehož celkový rozpočet činí 1,603 mld. Eur na období 2014-2018.</w:t>
      </w:r>
    </w:p>
  </w:footnote>
  <w:footnote w:id="12">
    <w:p w:rsidR="006F678C" w:rsidRDefault="006F678C" w:rsidP="00DA3248">
      <w:pPr>
        <w:pStyle w:val="Textpoznpodarou"/>
      </w:pPr>
      <w:r>
        <w:rPr>
          <w:rStyle w:val="Znakapoznpodarou"/>
        </w:rPr>
        <w:footnoteRef/>
      </w:r>
      <w:r>
        <w:t xml:space="preserve"> Při přepočtu na plný pracovní úvazek zaměstnanců se započítává pouze část pracovní kapacity věnovaná výzkumu a vývoji, nikoliv další činnosti, jako je např. výuka.</w:t>
      </w:r>
    </w:p>
  </w:footnote>
  <w:footnote w:id="13">
    <w:p w:rsidR="006F678C" w:rsidRDefault="006F678C" w:rsidP="00DA3248">
      <w:pPr>
        <w:pStyle w:val="Textpoznpodarou"/>
      </w:pPr>
      <w:r>
        <w:rPr>
          <w:rStyle w:val="Znakapoznpodarou"/>
        </w:rPr>
        <w:footnoteRef/>
      </w:r>
      <w:r>
        <w:t xml:space="preserve"> V podnikatelském sektoru jsou dostupné informace v odvětvovém členění (CZ-NACE), zatímco ve veřejném sektoru (vysokoškolském a vládním) se jedná o vědní oblasti.</w:t>
      </w:r>
    </w:p>
  </w:footnote>
  <w:footnote w:id="14">
    <w:p w:rsidR="006F678C" w:rsidRDefault="006F678C" w:rsidP="00775EA7">
      <w:pPr>
        <w:pStyle w:val="Textpoznpodarou"/>
      </w:pPr>
      <w:r>
        <w:rPr>
          <w:rStyle w:val="Znakapoznpodarou"/>
        </w:rPr>
        <w:footnoteRef/>
      </w:r>
      <w:r>
        <w:t xml:space="preserve"> </w:t>
      </w:r>
      <w:r w:rsidRPr="008E5BDB">
        <w:t>Nařízení Komise (EU) č. 651/2014 ze dne 17. června 2014, kterým se v souladu s čl. 107 a 108 Smlouvy prohlašují určité kategorie podpory za slučitelné s vnitřním trhem.</w:t>
      </w:r>
    </w:p>
  </w:footnote>
  <w:footnote w:id="15">
    <w:p w:rsidR="006F678C" w:rsidRDefault="006F678C">
      <w:pPr>
        <w:pStyle w:val="Textpoznpodarou"/>
      </w:pPr>
      <w:r>
        <w:rPr>
          <w:rStyle w:val="Znakapoznpodarou"/>
        </w:rPr>
        <w:footnoteRef/>
      </w:r>
      <w:r>
        <w:t xml:space="preserve"> Rozdělení na velké a malé projekty je čistě administrativního charakteru. Ve smyslu tohoto dokumentu je využíváno pro oddělení některých projektů, které jsou pilotně využívány pro některé analýzy.</w:t>
      </w:r>
    </w:p>
  </w:footnote>
  <w:footnote w:id="16">
    <w:p w:rsidR="006F678C" w:rsidRDefault="006F678C" w:rsidP="00775EA7">
      <w:pPr>
        <w:pStyle w:val="Textpoznpodarou"/>
      </w:pPr>
      <w:r>
        <w:rPr>
          <w:rStyle w:val="Znakapoznpodarou"/>
        </w:rPr>
        <w:footnoteRef/>
      </w:r>
      <w:r>
        <w:t xml:space="preserve"> Podle </w:t>
      </w:r>
      <w:r w:rsidRPr="00241FE6">
        <w:t>Nařízení Komise (EU) č. 651/2014 ze dne 17. června 2014, kterým se v souladu s články 107 a 108 Smlouvy prohlašují určité kategorie podpory za slučitelné s vnitřním trhem</w:t>
      </w:r>
      <w:r>
        <w:t xml:space="preserve"> a </w:t>
      </w:r>
      <w:r w:rsidRPr="00241FE6">
        <w:t>Sdělení Komise – Rámec pro státní podporu výzkumu, vývoje a inovací (2014/C 198/01-29)</w:t>
      </w:r>
    </w:p>
  </w:footnote>
  <w:footnote w:id="17">
    <w:p w:rsidR="006F678C" w:rsidRDefault="006F678C" w:rsidP="005F2F7D">
      <w:pPr>
        <w:pStyle w:val="Textpoznpodarou"/>
      </w:pPr>
      <w:r>
        <w:rPr>
          <w:rStyle w:val="Znakapoznpodarou"/>
        </w:rPr>
        <w:footnoteRef/>
      </w:r>
      <w:r>
        <w:t xml:space="preserve"> Definice jsou uvedeny v dokumentu Metodika hodnocení výsledků výzkumných organizací a hodnocení výsledků ukončených programů (platná pro léta 2013 až 2015).</w:t>
      </w:r>
    </w:p>
  </w:footnote>
  <w:footnote w:id="18">
    <w:p w:rsidR="006F678C" w:rsidRDefault="006F678C">
      <w:pPr>
        <w:pStyle w:val="Textpoznpodarou"/>
      </w:pPr>
      <w:r>
        <w:rPr>
          <w:rStyle w:val="Znakapoznpodarou"/>
        </w:rPr>
        <w:footnoteRef/>
      </w:r>
      <w:r>
        <w:t xml:space="preserve"> Pro účely hodnocení výzkumných organizací jsou dle M</w:t>
      </w:r>
      <w:r w:rsidRPr="00786BDE">
        <w:t>etodiky hodnocení výsledků výzkumných organizací a</w:t>
      </w:r>
      <w:r>
        <w:t> </w:t>
      </w:r>
      <w:r w:rsidRPr="00786BDE">
        <w:t>hodnocení výsledků ukončených programů (platné pro léta 2013 až 2015)</w:t>
      </w:r>
      <w:r>
        <w:t xml:space="preserve"> jsou výsledky kategorizovány odlišně. Patenty jsou vyčleňovány mimo aplikované výsledky jako samostatná kategorie a výsledky zahrnuté v obrázku 6.1 do kategorie ostatní jsou řazeny mezi aplikované, byť nejsou bodově oceňovány.</w:t>
      </w:r>
    </w:p>
  </w:footnote>
  <w:footnote w:id="19">
    <w:p w:rsidR="006F678C" w:rsidRDefault="006F678C" w:rsidP="005F2F7D">
      <w:pPr>
        <w:pStyle w:val="Textpoznpodarou"/>
      </w:pPr>
      <w:r>
        <w:rPr>
          <w:rStyle w:val="Znakapoznpodarou"/>
        </w:rPr>
        <w:footnoteRef/>
      </w:r>
      <w:r>
        <w:t xml:space="preserve"> Např. </w:t>
      </w:r>
      <w:r w:rsidRPr="00681D11">
        <w:t>Aktualizace Národní politiky výzkumu, vývoje a inovací České republiky na léta 2009 až 2015 s</w:t>
      </w:r>
      <w:r>
        <w:t> </w:t>
      </w:r>
      <w:r w:rsidRPr="00681D11">
        <w:t>výhledem do</w:t>
      </w:r>
      <w:r>
        <w:t> </w:t>
      </w:r>
      <w:r w:rsidRPr="00681D11">
        <w:t>roku 2020</w:t>
      </w:r>
      <w:r>
        <w:t xml:space="preserve"> schválená usnesením vlády </w:t>
      </w:r>
      <w:r w:rsidRPr="00681D11">
        <w:t xml:space="preserve">ze dne 24. dubna 2013 č. 294 </w:t>
      </w:r>
      <w:r>
        <w:t>a Národní priority orientovaného výzkumu, experimentálního vývoje a inovací schválené vládou dne</w:t>
      </w:r>
      <w:r w:rsidRPr="00681D11">
        <w:t xml:space="preserve"> 19. července 2012 č. 552</w:t>
      </w:r>
      <w:r>
        <w:t>.</w:t>
      </w:r>
    </w:p>
  </w:footnote>
  <w:footnote w:id="20">
    <w:p w:rsidR="006F678C" w:rsidRPr="002C2F44" w:rsidRDefault="006F678C" w:rsidP="005F2F7D">
      <w:pPr>
        <w:pStyle w:val="Textpoznpodarou"/>
        <w:rPr>
          <w:szCs w:val="18"/>
        </w:rPr>
      </w:pPr>
      <w:r w:rsidRPr="002C2F44">
        <w:rPr>
          <w:rStyle w:val="Znakapoznpodarou"/>
        </w:rPr>
        <w:footnoteRef/>
      </w:r>
      <w:r w:rsidRPr="002C2F44">
        <w:rPr>
          <w:szCs w:val="18"/>
        </w:rPr>
        <w:t>.</w:t>
      </w:r>
      <w:r w:rsidRPr="002C2F44">
        <w:t xml:space="preserve"> </w:t>
      </w:r>
      <w:r w:rsidRPr="002C2F44">
        <w:rPr>
          <w:szCs w:val="18"/>
        </w:rPr>
        <w:t xml:space="preserve">Na základě usnesení z </w:t>
      </w:r>
      <w:r w:rsidRPr="002C2F44">
        <w:rPr>
          <w:rFonts w:cs="Arial"/>
          <w:szCs w:val="18"/>
        </w:rPr>
        <w:t xml:space="preserve">305. zasedání RVVI, bod „výstupy z projektu </w:t>
      </w:r>
      <w:proofErr w:type="spellStart"/>
      <w:r w:rsidRPr="002C2F44">
        <w:rPr>
          <w:rFonts w:cs="Arial"/>
          <w:szCs w:val="18"/>
        </w:rPr>
        <w:t>IPn</w:t>
      </w:r>
      <w:proofErr w:type="spellEnd"/>
      <w:r w:rsidRPr="002C2F44">
        <w:rPr>
          <w:rFonts w:cs="Arial"/>
          <w:szCs w:val="18"/>
        </w:rPr>
        <w:t xml:space="preserve"> Metodika budou jedním z podkladů pro tvorbu modelu </w:t>
      </w:r>
      <w:r w:rsidRPr="002C2F44">
        <w:rPr>
          <w:rFonts w:cs="Arial"/>
          <w:b/>
          <w:i/>
          <w:szCs w:val="18"/>
        </w:rPr>
        <w:t>Hodnocení 2017+“.</w:t>
      </w:r>
    </w:p>
  </w:footnote>
  <w:footnote w:id="21">
    <w:p w:rsidR="006F678C" w:rsidRDefault="006F678C">
      <w:pPr>
        <w:pStyle w:val="Textpoznpodarou"/>
      </w:pPr>
      <w:r>
        <w:rPr>
          <w:rStyle w:val="Znakapoznpodarou"/>
        </w:rPr>
        <w:footnoteRef/>
      </w:r>
      <w:r>
        <w:t xml:space="preserve"> Podle prvního písmene kódu oboru, pod kterým jsou evidovány v IS VaVaI.</w:t>
      </w:r>
    </w:p>
  </w:footnote>
  <w:footnote w:id="22">
    <w:p w:rsidR="006F678C" w:rsidRDefault="006F678C" w:rsidP="00124427">
      <w:pPr>
        <w:pStyle w:val="Textpoznpodarou"/>
      </w:pPr>
      <w:r>
        <w:rPr>
          <w:rStyle w:val="Znakapoznpodarou"/>
        </w:rPr>
        <w:footnoteRef/>
      </w:r>
      <w:r>
        <w:t xml:space="preserve"> M</w:t>
      </w:r>
      <w:r w:rsidRPr="00786BDE">
        <w:t>etodik</w:t>
      </w:r>
      <w:r>
        <w:t>a</w:t>
      </w:r>
      <w:r w:rsidRPr="00786BDE">
        <w:t xml:space="preserve"> hodnocení výsledků výzkumných organizací a hodnocení výsledků ukončených programů (platn</w:t>
      </w:r>
      <w:r>
        <w:t>á</w:t>
      </w:r>
      <w:r w:rsidRPr="00786BDE">
        <w:t xml:space="preserve"> pro léta 2013 až 2015)</w:t>
      </w:r>
    </w:p>
  </w:footnote>
  <w:footnote w:id="23">
    <w:p w:rsidR="006F678C" w:rsidRDefault="006F678C" w:rsidP="005F2F7D">
      <w:pPr>
        <w:pStyle w:val="Textpoznpodarou"/>
      </w:pPr>
      <w:r>
        <w:rPr>
          <w:rStyle w:val="Znakapoznpodarou"/>
        </w:rPr>
        <w:footnoteRef/>
      </w:r>
      <w:r>
        <w:t xml:space="preserve"> První obrázek v příloze č. 1 - </w:t>
      </w:r>
      <w:proofErr w:type="spellStart"/>
      <w:r>
        <w:t>dendrogram</w:t>
      </w:r>
      <w:proofErr w:type="spellEnd"/>
      <w:r>
        <w:t xml:space="preserve"> uvádí seznamy deseti nejvýznamnějších institucí podle počtu publikačních a aplikovaných výsledků a tří nejvýznamnějších institucí v jednotlivých oborech. Je uvedeno rovněž srovnání mezi obdobími 2005 – 2009 a 2010 – 2014. Druhý obrázek v příloze č. 1 se zaměřuje na subjekty/organizační složky, které se vyskytují mezi nejvýznamnějšími ve více oborech (na horizontální ose</w:t>
      </w:r>
      <w:r>
        <w:rPr>
          <w:i/>
        </w:rPr>
        <w:t xml:space="preserve"> </w:t>
      </w:r>
      <w:r>
        <w:t>je počet výskytů v </w:t>
      </w:r>
      <w:proofErr w:type="spellStart"/>
      <w:r>
        <w:t>dendrogramu</w:t>
      </w:r>
      <w:proofErr w:type="spellEnd"/>
      <w:r>
        <w:t>, na vertikální ose počet výsledků)</w:t>
      </w:r>
    </w:p>
  </w:footnote>
  <w:footnote w:id="24">
    <w:p w:rsidR="006F678C" w:rsidRPr="007C291E" w:rsidRDefault="006F678C" w:rsidP="00775EA7">
      <w:pPr>
        <w:pStyle w:val="Textpoznpodarou"/>
      </w:pPr>
      <w:r w:rsidRPr="008F025E">
        <w:rPr>
          <w:rStyle w:val="Znakapoznpodarou"/>
        </w:rPr>
        <w:footnoteRef/>
      </w:r>
      <w:r w:rsidRPr="008F025E">
        <w:t xml:space="preserve"> </w:t>
      </w:r>
      <w:r>
        <w:t>V některých analýzách bývají k výdajům na vědu a výzkum</w:t>
      </w:r>
      <w:r w:rsidRPr="007C291E">
        <w:t xml:space="preserve"> připočítávány i výdaje na vzdělávání.</w:t>
      </w:r>
    </w:p>
  </w:footnote>
  <w:footnote w:id="25">
    <w:p w:rsidR="006F678C" w:rsidRDefault="006F678C" w:rsidP="00775EA7">
      <w:pPr>
        <w:pStyle w:val="Textpoznpodarou"/>
      </w:pPr>
      <w:r>
        <w:rPr>
          <w:rStyle w:val="Znakapoznpodarou"/>
        </w:rPr>
        <w:footnoteRef/>
      </w:r>
      <w:r>
        <w:t xml:space="preserve"> </w:t>
      </w:r>
      <w:proofErr w:type="spellStart"/>
      <w:r w:rsidRPr="005828E4">
        <w:t>Purchasing</w:t>
      </w:r>
      <w:proofErr w:type="spellEnd"/>
      <w:r w:rsidRPr="005828E4">
        <w:t xml:space="preserve"> </w:t>
      </w:r>
      <w:proofErr w:type="spellStart"/>
      <w:r w:rsidRPr="005828E4">
        <w:t>Power</w:t>
      </w:r>
      <w:proofErr w:type="spellEnd"/>
      <w:r w:rsidRPr="005828E4">
        <w:t xml:space="preserve"> Standard</w:t>
      </w:r>
      <w:r>
        <w:t xml:space="preserve"> </w:t>
      </w:r>
      <w:r w:rsidRPr="004B34C0">
        <w:t xml:space="preserve">je </w:t>
      </w:r>
      <w:r>
        <w:t xml:space="preserve">uměle vytvořená měnová jednotka, která vyjadřuje kurz mezi dvěma měnami umožňující v obou zemích nákup stejného množství zboží. </w:t>
      </w:r>
    </w:p>
  </w:footnote>
  <w:footnote w:id="26">
    <w:p w:rsidR="006F678C" w:rsidRDefault="006F678C" w:rsidP="00775EA7">
      <w:pPr>
        <w:pStyle w:val="Textpoznpodarou"/>
      </w:pPr>
      <w:r>
        <w:rPr>
          <w:rStyle w:val="Znakapoznpodarou"/>
        </w:rPr>
        <w:footnoteRef/>
      </w:r>
      <w:r>
        <w:t xml:space="preserve"> </w:t>
      </w:r>
      <w:r w:rsidRPr="00AC6FB2">
        <w:t xml:space="preserve">Zásady poskytování důvěrných statistických údajů z </w:t>
      </w:r>
      <w:r>
        <w:t>ČSÚ</w:t>
      </w:r>
      <w:r w:rsidRPr="00AC6FB2">
        <w:t xml:space="preserve"> externím uživatelům vycházejí z právních předpisů </w:t>
      </w:r>
      <w:r>
        <w:t>EU</w:t>
      </w:r>
      <w:r w:rsidRPr="00AC6FB2">
        <w:t xml:space="preserve"> a </w:t>
      </w:r>
      <w:r>
        <w:t xml:space="preserve">ČR </w:t>
      </w:r>
      <w:r w:rsidRPr="00AC6FB2">
        <w:t>zejména ze zákona č. 89/1995 Sb. o státní statistické službě ve znění pozdějších předpisů, zákona č. 101/2000 Sb., o</w:t>
      </w:r>
      <w:r>
        <w:t> </w:t>
      </w:r>
      <w:r w:rsidRPr="00AC6FB2">
        <w:t xml:space="preserve">ochraně osobních údajů a o změně některých zákonů ve znění pozdějších předpisů a nařízení Evropského parlamentu a Rady (ES) č. 557/2013 ze dne 17. </w:t>
      </w:r>
      <w:r>
        <w:t>č</w:t>
      </w:r>
      <w:r w:rsidRPr="00AC6FB2">
        <w:t>ervna</w:t>
      </w:r>
      <w:r>
        <w:t xml:space="preserve"> </w:t>
      </w:r>
      <w:r w:rsidRPr="00AC6FB2">
        <w:t>2013.</w:t>
      </w:r>
      <w:r>
        <w:t xml:space="preserve"> </w:t>
      </w:r>
      <w:r w:rsidRPr="00AC6FB2">
        <w:t>Ačkoli ČSÚ sbírá a zpracovává individuální údaje primárně pro statistické účely, může podle § 17 Poskytování důvěrných statistických údajů, zákona č. 89/1995 o státní statistické službě předávat důvěrné statistické údaje také pro účely vědeckého výzkumu. Údaje se poskytují ve formě neumožňující přímé určení zpravodajské jednotky, jíž se poskytnuté údaje t</w:t>
      </w:r>
      <w:r>
        <w:t xml:space="preserve">ýkají (viz více </w:t>
      </w:r>
      <w:r w:rsidRPr="00202375">
        <w:t>https://www.czso.cz/csu/czso/zasady-a-podminky-poskytovani-mikrodat-pro-ucely-disertacnich-praci</w:t>
      </w:r>
      <w:r>
        <w:t>).</w:t>
      </w:r>
    </w:p>
  </w:footnote>
  <w:footnote w:id="27">
    <w:p w:rsidR="006F678C" w:rsidRDefault="006F678C" w:rsidP="00775EA7">
      <w:pPr>
        <w:pStyle w:val="Textpoznpodarou"/>
      </w:pPr>
      <w:r>
        <w:rPr>
          <w:rStyle w:val="Znakapoznpodarou"/>
        </w:rPr>
        <w:footnoteRef/>
      </w:r>
      <w:r>
        <w:t xml:space="preserve"> </w:t>
      </w:r>
      <w:r w:rsidRPr="00845AD8">
        <w:t>Podle platné definice</w:t>
      </w:r>
      <w:r w:rsidRPr="00942E00">
        <w:t xml:space="preserve"> jsou kulturní a kreativní průmysly - CCI (pozn. též KKP) -  všechna odvětví, jejichž základem je individuální lidsk</w:t>
      </w:r>
      <w:r>
        <w:t xml:space="preserve">á kreativita, lidské dovednosti </w:t>
      </w:r>
      <w:r w:rsidRPr="00942E00">
        <w:t>a talent. Zároveň jsou odvětvími s potenciálem vytvářet bohatství a pracovní místa zejména prostřednictvím využití duševního vlastnictví.</w:t>
      </w:r>
    </w:p>
    <w:p w:rsidR="006F678C" w:rsidRDefault="006F678C" w:rsidP="00775EA7">
      <w:pPr>
        <w:pStyle w:val="Textpoznpodarou"/>
      </w:pPr>
      <w:r w:rsidRPr="00491A70">
        <w:rPr>
          <w:b/>
        </w:rPr>
        <w:t>Kulturní průmysly</w:t>
      </w:r>
      <w:r w:rsidRPr="0042724B">
        <w:t xml:space="preserve"> jsou ekonomická odvětví a obory, jejichž smyslem je poskytnou</w:t>
      </w:r>
      <w:r>
        <w:t>t</w:t>
      </w:r>
      <w:r w:rsidRPr="0042724B">
        <w:t xml:space="preserve"> spotřebitelům kulturní zážitky a nové prožitky, šířit informace a znalosti </w:t>
      </w:r>
      <w:r>
        <w:t>a</w:t>
      </w:r>
      <w:r w:rsidRPr="0042724B">
        <w:t xml:space="preserve"> přispíva</w:t>
      </w:r>
      <w:r>
        <w:t>t</w:t>
      </w:r>
      <w:r w:rsidRPr="0042724B">
        <w:t xml:space="preserve"> k ochraně a</w:t>
      </w:r>
      <w:r>
        <w:t> </w:t>
      </w:r>
      <w:r w:rsidRPr="0042724B">
        <w:t xml:space="preserve">uchování kulturního a přírodního dědictví. </w:t>
      </w:r>
      <w:r>
        <w:t>Rozvíjejí</w:t>
      </w:r>
      <w:r w:rsidRPr="0042724B">
        <w:t xml:space="preserve"> distribuci kulturních statků a služeb, jež vycházejí z individuální lidské kreativity, dovednosti a talentu.</w:t>
      </w:r>
      <w:r>
        <w:t xml:space="preserve"> Mezi kulturní průmysly patří: </w:t>
      </w:r>
      <w:r w:rsidRPr="00491A70">
        <w:rPr>
          <w:b/>
        </w:rPr>
        <w:t>přenos a sdílení projevů výtvarného umění, scénického umění, kulturního dědictví</w:t>
      </w:r>
      <w:r>
        <w:t xml:space="preserve"> (muzea, galerie, činnost knihoven), </w:t>
      </w:r>
      <w:r w:rsidRPr="000F625B">
        <w:rPr>
          <w:b/>
        </w:rPr>
        <w:t xml:space="preserve">film a video, televize </w:t>
      </w:r>
      <w:r w:rsidRPr="000F625B">
        <w:t>a rozhlas, videohry, hudba a audio, knihy a tisk.</w:t>
      </w:r>
    </w:p>
    <w:p w:rsidR="006F678C" w:rsidRDefault="006F678C" w:rsidP="00775EA7">
      <w:pPr>
        <w:pStyle w:val="Textpoznpodarou"/>
      </w:pPr>
      <w:r w:rsidRPr="00491A70">
        <w:rPr>
          <w:b/>
        </w:rPr>
        <w:t>Kreativní průmysly</w:t>
      </w:r>
      <w:r>
        <w:t xml:space="preserve"> jsou ekonomická odvětví a obory, jejichž smyslem je poskytnout </w:t>
      </w:r>
      <w:r w:rsidRPr="000F625B">
        <w:t xml:space="preserve">spotřebitelům funkční statky a služby, které nabízejí nové užitky obsahující prvky individuální lidské dovednosti a talentu. Ke kreativním průmyslům náležejí: </w:t>
      </w:r>
      <w:r w:rsidRPr="000F625B">
        <w:rPr>
          <w:b/>
        </w:rPr>
        <w:t>design, móda, architektura, urbanismus, péče o krajinu, reklamní průmysl, umělecké řemeslo, vývoj a prodej funkčního SW, vývojové a inovační aktivity, koncepční aktivity.</w:t>
      </w:r>
    </w:p>
  </w:footnote>
  <w:footnote w:id="28">
    <w:p w:rsidR="006F678C" w:rsidRDefault="006F678C" w:rsidP="00775EA7">
      <w:pPr>
        <w:pStyle w:val="Textpoznpodarou"/>
      </w:pPr>
      <w:r>
        <w:rPr>
          <w:rStyle w:val="Znakapoznpodarou"/>
        </w:rPr>
        <w:footnoteRef/>
      </w:r>
      <w:r>
        <w:t xml:space="preserve"> Při mapování, jež pracovalo s kvantitativními daty ČSÚ, byly vytvořeny dílčí seznamy subjektů sektoru CCI v ČR na základě klasifikace ekonomických činností NACE. Údaje ČSÚ byly kvalitativně očištěny tak, že byly vybrány aktivní a činné subjekty a byla zohledněna vazba jejich specializované činnosti na tradiční zaměření průmyslu či řemesla v konkrétním regionu včetně sociokulturního významu subjektů pro region a potenciál zhodnotit oblast. </w:t>
      </w:r>
    </w:p>
    <w:p w:rsidR="006F678C" w:rsidRDefault="006F678C" w:rsidP="00775EA7">
      <w:pPr>
        <w:pStyle w:val="Textpoznpodarou"/>
      </w:pPr>
      <w:r>
        <w:t>Výsledkem jsou vzorky subjektů:</w:t>
      </w:r>
    </w:p>
    <w:p w:rsidR="006F678C" w:rsidRDefault="006F678C" w:rsidP="00775EA7">
      <w:pPr>
        <w:pStyle w:val="Textpoznpodarou"/>
        <w:numPr>
          <w:ilvl w:val="0"/>
          <w:numId w:val="14"/>
        </w:numPr>
      </w:pPr>
      <w:r>
        <w:t>z podnikatelské sféry z odvětví kreativního průmyslu: skupiny Řemeslo, Design, Móda, Architektonické a inženýrské činnosti, Výroba oděvů a jiné související činnosti,</w:t>
      </w:r>
    </w:p>
    <w:p w:rsidR="006F678C" w:rsidRDefault="006F678C" w:rsidP="00775EA7">
      <w:pPr>
        <w:pStyle w:val="Textpoznpodarou"/>
        <w:numPr>
          <w:ilvl w:val="0"/>
          <w:numId w:val="14"/>
        </w:numPr>
      </w:pPr>
      <w:r>
        <w:t>sféry kulturního průmyslu: skupiny Vydávání knih, periodických publikací a ostatní vydavatelské činnosti,</w:t>
      </w:r>
    </w:p>
    <w:p w:rsidR="006F678C" w:rsidRDefault="006F678C" w:rsidP="00775EA7">
      <w:pPr>
        <w:pStyle w:val="Textpoznpodarou"/>
        <w:numPr>
          <w:ilvl w:val="0"/>
          <w:numId w:val="14"/>
        </w:numPr>
      </w:pPr>
      <w:r>
        <w:t>z oblastí, které nemají charakter průmyslu (kulturní sektor): uměleckého vyššího odborného, středního a vysokého školství, paměťových institucí (muzea a skanzeny), galerií,</w:t>
      </w:r>
    </w:p>
    <w:p w:rsidR="006F678C" w:rsidRPr="00845AD8" w:rsidRDefault="006F678C" w:rsidP="00775EA7">
      <w:pPr>
        <w:pStyle w:val="Textpoznpodarou"/>
        <w:numPr>
          <w:ilvl w:val="0"/>
          <w:numId w:val="14"/>
        </w:numPr>
      </w:pPr>
      <w:r>
        <w:t>aktuálně aktivních kreativních inkubátorů, co-</w:t>
      </w:r>
      <w:proofErr w:type="spellStart"/>
      <w:r>
        <w:t>workingových</w:t>
      </w:r>
      <w:proofErr w:type="spellEnd"/>
      <w:r>
        <w:t xml:space="preserve"> center, </w:t>
      </w:r>
      <w:proofErr w:type="spellStart"/>
      <w:r>
        <w:t>hubů</w:t>
      </w:r>
      <w:proofErr w:type="spellEnd"/>
      <w:r>
        <w:t xml:space="preserve">, start-up-ů a </w:t>
      </w:r>
      <w:proofErr w:type="spellStart"/>
      <w:r w:rsidRPr="00845AD8">
        <w:t>vtp</w:t>
      </w:r>
      <w:proofErr w:type="spellEnd"/>
    </w:p>
    <w:p w:rsidR="006F678C" w:rsidRDefault="006F678C" w:rsidP="00775EA7">
      <w:pPr>
        <w:pStyle w:val="Textpoznpodarou"/>
      </w:pPr>
      <w:r>
        <w:t xml:space="preserve">Ve snaze o lepší uplatnění lidského potenciálu, kulturního dědictví a efektivní využívání kulturní infrastruktury je nutné velmi citlivě rozlišovat mezi </w:t>
      </w:r>
      <w:r w:rsidRPr="00083451">
        <w:rPr>
          <w:b/>
        </w:rPr>
        <w:t>podporou tvorby</w:t>
      </w:r>
      <w:r>
        <w:t xml:space="preserve">, jakožto základu a zdroje kreativity, díky níž mohou prosperovat i průmysly, a </w:t>
      </w:r>
      <w:r w:rsidRPr="00083451">
        <w:rPr>
          <w:b/>
        </w:rPr>
        <w:t>podporou kulturních průmyslů a kreativní ekonomiky</w:t>
      </w:r>
      <w:r>
        <w:t xml:space="preserve">, která je podporou podnikání. Tato podpora by však měla být </w:t>
      </w:r>
      <w:r w:rsidRPr="00083451">
        <w:t xml:space="preserve">vždy řízena v souladu s logikou vývojového řetězce: </w:t>
      </w:r>
      <w:r w:rsidRPr="00083451">
        <w:rPr>
          <w:b/>
        </w:rPr>
        <w:t>projekt – realizace/výroba – reprezentace/uchovávání.</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678C" w:rsidRPr="0083134A" w:rsidRDefault="006F678C" w:rsidP="001911CA">
    <w:pPr>
      <w:pStyle w:val="Zhlav"/>
      <w:rPr>
        <w:rFonts w:ascii="Cambria" w:eastAsia="Times New Roman" w:hAnsi="Cambria" w:cs="Arial"/>
        <w:i/>
        <w:color w:val="1F497D"/>
        <w:sz w:val="18"/>
        <w:szCs w:val="18"/>
        <w:lang w:eastAsia="cs-CZ"/>
      </w:rPr>
    </w:pPr>
    <w:r w:rsidRPr="0083134A">
      <w:rPr>
        <w:rFonts w:ascii="Cambria" w:eastAsia="Times New Roman" w:hAnsi="Cambria" w:cs="Arial"/>
        <w:i/>
        <w:color w:val="1F497D"/>
        <w:sz w:val="18"/>
        <w:szCs w:val="18"/>
        <w:lang w:eastAsia="cs-CZ"/>
      </w:rPr>
      <w:t>Analýza stavu výzkumu, vývoje a inovací v České republice a jejich srovnání se zahraničím v roce 2014</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678C" w:rsidRPr="00B36DC6" w:rsidRDefault="006F678C" w:rsidP="00B36DC6">
    <w:pPr>
      <w:pStyle w:val="Zhlav"/>
    </w:pPr>
    <w:r w:rsidRPr="0083134A">
      <w:rPr>
        <w:rFonts w:ascii="Cambria" w:eastAsia="Times New Roman" w:hAnsi="Cambria" w:cs="Arial"/>
        <w:i/>
        <w:color w:val="1F497D"/>
        <w:sz w:val="18"/>
        <w:szCs w:val="18"/>
        <w:lang w:eastAsia="cs-CZ"/>
      </w:rPr>
      <w:t>Analýza stavu výzkumu, vývoje a inovací v České republice a jejich srovnání se zahraničím v roce 2014</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F95A9B"/>
    <w:multiLevelType w:val="hybridMultilevel"/>
    <w:tmpl w:val="7762548A"/>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8E526E46">
      <w:start w:val="1"/>
      <w:numFmt w:val="bullet"/>
      <w:pStyle w:val="komentzaobrzkem-odrky"/>
      <w:lvlText w:val=""/>
      <w:lvlJc w:val="left"/>
      <w:pPr>
        <w:ind w:left="2160" w:hanging="180"/>
      </w:pPr>
      <w:rPr>
        <w:rFonts w:ascii="Symbol" w:hAnsi="Symbol" w:hint="default"/>
      </w:r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nsid w:val="05F7761A"/>
    <w:multiLevelType w:val="hybridMultilevel"/>
    <w:tmpl w:val="1FF2CF9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E2859A6"/>
    <w:multiLevelType w:val="hybridMultilevel"/>
    <w:tmpl w:val="4D12078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17363355"/>
    <w:multiLevelType w:val="hybridMultilevel"/>
    <w:tmpl w:val="1988E2E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17D2783E"/>
    <w:multiLevelType w:val="hybridMultilevel"/>
    <w:tmpl w:val="62EEDA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19657530"/>
    <w:multiLevelType w:val="hybridMultilevel"/>
    <w:tmpl w:val="B6F2DE04"/>
    <w:lvl w:ilvl="0" w:tplc="0405000F">
      <w:start w:val="8"/>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1BD20136"/>
    <w:multiLevelType w:val="hybridMultilevel"/>
    <w:tmpl w:val="F5C64FA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1E72216C"/>
    <w:multiLevelType w:val="hybridMultilevel"/>
    <w:tmpl w:val="AF5E159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C4F154C"/>
    <w:multiLevelType w:val="hybridMultilevel"/>
    <w:tmpl w:val="4FFE46F2"/>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2F6F77E9"/>
    <w:multiLevelType w:val="hybridMultilevel"/>
    <w:tmpl w:val="E05230BA"/>
    <w:lvl w:ilvl="0" w:tplc="0405000F">
      <w:start w:val="1"/>
      <w:numFmt w:val="decimal"/>
      <w:lvlText w:val="%1."/>
      <w:lvlJc w:val="left"/>
      <w:pPr>
        <w:ind w:left="770" w:hanging="360"/>
      </w:pPr>
    </w:lvl>
    <w:lvl w:ilvl="1" w:tplc="04050019" w:tentative="1">
      <w:start w:val="1"/>
      <w:numFmt w:val="lowerLetter"/>
      <w:lvlText w:val="%2."/>
      <w:lvlJc w:val="left"/>
      <w:pPr>
        <w:ind w:left="1490" w:hanging="360"/>
      </w:pPr>
    </w:lvl>
    <w:lvl w:ilvl="2" w:tplc="0405001B" w:tentative="1">
      <w:start w:val="1"/>
      <w:numFmt w:val="lowerRoman"/>
      <w:lvlText w:val="%3."/>
      <w:lvlJc w:val="right"/>
      <w:pPr>
        <w:ind w:left="2210" w:hanging="180"/>
      </w:pPr>
    </w:lvl>
    <w:lvl w:ilvl="3" w:tplc="0405000F" w:tentative="1">
      <w:start w:val="1"/>
      <w:numFmt w:val="decimal"/>
      <w:lvlText w:val="%4."/>
      <w:lvlJc w:val="left"/>
      <w:pPr>
        <w:ind w:left="2930" w:hanging="360"/>
      </w:pPr>
    </w:lvl>
    <w:lvl w:ilvl="4" w:tplc="04050019" w:tentative="1">
      <w:start w:val="1"/>
      <w:numFmt w:val="lowerLetter"/>
      <w:lvlText w:val="%5."/>
      <w:lvlJc w:val="left"/>
      <w:pPr>
        <w:ind w:left="3650" w:hanging="360"/>
      </w:pPr>
    </w:lvl>
    <w:lvl w:ilvl="5" w:tplc="0405001B" w:tentative="1">
      <w:start w:val="1"/>
      <w:numFmt w:val="lowerRoman"/>
      <w:lvlText w:val="%6."/>
      <w:lvlJc w:val="right"/>
      <w:pPr>
        <w:ind w:left="4370" w:hanging="180"/>
      </w:pPr>
    </w:lvl>
    <w:lvl w:ilvl="6" w:tplc="0405000F" w:tentative="1">
      <w:start w:val="1"/>
      <w:numFmt w:val="decimal"/>
      <w:lvlText w:val="%7."/>
      <w:lvlJc w:val="left"/>
      <w:pPr>
        <w:ind w:left="5090" w:hanging="360"/>
      </w:pPr>
    </w:lvl>
    <w:lvl w:ilvl="7" w:tplc="04050019" w:tentative="1">
      <w:start w:val="1"/>
      <w:numFmt w:val="lowerLetter"/>
      <w:lvlText w:val="%8."/>
      <w:lvlJc w:val="left"/>
      <w:pPr>
        <w:ind w:left="5810" w:hanging="360"/>
      </w:pPr>
    </w:lvl>
    <w:lvl w:ilvl="8" w:tplc="0405001B" w:tentative="1">
      <w:start w:val="1"/>
      <w:numFmt w:val="lowerRoman"/>
      <w:lvlText w:val="%9."/>
      <w:lvlJc w:val="right"/>
      <w:pPr>
        <w:ind w:left="6530" w:hanging="180"/>
      </w:pPr>
    </w:lvl>
  </w:abstractNum>
  <w:abstractNum w:abstractNumId="10">
    <w:nsid w:val="3C33228D"/>
    <w:multiLevelType w:val="multilevel"/>
    <w:tmpl w:val="65E6B81C"/>
    <w:lvl w:ilvl="0">
      <w:start w:val="1"/>
      <w:numFmt w:val="decimal"/>
      <w:lvlText w:val="%1."/>
      <w:lvlJc w:val="left"/>
      <w:pPr>
        <w:ind w:left="360" w:hanging="360"/>
      </w:pPr>
    </w:lvl>
    <w:lvl w:ilvl="1">
      <w:start w:val="1"/>
      <w:numFmt w:val="decimal"/>
      <w:pStyle w:val="Podtitu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3D7A3B05"/>
    <w:multiLevelType w:val="hybridMultilevel"/>
    <w:tmpl w:val="DD989BE0"/>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2">
    <w:nsid w:val="42283996"/>
    <w:multiLevelType w:val="hybridMultilevel"/>
    <w:tmpl w:val="42B21D44"/>
    <w:lvl w:ilvl="0" w:tplc="0405000F">
      <w:start w:val="1"/>
      <w:numFmt w:val="decimal"/>
      <w:lvlText w:val="%1."/>
      <w:lvlJc w:val="left"/>
      <w:pPr>
        <w:ind w:left="720" w:hanging="360"/>
      </w:pPr>
    </w:lvl>
    <w:lvl w:ilvl="1" w:tplc="1C901626">
      <w:start w:val="1"/>
      <w:numFmt w:val="lowerLetter"/>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44D30D09"/>
    <w:multiLevelType w:val="hybridMultilevel"/>
    <w:tmpl w:val="1A58E3B4"/>
    <w:lvl w:ilvl="0" w:tplc="5A8E6968">
      <w:start w:val="4"/>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45E17AD5"/>
    <w:multiLevelType w:val="hybridMultilevel"/>
    <w:tmpl w:val="07F82542"/>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466E214A"/>
    <w:multiLevelType w:val="hybridMultilevel"/>
    <w:tmpl w:val="4CA49B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4CF10C1D"/>
    <w:multiLevelType w:val="hybridMultilevel"/>
    <w:tmpl w:val="9F2A934E"/>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7">
    <w:nsid w:val="52676D74"/>
    <w:multiLevelType w:val="hybridMultilevel"/>
    <w:tmpl w:val="B20E63CC"/>
    <w:lvl w:ilvl="0" w:tplc="0405000F">
      <w:start w:val="1"/>
      <w:numFmt w:val="decimal"/>
      <w:lvlText w:val="%1."/>
      <w:lvlJc w:val="left"/>
      <w:pPr>
        <w:ind w:left="1130" w:hanging="360"/>
      </w:pPr>
    </w:lvl>
    <w:lvl w:ilvl="1" w:tplc="04050019" w:tentative="1">
      <w:start w:val="1"/>
      <w:numFmt w:val="lowerLetter"/>
      <w:lvlText w:val="%2."/>
      <w:lvlJc w:val="left"/>
      <w:pPr>
        <w:ind w:left="1850" w:hanging="360"/>
      </w:pPr>
    </w:lvl>
    <w:lvl w:ilvl="2" w:tplc="0405001B" w:tentative="1">
      <w:start w:val="1"/>
      <w:numFmt w:val="lowerRoman"/>
      <w:lvlText w:val="%3."/>
      <w:lvlJc w:val="right"/>
      <w:pPr>
        <w:ind w:left="2570" w:hanging="180"/>
      </w:pPr>
    </w:lvl>
    <w:lvl w:ilvl="3" w:tplc="0405000F" w:tentative="1">
      <w:start w:val="1"/>
      <w:numFmt w:val="decimal"/>
      <w:lvlText w:val="%4."/>
      <w:lvlJc w:val="left"/>
      <w:pPr>
        <w:ind w:left="3290" w:hanging="360"/>
      </w:pPr>
    </w:lvl>
    <w:lvl w:ilvl="4" w:tplc="04050019" w:tentative="1">
      <w:start w:val="1"/>
      <w:numFmt w:val="lowerLetter"/>
      <w:lvlText w:val="%5."/>
      <w:lvlJc w:val="left"/>
      <w:pPr>
        <w:ind w:left="4010" w:hanging="360"/>
      </w:pPr>
    </w:lvl>
    <w:lvl w:ilvl="5" w:tplc="0405001B" w:tentative="1">
      <w:start w:val="1"/>
      <w:numFmt w:val="lowerRoman"/>
      <w:lvlText w:val="%6."/>
      <w:lvlJc w:val="right"/>
      <w:pPr>
        <w:ind w:left="4730" w:hanging="180"/>
      </w:pPr>
    </w:lvl>
    <w:lvl w:ilvl="6" w:tplc="0405000F" w:tentative="1">
      <w:start w:val="1"/>
      <w:numFmt w:val="decimal"/>
      <w:lvlText w:val="%7."/>
      <w:lvlJc w:val="left"/>
      <w:pPr>
        <w:ind w:left="5450" w:hanging="360"/>
      </w:pPr>
    </w:lvl>
    <w:lvl w:ilvl="7" w:tplc="04050019" w:tentative="1">
      <w:start w:val="1"/>
      <w:numFmt w:val="lowerLetter"/>
      <w:lvlText w:val="%8."/>
      <w:lvlJc w:val="left"/>
      <w:pPr>
        <w:ind w:left="6170" w:hanging="360"/>
      </w:pPr>
    </w:lvl>
    <w:lvl w:ilvl="8" w:tplc="0405001B" w:tentative="1">
      <w:start w:val="1"/>
      <w:numFmt w:val="lowerRoman"/>
      <w:lvlText w:val="%9."/>
      <w:lvlJc w:val="right"/>
      <w:pPr>
        <w:ind w:left="6890" w:hanging="180"/>
      </w:pPr>
    </w:lvl>
  </w:abstractNum>
  <w:abstractNum w:abstractNumId="18">
    <w:nsid w:val="52B118C4"/>
    <w:multiLevelType w:val="hybridMultilevel"/>
    <w:tmpl w:val="BE64ABA0"/>
    <w:lvl w:ilvl="0" w:tplc="256624E8">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66D54321"/>
    <w:multiLevelType w:val="hybridMultilevel"/>
    <w:tmpl w:val="E8407A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67C41225"/>
    <w:multiLevelType w:val="hybridMultilevel"/>
    <w:tmpl w:val="A5760A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69D26A88"/>
    <w:multiLevelType w:val="hybridMultilevel"/>
    <w:tmpl w:val="4E383ADC"/>
    <w:lvl w:ilvl="0" w:tplc="04050001">
      <w:start w:val="1"/>
      <w:numFmt w:val="bullet"/>
      <w:lvlText w:val=""/>
      <w:lvlJc w:val="left"/>
      <w:pPr>
        <w:ind w:left="1130" w:hanging="360"/>
      </w:pPr>
      <w:rPr>
        <w:rFonts w:ascii="Symbol" w:hAnsi="Symbol" w:hint="default"/>
      </w:rPr>
    </w:lvl>
    <w:lvl w:ilvl="1" w:tplc="04050003" w:tentative="1">
      <w:start w:val="1"/>
      <w:numFmt w:val="bullet"/>
      <w:lvlText w:val="o"/>
      <w:lvlJc w:val="left"/>
      <w:pPr>
        <w:ind w:left="1850" w:hanging="360"/>
      </w:pPr>
      <w:rPr>
        <w:rFonts w:ascii="Courier New" w:hAnsi="Courier New" w:cs="Courier New" w:hint="default"/>
      </w:rPr>
    </w:lvl>
    <w:lvl w:ilvl="2" w:tplc="04050005" w:tentative="1">
      <w:start w:val="1"/>
      <w:numFmt w:val="bullet"/>
      <w:lvlText w:val=""/>
      <w:lvlJc w:val="left"/>
      <w:pPr>
        <w:ind w:left="2570" w:hanging="360"/>
      </w:pPr>
      <w:rPr>
        <w:rFonts w:ascii="Wingdings" w:hAnsi="Wingdings" w:hint="default"/>
      </w:rPr>
    </w:lvl>
    <w:lvl w:ilvl="3" w:tplc="04050001" w:tentative="1">
      <w:start w:val="1"/>
      <w:numFmt w:val="bullet"/>
      <w:lvlText w:val=""/>
      <w:lvlJc w:val="left"/>
      <w:pPr>
        <w:ind w:left="3290" w:hanging="360"/>
      </w:pPr>
      <w:rPr>
        <w:rFonts w:ascii="Symbol" w:hAnsi="Symbol" w:hint="default"/>
      </w:rPr>
    </w:lvl>
    <w:lvl w:ilvl="4" w:tplc="04050003" w:tentative="1">
      <w:start w:val="1"/>
      <w:numFmt w:val="bullet"/>
      <w:lvlText w:val="o"/>
      <w:lvlJc w:val="left"/>
      <w:pPr>
        <w:ind w:left="4010" w:hanging="360"/>
      </w:pPr>
      <w:rPr>
        <w:rFonts w:ascii="Courier New" w:hAnsi="Courier New" w:cs="Courier New" w:hint="default"/>
      </w:rPr>
    </w:lvl>
    <w:lvl w:ilvl="5" w:tplc="04050005" w:tentative="1">
      <w:start w:val="1"/>
      <w:numFmt w:val="bullet"/>
      <w:lvlText w:val=""/>
      <w:lvlJc w:val="left"/>
      <w:pPr>
        <w:ind w:left="4730" w:hanging="360"/>
      </w:pPr>
      <w:rPr>
        <w:rFonts w:ascii="Wingdings" w:hAnsi="Wingdings" w:hint="default"/>
      </w:rPr>
    </w:lvl>
    <w:lvl w:ilvl="6" w:tplc="04050001" w:tentative="1">
      <w:start w:val="1"/>
      <w:numFmt w:val="bullet"/>
      <w:lvlText w:val=""/>
      <w:lvlJc w:val="left"/>
      <w:pPr>
        <w:ind w:left="5450" w:hanging="360"/>
      </w:pPr>
      <w:rPr>
        <w:rFonts w:ascii="Symbol" w:hAnsi="Symbol" w:hint="default"/>
      </w:rPr>
    </w:lvl>
    <w:lvl w:ilvl="7" w:tplc="04050003" w:tentative="1">
      <w:start w:val="1"/>
      <w:numFmt w:val="bullet"/>
      <w:lvlText w:val="o"/>
      <w:lvlJc w:val="left"/>
      <w:pPr>
        <w:ind w:left="6170" w:hanging="360"/>
      </w:pPr>
      <w:rPr>
        <w:rFonts w:ascii="Courier New" w:hAnsi="Courier New" w:cs="Courier New" w:hint="default"/>
      </w:rPr>
    </w:lvl>
    <w:lvl w:ilvl="8" w:tplc="04050005" w:tentative="1">
      <w:start w:val="1"/>
      <w:numFmt w:val="bullet"/>
      <w:lvlText w:val=""/>
      <w:lvlJc w:val="left"/>
      <w:pPr>
        <w:ind w:left="6890" w:hanging="360"/>
      </w:pPr>
      <w:rPr>
        <w:rFonts w:ascii="Wingdings" w:hAnsi="Wingdings" w:hint="default"/>
      </w:rPr>
    </w:lvl>
  </w:abstractNum>
  <w:abstractNum w:abstractNumId="22">
    <w:nsid w:val="797A2312"/>
    <w:multiLevelType w:val="hybridMultilevel"/>
    <w:tmpl w:val="B7BE96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7E5F47C1"/>
    <w:multiLevelType w:val="hybridMultilevel"/>
    <w:tmpl w:val="F970D19E"/>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8"/>
  </w:num>
  <w:num w:numId="2">
    <w:abstractNumId w:val="0"/>
  </w:num>
  <w:num w:numId="3">
    <w:abstractNumId w:val="10"/>
  </w:num>
  <w:num w:numId="4">
    <w:abstractNumId w:val="3"/>
  </w:num>
  <w:num w:numId="5">
    <w:abstractNumId w:val="9"/>
  </w:num>
  <w:num w:numId="6">
    <w:abstractNumId w:val="13"/>
  </w:num>
  <w:num w:numId="7">
    <w:abstractNumId w:val="22"/>
  </w:num>
  <w:num w:numId="8">
    <w:abstractNumId w:val="1"/>
  </w:num>
  <w:num w:numId="9">
    <w:abstractNumId w:val="14"/>
  </w:num>
  <w:num w:numId="10">
    <w:abstractNumId w:val="23"/>
  </w:num>
  <w:num w:numId="11">
    <w:abstractNumId w:val="12"/>
  </w:num>
  <w:num w:numId="12">
    <w:abstractNumId w:val="7"/>
  </w:num>
  <w:num w:numId="13">
    <w:abstractNumId w:val="5"/>
  </w:num>
  <w:num w:numId="14">
    <w:abstractNumId w:val="18"/>
  </w:num>
  <w:num w:numId="15">
    <w:abstractNumId w:val="16"/>
  </w:num>
  <w:num w:numId="16">
    <w:abstractNumId w:val="20"/>
  </w:num>
  <w:num w:numId="17">
    <w:abstractNumId w:val="2"/>
  </w:num>
  <w:num w:numId="18">
    <w:abstractNumId w:val="4"/>
  </w:num>
  <w:num w:numId="19">
    <w:abstractNumId w:val="17"/>
  </w:num>
  <w:num w:numId="20">
    <w:abstractNumId w:val="21"/>
  </w:num>
  <w:num w:numId="21">
    <w:abstractNumId w:val="6"/>
  </w:num>
  <w:num w:numId="22">
    <w:abstractNumId w:val="15"/>
  </w:num>
  <w:num w:numId="23">
    <w:abstractNumId w:val="11"/>
  </w:num>
  <w:num w:numId="24">
    <w:abstractNumId w:val="19"/>
  </w:num>
  <w:num w:numId="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ocumentProtection w:edit="readOnly" w:enforcement="0"/>
  <w:defaultTabStop w:val="709"/>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22A0"/>
    <w:rsid w:val="00000A2A"/>
    <w:rsid w:val="00003A86"/>
    <w:rsid w:val="0000648C"/>
    <w:rsid w:val="00010F88"/>
    <w:rsid w:val="000163C3"/>
    <w:rsid w:val="000178D6"/>
    <w:rsid w:val="00024C1D"/>
    <w:rsid w:val="00030DDA"/>
    <w:rsid w:val="00040353"/>
    <w:rsid w:val="00042809"/>
    <w:rsid w:val="00042E86"/>
    <w:rsid w:val="0005325C"/>
    <w:rsid w:val="00055617"/>
    <w:rsid w:val="00056656"/>
    <w:rsid w:val="000566E0"/>
    <w:rsid w:val="00060D84"/>
    <w:rsid w:val="00071A9A"/>
    <w:rsid w:val="00072077"/>
    <w:rsid w:val="00074540"/>
    <w:rsid w:val="00076B14"/>
    <w:rsid w:val="000822A0"/>
    <w:rsid w:val="00082875"/>
    <w:rsid w:val="00083A27"/>
    <w:rsid w:val="000A34E0"/>
    <w:rsid w:val="000A3889"/>
    <w:rsid w:val="000B10EB"/>
    <w:rsid w:val="000B429D"/>
    <w:rsid w:val="000C142B"/>
    <w:rsid w:val="000C1800"/>
    <w:rsid w:val="000D1BED"/>
    <w:rsid w:val="000F3766"/>
    <w:rsid w:val="000F625B"/>
    <w:rsid w:val="00100AF0"/>
    <w:rsid w:val="0011270C"/>
    <w:rsid w:val="00115228"/>
    <w:rsid w:val="00115879"/>
    <w:rsid w:val="00123AC7"/>
    <w:rsid w:val="00124427"/>
    <w:rsid w:val="001309B5"/>
    <w:rsid w:val="00131475"/>
    <w:rsid w:val="00133488"/>
    <w:rsid w:val="001354D7"/>
    <w:rsid w:val="00136E58"/>
    <w:rsid w:val="00144229"/>
    <w:rsid w:val="00145813"/>
    <w:rsid w:val="00150AD1"/>
    <w:rsid w:val="00152549"/>
    <w:rsid w:val="00152FE4"/>
    <w:rsid w:val="00156F20"/>
    <w:rsid w:val="00160322"/>
    <w:rsid w:val="00174CF2"/>
    <w:rsid w:val="001911CA"/>
    <w:rsid w:val="00195AA5"/>
    <w:rsid w:val="001B4C6E"/>
    <w:rsid w:val="001B7601"/>
    <w:rsid w:val="001B7A08"/>
    <w:rsid w:val="001C051F"/>
    <w:rsid w:val="001C57AC"/>
    <w:rsid w:val="001E2F51"/>
    <w:rsid w:val="001E7576"/>
    <w:rsid w:val="001F7718"/>
    <w:rsid w:val="0020345F"/>
    <w:rsid w:val="002072CE"/>
    <w:rsid w:val="002122C6"/>
    <w:rsid w:val="00214E69"/>
    <w:rsid w:val="00216024"/>
    <w:rsid w:val="002239EE"/>
    <w:rsid w:val="00232C91"/>
    <w:rsid w:val="00234BAC"/>
    <w:rsid w:val="00257DF1"/>
    <w:rsid w:val="0026271A"/>
    <w:rsid w:val="00263B24"/>
    <w:rsid w:val="00271B9E"/>
    <w:rsid w:val="0027278C"/>
    <w:rsid w:val="00272ED4"/>
    <w:rsid w:val="002750C6"/>
    <w:rsid w:val="0028584E"/>
    <w:rsid w:val="00285947"/>
    <w:rsid w:val="002900BB"/>
    <w:rsid w:val="00291BB8"/>
    <w:rsid w:val="002978DA"/>
    <w:rsid w:val="00297B96"/>
    <w:rsid w:val="002A09E8"/>
    <w:rsid w:val="002A55DE"/>
    <w:rsid w:val="002B2C14"/>
    <w:rsid w:val="002B3E07"/>
    <w:rsid w:val="002B7005"/>
    <w:rsid w:val="002B71BE"/>
    <w:rsid w:val="002C2F44"/>
    <w:rsid w:val="002C43D5"/>
    <w:rsid w:val="002D458C"/>
    <w:rsid w:val="002E0A8A"/>
    <w:rsid w:val="00301801"/>
    <w:rsid w:val="00304A96"/>
    <w:rsid w:val="0031089A"/>
    <w:rsid w:val="003117B8"/>
    <w:rsid w:val="00314675"/>
    <w:rsid w:val="00320A19"/>
    <w:rsid w:val="00321772"/>
    <w:rsid w:val="003227BD"/>
    <w:rsid w:val="0033063D"/>
    <w:rsid w:val="0033168C"/>
    <w:rsid w:val="00334C28"/>
    <w:rsid w:val="00350176"/>
    <w:rsid w:val="0036547D"/>
    <w:rsid w:val="003659EC"/>
    <w:rsid w:val="00380080"/>
    <w:rsid w:val="00381AF1"/>
    <w:rsid w:val="00391634"/>
    <w:rsid w:val="00397889"/>
    <w:rsid w:val="003A7DA3"/>
    <w:rsid w:val="003C7372"/>
    <w:rsid w:val="003E38D2"/>
    <w:rsid w:val="003E60D8"/>
    <w:rsid w:val="003F54A7"/>
    <w:rsid w:val="003F5D8D"/>
    <w:rsid w:val="00402800"/>
    <w:rsid w:val="00404437"/>
    <w:rsid w:val="0040494A"/>
    <w:rsid w:val="00407F77"/>
    <w:rsid w:val="0041213B"/>
    <w:rsid w:val="0042088A"/>
    <w:rsid w:val="00421E43"/>
    <w:rsid w:val="00434802"/>
    <w:rsid w:val="004353DE"/>
    <w:rsid w:val="00441A5E"/>
    <w:rsid w:val="00452BAE"/>
    <w:rsid w:val="00455C72"/>
    <w:rsid w:val="00457DCE"/>
    <w:rsid w:val="00471FC6"/>
    <w:rsid w:val="00473D34"/>
    <w:rsid w:val="004751CC"/>
    <w:rsid w:val="004765EE"/>
    <w:rsid w:val="004857AA"/>
    <w:rsid w:val="00486796"/>
    <w:rsid w:val="00490AF1"/>
    <w:rsid w:val="00493BC6"/>
    <w:rsid w:val="00493D2B"/>
    <w:rsid w:val="00496F66"/>
    <w:rsid w:val="004B323E"/>
    <w:rsid w:val="004B4CC4"/>
    <w:rsid w:val="004B5329"/>
    <w:rsid w:val="004C23E0"/>
    <w:rsid w:val="004C65F1"/>
    <w:rsid w:val="004D0A5E"/>
    <w:rsid w:val="004D1D71"/>
    <w:rsid w:val="004D56D7"/>
    <w:rsid w:val="004D7263"/>
    <w:rsid w:val="004E7ED9"/>
    <w:rsid w:val="004F4CF5"/>
    <w:rsid w:val="005030AA"/>
    <w:rsid w:val="0050729D"/>
    <w:rsid w:val="0051083C"/>
    <w:rsid w:val="00514F3C"/>
    <w:rsid w:val="0052062F"/>
    <w:rsid w:val="005230AC"/>
    <w:rsid w:val="00524C5A"/>
    <w:rsid w:val="0053104B"/>
    <w:rsid w:val="0053116E"/>
    <w:rsid w:val="0053476C"/>
    <w:rsid w:val="00542059"/>
    <w:rsid w:val="00542E1E"/>
    <w:rsid w:val="005460F9"/>
    <w:rsid w:val="00547DC1"/>
    <w:rsid w:val="00551F63"/>
    <w:rsid w:val="0055255A"/>
    <w:rsid w:val="00554186"/>
    <w:rsid w:val="00572EEF"/>
    <w:rsid w:val="00586FBE"/>
    <w:rsid w:val="00587FB6"/>
    <w:rsid w:val="0059344E"/>
    <w:rsid w:val="005A1090"/>
    <w:rsid w:val="005A2034"/>
    <w:rsid w:val="005C4B3F"/>
    <w:rsid w:val="005D6ACA"/>
    <w:rsid w:val="005D7511"/>
    <w:rsid w:val="005E2134"/>
    <w:rsid w:val="005F1913"/>
    <w:rsid w:val="005F2F7D"/>
    <w:rsid w:val="005F4EF5"/>
    <w:rsid w:val="00600503"/>
    <w:rsid w:val="00602ECB"/>
    <w:rsid w:val="00606882"/>
    <w:rsid w:val="00606DBB"/>
    <w:rsid w:val="00611C08"/>
    <w:rsid w:val="00612C45"/>
    <w:rsid w:val="00613032"/>
    <w:rsid w:val="00621308"/>
    <w:rsid w:val="00626787"/>
    <w:rsid w:val="00632838"/>
    <w:rsid w:val="00641255"/>
    <w:rsid w:val="0065031E"/>
    <w:rsid w:val="0066071D"/>
    <w:rsid w:val="00661D52"/>
    <w:rsid w:val="006640BF"/>
    <w:rsid w:val="0067007E"/>
    <w:rsid w:val="00684FB3"/>
    <w:rsid w:val="006A04BF"/>
    <w:rsid w:val="006A3F07"/>
    <w:rsid w:val="006A469E"/>
    <w:rsid w:val="006B4254"/>
    <w:rsid w:val="006C6AB2"/>
    <w:rsid w:val="006D0E44"/>
    <w:rsid w:val="006D2C52"/>
    <w:rsid w:val="006D7EC7"/>
    <w:rsid w:val="006F4FD1"/>
    <w:rsid w:val="006F678C"/>
    <w:rsid w:val="007009FC"/>
    <w:rsid w:val="00700A78"/>
    <w:rsid w:val="007237F2"/>
    <w:rsid w:val="00725AE5"/>
    <w:rsid w:val="00733FB3"/>
    <w:rsid w:val="0073634D"/>
    <w:rsid w:val="0074008A"/>
    <w:rsid w:val="00747D4B"/>
    <w:rsid w:val="0075032C"/>
    <w:rsid w:val="00753198"/>
    <w:rsid w:val="00754195"/>
    <w:rsid w:val="007578D2"/>
    <w:rsid w:val="00760ECB"/>
    <w:rsid w:val="007622FB"/>
    <w:rsid w:val="00766076"/>
    <w:rsid w:val="00767440"/>
    <w:rsid w:val="00772C66"/>
    <w:rsid w:val="00775EA7"/>
    <w:rsid w:val="007A1384"/>
    <w:rsid w:val="007A1CCD"/>
    <w:rsid w:val="007B7CB8"/>
    <w:rsid w:val="007C4434"/>
    <w:rsid w:val="007D5B7F"/>
    <w:rsid w:val="007D5E4D"/>
    <w:rsid w:val="007E308E"/>
    <w:rsid w:val="007E6226"/>
    <w:rsid w:val="007E740F"/>
    <w:rsid w:val="007F374B"/>
    <w:rsid w:val="0081050E"/>
    <w:rsid w:val="0083134A"/>
    <w:rsid w:val="008353E1"/>
    <w:rsid w:val="00837270"/>
    <w:rsid w:val="00845AD8"/>
    <w:rsid w:val="008511E8"/>
    <w:rsid w:val="0086227B"/>
    <w:rsid w:val="00870955"/>
    <w:rsid w:val="00872A16"/>
    <w:rsid w:val="00877B95"/>
    <w:rsid w:val="00887C8D"/>
    <w:rsid w:val="00891C14"/>
    <w:rsid w:val="008A6D1D"/>
    <w:rsid w:val="008B16EC"/>
    <w:rsid w:val="008B7162"/>
    <w:rsid w:val="008C6A06"/>
    <w:rsid w:val="008D1D76"/>
    <w:rsid w:val="008D3600"/>
    <w:rsid w:val="008E7BFB"/>
    <w:rsid w:val="008F198C"/>
    <w:rsid w:val="008F5CD4"/>
    <w:rsid w:val="008F7EB9"/>
    <w:rsid w:val="00910955"/>
    <w:rsid w:val="00922748"/>
    <w:rsid w:val="009234A3"/>
    <w:rsid w:val="009239D0"/>
    <w:rsid w:val="00924504"/>
    <w:rsid w:val="00934D86"/>
    <w:rsid w:val="0093608E"/>
    <w:rsid w:val="00937F92"/>
    <w:rsid w:val="00946D8B"/>
    <w:rsid w:val="00956D00"/>
    <w:rsid w:val="009775AE"/>
    <w:rsid w:val="009A04A4"/>
    <w:rsid w:val="009A1D5A"/>
    <w:rsid w:val="009B2333"/>
    <w:rsid w:val="009B6940"/>
    <w:rsid w:val="009B7CC9"/>
    <w:rsid w:val="009D5AD6"/>
    <w:rsid w:val="009E474E"/>
    <w:rsid w:val="009F0AB6"/>
    <w:rsid w:val="009F1B1F"/>
    <w:rsid w:val="009F506E"/>
    <w:rsid w:val="009F6F59"/>
    <w:rsid w:val="00A05A14"/>
    <w:rsid w:val="00A20F5B"/>
    <w:rsid w:val="00A2152F"/>
    <w:rsid w:val="00A23AE8"/>
    <w:rsid w:val="00A24B39"/>
    <w:rsid w:val="00A31C25"/>
    <w:rsid w:val="00A31DB5"/>
    <w:rsid w:val="00A3564C"/>
    <w:rsid w:val="00A361AA"/>
    <w:rsid w:val="00A404BD"/>
    <w:rsid w:val="00A623DC"/>
    <w:rsid w:val="00A75D97"/>
    <w:rsid w:val="00A810AB"/>
    <w:rsid w:val="00A85849"/>
    <w:rsid w:val="00A973AD"/>
    <w:rsid w:val="00AA218C"/>
    <w:rsid w:val="00AA7631"/>
    <w:rsid w:val="00AB6FDB"/>
    <w:rsid w:val="00AC4AFF"/>
    <w:rsid w:val="00AD09A4"/>
    <w:rsid w:val="00AD6656"/>
    <w:rsid w:val="00AD7DF3"/>
    <w:rsid w:val="00AE707D"/>
    <w:rsid w:val="00AF05C7"/>
    <w:rsid w:val="00AF76BB"/>
    <w:rsid w:val="00B028FD"/>
    <w:rsid w:val="00B167F1"/>
    <w:rsid w:val="00B20909"/>
    <w:rsid w:val="00B23D06"/>
    <w:rsid w:val="00B258CC"/>
    <w:rsid w:val="00B26577"/>
    <w:rsid w:val="00B2739B"/>
    <w:rsid w:val="00B36DC6"/>
    <w:rsid w:val="00B434E5"/>
    <w:rsid w:val="00B53C4C"/>
    <w:rsid w:val="00B70635"/>
    <w:rsid w:val="00B717D5"/>
    <w:rsid w:val="00B96E06"/>
    <w:rsid w:val="00B97278"/>
    <w:rsid w:val="00BA0384"/>
    <w:rsid w:val="00BA29FC"/>
    <w:rsid w:val="00BB40FD"/>
    <w:rsid w:val="00BC2054"/>
    <w:rsid w:val="00BC2124"/>
    <w:rsid w:val="00BD5138"/>
    <w:rsid w:val="00BD71D2"/>
    <w:rsid w:val="00BF1621"/>
    <w:rsid w:val="00BF5EAF"/>
    <w:rsid w:val="00C21902"/>
    <w:rsid w:val="00C33479"/>
    <w:rsid w:val="00C41DE7"/>
    <w:rsid w:val="00C43BA9"/>
    <w:rsid w:val="00C45BA8"/>
    <w:rsid w:val="00C66E6E"/>
    <w:rsid w:val="00C76C3F"/>
    <w:rsid w:val="00C817CE"/>
    <w:rsid w:val="00C841A9"/>
    <w:rsid w:val="00C867C8"/>
    <w:rsid w:val="00C87292"/>
    <w:rsid w:val="00C90DA6"/>
    <w:rsid w:val="00CA1CD5"/>
    <w:rsid w:val="00CA4E15"/>
    <w:rsid w:val="00CA5023"/>
    <w:rsid w:val="00CB07B9"/>
    <w:rsid w:val="00CB4BFE"/>
    <w:rsid w:val="00CD0A39"/>
    <w:rsid w:val="00CD2B35"/>
    <w:rsid w:val="00CD5F7C"/>
    <w:rsid w:val="00CF346C"/>
    <w:rsid w:val="00CF4535"/>
    <w:rsid w:val="00D10E2E"/>
    <w:rsid w:val="00D21714"/>
    <w:rsid w:val="00D238B7"/>
    <w:rsid w:val="00D23EB5"/>
    <w:rsid w:val="00D24DDF"/>
    <w:rsid w:val="00D25C7B"/>
    <w:rsid w:val="00D3305F"/>
    <w:rsid w:val="00D34BA2"/>
    <w:rsid w:val="00D35C9F"/>
    <w:rsid w:val="00D3654A"/>
    <w:rsid w:val="00D36A6E"/>
    <w:rsid w:val="00D40556"/>
    <w:rsid w:val="00D417C3"/>
    <w:rsid w:val="00D459EF"/>
    <w:rsid w:val="00D5450B"/>
    <w:rsid w:val="00D55CFD"/>
    <w:rsid w:val="00D57C7F"/>
    <w:rsid w:val="00D6317B"/>
    <w:rsid w:val="00D653B6"/>
    <w:rsid w:val="00D67B29"/>
    <w:rsid w:val="00D72475"/>
    <w:rsid w:val="00D72528"/>
    <w:rsid w:val="00D774E6"/>
    <w:rsid w:val="00D80689"/>
    <w:rsid w:val="00D831E6"/>
    <w:rsid w:val="00D8692E"/>
    <w:rsid w:val="00D93393"/>
    <w:rsid w:val="00D96182"/>
    <w:rsid w:val="00DA2744"/>
    <w:rsid w:val="00DA3248"/>
    <w:rsid w:val="00DA646C"/>
    <w:rsid w:val="00DB316D"/>
    <w:rsid w:val="00DB5657"/>
    <w:rsid w:val="00DD6F06"/>
    <w:rsid w:val="00DE7EF5"/>
    <w:rsid w:val="00E01F99"/>
    <w:rsid w:val="00E02893"/>
    <w:rsid w:val="00E03AF6"/>
    <w:rsid w:val="00E07BB5"/>
    <w:rsid w:val="00E14F8F"/>
    <w:rsid w:val="00E1519E"/>
    <w:rsid w:val="00E15D9A"/>
    <w:rsid w:val="00E20504"/>
    <w:rsid w:val="00E243A7"/>
    <w:rsid w:val="00E2654D"/>
    <w:rsid w:val="00E3147D"/>
    <w:rsid w:val="00E4712D"/>
    <w:rsid w:val="00E47653"/>
    <w:rsid w:val="00E50D47"/>
    <w:rsid w:val="00E51021"/>
    <w:rsid w:val="00E540D1"/>
    <w:rsid w:val="00E54BB7"/>
    <w:rsid w:val="00E604F0"/>
    <w:rsid w:val="00E621CC"/>
    <w:rsid w:val="00E63598"/>
    <w:rsid w:val="00E76BA4"/>
    <w:rsid w:val="00E81A42"/>
    <w:rsid w:val="00EA4F74"/>
    <w:rsid w:val="00EB12E2"/>
    <w:rsid w:val="00EB3508"/>
    <w:rsid w:val="00EB4BAA"/>
    <w:rsid w:val="00EB7966"/>
    <w:rsid w:val="00EC48D7"/>
    <w:rsid w:val="00ED3592"/>
    <w:rsid w:val="00ED40E3"/>
    <w:rsid w:val="00EE35DA"/>
    <w:rsid w:val="00EE6F3D"/>
    <w:rsid w:val="00F00AD5"/>
    <w:rsid w:val="00F027A4"/>
    <w:rsid w:val="00F10606"/>
    <w:rsid w:val="00F110FD"/>
    <w:rsid w:val="00F1475C"/>
    <w:rsid w:val="00F202B5"/>
    <w:rsid w:val="00F224E6"/>
    <w:rsid w:val="00F24CFB"/>
    <w:rsid w:val="00F301D1"/>
    <w:rsid w:val="00F31FAE"/>
    <w:rsid w:val="00F3273E"/>
    <w:rsid w:val="00F335CF"/>
    <w:rsid w:val="00F45410"/>
    <w:rsid w:val="00F53673"/>
    <w:rsid w:val="00F54E2A"/>
    <w:rsid w:val="00F56DCC"/>
    <w:rsid w:val="00F57A5E"/>
    <w:rsid w:val="00F63B9E"/>
    <w:rsid w:val="00F67712"/>
    <w:rsid w:val="00F77A9A"/>
    <w:rsid w:val="00F807F8"/>
    <w:rsid w:val="00FA0210"/>
    <w:rsid w:val="00FA686C"/>
    <w:rsid w:val="00FC6C7A"/>
    <w:rsid w:val="00FD4467"/>
    <w:rsid w:val="00FD696D"/>
    <w:rsid w:val="00FD7117"/>
    <w:rsid w:val="00FE2895"/>
    <w:rsid w:val="00FE45D8"/>
    <w:rsid w:val="00FE680D"/>
    <w:rsid w:val="00FF41AA"/>
    <w:rsid w:val="00FF7D5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annotation reference" w:uiPriority="0"/>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822A0"/>
  </w:style>
  <w:style w:type="paragraph" w:styleId="Nadpis1">
    <w:name w:val="heading 1"/>
    <w:basedOn w:val="Normln"/>
    <w:next w:val="Normln"/>
    <w:link w:val="Nadpis1Char"/>
    <w:uiPriority w:val="9"/>
    <w:qFormat/>
    <w:rsid w:val="00514F3C"/>
    <w:pPr>
      <w:keepNext/>
      <w:keepLines/>
      <w:spacing w:before="480" w:after="120"/>
      <w:outlineLvl w:val="0"/>
    </w:pPr>
    <w:rPr>
      <w:rFonts w:asciiTheme="majorHAnsi" w:eastAsiaTheme="majorEastAsia" w:hAnsiTheme="majorHAnsi" w:cstheme="majorBidi"/>
      <w:b/>
      <w:bCs/>
      <w:color w:val="365F91" w:themeColor="accent1" w:themeShade="BF"/>
      <w:sz w:val="36"/>
      <w:szCs w:val="28"/>
    </w:rPr>
  </w:style>
  <w:style w:type="paragraph" w:styleId="Nadpis2">
    <w:name w:val="heading 2"/>
    <w:basedOn w:val="Normln"/>
    <w:next w:val="Normln"/>
    <w:link w:val="Nadpis2Char"/>
    <w:uiPriority w:val="9"/>
    <w:unhideWhenUsed/>
    <w:qFormat/>
    <w:rsid w:val="00514F3C"/>
    <w:pPr>
      <w:keepNext/>
      <w:keepLines/>
      <w:spacing w:before="200" w:after="120"/>
      <w:outlineLvl w:val="1"/>
    </w:pPr>
    <w:rPr>
      <w:rFonts w:asciiTheme="majorHAnsi" w:eastAsiaTheme="majorEastAsia" w:hAnsiTheme="majorHAnsi" w:cstheme="majorBidi"/>
      <w:b/>
      <w:bCs/>
      <w:color w:val="4F81BD" w:themeColor="accent1"/>
      <w:sz w:val="32"/>
      <w:szCs w:val="26"/>
    </w:rPr>
  </w:style>
  <w:style w:type="paragraph" w:styleId="Nadpis3">
    <w:name w:val="heading 3"/>
    <w:basedOn w:val="Normln"/>
    <w:next w:val="Normln"/>
    <w:link w:val="Nadpis3Char"/>
    <w:uiPriority w:val="9"/>
    <w:unhideWhenUsed/>
    <w:qFormat/>
    <w:rsid w:val="00514F3C"/>
    <w:pPr>
      <w:keepNext/>
      <w:keepLines/>
      <w:spacing w:before="200" w:after="120"/>
      <w:outlineLvl w:val="2"/>
    </w:pPr>
    <w:rPr>
      <w:rFonts w:asciiTheme="majorHAnsi" w:eastAsiaTheme="majorEastAsia" w:hAnsiTheme="majorHAnsi" w:cstheme="majorBidi"/>
      <w:b/>
      <w:bCs/>
      <w:color w:val="4F81BD" w:themeColor="accent1"/>
      <w:sz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514F3C"/>
    <w:rPr>
      <w:rFonts w:asciiTheme="majorHAnsi" w:eastAsiaTheme="majorEastAsia" w:hAnsiTheme="majorHAnsi" w:cstheme="majorBidi"/>
      <w:b/>
      <w:bCs/>
      <w:color w:val="365F91" w:themeColor="accent1" w:themeShade="BF"/>
      <w:sz w:val="36"/>
      <w:szCs w:val="28"/>
    </w:rPr>
  </w:style>
  <w:style w:type="paragraph" w:styleId="Odstavecseseznamem">
    <w:name w:val="List Paragraph"/>
    <w:basedOn w:val="Normln"/>
    <w:uiPriority w:val="34"/>
    <w:qFormat/>
    <w:rsid w:val="000822A0"/>
    <w:pPr>
      <w:ind w:left="720"/>
      <w:contextualSpacing/>
    </w:pPr>
  </w:style>
  <w:style w:type="paragraph" w:styleId="Zhlav">
    <w:name w:val="header"/>
    <w:basedOn w:val="Normln"/>
    <w:link w:val="ZhlavChar"/>
    <w:uiPriority w:val="99"/>
    <w:unhideWhenUsed/>
    <w:rsid w:val="000822A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822A0"/>
  </w:style>
  <w:style w:type="paragraph" w:styleId="Zpat">
    <w:name w:val="footer"/>
    <w:basedOn w:val="Normln"/>
    <w:link w:val="ZpatChar"/>
    <w:uiPriority w:val="99"/>
    <w:unhideWhenUsed/>
    <w:rsid w:val="000822A0"/>
    <w:pPr>
      <w:tabs>
        <w:tab w:val="center" w:pos="4536"/>
        <w:tab w:val="right" w:pos="9072"/>
      </w:tabs>
      <w:spacing w:after="0" w:line="240" w:lineRule="auto"/>
    </w:pPr>
  </w:style>
  <w:style w:type="character" w:customStyle="1" w:styleId="ZpatChar">
    <w:name w:val="Zápatí Char"/>
    <w:basedOn w:val="Standardnpsmoodstavce"/>
    <w:link w:val="Zpat"/>
    <w:uiPriority w:val="99"/>
    <w:rsid w:val="000822A0"/>
  </w:style>
  <w:style w:type="character" w:styleId="Hypertextovodkaz">
    <w:name w:val="Hyperlink"/>
    <w:basedOn w:val="Standardnpsmoodstavce"/>
    <w:uiPriority w:val="99"/>
    <w:unhideWhenUsed/>
    <w:rsid w:val="00956D00"/>
    <w:rPr>
      <w:rFonts w:ascii="Arial" w:hAnsi="Arial"/>
      <w:strike w:val="0"/>
      <w:dstrike w:val="0"/>
      <w:color w:val="00559A"/>
      <w:u w:val="none"/>
      <w:effect w:val="none"/>
    </w:rPr>
  </w:style>
  <w:style w:type="paragraph" w:styleId="Podtitul">
    <w:name w:val="Subtitle"/>
    <w:aliases w:val="nadpis 2"/>
    <w:basedOn w:val="Normln"/>
    <w:next w:val="Normln"/>
    <w:link w:val="PodtitulChar"/>
    <w:qFormat/>
    <w:rsid w:val="000822A0"/>
    <w:pPr>
      <w:keepNext/>
      <w:numPr>
        <w:ilvl w:val="1"/>
        <w:numId w:val="3"/>
      </w:numPr>
      <w:spacing w:before="120" w:after="120" w:line="240" w:lineRule="auto"/>
      <w:ind w:left="788" w:hanging="431"/>
    </w:pPr>
    <w:rPr>
      <w:rFonts w:asciiTheme="majorHAnsi" w:eastAsiaTheme="majorEastAsia" w:hAnsiTheme="majorHAnsi" w:cstheme="majorBidi"/>
      <w:b/>
      <w:iCs/>
      <w:spacing w:val="15"/>
      <w:sz w:val="24"/>
      <w:szCs w:val="24"/>
      <w:lang w:eastAsia="cs-CZ"/>
    </w:rPr>
  </w:style>
  <w:style w:type="character" w:customStyle="1" w:styleId="PodtitulChar">
    <w:name w:val="Podtitul Char"/>
    <w:aliases w:val="nadpis 2 Char"/>
    <w:basedOn w:val="Standardnpsmoodstavce"/>
    <w:link w:val="Podtitul"/>
    <w:rsid w:val="000822A0"/>
    <w:rPr>
      <w:rFonts w:asciiTheme="majorHAnsi" w:eastAsiaTheme="majorEastAsia" w:hAnsiTheme="majorHAnsi" w:cstheme="majorBidi"/>
      <w:b/>
      <w:iCs/>
      <w:spacing w:val="15"/>
      <w:sz w:val="24"/>
      <w:szCs w:val="24"/>
      <w:lang w:eastAsia="cs-CZ"/>
    </w:rPr>
  </w:style>
  <w:style w:type="paragraph" w:styleId="Nzev">
    <w:name w:val="Title"/>
    <w:basedOn w:val="Normln"/>
    <w:next w:val="Normln"/>
    <w:link w:val="NzevChar"/>
    <w:qFormat/>
    <w:rsid w:val="000822A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cs-CZ"/>
    </w:rPr>
  </w:style>
  <w:style w:type="character" w:customStyle="1" w:styleId="NzevChar">
    <w:name w:val="Název Char"/>
    <w:basedOn w:val="Standardnpsmoodstavce"/>
    <w:link w:val="Nzev"/>
    <w:rsid w:val="000822A0"/>
    <w:rPr>
      <w:rFonts w:asciiTheme="majorHAnsi" w:eastAsiaTheme="majorEastAsia" w:hAnsiTheme="majorHAnsi" w:cstheme="majorBidi"/>
      <w:color w:val="17365D" w:themeColor="text2" w:themeShade="BF"/>
      <w:spacing w:val="5"/>
      <w:kern w:val="28"/>
      <w:sz w:val="52"/>
      <w:szCs w:val="52"/>
      <w:lang w:eastAsia="cs-CZ"/>
    </w:rPr>
  </w:style>
  <w:style w:type="paragraph" w:styleId="Textpoznpodarou">
    <w:name w:val="footnote text"/>
    <w:basedOn w:val="Normln"/>
    <w:link w:val="TextpoznpodarouChar"/>
    <w:rsid w:val="00145813"/>
    <w:pPr>
      <w:spacing w:after="0" w:line="240" w:lineRule="auto"/>
      <w:jc w:val="both"/>
    </w:pPr>
    <w:rPr>
      <w:rFonts w:ascii="Arial" w:eastAsia="Times New Roman" w:hAnsi="Arial" w:cs="Times New Roman"/>
      <w:sz w:val="18"/>
      <w:szCs w:val="20"/>
      <w:lang w:eastAsia="cs-CZ"/>
    </w:rPr>
  </w:style>
  <w:style w:type="character" w:customStyle="1" w:styleId="TextpoznpodarouChar">
    <w:name w:val="Text pozn. pod čarou Char"/>
    <w:basedOn w:val="Standardnpsmoodstavce"/>
    <w:link w:val="Textpoznpodarou"/>
    <w:rsid w:val="00145813"/>
    <w:rPr>
      <w:rFonts w:ascii="Arial" w:eastAsia="Times New Roman" w:hAnsi="Arial" w:cs="Times New Roman"/>
      <w:sz w:val="18"/>
      <w:szCs w:val="20"/>
      <w:lang w:eastAsia="cs-CZ"/>
    </w:rPr>
  </w:style>
  <w:style w:type="character" w:styleId="Znakapoznpodarou">
    <w:name w:val="footnote reference"/>
    <w:basedOn w:val="Standardnpsmoodstavce"/>
    <w:rsid w:val="000822A0"/>
    <w:rPr>
      <w:vertAlign w:val="superscript"/>
    </w:rPr>
  </w:style>
  <w:style w:type="paragraph" w:styleId="Textbubliny">
    <w:name w:val="Balloon Text"/>
    <w:basedOn w:val="Normln"/>
    <w:link w:val="TextbublinyChar"/>
    <w:uiPriority w:val="99"/>
    <w:semiHidden/>
    <w:unhideWhenUsed/>
    <w:rsid w:val="000822A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822A0"/>
    <w:rPr>
      <w:rFonts w:ascii="Tahoma" w:hAnsi="Tahoma" w:cs="Tahoma"/>
      <w:sz w:val="16"/>
      <w:szCs w:val="16"/>
    </w:rPr>
  </w:style>
  <w:style w:type="paragraph" w:styleId="Normlnweb">
    <w:name w:val="Normal (Web)"/>
    <w:basedOn w:val="Normln"/>
    <w:uiPriority w:val="99"/>
    <w:semiHidden/>
    <w:unhideWhenUsed/>
    <w:rsid w:val="000822A0"/>
    <w:rPr>
      <w:rFonts w:ascii="Times New Roman" w:hAnsi="Times New Roman" w:cs="Times New Roman"/>
      <w:sz w:val="24"/>
      <w:szCs w:val="24"/>
    </w:rPr>
  </w:style>
  <w:style w:type="character" w:styleId="Odkaznakoment">
    <w:name w:val="annotation reference"/>
    <w:basedOn w:val="Standardnpsmoodstavce"/>
    <w:rsid w:val="00C41DE7"/>
    <w:rPr>
      <w:sz w:val="16"/>
      <w:szCs w:val="16"/>
    </w:rPr>
  </w:style>
  <w:style w:type="paragraph" w:styleId="Textkomente">
    <w:name w:val="annotation text"/>
    <w:basedOn w:val="Normln"/>
    <w:link w:val="TextkomenteChar"/>
    <w:uiPriority w:val="99"/>
    <w:rsid w:val="00C41DE7"/>
    <w:pPr>
      <w:spacing w:after="0" w:line="240" w:lineRule="auto"/>
    </w:pPr>
    <w:rPr>
      <w:rFonts w:ascii="Times New Roman" w:eastAsia="Times New Roman" w:hAnsi="Times New Roman" w:cs="Times New Roman"/>
      <w:sz w:val="20"/>
      <w:szCs w:val="20"/>
      <w:lang w:eastAsia="cs-CZ"/>
    </w:rPr>
  </w:style>
  <w:style w:type="character" w:customStyle="1" w:styleId="TextkomenteChar">
    <w:name w:val="Text komentáře Char"/>
    <w:basedOn w:val="Standardnpsmoodstavce"/>
    <w:link w:val="Textkomente"/>
    <w:uiPriority w:val="99"/>
    <w:rsid w:val="00C41DE7"/>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6A04BF"/>
    <w:pPr>
      <w:spacing w:after="200"/>
    </w:pPr>
    <w:rPr>
      <w:rFonts w:asciiTheme="minorHAnsi" w:eastAsiaTheme="minorHAnsi" w:hAnsiTheme="minorHAnsi" w:cstheme="minorBidi"/>
      <w:b/>
      <w:bCs/>
      <w:lang w:eastAsia="en-US"/>
    </w:rPr>
  </w:style>
  <w:style w:type="character" w:customStyle="1" w:styleId="PedmtkomenteChar">
    <w:name w:val="Předmět komentáře Char"/>
    <w:basedOn w:val="TextkomenteChar"/>
    <w:link w:val="Pedmtkomente"/>
    <w:uiPriority w:val="99"/>
    <w:semiHidden/>
    <w:rsid w:val="006A04BF"/>
    <w:rPr>
      <w:rFonts w:ascii="Times New Roman" w:eastAsia="Times New Roman" w:hAnsi="Times New Roman" w:cs="Times New Roman"/>
      <w:b/>
      <w:bCs/>
      <w:sz w:val="20"/>
      <w:szCs w:val="20"/>
      <w:lang w:eastAsia="cs-CZ"/>
    </w:rPr>
  </w:style>
  <w:style w:type="paragraph" w:styleId="Revize">
    <w:name w:val="Revision"/>
    <w:hidden/>
    <w:uiPriority w:val="99"/>
    <w:semiHidden/>
    <w:rsid w:val="006A04BF"/>
    <w:pPr>
      <w:spacing w:after="0" w:line="240" w:lineRule="auto"/>
    </w:pPr>
  </w:style>
  <w:style w:type="paragraph" w:customStyle="1" w:styleId="Obrzek-nadpis">
    <w:name w:val="Obrázek - nadpis"/>
    <w:basedOn w:val="Normln"/>
    <w:qFormat/>
    <w:rsid w:val="00E15D9A"/>
    <w:pPr>
      <w:keepNext/>
      <w:spacing w:before="120" w:after="240" w:line="240" w:lineRule="auto"/>
      <w:jc w:val="both"/>
    </w:pPr>
    <w:rPr>
      <w:rFonts w:ascii="Arial" w:eastAsia="Times New Roman" w:hAnsi="Arial" w:cs="Times New Roman"/>
      <w:b/>
      <w:szCs w:val="24"/>
      <w:lang w:eastAsia="cs-CZ"/>
    </w:rPr>
  </w:style>
  <w:style w:type="paragraph" w:customStyle="1" w:styleId="Zdroj">
    <w:name w:val="Zdroj"/>
    <w:basedOn w:val="Normln"/>
    <w:qFormat/>
    <w:rsid w:val="00AD6656"/>
    <w:pPr>
      <w:spacing w:before="120" w:after="120" w:line="240" w:lineRule="auto"/>
    </w:pPr>
    <w:rPr>
      <w:rFonts w:ascii="Arial" w:eastAsia="Times New Roman" w:hAnsi="Arial" w:cs="Times New Roman"/>
      <w:i/>
      <w:sz w:val="18"/>
      <w:szCs w:val="24"/>
      <w:lang w:eastAsia="cs-CZ"/>
    </w:rPr>
  </w:style>
  <w:style w:type="paragraph" w:customStyle="1" w:styleId="komentzaobrzkem">
    <w:name w:val="komentář za obrázkem"/>
    <w:basedOn w:val="Normln"/>
    <w:qFormat/>
    <w:rsid w:val="00055617"/>
    <w:pPr>
      <w:spacing w:after="60" w:line="240" w:lineRule="auto"/>
      <w:jc w:val="both"/>
    </w:pPr>
    <w:rPr>
      <w:rFonts w:ascii="Arial" w:eastAsia="Times New Roman" w:hAnsi="Arial" w:cs="Times New Roman"/>
      <w:i/>
      <w:sz w:val="18"/>
      <w:szCs w:val="24"/>
      <w:lang w:eastAsia="cs-CZ"/>
    </w:rPr>
  </w:style>
  <w:style w:type="paragraph" w:customStyle="1" w:styleId="komentzaobrzkem-odrky">
    <w:name w:val="komentář za obrázkem - odrážky"/>
    <w:basedOn w:val="komentzaobrzkem"/>
    <w:qFormat/>
    <w:rsid w:val="00055617"/>
    <w:pPr>
      <w:numPr>
        <w:ilvl w:val="2"/>
        <w:numId w:val="2"/>
      </w:numPr>
      <w:spacing w:after="0"/>
    </w:pPr>
  </w:style>
  <w:style w:type="paragraph" w:customStyle="1" w:styleId="NadpisurovenI">
    <w:name w:val="Nadpis_uroven_I"/>
    <w:basedOn w:val="Normln"/>
    <w:qFormat/>
    <w:rsid w:val="00DA646C"/>
    <w:pPr>
      <w:keepNext/>
      <w:keepLines/>
      <w:spacing w:before="240" w:after="240" w:line="240" w:lineRule="auto"/>
      <w:outlineLvl w:val="0"/>
    </w:pPr>
    <w:rPr>
      <w:rFonts w:asciiTheme="majorHAnsi" w:eastAsiaTheme="majorEastAsia" w:hAnsiTheme="majorHAnsi" w:cstheme="majorBidi"/>
      <w:b/>
      <w:bCs/>
      <w:color w:val="365F91" w:themeColor="accent1" w:themeShade="BF"/>
      <w:sz w:val="28"/>
      <w:szCs w:val="28"/>
      <w:lang w:eastAsia="cs-CZ"/>
    </w:rPr>
  </w:style>
  <w:style w:type="paragraph" w:customStyle="1" w:styleId="NadpisurovemII">
    <w:name w:val="Nadpis_urovem_II"/>
    <w:basedOn w:val="NadpisurovenI"/>
    <w:qFormat/>
    <w:rsid w:val="000C142B"/>
    <w:pPr>
      <w:spacing w:before="120" w:after="120"/>
    </w:pPr>
    <w:rPr>
      <w:sz w:val="24"/>
    </w:rPr>
  </w:style>
  <w:style w:type="paragraph" w:customStyle="1" w:styleId="Platformanadpis">
    <w:name w:val="Platforma_nadpis"/>
    <w:basedOn w:val="Normln"/>
    <w:qFormat/>
    <w:rsid w:val="00613032"/>
    <w:pPr>
      <w:spacing w:before="120" w:after="120" w:line="240" w:lineRule="auto"/>
      <w:jc w:val="both"/>
    </w:pPr>
    <w:rPr>
      <w:rFonts w:ascii="Arial" w:eastAsia="Times New Roman" w:hAnsi="Arial" w:cs="Arial"/>
      <w:b/>
      <w:lang w:eastAsia="cs-CZ"/>
    </w:rPr>
  </w:style>
  <w:style w:type="paragraph" w:styleId="Nadpisobsahu">
    <w:name w:val="TOC Heading"/>
    <w:basedOn w:val="Nadpis1"/>
    <w:next w:val="Normln"/>
    <w:uiPriority w:val="39"/>
    <w:semiHidden/>
    <w:unhideWhenUsed/>
    <w:qFormat/>
    <w:rsid w:val="001309B5"/>
    <w:pPr>
      <w:outlineLvl w:val="9"/>
    </w:pPr>
    <w:rPr>
      <w:lang w:eastAsia="cs-CZ"/>
    </w:rPr>
  </w:style>
  <w:style w:type="paragraph" w:styleId="Obsah1">
    <w:name w:val="toc 1"/>
    <w:basedOn w:val="Normln"/>
    <w:next w:val="Normln"/>
    <w:autoRedefine/>
    <w:uiPriority w:val="39"/>
    <w:unhideWhenUsed/>
    <w:qFormat/>
    <w:rsid w:val="00956D00"/>
    <w:pPr>
      <w:spacing w:after="100"/>
    </w:pPr>
    <w:rPr>
      <w:rFonts w:ascii="Arial" w:hAnsi="Arial"/>
    </w:rPr>
  </w:style>
  <w:style w:type="paragraph" w:styleId="Obsah2">
    <w:name w:val="toc 2"/>
    <w:basedOn w:val="Normln"/>
    <w:next w:val="Normln"/>
    <w:autoRedefine/>
    <w:uiPriority w:val="39"/>
    <w:unhideWhenUsed/>
    <w:qFormat/>
    <w:rsid w:val="00956D00"/>
    <w:pPr>
      <w:spacing w:after="100"/>
      <w:ind w:left="220"/>
    </w:pPr>
    <w:rPr>
      <w:rFonts w:ascii="Arial" w:eastAsiaTheme="minorEastAsia" w:hAnsi="Arial"/>
      <w:lang w:eastAsia="cs-CZ"/>
    </w:rPr>
  </w:style>
  <w:style w:type="paragraph" w:styleId="Obsah3">
    <w:name w:val="toc 3"/>
    <w:basedOn w:val="Normln"/>
    <w:next w:val="Normln"/>
    <w:autoRedefine/>
    <w:uiPriority w:val="39"/>
    <w:unhideWhenUsed/>
    <w:qFormat/>
    <w:rsid w:val="00956D00"/>
    <w:pPr>
      <w:spacing w:after="100"/>
      <w:ind w:left="440"/>
    </w:pPr>
    <w:rPr>
      <w:rFonts w:ascii="Arial" w:eastAsiaTheme="minorEastAsia" w:hAnsi="Arial"/>
      <w:lang w:eastAsia="cs-CZ"/>
    </w:rPr>
  </w:style>
  <w:style w:type="character" w:customStyle="1" w:styleId="Nadpis2Char">
    <w:name w:val="Nadpis 2 Char"/>
    <w:basedOn w:val="Standardnpsmoodstavce"/>
    <w:link w:val="Nadpis2"/>
    <w:uiPriority w:val="9"/>
    <w:rsid w:val="00514F3C"/>
    <w:rPr>
      <w:rFonts w:asciiTheme="majorHAnsi" w:eastAsiaTheme="majorEastAsia" w:hAnsiTheme="majorHAnsi" w:cstheme="majorBidi"/>
      <w:b/>
      <w:bCs/>
      <w:color w:val="4F81BD" w:themeColor="accent1"/>
      <w:sz w:val="32"/>
      <w:szCs w:val="26"/>
    </w:rPr>
  </w:style>
  <w:style w:type="character" w:customStyle="1" w:styleId="Nadpis3Char">
    <w:name w:val="Nadpis 3 Char"/>
    <w:basedOn w:val="Standardnpsmoodstavce"/>
    <w:link w:val="Nadpis3"/>
    <w:uiPriority w:val="9"/>
    <w:rsid w:val="00514F3C"/>
    <w:rPr>
      <w:rFonts w:asciiTheme="majorHAnsi" w:eastAsiaTheme="majorEastAsia" w:hAnsiTheme="majorHAnsi" w:cstheme="majorBidi"/>
      <w:b/>
      <w:bCs/>
      <w:color w:val="4F81BD" w:themeColor="accent1"/>
      <w:sz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annotation reference" w:uiPriority="0"/>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822A0"/>
  </w:style>
  <w:style w:type="paragraph" w:styleId="Nadpis1">
    <w:name w:val="heading 1"/>
    <w:basedOn w:val="Normln"/>
    <w:next w:val="Normln"/>
    <w:link w:val="Nadpis1Char"/>
    <w:uiPriority w:val="9"/>
    <w:qFormat/>
    <w:rsid w:val="00514F3C"/>
    <w:pPr>
      <w:keepNext/>
      <w:keepLines/>
      <w:spacing w:before="480" w:after="120"/>
      <w:outlineLvl w:val="0"/>
    </w:pPr>
    <w:rPr>
      <w:rFonts w:asciiTheme="majorHAnsi" w:eastAsiaTheme="majorEastAsia" w:hAnsiTheme="majorHAnsi" w:cstheme="majorBidi"/>
      <w:b/>
      <w:bCs/>
      <w:color w:val="365F91" w:themeColor="accent1" w:themeShade="BF"/>
      <w:sz w:val="36"/>
      <w:szCs w:val="28"/>
    </w:rPr>
  </w:style>
  <w:style w:type="paragraph" w:styleId="Nadpis2">
    <w:name w:val="heading 2"/>
    <w:basedOn w:val="Normln"/>
    <w:next w:val="Normln"/>
    <w:link w:val="Nadpis2Char"/>
    <w:uiPriority w:val="9"/>
    <w:unhideWhenUsed/>
    <w:qFormat/>
    <w:rsid w:val="00514F3C"/>
    <w:pPr>
      <w:keepNext/>
      <w:keepLines/>
      <w:spacing w:before="200" w:after="120"/>
      <w:outlineLvl w:val="1"/>
    </w:pPr>
    <w:rPr>
      <w:rFonts w:asciiTheme="majorHAnsi" w:eastAsiaTheme="majorEastAsia" w:hAnsiTheme="majorHAnsi" w:cstheme="majorBidi"/>
      <w:b/>
      <w:bCs/>
      <w:color w:val="4F81BD" w:themeColor="accent1"/>
      <w:sz w:val="32"/>
      <w:szCs w:val="26"/>
    </w:rPr>
  </w:style>
  <w:style w:type="paragraph" w:styleId="Nadpis3">
    <w:name w:val="heading 3"/>
    <w:basedOn w:val="Normln"/>
    <w:next w:val="Normln"/>
    <w:link w:val="Nadpis3Char"/>
    <w:uiPriority w:val="9"/>
    <w:unhideWhenUsed/>
    <w:qFormat/>
    <w:rsid w:val="00514F3C"/>
    <w:pPr>
      <w:keepNext/>
      <w:keepLines/>
      <w:spacing w:before="200" w:after="120"/>
      <w:outlineLvl w:val="2"/>
    </w:pPr>
    <w:rPr>
      <w:rFonts w:asciiTheme="majorHAnsi" w:eastAsiaTheme="majorEastAsia" w:hAnsiTheme="majorHAnsi" w:cstheme="majorBidi"/>
      <w:b/>
      <w:bCs/>
      <w:color w:val="4F81BD" w:themeColor="accent1"/>
      <w:sz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514F3C"/>
    <w:rPr>
      <w:rFonts w:asciiTheme="majorHAnsi" w:eastAsiaTheme="majorEastAsia" w:hAnsiTheme="majorHAnsi" w:cstheme="majorBidi"/>
      <w:b/>
      <w:bCs/>
      <w:color w:val="365F91" w:themeColor="accent1" w:themeShade="BF"/>
      <w:sz w:val="36"/>
      <w:szCs w:val="28"/>
    </w:rPr>
  </w:style>
  <w:style w:type="paragraph" w:styleId="Odstavecseseznamem">
    <w:name w:val="List Paragraph"/>
    <w:basedOn w:val="Normln"/>
    <w:uiPriority w:val="34"/>
    <w:qFormat/>
    <w:rsid w:val="000822A0"/>
    <w:pPr>
      <w:ind w:left="720"/>
      <w:contextualSpacing/>
    </w:pPr>
  </w:style>
  <w:style w:type="paragraph" w:styleId="Zhlav">
    <w:name w:val="header"/>
    <w:basedOn w:val="Normln"/>
    <w:link w:val="ZhlavChar"/>
    <w:uiPriority w:val="99"/>
    <w:unhideWhenUsed/>
    <w:rsid w:val="000822A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822A0"/>
  </w:style>
  <w:style w:type="paragraph" w:styleId="Zpat">
    <w:name w:val="footer"/>
    <w:basedOn w:val="Normln"/>
    <w:link w:val="ZpatChar"/>
    <w:uiPriority w:val="99"/>
    <w:unhideWhenUsed/>
    <w:rsid w:val="000822A0"/>
    <w:pPr>
      <w:tabs>
        <w:tab w:val="center" w:pos="4536"/>
        <w:tab w:val="right" w:pos="9072"/>
      </w:tabs>
      <w:spacing w:after="0" w:line="240" w:lineRule="auto"/>
    </w:pPr>
  </w:style>
  <w:style w:type="character" w:customStyle="1" w:styleId="ZpatChar">
    <w:name w:val="Zápatí Char"/>
    <w:basedOn w:val="Standardnpsmoodstavce"/>
    <w:link w:val="Zpat"/>
    <w:uiPriority w:val="99"/>
    <w:rsid w:val="000822A0"/>
  </w:style>
  <w:style w:type="character" w:styleId="Hypertextovodkaz">
    <w:name w:val="Hyperlink"/>
    <w:basedOn w:val="Standardnpsmoodstavce"/>
    <w:uiPriority w:val="99"/>
    <w:unhideWhenUsed/>
    <w:rsid w:val="00956D00"/>
    <w:rPr>
      <w:rFonts w:ascii="Arial" w:hAnsi="Arial"/>
      <w:strike w:val="0"/>
      <w:dstrike w:val="0"/>
      <w:color w:val="00559A"/>
      <w:u w:val="none"/>
      <w:effect w:val="none"/>
    </w:rPr>
  </w:style>
  <w:style w:type="paragraph" w:styleId="Podtitul">
    <w:name w:val="Subtitle"/>
    <w:aliases w:val="nadpis 2"/>
    <w:basedOn w:val="Normln"/>
    <w:next w:val="Normln"/>
    <w:link w:val="PodtitulChar"/>
    <w:qFormat/>
    <w:rsid w:val="000822A0"/>
    <w:pPr>
      <w:keepNext/>
      <w:numPr>
        <w:ilvl w:val="1"/>
        <w:numId w:val="3"/>
      </w:numPr>
      <w:spacing w:before="120" w:after="120" w:line="240" w:lineRule="auto"/>
      <w:ind w:left="788" w:hanging="431"/>
    </w:pPr>
    <w:rPr>
      <w:rFonts w:asciiTheme="majorHAnsi" w:eastAsiaTheme="majorEastAsia" w:hAnsiTheme="majorHAnsi" w:cstheme="majorBidi"/>
      <w:b/>
      <w:iCs/>
      <w:spacing w:val="15"/>
      <w:sz w:val="24"/>
      <w:szCs w:val="24"/>
      <w:lang w:eastAsia="cs-CZ"/>
    </w:rPr>
  </w:style>
  <w:style w:type="character" w:customStyle="1" w:styleId="PodtitulChar">
    <w:name w:val="Podtitul Char"/>
    <w:aliases w:val="nadpis 2 Char"/>
    <w:basedOn w:val="Standardnpsmoodstavce"/>
    <w:link w:val="Podtitul"/>
    <w:rsid w:val="000822A0"/>
    <w:rPr>
      <w:rFonts w:asciiTheme="majorHAnsi" w:eastAsiaTheme="majorEastAsia" w:hAnsiTheme="majorHAnsi" w:cstheme="majorBidi"/>
      <w:b/>
      <w:iCs/>
      <w:spacing w:val="15"/>
      <w:sz w:val="24"/>
      <w:szCs w:val="24"/>
      <w:lang w:eastAsia="cs-CZ"/>
    </w:rPr>
  </w:style>
  <w:style w:type="paragraph" w:styleId="Nzev">
    <w:name w:val="Title"/>
    <w:basedOn w:val="Normln"/>
    <w:next w:val="Normln"/>
    <w:link w:val="NzevChar"/>
    <w:qFormat/>
    <w:rsid w:val="000822A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cs-CZ"/>
    </w:rPr>
  </w:style>
  <w:style w:type="character" w:customStyle="1" w:styleId="NzevChar">
    <w:name w:val="Název Char"/>
    <w:basedOn w:val="Standardnpsmoodstavce"/>
    <w:link w:val="Nzev"/>
    <w:rsid w:val="000822A0"/>
    <w:rPr>
      <w:rFonts w:asciiTheme="majorHAnsi" w:eastAsiaTheme="majorEastAsia" w:hAnsiTheme="majorHAnsi" w:cstheme="majorBidi"/>
      <w:color w:val="17365D" w:themeColor="text2" w:themeShade="BF"/>
      <w:spacing w:val="5"/>
      <w:kern w:val="28"/>
      <w:sz w:val="52"/>
      <w:szCs w:val="52"/>
      <w:lang w:eastAsia="cs-CZ"/>
    </w:rPr>
  </w:style>
  <w:style w:type="paragraph" w:styleId="Textpoznpodarou">
    <w:name w:val="footnote text"/>
    <w:basedOn w:val="Normln"/>
    <w:link w:val="TextpoznpodarouChar"/>
    <w:rsid w:val="00145813"/>
    <w:pPr>
      <w:spacing w:after="0" w:line="240" w:lineRule="auto"/>
      <w:jc w:val="both"/>
    </w:pPr>
    <w:rPr>
      <w:rFonts w:ascii="Arial" w:eastAsia="Times New Roman" w:hAnsi="Arial" w:cs="Times New Roman"/>
      <w:sz w:val="18"/>
      <w:szCs w:val="20"/>
      <w:lang w:eastAsia="cs-CZ"/>
    </w:rPr>
  </w:style>
  <w:style w:type="character" w:customStyle="1" w:styleId="TextpoznpodarouChar">
    <w:name w:val="Text pozn. pod čarou Char"/>
    <w:basedOn w:val="Standardnpsmoodstavce"/>
    <w:link w:val="Textpoznpodarou"/>
    <w:rsid w:val="00145813"/>
    <w:rPr>
      <w:rFonts w:ascii="Arial" w:eastAsia="Times New Roman" w:hAnsi="Arial" w:cs="Times New Roman"/>
      <w:sz w:val="18"/>
      <w:szCs w:val="20"/>
      <w:lang w:eastAsia="cs-CZ"/>
    </w:rPr>
  </w:style>
  <w:style w:type="character" w:styleId="Znakapoznpodarou">
    <w:name w:val="footnote reference"/>
    <w:basedOn w:val="Standardnpsmoodstavce"/>
    <w:rsid w:val="000822A0"/>
    <w:rPr>
      <w:vertAlign w:val="superscript"/>
    </w:rPr>
  </w:style>
  <w:style w:type="paragraph" w:styleId="Textbubliny">
    <w:name w:val="Balloon Text"/>
    <w:basedOn w:val="Normln"/>
    <w:link w:val="TextbublinyChar"/>
    <w:uiPriority w:val="99"/>
    <w:semiHidden/>
    <w:unhideWhenUsed/>
    <w:rsid w:val="000822A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822A0"/>
    <w:rPr>
      <w:rFonts w:ascii="Tahoma" w:hAnsi="Tahoma" w:cs="Tahoma"/>
      <w:sz w:val="16"/>
      <w:szCs w:val="16"/>
    </w:rPr>
  </w:style>
  <w:style w:type="paragraph" w:styleId="Normlnweb">
    <w:name w:val="Normal (Web)"/>
    <w:basedOn w:val="Normln"/>
    <w:uiPriority w:val="99"/>
    <w:semiHidden/>
    <w:unhideWhenUsed/>
    <w:rsid w:val="000822A0"/>
    <w:rPr>
      <w:rFonts w:ascii="Times New Roman" w:hAnsi="Times New Roman" w:cs="Times New Roman"/>
      <w:sz w:val="24"/>
      <w:szCs w:val="24"/>
    </w:rPr>
  </w:style>
  <w:style w:type="character" w:styleId="Odkaznakoment">
    <w:name w:val="annotation reference"/>
    <w:basedOn w:val="Standardnpsmoodstavce"/>
    <w:rsid w:val="00C41DE7"/>
    <w:rPr>
      <w:sz w:val="16"/>
      <w:szCs w:val="16"/>
    </w:rPr>
  </w:style>
  <w:style w:type="paragraph" w:styleId="Textkomente">
    <w:name w:val="annotation text"/>
    <w:basedOn w:val="Normln"/>
    <w:link w:val="TextkomenteChar"/>
    <w:uiPriority w:val="99"/>
    <w:rsid w:val="00C41DE7"/>
    <w:pPr>
      <w:spacing w:after="0" w:line="240" w:lineRule="auto"/>
    </w:pPr>
    <w:rPr>
      <w:rFonts w:ascii="Times New Roman" w:eastAsia="Times New Roman" w:hAnsi="Times New Roman" w:cs="Times New Roman"/>
      <w:sz w:val="20"/>
      <w:szCs w:val="20"/>
      <w:lang w:eastAsia="cs-CZ"/>
    </w:rPr>
  </w:style>
  <w:style w:type="character" w:customStyle="1" w:styleId="TextkomenteChar">
    <w:name w:val="Text komentáře Char"/>
    <w:basedOn w:val="Standardnpsmoodstavce"/>
    <w:link w:val="Textkomente"/>
    <w:uiPriority w:val="99"/>
    <w:rsid w:val="00C41DE7"/>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6A04BF"/>
    <w:pPr>
      <w:spacing w:after="200"/>
    </w:pPr>
    <w:rPr>
      <w:rFonts w:asciiTheme="minorHAnsi" w:eastAsiaTheme="minorHAnsi" w:hAnsiTheme="minorHAnsi" w:cstheme="minorBidi"/>
      <w:b/>
      <w:bCs/>
      <w:lang w:eastAsia="en-US"/>
    </w:rPr>
  </w:style>
  <w:style w:type="character" w:customStyle="1" w:styleId="PedmtkomenteChar">
    <w:name w:val="Předmět komentáře Char"/>
    <w:basedOn w:val="TextkomenteChar"/>
    <w:link w:val="Pedmtkomente"/>
    <w:uiPriority w:val="99"/>
    <w:semiHidden/>
    <w:rsid w:val="006A04BF"/>
    <w:rPr>
      <w:rFonts w:ascii="Times New Roman" w:eastAsia="Times New Roman" w:hAnsi="Times New Roman" w:cs="Times New Roman"/>
      <w:b/>
      <w:bCs/>
      <w:sz w:val="20"/>
      <w:szCs w:val="20"/>
      <w:lang w:eastAsia="cs-CZ"/>
    </w:rPr>
  </w:style>
  <w:style w:type="paragraph" w:styleId="Revize">
    <w:name w:val="Revision"/>
    <w:hidden/>
    <w:uiPriority w:val="99"/>
    <w:semiHidden/>
    <w:rsid w:val="006A04BF"/>
    <w:pPr>
      <w:spacing w:after="0" w:line="240" w:lineRule="auto"/>
    </w:pPr>
  </w:style>
  <w:style w:type="paragraph" w:customStyle="1" w:styleId="Obrzek-nadpis">
    <w:name w:val="Obrázek - nadpis"/>
    <w:basedOn w:val="Normln"/>
    <w:qFormat/>
    <w:rsid w:val="00E15D9A"/>
    <w:pPr>
      <w:keepNext/>
      <w:spacing w:before="120" w:after="240" w:line="240" w:lineRule="auto"/>
      <w:jc w:val="both"/>
    </w:pPr>
    <w:rPr>
      <w:rFonts w:ascii="Arial" w:eastAsia="Times New Roman" w:hAnsi="Arial" w:cs="Times New Roman"/>
      <w:b/>
      <w:szCs w:val="24"/>
      <w:lang w:eastAsia="cs-CZ"/>
    </w:rPr>
  </w:style>
  <w:style w:type="paragraph" w:customStyle="1" w:styleId="Zdroj">
    <w:name w:val="Zdroj"/>
    <w:basedOn w:val="Normln"/>
    <w:qFormat/>
    <w:rsid w:val="00AD6656"/>
    <w:pPr>
      <w:spacing w:before="120" w:after="120" w:line="240" w:lineRule="auto"/>
    </w:pPr>
    <w:rPr>
      <w:rFonts w:ascii="Arial" w:eastAsia="Times New Roman" w:hAnsi="Arial" w:cs="Times New Roman"/>
      <w:i/>
      <w:sz w:val="18"/>
      <w:szCs w:val="24"/>
      <w:lang w:eastAsia="cs-CZ"/>
    </w:rPr>
  </w:style>
  <w:style w:type="paragraph" w:customStyle="1" w:styleId="komentzaobrzkem">
    <w:name w:val="komentář za obrázkem"/>
    <w:basedOn w:val="Normln"/>
    <w:qFormat/>
    <w:rsid w:val="00055617"/>
    <w:pPr>
      <w:spacing w:after="60" w:line="240" w:lineRule="auto"/>
      <w:jc w:val="both"/>
    </w:pPr>
    <w:rPr>
      <w:rFonts w:ascii="Arial" w:eastAsia="Times New Roman" w:hAnsi="Arial" w:cs="Times New Roman"/>
      <w:i/>
      <w:sz w:val="18"/>
      <w:szCs w:val="24"/>
      <w:lang w:eastAsia="cs-CZ"/>
    </w:rPr>
  </w:style>
  <w:style w:type="paragraph" w:customStyle="1" w:styleId="komentzaobrzkem-odrky">
    <w:name w:val="komentář za obrázkem - odrážky"/>
    <w:basedOn w:val="komentzaobrzkem"/>
    <w:qFormat/>
    <w:rsid w:val="00055617"/>
    <w:pPr>
      <w:numPr>
        <w:ilvl w:val="2"/>
        <w:numId w:val="2"/>
      </w:numPr>
      <w:spacing w:after="0"/>
    </w:pPr>
  </w:style>
  <w:style w:type="paragraph" w:customStyle="1" w:styleId="NadpisurovenI">
    <w:name w:val="Nadpis_uroven_I"/>
    <w:basedOn w:val="Normln"/>
    <w:qFormat/>
    <w:rsid w:val="00DA646C"/>
    <w:pPr>
      <w:keepNext/>
      <w:keepLines/>
      <w:spacing w:before="240" w:after="240" w:line="240" w:lineRule="auto"/>
      <w:outlineLvl w:val="0"/>
    </w:pPr>
    <w:rPr>
      <w:rFonts w:asciiTheme="majorHAnsi" w:eastAsiaTheme="majorEastAsia" w:hAnsiTheme="majorHAnsi" w:cstheme="majorBidi"/>
      <w:b/>
      <w:bCs/>
      <w:color w:val="365F91" w:themeColor="accent1" w:themeShade="BF"/>
      <w:sz w:val="28"/>
      <w:szCs w:val="28"/>
      <w:lang w:eastAsia="cs-CZ"/>
    </w:rPr>
  </w:style>
  <w:style w:type="paragraph" w:customStyle="1" w:styleId="NadpisurovemII">
    <w:name w:val="Nadpis_urovem_II"/>
    <w:basedOn w:val="NadpisurovenI"/>
    <w:qFormat/>
    <w:rsid w:val="000C142B"/>
    <w:pPr>
      <w:spacing w:before="120" w:after="120"/>
    </w:pPr>
    <w:rPr>
      <w:sz w:val="24"/>
    </w:rPr>
  </w:style>
  <w:style w:type="paragraph" w:customStyle="1" w:styleId="Platformanadpis">
    <w:name w:val="Platforma_nadpis"/>
    <w:basedOn w:val="Normln"/>
    <w:qFormat/>
    <w:rsid w:val="00613032"/>
    <w:pPr>
      <w:spacing w:before="120" w:after="120" w:line="240" w:lineRule="auto"/>
      <w:jc w:val="both"/>
    </w:pPr>
    <w:rPr>
      <w:rFonts w:ascii="Arial" w:eastAsia="Times New Roman" w:hAnsi="Arial" w:cs="Arial"/>
      <w:b/>
      <w:lang w:eastAsia="cs-CZ"/>
    </w:rPr>
  </w:style>
  <w:style w:type="paragraph" w:styleId="Nadpisobsahu">
    <w:name w:val="TOC Heading"/>
    <w:basedOn w:val="Nadpis1"/>
    <w:next w:val="Normln"/>
    <w:uiPriority w:val="39"/>
    <w:semiHidden/>
    <w:unhideWhenUsed/>
    <w:qFormat/>
    <w:rsid w:val="001309B5"/>
    <w:pPr>
      <w:outlineLvl w:val="9"/>
    </w:pPr>
    <w:rPr>
      <w:lang w:eastAsia="cs-CZ"/>
    </w:rPr>
  </w:style>
  <w:style w:type="paragraph" w:styleId="Obsah1">
    <w:name w:val="toc 1"/>
    <w:basedOn w:val="Normln"/>
    <w:next w:val="Normln"/>
    <w:autoRedefine/>
    <w:uiPriority w:val="39"/>
    <w:unhideWhenUsed/>
    <w:qFormat/>
    <w:rsid w:val="00956D00"/>
    <w:pPr>
      <w:spacing w:after="100"/>
    </w:pPr>
    <w:rPr>
      <w:rFonts w:ascii="Arial" w:hAnsi="Arial"/>
    </w:rPr>
  </w:style>
  <w:style w:type="paragraph" w:styleId="Obsah2">
    <w:name w:val="toc 2"/>
    <w:basedOn w:val="Normln"/>
    <w:next w:val="Normln"/>
    <w:autoRedefine/>
    <w:uiPriority w:val="39"/>
    <w:unhideWhenUsed/>
    <w:qFormat/>
    <w:rsid w:val="00956D00"/>
    <w:pPr>
      <w:spacing w:after="100"/>
      <w:ind w:left="220"/>
    </w:pPr>
    <w:rPr>
      <w:rFonts w:ascii="Arial" w:eastAsiaTheme="minorEastAsia" w:hAnsi="Arial"/>
      <w:lang w:eastAsia="cs-CZ"/>
    </w:rPr>
  </w:style>
  <w:style w:type="paragraph" w:styleId="Obsah3">
    <w:name w:val="toc 3"/>
    <w:basedOn w:val="Normln"/>
    <w:next w:val="Normln"/>
    <w:autoRedefine/>
    <w:uiPriority w:val="39"/>
    <w:unhideWhenUsed/>
    <w:qFormat/>
    <w:rsid w:val="00956D00"/>
    <w:pPr>
      <w:spacing w:after="100"/>
      <w:ind w:left="440"/>
    </w:pPr>
    <w:rPr>
      <w:rFonts w:ascii="Arial" w:eastAsiaTheme="minorEastAsia" w:hAnsi="Arial"/>
      <w:lang w:eastAsia="cs-CZ"/>
    </w:rPr>
  </w:style>
  <w:style w:type="character" w:customStyle="1" w:styleId="Nadpis2Char">
    <w:name w:val="Nadpis 2 Char"/>
    <w:basedOn w:val="Standardnpsmoodstavce"/>
    <w:link w:val="Nadpis2"/>
    <w:uiPriority w:val="9"/>
    <w:rsid w:val="00514F3C"/>
    <w:rPr>
      <w:rFonts w:asciiTheme="majorHAnsi" w:eastAsiaTheme="majorEastAsia" w:hAnsiTheme="majorHAnsi" w:cstheme="majorBidi"/>
      <w:b/>
      <w:bCs/>
      <w:color w:val="4F81BD" w:themeColor="accent1"/>
      <w:sz w:val="32"/>
      <w:szCs w:val="26"/>
    </w:rPr>
  </w:style>
  <w:style w:type="character" w:customStyle="1" w:styleId="Nadpis3Char">
    <w:name w:val="Nadpis 3 Char"/>
    <w:basedOn w:val="Standardnpsmoodstavce"/>
    <w:link w:val="Nadpis3"/>
    <w:uiPriority w:val="9"/>
    <w:rsid w:val="00514F3C"/>
    <w:rPr>
      <w:rFonts w:asciiTheme="majorHAnsi" w:eastAsiaTheme="majorEastAsia" w:hAnsiTheme="majorHAnsi" w:cstheme="majorBidi"/>
      <w:b/>
      <w:bCs/>
      <w:color w:val="4F81BD" w:themeColor="accent1"/>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9376794">
      <w:bodyDiv w:val="1"/>
      <w:marLeft w:val="0"/>
      <w:marRight w:val="0"/>
      <w:marTop w:val="0"/>
      <w:marBottom w:val="0"/>
      <w:divBdr>
        <w:top w:val="none" w:sz="0" w:space="0" w:color="auto"/>
        <w:left w:val="none" w:sz="0" w:space="0" w:color="auto"/>
        <w:bottom w:val="none" w:sz="0" w:space="0" w:color="auto"/>
        <w:right w:val="none" w:sz="0" w:space="0" w:color="auto"/>
      </w:divBdr>
    </w:div>
    <w:div w:id="106121003">
      <w:bodyDiv w:val="1"/>
      <w:marLeft w:val="0"/>
      <w:marRight w:val="0"/>
      <w:marTop w:val="0"/>
      <w:marBottom w:val="0"/>
      <w:divBdr>
        <w:top w:val="none" w:sz="0" w:space="0" w:color="auto"/>
        <w:left w:val="none" w:sz="0" w:space="0" w:color="auto"/>
        <w:bottom w:val="none" w:sz="0" w:space="0" w:color="auto"/>
        <w:right w:val="none" w:sz="0" w:space="0" w:color="auto"/>
      </w:divBdr>
    </w:div>
    <w:div w:id="120459216">
      <w:bodyDiv w:val="1"/>
      <w:marLeft w:val="0"/>
      <w:marRight w:val="0"/>
      <w:marTop w:val="0"/>
      <w:marBottom w:val="0"/>
      <w:divBdr>
        <w:top w:val="none" w:sz="0" w:space="0" w:color="auto"/>
        <w:left w:val="none" w:sz="0" w:space="0" w:color="auto"/>
        <w:bottom w:val="none" w:sz="0" w:space="0" w:color="auto"/>
        <w:right w:val="none" w:sz="0" w:space="0" w:color="auto"/>
      </w:divBdr>
    </w:div>
    <w:div w:id="492113238">
      <w:bodyDiv w:val="1"/>
      <w:marLeft w:val="0"/>
      <w:marRight w:val="0"/>
      <w:marTop w:val="0"/>
      <w:marBottom w:val="0"/>
      <w:divBdr>
        <w:top w:val="none" w:sz="0" w:space="0" w:color="auto"/>
        <w:left w:val="none" w:sz="0" w:space="0" w:color="auto"/>
        <w:bottom w:val="none" w:sz="0" w:space="0" w:color="auto"/>
        <w:right w:val="none" w:sz="0" w:space="0" w:color="auto"/>
      </w:divBdr>
    </w:div>
    <w:div w:id="858857940">
      <w:bodyDiv w:val="1"/>
      <w:marLeft w:val="0"/>
      <w:marRight w:val="0"/>
      <w:marTop w:val="0"/>
      <w:marBottom w:val="0"/>
      <w:divBdr>
        <w:top w:val="none" w:sz="0" w:space="0" w:color="auto"/>
        <w:left w:val="none" w:sz="0" w:space="0" w:color="auto"/>
        <w:bottom w:val="none" w:sz="0" w:space="0" w:color="auto"/>
        <w:right w:val="none" w:sz="0" w:space="0" w:color="auto"/>
      </w:divBdr>
    </w:div>
    <w:div w:id="1101802817">
      <w:bodyDiv w:val="1"/>
      <w:marLeft w:val="0"/>
      <w:marRight w:val="0"/>
      <w:marTop w:val="0"/>
      <w:marBottom w:val="0"/>
      <w:divBdr>
        <w:top w:val="none" w:sz="0" w:space="0" w:color="auto"/>
        <w:left w:val="none" w:sz="0" w:space="0" w:color="auto"/>
        <w:bottom w:val="none" w:sz="0" w:space="0" w:color="auto"/>
        <w:right w:val="none" w:sz="0" w:space="0" w:color="auto"/>
      </w:divBdr>
    </w:div>
    <w:div w:id="1213539165">
      <w:bodyDiv w:val="1"/>
      <w:marLeft w:val="0"/>
      <w:marRight w:val="0"/>
      <w:marTop w:val="0"/>
      <w:marBottom w:val="0"/>
      <w:divBdr>
        <w:top w:val="none" w:sz="0" w:space="0" w:color="auto"/>
        <w:left w:val="none" w:sz="0" w:space="0" w:color="auto"/>
        <w:bottom w:val="none" w:sz="0" w:space="0" w:color="auto"/>
        <w:right w:val="none" w:sz="0" w:space="0" w:color="auto"/>
      </w:divBdr>
    </w:div>
    <w:div w:id="1426537762">
      <w:bodyDiv w:val="1"/>
      <w:marLeft w:val="0"/>
      <w:marRight w:val="0"/>
      <w:marTop w:val="0"/>
      <w:marBottom w:val="0"/>
      <w:divBdr>
        <w:top w:val="none" w:sz="0" w:space="0" w:color="auto"/>
        <w:left w:val="none" w:sz="0" w:space="0" w:color="auto"/>
        <w:bottom w:val="none" w:sz="0" w:space="0" w:color="auto"/>
        <w:right w:val="none" w:sz="0" w:space="0" w:color="auto"/>
      </w:divBdr>
      <w:divsChild>
        <w:div w:id="1287472619">
          <w:marLeft w:val="1800"/>
          <w:marRight w:val="0"/>
          <w:marTop w:val="100"/>
          <w:marBottom w:val="0"/>
          <w:divBdr>
            <w:top w:val="none" w:sz="0" w:space="0" w:color="auto"/>
            <w:left w:val="none" w:sz="0" w:space="0" w:color="auto"/>
            <w:bottom w:val="none" w:sz="0" w:space="0" w:color="auto"/>
            <w:right w:val="none" w:sz="0" w:space="0" w:color="auto"/>
          </w:divBdr>
        </w:div>
      </w:divsChild>
    </w:div>
    <w:div w:id="1717850830">
      <w:bodyDiv w:val="1"/>
      <w:marLeft w:val="0"/>
      <w:marRight w:val="0"/>
      <w:marTop w:val="0"/>
      <w:marBottom w:val="0"/>
      <w:divBdr>
        <w:top w:val="none" w:sz="0" w:space="0" w:color="auto"/>
        <w:left w:val="none" w:sz="0" w:space="0" w:color="auto"/>
        <w:bottom w:val="none" w:sz="0" w:space="0" w:color="auto"/>
        <w:right w:val="none" w:sz="0" w:space="0" w:color="auto"/>
      </w:divBdr>
    </w:div>
    <w:div w:id="1741974266">
      <w:bodyDiv w:val="1"/>
      <w:marLeft w:val="0"/>
      <w:marRight w:val="0"/>
      <w:marTop w:val="0"/>
      <w:marBottom w:val="0"/>
      <w:divBdr>
        <w:top w:val="none" w:sz="0" w:space="0" w:color="auto"/>
        <w:left w:val="none" w:sz="0" w:space="0" w:color="auto"/>
        <w:bottom w:val="none" w:sz="0" w:space="0" w:color="auto"/>
        <w:right w:val="none" w:sz="0" w:space="0" w:color="auto"/>
      </w:divBdr>
    </w:div>
    <w:div w:id="1753775779">
      <w:bodyDiv w:val="1"/>
      <w:marLeft w:val="0"/>
      <w:marRight w:val="0"/>
      <w:marTop w:val="0"/>
      <w:marBottom w:val="0"/>
      <w:divBdr>
        <w:top w:val="none" w:sz="0" w:space="0" w:color="auto"/>
        <w:left w:val="none" w:sz="0" w:space="0" w:color="auto"/>
        <w:bottom w:val="none" w:sz="0" w:space="0" w:color="auto"/>
        <w:right w:val="none" w:sz="0" w:space="0" w:color="auto"/>
      </w:divBdr>
    </w:div>
    <w:div w:id="1915358619">
      <w:bodyDiv w:val="1"/>
      <w:marLeft w:val="0"/>
      <w:marRight w:val="0"/>
      <w:marTop w:val="0"/>
      <w:marBottom w:val="0"/>
      <w:divBdr>
        <w:top w:val="none" w:sz="0" w:space="0" w:color="auto"/>
        <w:left w:val="none" w:sz="0" w:space="0" w:color="auto"/>
        <w:bottom w:val="none" w:sz="0" w:space="0" w:color="auto"/>
        <w:right w:val="none" w:sz="0" w:space="0" w:color="auto"/>
      </w:divBdr>
    </w:div>
    <w:div w:id="20548836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header" Target="header1.xml"/><Relationship Id="rId26" Type="http://schemas.openxmlformats.org/officeDocument/2006/relationships/chart" Target="charts/chart1.xml"/><Relationship Id="rId39" Type="http://schemas.openxmlformats.org/officeDocument/2006/relationships/image" Target="media/image25.png"/><Relationship Id="rId21" Type="http://schemas.openxmlformats.org/officeDocument/2006/relationships/image" Target="media/image11.png"/><Relationship Id="rId34" Type="http://schemas.openxmlformats.org/officeDocument/2006/relationships/image" Target="media/image21.png"/><Relationship Id="rId42" Type="http://schemas.openxmlformats.org/officeDocument/2006/relationships/image" Target="media/image28.emf"/><Relationship Id="rId47" Type="http://schemas.openxmlformats.org/officeDocument/2006/relationships/footer" Target="footer5.xml"/><Relationship Id="rId50" Type="http://schemas.openxmlformats.org/officeDocument/2006/relationships/image" Target="media/image34.png"/><Relationship Id="rId55" Type="http://schemas.openxmlformats.org/officeDocument/2006/relationships/image" Target="media/image39.png"/><Relationship Id="rId63" Type="http://schemas.openxmlformats.org/officeDocument/2006/relationships/image" Target="media/image45.png"/><Relationship Id="rId68" Type="http://schemas.openxmlformats.org/officeDocument/2006/relationships/chart" Target="charts/chart8.xml"/><Relationship Id="rId76" Type="http://schemas.openxmlformats.org/officeDocument/2006/relationships/chart" Target="charts/chart15.xml"/><Relationship Id="rId7" Type="http://schemas.openxmlformats.org/officeDocument/2006/relationships/footnotes" Target="footnotes.xml"/><Relationship Id="rId71" Type="http://schemas.openxmlformats.org/officeDocument/2006/relationships/chart" Target="charts/chart10.xml"/><Relationship Id="rId2" Type="http://schemas.openxmlformats.org/officeDocument/2006/relationships/numbering" Target="numbering.xml"/><Relationship Id="rId16" Type="http://schemas.openxmlformats.org/officeDocument/2006/relationships/image" Target="media/image8.emf"/><Relationship Id="rId29" Type="http://schemas.openxmlformats.org/officeDocument/2006/relationships/image" Target="media/image18.emf"/><Relationship Id="rId11" Type="http://schemas.openxmlformats.org/officeDocument/2006/relationships/image" Target="media/image3.emf"/><Relationship Id="rId24" Type="http://schemas.openxmlformats.org/officeDocument/2006/relationships/image" Target="media/image14.emf"/><Relationship Id="rId32" Type="http://schemas.openxmlformats.org/officeDocument/2006/relationships/footer" Target="footer3.xml"/><Relationship Id="rId37" Type="http://schemas.openxmlformats.org/officeDocument/2006/relationships/footer" Target="footer4.xml"/><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7.png"/><Relationship Id="rId58" Type="http://schemas.openxmlformats.org/officeDocument/2006/relationships/image" Target="media/image42.emf"/><Relationship Id="rId66" Type="http://schemas.openxmlformats.org/officeDocument/2006/relationships/chart" Target="charts/chart6.xml"/><Relationship Id="rId74" Type="http://schemas.openxmlformats.org/officeDocument/2006/relationships/chart" Target="charts/chart13.xml"/><Relationship Id="rId79"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chart" Target="charts/chart2.xml"/><Relationship Id="rId10" Type="http://schemas.openxmlformats.org/officeDocument/2006/relationships/image" Target="media/image2.emf"/><Relationship Id="rId19" Type="http://schemas.openxmlformats.org/officeDocument/2006/relationships/footer" Target="footer1.xml"/><Relationship Id="rId31" Type="http://schemas.openxmlformats.org/officeDocument/2006/relationships/image" Target="media/image19.emf"/><Relationship Id="rId44" Type="http://schemas.openxmlformats.org/officeDocument/2006/relationships/image" Target="media/image30.emf"/><Relationship Id="rId52" Type="http://schemas.openxmlformats.org/officeDocument/2006/relationships/image" Target="media/image36.png"/><Relationship Id="rId60" Type="http://schemas.openxmlformats.org/officeDocument/2006/relationships/image" Target="media/image44.JPG"/><Relationship Id="rId65" Type="http://schemas.openxmlformats.org/officeDocument/2006/relationships/chart" Target="charts/chart5.xml"/><Relationship Id="rId73" Type="http://schemas.openxmlformats.org/officeDocument/2006/relationships/chart" Target="charts/chart12.xml"/><Relationship Id="rId78" Type="http://schemas.openxmlformats.org/officeDocument/2006/relationships/footer" Target="footer7.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image" Target="media/image12.emf"/><Relationship Id="rId27" Type="http://schemas.openxmlformats.org/officeDocument/2006/relationships/image" Target="media/image16.png"/><Relationship Id="rId30" Type="http://schemas.openxmlformats.org/officeDocument/2006/relationships/footer" Target="footer2.xml"/><Relationship Id="rId35" Type="http://schemas.openxmlformats.org/officeDocument/2006/relationships/image" Target="media/image22.png"/><Relationship Id="rId43" Type="http://schemas.openxmlformats.org/officeDocument/2006/relationships/image" Target="media/image29.emf"/><Relationship Id="rId48" Type="http://schemas.openxmlformats.org/officeDocument/2006/relationships/image" Target="media/image32.png"/><Relationship Id="rId56" Type="http://schemas.openxmlformats.org/officeDocument/2006/relationships/image" Target="media/image40.emf"/><Relationship Id="rId64" Type="http://schemas.openxmlformats.org/officeDocument/2006/relationships/chart" Target="charts/chart4.xml"/><Relationship Id="rId69" Type="http://schemas.openxmlformats.org/officeDocument/2006/relationships/footer" Target="footer6.xml"/><Relationship Id="rId77" Type="http://schemas.openxmlformats.org/officeDocument/2006/relationships/image" Target="media/image46.emf"/><Relationship Id="rId8" Type="http://schemas.openxmlformats.org/officeDocument/2006/relationships/endnotes" Target="endnotes.xml"/><Relationship Id="rId51" Type="http://schemas.openxmlformats.org/officeDocument/2006/relationships/image" Target="media/image35.png"/><Relationship Id="rId72" Type="http://schemas.openxmlformats.org/officeDocument/2006/relationships/chart" Target="charts/chart11.xml"/><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5.emf"/><Relationship Id="rId33" Type="http://schemas.openxmlformats.org/officeDocument/2006/relationships/image" Target="media/image20.png"/><Relationship Id="rId38" Type="http://schemas.openxmlformats.org/officeDocument/2006/relationships/image" Target="media/image24.png"/><Relationship Id="rId46" Type="http://schemas.openxmlformats.org/officeDocument/2006/relationships/header" Target="header2.xml"/><Relationship Id="rId59" Type="http://schemas.openxmlformats.org/officeDocument/2006/relationships/image" Target="media/image43.emf"/><Relationship Id="rId67" Type="http://schemas.openxmlformats.org/officeDocument/2006/relationships/chart" Target="charts/chart7.xml"/><Relationship Id="rId20" Type="http://schemas.openxmlformats.org/officeDocument/2006/relationships/image" Target="media/image10.png"/><Relationship Id="rId41" Type="http://schemas.openxmlformats.org/officeDocument/2006/relationships/image" Target="media/image27.png"/><Relationship Id="rId54" Type="http://schemas.openxmlformats.org/officeDocument/2006/relationships/image" Target="media/image38.png"/><Relationship Id="rId62" Type="http://schemas.openxmlformats.org/officeDocument/2006/relationships/chart" Target="charts/chart3.xml"/><Relationship Id="rId70" Type="http://schemas.openxmlformats.org/officeDocument/2006/relationships/chart" Target="charts/chart9.xml"/><Relationship Id="rId75" Type="http://schemas.openxmlformats.org/officeDocument/2006/relationships/chart" Target="charts/chart14.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3.emf"/><Relationship Id="rId28" Type="http://schemas.openxmlformats.org/officeDocument/2006/relationships/image" Target="media/image17.emf"/><Relationship Id="rId36" Type="http://schemas.openxmlformats.org/officeDocument/2006/relationships/image" Target="media/image23.emf"/><Relationship Id="rId49" Type="http://schemas.openxmlformats.org/officeDocument/2006/relationships/image" Target="media/image33.png"/><Relationship Id="rId57" Type="http://schemas.openxmlformats.org/officeDocument/2006/relationships/image" Target="media/image41.emf"/></Relationships>
</file>

<file path=word/_rels/footnotes.xml.rels><?xml version="1.0" encoding="UTF-8" standalone="yes"?>
<Relationships xmlns="http://schemas.openxmlformats.org/package/2006/relationships"><Relationship Id="rId1" Type="http://schemas.openxmlformats.org/officeDocument/2006/relationships/hyperlink" Target="http://www.mfcr.cz/cs/verejny-sektor/hospodareni/rozpoctove-ramce-statisticke-informace/verejny-sektor/verejne-spolecnosti/2014/seznam-verejnych-spolecnosti-v-cr-rijen-17019"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FS\MEZIUTVARY\Anal&#253;za_PS\podklady\data\C_Struktur&#225;ln&#237;%20fondy\graf.xlsx" TargetMode="External"/></Relationships>
</file>

<file path=word/charts/_rels/chart2.xml.rels><?xml version="1.0" encoding="UTF-8" standalone="yes"?>
<Relationships xmlns="http://schemas.openxmlformats.org/package/2006/relationships"><Relationship Id="rId2" Type="http://schemas.openxmlformats.org/officeDocument/2006/relationships/oleObject" Target="file:///\\FS\MEZIUTVARY\Anal&#253;za_PS\podklady\data\E_Inova&#269;n&#237;%20politika\IUS_selected.xlsx" TargetMode="External"/><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oleObject" Target="file:///\\FS\MEZIUTVARY\Anal&#253;za_PS\podklady\data\E_Inova&#269;n&#237;%20politika\IUS_selected.xlsx" TargetMode="External"/><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oleObject" Target="file:///\\FS\MEZIUTVARY\Anal&#253;za_PS\podklady\data\E_Inova&#269;n&#237;%20politika\IUS_selected.xlsx" TargetMode="External"/><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oleObject" Target="file:///\\FS\MEZIUTVARY\Anal&#253;za_PS\podklady\data\E_Inova&#269;n&#237;%20politika\IUS_selected.xlsx" TargetMode="External"/><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1" Type="http://schemas.openxmlformats.org/officeDocument/2006/relationships/oleObject" Target="file:///\\FS\MEZIUTVARY\Anal&#253;za_PS\dokument%20Anal&#253;za%202014\grafy\kap_07_IUS_selected.xlsx" TargetMode="Externa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FS\MEZIUTVARY\Anal&#253;za_PS\podklady\data\E_Inova&#269;n&#237;%20politika\innovation_output_indicator_17-03-2015.xlsx" TargetMode="External"/><Relationship Id="rId1" Type="http://schemas.openxmlformats.org/officeDocument/2006/relationships/themeOverride" Target="../theme/themeOverride5.xml"/></Relationships>
</file>

<file path=word/charts/_rels/chart8.xml.rels><?xml version="1.0" encoding="UTF-8" standalone="yes"?>
<Relationships xmlns="http://schemas.openxmlformats.org/package/2006/relationships"><Relationship Id="rId2" Type="http://schemas.openxmlformats.org/officeDocument/2006/relationships/oleObject" Target="file:///\\FS\MEZIUTVARY\Anal&#253;za_PS\podklady\data\E_Inova&#269;n&#237;%20politika\innovation_output_indicator_17-03-2015.xlsx" TargetMode="External"/><Relationship Id="rId1" Type="http://schemas.openxmlformats.org/officeDocument/2006/relationships/themeOverride" Target="../theme/themeOverride6.xml"/></Relationships>
</file>

<file path=word/charts/_rels/chart9.xml.rels><?xml version="1.0" encoding="UTF-8" standalone="yes"?>
<Relationships xmlns="http://schemas.openxmlformats.org/package/2006/relationships"><Relationship Id="rId2" Type="http://schemas.openxmlformats.org/officeDocument/2006/relationships/oleObject" Target="file:///\\FS\MEZIUTVARY\Anal&#253;za_PS\podklady\data\E_Inova&#269;n&#237;%20politika\innovation_output_indicator_17-03-2015.xlsx" TargetMode="External"/><Relationship Id="rId1" Type="http://schemas.openxmlformats.org/officeDocument/2006/relationships/themeOverride" Target="../theme/themeOverride7.xml"/></Relationships>
</file>

<file path=word/charts/_rels/chart10.xml.rels><?xml version="1.0" encoding="UTF-8" standalone="yes"?>
<Relationships xmlns="http://schemas.openxmlformats.org/package/2006/relationships"><Relationship Id="rId2" Type="http://schemas.openxmlformats.org/officeDocument/2006/relationships/oleObject" Target="file:///\\FS\MEZIUTVARY\Anal&#253;za_PS\podklady\data\E_Inova&#269;n&#237;%20politika\innovation_output_indicator_17-03-2015.xlsx" TargetMode="External"/><Relationship Id="rId1" Type="http://schemas.openxmlformats.org/officeDocument/2006/relationships/themeOverride" Target="../theme/themeOverride8.xml"/></Relationships>
</file>

<file path=word/charts/_rels/chart11.xml.rels><?xml version="1.0" encoding="UTF-8" standalone="yes"?>
<Relationships xmlns="http://schemas.openxmlformats.org/package/2006/relationships"><Relationship Id="rId2" Type="http://schemas.openxmlformats.org/officeDocument/2006/relationships/oleObject" Target="file:///\\FS\MEZIUTVARY\Anal&#253;za_PS\podklady\data\E_Inova&#269;n&#237;%20politika\innovation_output_indicator_17-03-2015.xlsx" TargetMode="External"/><Relationship Id="rId1" Type="http://schemas.openxmlformats.org/officeDocument/2006/relationships/themeOverride" Target="../theme/themeOverride9.xml"/></Relationships>
</file>

<file path=word/charts/_rels/chart12.xml.rels><?xml version="1.0" encoding="UTF-8" standalone="yes"?>
<Relationships xmlns="http://schemas.openxmlformats.org/package/2006/relationships"><Relationship Id="rId2" Type="http://schemas.openxmlformats.org/officeDocument/2006/relationships/oleObject" Target="file:///\\FS\MEZIUTVARY\Anal&#253;za_PS\podklady\data\E_Inova&#269;n&#237;%20politika\innovation_output_indicator_17-03-2015.xlsx" TargetMode="External"/><Relationship Id="rId1" Type="http://schemas.openxmlformats.org/officeDocument/2006/relationships/themeOverride" Target="../theme/themeOverride10.xml"/></Relationships>
</file>

<file path=word/charts/_rels/chart13.xml.rels><?xml version="1.0" encoding="UTF-8" standalone="yes"?>
<Relationships xmlns="http://schemas.openxmlformats.org/package/2006/relationships"><Relationship Id="rId2" Type="http://schemas.openxmlformats.org/officeDocument/2006/relationships/oleObject" Target="file:///\\FS\MEZIUTVARY\Anal&#253;za_PS\podklady\data\E_Inova&#269;n&#237;%20politika\innovation_output_indicator_17-03-2015.xlsx" TargetMode="External"/><Relationship Id="rId1" Type="http://schemas.openxmlformats.org/officeDocument/2006/relationships/themeOverride" Target="../theme/themeOverride11.xml"/></Relationships>
</file>

<file path=word/charts/_rels/chart14.xml.rels><?xml version="1.0" encoding="UTF-8" standalone="yes"?>
<Relationships xmlns="http://schemas.openxmlformats.org/package/2006/relationships"><Relationship Id="rId2" Type="http://schemas.openxmlformats.org/officeDocument/2006/relationships/oleObject" Target="file:///\\FS\MEZIUTVARY\Anal&#253;za_PS\podklady\data\E_Inova&#269;n&#237;%20politika\innovation_output_indicator_17-03-2015.xlsx" TargetMode="External"/><Relationship Id="rId1" Type="http://schemas.openxmlformats.org/officeDocument/2006/relationships/themeOverride" Target="../theme/themeOverride12.xml"/></Relationships>
</file>

<file path=word/charts/_rels/chart15.xml.rels><?xml version="1.0" encoding="UTF-8" standalone="yes"?>
<Relationships xmlns="http://schemas.openxmlformats.org/package/2006/relationships"><Relationship Id="rId2" Type="http://schemas.openxmlformats.org/officeDocument/2006/relationships/oleObject" Target="file:///\\FS\MEZIUTVARY\Anal&#253;za_PS\podklady\data\E_Inova&#269;n&#237;%20politika\innovation_output_indicator_17-03-2015.xlsx" TargetMode="External"/><Relationship Id="rId1" Type="http://schemas.openxmlformats.org/officeDocument/2006/relationships/themeOverride" Target="../theme/themeOverride1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3083763236491984E-2"/>
          <c:y val="4.2620037178654015E-2"/>
          <c:w val="0.88126583132684344"/>
          <c:h val="0.86728742799767478"/>
        </c:manualLayout>
      </c:layout>
      <c:lineChart>
        <c:grouping val="standard"/>
        <c:varyColors val="0"/>
        <c:ser>
          <c:idx val="0"/>
          <c:order val="0"/>
          <c:tx>
            <c:strRef>
              <c:f>List1!$A$24</c:f>
              <c:strCache>
                <c:ptCount val="1"/>
                <c:pt idx="0">
                  <c:v>Soukromé</c:v>
                </c:pt>
              </c:strCache>
            </c:strRef>
          </c:tx>
          <c:spPr>
            <a:ln>
              <a:solidFill>
                <a:schemeClr val="accent1">
                  <a:lumMod val="40000"/>
                  <a:lumOff val="60000"/>
                </a:schemeClr>
              </a:solidFill>
            </a:ln>
          </c:spPr>
          <c:marker>
            <c:symbol val="circle"/>
            <c:size val="7"/>
            <c:spPr>
              <a:noFill/>
              <a:ln w="25400">
                <a:solidFill>
                  <a:schemeClr val="tx2"/>
                </a:solidFill>
              </a:ln>
            </c:spPr>
          </c:marker>
          <c:cat>
            <c:numRef>
              <c:f>List1!$B$23:$H$23</c:f>
              <c:numCache>
                <c:formatCode>General</c:formatCode>
                <c:ptCount val="7"/>
                <c:pt idx="0">
                  <c:v>2007</c:v>
                </c:pt>
                <c:pt idx="1">
                  <c:v>2008</c:v>
                </c:pt>
                <c:pt idx="2">
                  <c:v>2009</c:v>
                </c:pt>
                <c:pt idx="3">
                  <c:v>2010</c:v>
                </c:pt>
                <c:pt idx="4">
                  <c:v>2011</c:v>
                </c:pt>
                <c:pt idx="5">
                  <c:v>2012</c:v>
                </c:pt>
                <c:pt idx="6">
                  <c:v>2013</c:v>
                </c:pt>
              </c:numCache>
            </c:numRef>
          </c:cat>
          <c:val>
            <c:numRef>
              <c:f>List1!$B$24:$H$24</c:f>
              <c:numCache>
                <c:formatCode>0.00</c:formatCode>
                <c:ptCount val="7"/>
                <c:pt idx="0">
                  <c:v>2.7072414299999998</c:v>
                </c:pt>
                <c:pt idx="1">
                  <c:v>3.4670507349999995</c:v>
                </c:pt>
                <c:pt idx="2">
                  <c:v>4.4311332499999994</c:v>
                </c:pt>
                <c:pt idx="3">
                  <c:v>5.1603967000000006</c:v>
                </c:pt>
                <c:pt idx="4">
                  <c:v>6.2424229100000046</c:v>
                </c:pt>
                <c:pt idx="5">
                  <c:v>7.136220090000001</c:v>
                </c:pt>
                <c:pt idx="6">
                  <c:v>8.5630113999999971</c:v>
                </c:pt>
              </c:numCache>
            </c:numRef>
          </c:val>
          <c:smooth val="0"/>
        </c:ser>
        <c:ser>
          <c:idx val="1"/>
          <c:order val="1"/>
          <c:tx>
            <c:strRef>
              <c:f>List1!$A$25</c:f>
              <c:strCache>
                <c:ptCount val="1"/>
                <c:pt idx="0">
                  <c:v>Veřejné</c:v>
                </c:pt>
              </c:strCache>
            </c:strRef>
          </c:tx>
          <c:spPr>
            <a:ln>
              <a:solidFill>
                <a:srgbClr val="FFFF00"/>
              </a:solidFill>
            </a:ln>
          </c:spPr>
          <c:marker>
            <c:symbol val="circle"/>
            <c:size val="7"/>
            <c:spPr>
              <a:noFill/>
              <a:ln w="25400">
                <a:solidFill>
                  <a:srgbClr val="FFCC00"/>
                </a:solidFill>
              </a:ln>
            </c:spPr>
          </c:marker>
          <c:cat>
            <c:numRef>
              <c:f>List1!$B$23:$H$23</c:f>
              <c:numCache>
                <c:formatCode>General</c:formatCode>
                <c:ptCount val="7"/>
                <c:pt idx="0">
                  <c:v>2007</c:v>
                </c:pt>
                <c:pt idx="1">
                  <c:v>2008</c:v>
                </c:pt>
                <c:pt idx="2">
                  <c:v>2009</c:v>
                </c:pt>
                <c:pt idx="3">
                  <c:v>2010</c:v>
                </c:pt>
                <c:pt idx="4">
                  <c:v>2011</c:v>
                </c:pt>
                <c:pt idx="5">
                  <c:v>2012</c:v>
                </c:pt>
                <c:pt idx="6">
                  <c:v>2013</c:v>
                </c:pt>
              </c:numCache>
            </c:numRef>
          </c:cat>
          <c:val>
            <c:numRef>
              <c:f>List1!$B$25:$H$25</c:f>
              <c:numCache>
                <c:formatCode>0.00</c:formatCode>
                <c:ptCount val="7"/>
                <c:pt idx="0">
                  <c:v>0.92517299999999991</c:v>
                </c:pt>
                <c:pt idx="1">
                  <c:v>0.96407999999999994</c:v>
                </c:pt>
                <c:pt idx="2">
                  <c:v>1.3051842600000005</c:v>
                </c:pt>
                <c:pt idx="3">
                  <c:v>2.2160030699999997</c:v>
                </c:pt>
                <c:pt idx="4">
                  <c:v>6.0931831400000052</c:v>
                </c:pt>
                <c:pt idx="5">
                  <c:v>11.622015260000014</c:v>
                </c:pt>
                <c:pt idx="6">
                  <c:v>12.575684980000005</c:v>
                </c:pt>
              </c:numCache>
            </c:numRef>
          </c:val>
          <c:smooth val="0"/>
        </c:ser>
        <c:ser>
          <c:idx val="2"/>
          <c:order val="2"/>
          <c:tx>
            <c:strRef>
              <c:f>List1!$A$26</c:f>
              <c:strCache>
                <c:ptCount val="1"/>
                <c:pt idx="0">
                  <c:v>Celkem</c:v>
                </c:pt>
              </c:strCache>
            </c:strRef>
          </c:tx>
          <c:spPr>
            <a:ln>
              <a:solidFill>
                <a:srgbClr val="92D050"/>
              </a:solidFill>
            </a:ln>
          </c:spPr>
          <c:marker>
            <c:symbol val="circle"/>
            <c:size val="7"/>
            <c:spPr>
              <a:noFill/>
              <a:ln w="25400">
                <a:solidFill>
                  <a:schemeClr val="accent3">
                    <a:lumMod val="75000"/>
                  </a:schemeClr>
                </a:solidFill>
              </a:ln>
            </c:spPr>
          </c:marker>
          <c:dLbls>
            <c:dLbl>
              <c:idx val="0"/>
              <c:layout>
                <c:manualLayout>
                  <c:x val="-1.4921399665224487E-2"/>
                  <c:y val="-4.6716415224216726E-2"/>
                </c:manualLayout>
              </c:layout>
              <c:dLblPos val="r"/>
              <c:showLegendKey val="0"/>
              <c:showVal val="1"/>
              <c:showCatName val="0"/>
              <c:showSerName val="0"/>
              <c:showPercent val="0"/>
              <c:showBubbleSize val="0"/>
            </c:dLbl>
            <c:dLbl>
              <c:idx val="1"/>
              <c:layout>
                <c:manualLayout>
                  <c:x val="-3.7245093221794763E-2"/>
                  <c:y val="-3.6778528321543068E-2"/>
                </c:manualLayout>
              </c:layout>
              <c:dLblPos val="r"/>
              <c:showLegendKey val="0"/>
              <c:showVal val="1"/>
              <c:showCatName val="0"/>
              <c:showSerName val="0"/>
              <c:showPercent val="0"/>
              <c:showBubbleSize val="0"/>
            </c:dLbl>
            <c:dLbl>
              <c:idx val="4"/>
              <c:layout>
                <c:manualLayout>
                  <c:x val="-6.8772156905044401E-2"/>
                  <c:y val="-4.0091157289100954E-2"/>
                </c:manualLayout>
              </c:layout>
              <c:dLblPos val="r"/>
              <c:showLegendKey val="0"/>
              <c:showVal val="1"/>
              <c:showCatName val="0"/>
              <c:showSerName val="0"/>
              <c:showPercent val="0"/>
              <c:showBubbleSize val="0"/>
            </c:dLbl>
            <c:dLbl>
              <c:idx val="6"/>
              <c:layout>
                <c:manualLayout>
                  <c:x val="-5.8351130766188475E-2"/>
                  <c:y val="-5.6654302126890377E-2"/>
                </c:manualLayout>
              </c:layout>
              <c:dLblPos val="r"/>
              <c:showLegendKey val="0"/>
              <c:showVal val="1"/>
              <c:showCatName val="0"/>
              <c:showSerName val="0"/>
              <c:showPercent val="0"/>
              <c:showBubbleSize val="0"/>
            </c:dLbl>
            <c:dLblPos val="t"/>
            <c:showLegendKey val="0"/>
            <c:showVal val="1"/>
            <c:showCatName val="0"/>
            <c:showSerName val="0"/>
            <c:showPercent val="0"/>
            <c:showBubbleSize val="0"/>
            <c:showLeaderLines val="0"/>
          </c:dLbls>
          <c:cat>
            <c:numRef>
              <c:f>List1!$B$23:$H$23</c:f>
              <c:numCache>
                <c:formatCode>General</c:formatCode>
                <c:ptCount val="7"/>
                <c:pt idx="0">
                  <c:v>2007</c:v>
                </c:pt>
                <c:pt idx="1">
                  <c:v>2008</c:v>
                </c:pt>
                <c:pt idx="2">
                  <c:v>2009</c:v>
                </c:pt>
                <c:pt idx="3">
                  <c:v>2010</c:v>
                </c:pt>
                <c:pt idx="4">
                  <c:v>2011</c:v>
                </c:pt>
                <c:pt idx="5">
                  <c:v>2012</c:v>
                </c:pt>
                <c:pt idx="6">
                  <c:v>2013</c:v>
                </c:pt>
              </c:numCache>
            </c:numRef>
          </c:cat>
          <c:val>
            <c:numRef>
              <c:f>List1!$B$26:$H$26</c:f>
              <c:numCache>
                <c:formatCode>0.00</c:formatCode>
                <c:ptCount val="7"/>
                <c:pt idx="0">
                  <c:v>3.6324144299999999</c:v>
                </c:pt>
                <c:pt idx="1">
                  <c:v>4.4311307349999991</c:v>
                </c:pt>
                <c:pt idx="2">
                  <c:v>5.7363175100000001</c:v>
                </c:pt>
                <c:pt idx="3">
                  <c:v>7.3763997700000008</c:v>
                </c:pt>
                <c:pt idx="4">
                  <c:v>12.33560605000001</c:v>
                </c:pt>
                <c:pt idx="5">
                  <c:v>18.758235350000014</c:v>
                </c:pt>
                <c:pt idx="6">
                  <c:v>21.138696380000003</c:v>
                </c:pt>
              </c:numCache>
            </c:numRef>
          </c:val>
          <c:smooth val="0"/>
        </c:ser>
        <c:dLbls>
          <c:showLegendKey val="0"/>
          <c:showVal val="0"/>
          <c:showCatName val="0"/>
          <c:showSerName val="0"/>
          <c:showPercent val="0"/>
          <c:showBubbleSize val="0"/>
        </c:dLbls>
        <c:marker val="1"/>
        <c:smooth val="0"/>
        <c:axId val="40448384"/>
        <c:axId val="40449920"/>
      </c:lineChart>
      <c:catAx>
        <c:axId val="40448384"/>
        <c:scaling>
          <c:orientation val="minMax"/>
        </c:scaling>
        <c:delete val="0"/>
        <c:axPos val="b"/>
        <c:numFmt formatCode="General" sourceLinked="1"/>
        <c:majorTickMark val="none"/>
        <c:minorTickMark val="none"/>
        <c:tickLblPos val="nextTo"/>
        <c:crossAx val="40449920"/>
        <c:crossesAt val="0"/>
        <c:auto val="1"/>
        <c:lblAlgn val="ctr"/>
        <c:lblOffset val="100"/>
        <c:noMultiLvlLbl val="0"/>
      </c:catAx>
      <c:valAx>
        <c:axId val="40449920"/>
        <c:scaling>
          <c:orientation val="minMax"/>
          <c:max val="24"/>
        </c:scaling>
        <c:delete val="0"/>
        <c:axPos val="l"/>
        <c:majorGridlines>
          <c:spPr>
            <a:ln>
              <a:prstDash val="dash"/>
            </a:ln>
          </c:spPr>
        </c:majorGridlines>
        <c:numFmt formatCode="0.00" sourceLinked="1"/>
        <c:majorTickMark val="none"/>
        <c:minorTickMark val="none"/>
        <c:tickLblPos val="nextTo"/>
        <c:crossAx val="40448384"/>
        <c:crossesAt val="1"/>
        <c:crossBetween val="midCat"/>
        <c:majorUnit val="2"/>
      </c:valAx>
      <c:spPr>
        <a:noFill/>
        <a:ln>
          <a:solidFill>
            <a:schemeClr val="tx1">
              <a:tint val="75000"/>
              <a:shade val="95000"/>
              <a:satMod val="105000"/>
            </a:schemeClr>
          </a:solidFill>
        </a:ln>
      </c:spPr>
    </c:plotArea>
    <c:legend>
      <c:legendPos val="b"/>
      <c:layout>
        <c:manualLayout>
          <c:xMode val="edge"/>
          <c:yMode val="edge"/>
          <c:x val="0.14226139227626367"/>
          <c:y val="4.5688196059640931E-2"/>
          <c:w val="0.51425906433684265"/>
          <c:h val="6.6511836432544588E-2"/>
        </c:manualLayout>
      </c:layout>
      <c:overlay val="0"/>
    </c:legend>
    <c:plotVisOnly val="1"/>
    <c:dispBlanksAs val="zero"/>
    <c:showDLblsOverMax val="0"/>
  </c:chart>
  <c:spPr>
    <a:noFill/>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'00a_mapa'!$A$6</c:f>
              <c:strCache>
                <c:ptCount val="1"/>
                <c:pt idx="0">
                  <c:v>CZ</c:v>
                </c:pt>
              </c:strCache>
            </c:strRef>
          </c:tx>
          <c:spPr>
            <a:ln>
              <a:solidFill>
                <a:srgbClr val="C00000"/>
              </a:solidFill>
            </a:ln>
          </c:spPr>
          <c:marker>
            <c:spPr>
              <a:solidFill>
                <a:srgbClr val="C00000"/>
              </a:solidFill>
              <a:ln>
                <a:noFill/>
              </a:ln>
            </c:spPr>
          </c:marker>
          <c:cat>
            <c:numRef>
              <c:f>'00a_mapa'!$C$2:$J$2</c:f>
              <c:numCache>
                <c:formatCode>General</c:formatCode>
                <c:ptCount val="8"/>
                <c:pt idx="0">
                  <c:v>2006</c:v>
                </c:pt>
                <c:pt idx="1">
                  <c:v>2007</c:v>
                </c:pt>
                <c:pt idx="2">
                  <c:v>2008</c:v>
                </c:pt>
                <c:pt idx="3">
                  <c:v>2009</c:v>
                </c:pt>
                <c:pt idx="4">
                  <c:v>2010</c:v>
                </c:pt>
                <c:pt idx="5">
                  <c:v>2011</c:v>
                </c:pt>
                <c:pt idx="6">
                  <c:v>2012</c:v>
                </c:pt>
                <c:pt idx="7">
                  <c:v>2013</c:v>
                </c:pt>
              </c:numCache>
            </c:numRef>
          </c:cat>
          <c:val>
            <c:numRef>
              <c:f>'00a_mapa'!$C$6:$J$6</c:f>
              <c:numCache>
                <c:formatCode>0.000</c:formatCode>
                <c:ptCount val="8"/>
                <c:pt idx="0">
                  <c:v>0.37422649271003822</c:v>
                </c:pt>
                <c:pt idx="1">
                  <c:v>0.38995977198468273</c:v>
                </c:pt>
                <c:pt idx="2">
                  <c:v>0.36879443395153044</c:v>
                </c:pt>
                <c:pt idx="3">
                  <c:v>0.37442170645771372</c:v>
                </c:pt>
                <c:pt idx="4">
                  <c:v>0.41095622614640726</c:v>
                </c:pt>
                <c:pt idx="5">
                  <c:v>0.41610797286228191</c:v>
                </c:pt>
                <c:pt idx="6">
                  <c:v>0.40535616027674787</c:v>
                </c:pt>
                <c:pt idx="7">
                  <c:v>0.42178993919841473</c:v>
                </c:pt>
              </c:numCache>
            </c:numRef>
          </c:val>
          <c:smooth val="0"/>
        </c:ser>
        <c:ser>
          <c:idx val="1"/>
          <c:order val="1"/>
          <c:tx>
            <c:strRef>
              <c:f>'00a_mapa'!$A$22</c:f>
              <c:strCache>
                <c:ptCount val="1"/>
                <c:pt idx="0">
                  <c:v>AT</c:v>
                </c:pt>
              </c:strCache>
            </c:strRef>
          </c:tx>
          <c:spPr>
            <a:ln>
              <a:solidFill>
                <a:schemeClr val="accent1">
                  <a:lumMod val="75000"/>
                </a:schemeClr>
              </a:solidFill>
            </a:ln>
          </c:spPr>
          <c:marker>
            <c:spPr>
              <a:solidFill>
                <a:schemeClr val="accent1">
                  <a:lumMod val="75000"/>
                </a:schemeClr>
              </a:solidFill>
              <a:ln>
                <a:solidFill>
                  <a:schemeClr val="accent1">
                    <a:lumMod val="75000"/>
                  </a:schemeClr>
                </a:solidFill>
              </a:ln>
            </c:spPr>
          </c:marker>
          <c:val>
            <c:numRef>
              <c:f>'00a_mapa'!$C$22:$J$22</c:f>
              <c:numCache>
                <c:formatCode>0.000</c:formatCode>
                <c:ptCount val="8"/>
                <c:pt idx="0">
                  <c:v>0.51562939560151433</c:v>
                </c:pt>
                <c:pt idx="1">
                  <c:v>0.5274912016148372</c:v>
                </c:pt>
                <c:pt idx="2">
                  <c:v>0.58285430284948336</c:v>
                </c:pt>
                <c:pt idx="3">
                  <c:v>0.5966014593943415</c:v>
                </c:pt>
                <c:pt idx="4">
                  <c:v>0.57078734894541394</c:v>
                </c:pt>
                <c:pt idx="5">
                  <c:v>0.5826878484357334</c:v>
                </c:pt>
                <c:pt idx="6">
                  <c:v>0.59860903454017811</c:v>
                </c:pt>
                <c:pt idx="7">
                  <c:v>0.59909146637092625</c:v>
                </c:pt>
              </c:numCache>
            </c:numRef>
          </c:val>
          <c:smooth val="0"/>
        </c:ser>
        <c:dLbls>
          <c:showLegendKey val="0"/>
          <c:showVal val="0"/>
          <c:showCatName val="0"/>
          <c:showSerName val="0"/>
          <c:showPercent val="0"/>
          <c:showBubbleSize val="0"/>
        </c:dLbls>
        <c:marker val="1"/>
        <c:smooth val="0"/>
        <c:axId val="41088128"/>
        <c:axId val="41090048"/>
      </c:lineChart>
      <c:catAx>
        <c:axId val="41088128"/>
        <c:scaling>
          <c:orientation val="minMax"/>
        </c:scaling>
        <c:delete val="0"/>
        <c:axPos val="b"/>
        <c:numFmt formatCode="General" sourceLinked="1"/>
        <c:majorTickMark val="out"/>
        <c:minorTickMark val="none"/>
        <c:tickLblPos val="nextTo"/>
        <c:crossAx val="41090048"/>
        <c:crosses val="autoZero"/>
        <c:auto val="1"/>
        <c:lblAlgn val="ctr"/>
        <c:lblOffset val="100"/>
        <c:noMultiLvlLbl val="0"/>
      </c:catAx>
      <c:valAx>
        <c:axId val="41090048"/>
        <c:scaling>
          <c:orientation val="minMax"/>
        </c:scaling>
        <c:delete val="0"/>
        <c:axPos val="l"/>
        <c:majorGridlines/>
        <c:numFmt formatCode="0.000" sourceLinked="1"/>
        <c:majorTickMark val="out"/>
        <c:minorTickMark val="none"/>
        <c:tickLblPos val="nextTo"/>
        <c:crossAx val="41088128"/>
        <c:crosses val="autoZero"/>
        <c:crossBetween val="between"/>
        <c:majorUnit val="0.25"/>
      </c:valAx>
    </c:plotArea>
    <c:legend>
      <c:legendPos val="b"/>
      <c:layout/>
      <c:overlay val="0"/>
    </c:legend>
    <c:plotVisOnly val="1"/>
    <c:dispBlanksAs val="zero"/>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33522962385487831"/>
          <c:y val="1.9020446980504042E-2"/>
          <c:w val="0.49916031585371301"/>
          <c:h val="0.93142814352200265"/>
        </c:manualLayout>
      </c:layout>
      <c:barChart>
        <c:barDir val="bar"/>
        <c:grouping val="clustered"/>
        <c:varyColors val="0"/>
        <c:ser>
          <c:idx val="0"/>
          <c:order val="0"/>
          <c:invertIfNegative val="0"/>
          <c:cat>
            <c:strRef>
              <c:f>'02a_Dílčí indikátory'!$A$2:$A$37</c:f>
              <c:strCache>
                <c:ptCount val="36"/>
                <c:pt idx="0">
                  <c:v>ENABLERS</c:v>
                </c:pt>
                <c:pt idx="1">
                  <c:v>Human resources</c:v>
                </c:pt>
                <c:pt idx="2">
                  <c:v>1.1.1 New doctorate graduates</c:v>
                </c:pt>
                <c:pt idx="3">
                  <c:v>1.1.2 Population completed tertiary education</c:v>
                </c:pt>
                <c:pt idx="4">
                  <c:v>1.1.3 Youth with upper secondary level education</c:v>
                </c:pt>
                <c:pt idx="5">
                  <c:v>Open, excellent and attractive research systems</c:v>
                </c:pt>
                <c:pt idx="6">
                  <c:v>1.2.1 International scientific co-publications</c:v>
                </c:pt>
                <c:pt idx="7">
                  <c:v>1.2.2 Scientific publications among top 10% most cited</c:v>
                </c:pt>
                <c:pt idx="8">
                  <c:v>1.2.3 Non-EU doctorate students</c:v>
                </c:pt>
                <c:pt idx="9">
                  <c:v>Finance and support</c:v>
                </c:pt>
                <c:pt idx="10">
                  <c:v>1.3.1 Public R&amp;D expenditure</c:v>
                </c:pt>
                <c:pt idx="11">
                  <c:v>1.3.2 Venture capital</c:v>
                </c:pt>
                <c:pt idx="12">
                  <c:v>FIRM ACTIVITIES</c:v>
                </c:pt>
                <c:pt idx="13">
                  <c:v>Firm investments</c:v>
                </c:pt>
                <c:pt idx="14">
                  <c:v>2.1.1 Business R&amp;D expenditure</c:v>
                </c:pt>
                <c:pt idx="15">
                  <c:v>2.1.2 Non-R&amp;D innovation expenditure</c:v>
                </c:pt>
                <c:pt idx="16">
                  <c:v>Linkages &amp; entrepreneurship</c:v>
                </c:pt>
                <c:pt idx="17">
                  <c:v>2.2.1 SMEs innovating in-house</c:v>
                </c:pt>
                <c:pt idx="18">
                  <c:v>2.2.2 Innovative SMEs collaborating with others</c:v>
                </c:pt>
                <c:pt idx="19">
                  <c:v>2.2.3 Public-private co-publications</c:v>
                </c:pt>
                <c:pt idx="20">
                  <c:v>Intellectual Assets</c:v>
                </c:pt>
                <c:pt idx="21">
                  <c:v>2.3.1 PCT patent applications</c:v>
                </c:pt>
                <c:pt idx="22">
                  <c:v>2.3.2 PCT patent applications in societal challenges</c:v>
                </c:pt>
                <c:pt idx="23">
                  <c:v>2.3.3 Community trademarks</c:v>
                </c:pt>
                <c:pt idx="24">
                  <c:v>2.3.4 Community designs</c:v>
                </c:pt>
                <c:pt idx="25">
                  <c:v>OUTPUTS</c:v>
                </c:pt>
                <c:pt idx="26">
                  <c:v>Innovators</c:v>
                </c:pt>
                <c:pt idx="27">
                  <c:v>3.1.1 SMEs introducing product or process innovations</c:v>
                </c:pt>
                <c:pt idx="28">
                  <c:v>3.1.2 SMEs introducing marketing/organisational innovations</c:v>
                </c:pt>
                <c:pt idx="29">
                  <c:v>3.1.3 Employment fast-growing firms of innovative sectors</c:v>
                </c:pt>
                <c:pt idx="30">
                  <c:v>Economic effects</c:v>
                </c:pt>
                <c:pt idx="31">
                  <c:v>3.2.1 Employment in knowledge-intensive activities</c:v>
                </c:pt>
                <c:pt idx="32">
                  <c:v>3.2.2 Contribution of MHT product exports to trade balance</c:v>
                </c:pt>
                <c:pt idx="33">
                  <c:v>3.2.3 Knowledge-intensive services exports</c:v>
                </c:pt>
                <c:pt idx="34">
                  <c:v>3.2.4 Sales of new to market and new to firm innovations</c:v>
                </c:pt>
                <c:pt idx="35">
                  <c:v>3.2.5 Licence and patent revenues from abroad</c:v>
                </c:pt>
              </c:strCache>
            </c:strRef>
          </c:cat>
          <c:val>
            <c:numRef>
              <c:f>'02a_Dílčí indikátory'!$C$2:$C$37</c:f>
              <c:numCache>
                <c:formatCode>General</c:formatCode>
                <c:ptCount val="36"/>
                <c:pt idx="2" formatCode="#,##0.000">
                  <c:v>5.9634022667048425</c:v>
                </c:pt>
                <c:pt idx="3" formatCode="#,##0.000">
                  <c:v>10.164678987960274</c:v>
                </c:pt>
                <c:pt idx="4" formatCode="#,##0.000">
                  <c:v>-4.7058865224613999E-2</c:v>
                </c:pt>
                <c:pt idx="6" formatCode="#,##0.000">
                  <c:v>7.1127645533006989</c:v>
                </c:pt>
                <c:pt idx="7" formatCode="#,##0.000">
                  <c:v>4.4724621262213216</c:v>
                </c:pt>
                <c:pt idx="8" formatCode="#,##0.000">
                  <c:v>-7.4129850101172234</c:v>
                </c:pt>
                <c:pt idx="10" formatCode="#,##0.000">
                  <c:v>8.5469427817781671</c:v>
                </c:pt>
                <c:pt idx="11" formatCode="#,##0.000">
                  <c:v>-12.008548966897315</c:v>
                </c:pt>
                <c:pt idx="14" formatCode="#,##0.000">
                  <c:v>4.7472535806971417</c:v>
                </c:pt>
                <c:pt idx="15" formatCode="#,##0.000">
                  <c:v>-9.7086068848311058</c:v>
                </c:pt>
                <c:pt idx="17" formatCode="#,##0.000">
                  <c:v>-2.1716344705943413</c:v>
                </c:pt>
                <c:pt idx="18" formatCode="#,##0.000">
                  <c:v>-3.2726708602907273</c:v>
                </c:pt>
                <c:pt idx="19" formatCode="#,##0.000">
                  <c:v>1.9474341852294685</c:v>
                </c:pt>
                <c:pt idx="21" formatCode="#,##0.000">
                  <c:v>-0.21431804805981391</c:v>
                </c:pt>
                <c:pt idx="22" formatCode="#,##0.000">
                  <c:v>-1.5345335365382629</c:v>
                </c:pt>
                <c:pt idx="23" formatCode="#,##0.000">
                  <c:v>15.765956838137086</c:v>
                </c:pt>
                <c:pt idx="24" formatCode="#,##0.000">
                  <c:v>16.361524200961284</c:v>
                </c:pt>
                <c:pt idx="27" formatCode="#,##0.000">
                  <c:v>-1.0305890249197036</c:v>
                </c:pt>
                <c:pt idx="28" formatCode="#,##0.000">
                  <c:v>0.73928542153374188</c:v>
                </c:pt>
                <c:pt idx="29" formatCode="#,##0.000">
                  <c:v>0.37176772540985503</c:v>
                </c:pt>
                <c:pt idx="31" formatCode="#,##0.000">
                  <c:v>1.5811538147683546</c:v>
                </c:pt>
                <c:pt idx="32" formatCode="#,##0.000">
                  <c:v>0.10662398546548157</c:v>
                </c:pt>
                <c:pt idx="33" formatCode="#,##0.000">
                  <c:v>4.9615339098451283</c:v>
                </c:pt>
                <c:pt idx="34" formatCode="#,##0.000">
                  <c:v>-0.22079811461214183</c:v>
                </c:pt>
                <c:pt idx="35" formatCode="#,##0.000">
                  <c:v>8.919335592527954</c:v>
                </c:pt>
              </c:numCache>
            </c:numRef>
          </c:val>
        </c:ser>
        <c:dLbls>
          <c:showLegendKey val="0"/>
          <c:showVal val="0"/>
          <c:showCatName val="0"/>
          <c:showSerName val="0"/>
          <c:showPercent val="0"/>
          <c:showBubbleSize val="0"/>
        </c:dLbls>
        <c:gapWidth val="150"/>
        <c:axId val="41097856"/>
        <c:axId val="41124224"/>
      </c:barChart>
      <c:catAx>
        <c:axId val="41097856"/>
        <c:scaling>
          <c:orientation val="maxMin"/>
        </c:scaling>
        <c:delete val="0"/>
        <c:axPos val="l"/>
        <c:majorTickMark val="out"/>
        <c:minorTickMark val="none"/>
        <c:tickLblPos val="low"/>
        <c:txPr>
          <a:bodyPr/>
          <a:lstStyle/>
          <a:p>
            <a:pPr>
              <a:defRPr sz="700"/>
            </a:pPr>
            <a:endParaRPr lang="cs-CZ"/>
          </a:p>
        </c:txPr>
        <c:crossAx val="41124224"/>
        <c:crossesAt val="0"/>
        <c:auto val="1"/>
        <c:lblAlgn val="ctr"/>
        <c:lblOffset val="100"/>
        <c:noMultiLvlLbl val="0"/>
      </c:catAx>
      <c:valAx>
        <c:axId val="41124224"/>
        <c:scaling>
          <c:orientation val="minMax"/>
          <c:min val="-20"/>
        </c:scaling>
        <c:delete val="0"/>
        <c:axPos val="t"/>
        <c:majorGridlines/>
        <c:numFmt formatCode="General" sourceLinked="1"/>
        <c:majorTickMark val="out"/>
        <c:minorTickMark val="none"/>
        <c:tickLblPos val="low"/>
        <c:crossAx val="41097856"/>
        <c:crosses val="autoZero"/>
        <c:crossBetween val="between"/>
        <c:majorUnit val="10"/>
        <c:minorUnit val="1.0000000000000002E-2"/>
      </c:valAx>
    </c:plotArea>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'05_disagreg innovatin index'!$B$4</c:f>
              <c:strCache>
                <c:ptCount val="1"/>
                <c:pt idx="0">
                  <c:v>CZ</c:v>
                </c:pt>
              </c:strCache>
            </c:strRef>
          </c:tx>
          <c:spPr>
            <a:solidFill>
              <a:srgbClr val="C00000"/>
            </a:solidFill>
          </c:spPr>
          <c:invertIfNegative val="0"/>
          <c:val>
            <c:numRef>
              <c:f>'05_disagreg innovatin index'!$C$4:$K$4</c:f>
              <c:numCache>
                <c:formatCode>0.000</c:formatCode>
                <c:ptCount val="9"/>
                <c:pt idx="0">
                  <c:v>0.42178993919841473</c:v>
                </c:pt>
                <c:pt idx="1">
                  <c:v>0.57107044713332866</c:v>
                </c:pt>
                <c:pt idx="2">
                  <c:v>0.25308542384784044</c:v>
                </c:pt>
                <c:pt idx="3">
                  <c:v>0.39993309967255913</c:v>
                </c:pt>
                <c:pt idx="4">
                  <c:v>0.38918057202329093</c:v>
                </c:pt>
                <c:pt idx="5">
                  <c:v>0.44970596427109144</c:v>
                </c:pt>
                <c:pt idx="6">
                  <c:v>0.30554850070768713</c:v>
                </c:pt>
                <c:pt idx="7">
                  <c:v>0.49131548229560029</c:v>
                </c:pt>
                <c:pt idx="8">
                  <c:v>0.48975903621886763</c:v>
                </c:pt>
              </c:numCache>
            </c:numRef>
          </c:val>
        </c:ser>
        <c:ser>
          <c:idx val="2"/>
          <c:order val="1"/>
          <c:tx>
            <c:strRef>
              <c:f>'05_disagreg innovatin index'!$B$5</c:f>
              <c:strCache>
                <c:ptCount val="1"/>
                <c:pt idx="0">
                  <c:v>AT</c:v>
                </c:pt>
              </c:strCache>
            </c:strRef>
          </c:tx>
          <c:spPr>
            <a:solidFill>
              <a:schemeClr val="tx2">
                <a:lumMod val="75000"/>
              </a:schemeClr>
            </a:solidFill>
          </c:spPr>
          <c:invertIfNegative val="0"/>
          <c:val>
            <c:numRef>
              <c:f>'05_disagreg innovatin index'!$C$5:$K$5</c:f>
              <c:numCache>
                <c:formatCode>0.000</c:formatCode>
                <c:ptCount val="9"/>
                <c:pt idx="0">
                  <c:v>0.59909146637092625</c:v>
                </c:pt>
                <c:pt idx="1">
                  <c:v>0.61389225759813515</c:v>
                </c:pt>
                <c:pt idx="2">
                  <c:v>0.5421087763990845</c:v>
                </c:pt>
                <c:pt idx="3">
                  <c:v>0.48242594896263336</c:v>
                </c:pt>
                <c:pt idx="4">
                  <c:v>0.49264759993981044</c:v>
                </c:pt>
                <c:pt idx="5">
                  <c:v>0.77430857117599639</c:v>
                </c:pt>
                <c:pt idx="6">
                  <c:v>0.8103950768845245</c:v>
                </c:pt>
                <c:pt idx="7">
                  <c:v>0.55856362820941141</c:v>
                </c:pt>
                <c:pt idx="8">
                  <c:v>0.46378791075645748</c:v>
                </c:pt>
              </c:numCache>
            </c:numRef>
          </c:val>
        </c:ser>
        <c:ser>
          <c:idx val="1"/>
          <c:order val="2"/>
          <c:tx>
            <c:strRef>
              <c:f>'05_disagreg innovatin index'!$B$3</c:f>
              <c:strCache>
                <c:ptCount val="1"/>
                <c:pt idx="0">
                  <c:v>EU</c:v>
                </c:pt>
              </c:strCache>
            </c:strRef>
          </c:tx>
          <c:spPr>
            <a:solidFill>
              <a:schemeClr val="tx2">
                <a:lumMod val="40000"/>
                <a:lumOff val="60000"/>
              </a:schemeClr>
            </a:solidFill>
          </c:spPr>
          <c:invertIfNegative val="0"/>
          <c:cat>
            <c:strRef>
              <c:f>'05_disagreg innovatin index'!$C$1:$K$1</c:f>
              <c:strCache>
                <c:ptCount val="9"/>
                <c:pt idx="0">
                  <c:v>SII</c:v>
                </c:pt>
                <c:pt idx="1">
                  <c:v>Human resources</c:v>
                </c:pt>
                <c:pt idx="2">
                  <c:v>Research systems</c:v>
                </c:pt>
                <c:pt idx="3">
                  <c:v>Finance and support</c:v>
                </c:pt>
                <c:pt idx="4">
                  <c:v>Firm investments</c:v>
                </c:pt>
                <c:pt idx="5">
                  <c:v>Linkages &amp; entrepreneurship</c:v>
                </c:pt>
                <c:pt idx="6">
                  <c:v>Intellectual assets</c:v>
                </c:pt>
                <c:pt idx="7">
                  <c:v>Innovators</c:v>
                </c:pt>
                <c:pt idx="8">
                  <c:v>Economic effects</c:v>
                </c:pt>
              </c:strCache>
            </c:strRef>
          </c:cat>
          <c:val>
            <c:numRef>
              <c:f>'05_disagreg innovatin index'!$C$3:$K$3</c:f>
              <c:numCache>
                <c:formatCode>0.000</c:formatCode>
                <c:ptCount val="9"/>
                <c:pt idx="0">
                  <c:v>0.55386229818231447</c:v>
                </c:pt>
                <c:pt idx="1">
                  <c:v>0.58285272196293658</c:v>
                </c:pt>
                <c:pt idx="2">
                  <c:v>0.5389799349842096</c:v>
                </c:pt>
                <c:pt idx="3">
                  <c:v>0.55834949113140819</c:v>
                </c:pt>
                <c:pt idx="4">
                  <c:v>0.41697074612883084</c:v>
                </c:pt>
                <c:pt idx="5">
                  <c:v>0.54996841304106747</c:v>
                </c:pt>
                <c:pt idx="6">
                  <c:v>0.56412743031259505</c:v>
                </c:pt>
                <c:pt idx="7">
                  <c:v>0.5492499478517191</c:v>
                </c:pt>
                <c:pt idx="8">
                  <c:v>0.59525084105344173</c:v>
                </c:pt>
              </c:numCache>
            </c:numRef>
          </c:val>
        </c:ser>
        <c:dLbls>
          <c:showLegendKey val="0"/>
          <c:showVal val="0"/>
          <c:showCatName val="0"/>
          <c:showSerName val="0"/>
          <c:showPercent val="0"/>
          <c:showBubbleSize val="0"/>
        </c:dLbls>
        <c:gapWidth val="150"/>
        <c:axId val="41145472"/>
        <c:axId val="41147008"/>
      </c:barChart>
      <c:catAx>
        <c:axId val="41145472"/>
        <c:scaling>
          <c:orientation val="minMax"/>
        </c:scaling>
        <c:delete val="0"/>
        <c:axPos val="b"/>
        <c:majorTickMark val="out"/>
        <c:minorTickMark val="none"/>
        <c:tickLblPos val="nextTo"/>
        <c:txPr>
          <a:bodyPr/>
          <a:lstStyle/>
          <a:p>
            <a:pPr>
              <a:defRPr sz="600"/>
            </a:pPr>
            <a:endParaRPr lang="cs-CZ"/>
          </a:p>
        </c:txPr>
        <c:crossAx val="41147008"/>
        <c:crosses val="autoZero"/>
        <c:auto val="1"/>
        <c:lblAlgn val="ctr"/>
        <c:lblOffset val="100"/>
        <c:noMultiLvlLbl val="0"/>
      </c:catAx>
      <c:valAx>
        <c:axId val="41147008"/>
        <c:scaling>
          <c:orientation val="minMax"/>
        </c:scaling>
        <c:delete val="0"/>
        <c:axPos val="l"/>
        <c:majorGridlines/>
        <c:numFmt formatCode="0.000" sourceLinked="1"/>
        <c:majorTickMark val="out"/>
        <c:minorTickMark val="none"/>
        <c:tickLblPos val="nextTo"/>
        <c:txPr>
          <a:bodyPr/>
          <a:lstStyle/>
          <a:p>
            <a:pPr>
              <a:defRPr sz="700"/>
            </a:pPr>
            <a:endParaRPr lang="cs-CZ"/>
          </a:p>
        </c:txPr>
        <c:crossAx val="41145472"/>
        <c:crosses val="autoZero"/>
        <c:crossBetween val="between"/>
      </c:valAx>
    </c:plotArea>
    <c:legend>
      <c:legendPos val="t"/>
      <c:layout/>
      <c:overlay val="0"/>
    </c:legend>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4975454663911692"/>
          <c:y val="4.7717442477306707E-2"/>
          <c:w val="0.45323631717602103"/>
          <c:h val="0.88475993772177541"/>
        </c:manualLayout>
      </c:layout>
      <c:barChart>
        <c:barDir val="bar"/>
        <c:grouping val="clustered"/>
        <c:varyColors val="0"/>
        <c:ser>
          <c:idx val="5"/>
          <c:order val="0"/>
          <c:tx>
            <c:strRef>
              <c:f>'03_CZ vs AT'!$C$1</c:f>
              <c:strCache>
                <c:ptCount val="1"/>
                <c:pt idx="0">
                  <c:v>CZ</c:v>
                </c:pt>
              </c:strCache>
            </c:strRef>
          </c:tx>
          <c:spPr>
            <a:solidFill>
              <a:srgbClr val="C00000"/>
            </a:solidFill>
          </c:spPr>
          <c:invertIfNegative val="0"/>
          <c:cat>
            <c:strRef>
              <c:f>'03_CZ vs AT'!$A$2:$A$37</c:f>
              <c:strCache>
                <c:ptCount val="36"/>
                <c:pt idx="0">
                  <c:v>ENABLERS</c:v>
                </c:pt>
                <c:pt idx="1">
                  <c:v>Human resources</c:v>
                </c:pt>
                <c:pt idx="2">
                  <c:v>1.1.1 New doctorate graduates</c:v>
                </c:pt>
                <c:pt idx="3">
                  <c:v>1.1.2 Population completed tertiary education</c:v>
                </c:pt>
                <c:pt idx="4">
                  <c:v>1.1.3 Youth with upper secondary level education</c:v>
                </c:pt>
                <c:pt idx="5">
                  <c:v>Open, excellent and attractive research systems</c:v>
                </c:pt>
                <c:pt idx="6">
                  <c:v>1.2.1 International scientific co-publications</c:v>
                </c:pt>
                <c:pt idx="7">
                  <c:v>1.2.2 Scientific publications among top 10% most cited</c:v>
                </c:pt>
                <c:pt idx="8">
                  <c:v>1.2.3 Non-EU doctorate students</c:v>
                </c:pt>
                <c:pt idx="9">
                  <c:v>Finance and support</c:v>
                </c:pt>
                <c:pt idx="10">
                  <c:v>1.3.1 Public R&amp;D expenditure</c:v>
                </c:pt>
                <c:pt idx="11">
                  <c:v>1.3.2 Venture capital</c:v>
                </c:pt>
                <c:pt idx="12">
                  <c:v>FIRM ACTIVITIES</c:v>
                </c:pt>
                <c:pt idx="13">
                  <c:v>Firm investments</c:v>
                </c:pt>
                <c:pt idx="14">
                  <c:v>2.1.1 Business R&amp;D expenditure</c:v>
                </c:pt>
                <c:pt idx="15">
                  <c:v>2.1.2 Non-R&amp;D innovation expenditure</c:v>
                </c:pt>
                <c:pt idx="16">
                  <c:v>Linkages &amp; entrepreneurship</c:v>
                </c:pt>
                <c:pt idx="17">
                  <c:v>2.2.1 SMEs innovating in-house</c:v>
                </c:pt>
                <c:pt idx="18">
                  <c:v>2.2.2 Innovative SMEs collaborating with others</c:v>
                </c:pt>
                <c:pt idx="19">
                  <c:v>2.2.3 Public-private co-publications</c:v>
                </c:pt>
                <c:pt idx="20">
                  <c:v>Intellectual Assets</c:v>
                </c:pt>
                <c:pt idx="21">
                  <c:v>2.3.1 PCT patent applications</c:v>
                </c:pt>
                <c:pt idx="22">
                  <c:v>2.3.2 PCT patent applications in societal challenges</c:v>
                </c:pt>
                <c:pt idx="23">
                  <c:v>2.3.3 Community trademarks</c:v>
                </c:pt>
                <c:pt idx="24">
                  <c:v>2.3.4 Community designs</c:v>
                </c:pt>
                <c:pt idx="25">
                  <c:v>OUTPUTS</c:v>
                </c:pt>
                <c:pt idx="26">
                  <c:v>Innovators</c:v>
                </c:pt>
                <c:pt idx="27">
                  <c:v>3.1.1 SMEs introducing product or process innovations</c:v>
                </c:pt>
                <c:pt idx="28">
                  <c:v>3.1.2 SMEs introducing marketing/organisational innovations</c:v>
                </c:pt>
                <c:pt idx="29">
                  <c:v>3.1.3 Employment fast-growing firms of innovative sectors</c:v>
                </c:pt>
                <c:pt idx="30">
                  <c:v>Economic effects</c:v>
                </c:pt>
                <c:pt idx="31">
                  <c:v>3.2.1 Employment in knowledge-intensive activities</c:v>
                </c:pt>
                <c:pt idx="32">
                  <c:v>3.2.2 Contribution of MHT product exports to trade balance</c:v>
                </c:pt>
                <c:pt idx="33">
                  <c:v>3.2.3 Knowledge-intensive services exports</c:v>
                </c:pt>
                <c:pt idx="34">
                  <c:v>3.2.4 Sales of new to market and new to firm innovations</c:v>
                </c:pt>
                <c:pt idx="35">
                  <c:v>3.2.5 Licence and patent revenues from abroad</c:v>
                </c:pt>
              </c:strCache>
            </c:strRef>
          </c:cat>
          <c:val>
            <c:numRef>
              <c:f>'03_CZ vs AT'!$G$2:$G$37</c:f>
              <c:numCache>
                <c:formatCode>General</c:formatCode>
                <c:ptCount val="36"/>
                <c:pt idx="2" formatCode="0.00">
                  <c:v>88.235294117647058</c:v>
                </c:pt>
                <c:pt idx="3" formatCode="0.00">
                  <c:v>71.508379888268166</c:v>
                </c:pt>
                <c:pt idx="4" formatCode="0.00">
                  <c:v>113.34164588528679</c:v>
                </c:pt>
                <c:pt idx="6" formatCode="0.00">
                  <c:v>165.38300255235603</c:v>
                </c:pt>
                <c:pt idx="7" formatCode="0.00">
                  <c:v>51.232876712328782</c:v>
                </c:pt>
                <c:pt idx="8" formatCode="0.00">
                  <c:v>17.033961031261153</c:v>
                </c:pt>
                <c:pt idx="10" formatCode="0.00">
                  <c:v>115.99999999999999</c:v>
                </c:pt>
                <c:pt idx="11" formatCode="0.00">
                  <c:v>20.32944764110723</c:v>
                </c:pt>
                <c:pt idx="14" formatCode="0.00">
                  <c:v>77.099236641221367</c:v>
                </c:pt>
                <c:pt idx="15" formatCode="0.00">
                  <c:v>121.99994780193759</c:v>
                </c:pt>
                <c:pt idx="17" formatCode="0.00">
                  <c:v>85.505594092228549</c:v>
                </c:pt>
                <c:pt idx="18" formatCode="0.00">
                  <c:v>87.706920133275418</c:v>
                </c:pt>
                <c:pt idx="19" formatCode="0.00">
                  <c:v>79.914198459975822</c:v>
                </c:pt>
                <c:pt idx="21" formatCode="0.00">
                  <c:v>42.26356600267102</c:v>
                </c:pt>
                <c:pt idx="22" formatCode="0.00">
                  <c:v>41.821375194564894</c:v>
                </c:pt>
                <c:pt idx="23" formatCode="0.00">
                  <c:v>65.852294094158381</c:v>
                </c:pt>
                <c:pt idx="24" formatCode="0.00">
                  <c:v>85.961738814793804</c:v>
                </c:pt>
                <c:pt idx="27" formatCode="0.00">
                  <c:v>85.877820772923045</c:v>
                </c:pt>
                <c:pt idx="28" formatCode="0.00">
                  <c:v>102.02189716793735</c:v>
                </c:pt>
                <c:pt idx="29" formatCode="0.00">
                  <c:v>96.296296296296305</c:v>
                </c:pt>
                <c:pt idx="31" formatCode="0.00">
                  <c:v>89.928057553956833</c:v>
                </c:pt>
                <c:pt idx="32" formatCode="0.00">
                  <c:v>299.09722835268099</c:v>
                </c:pt>
                <c:pt idx="33" formatCode="0.00">
                  <c:v>64.440890099442399</c:v>
                </c:pt>
                <c:pt idx="34" formatCode="0.00">
                  <c:v>106.13061608416312</c:v>
                </c:pt>
                <c:pt idx="35" formatCode="0.00">
                  <c:v>41.707755196405827</c:v>
                </c:pt>
              </c:numCache>
            </c:numRef>
          </c:val>
        </c:ser>
        <c:ser>
          <c:idx val="6"/>
          <c:order val="1"/>
          <c:tx>
            <c:strRef>
              <c:f>'03_CZ vs AT'!$D$1</c:f>
              <c:strCache>
                <c:ptCount val="1"/>
                <c:pt idx="0">
                  <c:v>AT</c:v>
                </c:pt>
              </c:strCache>
            </c:strRef>
          </c:tx>
          <c:spPr>
            <a:solidFill>
              <a:schemeClr val="accent1">
                <a:lumMod val="75000"/>
              </a:schemeClr>
            </a:solidFill>
          </c:spPr>
          <c:invertIfNegative val="0"/>
          <c:cat>
            <c:strRef>
              <c:f>'03_CZ vs AT'!$A$2:$A$37</c:f>
              <c:strCache>
                <c:ptCount val="36"/>
                <c:pt idx="0">
                  <c:v>ENABLERS</c:v>
                </c:pt>
                <c:pt idx="1">
                  <c:v>Human resources</c:v>
                </c:pt>
                <c:pt idx="2">
                  <c:v>1.1.1 New doctorate graduates</c:v>
                </c:pt>
                <c:pt idx="3">
                  <c:v>1.1.2 Population completed tertiary education</c:v>
                </c:pt>
                <c:pt idx="4">
                  <c:v>1.1.3 Youth with upper secondary level education</c:v>
                </c:pt>
                <c:pt idx="5">
                  <c:v>Open, excellent and attractive research systems</c:v>
                </c:pt>
                <c:pt idx="6">
                  <c:v>1.2.1 International scientific co-publications</c:v>
                </c:pt>
                <c:pt idx="7">
                  <c:v>1.2.2 Scientific publications among top 10% most cited</c:v>
                </c:pt>
                <c:pt idx="8">
                  <c:v>1.2.3 Non-EU doctorate students</c:v>
                </c:pt>
                <c:pt idx="9">
                  <c:v>Finance and support</c:v>
                </c:pt>
                <c:pt idx="10">
                  <c:v>1.3.1 Public R&amp;D expenditure</c:v>
                </c:pt>
                <c:pt idx="11">
                  <c:v>1.3.2 Venture capital</c:v>
                </c:pt>
                <c:pt idx="12">
                  <c:v>FIRM ACTIVITIES</c:v>
                </c:pt>
                <c:pt idx="13">
                  <c:v>Firm investments</c:v>
                </c:pt>
                <c:pt idx="14">
                  <c:v>2.1.1 Business R&amp;D expenditure</c:v>
                </c:pt>
                <c:pt idx="15">
                  <c:v>2.1.2 Non-R&amp;D innovation expenditure</c:v>
                </c:pt>
                <c:pt idx="16">
                  <c:v>Linkages &amp; entrepreneurship</c:v>
                </c:pt>
                <c:pt idx="17">
                  <c:v>2.2.1 SMEs innovating in-house</c:v>
                </c:pt>
                <c:pt idx="18">
                  <c:v>2.2.2 Innovative SMEs collaborating with others</c:v>
                </c:pt>
                <c:pt idx="19">
                  <c:v>2.2.3 Public-private co-publications</c:v>
                </c:pt>
                <c:pt idx="20">
                  <c:v>Intellectual Assets</c:v>
                </c:pt>
                <c:pt idx="21">
                  <c:v>2.3.1 PCT patent applications</c:v>
                </c:pt>
                <c:pt idx="22">
                  <c:v>2.3.2 PCT patent applications in societal challenges</c:v>
                </c:pt>
                <c:pt idx="23">
                  <c:v>2.3.3 Community trademarks</c:v>
                </c:pt>
                <c:pt idx="24">
                  <c:v>2.3.4 Community designs</c:v>
                </c:pt>
                <c:pt idx="25">
                  <c:v>OUTPUTS</c:v>
                </c:pt>
                <c:pt idx="26">
                  <c:v>Innovators</c:v>
                </c:pt>
                <c:pt idx="27">
                  <c:v>3.1.1 SMEs introducing product or process innovations</c:v>
                </c:pt>
                <c:pt idx="28">
                  <c:v>3.1.2 SMEs introducing marketing/organisational innovations</c:v>
                </c:pt>
                <c:pt idx="29">
                  <c:v>3.1.3 Employment fast-growing firms of innovative sectors</c:v>
                </c:pt>
                <c:pt idx="30">
                  <c:v>Economic effects</c:v>
                </c:pt>
                <c:pt idx="31">
                  <c:v>3.2.1 Employment in knowledge-intensive activities</c:v>
                </c:pt>
                <c:pt idx="32">
                  <c:v>3.2.2 Contribution of MHT product exports to trade balance</c:v>
                </c:pt>
                <c:pt idx="33">
                  <c:v>3.2.3 Knowledge-intensive services exports</c:v>
                </c:pt>
                <c:pt idx="34">
                  <c:v>3.2.4 Sales of new to market and new to firm innovations</c:v>
                </c:pt>
                <c:pt idx="35">
                  <c:v>3.2.5 Licence and patent revenues from abroad</c:v>
                </c:pt>
              </c:strCache>
            </c:strRef>
          </c:cat>
          <c:val>
            <c:numRef>
              <c:f>'03_CZ vs AT'!$H$2:$H$37</c:f>
              <c:numCache>
                <c:formatCode>General</c:formatCode>
                <c:ptCount val="36"/>
                <c:pt idx="2" formatCode="0.00">
                  <c:v>129.41176470588235</c:v>
                </c:pt>
                <c:pt idx="3" formatCode="0.00">
                  <c:v>73.463687150837998</c:v>
                </c:pt>
                <c:pt idx="4" formatCode="0.00">
                  <c:v>107.98004987531171</c:v>
                </c:pt>
                <c:pt idx="6" formatCode="0.00">
                  <c:v>363.6408657376208</c:v>
                </c:pt>
                <c:pt idx="7" formatCode="0.00">
                  <c:v>101.09589041095892</c:v>
                </c:pt>
                <c:pt idx="8" formatCode="0.00">
                  <c:v>35.580907635135425</c:v>
                </c:pt>
                <c:pt idx="10" formatCode="0.00">
                  <c:v>117.33333333333333</c:v>
                </c:pt>
                <c:pt idx="11" formatCode="0.00">
                  <c:v>48.302027888479465</c:v>
                </c:pt>
                <c:pt idx="14" formatCode="0.00">
                  <c:v>148.85496183206106</c:v>
                </c:pt>
                <c:pt idx="15" formatCode="0.00">
                  <c:v>62.774827111266127</c:v>
                </c:pt>
                <c:pt idx="17" formatCode="0.00">
                  <c:v>114.2007727112849</c:v>
                </c:pt>
                <c:pt idx="18" formatCode="0.00">
                  <c:v>175.47654511261138</c:v>
                </c:pt>
                <c:pt idx="19" formatCode="0.00">
                  <c:v>127.88456748874471</c:v>
                </c:pt>
                <c:pt idx="21" formatCode="0.00">
                  <c:v>115.91150463153097</c:v>
                </c:pt>
                <c:pt idx="22" formatCode="0.00">
                  <c:v>118.97382097250745</c:v>
                </c:pt>
                <c:pt idx="23" formatCode="0.00">
                  <c:v>169.22713320682647</c:v>
                </c:pt>
                <c:pt idx="24" formatCode="0.00">
                  <c:v>176.70316162541926</c:v>
                </c:pt>
                <c:pt idx="27" formatCode="0.00">
                  <c:v>109.76283630494845</c:v>
                </c:pt>
                <c:pt idx="28" formatCode="0.00">
                  <c:v>105.02124050024501</c:v>
                </c:pt>
                <c:pt idx="29" formatCode="0.00">
                  <c:v>94.444444444444457</c:v>
                </c:pt>
                <c:pt idx="31" formatCode="0.00">
                  <c:v>102.15827338129495</c:v>
                </c:pt>
                <c:pt idx="32" formatCode="0.00">
                  <c:v>280.33337123726739</c:v>
                </c:pt>
                <c:pt idx="33" formatCode="0.00">
                  <c:v>52.595551633849134</c:v>
                </c:pt>
                <c:pt idx="34" formatCode="0.00">
                  <c:v>82.931308662242529</c:v>
                </c:pt>
                <c:pt idx="35" formatCode="0.00">
                  <c:v>59.202141588570314</c:v>
                </c:pt>
              </c:numCache>
            </c:numRef>
          </c:val>
        </c:ser>
        <c:dLbls>
          <c:showLegendKey val="0"/>
          <c:showVal val="0"/>
          <c:showCatName val="0"/>
          <c:showSerName val="0"/>
          <c:showPercent val="0"/>
          <c:showBubbleSize val="0"/>
        </c:dLbls>
        <c:gapWidth val="150"/>
        <c:axId val="41504128"/>
        <c:axId val="41538688"/>
      </c:barChart>
      <c:catAx>
        <c:axId val="41504128"/>
        <c:scaling>
          <c:orientation val="maxMin"/>
        </c:scaling>
        <c:delete val="0"/>
        <c:axPos val="l"/>
        <c:majorTickMark val="out"/>
        <c:minorTickMark val="none"/>
        <c:tickLblPos val="nextTo"/>
        <c:crossAx val="41538688"/>
        <c:crosses val="autoZero"/>
        <c:auto val="1"/>
        <c:lblAlgn val="ctr"/>
        <c:lblOffset val="100"/>
        <c:noMultiLvlLbl val="0"/>
      </c:catAx>
      <c:valAx>
        <c:axId val="41538688"/>
        <c:scaling>
          <c:orientation val="minMax"/>
        </c:scaling>
        <c:delete val="0"/>
        <c:axPos val="t"/>
        <c:majorGridlines/>
        <c:numFmt formatCode="General" sourceLinked="1"/>
        <c:majorTickMark val="out"/>
        <c:minorTickMark val="none"/>
        <c:tickLblPos val="nextTo"/>
        <c:crossAx val="41504128"/>
        <c:crosses val="autoZero"/>
        <c:crossBetween val="between"/>
      </c:valAx>
    </c:plotArea>
    <c:legend>
      <c:legendPos val="b"/>
      <c:layout/>
      <c:overlay val="0"/>
    </c:legend>
    <c:plotVisOnly val="1"/>
    <c:dispBlanksAs val="gap"/>
    <c:showDLblsOverMax val="0"/>
  </c:chart>
  <c:txPr>
    <a:bodyPr/>
    <a:lstStyle/>
    <a:p>
      <a:pPr>
        <a:defRPr sz="700"/>
      </a:pPr>
      <a:endParaRPr lang="cs-CZ"/>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tx>
            <c:strRef>
              <c:f>'04_growth performance'!$B$1</c:f>
              <c:strCache>
                <c:ptCount val="1"/>
                <c:pt idx="0">
                  <c:v>CZ</c:v>
                </c:pt>
              </c:strCache>
            </c:strRef>
          </c:tx>
          <c:spPr>
            <a:solidFill>
              <a:srgbClr val="C00000"/>
            </a:solidFill>
          </c:spPr>
          <c:invertIfNegative val="0"/>
          <c:cat>
            <c:strRef>
              <c:f>'04_growth performance'!$A$2:$A$37</c:f>
              <c:strCache>
                <c:ptCount val="36"/>
                <c:pt idx="0">
                  <c:v>ENABLERS</c:v>
                </c:pt>
                <c:pt idx="1">
                  <c:v>Human resources</c:v>
                </c:pt>
                <c:pt idx="2">
                  <c:v>1.1.1 New doctorate graduates</c:v>
                </c:pt>
                <c:pt idx="3">
                  <c:v>1.1.2 Population completed tertiary education</c:v>
                </c:pt>
                <c:pt idx="4">
                  <c:v>1.1.3 Youth with upper secondary level education</c:v>
                </c:pt>
                <c:pt idx="5">
                  <c:v>Open, excellent and attractive research systems</c:v>
                </c:pt>
                <c:pt idx="6">
                  <c:v>1.2.1 International scientific co-publications</c:v>
                </c:pt>
                <c:pt idx="7">
                  <c:v>1.2.2 Scientific publications among top 10% most cited</c:v>
                </c:pt>
                <c:pt idx="8">
                  <c:v>1.2.3 Non-EU doctorate students</c:v>
                </c:pt>
                <c:pt idx="9">
                  <c:v>Finance and support</c:v>
                </c:pt>
                <c:pt idx="10">
                  <c:v>1.3.1 Public R&amp;D expenditure</c:v>
                </c:pt>
                <c:pt idx="11">
                  <c:v>1.3.2 Venture capital</c:v>
                </c:pt>
                <c:pt idx="12">
                  <c:v>FIRM ACTIVITIES</c:v>
                </c:pt>
                <c:pt idx="13">
                  <c:v>Firm investments</c:v>
                </c:pt>
                <c:pt idx="14">
                  <c:v>2.1.1 Business R&amp;D expenditure</c:v>
                </c:pt>
                <c:pt idx="15">
                  <c:v>2.1.2 Non-R&amp;D innovation expenditure</c:v>
                </c:pt>
                <c:pt idx="16">
                  <c:v>Linkages &amp; entrepreneurship</c:v>
                </c:pt>
                <c:pt idx="17">
                  <c:v>2.2.1 SMEs innovating in-house</c:v>
                </c:pt>
                <c:pt idx="18">
                  <c:v>2.2.2 Innovative SMEs collaborating with others</c:v>
                </c:pt>
                <c:pt idx="19">
                  <c:v>2.2.3 Public-private co-publications</c:v>
                </c:pt>
                <c:pt idx="20">
                  <c:v>Intellectual Assets</c:v>
                </c:pt>
                <c:pt idx="21">
                  <c:v>2.3.1 PCT patent applications</c:v>
                </c:pt>
                <c:pt idx="22">
                  <c:v>2.3.2 PCT patent applications in societal challenges</c:v>
                </c:pt>
                <c:pt idx="23">
                  <c:v>2.3.3 Community trademarks</c:v>
                </c:pt>
                <c:pt idx="24">
                  <c:v>2.3.4 Community designs</c:v>
                </c:pt>
                <c:pt idx="25">
                  <c:v>OUTPUTS</c:v>
                </c:pt>
                <c:pt idx="26">
                  <c:v>Innovators</c:v>
                </c:pt>
                <c:pt idx="27">
                  <c:v>3.1.1 SMEs introducing product or process innovations</c:v>
                </c:pt>
                <c:pt idx="28">
                  <c:v>3.1.2 SMEs introducing marketing/organisational innovations</c:v>
                </c:pt>
                <c:pt idx="29">
                  <c:v>3.1.3 Employment fast-growing firms of innovative sectors</c:v>
                </c:pt>
                <c:pt idx="30">
                  <c:v>Economic effects</c:v>
                </c:pt>
                <c:pt idx="31">
                  <c:v>3.2.1 Employment in knowledge-intensive activities</c:v>
                </c:pt>
                <c:pt idx="32">
                  <c:v>3.2.2 Contribution of MHT product exports to trade balance</c:v>
                </c:pt>
                <c:pt idx="33">
                  <c:v>3.2.3 Knowledge-intensive services exports</c:v>
                </c:pt>
                <c:pt idx="34">
                  <c:v>3.2.4 Sales of new to market and new to firm innovations</c:v>
                </c:pt>
                <c:pt idx="35">
                  <c:v>3.2.5 Licence and patent revenues from abroad</c:v>
                </c:pt>
              </c:strCache>
            </c:strRef>
          </c:cat>
          <c:val>
            <c:numRef>
              <c:f>'04_growth performance'!$B$2:$B$37</c:f>
              <c:numCache>
                <c:formatCode>General</c:formatCode>
                <c:ptCount val="36"/>
                <c:pt idx="2" formatCode="0.0%">
                  <c:v>5.9634022667048425E-2</c:v>
                </c:pt>
                <c:pt idx="3" formatCode="0.0%">
                  <c:v>0.10164678987960274</c:v>
                </c:pt>
                <c:pt idx="4" formatCode="0.0%">
                  <c:v>-4.7058865224613999E-4</c:v>
                </c:pt>
                <c:pt idx="6" formatCode="0.0%">
                  <c:v>7.1127645533006989E-2</c:v>
                </c:pt>
                <c:pt idx="7" formatCode="0.0%">
                  <c:v>4.4724621262213216E-2</c:v>
                </c:pt>
                <c:pt idx="8" formatCode="0.0%">
                  <c:v>-7.4129850101172234E-2</c:v>
                </c:pt>
                <c:pt idx="10" formatCode="0.0%">
                  <c:v>8.5469427817781662E-2</c:v>
                </c:pt>
                <c:pt idx="11" formatCode="0.0%">
                  <c:v>-0.12008548966897314</c:v>
                </c:pt>
                <c:pt idx="14" formatCode="0.0%">
                  <c:v>4.7472535806971417E-2</c:v>
                </c:pt>
                <c:pt idx="15" formatCode="0.0%">
                  <c:v>-9.7086068848311058E-2</c:v>
                </c:pt>
                <c:pt idx="17" formatCode="0.0%">
                  <c:v>-2.1716344705943413E-2</c:v>
                </c:pt>
                <c:pt idx="18" formatCode="0.0%">
                  <c:v>-3.2726708602907273E-2</c:v>
                </c:pt>
                <c:pt idx="19" formatCode="0.0%">
                  <c:v>1.9474341852294685E-2</c:v>
                </c:pt>
                <c:pt idx="21" formatCode="0.0%">
                  <c:v>-2.1431804805981391E-3</c:v>
                </c:pt>
                <c:pt idx="22" formatCode="0.0%">
                  <c:v>-1.5345335365382629E-2</c:v>
                </c:pt>
                <c:pt idx="23" formatCode="0.0%">
                  <c:v>0.15765956838137085</c:v>
                </c:pt>
                <c:pt idx="24" formatCode="0.0%">
                  <c:v>0.16361524200961286</c:v>
                </c:pt>
                <c:pt idx="27" formatCode="0.0%">
                  <c:v>-1.0305890249197036E-2</c:v>
                </c:pt>
                <c:pt idx="28" formatCode="0.0%">
                  <c:v>7.3928542153374188E-3</c:v>
                </c:pt>
                <c:pt idx="29" formatCode="0.0%">
                  <c:v>3.7176772540985503E-3</c:v>
                </c:pt>
                <c:pt idx="31" formatCode="0.0%">
                  <c:v>1.5811538147683546E-2</c:v>
                </c:pt>
                <c:pt idx="32" formatCode="0.0%">
                  <c:v>1.0662398546548157E-3</c:v>
                </c:pt>
                <c:pt idx="33" formatCode="0.0%">
                  <c:v>4.9615339098451283E-2</c:v>
                </c:pt>
                <c:pt idx="34" formatCode="0.0%">
                  <c:v>-2.2079811461214183E-3</c:v>
                </c:pt>
                <c:pt idx="35" formatCode="0.0%">
                  <c:v>8.9193355925279549E-2</c:v>
                </c:pt>
              </c:numCache>
            </c:numRef>
          </c:val>
        </c:ser>
        <c:ser>
          <c:idx val="1"/>
          <c:order val="1"/>
          <c:tx>
            <c:strRef>
              <c:f>'04_growth performance'!$C$1</c:f>
              <c:strCache>
                <c:ptCount val="1"/>
                <c:pt idx="0">
                  <c:v>AT</c:v>
                </c:pt>
              </c:strCache>
            </c:strRef>
          </c:tx>
          <c:spPr>
            <a:solidFill>
              <a:srgbClr val="002060"/>
            </a:solidFill>
          </c:spPr>
          <c:invertIfNegative val="0"/>
          <c:cat>
            <c:strRef>
              <c:f>'04_growth performance'!$A$2:$A$37</c:f>
              <c:strCache>
                <c:ptCount val="36"/>
                <c:pt idx="0">
                  <c:v>ENABLERS</c:v>
                </c:pt>
                <c:pt idx="1">
                  <c:v>Human resources</c:v>
                </c:pt>
                <c:pt idx="2">
                  <c:v>1.1.1 New doctorate graduates</c:v>
                </c:pt>
                <c:pt idx="3">
                  <c:v>1.1.2 Population completed tertiary education</c:v>
                </c:pt>
                <c:pt idx="4">
                  <c:v>1.1.3 Youth with upper secondary level education</c:v>
                </c:pt>
                <c:pt idx="5">
                  <c:v>Open, excellent and attractive research systems</c:v>
                </c:pt>
                <c:pt idx="6">
                  <c:v>1.2.1 International scientific co-publications</c:v>
                </c:pt>
                <c:pt idx="7">
                  <c:v>1.2.2 Scientific publications among top 10% most cited</c:v>
                </c:pt>
                <c:pt idx="8">
                  <c:v>1.2.3 Non-EU doctorate students</c:v>
                </c:pt>
                <c:pt idx="9">
                  <c:v>Finance and support</c:v>
                </c:pt>
                <c:pt idx="10">
                  <c:v>1.3.1 Public R&amp;D expenditure</c:v>
                </c:pt>
                <c:pt idx="11">
                  <c:v>1.3.2 Venture capital</c:v>
                </c:pt>
                <c:pt idx="12">
                  <c:v>FIRM ACTIVITIES</c:v>
                </c:pt>
                <c:pt idx="13">
                  <c:v>Firm investments</c:v>
                </c:pt>
                <c:pt idx="14">
                  <c:v>2.1.1 Business R&amp;D expenditure</c:v>
                </c:pt>
                <c:pt idx="15">
                  <c:v>2.1.2 Non-R&amp;D innovation expenditure</c:v>
                </c:pt>
                <c:pt idx="16">
                  <c:v>Linkages &amp; entrepreneurship</c:v>
                </c:pt>
                <c:pt idx="17">
                  <c:v>2.2.1 SMEs innovating in-house</c:v>
                </c:pt>
                <c:pt idx="18">
                  <c:v>2.2.2 Innovative SMEs collaborating with others</c:v>
                </c:pt>
                <c:pt idx="19">
                  <c:v>2.2.3 Public-private co-publications</c:v>
                </c:pt>
                <c:pt idx="20">
                  <c:v>Intellectual Assets</c:v>
                </c:pt>
                <c:pt idx="21">
                  <c:v>2.3.1 PCT patent applications</c:v>
                </c:pt>
                <c:pt idx="22">
                  <c:v>2.3.2 PCT patent applications in societal challenges</c:v>
                </c:pt>
                <c:pt idx="23">
                  <c:v>2.3.3 Community trademarks</c:v>
                </c:pt>
                <c:pt idx="24">
                  <c:v>2.3.4 Community designs</c:v>
                </c:pt>
                <c:pt idx="25">
                  <c:v>OUTPUTS</c:v>
                </c:pt>
                <c:pt idx="26">
                  <c:v>Innovators</c:v>
                </c:pt>
                <c:pt idx="27">
                  <c:v>3.1.1 SMEs introducing product or process innovations</c:v>
                </c:pt>
                <c:pt idx="28">
                  <c:v>3.1.2 SMEs introducing marketing/organisational innovations</c:v>
                </c:pt>
                <c:pt idx="29">
                  <c:v>3.1.3 Employment fast-growing firms of innovative sectors</c:v>
                </c:pt>
                <c:pt idx="30">
                  <c:v>Economic effects</c:v>
                </c:pt>
                <c:pt idx="31">
                  <c:v>3.2.1 Employment in knowledge-intensive activities</c:v>
                </c:pt>
                <c:pt idx="32">
                  <c:v>3.2.2 Contribution of MHT product exports to trade balance</c:v>
                </c:pt>
                <c:pt idx="33">
                  <c:v>3.2.3 Knowledge-intensive services exports</c:v>
                </c:pt>
                <c:pt idx="34">
                  <c:v>3.2.4 Sales of new to market and new to firm innovations</c:v>
                </c:pt>
                <c:pt idx="35">
                  <c:v>3.2.5 Licence and patent revenues from abroad</c:v>
                </c:pt>
              </c:strCache>
            </c:strRef>
          </c:cat>
          <c:val>
            <c:numRef>
              <c:f>'04_growth performance'!$C$2:$C$37</c:f>
              <c:numCache>
                <c:formatCode>General</c:formatCode>
                <c:ptCount val="36"/>
                <c:pt idx="2" formatCode="0.0%">
                  <c:v>0</c:v>
                </c:pt>
                <c:pt idx="3" formatCode="0.0%">
                  <c:v>3.6232985028351594E-2</c:v>
                </c:pt>
                <c:pt idx="4" formatCode="0.0%">
                  <c:v>1.1600990489477603E-3</c:v>
                </c:pt>
                <c:pt idx="6" formatCode="0.0%">
                  <c:v>7.1452114023257796E-2</c:v>
                </c:pt>
                <c:pt idx="7" formatCode="0.0%">
                  <c:v>1.8603041579655644E-2</c:v>
                </c:pt>
                <c:pt idx="8" formatCode="0.0%">
                  <c:v>1.9863099441287835E-2</c:v>
                </c:pt>
                <c:pt idx="10" formatCode="0.0%">
                  <c:v>2.5062004585319597E-2</c:v>
                </c:pt>
                <c:pt idx="11" formatCode="0.0%">
                  <c:v>-1.8583327728198595E-2</c:v>
                </c:pt>
                <c:pt idx="14" formatCode="0.0%">
                  <c:v>1.8090992157675734E-2</c:v>
                </c:pt>
                <c:pt idx="15" formatCode="0.0%">
                  <c:v>-3.9775842522788429E-2</c:v>
                </c:pt>
                <c:pt idx="17" formatCode="0.0%">
                  <c:v>-2.1499023819557261E-2</c:v>
                </c:pt>
                <c:pt idx="18" formatCode="0.0%">
                  <c:v>1.850309500687497E-2</c:v>
                </c:pt>
                <c:pt idx="19" formatCode="0.0%">
                  <c:v>1.8471242980320657E-2</c:v>
                </c:pt>
                <c:pt idx="21" formatCode="0.0%">
                  <c:v>1.3168764052404969E-2</c:v>
                </c:pt>
                <c:pt idx="22" formatCode="0.0%">
                  <c:v>2.7602494827314139E-2</c:v>
                </c:pt>
                <c:pt idx="23" formatCode="0.0%">
                  <c:v>8.7666970524747256E-2</c:v>
                </c:pt>
                <c:pt idx="24" formatCode="0.0%">
                  <c:v>4.9175967541170484E-2</c:v>
                </c:pt>
                <c:pt idx="27" formatCode="0.0%">
                  <c:v>-2.2132253472258556E-2</c:v>
                </c:pt>
                <c:pt idx="28" formatCode="0.0%">
                  <c:v>-3.2296408104087848E-2</c:v>
                </c:pt>
                <c:pt idx="29" formatCode="0.0%">
                  <c:v>-1.8206139921639664E-2</c:v>
                </c:pt>
                <c:pt idx="31" formatCode="0.0%">
                  <c:v>4.0902526922368398E-3</c:v>
                </c:pt>
                <c:pt idx="32" formatCode="0.0%">
                  <c:v>2.7395472136573229E-3</c:v>
                </c:pt>
                <c:pt idx="33" formatCode="0.0%">
                  <c:v>3.0750610190559691E-2</c:v>
                </c:pt>
                <c:pt idx="34" formatCode="0.0%">
                  <c:v>1.687292875205082E-2</c:v>
                </c:pt>
                <c:pt idx="35" formatCode="0.0%">
                  <c:v>3.4150488963850201E-2</c:v>
                </c:pt>
              </c:numCache>
            </c:numRef>
          </c:val>
        </c:ser>
        <c:dLbls>
          <c:showLegendKey val="0"/>
          <c:showVal val="0"/>
          <c:showCatName val="0"/>
          <c:showSerName val="0"/>
          <c:showPercent val="0"/>
          <c:showBubbleSize val="0"/>
        </c:dLbls>
        <c:gapWidth val="150"/>
        <c:axId val="41829888"/>
        <c:axId val="41831424"/>
      </c:barChart>
      <c:catAx>
        <c:axId val="41829888"/>
        <c:scaling>
          <c:orientation val="maxMin"/>
        </c:scaling>
        <c:delete val="0"/>
        <c:axPos val="l"/>
        <c:majorTickMark val="out"/>
        <c:minorTickMark val="none"/>
        <c:tickLblPos val="low"/>
        <c:txPr>
          <a:bodyPr/>
          <a:lstStyle/>
          <a:p>
            <a:pPr>
              <a:defRPr sz="700"/>
            </a:pPr>
            <a:endParaRPr lang="cs-CZ"/>
          </a:p>
        </c:txPr>
        <c:crossAx val="41831424"/>
        <c:crosses val="autoZero"/>
        <c:auto val="1"/>
        <c:lblAlgn val="ctr"/>
        <c:lblOffset val="100"/>
        <c:noMultiLvlLbl val="0"/>
      </c:catAx>
      <c:valAx>
        <c:axId val="41831424"/>
        <c:scaling>
          <c:orientation val="minMax"/>
        </c:scaling>
        <c:delete val="0"/>
        <c:axPos val="t"/>
        <c:majorGridlines/>
        <c:numFmt formatCode="0%" sourceLinked="0"/>
        <c:majorTickMark val="out"/>
        <c:minorTickMark val="none"/>
        <c:tickLblPos val="nextTo"/>
        <c:crossAx val="41829888"/>
        <c:crosses val="autoZero"/>
        <c:crossBetween val="between"/>
      </c:valAx>
    </c:plotArea>
    <c:legend>
      <c:legendPos val="b"/>
      <c:layout/>
      <c:overlay val="0"/>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overlay val="0"/>
    </c:title>
    <c:autoTitleDeleted val="0"/>
    <c:plotArea>
      <c:layout/>
      <c:barChart>
        <c:barDir val="col"/>
        <c:grouping val="clustered"/>
        <c:varyColors val="0"/>
        <c:ser>
          <c:idx val="0"/>
          <c:order val="0"/>
          <c:tx>
            <c:strRef>
              <c:f>List2!$H$1</c:f>
              <c:strCache>
                <c:ptCount val="1"/>
                <c:pt idx="0">
                  <c:v>Summary Innovation Index 2012</c:v>
                </c:pt>
              </c:strCache>
            </c:strRef>
          </c:tx>
          <c:invertIfNegative val="0"/>
          <c:dPt>
            <c:idx val="0"/>
            <c:invertIfNegative val="0"/>
            <c:bubble3D val="0"/>
            <c:spPr>
              <a:solidFill>
                <a:schemeClr val="accent6">
                  <a:lumMod val="75000"/>
                </a:schemeClr>
              </a:solidFill>
            </c:spPr>
          </c:dPt>
          <c:dPt>
            <c:idx val="1"/>
            <c:invertIfNegative val="0"/>
            <c:bubble3D val="0"/>
            <c:spPr>
              <a:solidFill>
                <a:schemeClr val="accent6">
                  <a:lumMod val="75000"/>
                </a:schemeClr>
              </a:solidFill>
            </c:spPr>
          </c:dPt>
          <c:dPt>
            <c:idx val="2"/>
            <c:invertIfNegative val="0"/>
            <c:bubble3D val="0"/>
            <c:spPr>
              <a:solidFill>
                <a:schemeClr val="accent6">
                  <a:lumMod val="75000"/>
                </a:schemeClr>
              </a:solidFill>
              <a:ln>
                <a:solidFill>
                  <a:schemeClr val="accent6">
                    <a:lumMod val="75000"/>
                  </a:schemeClr>
                </a:solidFill>
              </a:ln>
            </c:spPr>
          </c:dPt>
          <c:dPt>
            <c:idx val="3"/>
            <c:invertIfNegative val="0"/>
            <c:bubble3D val="0"/>
            <c:spPr>
              <a:solidFill>
                <a:srgbClr val="FFFF00"/>
              </a:solidFill>
            </c:spPr>
          </c:dPt>
          <c:dPt>
            <c:idx val="4"/>
            <c:invertIfNegative val="0"/>
            <c:bubble3D val="0"/>
            <c:spPr>
              <a:solidFill>
                <a:srgbClr val="FFFF00"/>
              </a:solidFill>
            </c:spPr>
          </c:dPt>
          <c:dPt>
            <c:idx val="5"/>
            <c:invertIfNegative val="0"/>
            <c:bubble3D val="0"/>
            <c:spPr>
              <a:solidFill>
                <a:srgbClr val="FFFF00"/>
              </a:solidFill>
            </c:spPr>
          </c:dPt>
          <c:dPt>
            <c:idx val="6"/>
            <c:invertIfNegative val="0"/>
            <c:bubble3D val="0"/>
            <c:spPr>
              <a:solidFill>
                <a:srgbClr val="FFFF00"/>
              </a:solidFill>
            </c:spPr>
          </c:dPt>
          <c:dPt>
            <c:idx val="7"/>
            <c:invertIfNegative val="0"/>
            <c:bubble3D val="0"/>
            <c:spPr>
              <a:solidFill>
                <a:srgbClr val="FFFF00"/>
              </a:solidFill>
            </c:spPr>
          </c:dPt>
          <c:dPt>
            <c:idx val="8"/>
            <c:invertIfNegative val="0"/>
            <c:bubble3D val="0"/>
            <c:spPr>
              <a:solidFill>
                <a:srgbClr val="FFFF00"/>
              </a:solidFill>
            </c:spPr>
          </c:dPt>
          <c:dPt>
            <c:idx val="9"/>
            <c:invertIfNegative val="0"/>
            <c:bubble3D val="0"/>
            <c:spPr>
              <a:solidFill>
                <a:srgbClr val="FFFF00"/>
              </a:solidFill>
            </c:spPr>
          </c:dPt>
          <c:dPt>
            <c:idx val="10"/>
            <c:invertIfNegative val="0"/>
            <c:bubble3D val="0"/>
            <c:spPr>
              <a:solidFill>
                <a:srgbClr val="FFFF00"/>
              </a:solidFill>
            </c:spPr>
          </c:dPt>
          <c:dPt>
            <c:idx val="11"/>
            <c:invertIfNegative val="0"/>
            <c:bubble3D val="0"/>
            <c:spPr>
              <a:solidFill>
                <a:srgbClr val="FFFF00"/>
              </a:solidFill>
            </c:spPr>
          </c:dPt>
          <c:dPt>
            <c:idx val="12"/>
            <c:invertIfNegative val="0"/>
            <c:bubble3D val="0"/>
            <c:spPr>
              <a:solidFill>
                <a:srgbClr val="FFFF00"/>
              </a:solidFill>
            </c:spPr>
          </c:dPt>
          <c:dPt>
            <c:idx val="13"/>
            <c:invertIfNegative val="0"/>
            <c:bubble3D val="0"/>
            <c:spPr>
              <a:solidFill>
                <a:srgbClr val="FFFF00"/>
              </a:solidFill>
            </c:spPr>
          </c:dPt>
          <c:dPt>
            <c:idx val="14"/>
            <c:invertIfNegative val="0"/>
            <c:bubble3D val="0"/>
            <c:spPr>
              <a:solidFill>
                <a:srgbClr val="FFFF00"/>
              </a:solidFill>
            </c:spPr>
          </c:dPt>
          <c:dPt>
            <c:idx val="15"/>
            <c:invertIfNegative val="0"/>
            <c:bubble3D val="0"/>
            <c:spPr>
              <a:solidFill>
                <a:srgbClr val="FFFF00"/>
              </a:solidFill>
            </c:spPr>
          </c:dPt>
          <c:dPt>
            <c:idx val="16"/>
            <c:invertIfNegative val="0"/>
            <c:bubble3D val="0"/>
            <c:spPr>
              <a:solidFill>
                <a:srgbClr val="FFFF00"/>
              </a:solidFill>
            </c:spPr>
          </c:dPt>
          <c:dPt>
            <c:idx val="17"/>
            <c:invertIfNegative val="0"/>
            <c:bubble3D val="0"/>
            <c:spPr>
              <a:solidFill>
                <a:srgbClr val="0070C0"/>
              </a:solidFill>
            </c:spPr>
          </c:dPt>
          <c:dPt>
            <c:idx val="18"/>
            <c:invertIfNegative val="0"/>
            <c:bubble3D val="0"/>
            <c:spPr>
              <a:solidFill>
                <a:srgbClr val="8DE3B4"/>
              </a:solidFill>
            </c:spPr>
          </c:dPt>
          <c:dPt>
            <c:idx val="19"/>
            <c:invertIfNegative val="0"/>
            <c:bubble3D val="0"/>
            <c:spPr>
              <a:solidFill>
                <a:srgbClr val="8DE3B4"/>
              </a:solidFill>
            </c:spPr>
          </c:dPt>
          <c:dPt>
            <c:idx val="20"/>
            <c:invertIfNegative val="0"/>
            <c:bubble3D val="0"/>
            <c:spPr>
              <a:solidFill>
                <a:srgbClr val="8DE3B4"/>
              </a:solidFill>
            </c:spPr>
          </c:dPt>
          <c:dPt>
            <c:idx val="21"/>
            <c:invertIfNegative val="0"/>
            <c:bubble3D val="0"/>
            <c:spPr>
              <a:solidFill>
                <a:srgbClr val="8DE3B4"/>
              </a:solidFill>
            </c:spPr>
          </c:dPt>
          <c:dPt>
            <c:idx val="22"/>
            <c:invertIfNegative val="0"/>
            <c:bubble3D val="0"/>
            <c:spPr>
              <a:solidFill>
                <a:srgbClr val="8DE3B4"/>
              </a:solidFill>
            </c:spPr>
          </c:dPt>
          <c:dPt>
            <c:idx val="23"/>
            <c:invertIfNegative val="0"/>
            <c:bubble3D val="0"/>
            <c:spPr>
              <a:solidFill>
                <a:srgbClr val="8DE3B4"/>
              </a:solidFill>
            </c:spPr>
          </c:dPt>
          <c:dPt>
            <c:idx val="24"/>
            <c:invertIfNegative val="0"/>
            <c:bubble3D val="0"/>
            <c:spPr>
              <a:solidFill>
                <a:srgbClr val="8DE3B4"/>
              </a:solidFill>
            </c:spPr>
          </c:dPt>
          <c:dPt>
            <c:idx val="25"/>
            <c:invertIfNegative val="0"/>
            <c:bubble3D val="0"/>
            <c:spPr>
              <a:solidFill>
                <a:srgbClr val="0B970E"/>
              </a:solidFill>
              <a:ln>
                <a:solidFill>
                  <a:srgbClr val="00B050"/>
                </a:solidFill>
              </a:ln>
            </c:spPr>
          </c:dPt>
          <c:dPt>
            <c:idx val="26"/>
            <c:invertIfNegative val="0"/>
            <c:bubble3D val="0"/>
            <c:spPr>
              <a:solidFill>
                <a:srgbClr val="0B970E"/>
              </a:solidFill>
            </c:spPr>
          </c:dPt>
          <c:dPt>
            <c:idx val="27"/>
            <c:invertIfNegative val="0"/>
            <c:bubble3D val="0"/>
            <c:spPr>
              <a:solidFill>
                <a:srgbClr val="0B970E"/>
              </a:solidFill>
            </c:spPr>
          </c:dPt>
          <c:dPt>
            <c:idx val="28"/>
            <c:invertIfNegative val="0"/>
            <c:bubble3D val="0"/>
            <c:spPr>
              <a:solidFill>
                <a:srgbClr val="0B970E"/>
              </a:solidFill>
            </c:spPr>
          </c:dPt>
          <c:cat>
            <c:strRef>
              <c:f>List2!$B$2:$B$30</c:f>
              <c:strCache>
                <c:ptCount val="29"/>
                <c:pt idx="0">
                  <c:v>BG</c:v>
                </c:pt>
                <c:pt idx="1">
                  <c:v>RO</c:v>
                </c:pt>
                <c:pt idx="2">
                  <c:v>LV</c:v>
                </c:pt>
                <c:pt idx="3">
                  <c:v>PL</c:v>
                </c:pt>
                <c:pt idx="4">
                  <c:v>LT</c:v>
                </c:pt>
                <c:pt idx="5">
                  <c:v>MT</c:v>
                </c:pt>
                <c:pt idx="6">
                  <c:v>HR</c:v>
                </c:pt>
                <c:pt idx="7">
                  <c:v>HU</c:v>
                </c:pt>
                <c:pt idx="8">
                  <c:v>SK</c:v>
                </c:pt>
                <c:pt idx="9">
                  <c:v>EL</c:v>
                </c:pt>
                <c:pt idx="10">
                  <c:v>PT</c:v>
                </c:pt>
                <c:pt idx="11">
                  <c:v>CZ</c:v>
                </c:pt>
                <c:pt idx="12">
                  <c:v>ES</c:v>
                </c:pt>
                <c:pt idx="13">
                  <c:v>IT</c:v>
                </c:pt>
                <c:pt idx="14">
                  <c:v>EE</c:v>
                </c:pt>
                <c:pt idx="15">
                  <c:v>SI</c:v>
                </c:pt>
                <c:pt idx="16">
                  <c:v>CY</c:v>
                </c:pt>
                <c:pt idx="17">
                  <c:v>EU</c:v>
                </c:pt>
                <c:pt idx="18">
                  <c:v>FR</c:v>
                </c:pt>
                <c:pt idx="19">
                  <c:v>IE</c:v>
                </c:pt>
                <c:pt idx="20">
                  <c:v>AT</c:v>
                </c:pt>
                <c:pt idx="21">
                  <c:v>UK</c:v>
                </c:pt>
                <c:pt idx="22">
                  <c:v>LU</c:v>
                </c:pt>
                <c:pt idx="23">
                  <c:v>BE</c:v>
                </c:pt>
                <c:pt idx="24">
                  <c:v>NL</c:v>
                </c:pt>
                <c:pt idx="25">
                  <c:v>FI</c:v>
                </c:pt>
                <c:pt idx="26">
                  <c:v>DE</c:v>
                </c:pt>
                <c:pt idx="27">
                  <c:v>DK</c:v>
                </c:pt>
                <c:pt idx="28">
                  <c:v>SE</c:v>
                </c:pt>
              </c:strCache>
            </c:strRef>
          </c:cat>
          <c:val>
            <c:numRef>
              <c:f>List2!$H$2:$H$30</c:f>
              <c:numCache>
                <c:formatCode>General</c:formatCode>
                <c:ptCount val="29"/>
                <c:pt idx="0">
                  <c:v>0.19066001903403573</c:v>
                </c:pt>
                <c:pt idx="1">
                  <c:v>0.22944710511089092</c:v>
                </c:pt>
                <c:pt idx="2">
                  <c:v>0.23421827240612439</c:v>
                </c:pt>
                <c:pt idx="3">
                  <c:v>0.2678676060677691</c:v>
                </c:pt>
                <c:pt idx="4">
                  <c:v>0.27071024892932899</c:v>
                </c:pt>
                <c:pt idx="5">
                  <c:v>0.29981155925264719</c:v>
                </c:pt>
                <c:pt idx="6">
                  <c:v>0.30870072394304954</c:v>
                </c:pt>
                <c:pt idx="7">
                  <c:v>0.33470870060224844</c:v>
                </c:pt>
                <c:pt idx="8">
                  <c:v>0.34983436746350943</c:v>
                </c:pt>
                <c:pt idx="9">
                  <c:v>0.37970749587202268</c:v>
                </c:pt>
                <c:pt idx="10">
                  <c:v>0.40191278131531599</c:v>
                </c:pt>
                <c:pt idx="11">
                  <c:v>0.40535616027674787</c:v>
                </c:pt>
                <c:pt idx="12">
                  <c:v>0.41096006353786835</c:v>
                </c:pt>
                <c:pt idx="13">
                  <c:v>0.44562885668442659</c:v>
                </c:pt>
                <c:pt idx="14">
                  <c:v>0.48809302910266411</c:v>
                </c:pt>
                <c:pt idx="15">
                  <c:v>0.49545302893128551</c:v>
                </c:pt>
                <c:pt idx="16">
                  <c:v>0.4977541787779971</c:v>
                </c:pt>
                <c:pt idx="17">
                  <c:v>0.54478294195710353</c:v>
                </c:pt>
                <c:pt idx="18">
                  <c:v>0.57878087446204007</c:v>
                </c:pt>
                <c:pt idx="19">
                  <c:v>0.593772057179899</c:v>
                </c:pt>
                <c:pt idx="20">
                  <c:v>0.59860903454017811</c:v>
                </c:pt>
                <c:pt idx="21">
                  <c:v>0.61801635149563139</c:v>
                </c:pt>
                <c:pt idx="22">
                  <c:v>0.62666412952324213</c:v>
                </c:pt>
                <c:pt idx="23">
                  <c:v>0.62726615473316227</c:v>
                </c:pt>
                <c:pt idx="24">
                  <c:v>0.64410181240340625</c:v>
                </c:pt>
                <c:pt idx="25">
                  <c:v>0.6850741248974872</c:v>
                </c:pt>
                <c:pt idx="26">
                  <c:v>0.70780135106209263</c:v>
                </c:pt>
                <c:pt idx="27">
                  <c:v>0.72209117226005304</c:v>
                </c:pt>
                <c:pt idx="28">
                  <c:v>0.75152364301933272</c:v>
                </c:pt>
              </c:numCache>
            </c:numRef>
          </c:val>
        </c:ser>
        <c:dLbls>
          <c:showLegendKey val="0"/>
          <c:showVal val="0"/>
          <c:showCatName val="0"/>
          <c:showSerName val="0"/>
          <c:showPercent val="0"/>
          <c:showBubbleSize val="0"/>
        </c:dLbls>
        <c:gapWidth val="150"/>
        <c:axId val="42146432"/>
        <c:axId val="42152320"/>
      </c:barChart>
      <c:catAx>
        <c:axId val="42146432"/>
        <c:scaling>
          <c:orientation val="minMax"/>
        </c:scaling>
        <c:delete val="0"/>
        <c:axPos val="b"/>
        <c:majorTickMark val="out"/>
        <c:minorTickMark val="none"/>
        <c:tickLblPos val="nextTo"/>
        <c:crossAx val="42152320"/>
        <c:crosses val="autoZero"/>
        <c:auto val="1"/>
        <c:lblAlgn val="ctr"/>
        <c:lblOffset val="100"/>
        <c:noMultiLvlLbl val="0"/>
      </c:catAx>
      <c:valAx>
        <c:axId val="42152320"/>
        <c:scaling>
          <c:orientation val="minMax"/>
        </c:scaling>
        <c:delete val="0"/>
        <c:axPos val="l"/>
        <c:majorGridlines/>
        <c:numFmt formatCode="General" sourceLinked="1"/>
        <c:majorTickMark val="out"/>
        <c:minorTickMark val="none"/>
        <c:tickLblPos val="nextTo"/>
        <c:crossAx val="42146432"/>
        <c:crosses val="autoZero"/>
        <c:crossBetween val="between"/>
      </c:valAx>
    </c:plotArea>
    <c:plotVisOnly val="1"/>
    <c:dispBlanksAs val="gap"/>
    <c:showDLblsOverMax val="0"/>
  </c:chart>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overlay val="0"/>
    </c:title>
    <c:autoTitleDeleted val="0"/>
    <c:plotArea>
      <c:layout/>
      <c:barChart>
        <c:barDir val="col"/>
        <c:grouping val="clustered"/>
        <c:varyColors val="0"/>
        <c:ser>
          <c:idx val="0"/>
          <c:order val="0"/>
          <c:tx>
            <c:strRef>
              <c:f>List2!$F$32</c:f>
              <c:strCache>
                <c:ptCount val="1"/>
                <c:pt idx="0">
                  <c:v>Innovation output 2012</c:v>
                </c:pt>
              </c:strCache>
            </c:strRef>
          </c:tx>
          <c:spPr>
            <a:solidFill>
              <a:srgbClr val="FFFF00"/>
            </a:solidFill>
          </c:spPr>
          <c:invertIfNegative val="0"/>
          <c:dPt>
            <c:idx val="0"/>
            <c:invertIfNegative val="0"/>
            <c:bubble3D val="0"/>
          </c:dPt>
          <c:dPt>
            <c:idx val="1"/>
            <c:invertIfNegative val="0"/>
            <c:bubble3D val="0"/>
            <c:spPr>
              <a:solidFill>
                <a:schemeClr val="accent6">
                  <a:lumMod val="75000"/>
                </a:schemeClr>
              </a:solidFill>
            </c:spPr>
          </c:dPt>
          <c:dPt>
            <c:idx val="2"/>
            <c:invertIfNegative val="0"/>
            <c:bubble3D val="0"/>
            <c:spPr>
              <a:solidFill>
                <a:schemeClr val="accent6">
                  <a:lumMod val="75000"/>
                </a:schemeClr>
              </a:solidFill>
            </c:spPr>
          </c:dPt>
          <c:dPt>
            <c:idx val="3"/>
            <c:invertIfNegative val="0"/>
            <c:bubble3D val="0"/>
          </c:dPt>
          <c:dPt>
            <c:idx val="4"/>
            <c:invertIfNegative val="0"/>
            <c:bubble3D val="0"/>
          </c:dPt>
          <c:dPt>
            <c:idx val="5"/>
            <c:invertIfNegative val="0"/>
            <c:bubble3D val="0"/>
          </c:dPt>
          <c:dPt>
            <c:idx val="6"/>
            <c:invertIfNegative val="0"/>
            <c:bubble3D val="0"/>
            <c:spPr>
              <a:solidFill>
                <a:schemeClr val="accent6">
                  <a:lumMod val="75000"/>
                </a:schemeClr>
              </a:solidFill>
            </c:spPr>
          </c:dPt>
          <c:dPt>
            <c:idx val="7"/>
            <c:invertIfNegative val="0"/>
            <c:bubble3D val="0"/>
          </c:dPt>
          <c:dPt>
            <c:idx val="8"/>
            <c:invertIfNegative val="0"/>
            <c:bubble3D val="0"/>
          </c:dPt>
          <c:dPt>
            <c:idx val="9"/>
            <c:invertIfNegative val="0"/>
            <c:bubble3D val="0"/>
          </c:dPt>
          <c:dPt>
            <c:idx val="10"/>
            <c:invertIfNegative val="0"/>
            <c:bubble3D val="0"/>
          </c:dPt>
          <c:dPt>
            <c:idx val="11"/>
            <c:invertIfNegative val="0"/>
            <c:bubble3D val="0"/>
          </c:dPt>
          <c:dPt>
            <c:idx val="12"/>
            <c:invertIfNegative val="0"/>
            <c:bubble3D val="0"/>
          </c:dPt>
          <c:dPt>
            <c:idx val="13"/>
            <c:invertIfNegative val="0"/>
            <c:bubble3D val="0"/>
          </c:dPt>
          <c:dPt>
            <c:idx val="14"/>
            <c:invertIfNegative val="0"/>
            <c:bubble3D val="0"/>
          </c:dPt>
          <c:dPt>
            <c:idx val="15"/>
            <c:invertIfNegative val="0"/>
            <c:bubble3D val="0"/>
          </c:dPt>
          <c:dPt>
            <c:idx val="16"/>
            <c:invertIfNegative val="0"/>
            <c:bubble3D val="0"/>
          </c:dPt>
          <c:dPt>
            <c:idx val="17"/>
            <c:invertIfNegative val="0"/>
            <c:bubble3D val="0"/>
            <c:spPr>
              <a:solidFill>
                <a:srgbClr val="8DE3B4"/>
              </a:solidFill>
            </c:spPr>
          </c:dPt>
          <c:dPt>
            <c:idx val="18"/>
            <c:invertIfNegative val="0"/>
            <c:bubble3D val="0"/>
            <c:spPr>
              <a:solidFill>
                <a:srgbClr val="8DE3B4"/>
              </a:solidFill>
            </c:spPr>
          </c:dPt>
          <c:dPt>
            <c:idx val="19"/>
            <c:invertIfNegative val="0"/>
            <c:bubble3D val="0"/>
            <c:spPr>
              <a:solidFill>
                <a:srgbClr val="8DE3B4"/>
              </a:solidFill>
            </c:spPr>
          </c:dPt>
          <c:dPt>
            <c:idx val="20"/>
            <c:invertIfNegative val="0"/>
            <c:bubble3D val="0"/>
            <c:spPr>
              <a:solidFill>
                <a:srgbClr val="0070C0"/>
              </a:solidFill>
            </c:spPr>
          </c:dPt>
          <c:dPt>
            <c:idx val="21"/>
            <c:invertIfNegative val="0"/>
            <c:bubble3D val="0"/>
            <c:spPr>
              <a:solidFill>
                <a:srgbClr val="8DE3B4"/>
              </a:solidFill>
            </c:spPr>
          </c:dPt>
          <c:dPt>
            <c:idx val="22"/>
            <c:invertIfNegative val="0"/>
            <c:bubble3D val="0"/>
            <c:spPr>
              <a:solidFill>
                <a:srgbClr val="8DE3B4"/>
              </a:solidFill>
            </c:spPr>
          </c:dPt>
          <c:dPt>
            <c:idx val="23"/>
            <c:invertIfNegative val="0"/>
            <c:bubble3D val="0"/>
            <c:spPr>
              <a:solidFill>
                <a:srgbClr val="0B970E"/>
              </a:solidFill>
            </c:spPr>
          </c:dPt>
          <c:dPt>
            <c:idx val="24"/>
            <c:invertIfNegative val="0"/>
            <c:bubble3D val="0"/>
            <c:spPr>
              <a:solidFill>
                <a:srgbClr val="0B970E"/>
              </a:solidFill>
            </c:spPr>
          </c:dPt>
          <c:dPt>
            <c:idx val="25"/>
            <c:invertIfNegative val="0"/>
            <c:bubble3D val="0"/>
            <c:spPr>
              <a:solidFill>
                <a:srgbClr val="8DE3B4"/>
              </a:solidFill>
            </c:spPr>
          </c:dPt>
          <c:dPt>
            <c:idx val="26"/>
            <c:invertIfNegative val="0"/>
            <c:bubble3D val="0"/>
            <c:spPr>
              <a:solidFill>
                <a:srgbClr val="8DE3B4"/>
              </a:solidFill>
            </c:spPr>
          </c:dPt>
          <c:dPt>
            <c:idx val="27"/>
            <c:invertIfNegative val="0"/>
            <c:bubble3D val="0"/>
            <c:spPr>
              <a:solidFill>
                <a:srgbClr val="0B970E"/>
              </a:solidFill>
            </c:spPr>
          </c:dPt>
          <c:dPt>
            <c:idx val="28"/>
            <c:invertIfNegative val="0"/>
            <c:bubble3D val="0"/>
            <c:spPr>
              <a:solidFill>
                <a:srgbClr val="0B970E"/>
              </a:solidFill>
            </c:spPr>
          </c:dPt>
          <c:cat>
            <c:strRef>
              <c:f>List2!$E$33:$E$61</c:f>
              <c:strCache>
                <c:ptCount val="29"/>
                <c:pt idx="0">
                  <c:v>LT</c:v>
                </c:pt>
                <c:pt idx="1">
                  <c:v>LV</c:v>
                </c:pt>
                <c:pt idx="2">
                  <c:v>BG</c:v>
                </c:pt>
                <c:pt idx="3">
                  <c:v>HR</c:v>
                </c:pt>
                <c:pt idx="4">
                  <c:v>PT</c:v>
                </c:pt>
                <c:pt idx="5">
                  <c:v>EL</c:v>
                </c:pt>
                <c:pt idx="6">
                  <c:v>RO</c:v>
                </c:pt>
                <c:pt idx="7">
                  <c:v>ES</c:v>
                </c:pt>
                <c:pt idx="8">
                  <c:v>PL</c:v>
                </c:pt>
                <c:pt idx="9">
                  <c:v>EE</c:v>
                </c:pt>
                <c:pt idx="10">
                  <c:v>CY</c:v>
                </c:pt>
                <c:pt idx="11">
                  <c:v>IT</c:v>
                </c:pt>
                <c:pt idx="12">
                  <c:v>MT</c:v>
                </c:pt>
                <c:pt idx="13">
                  <c:v>SK</c:v>
                </c:pt>
                <c:pt idx="14">
                  <c:v>SI</c:v>
                </c:pt>
                <c:pt idx="15">
                  <c:v>CZ</c:v>
                </c:pt>
                <c:pt idx="16">
                  <c:v>HU</c:v>
                </c:pt>
                <c:pt idx="17">
                  <c:v>BE</c:v>
                </c:pt>
                <c:pt idx="18">
                  <c:v>NL</c:v>
                </c:pt>
                <c:pt idx="19">
                  <c:v>AT</c:v>
                </c:pt>
                <c:pt idx="20">
                  <c:v>EU</c:v>
                </c:pt>
                <c:pt idx="21">
                  <c:v>FR</c:v>
                </c:pt>
                <c:pt idx="22">
                  <c:v>UK</c:v>
                </c:pt>
                <c:pt idx="23">
                  <c:v>DK</c:v>
                </c:pt>
                <c:pt idx="24">
                  <c:v>FI</c:v>
                </c:pt>
                <c:pt idx="25">
                  <c:v>LU</c:v>
                </c:pt>
                <c:pt idx="26">
                  <c:v>IE</c:v>
                </c:pt>
                <c:pt idx="27">
                  <c:v>SE</c:v>
                </c:pt>
                <c:pt idx="28">
                  <c:v>DE</c:v>
                </c:pt>
              </c:strCache>
            </c:strRef>
          </c:cat>
          <c:val>
            <c:numRef>
              <c:f>List2!$F$33:$F$61</c:f>
              <c:numCache>
                <c:formatCode>General</c:formatCode>
                <c:ptCount val="29"/>
                <c:pt idx="0">
                  <c:v>57.9</c:v>
                </c:pt>
                <c:pt idx="1">
                  <c:v>63.8</c:v>
                </c:pt>
                <c:pt idx="2">
                  <c:v>65.3</c:v>
                </c:pt>
                <c:pt idx="3">
                  <c:v>68.099999999999994</c:v>
                </c:pt>
                <c:pt idx="4">
                  <c:v>70.099999999999994</c:v>
                </c:pt>
                <c:pt idx="5">
                  <c:v>76.3</c:v>
                </c:pt>
                <c:pt idx="6">
                  <c:v>78</c:v>
                </c:pt>
                <c:pt idx="7">
                  <c:v>80.8</c:v>
                </c:pt>
                <c:pt idx="8">
                  <c:v>81.400000000000006</c:v>
                </c:pt>
                <c:pt idx="9">
                  <c:v>81.7</c:v>
                </c:pt>
                <c:pt idx="10">
                  <c:v>82.8</c:v>
                </c:pt>
                <c:pt idx="11">
                  <c:v>84.3</c:v>
                </c:pt>
                <c:pt idx="12">
                  <c:v>84.8</c:v>
                </c:pt>
                <c:pt idx="13">
                  <c:v>85.7</c:v>
                </c:pt>
                <c:pt idx="14">
                  <c:v>87.4</c:v>
                </c:pt>
                <c:pt idx="15">
                  <c:v>89.7</c:v>
                </c:pt>
                <c:pt idx="16">
                  <c:v>92</c:v>
                </c:pt>
                <c:pt idx="17">
                  <c:v>94.8</c:v>
                </c:pt>
                <c:pt idx="18">
                  <c:v>95.5</c:v>
                </c:pt>
                <c:pt idx="19">
                  <c:v>100.1</c:v>
                </c:pt>
                <c:pt idx="20">
                  <c:v>101.6</c:v>
                </c:pt>
                <c:pt idx="21">
                  <c:v>105.6</c:v>
                </c:pt>
                <c:pt idx="22">
                  <c:v>110.3</c:v>
                </c:pt>
                <c:pt idx="23">
                  <c:v>114.6</c:v>
                </c:pt>
                <c:pt idx="24">
                  <c:v>115.7</c:v>
                </c:pt>
                <c:pt idx="25">
                  <c:v>116.4</c:v>
                </c:pt>
                <c:pt idx="26">
                  <c:v>116.5</c:v>
                </c:pt>
                <c:pt idx="27">
                  <c:v>122.4</c:v>
                </c:pt>
                <c:pt idx="28">
                  <c:v>124.2</c:v>
                </c:pt>
              </c:numCache>
            </c:numRef>
          </c:val>
        </c:ser>
        <c:dLbls>
          <c:showLegendKey val="0"/>
          <c:showVal val="0"/>
          <c:showCatName val="0"/>
          <c:showSerName val="0"/>
          <c:showPercent val="0"/>
          <c:showBubbleSize val="0"/>
        </c:dLbls>
        <c:gapWidth val="150"/>
        <c:axId val="41789312"/>
        <c:axId val="41790848"/>
      </c:barChart>
      <c:catAx>
        <c:axId val="41789312"/>
        <c:scaling>
          <c:orientation val="minMax"/>
        </c:scaling>
        <c:delete val="0"/>
        <c:axPos val="b"/>
        <c:numFmt formatCode="General" sourceLinked="1"/>
        <c:majorTickMark val="out"/>
        <c:minorTickMark val="none"/>
        <c:tickLblPos val="nextTo"/>
        <c:crossAx val="41790848"/>
        <c:crosses val="autoZero"/>
        <c:auto val="1"/>
        <c:lblAlgn val="ctr"/>
        <c:lblOffset val="100"/>
        <c:noMultiLvlLbl val="0"/>
      </c:catAx>
      <c:valAx>
        <c:axId val="41790848"/>
        <c:scaling>
          <c:orientation val="minMax"/>
        </c:scaling>
        <c:delete val="0"/>
        <c:axPos val="l"/>
        <c:majorGridlines/>
        <c:numFmt formatCode="General" sourceLinked="1"/>
        <c:majorTickMark val="out"/>
        <c:minorTickMark val="none"/>
        <c:tickLblPos val="nextTo"/>
        <c:crossAx val="41789312"/>
        <c:crosses val="autoZero"/>
        <c:crossBetween val="between"/>
      </c:valAx>
    </c:plotArea>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1"/>
          <c:order val="0"/>
          <c:tx>
            <c:strRef>
              <c:f>DATA!$A$6</c:f>
              <c:strCache>
                <c:ptCount val="1"/>
                <c:pt idx="0">
                  <c:v>Czech Republic </c:v>
                </c:pt>
              </c:strCache>
            </c:strRef>
          </c:tx>
          <c:invertIfNegative val="0"/>
          <c:cat>
            <c:strRef>
              <c:f>DATA!$C$2</c:f>
              <c:strCache>
                <c:ptCount val="1"/>
                <c:pt idx="0">
                  <c:v>"2012" </c:v>
                </c:pt>
              </c:strCache>
            </c:strRef>
          </c:cat>
          <c:val>
            <c:numRef>
              <c:f>DATA!$D$6</c:f>
              <c:numCache>
                <c:formatCode>General</c:formatCode>
                <c:ptCount val="1"/>
                <c:pt idx="0">
                  <c:v>89.7</c:v>
                </c:pt>
              </c:numCache>
            </c:numRef>
          </c:val>
        </c:ser>
        <c:ser>
          <c:idx val="2"/>
          <c:order val="1"/>
          <c:tx>
            <c:strRef>
              <c:f>DATA!$A$22</c:f>
              <c:strCache>
                <c:ptCount val="1"/>
                <c:pt idx="0">
                  <c:v>Austria </c:v>
                </c:pt>
              </c:strCache>
            </c:strRef>
          </c:tx>
          <c:invertIfNegative val="0"/>
          <c:cat>
            <c:strRef>
              <c:f>DATA!$C$2</c:f>
              <c:strCache>
                <c:ptCount val="1"/>
                <c:pt idx="0">
                  <c:v>"2012" </c:v>
                </c:pt>
              </c:strCache>
            </c:strRef>
          </c:cat>
          <c:val>
            <c:numRef>
              <c:f>DATA!$D$22</c:f>
              <c:numCache>
                <c:formatCode>General</c:formatCode>
                <c:ptCount val="1"/>
                <c:pt idx="0">
                  <c:v>100.1</c:v>
                </c:pt>
              </c:numCache>
            </c:numRef>
          </c:val>
        </c:ser>
        <c:ser>
          <c:idx val="0"/>
          <c:order val="2"/>
          <c:tx>
            <c:strRef>
              <c:f>DATA!$A$2</c:f>
              <c:strCache>
                <c:ptCount val="1"/>
                <c:pt idx="0">
                  <c:v>EU28 </c:v>
                </c:pt>
              </c:strCache>
            </c:strRef>
          </c:tx>
          <c:invertIfNegative val="0"/>
          <c:cat>
            <c:strRef>
              <c:f>DATA!$C$2</c:f>
              <c:strCache>
                <c:ptCount val="1"/>
                <c:pt idx="0">
                  <c:v>"2012" </c:v>
                </c:pt>
              </c:strCache>
            </c:strRef>
          </c:cat>
          <c:val>
            <c:numRef>
              <c:f>DATA!$D$2</c:f>
              <c:numCache>
                <c:formatCode>General</c:formatCode>
                <c:ptCount val="1"/>
                <c:pt idx="0">
                  <c:v>101.6</c:v>
                </c:pt>
              </c:numCache>
            </c:numRef>
          </c:val>
        </c:ser>
        <c:dLbls>
          <c:showLegendKey val="0"/>
          <c:showVal val="1"/>
          <c:showCatName val="0"/>
          <c:showSerName val="0"/>
          <c:showPercent val="0"/>
          <c:showBubbleSize val="0"/>
        </c:dLbls>
        <c:gapWidth val="150"/>
        <c:overlap val="-25"/>
        <c:axId val="42482304"/>
        <c:axId val="42504576"/>
      </c:barChart>
      <c:catAx>
        <c:axId val="42482304"/>
        <c:scaling>
          <c:orientation val="minMax"/>
        </c:scaling>
        <c:delete val="0"/>
        <c:axPos val="b"/>
        <c:majorTickMark val="none"/>
        <c:minorTickMark val="none"/>
        <c:tickLblPos val="none"/>
        <c:crossAx val="42504576"/>
        <c:crosses val="autoZero"/>
        <c:auto val="1"/>
        <c:lblAlgn val="ctr"/>
        <c:lblOffset val="100"/>
        <c:noMultiLvlLbl val="0"/>
      </c:catAx>
      <c:valAx>
        <c:axId val="42504576"/>
        <c:scaling>
          <c:orientation val="minMax"/>
          <c:max val="120"/>
          <c:min val="0"/>
        </c:scaling>
        <c:delete val="0"/>
        <c:axPos val="l"/>
        <c:numFmt formatCode="General" sourceLinked="1"/>
        <c:majorTickMark val="out"/>
        <c:minorTickMark val="none"/>
        <c:tickLblPos val="nextTo"/>
        <c:crossAx val="42482304"/>
        <c:crosses val="autoZero"/>
        <c:crossBetween val="between"/>
      </c:valAx>
    </c:plotArea>
    <c:legend>
      <c:legendPos val="t"/>
      <c:layout/>
      <c:overlay val="0"/>
    </c:legend>
    <c:plotVisOnly val="1"/>
    <c:dispBlanksAs val="gap"/>
    <c:showDLblsOverMax val="0"/>
  </c:chart>
  <c:spPr>
    <a:noFill/>
    <a:ln>
      <a:noFill/>
    </a:ln>
  </c:sp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title>
      <c:tx>
        <c:rich>
          <a:bodyPr/>
          <a:lstStyle/>
          <a:p>
            <a:pPr>
              <a:defRPr/>
            </a:pPr>
            <a:r>
              <a:rPr lang="cs-CZ"/>
              <a:t>PCT</a:t>
            </a:r>
          </a:p>
        </c:rich>
      </c:tx>
      <c:layout/>
      <c:overlay val="0"/>
    </c:title>
    <c:autoTitleDeleted val="0"/>
    <c:plotArea>
      <c:layout/>
      <c:barChart>
        <c:barDir val="col"/>
        <c:grouping val="clustered"/>
        <c:varyColors val="0"/>
        <c:ser>
          <c:idx val="1"/>
          <c:order val="0"/>
          <c:tx>
            <c:strRef>
              <c:f>DATA!$A$6</c:f>
              <c:strCache>
                <c:ptCount val="1"/>
                <c:pt idx="0">
                  <c:v>Czech Republic </c:v>
                </c:pt>
              </c:strCache>
            </c:strRef>
          </c:tx>
          <c:invertIfNegative val="0"/>
          <c:cat>
            <c:strRef>
              <c:f>DATA!$C$2</c:f>
              <c:strCache>
                <c:ptCount val="1"/>
                <c:pt idx="0">
                  <c:v>"2012" </c:v>
                </c:pt>
              </c:strCache>
            </c:strRef>
          </c:cat>
          <c:val>
            <c:numRef>
              <c:f>DATA!$E$6</c:f>
              <c:numCache>
                <c:formatCode>General</c:formatCode>
                <c:ptCount val="1"/>
                <c:pt idx="0">
                  <c:v>0.7</c:v>
                </c:pt>
              </c:numCache>
            </c:numRef>
          </c:val>
        </c:ser>
        <c:ser>
          <c:idx val="2"/>
          <c:order val="1"/>
          <c:tx>
            <c:strRef>
              <c:f>DATA!$A$22</c:f>
              <c:strCache>
                <c:ptCount val="1"/>
                <c:pt idx="0">
                  <c:v>Austria </c:v>
                </c:pt>
              </c:strCache>
            </c:strRef>
          </c:tx>
          <c:invertIfNegative val="0"/>
          <c:cat>
            <c:strRef>
              <c:f>DATA!$C$2</c:f>
              <c:strCache>
                <c:ptCount val="1"/>
                <c:pt idx="0">
                  <c:v>"2012" </c:v>
                </c:pt>
              </c:strCache>
            </c:strRef>
          </c:cat>
          <c:val>
            <c:numRef>
              <c:f>DATA!$E$22</c:f>
              <c:numCache>
                <c:formatCode>General</c:formatCode>
                <c:ptCount val="1"/>
                <c:pt idx="0">
                  <c:v>5.4</c:v>
                </c:pt>
              </c:numCache>
            </c:numRef>
          </c:val>
        </c:ser>
        <c:ser>
          <c:idx val="0"/>
          <c:order val="2"/>
          <c:tx>
            <c:strRef>
              <c:f>DATA!$A$2</c:f>
              <c:strCache>
                <c:ptCount val="1"/>
                <c:pt idx="0">
                  <c:v>EU28 </c:v>
                </c:pt>
              </c:strCache>
            </c:strRef>
          </c:tx>
          <c:invertIfNegative val="0"/>
          <c:cat>
            <c:strRef>
              <c:f>DATA!$C$2</c:f>
              <c:strCache>
                <c:ptCount val="1"/>
                <c:pt idx="0">
                  <c:v>"2012" </c:v>
                </c:pt>
              </c:strCache>
            </c:strRef>
          </c:cat>
          <c:val>
            <c:numRef>
              <c:f>DATA!$E$2</c:f>
              <c:numCache>
                <c:formatCode>General</c:formatCode>
                <c:ptCount val="1"/>
                <c:pt idx="0">
                  <c:v>4</c:v>
                </c:pt>
              </c:numCache>
            </c:numRef>
          </c:val>
        </c:ser>
        <c:dLbls>
          <c:showLegendKey val="0"/>
          <c:showVal val="1"/>
          <c:showCatName val="0"/>
          <c:showSerName val="0"/>
          <c:showPercent val="0"/>
          <c:showBubbleSize val="0"/>
        </c:dLbls>
        <c:gapWidth val="150"/>
        <c:overlap val="-25"/>
        <c:axId val="42548608"/>
        <c:axId val="42558592"/>
      </c:barChart>
      <c:catAx>
        <c:axId val="42548608"/>
        <c:scaling>
          <c:orientation val="minMax"/>
        </c:scaling>
        <c:delete val="0"/>
        <c:axPos val="b"/>
        <c:majorTickMark val="none"/>
        <c:minorTickMark val="none"/>
        <c:tickLblPos val="none"/>
        <c:crossAx val="42558592"/>
        <c:crosses val="autoZero"/>
        <c:auto val="1"/>
        <c:lblAlgn val="ctr"/>
        <c:lblOffset val="100"/>
        <c:noMultiLvlLbl val="0"/>
      </c:catAx>
      <c:valAx>
        <c:axId val="42558592"/>
        <c:scaling>
          <c:orientation val="minMax"/>
          <c:max val="6"/>
          <c:min val="0"/>
        </c:scaling>
        <c:delete val="0"/>
        <c:axPos val="l"/>
        <c:numFmt formatCode="General" sourceLinked="1"/>
        <c:majorTickMark val="out"/>
        <c:minorTickMark val="none"/>
        <c:tickLblPos val="nextTo"/>
        <c:crossAx val="42548608"/>
        <c:crosses val="autoZero"/>
        <c:crossBetween val="between"/>
      </c:valAx>
      <c:spPr>
        <a:ln>
          <a:noFill/>
        </a:ln>
      </c:spPr>
    </c:plotArea>
    <c:plotVisOnly val="1"/>
    <c:dispBlanksAs val="gap"/>
    <c:showDLblsOverMax val="0"/>
  </c:chart>
  <c:spPr>
    <a:noFill/>
    <a:ln w="0">
      <a:noFill/>
    </a:ln>
  </c:sp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title>
      <c:tx>
        <c:rich>
          <a:bodyPr/>
          <a:lstStyle/>
          <a:p>
            <a:pPr>
              <a:defRPr/>
            </a:pPr>
            <a:r>
              <a:rPr lang="cs-CZ"/>
              <a:t>KIA</a:t>
            </a:r>
          </a:p>
        </c:rich>
      </c:tx>
      <c:layout/>
      <c:overlay val="0"/>
    </c:title>
    <c:autoTitleDeleted val="0"/>
    <c:plotArea>
      <c:layout/>
      <c:barChart>
        <c:barDir val="col"/>
        <c:grouping val="clustered"/>
        <c:varyColors val="0"/>
        <c:ser>
          <c:idx val="1"/>
          <c:order val="0"/>
          <c:tx>
            <c:strRef>
              <c:f>DATA!$A$6</c:f>
              <c:strCache>
                <c:ptCount val="1"/>
                <c:pt idx="0">
                  <c:v>Czech Republic </c:v>
                </c:pt>
              </c:strCache>
            </c:strRef>
          </c:tx>
          <c:invertIfNegative val="0"/>
          <c:cat>
            <c:strRef>
              <c:f>DATA!$C$2</c:f>
              <c:strCache>
                <c:ptCount val="1"/>
                <c:pt idx="0">
                  <c:v>"2012" </c:v>
                </c:pt>
              </c:strCache>
            </c:strRef>
          </c:cat>
          <c:val>
            <c:numRef>
              <c:f>DATA!$F$6</c:f>
              <c:numCache>
                <c:formatCode>General</c:formatCode>
                <c:ptCount val="1"/>
                <c:pt idx="0">
                  <c:v>12.5</c:v>
                </c:pt>
              </c:numCache>
            </c:numRef>
          </c:val>
        </c:ser>
        <c:ser>
          <c:idx val="2"/>
          <c:order val="1"/>
          <c:tx>
            <c:strRef>
              <c:f>DATA!$A$22</c:f>
              <c:strCache>
                <c:ptCount val="1"/>
                <c:pt idx="0">
                  <c:v>Austria </c:v>
                </c:pt>
              </c:strCache>
            </c:strRef>
          </c:tx>
          <c:invertIfNegative val="0"/>
          <c:cat>
            <c:strRef>
              <c:f>DATA!$C$2</c:f>
              <c:strCache>
                <c:ptCount val="1"/>
                <c:pt idx="0">
                  <c:v>"2012" </c:v>
                </c:pt>
              </c:strCache>
            </c:strRef>
          </c:cat>
          <c:val>
            <c:numRef>
              <c:f>DATA!$F$22</c:f>
              <c:numCache>
                <c:formatCode>General</c:formatCode>
                <c:ptCount val="1"/>
                <c:pt idx="0">
                  <c:v>14.2</c:v>
                </c:pt>
              </c:numCache>
            </c:numRef>
          </c:val>
        </c:ser>
        <c:ser>
          <c:idx val="0"/>
          <c:order val="2"/>
          <c:tx>
            <c:strRef>
              <c:f>DATA!$A$2</c:f>
              <c:strCache>
                <c:ptCount val="1"/>
                <c:pt idx="0">
                  <c:v>EU28 </c:v>
                </c:pt>
              </c:strCache>
            </c:strRef>
          </c:tx>
          <c:invertIfNegative val="0"/>
          <c:cat>
            <c:strRef>
              <c:f>DATA!$C$2</c:f>
              <c:strCache>
                <c:ptCount val="1"/>
                <c:pt idx="0">
                  <c:v>"2012" </c:v>
                </c:pt>
              </c:strCache>
            </c:strRef>
          </c:cat>
          <c:val>
            <c:numRef>
              <c:f>DATA!$F$2</c:f>
              <c:numCache>
                <c:formatCode>General</c:formatCode>
                <c:ptCount val="1"/>
                <c:pt idx="0">
                  <c:v>13.9</c:v>
                </c:pt>
              </c:numCache>
            </c:numRef>
          </c:val>
        </c:ser>
        <c:dLbls>
          <c:showLegendKey val="0"/>
          <c:showVal val="1"/>
          <c:showCatName val="0"/>
          <c:showSerName val="0"/>
          <c:showPercent val="0"/>
          <c:showBubbleSize val="0"/>
        </c:dLbls>
        <c:gapWidth val="150"/>
        <c:overlap val="-25"/>
        <c:axId val="41693568"/>
        <c:axId val="41695104"/>
      </c:barChart>
      <c:catAx>
        <c:axId val="41693568"/>
        <c:scaling>
          <c:orientation val="minMax"/>
        </c:scaling>
        <c:delete val="0"/>
        <c:axPos val="b"/>
        <c:majorTickMark val="none"/>
        <c:minorTickMark val="none"/>
        <c:tickLblPos val="none"/>
        <c:crossAx val="41695104"/>
        <c:crosses val="autoZero"/>
        <c:auto val="1"/>
        <c:lblAlgn val="ctr"/>
        <c:lblOffset val="100"/>
        <c:noMultiLvlLbl val="0"/>
      </c:catAx>
      <c:valAx>
        <c:axId val="41695104"/>
        <c:scaling>
          <c:orientation val="minMax"/>
          <c:max val="20"/>
          <c:min val="0"/>
        </c:scaling>
        <c:delete val="0"/>
        <c:axPos val="l"/>
        <c:numFmt formatCode="General" sourceLinked="1"/>
        <c:majorTickMark val="out"/>
        <c:minorTickMark val="none"/>
        <c:tickLblPos val="nextTo"/>
        <c:crossAx val="41693568"/>
        <c:crosses val="autoZero"/>
        <c:crossBetween val="between"/>
      </c:valAx>
    </c:plotArea>
    <c:plotVisOnly val="1"/>
    <c:dispBlanksAs val="gap"/>
    <c:showDLblsOverMax val="0"/>
  </c:chart>
  <c:spPr>
    <a:ln>
      <a:noFill/>
    </a:ln>
  </c:sp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title>
      <c:tx>
        <c:rich>
          <a:bodyPr/>
          <a:lstStyle/>
          <a:p>
            <a:pPr>
              <a:defRPr/>
            </a:pPr>
            <a:r>
              <a:rPr lang="cs-CZ"/>
              <a:t>DYN</a:t>
            </a:r>
          </a:p>
        </c:rich>
      </c:tx>
      <c:layout/>
      <c:overlay val="0"/>
    </c:title>
    <c:autoTitleDeleted val="0"/>
    <c:plotArea>
      <c:layout/>
      <c:barChart>
        <c:barDir val="col"/>
        <c:grouping val="clustered"/>
        <c:varyColors val="0"/>
        <c:ser>
          <c:idx val="1"/>
          <c:order val="0"/>
          <c:tx>
            <c:strRef>
              <c:f>DATA!$A$6</c:f>
              <c:strCache>
                <c:ptCount val="1"/>
                <c:pt idx="0">
                  <c:v>Czech Republic </c:v>
                </c:pt>
              </c:strCache>
            </c:strRef>
          </c:tx>
          <c:invertIfNegative val="0"/>
          <c:cat>
            <c:strRef>
              <c:f>DATA!$C$2</c:f>
              <c:strCache>
                <c:ptCount val="1"/>
                <c:pt idx="0">
                  <c:v>"2012" </c:v>
                </c:pt>
              </c:strCache>
            </c:strRef>
          </c:cat>
          <c:val>
            <c:numRef>
              <c:f>DATA!$J$6</c:f>
              <c:numCache>
                <c:formatCode>General</c:formatCode>
                <c:ptCount val="1"/>
                <c:pt idx="0">
                  <c:v>0.187</c:v>
                </c:pt>
              </c:numCache>
            </c:numRef>
          </c:val>
        </c:ser>
        <c:ser>
          <c:idx val="2"/>
          <c:order val="1"/>
          <c:tx>
            <c:strRef>
              <c:f>DATA!$A$22</c:f>
              <c:strCache>
                <c:ptCount val="1"/>
                <c:pt idx="0">
                  <c:v>Austria </c:v>
                </c:pt>
              </c:strCache>
            </c:strRef>
          </c:tx>
          <c:invertIfNegative val="0"/>
          <c:cat>
            <c:strRef>
              <c:f>DATA!$C$2</c:f>
              <c:strCache>
                <c:ptCount val="1"/>
                <c:pt idx="0">
                  <c:v>"2012" </c:v>
                </c:pt>
              </c:strCache>
            </c:strRef>
          </c:cat>
          <c:val>
            <c:numRef>
              <c:f>DATA!$J$22</c:f>
              <c:numCache>
                <c:formatCode>General</c:formatCode>
                <c:ptCount val="1"/>
                <c:pt idx="0">
                  <c:v>0.17199999999999999</c:v>
                </c:pt>
              </c:numCache>
            </c:numRef>
          </c:val>
        </c:ser>
        <c:ser>
          <c:idx val="0"/>
          <c:order val="2"/>
          <c:tx>
            <c:strRef>
              <c:f>DATA!$A$2</c:f>
              <c:strCache>
                <c:ptCount val="1"/>
                <c:pt idx="0">
                  <c:v>EU28 </c:v>
                </c:pt>
              </c:strCache>
            </c:strRef>
          </c:tx>
          <c:invertIfNegative val="0"/>
          <c:cat>
            <c:strRef>
              <c:f>DATA!$C$2</c:f>
              <c:strCache>
                <c:ptCount val="1"/>
                <c:pt idx="0">
                  <c:v>"2012" </c:v>
                </c:pt>
              </c:strCache>
            </c:strRef>
          </c:cat>
          <c:val>
            <c:numRef>
              <c:f>DATA!$J$2</c:f>
              <c:numCache>
                <c:formatCode>General</c:formatCode>
                <c:ptCount val="1"/>
                <c:pt idx="0">
                  <c:v>0.17899999999999999</c:v>
                </c:pt>
              </c:numCache>
            </c:numRef>
          </c:val>
        </c:ser>
        <c:dLbls>
          <c:showLegendKey val="0"/>
          <c:showVal val="1"/>
          <c:showCatName val="0"/>
          <c:showSerName val="0"/>
          <c:showPercent val="0"/>
          <c:showBubbleSize val="0"/>
        </c:dLbls>
        <c:gapWidth val="150"/>
        <c:overlap val="-25"/>
        <c:axId val="41739008"/>
        <c:axId val="41740544"/>
      </c:barChart>
      <c:catAx>
        <c:axId val="41739008"/>
        <c:scaling>
          <c:orientation val="minMax"/>
        </c:scaling>
        <c:delete val="0"/>
        <c:axPos val="b"/>
        <c:majorTickMark val="none"/>
        <c:minorTickMark val="none"/>
        <c:tickLblPos val="none"/>
        <c:crossAx val="41740544"/>
        <c:crosses val="autoZero"/>
        <c:auto val="1"/>
        <c:lblAlgn val="ctr"/>
        <c:lblOffset val="100"/>
        <c:noMultiLvlLbl val="0"/>
      </c:catAx>
      <c:valAx>
        <c:axId val="41740544"/>
        <c:scaling>
          <c:orientation val="minMax"/>
          <c:max val="0.2"/>
          <c:min val="0"/>
        </c:scaling>
        <c:delete val="0"/>
        <c:axPos val="l"/>
        <c:numFmt formatCode="General" sourceLinked="1"/>
        <c:majorTickMark val="out"/>
        <c:minorTickMark val="none"/>
        <c:tickLblPos val="nextTo"/>
        <c:crossAx val="41739008"/>
        <c:crosses val="autoZero"/>
        <c:crossBetween val="between"/>
      </c:valAx>
    </c:plotArea>
    <c:plotVisOnly val="1"/>
    <c:dispBlanksAs val="gap"/>
    <c:showDLblsOverMax val="0"/>
  </c:chart>
  <c:spPr>
    <a:ln>
      <a:noFill/>
    </a:ln>
  </c:sp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title>
      <c:tx>
        <c:rich>
          <a:bodyPr/>
          <a:lstStyle/>
          <a:p>
            <a:pPr>
              <a:defRPr/>
            </a:pPr>
            <a:r>
              <a:rPr lang="cs-CZ"/>
              <a:t>COMP</a:t>
            </a:r>
          </a:p>
        </c:rich>
      </c:tx>
      <c:layout/>
      <c:overlay val="0"/>
    </c:title>
    <c:autoTitleDeleted val="0"/>
    <c:plotArea>
      <c:layout/>
      <c:barChart>
        <c:barDir val="col"/>
        <c:grouping val="clustered"/>
        <c:varyColors val="0"/>
        <c:ser>
          <c:idx val="1"/>
          <c:order val="0"/>
          <c:tx>
            <c:strRef>
              <c:f>DATA!$A$6</c:f>
              <c:strCache>
                <c:ptCount val="1"/>
                <c:pt idx="0">
                  <c:v>Czech Republic </c:v>
                </c:pt>
              </c:strCache>
            </c:strRef>
          </c:tx>
          <c:invertIfNegative val="0"/>
          <c:cat>
            <c:strRef>
              <c:f>DATA!$C$2</c:f>
              <c:strCache>
                <c:ptCount val="1"/>
                <c:pt idx="0">
                  <c:v>"2012" </c:v>
                </c:pt>
              </c:strCache>
            </c:strRef>
          </c:cat>
          <c:val>
            <c:numRef>
              <c:f>DATA!$K$6</c:f>
              <c:numCache>
                <c:formatCode>General</c:formatCode>
                <c:ptCount val="1"/>
                <c:pt idx="0">
                  <c:v>48.65</c:v>
                </c:pt>
              </c:numCache>
            </c:numRef>
          </c:val>
        </c:ser>
        <c:ser>
          <c:idx val="2"/>
          <c:order val="1"/>
          <c:tx>
            <c:strRef>
              <c:f>DATA!$A$22</c:f>
              <c:strCache>
                <c:ptCount val="1"/>
                <c:pt idx="0">
                  <c:v>Austria </c:v>
                </c:pt>
              </c:strCache>
            </c:strRef>
          </c:tx>
          <c:invertIfNegative val="0"/>
          <c:cat>
            <c:strRef>
              <c:f>DATA!$C$2</c:f>
              <c:strCache>
                <c:ptCount val="1"/>
                <c:pt idx="0">
                  <c:v>"2012" </c:v>
                </c:pt>
              </c:strCache>
            </c:strRef>
          </c:cat>
          <c:val>
            <c:numRef>
              <c:f>DATA!$K$22</c:f>
              <c:numCache>
                <c:formatCode>General</c:formatCode>
                <c:ptCount val="1"/>
                <c:pt idx="0">
                  <c:v>43.650000000000006</c:v>
                </c:pt>
              </c:numCache>
            </c:numRef>
          </c:val>
        </c:ser>
        <c:ser>
          <c:idx val="0"/>
          <c:order val="2"/>
          <c:tx>
            <c:strRef>
              <c:f>DATA!$A$2</c:f>
              <c:strCache>
                <c:ptCount val="1"/>
                <c:pt idx="0">
                  <c:v>EU28 </c:v>
                </c:pt>
              </c:strCache>
            </c:strRef>
          </c:tx>
          <c:invertIfNegative val="0"/>
          <c:cat>
            <c:strRef>
              <c:f>DATA!$C$2</c:f>
              <c:strCache>
                <c:ptCount val="1"/>
                <c:pt idx="0">
                  <c:v>"2012" </c:v>
                </c:pt>
              </c:strCache>
            </c:strRef>
          </c:cat>
          <c:val>
            <c:numRef>
              <c:f>DATA!$K$2</c:f>
              <c:numCache>
                <c:formatCode>General</c:formatCode>
                <c:ptCount val="1"/>
                <c:pt idx="0">
                  <c:v>51.45</c:v>
                </c:pt>
              </c:numCache>
            </c:numRef>
          </c:val>
        </c:ser>
        <c:dLbls>
          <c:showLegendKey val="0"/>
          <c:showVal val="1"/>
          <c:showCatName val="0"/>
          <c:showSerName val="0"/>
          <c:showPercent val="0"/>
          <c:showBubbleSize val="0"/>
        </c:dLbls>
        <c:gapWidth val="150"/>
        <c:overlap val="-25"/>
        <c:axId val="42653184"/>
        <c:axId val="42654720"/>
      </c:barChart>
      <c:catAx>
        <c:axId val="42653184"/>
        <c:scaling>
          <c:orientation val="minMax"/>
        </c:scaling>
        <c:delete val="0"/>
        <c:axPos val="b"/>
        <c:majorTickMark val="none"/>
        <c:minorTickMark val="none"/>
        <c:tickLblPos val="none"/>
        <c:crossAx val="42654720"/>
        <c:crosses val="autoZero"/>
        <c:auto val="1"/>
        <c:lblAlgn val="ctr"/>
        <c:lblOffset val="100"/>
        <c:noMultiLvlLbl val="0"/>
      </c:catAx>
      <c:valAx>
        <c:axId val="42654720"/>
        <c:scaling>
          <c:orientation val="minMax"/>
          <c:max val="100"/>
          <c:min val="0"/>
        </c:scaling>
        <c:delete val="0"/>
        <c:axPos val="l"/>
        <c:numFmt formatCode="General" sourceLinked="1"/>
        <c:majorTickMark val="out"/>
        <c:minorTickMark val="none"/>
        <c:tickLblPos val="nextTo"/>
        <c:crossAx val="42653184"/>
        <c:crosses val="autoZero"/>
        <c:crossBetween val="between"/>
      </c:valAx>
    </c:plotArea>
    <c:plotVisOnly val="1"/>
    <c:dispBlanksAs val="gap"/>
    <c:showDLblsOverMax val="0"/>
  </c:chart>
  <c:spPr>
    <a:ln>
      <a:noFill/>
    </a:ln>
  </c:sp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title>
      <c:tx>
        <c:rich>
          <a:bodyPr/>
          <a:lstStyle/>
          <a:p>
            <a:pPr>
              <a:defRPr/>
            </a:pPr>
            <a:r>
              <a:rPr lang="cs-CZ"/>
              <a:t>GOOD</a:t>
            </a:r>
          </a:p>
        </c:rich>
      </c:tx>
      <c:layout/>
      <c:overlay val="0"/>
    </c:title>
    <c:autoTitleDeleted val="0"/>
    <c:plotArea>
      <c:layout/>
      <c:barChart>
        <c:barDir val="col"/>
        <c:grouping val="clustered"/>
        <c:varyColors val="0"/>
        <c:ser>
          <c:idx val="1"/>
          <c:order val="0"/>
          <c:tx>
            <c:strRef>
              <c:f>DATA!$A$6</c:f>
              <c:strCache>
                <c:ptCount val="1"/>
                <c:pt idx="0">
                  <c:v>Czech Republic </c:v>
                </c:pt>
              </c:strCache>
            </c:strRef>
          </c:tx>
          <c:invertIfNegative val="0"/>
          <c:cat>
            <c:strRef>
              <c:f>DATA!$C$2</c:f>
              <c:strCache>
                <c:ptCount val="1"/>
                <c:pt idx="0">
                  <c:v>"2012" </c:v>
                </c:pt>
              </c:strCache>
            </c:strRef>
          </c:cat>
          <c:val>
            <c:numRef>
              <c:f>DATA!$G$6</c:f>
              <c:numCache>
                <c:formatCode>General</c:formatCode>
                <c:ptCount val="1"/>
                <c:pt idx="0">
                  <c:v>62.5</c:v>
                </c:pt>
              </c:numCache>
            </c:numRef>
          </c:val>
        </c:ser>
        <c:ser>
          <c:idx val="2"/>
          <c:order val="1"/>
          <c:tx>
            <c:strRef>
              <c:f>DATA!$A$22</c:f>
              <c:strCache>
                <c:ptCount val="1"/>
                <c:pt idx="0">
                  <c:v>Austria </c:v>
                </c:pt>
              </c:strCache>
            </c:strRef>
          </c:tx>
          <c:invertIfNegative val="0"/>
          <c:cat>
            <c:strRef>
              <c:f>DATA!$C$2</c:f>
              <c:strCache>
                <c:ptCount val="1"/>
                <c:pt idx="0">
                  <c:v>"2012" </c:v>
                </c:pt>
              </c:strCache>
            </c:strRef>
          </c:cat>
          <c:val>
            <c:numRef>
              <c:f>DATA!$G$22</c:f>
              <c:numCache>
                <c:formatCode>General</c:formatCode>
                <c:ptCount val="1"/>
                <c:pt idx="0">
                  <c:v>55.1</c:v>
                </c:pt>
              </c:numCache>
            </c:numRef>
          </c:val>
        </c:ser>
        <c:ser>
          <c:idx val="0"/>
          <c:order val="2"/>
          <c:tx>
            <c:strRef>
              <c:f>DATA!$A$2</c:f>
              <c:strCache>
                <c:ptCount val="1"/>
                <c:pt idx="0">
                  <c:v>EU28 </c:v>
                </c:pt>
              </c:strCache>
            </c:strRef>
          </c:tx>
          <c:invertIfNegative val="0"/>
          <c:cat>
            <c:strRef>
              <c:f>DATA!$C$2</c:f>
              <c:strCache>
                <c:ptCount val="1"/>
                <c:pt idx="0">
                  <c:v>"2012" </c:v>
                </c:pt>
              </c:strCache>
            </c:strRef>
          </c:cat>
          <c:val>
            <c:numRef>
              <c:f>DATA!$G$2</c:f>
              <c:numCache>
                <c:formatCode>General</c:formatCode>
                <c:ptCount val="1"/>
                <c:pt idx="0">
                  <c:v>53.4</c:v>
                </c:pt>
              </c:numCache>
            </c:numRef>
          </c:val>
        </c:ser>
        <c:dLbls>
          <c:showLegendKey val="0"/>
          <c:showVal val="1"/>
          <c:showCatName val="0"/>
          <c:showSerName val="0"/>
          <c:showPercent val="0"/>
          <c:showBubbleSize val="0"/>
        </c:dLbls>
        <c:gapWidth val="150"/>
        <c:overlap val="-25"/>
        <c:axId val="43747200"/>
        <c:axId val="43748736"/>
      </c:barChart>
      <c:catAx>
        <c:axId val="43747200"/>
        <c:scaling>
          <c:orientation val="minMax"/>
        </c:scaling>
        <c:delete val="0"/>
        <c:axPos val="b"/>
        <c:majorTickMark val="none"/>
        <c:minorTickMark val="none"/>
        <c:tickLblPos val="none"/>
        <c:crossAx val="43748736"/>
        <c:crosses val="autoZero"/>
        <c:auto val="1"/>
        <c:lblAlgn val="ctr"/>
        <c:lblOffset val="100"/>
        <c:noMultiLvlLbl val="0"/>
      </c:catAx>
      <c:valAx>
        <c:axId val="43748736"/>
        <c:scaling>
          <c:orientation val="minMax"/>
          <c:max val="100"/>
          <c:min val="0"/>
        </c:scaling>
        <c:delete val="0"/>
        <c:axPos val="l"/>
        <c:numFmt formatCode="General" sourceLinked="1"/>
        <c:majorTickMark val="out"/>
        <c:minorTickMark val="none"/>
        <c:tickLblPos val="nextTo"/>
        <c:crossAx val="43747200"/>
        <c:crosses val="autoZero"/>
        <c:crossBetween val="between"/>
      </c:valAx>
    </c:plotArea>
    <c:plotVisOnly val="1"/>
    <c:dispBlanksAs val="gap"/>
    <c:showDLblsOverMax val="0"/>
  </c:chart>
  <c:spPr>
    <a:ln>
      <a:noFill/>
    </a:ln>
  </c:sp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title>
      <c:tx>
        <c:rich>
          <a:bodyPr/>
          <a:lstStyle/>
          <a:p>
            <a:pPr>
              <a:defRPr/>
            </a:pPr>
            <a:r>
              <a:rPr lang="cs-CZ"/>
              <a:t>SERV</a:t>
            </a:r>
          </a:p>
        </c:rich>
      </c:tx>
      <c:layout/>
      <c:overlay val="0"/>
    </c:title>
    <c:autoTitleDeleted val="0"/>
    <c:plotArea>
      <c:layout/>
      <c:barChart>
        <c:barDir val="col"/>
        <c:grouping val="clustered"/>
        <c:varyColors val="0"/>
        <c:ser>
          <c:idx val="1"/>
          <c:order val="0"/>
          <c:tx>
            <c:strRef>
              <c:f>DATA!$A$6</c:f>
              <c:strCache>
                <c:ptCount val="1"/>
                <c:pt idx="0">
                  <c:v>Czech Republic </c:v>
                </c:pt>
              </c:strCache>
            </c:strRef>
          </c:tx>
          <c:invertIfNegative val="0"/>
          <c:cat>
            <c:strRef>
              <c:f>DATA!$C$2</c:f>
              <c:strCache>
                <c:ptCount val="1"/>
                <c:pt idx="0">
                  <c:v>"2012" </c:v>
                </c:pt>
              </c:strCache>
            </c:strRef>
          </c:cat>
          <c:val>
            <c:numRef>
              <c:f>DATA!$H$6</c:f>
              <c:numCache>
                <c:formatCode>General</c:formatCode>
                <c:ptCount val="1"/>
                <c:pt idx="0">
                  <c:v>34.799999999999997</c:v>
                </c:pt>
              </c:numCache>
            </c:numRef>
          </c:val>
        </c:ser>
        <c:ser>
          <c:idx val="2"/>
          <c:order val="1"/>
          <c:tx>
            <c:strRef>
              <c:f>DATA!$A$22</c:f>
              <c:strCache>
                <c:ptCount val="1"/>
                <c:pt idx="0">
                  <c:v>Austria </c:v>
                </c:pt>
              </c:strCache>
            </c:strRef>
          </c:tx>
          <c:invertIfNegative val="0"/>
          <c:cat>
            <c:strRef>
              <c:f>DATA!$C$2</c:f>
              <c:strCache>
                <c:ptCount val="1"/>
                <c:pt idx="0">
                  <c:v>"2012" </c:v>
                </c:pt>
              </c:strCache>
            </c:strRef>
          </c:cat>
          <c:val>
            <c:numRef>
              <c:f>DATA!$H$22</c:f>
              <c:numCache>
                <c:formatCode>General</c:formatCode>
                <c:ptCount val="1"/>
                <c:pt idx="0">
                  <c:v>32.200000000000003</c:v>
                </c:pt>
              </c:numCache>
            </c:numRef>
          </c:val>
        </c:ser>
        <c:ser>
          <c:idx val="0"/>
          <c:order val="2"/>
          <c:tx>
            <c:strRef>
              <c:f>DATA!$A$2</c:f>
              <c:strCache>
                <c:ptCount val="1"/>
                <c:pt idx="0">
                  <c:v>EU28 </c:v>
                </c:pt>
              </c:strCache>
            </c:strRef>
          </c:tx>
          <c:invertIfNegative val="0"/>
          <c:cat>
            <c:strRef>
              <c:f>DATA!$C$2</c:f>
              <c:strCache>
                <c:ptCount val="1"/>
                <c:pt idx="0">
                  <c:v>"2012" </c:v>
                </c:pt>
              </c:strCache>
            </c:strRef>
          </c:cat>
          <c:val>
            <c:numRef>
              <c:f>DATA!$H$2</c:f>
              <c:numCache>
                <c:formatCode>General</c:formatCode>
                <c:ptCount val="1"/>
                <c:pt idx="0">
                  <c:v>49.5</c:v>
                </c:pt>
              </c:numCache>
            </c:numRef>
          </c:val>
        </c:ser>
        <c:dLbls>
          <c:showLegendKey val="0"/>
          <c:showVal val="1"/>
          <c:showCatName val="0"/>
          <c:showSerName val="0"/>
          <c:showPercent val="0"/>
          <c:showBubbleSize val="0"/>
        </c:dLbls>
        <c:gapWidth val="150"/>
        <c:overlap val="-25"/>
        <c:axId val="43792640"/>
        <c:axId val="43802624"/>
      </c:barChart>
      <c:catAx>
        <c:axId val="43792640"/>
        <c:scaling>
          <c:orientation val="minMax"/>
        </c:scaling>
        <c:delete val="0"/>
        <c:axPos val="b"/>
        <c:majorTickMark val="none"/>
        <c:minorTickMark val="none"/>
        <c:tickLblPos val="none"/>
        <c:crossAx val="43802624"/>
        <c:crosses val="autoZero"/>
        <c:auto val="1"/>
        <c:lblAlgn val="ctr"/>
        <c:lblOffset val="100"/>
        <c:noMultiLvlLbl val="0"/>
      </c:catAx>
      <c:valAx>
        <c:axId val="43802624"/>
        <c:scaling>
          <c:orientation val="minMax"/>
          <c:max val="100"/>
          <c:min val="0"/>
        </c:scaling>
        <c:delete val="0"/>
        <c:axPos val="l"/>
        <c:numFmt formatCode="General" sourceLinked="1"/>
        <c:majorTickMark val="out"/>
        <c:minorTickMark val="none"/>
        <c:tickLblPos val="nextTo"/>
        <c:crossAx val="43792640"/>
        <c:crosses val="autoZero"/>
        <c:crossBetween val="between"/>
      </c:valAx>
    </c:plotArea>
    <c:plotVisOnly val="1"/>
    <c:dispBlanksAs val="gap"/>
    <c:showDLblsOverMax val="0"/>
  </c:chart>
  <c:spPr>
    <a:ln>
      <a:noFill/>
    </a:ln>
  </c:sp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0.41408</cdr:x>
      <cdr:y>0.31686</cdr:y>
    </cdr:from>
    <cdr:to>
      <cdr:x>0.43306</cdr:x>
      <cdr:y>0.48507</cdr:y>
    </cdr:to>
    <cdr:sp macro="" textlink="">
      <cdr:nvSpPr>
        <cdr:cNvPr id="2" name="Šipka dolů 1"/>
        <cdr:cNvSpPr/>
      </cdr:nvSpPr>
      <cdr:spPr>
        <a:xfrm xmlns:a="http://schemas.openxmlformats.org/drawingml/2006/main">
          <a:off x="2385392" y="644057"/>
          <a:ext cx="109329" cy="341906"/>
        </a:xfrm>
        <a:prstGeom xmlns:a="http://schemas.openxmlformats.org/drawingml/2006/main" prst="downArrow">
          <a:avLst/>
        </a:prstGeom>
      </cdr:spPr>
      <cdr:style>
        <a:lnRef xmlns:a="http://schemas.openxmlformats.org/drawingml/2006/main" idx="1">
          <a:schemeClr val="accent2"/>
        </a:lnRef>
        <a:fillRef xmlns:a="http://schemas.openxmlformats.org/drawingml/2006/main" idx="2">
          <a:schemeClr val="accent2"/>
        </a:fillRef>
        <a:effectRef xmlns:a="http://schemas.openxmlformats.org/drawingml/2006/main" idx="1">
          <a:schemeClr val="accent2"/>
        </a:effectRef>
        <a:fontRef xmlns:a="http://schemas.openxmlformats.org/drawingml/2006/main" idx="minor">
          <a:schemeClr val="dk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userShape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8513AC-279C-43F3-8411-13473C74D3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448</TotalTime>
  <Pages>104</Pages>
  <Words>26846</Words>
  <Characters>158392</Characters>
  <Application>Microsoft Office Word</Application>
  <DocSecurity>0</DocSecurity>
  <Lines>1319</Lines>
  <Paragraphs>369</Paragraphs>
  <ScaleCrop>false</ScaleCrop>
  <HeadingPairs>
    <vt:vector size="2" baseType="variant">
      <vt:variant>
        <vt:lpstr>Název</vt:lpstr>
      </vt:variant>
      <vt:variant>
        <vt:i4>1</vt:i4>
      </vt:variant>
    </vt:vector>
  </HeadingPairs>
  <TitlesOfParts>
    <vt:vector size="1" baseType="lpstr">
      <vt:lpstr/>
    </vt:vector>
  </TitlesOfParts>
  <Company>Úřad vlády ČR</Company>
  <LinksUpToDate>false</LinksUpToDate>
  <CharactersWithSpaces>184869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Kureková Lucie</dc:creator>
  <cp:lastModifiedBy>Vítek Tomáš</cp:lastModifiedBy>
  <cp:revision>13</cp:revision>
  <cp:lastPrinted>2015-08-18T11:50:00Z</cp:lastPrinted>
  <dcterms:created xsi:type="dcterms:W3CDTF">2015-08-19T09:56:00Z</dcterms:created>
  <dcterms:modified xsi:type="dcterms:W3CDTF">2015-08-21T09:18:00Z</dcterms:modified>
</cp:coreProperties>
</file>