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936" w:rsidRPr="000218E2" w:rsidRDefault="00537936" w:rsidP="00537936">
      <w:pPr>
        <w:spacing w:after="240"/>
        <w:jc w:val="right"/>
        <w:rPr>
          <w:rFonts w:ascii="Arial" w:hAnsi="Arial" w:cs="Arial"/>
          <w:b/>
          <w:sz w:val="24"/>
        </w:rPr>
      </w:pPr>
      <w:r w:rsidRPr="000218E2">
        <w:rPr>
          <w:rFonts w:ascii="Arial" w:hAnsi="Arial" w:cs="Arial"/>
          <w:b/>
          <w:sz w:val="24"/>
        </w:rPr>
        <w:t>Příloha č. 1</w:t>
      </w:r>
    </w:p>
    <w:p w:rsidR="00537936" w:rsidRPr="00143F16" w:rsidRDefault="00537936" w:rsidP="00537936">
      <w:pPr>
        <w:spacing w:after="240"/>
        <w:ind w:right="-6"/>
        <w:rPr>
          <w:rFonts w:ascii="Arial" w:hAnsi="Arial" w:cs="Arial"/>
          <w:b/>
          <w:szCs w:val="22"/>
          <w:u w:val="single"/>
        </w:rPr>
      </w:pPr>
      <w:r w:rsidRPr="00143F16">
        <w:rPr>
          <w:rFonts w:ascii="Arial" w:hAnsi="Arial" w:cs="Arial"/>
          <w:b/>
          <w:szCs w:val="22"/>
          <w:u w:val="single"/>
        </w:rPr>
        <w:t xml:space="preserve">Obsah Koncepce výzkumu a vývoje Ministerstva životního prostředí </w:t>
      </w:r>
      <w:r w:rsidRPr="00143F16">
        <w:rPr>
          <w:rFonts w:ascii="Arial" w:hAnsi="Arial" w:cs="Arial"/>
          <w:b/>
          <w:szCs w:val="22"/>
          <w:u w:val="single"/>
          <w:shd w:val="clear" w:color="auto" w:fill="FFFFFF"/>
        </w:rPr>
        <w:t>na léta 2016 až 2025</w:t>
      </w:r>
    </w:p>
    <w:p w:rsidR="00537936" w:rsidRDefault="00537936" w:rsidP="00537936">
      <w:pPr>
        <w:spacing w:after="20" w:line="240" w:lineRule="auto"/>
        <w:ind w:left="900"/>
        <w:rPr>
          <w:rFonts w:ascii="Arial" w:hAnsi="Arial" w:cs="Arial"/>
          <w:szCs w:val="22"/>
        </w:rPr>
      </w:pPr>
    </w:p>
    <w:p w:rsidR="00537936" w:rsidRPr="00143F16" w:rsidRDefault="00537936" w:rsidP="00537936">
      <w:pPr>
        <w:pStyle w:val="Obsah1"/>
        <w:rPr>
          <w:color w:val="auto"/>
          <w:shd w:val="clear" w:color="auto" w:fill="auto"/>
        </w:rPr>
      </w:pPr>
      <w:r w:rsidRPr="00767418">
        <w:t>1. Úvod</w:t>
      </w:r>
      <w:r w:rsidRPr="00143F16">
        <w:rPr>
          <w:webHidden/>
          <w:color w:val="auto"/>
        </w:rPr>
        <w:tab/>
      </w:r>
      <w:r>
        <w:rPr>
          <w:webHidden/>
          <w:color w:val="auto"/>
        </w:rPr>
        <w:t>5</w:t>
      </w:r>
    </w:p>
    <w:p w:rsidR="00537936" w:rsidRPr="00143F16" w:rsidRDefault="00537936" w:rsidP="00537936">
      <w:pPr>
        <w:pStyle w:val="Obsah1"/>
        <w:rPr>
          <w:color w:val="auto"/>
          <w:shd w:val="clear" w:color="auto" w:fill="auto"/>
        </w:rPr>
      </w:pPr>
      <w:r w:rsidRPr="00767418">
        <w:t>2. Tematické zaměření Koncepce</w:t>
      </w:r>
      <w:r w:rsidRPr="00143F16">
        <w:rPr>
          <w:webHidden/>
          <w:color w:val="auto"/>
        </w:rPr>
        <w:tab/>
      </w:r>
      <w:r>
        <w:rPr>
          <w:webHidden/>
          <w:color w:val="auto"/>
        </w:rPr>
        <w:t>7</w:t>
      </w:r>
    </w:p>
    <w:p w:rsidR="00537936" w:rsidRPr="00143F16" w:rsidRDefault="00537936" w:rsidP="00537936">
      <w:pPr>
        <w:pStyle w:val="Obsah1"/>
        <w:rPr>
          <w:color w:val="auto"/>
          <w:shd w:val="clear" w:color="auto" w:fill="auto"/>
        </w:rPr>
      </w:pPr>
      <w:r w:rsidRPr="00767418">
        <w:t>3. Strategický rámec Koncepce</w:t>
      </w:r>
      <w:r w:rsidRPr="00143F16">
        <w:rPr>
          <w:webHidden/>
          <w:color w:val="auto"/>
        </w:rPr>
        <w:tab/>
      </w:r>
      <w:r>
        <w:rPr>
          <w:webHidden/>
          <w:color w:val="auto"/>
        </w:rPr>
        <w:t>12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3.1. Hlavní dokumenty EU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12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Evropa 2020: Strategie pro inteligentní a udržitelný růst podporující začlenění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13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Horizont 2020 – Rámcový program pro výzkum a inovace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13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Všeobecný akční program Unie pro životní prostředí na období do roku 2020 „Spokojený život v mezích naší planety“ (7. Akční program)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14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Program LIFE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14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Rámec politiky v oblasti klimatu a energetiky v období 2020–2030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15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Strategie EU pro přizpůsobení se změně klimatu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15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Program Čisté ovzduší pro Evropu (návrh)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15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Plán na ochranu vodních zdrojů Evropy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16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Zpráva o přezkumu evropské politiky pro řešení problému nedostatku vody a sucha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16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Naše životní pojistka, náš přírodní kapitál: strategie EU v oblasti biologické rozmanitosti do roku 2020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16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Uzavření smyčky – Akční plán EU v oblasti oběhové ekonomiky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17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Inovace pro udržitelnou budoucnost – Akční plán pro ekologické inovace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17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Evropská surovinová iniciativa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17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Evropská inovační platforma pro nerostné suroviny (EIP) a Strategický implementační plán (SIP)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18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Evropský institut pro inovace a technologii (EIT) a Znalostní inovační společenství (KIC)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18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3.2. Hlavní dokumenty ČR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19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Národní priority orientovaného výzkumu, experimentálního vývoje a inovací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19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Státní politika životního prostředí ČR 2012 – 2020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20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Strategie přizpůsobení se změně klimatu v podmínkách ČR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21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Národní program snižování emisí ČR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21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Národní plány povodí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22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Příprava realizace opatření pro zmírnění negativních dopadů sucha a nedostatku vody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22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Strategie ochrany biologické rozmanitosti ČR: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22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Plán odpadového hospodářství ČR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23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3.3. Hlavní dokumenty MŽP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23</w:t>
      </w:r>
    </w:p>
    <w:p w:rsidR="00537936" w:rsidRPr="00143F16" w:rsidRDefault="00537936" w:rsidP="00537936">
      <w:pPr>
        <w:pStyle w:val="Obsah1"/>
        <w:rPr>
          <w:color w:val="auto"/>
          <w:shd w:val="clear" w:color="auto" w:fill="auto"/>
        </w:rPr>
      </w:pPr>
      <w:r w:rsidRPr="00767418">
        <w:t>4. Celkový cíl Koncepce</w:t>
      </w:r>
      <w:r w:rsidRPr="00143F16">
        <w:rPr>
          <w:webHidden/>
          <w:color w:val="auto"/>
        </w:rPr>
        <w:tab/>
      </w:r>
      <w:r>
        <w:rPr>
          <w:webHidden/>
          <w:color w:val="auto"/>
        </w:rPr>
        <w:t>27</w:t>
      </w:r>
    </w:p>
    <w:p w:rsidR="00537936" w:rsidRPr="00143F16" w:rsidRDefault="00537936" w:rsidP="00537936">
      <w:pPr>
        <w:pStyle w:val="Obsah1"/>
        <w:rPr>
          <w:color w:val="auto"/>
          <w:shd w:val="clear" w:color="auto" w:fill="auto"/>
        </w:rPr>
      </w:pPr>
      <w:r w:rsidRPr="00767418">
        <w:t>5. Dílčí cíle Koncepce</w:t>
      </w:r>
      <w:r w:rsidRPr="00143F16">
        <w:rPr>
          <w:webHidden/>
          <w:color w:val="auto"/>
        </w:rPr>
        <w:tab/>
      </w:r>
      <w:r>
        <w:rPr>
          <w:webHidden/>
          <w:color w:val="auto"/>
        </w:rPr>
        <w:t>29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Oblast 1. Přírodní zdroje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32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1.1: Biodiverzita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32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1.2: Voda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33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1.3: Půda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34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1.4: Ovzduší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36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1.5: Nerostné zdroje a vlivy těžby na životní prostředí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37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Oblast 2. Globální změny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38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2.1: Metody mitigace a adaptace na globální a lokální změny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38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2.2: Biogeochemické cykly dusíku a fosforu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39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2.3: Nebezpečné látky v životním prostředí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41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lastRenderedPageBreak/>
        <w:t>Oblast 3. Udržitelný rozvoj krajiny a lidských sídel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42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3.1: Zelená infrastruktura – stabilní struktura krajiny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42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3.2: Zemědělství a lesnictví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43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3.3: Urbanismus a inteligentní lidská sídla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44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Oblast 4. Environmentální technologie a ekoinovace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45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4.1: Technologie, techniky a materiály přátelské k životnímu prostředí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45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4.2: Biotechnologie, materiálově, energeticky a emisně efektivní technologie, výrobky a služby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46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4.3: Minimalizace tvorby odpadů a jejich znovuvyužití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46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4.4: Odstraňování nebezpečných látek – starých škod z životního prostředí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47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4.5: Minimalizace rizik z chemických látek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48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Oblast 5. Environmentálně příznivá společnost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49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5.1: Spotřební vzorce obyvatelstva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49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Podoblast 5.2: Nástroje environmentálně příznivého růstu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50</w:t>
      </w:r>
    </w:p>
    <w:p w:rsidR="00537936" w:rsidRPr="00143F16" w:rsidRDefault="00537936" w:rsidP="00537936">
      <w:pPr>
        <w:pStyle w:val="Obsah1"/>
        <w:rPr>
          <w:color w:val="auto"/>
          <w:shd w:val="clear" w:color="auto" w:fill="auto"/>
        </w:rPr>
      </w:pPr>
      <w:r w:rsidRPr="00767418">
        <w:t>6. Analýza současného stavu výzkumu v oblasti životního prostředí</w:t>
      </w:r>
      <w:r w:rsidRPr="00143F16">
        <w:rPr>
          <w:webHidden/>
          <w:color w:val="auto"/>
        </w:rPr>
        <w:tab/>
      </w:r>
      <w:r>
        <w:rPr>
          <w:webHidden/>
          <w:color w:val="auto"/>
        </w:rPr>
        <w:t>53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6.1. Analýza výzkumu v oblasti životního prostředí v zahraničí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53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Dánsko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53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Německo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54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Rakousko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55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Švýcarsko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55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Spojené království Velké Británie a Severního Irska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56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Evropská unie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56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6.2. Analýza výzkumu v oblasti životního prostředí v ČR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57</w:t>
      </w:r>
    </w:p>
    <w:p w:rsidR="00537936" w:rsidRPr="00143F16" w:rsidRDefault="00537936" w:rsidP="00537936">
      <w:pPr>
        <w:pStyle w:val="Obsah1"/>
        <w:rPr>
          <w:color w:val="auto"/>
          <w:shd w:val="clear" w:color="auto" w:fill="auto"/>
        </w:rPr>
      </w:pPr>
      <w:r w:rsidRPr="00767418">
        <w:t>7. SWOT analýza</w:t>
      </w:r>
      <w:r w:rsidRPr="00143F16">
        <w:rPr>
          <w:webHidden/>
          <w:color w:val="auto"/>
        </w:rPr>
        <w:tab/>
      </w:r>
      <w:r>
        <w:rPr>
          <w:webHidden/>
          <w:color w:val="auto"/>
        </w:rPr>
        <w:t>61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7.1. Silné stránky: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61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7.2. Slabé stránky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61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7.3. Příležitosti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63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7.4. Hrozby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64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7.5. Zhodnocení analýzy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65</w:t>
      </w:r>
    </w:p>
    <w:p w:rsidR="00537936" w:rsidRPr="00143F16" w:rsidRDefault="00537936" w:rsidP="00537936">
      <w:pPr>
        <w:pStyle w:val="Obsah1"/>
        <w:rPr>
          <w:color w:val="auto"/>
          <w:shd w:val="clear" w:color="auto" w:fill="auto"/>
        </w:rPr>
      </w:pPr>
      <w:r w:rsidRPr="00767418">
        <w:t>8. Návaznosti Koncepce na další strategické dokumenty a zabezpečení jejich cílů</w:t>
      </w:r>
      <w:r w:rsidRPr="00143F16">
        <w:rPr>
          <w:webHidden/>
          <w:color w:val="auto"/>
        </w:rPr>
        <w:tab/>
      </w:r>
      <w:r>
        <w:rPr>
          <w:webHidden/>
          <w:color w:val="auto"/>
        </w:rPr>
        <w:t>67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8.1. Návaznost na NP VaVaI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67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Aktualizace Národní politiky výzkumu, vývoje a inovací České republiky na léta 2009 až 2015 s výhledem do roku 2020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67</w:t>
      </w:r>
    </w:p>
    <w:p w:rsidR="00537936" w:rsidRPr="00143F16" w:rsidRDefault="00537936" w:rsidP="00537936">
      <w:pPr>
        <w:pStyle w:val="Obsah3"/>
        <w:spacing w:after="20" w:line="240" w:lineRule="auto"/>
        <w:rPr>
          <w:rFonts w:ascii="Arial" w:hAnsi="Arial"/>
          <w:noProof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Národní politika výzkumu, vývoje a inovací České republiky na léta 2016 – 2020 s výhledem do roku 2025</w:t>
      </w:r>
      <w:r w:rsidRPr="00143F16">
        <w:rPr>
          <w:rFonts w:ascii="Arial" w:hAnsi="Arial"/>
          <w:noProof/>
          <w:webHidden/>
          <w:sz w:val="22"/>
          <w:szCs w:val="22"/>
        </w:rPr>
        <w:tab/>
      </w:r>
      <w:r>
        <w:rPr>
          <w:rFonts w:ascii="Arial" w:hAnsi="Arial"/>
          <w:noProof/>
          <w:webHidden/>
          <w:sz w:val="22"/>
          <w:szCs w:val="22"/>
        </w:rPr>
        <w:t>69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8.2. Návaznost na Priority VaVaI a další strategické dokumenty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74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8.3. Návaznost na politiku VaVaI v EU (na operační programy))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75</w:t>
      </w:r>
    </w:p>
    <w:p w:rsidR="00537936" w:rsidRPr="00143F16" w:rsidRDefault="00537936" w:rsidP="00537936">
      <w:pPr>
        <w:pStyle w:val="Obsah1"/>
        <w:rPr>
          <w:color w:val="auto"/>
          <w:shd w:val="clear" w:color="auto" w:fill="auto"/>
        </w:rPr>
      </w:pPr>
      <w:r w:rsidRPr="00767418">
        <w:t>9. Zabezpečení realizace Koncepce</w:t>
      </w:r>
      <w:r w:rsidRPr="00143F16">
        <w:rPr>
          <w:webHidden/>
          <w:color w:val="auto"/>
        </w:rPr>
        <w:tab/>
      </w:r>
      <w:r>
        <w:rPr>
          <w:webHidden/>
          <w:color w:val="auto"/>
        </w:rPr>
        <w:t>77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9.1. Oblast řízení, organizace a koordinace, včetně nároků na personální zabezpečení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77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9.2. Institucionální podpora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79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9.3. Účelová podpora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81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9.4. Využití výsledků VaV v praxi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83</w:t>
      </w:r>
    </w:p>
    <w:p w:rsidR="00537936" w:rsidRPr="00143F16" w:rsidRDefault="00537936" w:rsidP="00537936">
      <w:pPr>
        <w:pStyle w:val="Obsah2"/>
        <w:tabs>
          <w:tab w:val="right" w:leader="dot" w:pos="9062"/>
        </w:tabs>
        <w:spacing w:before="0" w:after="20" w:line="240" w:lineRule="auto"/>
        <w:rPr>
          <w:rFonts w:ascii="Arial" w:hAnsi="Arial"/>
          <w:i w:val="0"/>
          <w:iCs w:val="0"/>
          <w:noProof/>
          <w:color w:val="auto"/>
          <w:sz w:val="22"/>
          <w:szCs w:val="22"/>
          <w:shd w:val="clear" w:color="auto" w:fill="auto"/>
        </w:rPr>
      </w:pPr>
      <w:r w:rsidRPr="00767418">
        <w:rPr>
          <w:rFonts w:ascii="Arial" w:hAnsi="Arial"/>
          <w:noProof/>
          <w:sz w:val="22"/>
          <w:szCs w:val="22"/>
        </w:rPr>
        <w:t>9.5. Koncepce v oblasti mezinárodní spolupráce</w:t>
      </w:r>
      <w:r w:rsidRPr="00143F16">
        <w:rPr>
          <w:rFonts w:ascii="Arial" w:hAnsi="Arial"/>
          <w:noProof/>
          <w:webHidden/>
          <w:color w:val="auto"/>
          <w:sz w:val="22"/>
          <w:szCs w:val="22"/>
        </w:rPr>
        <w:tab/>
      </w:r>
      <w:r>
        <w:rPr>
          <w:rFonts w:ascii="Arial" w:hAnsi="Arial"/>
          <w:noProof/>
          <w:webHidden/>
          <w:color w:val="auto"/>
          <w:sz w:val="22"/>
          <w:szCs w:val="22"/>
        </w:rPr>
        <w:t>84</w:t>
      </w:r>
    </w:p>
    <w:p w:rsidR="00537936" w:rsidRPr="00143F16" w:rsidRDefault="00537936" w:rsidP="00537936">
      <w:pPr>
        <w:pStyle w:val="Obsah1"/>
        <w:rPr>
          <w:color w:val="auto"/>
          <w:shd w:val="clear" w:color="auto" w:fill="auto"/>
        </w:rPr>
      </w:pPr>
      <w:r w:rsidRPr="00767418">
        <w:t>10. Morální a etické problémy</w:t>
      </w:r>
      <w:r w:rsidRPr="00143F16">
        <w:rPr>
          <w:webHidden/>
          <w:color w:val="auto"/>
        </w:rPr>
        <w:tab/>
      </w:r>
      <w:r>
        <w:rPr>
          <w:webHidden/>
          <w:color w:val="auto"/>
        </w:rPr>
        <w:t>86</w:t>
      </w:r>
    </w:p>
    <w:p w:rsidR="00537936" w:rsidRPr="00143F16" w:rsidRDefault="00537936" w:rsidP="00537936">
      <w:pPr>
        <w:pStyle w:val="Obsah1"/>
        <w:rPr>
          <w:color w:val="auto"/>
          <w:shd w:val="clear" w:color="auto" w:fill="auto"/>
        </w:rPr>
      </w:pPr>
      <w:r w:rsidRPr="00767418">
        <w:t>11. Kontrola a hodnocení realizace Koncepce</w:t>
      </w:r>
      <w:r w:rsidRPr="00143F16">
        <w:rPr>
          <w:webHidden/>
          <w:color w:val="auto"/>
        </w:rPr>
        <w:tab/>
      </w:r>
      <w:r>
        <w:rPr>
          <w:webHidden/>
          <w:color w:val="auto"/>
        </w:rPr>
        <w:t>87</w:t>
      </w:r>
    </w:p>
    <w:p w:rsidR="00537936" w:rsidRPr="00143F16" w:rsidRDefault="00537936" w:rsidP="00537936">
      <w:pPr>
        <w:pStyle w:val="Obsah1"/>
        <w:rPr>
          <w:color w:val="auto"/>
          <w:shd w:val="clear" w:color="auto" w:fill="auto"/>
        </w:rPr>
      </w:pPr>
      <w:r w:rsidRPr="00767418">
        <w:t>12. Postup přípravy Koncepce</w:t>
      </w:r>
      <w:r w:rsidRPr="00143F16">
        <w:rPr>
          <w:webHidden/>
          <w:color w:val="auto"/>
        </w:rPr>
        <w:tab/>
      </w:r>
      <w:r>
        <w:rPr>
          <w:webHidden/>
          <w:color w:val="auto"/>
        </w:rPr>
        <w:t>89</w:t>
      </w:r>
    </w:p>
    <w:p w:rsidR="00537936" w:rsidRPr="004D34C6" w:rsidRDefault="00537936" w:rsidP="00537936">
      <w:pPr>
        <w:pStyle w:val="Obsah1"/>
        <w:rPr>
          <w:color w:val="auto"/>
          <w:shd w:val="clear" w:color="auto" w:fill="auto"/>
        </w:rPr>
      </w:pPr>
      <w:r w:rsidRPr="004D34C6">
        <w:t>13. Přílohy</w:t>
      </w:r>
      <w:r w:rsidRPr="004D34C6">
        <w:rPr>
          <w:webHidden/>
          <w:color w:val="auto"/>
        </w:rPr>
        <w:tab/>
        <w:t>90</w:t>
      </w:r>
    </w:p>
    <w:p w:rsidR="00537936" w:rsidRDefault="00537936" w:rsidP="00537936">
      <w:pPr>
        <w:ind w:firstLine="539"/>
      </w:pPr>
    </w:p>
    <w:p w:rsidR="00537936" w:rsidRDefault="00537936" w:rsidP="00537936">
      <w:pPr>
        <w:spacing w:after="20" w:line="240" w:lineRule="auto"/>
        <w:ind w:left="900"/>
        <w:rPr>
          <w:rFonts w:ascii="Arial" w:hAnsi="Arial" w:cs="Arial"/>
          <w:szCs w:val="22"/>
        </w:rPr>
      </w:pPr>
    </w:p>
    <w:p w:rsidR="00537936" w:rsidRPr="00143F16" w:rsidRDefault="00537936" w:rsidP="00537936">
      <w:pPr>
        <w:spacing w:after="20" w:line="240" w:lineRule="auto"/>
        <w:ind w:left="900"/>
        <w:rPr>
          <w:rFonts w:ascii="Arial" w:hAnsi="Arial" w:cs="Arial"/>
          <w:szCs w:val="22"/>
        </w:rPr>
      </w:pPr>
      <w:r w:rsidRPr="00143F16">
        <w:rPr>
          <w:rFonts w:ascii="Arial" w:hAnsi="Arial" w:cs="Arial"/>
          <w:szCs w:val="22"/>
        </w:rPr>
        <w:t>Příloha č. 1 - Analýza výzkumu v oblasti životního prostředí v zahraničí (106 stran)</w:t>
      </w:r>
    </w:p>
    <w:p w:rsidR="00537936" w:rsidRPr="00143F16" w:rsidRDefault="00537936" w:rsidP="00537936">
      <w:pPr>
        <w:spacing w:after="20" w:line="240" w:lineRule="auto"/>
        <w:ind w:left="900"/>
        <w:rPr>
          <w:rFonts w:ascii="Arial" w:hAnsi="Arial" w:cs="Arial"/>
          <w:szCs w:val="22"/>
        </w:rPr>
      </w:pPr>
      <w:r w:rsidRPr="00143F16">
        <w:rPr>
          <w:rFonts w:ascii="Arial" w:hAnsi="Arial" w:cs="Arial"/>
          <w:szCs w:val="22"/>
        </w:rPr>
        <w:t>Příloha č. 2 - Analýza výzkumu v oblasti životního prostředí v ČR (110 stran)</w:t>
      </w:r>
    </w:p>
    <w:p w:rsidR="00537936" w:rsidRPr="00143F16" w:rsidRDefault="00537936" w:rsidP="00537936">
      <w:pPr>
        <w:spacing w:after="20" w:line="240" w:lineRule="auto"/>
        <w:ind w:left="900"/>
        <w:rPr>
          <w:rFonts w:ascii="Arial" w:hAnsi="Arial" w:cs="Arial"/>
          <w:szCs w:val="22"/>
        </w:rPr>
      </w:pPr>
      <w:r w:rsidRPr="00143F16">
        <w:rPr>
          <w:rFonts w:ascii="Arial" w:hAnsi="Arial" w:cs="Arial"/>
          <w:szCs w:val="22"/>
        </w:rPr>
        <w:t>Příloha č. 3 - Potřeby v oblasti resortního výzkumu MŽP (6 stran)</w:t>
      </w:r>
    </w:p>
    <w:p w:rsidR="00537936" w:rsidRPr="00143F16" w:rsidRDefault="00537936" w:rsidP="00537936">
      <w:pPr>
        <w:spacing w:after="20" w:line="240" w:lineRule="auto"/>
        <w:ind w:firstLine="540"/>
        <w:rPr>
          <w:rFonts w:ascii="Arial" w:hAnsi="Arial" w:cs="Arial"/>
          <w:szCs w:val="22"/>
        </w:rPr>
        <w:sectPr w:rsidR="00537936" w:rsidRPr="00143F16" w:rsidSect="00EA78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851" w:left="1418" w:header="709" w:footer="709" w:gutter="0"/>
          <w:cols w:space="708"/>
          <w:titlePg/>
          <w:docGrid w:linePitch="360"/>
        </w:sectPr>
      </w:pPr>
    </w:p>
    <w:p w:rsidR="00537936" w:rsidRPr="000218E2" w:rsidRDefault="00537936" w:rsidP="00537936">
      <w:pPr>
        <w:spacing w:after="240"/>
        <w:jc w:val="right"/>
        <w:rPr>
          <w:rFonts w:ascii="Arial" w:hAnsi="Arial" w:cs="Arial"/>
          <w:b/>
          <w:sz w:val="24"/>
        </w:rPr>
      </w:pPr>
      <w:r w:rsidRPr="000218E2">
        <w:rPr>
          <w:rFonts w:ascii="Arial" w:hAnsi="Arial" w:cs="Arial"/>
          <w:b/>
          <w:sz w:val="24"/>
        </w:rPr>
        <w:lastRenderedPageBreak/>
        <w:t>Příloha č. 2</w:t>
      </w:r>
    </w:p>
    <w:p w:rsidR="00537936" w:rsidRPr="000218E2" w:rsidRDefault="00537936" w:rsidP="00537936">
      <w:pPr>
        <w:spacing w:after="240"/>
        <w:jc w:val="center"/>
        <w:rPr>
          <w:rFonts w:ascii="Arial" w:hAnsi="Arial" w:cs="Arial"/>
          <w:b/>
          <w:bCs/>
          <w:sz w:val="24"/>
          <w:u w:val="single"/>
        </w:rPr>
      </w:pPr>
      <w:r w:rsidRPr="000218E2">
        <w:rPr>
          <w:rFonts w:ascii="Arial" w:hAnsi="Arial" w:cs="Arial"/>
          <w:b/>
          <w:bCs/>
          <w:sz w:val="24"/>
          <w:u w:val="single"/>
        </w:rPr>
        <w:t>Návrh pro jednání s ÚV ČR pro přípravu návrhu SR VaVaI 2017 - 2019</w:t>
      </w:r>
    </w:p>
    <w:p w:rsidR="00537936" w:rsidRPr="000218E2" w:rsidRDefault="00537936" w:rsidP="00537936">
      <w:pPr>
        <w:rPr>
          <w:rFonts w:ascii="Arial" w:hAnsi="Arial" w:cs="Arial"/>
          <w:b/>
          <w:bCs/>
          <w:sz w:val="24"/>
          <w:u w:val="single"/>
        </w:rPr>
      </w:pPr>
      <w:r w:rsidRPr="000218E2">
        <w:rPr>
          <w:rFonts w:ascii="Arial" w:hAnsi="Arial" w:cs="Arial"/>
          <w:b/>
          <w:bCs/>
          <w:sz w:val="24"/>
          <w:u w:val="single"/>
        </w:rPr>
        <w:t>Rok 2017</w:t>
      </w:r>
    </w:p>
    <w:p w:rsidR="00537936" w:rsidRPr="00143F16" w:rsidRDefault="00537936" w:rsidP="00537936">
      <w:pPr>
        <w:rPr>
          <w:rFonts w:ascii="Arial" w:hAnsi="Arial" w:cs="Arial"/>
          <w:b/>
          <w:bCs/>
          <w:szCs w:val="22"/>
        </w:rPr>
      </w:pPr>
      <w:r w:rsidRPr="00143F16">
        <w:rPr>
          <w:rFonts w:ascii="Arial" w:hAnsi="Arial" w:cs="Arial"/>
          <w:b/>
          <w:bCs/>
          <w:szCs w:val="22"/>
        </w:rPr>
        <w:t>Výdaje na výzkum, vývoj a inovace celkem včetně programů spolufinancovaných z prostředků zahraničních programů kapitoly 315 MŽP – 271 000 tis. Kč</w:t>
      </w:r>
    </w:p>
    <w:p w:rsidR="00537936" w:rsidRPr="00537936" w:rsidRDefault="00537936" w:rsidP="00537936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  <w:bCs/>
          <w:szCs w:val="22"/>
        </w:rPr>
      </w:pPr>
      <w:r w:rsidRPr="00537936">
        <w:rPr>
          <w:rFonts w:ascii="Arial" w:hAnsi="Arial" w:cs="Arial"/>
          <w:bCs/>
          <w:szCs w:val="22"/>
        </w:rPr>
        <w:t>v tom:</w:t>
      </w:r>
      <w:r w:rsidRPr="00537936">
        <w:rPr>
          <w:rFonts w:ascii="Arial" w:hAnsi="Arial" w:cs="Arial"/>
          <w:bCs/>
          <w:szCs w:val="22"/>
        </w:rPr>
        <w:tab/>
        <w:t>institucionální podpora celkem – 271 000 tis. Kč</w:t>
      </w:r>
    </w:p>
    <w:p w:rsidR="00537936" w:rsidRPr="00537936" w:rsidRDefault="00537936" w:rsidP="00537936">
      <w:pPr>
        <w:pStyle w:val="Odstavecseseznamem"/>
        <w:numPr>
          <w:ilvl w:val="0"/>
          <w:numId w:val="3"/>
        </w:numPr>
        <w:tabs>
          <w:tab w:val="left" w:pos="1800"/>
        </w:tabs>
        <w:rPr>
          <w:rFonts w:ascii="Arial" w:hAnsi="Arial" w:cs="Arial"/>
          <w:bCs/>
          <w:szCs w:val="22"/>
        </w:rPr>
      </w:pPr>
      <w:r w:rsidRPr="00537936">
        <w:rPr>
          <w:rFonts w:ascii="Arial" w:hAnsi="Arial" w:cs="Arial"/>
          <w:bCs/>
          <w:szCs w:val="22"/>
        </w:rPr>
        <w:t>z toho:</w:t>
      </w:r>
      <w:r w:rsidRPr="00537936">
        <w:rPr>
          <w:rFonts w:ascii="Arial" w:hAnsi="Arial" w:cs="Arial"/>
          <w:bCs/>
          <w:szCs w:val="22"/>
        </w:rPr>
        <w:tab/>
      </w:r>
      <w:proofErr w:type="spellStart"/>
      <w:r w:rsidRPr="00537936">
        <w:rPr>
          <w:rFonts w:ascii="Arial" w:hAnsi="Arial" w:cs="Arial"/>
          <w:bCs/>
          <w:szCs w:val="22"/>
        </w:rPr>
        <w:t>inst</w:t>
      </w:r>
      <w:proofErr w:type="spellEnd"/>
      <w:r w:rsidRPr="00537936">
        <w:rPr>
          <w:rFonts w:ascii="Arial" w:hAnsi="Arial" w:cs="Arial"/>
          <w:bCs/>
          <w:szCs w:val="22"/>
        </w:rPr>
        <w:t>. podpora na RVO – 266 000 tis. Kč</w:t>
      </w:r>
    </w:p>
    <w:p w:rsidR="00537936" w:rsidRPr="00143F16" w:rsidRDefault="00537936" w:rsidP="00537936">
      <w:pPr>
        <w:tabs>
          <w:tab w:val="left" w:pos="1800"/>
        </w:tabs>
        <w:rPr>
          <w:rFonts w:ascii="Arial" w:hAnsi="Arial" w:cs="Arial"/>
          <w:bCs/>
          <w:szCs w:val="22"/>
        </w:rPr>
      </w:pPr>
      <w:r w:rsidRPr="00143F16"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 w:rsidRPr="00143F16">
        <w:rPr>
          <w:rFonts w:ascii="Arial" w:hAnsi="Arial" w:cs="Arial"/>
          <w:bCs/>
          <w:szCs w:val="22"/>
        </w:rPr>
        <w:t>výdaje na přípravu a hodnocení programů – 5 000 tis. Kč</w:t>
      </w:r>
    </w:p>
    <w:p w:rsidR="00537936" w:rsidRPr="00537936" w:rsidRDefault="00537936" w:rsidP="00537936">
      <w:pPr>
        <w:pStyle w:val="Odstavecseseznamem"/>
        <w:numPr>
          <w:ilvl w:val="0"/>
          <w:numId w:val="3"/>
        </w:numPr>
        <w:rPr>
          <w:rFonts w:ascii="Arial" w:hAnsi="Arial" w:cs="Arial"/>
          <w:bCs/>
          <w:szCs w:val="22"/>
        </w:rPr>
      </w:pPr>
      <w:r w:rsidRPr="00537936">
        <w:rPr>
          <w:rFonts w:ascii="Arial" w:hAnsi="Arial" w:cs="Arial"/>
          <w:bCs/>
          <w:szCs w:val="22"/>
        </w:rPr>
        <w:t>účelová podpora celkem – 0 Kč</w:t>
      </w:r>
    </w:p>
    <w:p w:rsidR="00537936" w:rsidRPr="00537936" w:rsidRDefault="00537936" w:rsidP="00537936">
      <w:pPr>
        <w:pStyle w:val="Odstavecseseznamem"/>
        <w:numPr>
          <w:ilvl w:val="0"/>
          <w:numId w:val="2"/>
        </w:numPr>
        <w:rPr>
          <w:rFonts w:ascii="Arial" w:hAnsi="Arial" w:cs="Arial"/>
          <w:bCs/>
          <w:szCs w:val="22"/>
        </w:rPr>
      </w:pPr>
      <w:r w:rsidRPr="00537936">
        <w:rPr>
          <w:rFonts w:ascii="Arial" w:hAnsi="Arial" w:cs="Arial"/>
          <w:bCs/>
          <w:szCs w:val="22"/>
        </w:rPr>
        <w:t xml:space="preserve">a dále personální zajištění 1 500 tis. Kč </w:t>
      </w:r>
    </w:p>
    <w:p w:rsidR="00537936" w:rsidRPr="00143F16" w:rsidRDefault="00537936" w:rsidP="00537936">
      <w:pPr>
        <w:rPr>
          <w:rFonts w:ascii="Arial" w:hAnsi="Arial" w:cs="Arial"/>
          <w:bCs/>
          <w:szCs w:val="22"/>
        </w:rPr>
      </w:pPr>
    </w:p>
    <w:p w:rsidR="00537936" w:rsidRPr="000218E2" w:rsidRDefault="00537936" w:rsidP="00537936">
      <w:pPr>
        <w:rPr>
          <w:rFonts w:ascii="Arial" w:hAnsi="Arial" w:cs="Arial"/>
          <w:b/>
          <w:bCs/>
          <w:sz w:val="24"/>
          <w:u w:val="single"/>
        </w:rPr>
      </w:pPr>
      <w:r w:rsidRPr="000218E2">
        <w:rPr>
          <w:rFonts w:ascii="Arial" w:hAnsi="Arial" w:cs="Arial"/>
          <w:b/>
          <w:bCs/>
          <w:sz w:val="24"/>
          <w:u w:val="single"/>
        </w:rPr>
        <w:t>Rok 2018</w:t>
      </w:r>
    </w:p>
    <w:p w:rsidR="00537936" w:rsidRPr="00143F16" w:rsidRDefault="00537936" w:rsidP="00537936">
      <w:pPr>
        <w:rPr>
          <w:rFonts w:ascii="Arial" w:hAnsi="Arial" w:cs="Arial"/>
          <w:b/>
          <w:bCs/>
          <w:szCs w:val="22"/>
        </w:rPr>
      </w:pPr>
      <w:r w:rsidRPr="00143F16">
        <w:rPr>
          <w:rFonts w:ascii="Arial" w:hAnsi="Arial" w:cs="Arial"/>
          <w:b/>
          <w:bCs/>
          <w:szCs w:val="22"/>
        </w:rPr>
        <w:t>Výdaje na výzkum, vývoj a inovace celkem včetně programů spolufinancovaných z prostředků zahraničních programů kapitoly 315 MŽP – 521 500 tis. Kč</w:t>
      </w:r>
    </w:p>
    <w:p w:rsidR="00537936" w:rsidRPr="00537936" w:rsidRDefault="00537936" w:rsidP="00537936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  <w:bCs/>
          <w:szCs w:val="22"/>
        </w:rPr>
      </w:pPr>
      <w:r w:rsidRPr="00537936">
        <w:rPr>
          <w:rFonts w:ascii="Arial" w:hAnsi="Arial" w:cs="Arial"/>
          <w:bCs/>
          <w:szCs w:val="22"/>
        </w:rPr>
        <w:t>v tom:</w:t>
      </w:r>
      <w:r w:rsidRPr="00537936">
        <w:rPr>
          <w:rFonts w:ascii="Arial" w:hAnsi="Arial" w:cs="Arial"/>
          <w:bCs/>
          <w:szCs w:val="22"/>
        </w:rPr>
        <w:tab/>
        <w:t>institucionální podpora celkem – 271 000 tis. Kč</w:t>
      </w:r>
    </w:p>
    <w:p w:rsidR="00537936" w:rsidRPr="00537936" w:rsidRDefault="00537936" w:rsidP="00537936">
      <w:pPr>
        <w:pStyle w:val="Odstavecseseznamem"/>
        <w:numPr>
          <w:ilvl w:val="0"/>
          <w:numId w:val="3"/>
        </w:numPr>
        <w:tabs>
          <w:tab w:val="left" w:pos="1800"/>
        </w:tabs>
        <w:rPr>
          <w:rFonts w:ascii="Arial" w:hAnsi="Arial" w:cs="Arial"/>
          <w:bCs/>
          <w:szCs w:val="22"/>
        </w:rPr>
      </w:pPr>
      <w:r w:rsidRPr="00537936">
        <w:rPr>
          <w:rFonts w:ascii="Arial" w:hAnsi="Arial" w:cs="Arial"/>
          <w:bCs/>
          <w:szCs w:val="22"/>
        </w:rPr>
        <w:t>z toho:</w:t>
      </w:r>
      <w:r w:rsidRPr="00537936">
        <w:rPr>
          <w:rFonts w:ascii="Arial" w:hAnsi="Arial" w:cs="Arial"/>
          <w:bCs/>
          <w:szCs w:val="22"/>
        </w:rPr>
        <w:tab/>
      </w:r>
      <w:proofErr w:type="spellStart"/>
      <w:r w:rsidRPr="00537936">
        <w:rPr>
          <w:rFonts w:ascii="Arial" w:hAnsi="Arial" w:cs="Arial"/>
          <w:bCs/>
          <w:szCs w:val="22"/>
        </w:rPr>
        <w:t>inst</w:t>
      </w:r>
      <w:proofErr w:type="spellEnd"/>
      <w:r w:rsidRPr="00537936">
        <w:rPr>
          <w:rFonts w:ascii="Arial" w:hAnsi="Arial" w:cs="Arial"/>
          <w:bCs/>
          <w:szCs w:val="22"/>
        </w:rPr>
        <w:t>. podpora na RVO – 266 000 tis. Kč</w:t>
      </w:r>
    </w:p>
    <w:p w:rsidR="00537936" w:rsidRPr="00143F16" w:rsidRDefault="00537936" w:rsidP="00537936">
      <w:pPr>
        <w:tabs>
          <w:tab w:val="left" w:pos="1800"/>
        </w:tabs>
        <w:rPr>
          <w:rFonts w:ascii="Arial" w:hAnsi="Arial" w:cs="Arial"/>
          <w:bCs/>
          <w:szCs w:val="22"/>
        </w:rPr>
      </w:pPr>
      <w:r w:rsidRPr="00143F16"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 w:rsidRPr="00143F16">
        <w:rPr>
          <w:rFonts w:ascii="Arial" w:hAnsi="Arial" w:cs="Arial"/>
          <w:bCs/>
          <w:szCs w:val="22"/>
        </w:rPr>
        <w:t>výdaje na přípravu a hodnocení programů 5 000 tis. Kč</w:t>
      </w:r>
    </w:p>
    <w:p w:rsidR="00537936" w:rsidRPr="00537936" w:rsidRDefault="00537936" w:rsidP="00537936">
      <w:pPr>
        <w:pStyle w:val="Odstavecseseznamem"/>
        <w:numPr>
          <w:ilvl w:val="0"/>
          <w:numId w:val="3"/>
        </w:numPr>
        <w:rPr>
          <w:rFonts w:ascii="Arial" w:hAnsi="Arial" w:cs="Arial"/>
          <w:bCs/>
          <w:szCs w:val="22"/>
        </w:rPr>
      </w:pPr>
      <w:r w:rsidRPr="00537936">
        <w:rPr>
          <w:rFonts w:ascii="Arial" w:hAnsi="Arial" w:cs="Arial"/>
          <w:bCs/>
          <w:szCs w:val="22"/>
        </w:rPr>
        <w:t>účelová podpora celkem  - 250 500 tis. Kč</w:t>
      </w:r>
    </w:p>
    <w:p w:rsidR="00537936" w:rsidRPr="00537936" w:rsidRDefault="00537936" w:rsidP="00537936">
      <w:pPr>
        <w:pStyle w:val="Odstavecseseznamem"/>
        <w:numPr>
          <w:ilvl w:val="0"/>
          <w:numId w:val="2"/>
        </w:numPr>
        <w:rPr>
          <w:rFonts w:ascii="Arial" w:hAnsi="Arial" w:cs="Arial"/>
          <w:bCs/>
          <w:szCs w:val="22"/>
        </w:rPr>
      </w:pPr>
      <w:r w:rsidRPr="00537936">
        <w:rPr>
          <w:rFonts w:ascii="Arial" w:hAnsi="Arial" w:cs="Arial"/>
          <w:bCs/>
          <w:szCs w:val="22"/>
        </w:rPr>
        <w:t xml:space="preserve">a dále personální zajištění 2 250 tis. Kč </w:t>
      </w:r>
    </w:p>
    <w:p w:rsidR="00537936" w:rsidRPr="00143F16" w:rsidRDefault="00537936" w:rsidP="00537936">
      <w:pPr>
        <w:rPr>
          <w:rFonts w:ascii="Arial" w:hAnsi="Arial" w:cs="Arial"/>
          <w:szCs w:val="22"/>
        </w:rPr>
      </w:pPr>
    </w:p>
    <w:p w:rsidR="00537936" w:rsidRPr="000218E2" w:rsidRDefault="00537936" w:rsidP="00537936">
      <w:pPr>
        <w:rPr>
          <w:rFonts w:ascii="Arial" w:hAnsi="Arial" w:cs="Arial"/>
          <w:b/>
          <w:bCs/>
          <w:sz w:val="24"/>
          <w:u w:val="single"/>
        </w:rPr>
      </w:pPr>
      <w:r w:rsidRPr="000218E2">
        <w:rPr>
          <w:rFonts w:ascii="Arial" w:hAnsi="Arial" w:cs="Arial"/>
          <w:b/>
          <w:bCs/>
          <w:sz w:val="24"/>
          <w:u w:val="single"/>
        </w:rPr>
        <w:t>Rok 2019</w:t>
      </w:r>
    </w:p>
    <w:p w:rsidR="00537936" w:rsidRPr="00143F16" w:rsidRDefault="00537936" w:rsidP="00537936">
      <w:pPr>
        <w:rPr>
          <w:rFonts w:ascii="Arial" w:hAnsi="Arial" w:cs="Arial"/>
          <w:b/>
          <w:bCs/>
          <w:szCs w:val="22"/>
        </w:rPr>
      </w:pPr>
      <w:r w:rsidRPr="00143F16">
        <w:rPr>
          <w:rFonts w:ascii="Arial" w:hAnsi="Arial" w:cs="Arial"/>
          <w:b/>
          <w:bCs/>
          <w:szCs w:val="22"/>
        </w:rPr>
        <w:t>Výdaje na výzkum, vývoj a inovace celkem včetně programů spolufinancovaných z prostředků zahraničních programů kapitoly 315 MŽP 525 500 tis. Kč</w:t>
      </w:r>
    </w:p>
    <w:p w:rsidR="00537936" w:rsidRPr="00537936" w:rsidRDefault="00537936" w:rsidP="00537936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  <w:bCs/>
          <w:szCs w:val="22"/>
        </w:rPr>
      </w:pPr>
      <w:r w:rsidRPr="00537936">
        <w:rPr>
          <w:rFonts w:ascii="Arial" w:hAnsi="Arial" w:cs="Arial"/>
          <w:bCs/>
          <w:szCs w:val="22"/>
        </w:rPr>
        <w:t>v tom:</w:t>
      </w:r>
      <w:r w:rsidRPr="00537936">
        <w:rPr>
          <w:rFonts w:ascii="Arial" w:hAnsi="Arial" w:cs="Arial"/>
          <w:bCs/>
          <w:szCs w:val="22"/>
        </w:rPr>
        <w:tab/>
        <w:t>institucionální podpora celkem – 275 000 tis. Kč</w:t>
      </w:r>
    </w:p>
    <w:p w:rsidR="00537936" w:rsidRPr="00537936" w:rsidRDefault="00537936" w:rsidP="00537936">
      <w:pPr>
        <w:pStyle w:val="Odstavecseseznamem"/>
        <w:numPr>
          <w:ilvl w:val="0"/>
          <w:numId w:val="3"/>
        </w:numPr>
        <w:tabs>
          <w:tab w:val="left" w:pos="1800"/>
        </w:tabs>
        <w:rPr>
          <w:rFonts w:ascii="Arial" w:hAnsi="Arial" w:cs="Arial"/>
          <w:bCs/>
          <w:szCs w:val="22"/>
        </w:rPr>
      </w:pPr>
      <w:r w:rsidRPr="00537936">
        <w:rPr>
          <w:rFonts w:ascii="Arial" w:hAnsi="Arial" w:cs="Arial"/>
          <w:bCs/>
          <w:szCs w:val="22"/>
        </w:rPr>
        <w:t>z toho:</w:t>
      </w:r>
      <w:r w:rsidRPr="00537936">
        <w:rPr>
          <w:rFonts w:ascii="Arial" w:hAnsi="Arial" w:cs="Arial"/>
          <w:bCs/>
          <w:szCs w:val="22"/>
        </w:rPr>
        <w:tab/>
      </w:r>
      <w:proofErr w:type="spellStart"/>
      <w:r w:rsidRPr="00537936">
        <w:rPr>
          <w:rFonts w:ascii="Arial" w:hAnsi="Arial" w:cs="Arial"/>
          <w:bCs/>
          <w:szCs w:val="22"/>
        </w:rPr>
        <w:t>inst</w:t>
      </w:r>
      <w:proofErr w:type="spellEnd"/>
      <w:r w:rsidRPr="00537936">
        <w:rPr>
          <w:rFonts w:ascii="Arial" w:hAnsi="Arial" w:cs="Arial"/>
          <w:bCs/>
          <w:szCs w:val="22"/>
        </w:rPr>
        <w:t>. podpora na RVO – 270 000 tis. Kč</w:t>
      </w:r>
    </w:p>
    <w:p w:rsidR="00537936" w:rsidRPr="00143F16" w:rsidRDefault="00537936" w:rsidP="00537936">
      <w:pPr>
        <w:tabs>
          <w:tab w:val="left" w:pos="1800"/>
        </w:tabs>
        <w:rPr>
          <w:rFonts w:ascii="Arial" w:hAnsi="Arial" w:cs="Arial"/>
          <w:bCs/>
          <w:szCs w:val="22"/>
        </w:rPr>
      </w:pPr>
      <w:r w:rsidRPr="00143F16"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 w:rsidRPr="00143F16">
        <w:rPr>
          <w:rFonts w:ascii="Arial" w:hAnsi="Arial" w:cs="Arial"/>
          <w:bCs/>
          <w:szCs w:val="22"/>
        </w:rPr>
        <w:t>výdaje na přípravu a hodnocení programů 5 000 tis. Kč</w:t>
      </w:r>
    </w:p>
    <w:p w:rsidR="00537936" w:rsidRPr="00537936" w:rsidRDefault="00537936" w:rsidP="00537936">
      <w:pPr>
        <w:pStyle w:val="Odstavecseseznamem"/>
        <w:numPr>
          <w:ilvl w:val="0"/>
          <w:numId w:val="3"/>
        </w:numPr>
        <w:rPr>
          <w:rFonts w:ascii="Arial" w:hAnsi="Arial" w:cs="Arial"/>
          <w:bCs/>
          <w:szCs w:val="22"/>
        </w:rPr>
      </w:pPr>
      <w:r w:rsidRPr="00537936">
        <w:rPr>
          <w:rFonts w:ascii="Arial" w:hAnsi="Arial" w:cs="Arial"/>
          <w:bCs/>
          <w:szCs w:val="22"/>
        </w:rPr>
        <w:t>účelová podpora celkem  - 250 500 tis. Kč</w:t>
      </w:r>
    </w:p>
    <w:p w:rsidR="00537936" w:rsidRPr="00537936" w:rsidRDefault="00537936" w:rsidP="00537936">
      <w:pPr>
        <w:pStyle w:val="Odstavecseseznamem"/>
        <w:numPr>
          <w:ilvl w:val="0"/>
          <w:numId w:val="2"/>
        </w:numPr>
        <w:rPr>
          <w:rFonts w:ascii="Arial" w:hAnsi="Arial" w:cs="Arial"/>
          <w:bCs/>
          <w:szCs w:val="22"/>
        </w:rPr>
      </w:pPr>
      <w:r w:rsidRPr="00537936">
        <w:rPr>
          <w:rFonts w:ascii="Arial" w:hAnsi="Arial" w:cs="Arial"/>
          <w:bCs/>
          <w:szCs w:val="22"/>
        </w:rPr>
        <w:t xml:space="preserve">a dále personální zajištění 2 250 tis. Kč </w:t>
      </w:r>
    </w:p>
    <w:p w:rsidR="00537936" w:rsidRPr="00143F16" w:rsidRDefault="00537936" w:rsidP="00537936">
      <w:pPr>
        <w:rPr>
          <w:rFonts w:ascii="Arial" w:hAnsi="Arial" w:cs="Arial"/>
          <w:szCs w:val="22"/>
        </w:rPr>
      </w:pPr>
    </w:p>
    <w:p w:rsidR="00537936" w:rsidRPr="000218E2" w:rsidRDefault="00537936" w:rsidP="00537936">
      <w:pPr>
        <w:rPr>
          <w:rFonts w:ascii="Arial" w:hAnsi="Arial" w:cs="Arial"/>
          <w:b/>
          <w:sz w:val="24"/>
          <w:u w:val="single"/>
        </w:rPr>
      </w:pPr>
      <w:r w:rsidRPr="000218E2">
        <w:rPr>
          <w:rFonts w:ascii="Arial" w:hAnsi="Arial" w:cs="Arial"/>
          <w:b/>
          <w:sz w:val="24"/>
          <w:u w:val="single"/>
        </w:rPr>
        <w:t>Personální zajištění</w:t>
      </w:r>
    </w:p>
    <w:p w:rsidR="00537936" w:rsidRPr="00537936" w:rsidRDefault="00537936" w:rsidP="00537936">
      <w:pPr>
        <w:pStyle w:val="Odstavecseseznamem"/>
        <w:numPr>
          <w:ilvl w:val="0"/>
          <w:numId w:val="4"/>
        </w:numPr>
        <w:rPr>
          <w:rFonts w:ascii="Arial" w:hAnsi="Arial" w:cs="Arial"/>
          <w:szCs w:val="22"/>
        </w:rPr>
      </w:pPr>
      <w:r w:rsidRPr="00537936">
        <w:rPr>
          <w:rFonts w:ascii="Arial" w:hAnsi="Arial" w:cs="Arial"/>
          <w:szCs w:val="22"/>
        </w:rPr>
        <w:t>3 pracovní místa – od ledna 2017 (výběrová řízení – podzim 2016 – nástup od ledna 2017)</w:t>
      </w:r>
    </w:p>
    <w:p w:rsidR="00537936" w:rsidRPr="00537936" w:rsidRDefault="00537936" w:rsidP="00537936">
      <w:pPr>
        <w:pStyle w:val="Odstavecseseznamem"/>
        <w:numPr>
          <w:ilvl w:val="0"/>
          <w:numId w:val="4"/>
        </w:numPr>
        <w:rPr>
          <w:rFonts w:ascii="Arial" w:hAnsi="Arial" w:cs="Arial"/>
          <w:szCs w:val="22"/>
        </w:rPr>
      </w:pPr>
      <w:r w:rsidRPr="00537936">
        <w:rPr>
          <w:rFonts w:ascii="Arial" w:hAnsi="Arial" w:cs="Arial"/>
          <w:szCs w:val="22"/>
        </w:rPr>
        <w:t>6 pracovních míst – od 2. pololetí 2017 (výběrová řízení – od ledna 2017 – nástup v průběhu roku 2017)</w:t>
      </w:r>
    </w:p>
    <w:p w:rsidR="00537936" w:rsidRPr="00143F16" w:rsidRDefault="00537936" w:rsidP="00537936">
      <w:pPr>
        <w:ind w:firstLine="720"/>
        <w:rPr>
          <w:rFonts w:ascii="Arial" w:hAnsi="Arial" w:cs="Arial"/>
          <w:szCs w:val="22"/>
        </w:rPr>
      </w:pPr>
    </w:p>
    <w:p w:rsidR="002C00EE" w:rsidRDefault="002C00EE"/>
    <w:sectPr w:rsidR="002C00EE" w:rsidSect="00EA78F9">
      <w:pgSz w:w="11906" w:h="16838"/>
      <w:pgMar w:top="1134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3EF" w:rsidRDefault="005913EF" w:rsidP="00A239BA">
      <w:pPr>
        <w:spacing w:after="0" w:line="240" w:lineRule="auto"/>
      </w:pPr>
      <w:r>
        <w:separator/>
      </w:r>
    </w:p>
  </w:endnote>
  <w:endnote w:type="continuationSeparator" w:id="0">
    <w:p w:rsidR="005913EF" w:rsidRDefault="005913EF" w:rsidP="00A23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89" w:rsidRDefault="000325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89" w:rsidRDefault="0003258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89" w:rsidRDefault="000325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3EF" w:rsidRDefault="005913EF" w:rsidP="00A239BA">
      <w:pPr>
        <w:spacing w:after="0" w:line="240" w:lineRule="auto"/>
      </w:pPr>
      <w:r>
        <w:separator/>
      </w:r>
    </w:p>
  </w:footnote>
  <w:footnote w:type="continuationSeparator" w:id="0">
    <w:p w:rsidR="005913EF" w:rsidRDefault="005913EF" w:rsidP="00A23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89" w:rsidRDefault="0003258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89" w:rsidRDefault="0003258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A239BA" w:rsidTr="00EF696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A239BA" w:rsidRPr="009758E5" w:rsidRDefault="00A239BA" w:rsidP="00EF6964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E9B2E81" wp14:editId="52540C5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A239BA" w:rsidRPr="003C2A8E" w:rsidRDefault="00A239BA" w:rsidP="00EF696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032589">
            <w:rPr>
              <w:rFonts w:ascii="Arial" w:hAnsi="Arial" w:cs="Arial"/>
              <w:b/>
              <w:color w:val="0070C0"/>
              <w:sz w:val="28"/>
              <w:szCs w:val="28"/>
            </w:rPr>
            <w:t>13/C11</w:t>
          </w:r>
          <w:bookmarkStart w:id="0" w:name="_GoBack"/>
          <w:bookmarkEnd w:id="0"/>
        </w:p>
      </w:tc>
    </w:tr>
  </w:tbl>
  <w:p w:rsidR="00A239BA" w:rsidRDefault="00A239B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3E88"/>
    <w:multiLevelType w:val="hybridMultilevel"/>
    <w:tmpl w:val="04769240"/>
    <w:lvl w:ilvl="0" w:tplc="0405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BC77501"/>
    <w:multiLevelType w:val="hybridMultilevel"/>
    <w:tmpl w:val="122A17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817779"/>
    <w:multiLevelType w:val="hybridMultilevel"/>
    <w:tmpl w:val="EFCC29F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64A46"/>
    <w:multiLevelType w:val="hybridMultilevel"/>
    <w:tmpl w:val="8A740C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936"/>
    <w:rsid w:val="00032589"/>
    <w:rsid w:val="002C00EE"/>
    <w:rsid w:val="00537936"/>
    <w:rsid w:val="005913EF"/>
    <w:rsid w:val="00A2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7936"/>
    <w:pPr>
      <w:spacing w:after="60" w:line="288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rsid w:val="00537936"/>
    <w:pPr>
      <w:widowControl w:val="0"/>
      <w:tabs>
        <w:tab w:val="right" w:leader="dot" w:pos="9062"/>
      </w:tabs>
      <w:adjustRightInd w:val="0"/>
      <w:spacing w:after="20" w:line="240" w:lineRule="auto"/>
      <w:ind w:firstLine="539"/>
      <w:jc w:val="left"/>
      <w:textAlignment w:val="baseline"/>
    </w:pPr>
    <w:rPr>
      <w:rFonts w:ascii="Arial" w:eastAsia="SimSun" w:hAnsi="Arial" w:cs="Arial"/>
      <w:b/>
      <w:bCs/>
      <w:noProof/>
      <w:color w:val="000000"/>
      <w:szCs w:val="22"/>
      <w:shd w:val="clear" w:color="auto" w:fill="FFFFFF"/>
    </w:rPr>
  </w:style>
  <w:style w:type="paragraph" w:styleId="Obsah2">
    <w:name w:val="toc 2"/>
    <w:basedOn w:val="Normln"/>
    <w:next w:val="Normln"/>
    <w:autoRedefine/>
    <w:rsid w:val="00537936"/>
    <w:pPr>
      <w:widowControl w:val="0"/>
      <w:adjustRightInd w:val="0"/>
      <w:spacing w:before="120" w:after="0"/>
      <w:ind w:left="220" w:firstLine="539"/>
      <w:jc w:val="left"/>
      <w:textAlignment w:val="baseline"/>
    </w:pPr>
    <w:rPr>
      <w:rFonts w:ascii="Calibri" w:eastAsia="SimSun" w:hAnsi="Calibri" w:cs="Arial"/>
      <w:i/>
      <w:iCs/>
      <w:color w:val="000000"/>
      <w:sz w:val="20"/>
      <w:szCs w:val="20"/>
      <w:shd w:val="clear" w:color="auto" w:fill="FFFFFF"/>
    </w:rPr>
  </w:style>
  <w:style w:type="paragraph" w:styleId="Obsah3">
    <w:name w:val="toc 3"/>
    <w:basedOn w:val="Normln"/>
    <w:next w:val="Normln"/>
    <w:autoRedefine/>
    <w:rsid w:val="00537936"/>
    <w:pPr>
      <w:widowControl w:val="0"/>
      <w:tabs>
        <w:tab w:val="right" w:leader="dot" w:pos="9062"/>
      </w:tabs>
      <w:adjustRightInd w:val="0"/>
      <w:spacing w:after="0"/>
      <w:ind w:left="993" w:hanging="14"/>
      <w:jc w:val="left"/>
      <w:textAlignment w:val="baseline"/>
    </w:pPr>
    <w:rPr>
      <w:rFonts w:ascii="Calibri" w:eastAsia="SimSun" w:hAnsi="Calibri" w:cs="Arial"/>
      <w:color w:val="000000"/>
      <w:sz w:val="20"/>
      <w:szCs w:val="20"/>
      <w:shd w:val="clear" w:color="auto" w:fill="FFFFFF"/>
    </w:rPr>
  </w:style>
  <w:style w:type="paragraph" w:styleId="Odstavecseseznamem">
    <w:name w:val="List Paragraph"/>
    <w:basedOn w:val="Normln"/>
    <w:uiPriority w:val="34"/>
    <w:qFormat/>
    <w:rsid w:val="005379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23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39BA"/>
    <w:rPr>
      <w:rFonts w:ascii="Times New Roman" w:eastAsia="Times New Roman" w:hAnsi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23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39BA"/>
    <w:rPr>
      <w:rFonts w:ascii="Times New Roman" w:eastAsia="Times New Roman" w:hAnsi="Times New Roman" w:cs="Times New Roman"/>
      <w:szCs w:val="24"/>
      <w:lang w:eastAsia="cs-CZ"/>
    </w:rPr>
  </w:style>
  <w:style w:type="table" w:styleId="Mkatabulky">
    <w:name w:val="Table Grid"/>
    <w:basedOn w:val="Normlntabulka"/>
    <w:uiPriority w:val="59"/>
    <w:rsid w:val="00A23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7936"/>
    <w:pPr>
      <w:spacing w:after="60" w:line="288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rsid w:val="00537936"/>
    <w:pPr>
      <w:widowControl w:val="0"/>
      <w:tabs>
        <w:tab w:val="right" w:leader="dot" w:pos="9062"/>
      </w:tabs>
      <w:adjustRightInd w:val="0"/>
      <w:spacing w:after="20" w:line="240" w:lineRule="auto"/>
      <w:ind w:firstLine="539"/>
      <w:jc w:val="left"/>
      <w:textAlignment w:val="baseline"/>
    </w:pPr>
    <w:rPr>
      <w:rFonts w:ascii="Arial" w:eastAsia="SimSun" w:hAnsi="Arial" w:cs="Arial"/>
      <w:b/>
      <w:bCs/>
      <w:noProof/>
      <w:color w:val="000000"/>
      <w:szCs w:val="22"/>
      <w:shd w:val="clear" w:color="auto" w:fill="FFFFFF"/>
    </w:rPr>
  </w:style>
  <w:style w:type="paragraph" w:styleId="Obsah2">
    <w:name w:val="toc 2"/>
    <w:basedOn w:val="Normln"/>
    <w:next w:val="Normln"/>
    <w:autoRedefine/>
    <w:rsid w:val="00537936"/>
    <w:pPr>
      <w:widowControl w:val="0"/>
      <w:adjustRightInd w:val="0"/>
      <w:spacing w:before="120" w:after="0"/>
      <w:ind w:left="220" w:firstLine="539"/>
      <w:jc w:val="left"/>
      <w:textAlignment w:val="baseline"/>
    </w:pPr>
    <w:rPr>
      <w:rFonts w:ascii="Calibri" w:eastAsia="SimSun" w:hAnsi="Calibri" w:cs="Arial"/>
      <w:i/>
      <w:iCs/>
      <w:color w:val="000000"/>
      <w:sz w:val="20"/>
      <w:szCs w:val="20"/>
      <w:shd w:val="clear" w:color="auto" w:fill="FFFFFF"/>
    </w:rPr>
  </w:style>
  <w:style w:type="paragraph" w:styleId="Obsah3">
    <w:name w:val="toc 3"/>
    <w:basedOn w:val="Normln"/>
    <w:next w:val="Normln"/>
    <w:autoRedefine/>
    <w:rsid w:val="00537936"/>
    <w:pPr>
      <w:widowControl w:val="0"/>
      <w:tabs>
        <w:tab w:val="right" w:leader="dot" w:pos="9062"/>
      </w:tabs>
      <w:adjustRightInd w:val="0"/>
      <w:spacing w:after="0"/>
      <w:ind w:left="993" w:hanging="14"/>
      <w:jc w:val="left"/>
      <w:textAlignment w:val="baseline"/>
    </w:pPr>
    <w:rPr>
      <w:rFonts w:ascii="Calibri" w:eastAsia="SimSun" w:hAnsi="Calibri" w:cs="Arial"/>
      <w:color w:val="000000"/>
      <w:sz w:val="20"/>
      <w:szCs w:val="20"/>
      <w:shd w:val="clear" w:color="auto" w:fill="FFFFFF"/>
    </w:rPr>
  </w:style>
  <w:style w:type="paragraph" w:styleId="Odstavecseseznamem">
    <w:name w:val="List Paragraph"/>
    <w:basedOn w:val="Normln"/>
    <w:uiPriority w:val="34"/>
    <w:qFormat/>
    <w:rsid w:val="005379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23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39BA"/>
    <w:rPr>
      <w:rFonts w:ascii="Times New Roman" w:eastAsia="Times New Roman" w:hAnsi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23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39BA"/>
    <w:rPr>
      <w:rFonts w:ascii="Times New Roman" w:eastAsia="Times New Roman" w:hAnsi="Times New Roman" w:cs="Times New Roman"/>
      <w:szCs w:val="24"/>
      <w:lang w:eastAsia="cs-CZ"/>
    </w:rPr>
  </w:style>
  <w:style w:type="table" w:styleId="Mkatabulky">
    <w:name w:val="Table Grid"/>
    <w:basedOn w:val="Normlntabulka"/>
    <w:uiPriority w:val="59"/>
    <w:rsid w:val="00A23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877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Pávková Markéta</dc:creator>
  <cp:lastModifiedBy>Moravcová Lenka</cp:lastModifiedBy>
  <cp:revision>3</cp:revision>
  <dcterms:created xsi:type="dcterms:W3CDTF">2016-02-16T13:19:00Z</dcterms:created>
  <dcterms:modified xsi:type="dcterms:W3CDTF">2016-02-19T11:43:00Z</dcterms:modified>
</cp:coreProperties>
</file>