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69"/>
        <w:gridCol w:w="3019"/>
      </w:tblGrid>
      <w:tr w:rsidR="008F77F6" w:rsidRPr="00F02012" w:rsidTr="0008061A">
        <w:trPr>
          <w:trHeight w:val="963"/>
        </w:trPr>
        <w:tc>
          <w:tcPr>
            <w:tcW w:w="6269" w:type="dxa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0B18B7" w:rsidRDefault="000B18B7" w:rsidP="000B18B7">
            <w:pPr>
              <w:spacing w:before="120" w:after="120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Implementace Metodiky 2017+</w:t>
            </w:r>
          </w:p>
          <w:p w:rsidR="000B18B7" w:rsidRDefault="000B18B7" w:rsidP="000B18B7">
            <w:pPr>
              <w:pStyle w:val="Odstavecseseznamem"/>
              <w:numPr>
                <w:ilvl w:val="0"/>
                <w:numId w:val="24"/>
              </w:numPr>
              <w:spacing w:before="120" w:after="120"/>
              <w:rPr>
                <w:rFonts w:ascii="Arial" w:hAnsi="Arial" w:cs="Arial"/>
                <w:b/>
                <w:color w:val="0070C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70C0"/>
                <w:sz w:val="24"/>
                <w:szCs w:val="24"/>
              </w:rPr>
              <w:t>TRIPARTITY Protokoly z projednávání výsledků podle M17+</w:t>
            </w:r>
          </w:p>
          <w:p w:rsidR="000B18B7" w:rsidRDefault="000B18B7" w:rsidP="000B18B7">
            <w:pPr>
              <w:pStyle w:val="Odstavecseseznamem"/>
              <w:numPr>
                <w:ilvl w:val="0"/>
                <w:numId w:val="24"/>
              </w:numPr>
              <w:spacing w:before="120" w:after="120"/>
              <w:rPr>
                <w:rFonts w:ascii="Arial" w:hAnsi="Arial" w:cs="Arial"/>
                <w:b/>
                <w:color w:val="0070C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70C0"/>
                <w:sz w:val="24"/>
                <w:szCs w:val="24"/>
              </w:rPr>
              <w:t xml:space="preserve">Modul 1 ve třetím roce implementace </w:t>
            </w:r>
          </w:p>
          <w:p w:rsidR="000B18B7" w:rsidRDefault="000B18B7" w:rsidP="000B18B7">
            <w:pPr>
              <w:pStyle w:val="Odstavecseseznamem"/>
              <w:numPr>
                <w:ilvl w:val="0"/>
                <w:numId w:val="24"/>
              </w:numPr>
              <w:spacing w:before="120" w:after="120"/>
              <w:rPr>
                <w:rFonts w:ascii="Arial" w:hAnsi="Arial" w:cs="Arial"/>
                <w:b/>
                <w:color w:val="0070C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70C0"/>
                <w:sz w:val="24"/>
                <w:szCs w:val="24"/>
              </w:rPr>
              <w:t>Komise pro hodnocení výsledků výzkumných organizací a ukončených programů</w:t>
            </w:r>
          </w:p>
          <w:p w:rsidR="000B18B7" w:rsidRDefault="000B18B7" w:rsidP="000B18B7">
            <w:pPr>
              <w:pStyle w:val="Odstavecseseznamem"/>
              <w:spacing w:before="120" w:after="120"/>
              <w:rPr>
                <w:rFonts w:ascii="Arial" w:hAnsi="Arial" w:cs="Arial"/>
                <w:b/>
                <w:color w:val="0070C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70C0"/>
                <w:sz w:val="24"/>
                <w:szCs w:val="24"/>
              </w:rPr>
              <w:t>1. Návrh na změnu Statutu a Jednacího řádu</w:t>
            </w:r>
          </w:p>
          <w:p w:rsidR="000B18B7" w:rsidRDefault="000B18B7" w:rsidP="000B18B7">
            <w:pPr>
              <w:pStyle w:val="Odstavecseseznamem"/>
              <w:spacing w:before="120" w:after="120"/>
              <w:rPr>
                <w:rFonts w:ascii="Arial" w:hAnsi="Arial" w:cs="Arial"/>
                <w:b/>
                <w:color w:val="0070C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70C0"/>
                <w:sz w:val="24"/>
                <w:szCs w:val="24"/>
              </w:rPr>
              <w:t>2. Vyjádření KHV návrhům na složení MEP</w:t>
            </w:r>
          </w:p>
          <w:p w:rsidR="00445034" w:rsidRDefault="00445034" w:rsidP="000B18B7">
            <w:pPr>
              <w:pStyle w:val="Odstavecseseznamem"/>
              <w:spacing w:before="120" w:after="120"/>
              <w:rPr>
                <w:rFonts w:ascii="Arial" w:hAnsi="Arial" w:cs="Arial"/>
                <w:b/>
                <w:color w:val="0070C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70C0"/>
                <w:sz w:val="24"/>
                <w:szCs w:val="24"/>
              </w:rPr>
              <w:t>3. Návrh na členy KHV</w:t>
            </w:r>
          </w:p>
          <w:p w:rsidR="000B18B7" w:rsidRDefault="000B18B7" w:rsidP="000B18B7">
            <w:pPr>
              <w:pStyle w:val="Odstavecseseznamem"/>
              <w:numPr>
                <w:ilvl w:val="0"/>
                <w:numId w:val="24"/>
              </w:numPr>
              <w:spacing w:before="120" w:after="120"/>
              <w:rPr>
                <w:rFonts w:ascii="Arial" w:hAnsi="Arial" w:cs="Arial"/>
                <w:b/>
                <w:color w:val="0070C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70C0"/>
                <w:sz w:val="24"/>
                <w:szCs w:val="24"/>
              </w:rPr>
              <w:t>Informace o připravenosti na provedení kompletního hodnocení</w:t>
            </w:r>
          </w:p>
          <w:p w:rsidR="00CD0F55" w:rsidRPr="006C0911" w:rsidRDefault="000B18B7" w:rsidP="000B18B7">
            <w:pPr>
              <w:pStyle w:val="Odstavecseseznamem"/>
              <w:numPr>
                <w:ilvl w:val="0"/>
                <w:numId w:val="24"/>
              </w:numPr>
              <w:spacing w:before="120" w:after="120"/>
              <w:rPr>
                <w:rFonts w:ascii="Arial" w:hAnsi="Arial" w:cs="Arial"/>
                <w:b/>
                <w:color w:val="0070C0"/>
                <w:sz w:val="24"/>
                <w:szCs w:val="24"/>
              </w:rPr>
            </w:pPr>
            <w:r w:rsidRPr="000B18B7">
              <w:rPr>
                <w:rFonts w:ascii="Arial" w:hAnsi="Arial" w:cs="Arial"/>
                <w:b/>
                <w:color w:val="0070C0"/>
                <w:sz w:val="24"/>
                <w:szCs w:val="24"/>
              </w:rPr>
              <w:t>Hodnocení společenské relevance VŠ</w:t>
            </w:r>
          </w:p>
        </w:tc>
        <w:tc>
          <w:tcPr>
            <w:tcW w:w="3019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8F0FA9" w:rsidRPr="00F02012" w:rsidRDefault="006C0911" w:rsidP="00CC381A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  <w:highlight w:val="yellow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354</w:t>
            </w:r>
            <w:r w:rsidR="002113A6">
              <w:rPr>
                <w:rFonts w:ascii="Arial" w:hAnsi="Arial" w:cs="Arial"/>
                <w:b/>
                <w:color w:val="0070C0"/>
                <w:sz w:val="28"/>
                <w:szCs w:val="28"/>
              </w:rPr>
              <w:t>/A4</w:t>
            </w:r>
          </w:p>
        </w:tc>
      </w:tr>
      <w:tr w:rsidR="008F77F6" w:rsidRPr="00F02012" w:rsidTr="009B28FF">
        <w:trPr>
          <w:trHeight w:val="2617"/>
        </w:trPr>
        <w:tc>
          <w:tcPr>
            <w:tcW w:w="9288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6A6022" w:rsidRPr="00F02012" w:rsidRDefault="006A6022" w:rsidP="00763060">
            <w:pPr>
              <w:pStyle w:val="Styl1-Nzevmaterilu"/>
              <w:spacing w:before="60" w:after="120"/>
              <w:jc w:val="both"/>
              <w:rPr>
                <w:i/>
                <w:szCs w:val="22"/>
              </w:rPr>
            </w:pPr>
            <w:bookmarkStart w:id="0" w:name="_GoBack"/>
            <w:bookmarkEnd w:id="0"/>
            <w:r w:rsidRPr="00F02012">
              <w:rPr>
                <w:i/>
                <w:szCs w:val="22"/>
              </w:rPr>
              <w:t>Souhrn</w:t>
            </w:r>
          </w:p>
          <w:p w:rsidR="00521346" w:rsidRPr="00327C20" w:rsidRDefault="006C0911" w:rsidP="00327C20">
            <w:pPr>
              <w:pStyle w:val="Zkladntext2"/>
              <w:numPr>
                <w:ilvl w:val="0"/>
                <w:numId w:val="25"/>
              </w:numPr>
              <w:spacing w:line="276" w:lineRule="auto"/>
              <w:jc w:val="both"/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</w:pPr>
            <w:r w:rsidRPr="006C0911">
              <w:rPr>
                <w:rFonts w:ascii="Arial" w:eastAsiaTheme="minorHAnsi" w:hAnsi="Arial" w:cs="Arial"/>
                <w:i/>
                <w:sz w:val="22"/>
                <w:szCs w:val="22"/>
                <w:lang w:eastAsia="en-US"/>
              </w:rPr>
              <w:t>Protokoly z projednávání výsledků podle M17+</w:t>
            </w:r>
            <w:r w:rsidR="00743F2F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, tzv. tripartit, k</w:t>
            </w: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teré směřovaly k upřesnění indikativního škálování výzkumných organizací po dvou letech implementace Metodiky 2017+</w:t>
            </w:r>
            <w:r w:rsidR="00521346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,</w:t>
            </w: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jsou Radě před</w:t>
            </w:r>
            <w:r w:rsidR="00521346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loženy</w:t>
            </w: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v podobě, v které byly všemi </w:t>
            </w:r>
            <w:r w:rsidRPr="00C36357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účastníky jednání schváleny.</w:t>
            </w:r>
            <w:r w:rsidR="00521346" w:rsidRPr="00C36357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Jedná se o závěry </w:t>
            </w:r>
            <w:r w:rsidR="002B73C0" w:rsidRPr="00C36357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jednání z 3. prosince 2019 Ministerstvo životního prostředí a Ministerstvo zemědělství, 6. prosince 2019 Ministerstvo průmyslu a obchodu a Ministerstvo kultury, </w:t>
            </w:r>
            <w:r w:rsidR="002B73C0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9. prosince 2019 Akademie věd České republiky, 10. prosince 2019 Ministerstvo vnitra a Ministerstvo zahraničních věcí, </w:t>
            </w:r>
            <w:r w:rsidR="002B73C0" w:rsidRPr="00C36357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12. prosince 2019 Ministerstvo práce a sociálních věcí</w:t>
            </w:r>
            <w:r w:rsidR="002B73C0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, 13. prosince 2019 Ministerstvo obrany</w:t>
            </w:r>
            <w:r w:rsidR="002B73C0" w:rsidRPr="00C36357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a 17. ledna 2020 Ministerstvo dopravy. </w:t>
            </w:r>
            <w:r w:rsidR="00521346" w:rsidRPr="00C36357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Protokoly z jednání, které byly dokončeny s ostatními poskytovateli a z jednání s Ministerstvem zdravotnictví, které se uskuteční po skončení</w:t>
            </w:r>
            <w:r w:rsidR="00521346" w:rsidRPr="00327C20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jednání Rady dne 28.</w:t>
            </w:r>
            <w:r w:rsidR="002B73C0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 </w:t>
            </w:r>
            <w:r w:rsidR="00521346" w:rsidRPr="00327C20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2. 2020 budou předloženy Radě na </w:t>
            </w:r>
            <w:r w:rsidR="0002660E" w:rsidRPr="00327C20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dalším zasedání.</w:t>
            </w:r>
            <w:r w:rsidR="00697955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Bod je doplněn </w:t>
            </w:r>
            <w:r w:rsidR="00697955" w:rsidRPr="00697955">
              <w:rPr>
                <w:rFonts w:ascii="Arial" w:eastAsiaTheme="minorHAnsi" w:hAnsi="Arial" w:cs="Arial"/>
                <w:i/>
                <w:sz w:val="22"/>
                <w:szCs w:val="22"/>
                <w:lang w:eastAsia="en-US"/>
              </w:rPr>
              <w:t>Souhrny indikativního škálování po dvou letech implementace M17+</w:t>
            </w:r>
            <w:r w:rsidR="00697955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v jednotlivých segmentech.</w:t>
            </w:r>
          </w:p>
          <w:p w:rsidR="00E613BE" w:rsidRPr="006F7BCE" w:rsidRDefault="00E613BE" w:rsidP="006F7BCE">
            <w:pPr>
              <w:pStyle w:val="Zkladntext2"/>
              <w:numPr>
                <w:ilvl w:val="0"/>
                <w:numId w:val="25"/>
              </w:numPr>
              <w:spacing w:line="276" w:lineRule="auto"/>
              <w:jc w:val="both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B943E1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Modul 1 – Hodnocení vybraných výsledků v</w:t>
            </w:r>
            <w:r w:rsidR="00907CC1" w:rsidRPr="00B943E1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 </w:t>
            </w:r>
            <w:r w:rsidRPr="00B943E1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tře</w:t>
            </w:r>
            <w:r w:rsidR="00907CC1" w:rsidRPr="00B943E1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tím roce implementace Metodiky 2017+ bylo zahájeno. Aplikace  SKV-POPR, prostřednictvím které je hodnocení realizováno bude otevřena pro práci externích hodnotitelů do 30. 4. 2020. V této souvislosti je potřeba provést obměnu dvou členů Odborných panelů, </w:t>
            </w:r>
            <w:r w:rsidR="00582F4D" w:rsidRPr="00B943E1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kteří na svou funkci rezignovali</w:t>
            </w:r>
            <w:r w:rsidR="006F7BCE" w:rsidRPr="00B943E1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</w:t>
            </w:r>
            <w:r w:rsidR="006F7BCE" w:rsidRPr="00B943E1">
              <w:rPr>
                <w:rFonts w:ascii="Arial" w:hAnsi="Arial" w:cs="Arial"/>
                <w:sz w:val="22"/>
                <w:szCs w:val="22"/>
              </w:rPr>
              <w:t xml:space="preserve">(doc. PhDr. Petr </w:t>
            </w:r>
            <w:proofErr w:type="spellStart"/>
            <w:r w:rsidR="006F7BCE" w:rsidRPr="00B943E1">
              <w:rPr>
                <w:rFonts w:ascii="Arial" w:hAnsi="Arial" w:cs="Arial"/>
                <w:sz w:val="22"/>
                <w:szCs w:val="22"/>
              </w:rPr>
              <w:t>Voit</w:t>
            </w:r>
            <w:proofErr w:type="spellEnd"/>
            <w:r w:rsidR="006F7BCE" w:rsidRPr="00B943E1">
              <w:rPr>
                <w:rFonts w:ascii="Arial" w:hAnsi="Arial" w:cs="Arial"/>
                <w:sz w:val="22"/>
                <w:szCs w:val="22"/>
              </w:rPr>
              <w:t>, CSc., doc. Ing</w:t>
            </w:r>
            <w:r w:rsidR="00582F4D" w:rsidRPr="00B943E1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. </w:t>
            </w:r>
            <w:r w:rsidR="006F7BCE" w:rsidRPr="00B943E1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Pavel Soldán, Dr.). </w:t>
            </w:r>
            <w:r w:rsidR="00582F4D" w:rsidRPr="00B943E1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N</w:t>
            </w:r>
            <w:r w:rsidR="00907CC1" w:rsidRPr="00B943E1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ávrh na</w:t>
            </w:r>
            <w:r w:rsidR="002B73C0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 </w:t>
            </w:r>
            <w:r w:rsidR="00582F4D" w:rsidRPr="00B943E1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doplnění Odborných panelů </w:t>
            </w:r>
            <w:r w:rsidR="006F7BCE" w:rsidRPr="00B943E1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na uvolněné pozice </w:t>
            </w:r>
            <w:r w:rsidR="00582F4D" w:rsidRPr="00B943E1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dvěma </w:t>
            </w:r>
            <w:r w:rsidR="00E86D9D" w:rsidRPr="00B943E1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novými </w:t>
            </w:r>
            <w:r w:rsidR="00907CC1" w:rsidRPr="00B943E1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členy </w:t>
            </w:r>
            <w:r w:rsidR="006F7BCE" w:rsidRPr="00B943E1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(</w:t>
            </w:r>
            <w:r w:rsidR="006F7BCE" w:rsidRPr="00B943E1">
              <w:rPr>
                <w:rFonts w:ascii="Arial" w:hAnsi="Arial" w:cs="Arial"/>
                <w:sz w:val="22"/>
                <w:szCs w:val="22"/>
              </w:rPr>
              <w:t>Mgr.</w:t>
            </w:r>
            <w:r w:rsidR="002B73C0">
              <w:rPr>
                <w:rFonts w:ascii="Arial" w:hAnsi="Arial" w:cs="Arial"/>
                <w:sz w:val="22"/>
                <w:szCs w:val="22"/>
              </w:rPr>
              <w:t> </w:t>
            </w:r>
            <w:r w:rsidR="006F7BCE" w:rsidRPr="00B943E1">
              <w:rPr>
                <w:rFonts w:ascii="Arial" w:hAnsi="Arial" w:cs="Arial"/>
                <w:sz w:val="22"/>
                <w:szCs w:val="22"/>
              </w:rPr>
              <w:t xml:space="preserve">Jaroslav </w:t>
            </w:r>
            <w:proofErr w:type="spellStart"/>
            <w:r w:rsidR="006F7BCE" w:rsidRPr="00B943E1">
              <w:rPr>
                <w:rFonts w:ascii="Arial" w:hAnsi="Arial" w:cs="Arial"/>
                <w:sz w:val="22"/>
                <w:szCs w:val="22"/>
              </w:rPr>
              <w:t>Švelch</w:t>
            </w:r>
            <w:proofErr w:type="spellEnd"/>
            <w:r w:rsidR="006F7BCE" w:rsidRPr="00B943E1">
              <w:rPr>
                <w:rFonts w:ascii="Arial" w:hAnsi="Arial" w:cs="Arial"/>
                <w:sz w:val="22"/>
                <w:szCs w:val="22"/>
              </w:rPr>
              <w:t xml:space="preserve">, Ph.D., prof. Ing. Jaromír Pištora, CSc.) </w:t>
            </w:r>
            <w:r w:rsidR="00907CC1" w:rsidRPr="00B943E1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připrav</w:t>
            </w:r>
            <w:r w:rsidR="00535DE1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ený předsedy</w:t>
            </w:r>
            <w:r w:rsidR="00582F4D" w:rsidRPr="00B943E1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</w:t>
            </w:r>
            <w:r w:rsidR="006F7BCE" w:rsidRPr="00B943E1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příslušných </w:t>
            </w:r>
            <w:r w:rsidR="00535DE1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Odborných panelů </w:t>
            </w:r>
            <w:r w:rsidR="00907CC1" w:rsidRPr="00B943E1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byl </w:t>
            </w:r>
            <w:r w:rsidR="00812677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schválen</w:t>
            </w:r>
            <w:r w:rsidR="00907CC1" w:rsidRPr="00B943E1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předsednictvem Rady. </w:t>
            </w:r>
            <w:r w:rsidR="006F7BCE" w:rsidRPr="00B943E1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V materiálu k tomuto bodu je</w:t>
            </w:r>
            <w:r w:rsidR="006F7BCE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přiloženo podrobné odborné CV a </w:t>
            </w:r>
            <w:r w:rsidR="00C36357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ORCID</w:t>
            </w:r>
            <w:r w:rsidR="006F7BCE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="006F7BCE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nominantů</w:t>
            </w:r>
            <w:proofErr w:type="spellEnd"/>
            <w:r w:rsidR="006F7BCE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.</w:t>
            </w:r>
            <w:r w:rsidR="00FE27B3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V třetím roce implementace M17+ budou pro hodnocení vybraných výsledků tam, kde je to vhodné a účelné</w:t>
            </w:r>
            <w:r w:rsidR="002B73C0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,</w:t>
            </w:r>
            <w:r w:rsidR="00FE27B3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v maximální míře oslovováni zahraniční odborníci.</w:t>
            </w:r>
          </w:p>
          <w:p w:rsidR="00FC5A4B" w:rsidRPr="00D126DB" w:rsidRDefault="00812677" w:rsidP="00521346">
            <w:pPr>
              <w:pStyle w:val="Zkladntext2"/>
              <w:numPr>
                <w:ilvl w:val="0"/>
                <w:numId w:val="25"/>
              </w:numPr>
              <w:spacing w:line="276" w:lineRule="auto"/>
              <w:jc w:val="both"/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Informace o vyjádření Komise pro hodnocení výsledků výzkumných organizací a</w:t>
            </w:r>
            <w:r w:rsidR="002B73C0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 </w:t>
            </w: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ukončených programů (dále jen „Komise“) ke složení Mezinárodních evaluačních panelů (MEP) v rámci přípravy hodnocení v segmentu VŠ bude doplněna ústně předsedou Komise 1. místopředsedou Rady prof. Dvořákem. </w:t>
            </w:r>
            <w:r w:rsidR="00CA31E8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Schválené zápisy jednání Komise jsou k veřejně k dispozici na </w:t>
            </w:r>
            <w:hyperlink r:id="rId8" w:history="1">
              <w:r w:rsidR="00CA31E8" w:rsidRPr="00A46A5A">
                <w:rPr>
                  <w:rStyle w:val="Hypertextovodkaz"/>
                  <w:rFonts w:ascii="Arial" w:eastAsiaTheme="minorHAnsi" w:hAnsi="Arial" w:cs="Arial"/>
                  <w:sz w:val="22"/>
                  <w:szCs w:val="22"/>
                  <w:lang w:eastAsia="en-US"/>
                </w:rPr>
                <w:t>www.vyzkum.cz</w:t>
              </w:r>
            </w:hyperlink>
            <w:r w:rsidR="00CA31E8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. </w:t>
            </w: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V bodě je dále předložen ke schválení nový Statut a Jednací řád Komise pro hodnocení výsledků výzkumných organizací a ukončených programů (dále jen „Komise“) a doporučuje se </w:t>
            </w: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lastRenderedPageBreak/>
              <w:t xml:space="preserve">zrušit stávající Statut a Jednací řád Komise. Předseda Komise </w:t>
            </w:r>
            <w:r w:rsidR="00920468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zároveň </w:t>
            </w: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navrhuje, aby</w:t>
            </w:r>
            <w:r w:rsidR="00CA31E8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v druhém </w:t>
            </w:r>
            <w:r w:rsidR="00F15108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funkčním</w:t>
            </w:r>
            <w:r w:rsidR="00CA31E8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období pokračovali ve své práci členové Komise</w:t>
            </w: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</w:t>
            </w:r>
            <w:r w:rsidR="00CA31E8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prof. Ing. Štěpán </w:t>
            </w:r>
            <w:proofErr w:type="spellStart"/>
            <w:r w:rsidR="00CA31E8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Jurajda</w:t>
            </w:r>
            <w:proofErr w:type="spellEnd"/>
            <w:r w:rsidR="00CA31E8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, Ph.D., doc. Ing. Jaroslav </w:t>
            </w:r>
            <w:proofErr w:type="spellStart"/>
            <w:r w:rsidR="00CA31E8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Machan</w:t>
            </w:r>
            <w:proofErr w:type="spellEnd"/>
            <w:r w:rsidR="00CA31E8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, CSc., </w:t>
            </w:r>
            <w:r w:rsidR="00A963DB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p</w:t>
            </w:r>
            <w:r w:rsidR="00CA31E8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rof. PhDr. Pavel Janoušek, CSc., Ing. Martin </w:t>
            </w:r>
            <w:proofErr w:type="spellStart"/>
            <w:r w:rsidR="00CA31E8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Srholec</w:t>
            </w:r>
            <w:proofErr w:type="spellEnd"/>
            <w:r w:rsidR="00CA31E8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, Ph.D., </w:t>
            </w:r>
            <w:r w:rsidR="00DD2F96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prof. MUDr. Josef Syka, DrSc</w:t>
            </w:r>
            <w:r w:rsidR="002B73C0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.</w:t>
            </w:r>
            <w:r w:rsidR="00DD2F96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</w:t>
            </w:r>
            <w:r w:rsidR="002B73C0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a </w:t>
            </w:r>
            <w:r w:rsidR="00DD2F96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I</w:t>
            </w:r>
            <w:r w:rsidR="00CA31E8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ng.</w:t>
            </w:r>
            <w:r w:rsidR="002B73C0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 </w:t>
            </w:r>
            <w:r w:rsidR="00CA31E8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Karel Vejražka, Ph.D. </w:t>
            </w:r>
          </w:p>
          <w:p w:rsidR="00CA43B6" w:rsidRDefault="0002660E" w:rsidP="00CB0A9E">
            <w:pPr>
              <w:pStyle w:val="Zkladntext2"/>
              <w:numPr>
                <w:ilvl w:val="0"/>
                <w:numId w:val="25"/>
              </w:numPr>
              <w:spacing w:line="276" w:lineRule="auto"/>
              <w:jc w:val="both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D126DB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V bodě je </w:t>
            </w:r>
            <w:r w:rsidR="00FC249F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podána</w:t>
            </w:r>
            <w:r w:rsidRPr="00D126DB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obecná informace</w:t>
            </w:r>
            <w:r w:rsidR="00D126DB" w:rsidRPr="00D126DB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o podobě a při</w:t>
            </w:r>
            <w:r w:rsidRPr="00D126DB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pra</w:t>
            </w:r>
            <w:r w:rsidR="00D126DB" w:rsidRPr="00D126DB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venosti kompletního hodnocení</w:t>
            </w:r>
            <w:r w:rsidR="00FC249F" w:rsidRPr="00D126DB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</w:t>
            </w:r>
            <w:r w:rsidR="00FC249F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v</w:t>
            </w:r>
            <w:r w:rsidR="00FC249F" w:rsidRPr="00D126DB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M</w:t>
            </w:r>
            <w:r w:rsidR="00FC249F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odulech </w:t>
            </w:r>
            <w:r w:rsidR="00FC249F" w:rsidRPr="00D126DB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1 a 2</w:t>
            </w:r>
            <w:r w:rsidR="00D126DB" w:rsidRPr="00D126DB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, která bude dále </w:t>
            </w:r>
            <w:r w:rsidR="00FC249F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upřesňována</w:t>
            </w:r>
            <w:r w:rsidR="00D126DB" w:rsidRPr="00D126DB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ze strany Rady, jejích poradních orgánů a Odboru Rady, </w:t>
            </w:r>
            <w:r w:rsidR="00FC249F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O</w:t>
            </w:r>
            <w:r w:rsidR="00D126DB" w:rsidRPr="00D126DB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ddělení hodnocení výzkumných organizací</w:t>
            </w:r>
            <w:r w:rsidR="0044033C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.</w:t>
            </w:r>
            <w:r w:rsidR="00D126DB" w:rsidRPr="00D126DB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</w:t>
            </w:r>
            <w:r w:rsidR="0044033C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Hodnocení </w:t>
            </w:r>
            <w:r w:rsidR="00FC249F" w:rsidRPr="00D126DB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v</w:t>
            </w:r>
            <w:r w:rsidR="00FC249F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 </w:t>
            </w:r>
            <w:r w:rsidR="00FC249F" w:rsidRPr="00D126DB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M</w:t>
            </w:r>
            <w:r w:rsidR="00FC249F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odulech </w:t>
            </w:r>
            <w:r w:rsidR="00FC249F" w:rsidRPr="00D126DB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3</w:t>
            </w:r>
            <w:r w:rsidR="00FC249F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až </w:t>
            </w:r>
            <w:r w:rsidR="00FC249F" w:rsidRPr="00D126DB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5</w:t>
            </w:r>
            <w:r w:rsidR="0044033C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</w:t>
            </w:r>
            <w:r w:rsidR="0049627F" w:rsidRPr="00D126DB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bude dále </w:t>
            </w:r>
            <w:r w:rsidR="0049627F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upřesňováno</w:t>
            </w:r>
            <w:r w:rsidR="0049627F" w:rsidRPr="00D126DB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</w:t>
            </w:r>
            <w:r w:rsidR="0049627F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na základě informací od</w:t>
            </w:r>
            <w:r w:rsidR="002F4B71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 </w:t>
            </w:r>
            <w:r w:rsidR="0049627F" w:rsidRPr="00D126DB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poskytovatel</w:t>
            </w:r>
            <w:r w:rsidR="0049627F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ů. V</w:t>
            </w:r>
            <w:r w:rsidR="0044033C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 segmentu vysokých škol </w:t>
            </w:r>
            <w:r w:rsidR="0049627F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proběhne </w:t>
            </w:r>
            <w:r w:rsidR="00CB0A9E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v souladu s</w:t>
            </w:r>
            <w:r w:rsidR="0044033C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</w:t>
            </w:r>
            <w:r w:rsidR="00CB0A9E">
              <w:rPr>
                <w:rFonts w:ascii="Arial" w:eastAsiaTheme="minorHAnsi" w:hAnsi="Arial" w:cs="Arial"/>
                <w:i/>
                <w:sz w:val="22"/>
                <w:szCs w:val="22"/>
                <w:lang w:eastAsia="en-US"/>
              </w:rPr>
              <w:t>Metodikou</w:t>
            </w:r>
            <w:r w:rsidR="0044033C" w:rsidRPr="0044033C">
              <w:rPr>
                <w:rFonts w:ascii="Arial" w:eastAsiaTheme="minorHAnsi" w:hAnsi="Arial" w:cs="Arial"/>
                <w:i/>
                <w:sz w:val="22"/>
                <w:szCs w:val="22"/>
                <w:lang w:eastAsia="en-US"/>
              </w:rPr>
              <w:t xml:space="preserve"> hodnocení výzkumných organizací v segmentu VŠ</w:t>
            </w:r>
            <w:r w:rsidR="0044033C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</w:t>
            </w:r>
            <w:r w:rsidR="00CB0A9E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poprvé </w:t>
            </w:r>
            <w:r w:rsidR="0044033C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v</w:t>
            </w:r>
            <w:r w:rsidR="00CB0A9E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 </w:t>
            </w:r>
            <w:r w:rsidR="0044033C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roce</w:t>
            </w:r>
            <w:r w:rsidR="00CB0A9E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2020</w:t>
            </w:r>
            <w:r w:rsidR="0044033C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.</w:t>
            </w:r>
            <w:r w:rsidR="00FC249F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</w:t>
            </w:r>
            <w:r w:rsidR="0049627F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V segmentu AVČR </w:t>
            </w:r>
            <w:r w:rsidR="00CB0A9E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proběhne v roce 2020 další kolo pravidelného hodnocení podle</w:t>
            </w:r>
            <w:r w:rsidR="00CB0A9E">
              <w:rPr>
                <w:rFonts w:ascii="Tahoma" w:hAnsi="Tahoma" w:cs="Tahoma"/>
                <w:color w:val="333333"/>
                <w:sz w:val="21"/>
                <w:szCs w:val="21"/>
              </w:rPr>
              <w:t xml:space="preserve"> </w:t>
            </w:r>
            <w:r w:rsidR="00CB0A9E" w:rsidRPr="00CB0A9E">
              <w:rPr>
                <w:rFonts w:ascii="Arial" w:eastAsiaTheme="minorHAnsi" w:hAnsi="Arial" w:cs="Arial"/>
                <w:i/>
                <w:sz w:val="22"/>
                <w:szCs w:val="22"/>
                <w:lang w:eastAsia="en-US"/>
              </w:rPr>
              <w:t>Hodnocení výzkumné a odborné činnosti pracovišť AV ČR za období 2015–2019</w:t>
            </w:r>
            <w:r w:rsidR="00CB0A9E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.</w:t>
            </w:r>
          </w:p>
          <w:p w:rsidR="00CD0F55" w:rsidRPr="00717229" w:rsidRDefault="00CD0F55" w:rsidP="00A66E3E">
            <w:pPr>
              <w:pStyle w:val="Zkladntext2"/>
              <w:numPr>
                <w:ilvl w:val="0"/>
                <w:numId w:val="25"/>
              </w:numPr>
              <w:spacing w:line="276" w:lineRule="auto"/>
              <w:jc w:val="both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Samostatnou pozornost je třeba věnovat způsobu posuzování společenské relevance ve výzkumu. Její ocenění je základní podmínkou pro kvalitní zhodnocení aplikovaného a společenskovědního a humanitního výzkumu. K tématu bude uspořádán specializovaný seminář. Za </w:t>
            </w:r>
            <w:r w:rsidR="00D64C11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vysoké školy</w:t>
            </w: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vystoupení přislíbil </w:t>
            </w:r>
            <w:r w:rsidR="00D64C11" w:rsidRPr="00B3031F">
              <w:rPr>
                <w:rFonts w:ascii="Arial" w:hAnsi="Arial" w:cs="Arial"/>
                <w:bCs/>
                <w:sz w:val="22"/>
                <w:szCs w:val="22"/>
              </w:rPr>
              <w:t>náměstek pro řízení sekce vysokého školství, vědy a výz</w:t>
            </w:r>
            <w:r w:rsidR="00A66E3E">
              <w:rPr>
                <w:rFonts w:ascii="Arial" w:hAnsi="Arial" w:cs="Arial"/>
                <w:bCs/>
                <w:sz w:val="22"/>
                <w:szCs w:val="22"/>
              </w:rPr>
              <w:t>kumu PhDr. Pavel Doleček, Ph.D.. Termín konání semináře bude upřesněn (během března).</w:t>
            </w:r>
          </w:p>
        </w:tc>
      </w:tr>
      <w:tr w:rsidR="008F77F6" w:rsidRPr="00F02012" w:rsidTr="00726824">
        <w:trPr>
          <w:trHeight w:val="557"/>
        </w:trPr>
        <w:tc>
          <w:tcPr>
            <w:tcW w:w="9288" w:type="dxa"/>
            <w:gridSpan w:val="2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3A3A" w:rsidRDefault="008F77F6" w:rsidP="00726824">
            <w:pPr>
              <w:spacing w:before="120" w:after="6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C40DD3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lastRenderedPageBreak/>
              <w:t>Přílohy</w:t>
            </w:r>
            <w:r w:rsidR="009E46B2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 </w:t>
            </w:r>
          </w:p>
          <w:p w:rsidR="009E46B2" w:rsidRPr="00920468" w:rsidRDefault="009E46B2" w:rsidP="009E46B2">
            <w:pPr>
              <w:pStyle w:val="Odstavecseseznamem"/>
              <w:numPr>
                <w:ilvl w:val="0"/>
                <w:numId w:val="26"/>
              </w:numPr>
              <w:spacing w:before="120" w:after="60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Tripartity </w:t>
            </w:r>
            <w:r w:rsidR="002B73C0">
              <w:rPr>
                <w:rFonts w:ascii="Arial" w:hAnsi="Arial" w:cs="Arial"/>
                <w:bCs/>
                <w:sz w:val="22"/>
                <w:szCs w:val="22"/>
              </w:rPr>
              <w:t xml:space="preserve">AV ČR,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MD, MK, </w:t>
            </w:r>
            <w:r w:rsidR="002B73C0">
              <w:rPr>
                <w:rFonts w:ascii="Arial" w:hAnsi="Arial" w:cs="Arial"/>
                <w:bCs/>
                <w:sz w:val="22"/>
                <w:szCs w:val="22"/>
              </w:rPr>
              <w:t xml:space="preserve">MO,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MPO, MPSV, </w:t>
            </w:r>
            <w:r w:rsidR="00697955">
              <w:rPr>
                <w:rFonts w:ascii="Arial" w:hAnsi="Arial" w:cs="Arial"/>
                <w:bCs/>
                <w:sz w:val="22"/>
                <w:szCs w:val="22"/>
              </w:rPr>
              <w:t xml:space="preserve">MV, </w:t>
            </w:r>
            <w:proofErr w:type="spellStart"/>
            <w:r>
              <w:rPr>
                <w:rFonts w:ascii="Arial" w:hAnsi="Arial" w:cs="Arial"/>
                <w:bCs/>
                <w:sz w:val="22"/>
                <w:szCs w:val="22"/>
              </w:rPr>
              <w:t>MZe</w:t>
            </w:r>
            <w:proofErr w:type="spellEnd"/>
            <w:r>
              <w:rPr>
                <w:rFonts w:ascii="Arial" w:hAnsi="Arial" w:cs="Arial"/>
                <w:bCs/>
                <w:sz w:val="22"/>
                <w:szCs w:val="22"/>
              </w:rPr>
              <w:t xml:space="preserve">, </w:t>
            </w:r>
            <w:r w:rsidR="002B73C0">
              <w:rPr>
                <w:rFonts w:ascii="Arial" w:hAnsi="Arial" w:cs="Arial"/>
                <w:bCs/>
                <w:sz w:val="22"/>
                <w:szCs w:val="22"/>
              </w:rPr>
              <w:t xml:space="preserve">MZV, </w:t>
            </w:r>
            <w:r>
              <w:rPr>
                <w:rFonts w:ascii="Arial" w:hAnsi="Arial" w:cs="Arial"/>
                <w:bCs/>
                <w:sz w:val="22"/>
                <w:szCs w:val="22"/>
              </w:rPr>
              <w:t>MŽP</w:t>
            </w:r>
            <w:r w:rsidR="00920468">
              <w:rPr>
                <w:rFonts w:ascii="Arial" w:hAnsi="Arial" w:cs="Arial"/>
                <w:bCs/>
                <w:sz w:val="22"/>
                <w:szCs w:val="22"/>
              </w:rPr>
              <w:t xml:space="preserve">, </w:t>
            </w:r>
            <w:r w:rsidR="00920468" w:rsidRPr="00697955">
              <w:rPr>
                <w:rFonts w:ascii="Arial" w:eastAsiaTheme="minorHAnsi" w:hAnsi="Arial" w:cs="Arial"/>
                <w:i/>
                <w:sz w:val="22"/>
                <w:szCs w:val="22"/>
                <w:lang w:eastAsia="en-US"/>
              </w:rPr>
              <w:t>Souhrny indikativního škálování po dvou letech implementace M17+</w:t>
            </w:r>
            <w:r w:rsidR="00920468">
              <w:rPr>
                <w:rFonts w:ascii="Arial" w:eastAsiaTheme="minorHAnsi" w:hAnsi="Arial" w:cs="Arial"/>
                <w:i/>
                <w:sz w:val="22"/>
                <w:szCs w:val="22"/>
                <w:lang w:eastAsia="en-US"/>
              </w:rPr>
              <w:t xml:space="preserve"> </w:t>
            </w:r>
            <w:r w:rsidR="00920468" w:rsidRPr="00920468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AVČR, rezorty, VŠ</w:t>
            </w:r>
          </w:p>
          <w:p w:rsidR="009E46B2" w:rsidRDefault="009E46B2" w:rsidP="009E46B2">
            <w:pPr>
              <w:pStyle w:val="Odstavecseseznamem"/>
              <w:numPr>
                <w:ilvl w:val="0"/>
                <w:numId w:val="26"/>
              </w:numPr>
              <w:spacing w:before="120" w:after="60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CV/ </w:t>
            </w:r>
            <w:r w:rsidR="00C70CC5">
              <w:rPr>
                <w:rFonts w:ascii="Arial" w:hAnsi="Arial" w:cs="Arial"/>
                <w:bCs/>
                <w:sz w:val="22"/>
                <w:szCs w:val="22"/>
              </w:rPr>
              <w:t>ORCID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  <w:sz w:val="22"/>
                <w:szCs w:val="22"/>
              </w:rPr>
              <w:t>Švelch</w:t>
            </w:r>
            <w:proofErr w:type="spellEnd"/>
            <w:r>
              <w:rPr>
                <w:rFonts w:ascii="Arial" w:hAnsi="Arial" w:cs="Arial"/>
                <w:bCs/>
                <w:sz w:val="22"/>
                <w:szCs w:val="22"/>
              </w:rPr>
              <w:t>, Pištora</w:t>
            </w:r>
            <w:r w:rsidR="009A06ED">
              <w:rPr>
                <w:rFonts w:ascii="Arial" w:hAnsi="Arial" w:cs="Arial"/>
                <w:bCs/>
                <w:sz w:val="22"/>
                <w:szCs w:val="22"/>
              </w:rPr>
              <w:t xml:space="preserve"> (důvěrné)</w:t>
            </w:r>
          </w:p>
          <w:p w:rsidR="009E46B2" w:rsidRDefault="009E46B2" w:rsidP="009E46B2">
            <w:pPr>
              <w:pStyle w:val="Odstavecseseznamem"/>
              <w:numPr>
                <w:ilvl w:val="0"/>
                <w:numId w:val="26"/>
              </w:numPr>
              <w:spacing w:before="120" w:after="60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Vyjádření KHV </w:t>
            </w:r>
            <w:r w:rsidRPr="007A6DEE">
              <w:rPr>
                <w:rFonts w:ascii="Arial" w:hAnsi="Arial" w:cs="Arial"/>
                <w:bCs/>
                <w:sz w:val="22"/>
                <w:szCs w:val="22"/>
              </w:rPr>
              <w:t xml:space="preserve"> k návrhům na složení mezinárodních evaluačních panelů</w:t>
            </w:r>
          </w:p>
          <w:p w:rsidR="009E46B2" w:rsidRPr="009E46B2" w:rsidRDefault="009E46B2" w:rsidP="009E46B2">
            <w:pPr>
              <w:pStyle w:val="Odstavecseseznamem"/>
              <w:spacing w:before="120" w:after="60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Statut a Jednací řád KHV</w:t>
            </w:r>
          </w:p>
          <w:p w:rsidR="009E46B2" w:rsidRPr="000B552E" w:rsidRDefault="009E46B2" w:rsidP="009E46B2">
            <w:pPr>
              <w:pStyle w:val="Odstavecseseznamem"/>
              <w:numPr>
                <w:ilvl w:val="0"/>
                <w:numId w:val="26"/>
              </w:numPr>
              <w:spacing w:before="120" w:after="60"/>
              <w:rPr>
                <w:rFonts w:ascii="Arial" w:hAnsi="Arial" w:cs="Arial"/>
                <w:bCs/>
                <w:sz w:val="22"/>
                <w:szCs w:val="22"/>
              </w:rPr>
            </w:pPr>
            <w:r w:rsidRPr="002B67D9">
              <w:rPr>
                <w:rFonts w:ascii="Arial" w:hAnsi="Arial" w:cs="Arial"/>
                <w:bCs/>
                <w:sz w:val="22"/>
                <w:szCs w:val="22"/>
              </w:rPr>
              <w:t>Informace o připravenosti na provedení kompletního hodnocení podle Metodiky 2017+</w:t>
            </w:r>
            <w:r w:rsidR="00D26DF3">
              <w:rPr>
                <w:rFonts w:ascii="Arial" w:hAnsi="Arial" w:cs="Arial"/>
                <w:bCs/>
                <w:sz w:val="22"/>
                <w:szCs w:val="22"/>
              </w:rPr>
              <w:t>, Usnesení ČKR</w:t>
            </w:r>
          </w:p>
        </w:tc>
      </w:tr>
    </w:tbl>
    <w:p w:rsidR="00F86D54" w:rsidRPr="00850662" w:rsidRDefault="00353F7B" w:rsidP="00850662">
      <w:pPr>
        <w:rPr>
          <w:sz w:val="16"/>
          <w:szCs w:val="16"/>
        </w:rPr>
      </w:pPr>
    </w:p>
    <w:sectPr w:rsidR="00F86D54" w:rsidRPr="00850662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3F7B" w:rsidRDefault="00353F7B" w:rsidP="008F77F6">
      <w:r>
        <w:separator/>
      </w:r>
    </w:p>
  </w:endnote>
  <w:endnote w:type="continuationSeparator" w:id="0">
    <w:p w:rsidR="00353F7B" w:rsidRDefault="00353F7B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3F7B" w:rsidRDefault="00353F7B" w:rsidP="008F77F6">
      <w:r>
        <w:separator/>
      </w:r>
    </w:p>
  </w:footnote>
  <w:footnote w:type="continuationSeparator" w:id="0">
    <w:p w:rsidR="00353F7B" w:rsidRDefault="00353F7B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 wp14:anchorId="59844497" wp14:editId="42484BB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  <w:p w:rsidR="00D20535" w:rsidRDefault="00D20535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775D65"/>
    <w:multiLevelType w:val="hybridMultilevel"/>
    <w:tmpl w:val="C6262B0A"/>
    <w:lvl w:ilvl="0" w:tplc="62748B9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9F6C1F"/>
    <w:multiLevelType w:val="hybridMultilevel"/>
    <w:tmpl w:val="1922A98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3B1146"/>
    <w:multiLevelType w:val="hybridMultilevel"/>
    <w:tmpl w:val="276CC3A2"/>
    <w:lvl w:ilvl="0" w:tplc="8A5672A2">
      <w:start w:val="1"/>
      <w:numFmt w:val="lowerLetter"/>
      <w:lvlText w:val="%1)"/>
      <w:lvlJc w:val="left"/>
      <w:pPr>
        <w:ind w:left="107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94" w:hanging="360"/>
      </w:pPr>
    </w:lvl>
    <w:lvl w:ilvl="2" w:tplc="0405001B" w:tentative="1">
      <w:start w:val="1"/>
      <w:numFmt w:val="lowerRoman"/>
      <w:lvlText w:val="%3."/>
      <w:lvlJc w:val="right"/>
      <w:pPr>
        <w:ind w:left="2514" w:hanging="180"/>
      </w:pPr>
    </w:lvl>
    <w:lvl w:ilvl="3" w:tplc="0405000F" w:tentative="1">
      <w:start w:val="1"/>
      <w:numFmt w:val="decimal"/>
      <w:lvlText w:val="%4."/>
      <w:lvlJc w:val="left"/>
      <w:pPr>
        <w:ind w:left="3234" w:hanging="360"/>
      </w:pPr>
    </w:lvl>
    <w:lvl w:ilvl="4" w:tplc="04050019" w:tentative="1">
      <w:start w:val="1"/>
      <w:numFmt w:val="lowerLetter"/>
      <w:lvlText w:val="%5."/>
      <w:lvlJc w:val="left"/>
      <w:pPr>
        <w:ind w:left="3954" w:hanging="360"/>
      </w:pPr>
    </w:lvl>
    <w:lvl w:ilvl="5" w:tplc="0405001B" w:tentative="1">
      <w:start w:val="1"/>
      <w:numFmt w:val="lowerRoman"/>
      <w:lvlText w:val="%6."/>
      <w:lvlJc w:val="right"/>
      <w:pPr>
        <w:ind w:left="4674" w:hanging="180"/>
      </w:pPr>
    </w:lvl>
    <w:lvl w:ilvl="6" w:tplc="0405000F" w:tentative="1">
      <w:start w:val="1"/>
      <w:numFmt w:val="decimal"/>
      <w:lvlText w:val="%7."/>
      <w:lvlJc w:val="left"/>
      <w:pPr>
        <w:ind w:left="5394" w:hanging="360"/>
      </w:pPr>
    </w:lvl>
    <w:lvl w:ilvl="7" w:tplc="04050019" w:tentative="1">
      <w:start w:val="1"/>
      <w:numFmt w:val="lowerLetter"/>
      <w:lvlText w:val="%8."/>
      <w:lvlJc w:val="left"/>
      <w:pPr>
        <w:ind w:left="6114" w:hanging="360"/>
      </w:pPr>
    </w:lvl>
    <w:lvl w:ilvl="8" w:tplc="040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4">
    <w:nsid w:val="08DE5078"/>
    <w:multiLevelType w:val="hybridMultilevel"/>
    <w:tmpl w:val="7200F262"/>
    <w:lvl w:ilvl="0" w:tplc="3F0ACF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F695068"/>
    <w:multiLevelType w:val="hybridMultilevel"/>
    <w:tmpl w:val="B7421778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1766512F"/>
    <w:multiLevelType w:val="hybridMultilevel"/>
    <w:tmpl w:val="9D124FD2"/>
    <w:lvl w:ilvl="0" w:tplc="A2C86DC6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2A2CB9"/>
    <w:multiLevelType w:val="hybridMultilevel"/>
    <w:tmpl w:val="C0D2B72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CD78E8"/>
    <w:multiLevelType w:val="hybridMultilevel"/>
    <w:tmpl w:val="3946B60A"/>
    <w:lvl w:ilvl="0" w:tplc="4CCE0A4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535CC4"/>
    <w:multiLevelType w:val="hybridMultilevel"/>
    <w:tmpl w:val="33CA4122"/>
    <w:lvl w:ilvl="0" w:tplc="040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7D7119D"/>
    <w:multiLevelType w:val="hybridMultilevel"/>
    <w:tmpl w:val="9D1CD666"/>
    <w:lvl w:ilvl="0" w:tplc="EDFEC6D0">
      <w:start w:val="6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BA1010A"/>
    <w:multiLevelType w:val="hybridMultilevel"/>
    <w:tmpl w:val="4B6CCACC"/>
    <w:lvl w:ilvl="0" w:tplc="2D965DB6">
      <w:start w:val="5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5D85D20"/>
    <w:multiLevelType w:val="hybridMultilevel"/>
    <w:tmpl w:val="A24A98F8"/>
    <w:lvl w:ilvl="0" w:tplc="EDDA4A0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7DC3404"/>
    <w:multiLevelType w:val="hybridMultilevel"/>
    <w:tmpl w:val="EB1A076A"/>
    <w:lvl w:ilvl="0" w:tplc="01965756">
      <w:start w:val="1"/>
      <w:numFmt w:val="upperRoman"/>
      <w:lvlText w:val="%1."/>
      <w:lvlJc w:val="left"/>
      <w:pPr>
        <w:tabs>
          <w:tab w:val="num" w:pos="862"/>
        </w:tabs>
        <w:ind w:left="862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AD77839"/>
    <w:multiLevelType w:val="hybridMultilevel"/>
    <w:tmpl w:val="CCF8BB4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3B0036EA"/>
    <w:multiLevelType w:val="multilevel"/>
    <w:tmpl w:val="A9CEF5CA"/>
    <w:lvl w:ilvl="0">
      <w:start w:val="1"/>
      <w:numFmt w:val="bullet"/>
      <w:lvlText w:val="●"/>
      <w:lvlJc w:val="left"/>
      <w:pPr>
        <w:ind w:left="720" w:firstLine="3960"/>
      </w:pPr>
      <w:rPr>
        <w:rFonts w:ascii="Arial" w:eastAsia="Arial" w:hAnsi="Arial" w:cs="Arial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82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26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169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21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255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298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hanging="31336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hanging="27016"/>
      </w:pPr>
      <w:rPr>
        <w:rFonts w:ascii="Arial" w:eastAsia="Arial" w:hAnsi="Arial" w:cs="Arial"/>
      </w:rPr>
    </w:lvl>
  </w:abstractNum>
  <w:abstractNum w:abstractNumId="17">
    <w:nsid w:val="448C608E"/>
    <w:multiLevelType w:val="hybridMultilevel"/>
    <w:tmpl w:val="6BF4E6A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38728DE"/>
    <w:multiLevelType w:val="hybridMultilevel"/>
    <w:tmpl w:val="19C635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72318C4"/>
    <w:multiLevelType w:val="hybridMultilevel"/>
    <w:tmpl w:val="9A70473A"/>
    <w:lvl w:ilvl="0" w:tplc="0405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20">
    <w:nsid w:val="5A053D3C"/>
    <w:multiLevelType w:val="hybridMultilevel"/>
    <w:tmpl w:val="539C1E10"/>
    <w:lvl w:ilvl="0" w:tplc="DBACF6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658B4933"/>
    <w:multiLevelType w:val="hybridMultilevel"/>
    <w:tmpl w:val="BA002846"/>
    <w:lvl w:ilvl="0" w:tplc="9992EAA2">
      <w:start w:val="1"/>
      <w:numFmt w:val="upperRoman"/>
      <w:lvlText w:val="%1."/>
      <w:lvlJc w:val="left"/>
      <w:pPr>
        <w:ind w:left="723" w:hanging="720"/>
      </w:pPr>
      <w:rPr>
        <w:rFonts w:hint="default"/>
        <w:b/>
        <w:color w:val="0070C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083" w:hanging="360"/>
      </w:pPr>
    </w:lvl>
    <w:lvl w:ilvl="2" w:tplc="0405001B" w:tentative="1">
      <w:start w:val="1"/>
      <w:numFmt w:val="lowerRoman"/>
      <w:lvlText w:val="%3."/>
      <w:lvlJc w:val="right"/>
      <w:pPr>
        <w:ind w:left="1803" w:hanging="180"/>
      </w:pPr>
    </w:lvl>
    <w:lvl w:ilvl="3" w:tplc="0405000F" w:tentative="1">
      <w:start w:val="1"/>
      <w:numFmt w:val="decimal"/>
      <w:lvlText w:val="%4."/>
      <w:lvlJc w:val="left"/>
      <w:pPr>
        <w:ind w:left="2523" w:hanging="360"/>
      </w:pPr>
    </w:lvl>
    <w:lvl w:ilvl="4" w:tplc="04050019" w:tentative="1">
      <w:start w:val="1"/>
      <w:numFmt w:val="lowerLetter"/>
      <w:lvlText w:val="%5."/>
      <w:lvlJc w:val="left"/>
      <w:pPr>
        <w:ind w:left="3243" w:hanging="360"/>
      </w:pPr>
    </w:lvl>
    <w:lvl w:ilvl="5" w:tplc="0405001B" w:tentative="1">
      <w:start w:val="1"/>
      <w:numFmt w:val="lowerRoman"/>
      <w:lvlText w:val="%6."/>
      <w:lvlJc w:val="right"/>
      <w:pPr>
        <w:ind w:left="3963" w:hanging="180"/>
      </w:pPr>
    </w:lvl>
    <w:lvl w:ilvl="6" w:tplc="0405000F" w:tentative="1">
      <w:start w:val="1"/>
      <w:numFmt w:val="decimal"/>
      <w:lvlText w:val="%7."/>
      <w:lvlJc w:val="left"/>
      <w:pPr>
        <w:ind w:left="4683" w:hanging="360"/>
      </w:pPr>
    </w:lvl>
    <w:lvl w:ilvl="7" w:tplc="04050019" w:tentative="1">
      <w:start w:val="1"/>
      <w:numFmt w:val="lowerLetter"/>
      <w:lvlText w:val="%8."/>
      <w:lvlJc w:val="left"/>
      <w:pPr>
        <w:ind w:left="5403" w:hanging="360"/>
      </w:pPr>
    </w:lvl>
    <w:lvl w:ilvl="8" w:tplc="0405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22">
    <w:nsid w:val="65C462C0"/>
    <w:multiLevelType w:val="hybridMultilevel"/>
    <w:tmpl w:val="785E51B6"/>
    <w:lvl w:ilvl="0" w:tplc="86A4AB3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74519F0"/>
    <w:multiLevelType w:val="hybridMultilevel"/>
    <w:tmpl w:val="AEE05A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01777D7"/>
    <w:multiLevelType w:val="hybridMultilevel"/>
    <w:tmpl w:val="9C4464F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D24233D"/>
    <w:multiLevelType w:val="hybridMultilevel"/>
    <w:tmpl w:val="A04AD0A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DD05BE2"/>
    <w:multiLevelType w:val="hybridMultilevel"/>
    <w:tmpl w:val="5F98B3A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14"/>
  </w:num>
  <w:num w:numId="4">
    <w:abstractNumId w:val="1"/>
  </w:num>
  <w:num w:numId="5">
    <w:abstractNumId w:val="12"/>
  </w:num>
  <w:num w:numId="6">
    <w:abstractNumId w:val="15"/>
  </w:num>
  <w:num w:numId="7">
    <w:abstractNumId w:val="13"/>
  </w:num>
  <w:num w:numId="8">
    <w:abstractNumId w:val="11"/>
  </w:num>
  <w:num w:numId="9">
    <w:abstractNumId w:val="8"/>
  </w:num>
  <w:num w:numId="10">
    <w:abstractNumId w:val="20"/>
  </w:num>
  <w:num w:numId="11">
    <w:abstractNumId w:val="9"/>
  </w:num>
  <w:num w:numId="12">
    <w:abstractNumId w:val="22"/>
  </w:num>
  <w:num w:numId="13">
    <w:abstractNumId w:val="17"/>
  </w:num>
  <w:num w:numId="14">
    <w:abstractNumId w:val="26"/>
  </w:num>
  <w:num w:numId="15">
    <w:abstractNumId w:val="21"/>
  </w:num>
  <w:num w:numId="16">
    <w:abstractNumId w:val="25"/>
  </w:num>
  <w:num w:numId="17">
    <w:abstractNumId w:val="16"/>
  </w:num>
  <w:num w:numId="18">
    <w:abstractNumId w:val="19"/>
  </w:num>
  <w:num w:numId="19">
    <w:abstractNumId w:val="23"/>
  </w:num>
  <w:num w:numId="20">
    <w:abstractNumId w:val="5"/>
  </w:num>
  <w:num w:numId="21">
    <w:abstractNumId w:val="7"/>
  </w:num>
  <w:num w:numId="22">
    <w:abstractNumId w:val="18"/>
  </w:num>
  <w:num w:numId="23">
    <w:abstractNumId w:val="4"/>
  </w:num>
  <w:num w:numId="24">
    <w:abstractNumId w:val="24"/>
  </w:num>
  <w:num w:numId="25">
    <w:abstractNumId w:val="2"/>
  </w:num>
  <w:num w:numId="26">
    <w:abstractNumId w:val="6"/>
  </w:num>
  <w:num w:numId="27">
    <w:abstractNumId w:val="3"/>
  </w:num>
  <w:num w:numId="2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103C0"/>
    <w:rsid w:val="0002660E"/>
    <w:rsid w:val="00034112"/>
    <w:rsid w:val="0008061A"/>
    <w:rsid w:val="00095B2C"/>
    <w:rsid w:val="000B18B7"/>
    <w:rsid w:val="000B2133"/>
    <w:rsid w:val="000B552E"/>
    <w:rsid w:val="000C4A33"/>
    <w:rsid w:val="000D6C28"/>
    <w:rsid w:val="000F2431"/>
    <w:rsid w:val="00115DD5"/>
    <w:rsid w:val="00125E45"/>
    <w:rsid w:val="00142A2B"/>
    <w:rsid w:val="001521C9"/>
    <w:rsid w:val="001919AE"/>
    <w:rsid w:val="001A621D"/>
    <w:rsid w:val="001B2DA9"/>
    <w:rsid w:val="001C1FF6"/>
    <w:rsid w:val="001C6720"/>
    <w:rsid w:val="002025F0"/>
    <w:rsid w:val="002055E1"/>
    <w:rsid w:val="002113A6"/>
    <w:rsid w:val="00220337"/>
    <w:rsid w:val="002354C2"/>
    <w:rsid w:val="0023589F"/>
    <w:rsid w:val="00237006"/>
    <w:rsid w:val="00245132"/>
    <w:rsid w:val="00263138"/>
    <w:rsid w:val="00283411"/>
    <w:rsid w:val="00284417"/>
    <w:rsid w:val="002A18DA"/>
    <w:rsid w:val="002B73C0"/>
    <w:rsid w:val="002D1EB4"/>
    <w:rsid w:val="002F01DD"/>
    <w:rsid w:val="002F4B71"/>
    <w:rsid w:val="0031020D"/>
    <w:rsid w:val="00327C20"/>
    <w:rsid w:val="003320FD"/>
    <w:rsid w:val="0034709D"/>
    <w:rsid w:val="00353F7B"/>
    <w:rsid w:val="00360293"/>
    <w:rsid w:val="00370930"/>
    <w:rsid w:val="00383055"/>
    <w:rsid w:val="0038437F"/>
    <w:rsid w:val="00387B05"/>
    <w:rsid w:val="003C2660"/>
    <w:rsid w:val="003C2FDC"/>
    <w:rsid w:val="003C46A3"/>
    <w:rsid w:val="003E49F5"/>
    <w:rsid w:val="0044033C"/>
    <w:rsid w:val="00445034"/>
    <w:rsid w:val="00451DCE"/>
    <w:rsid w:val="004637DD"/>
    <w:rsid w:val="00470878"/>
    <w:rsid w:val="00474974"/>
    <w:rsid w:val="00477798"/>
    <w:rsid w:val="00494A1F"/>
    <w:rsid w:val="0049627F"/>
    <w:rsid w:val="004C59C7"/>
    <w:rsid w:val="004D17F9"/>
    <w:rsid w:val="004D7E2C"/>
    <w:rsid w:val="00521346"/>
    <w:rsid w:val="00535DE1"/>
    <w:rsid w:val="00556BA1"/>
    <w:rsid w:val="00582F4D"/>
    <w:rsid w:val="00594514"/>
    <w:rsid w:val="005A039A"/>
    <w:rsid w:val="005B3626"/>
    <w:rsid w:val="005B612A"/>
    <w:rsid w:val="005C62FC"/>
    <w:rsid w:val="005C74DC"/>
    <w:rsid w:val="005D5857"/>
    <w:rsid w:val="005E42B2"/>
    <w:rsid w:val="005E4DB4"/>
    <w:rsid w:val="005F0813"/>
    <w:rsid w:val="0060420B"/>
    <w:rsid w:val="0061052C"/>
    <w:rsid w:val="006213EB"/>
    <w:rsid w:val="00624F90"/>
    <w:rsid w:val="00646D8B"/>
    <w:rsid w:val="00655C89"/>
    <w:rsid w:val="00660AAF"/>
    <w:rsid w:val="00667BC1"/>
    <w:rsid w:val="00681D93"/>
    <w:rsid w:val="00684D79"/>
    <w:rsid w:val="00697955"/>
    <w:rsid w:val="006A0D30"/>
    <w:rsid w:val="006A6022"/>
    <w:rsid w:val="006C0911"/>
    <w:rsid w:val="006C214F"/>
    <w:rsid w:val="006E211B"/>
    <w:rsid w:val="006E518C"/>
    <w:rsid w:val="006F0B2D"/>
    <w:rsid w:val="006F59BB"/>
    <w:rsid w:val="006F7BCE"/>
    <w:rsid w:val="00713180"/>
    <w:rsid w:val="00713C3F"/>
    <w:rsid w:val="00717229"/>
    <w:rsid w:val="00726824"/>
    <w:rsid w:val="00743F2F"/>
    <w:rsid w:val="007524A6"/>
    <w:rsid w:val="00752A3C"/>
    <w:rsid w:val="00757162"/>
    <w:rsid w:val="00763060"/>
    <w:rsid w:val="00764DA0"/>
    <w:rsid w:val="00791776"/>
    <w:rsid w:val="007A13C6"/>
    <w:rsid w:val="007A399A"/>
    <w:rsid w:val="007A514A"/>
    <w:rsid w:val="00804FFA"/>
    <w:rsid w:val="00810AA0"/>
    <w:rsid w:val="00812677"/>
    <w:rsid w:val="00817035"/>
    <w:rsid w:val="00824D90"/>
    <w:rsid w:val="008274EA"/>
    <w:rsid w:val="00850662"/>
    <w:rsid w:val="00861B66"/>
    <w:rsid w:val="008815AA"/>
    <w:rsid w:val="008A7418"/>
    <w:rsid w:val="008D74E2"/>
    <w:rsid w:val="008F0FA9"/>
    <w:rsid w:val="008F35D6"/>
    <w:rsid w:val="008F3A3A"/>
    <w:rsid w:val="008F77F6"/>
    <w:rsid w:val="00907CC1"/>
    <w:rsid w:val="00920468"/>
    <w:rsid w:val="00925716"/>
    <w:rsid w:val="00925EA0"/>
    <w:rsid w:val="0094197F"/>
    <w:rsid w:val="009439B6"/>
    <w:rsid w:val="00952E93"/>
    <w:rsid w:val="00965385"/>
    <w:rsid w:val="009704D2"/>
    <w:rsid w:val="0097563F"/>
    <w:rsid w:val="009870E8"/>
    <w:rsid w:val="0099119D"/>
    <w:rsid w:val="00991E49"/>
    <w:rsid w:val="00996672"/>
    <w:rsid w:val="009A06ED"/>
    <w:rsid w:val="009A3D8D"/>
    <w:rsid w:val="009A3F0C"/>
    <w:rsid w:val="009A4A06"/>
    <w:rsid w:val="009B28FF"/>
    <w:rsid w:val="009B4AAA"/>
    <w:rsid w:val="009B50BE"/>
    <w:rsid w:val="009B6B86"/>
    <w:rsid w:val="009E46B2"/>
    <w:rsid w:val="009E63FB"/>
    <w:rsid w:val="009F279B"/>
    <w:rsid w:val="00A1065B"/>
    <w:rsid w:val="00A10FEA"/>
    <w:rsid w:val="00A218B6"/>
    <w:rsid w:val="00A43DED"/>
    <w:rsid w:val="00A51417"/>
    <w:rsid w:val="00A52552"/>
    <w:rsid w:val="00A66E3E"/>
    <w:rsid w:val="00A67C88"/>
    <w:rsid w:val="00A963DB"/>
    <w:rsid w:val="00AA1B8F"/>
    <w:rsid w:val="00AA51BE"/>
    <w:rsid w:val="00AA7217"/>
    <w:rsid w:val="00AB037F"/>
    <w:rsid w:val="00AB0910"/>
    <w:rsid w:val="00AE7D40"/>
    <w:rsid w:val="00AF1195"/>
    <w:rsid w:val="00B2385A"/>
    <w:rsid w:val="00B27BD5"/>
    <w:rsid w:val="00B30591"/>
    <w:rsid w:val="00B476E7"/>
    <w:rsid w:val="00B82302"/>
    <w:rsid w:val="00B943E1"/>
    <w:rsid w:val="00BA0EEC"/>
    <w:rsid w:val="00BA148D"/>
    <w:rsid w:val="00BB0768"/>
    <w:rsid w:val="00BB3611"/>
    <w:rsid w:val="00BC1B8D"/>
    <w:rsid w:val="00C20639"/>
    <w:rsid w:val="00C2324C"/>
    <w:rsid w:val="00C36357"/>
    <w:rsid w:val="00C40DD3"/>
    <w:rsid w:val="00C443FE"/>
    <w:rsid w:val="00C466EA"/>
    <w:rsid w:val="00C50E8F"/>
    <w:rsid w:val="00C67A33"/>
    <w:rsid w:val="00C70CC5"/>
    <w:rsid w:val="00C74E01"/>
    <w:rsid w:val="00C8581B"/>
    <w:rsid w:val="00CA31E8"/>
    <w:rsid w:val="00CA43B6"/>
    <w:rsid w:val="00CB0A9E"/>
    <w:rsid w:val="00CC381A"/>
    <w:rsid w:val="00CD07FF"/>
    <w:rsid w:val="00CD0F55"/>
    <w:rsid w:val="00CE70C1"/>
    <w:rsid w:val="00CF7188"/>
    <w:rsid w:val="00D04D72"/>
    <w:rsid w:val="00D126DB"/>
    <w:rsid w:val="00D15E62"/>
    <w:rsid w:val="00D20535"/>
    <w:rsid w:val="00D26DF3"/>
    <w:rsid w:val="00D27C56"/>
    <w:rsid w:val="00D328B5"/>
    <w:rsid w:val="00D33AF3"/>
    <w:rsid w:val="00D40432"/>
    <w:rsid w:val="00D42B48"/>
    <w:rsid w:val="00D43079"/>
    <w:rsid w:val="00D618BE"/>
    <w:rsid w:val="00D64C11"/>
    <w:rsid w:val="00D67873"/>
    <w:rsid w:val="00D73012"/>
    <w:rsid w:val="00D825A4"/>
    <w:rsid w:val="00D913CF"/>
    <w:rsid w:val="00D950E7"/>
    <w:rsid w:val="00DA6AB6"/>
    <w:rsid w:val="00DB13D0"/>
    <w:rsid w:val="00DB2DBE"/>
    <w:rsid w:val="00DC0013"/>
    <w:rsid w:val="00DC5C62"/>
    <w:rsid w:val="00DC5FE9"/>
    <w:rsid w:val="00DC742C"/>
    <w:rsid w:val="00DD2F96"/>
    <w:rsid w:val="00DF7956"/>
    <w:rsid w:val="00E11985"/>
    <w:rsid w:val="00E14275"/>
    <w:rsid w:val="00E424FA"/>
    <w:rsid w:val="00E47CAD"/>
    <w:rsid w:val="00E52D50"/>
    <w:rsid w:val="00E613BE"/>
    <w:rsid w:val="00E86D9D"/>
    <w:rsid w:val="00EA2179"/>
    <w:rsid w:val="00EB5A6D"/>
    <w:rsid w:val="00EC2AD4"/>
    <w:rsid w:val="00EC70A1"/>
    <w:rsid w:val="00EF57B1"/>
    <w:rsid w:val="00F01790"/>
    <w:rsid w:val="00F02012"/>
    <w:rsid w:val="00F15108"/>
    <w:rsid w:val="00F227C9"/>
    <w:rsid w:val="00F24D60"/>
    <w:rsid w:val="00F2706B"/>
    <w:rsid w:val="00F37215"/>
    <w:rsid w:val="00F46D82"/>
    <w:rsid w:val="00F52A5E"/>
    <w:rsid w:val="00FA0A9E"/>
    <w:rsid w:val="00FB20C4"/>
    <w:rsid w:val="00FB5ECA"/>
    <w:rsid w:val="00FC249F"/>
    <w:rsid w:val="00FC5A4B"/>
    <w:rsid w:val="00FC7F99"/>
    <w:rsid w:val="00FE27B3"/>
    <w:rsid w:val="00FE6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5E42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qFormat/>
    <w:rsid w:val="008F0FA9"/>
    <w:pPr>
      <w:ind w:left="720"/>
      <w:contextualSpacing/>
    </w:pPr>
    <w:rPr>
      <w:sz w:val="20"/>
      <w:szCs w:val="20"/>
    </w:rPr>
  </w:style>
  <w:style w:type="paragraph" w:customStyle="1" w:styleId="Odstavecseseznamem1">
    <w:name w:val="Odstavec se seznamem1"/>
    <w:basedOn w:val="Normln"/>
    <w:rsid w:val="000B213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FA0A9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FA0A9E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A0A9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A0A9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FA0A9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FA0A9E"/>
    <w:rPr>
      <w:b/>
      <w:bCs/>
    </w:rPr>
  </w:style>
  <w:style w:type="character" w:customStyle="1" w:styleId="Nadpis1Char">
    <w:name w:val="Nadpis 1 Char"/>
    <w:basedOn w:val="Standardnpsmoodstavce"/>
    <w:link w:val="Nadpis1"/>
    <w:uiPriority w:val="9"/>
    <w:rsid w:val="005E42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Normlnweb">
    <w:name w:val="Normal (Web)"/>
    <w:basedOn w:val="Normln"/>
    <w:uiPriority w:val="99"/>
    <w:unhideWhenUsed/>
    <w:rsid w:val="005E42B2"/>
    <w:pPr>
      <w:spacing w:before="100" w:beforeAutospacing="1" w:after="100" w:afterAutospacing="1"/>
    </w:pPr>
  </w:style>
  <w:style w:type="character" w:customStyle="1" w:styleId="h1a">
    <w:name w:val="h1a"/>
    <w:basedOn w:val="Standardnpsmoodstavce"/>
    <w:rsid w:val="005E42B2"/>
  </w:style>
  <w:style w:type="paragraph" w:customStyle="1" w:styleId="Styl1-Nzevmaterilu">
    <w:name w:val="Styl1 - Název materiálu"/>
    <w:basedOn w:val="Normln"/>
    <w:link w:val="Styl1-NzevmateriluChar"/>
    <w:qFormat/>
    <w:rsid w:val="006A0D30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6A0D30"/>
    <w:rPr>
      <w:rFonts w:ascii="Arial" w:eastAsia="Times New Roman" w:hAnsi="Arial" w:cs="Arial"/>
      <w:b/>
      <w:noProof/>
      <w:szCs w:val="24"/>
      <w:lang w:eastAsia="cs-CZ"/>
    </w:rPr>
  </w:style>
  <w:style w:type="paragraph" w:customStyle="1" w:styleId="Char4">
    <w:name w:val="Char4"/>
    <w:basedOn w:val="Normln"/>
    <w:rsid w:val="00451DCE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Hypertextovodkaz">
    <w:name w:val="Hyperlink"/>
    <w:basedOn w:val="Standardnpsmoodstavce"/>
    <w:uiPriority w:val="99"/>
    <w:unhideWhenUsed/>
    <w:rsid w:val="00D126D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5E42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qFormat/>
    <w:rsid w:val="008F0FA9"/>
    <w:pPr>
      <w:ind w:left="720"/>
      <w:contextualSpacing/>
    </w:pPr>
    <w:rPr>
      <w:sz w:val="20"/>
      <w:szCs w:val="20"/>
    </w:rPr>
  </w:style>
  <w:style w:type="paragraph" w:customStyle="1" w:styleId="Odstavecseseznamem1">
    <w:name w:val="Odstavec se seznamem1"/>
    <w:basedOn w:val="Normln"/>
    <w:rsid w:val="000B213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FA0A9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FA0A9E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A0A9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A0A9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FA0A9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FA0A9E"/>
    <w:rPr>
      <w:b/>
      <w:bCs/>
    </w:rPr>
  </w:style>
  <w:style w:type="character" w:customStyle="1" w:styleId="Nadpis1Char">
    <w:name w:val="Nadpis 1 Char"/>
    <w:basedOn w:val="Standardnpsmoodstavce"/>
    <w:link w:val="Nadpis1"/>
    <w:uiPriority w:val="9"/>
    <w:rsid w:val="005E42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Normlnweb">
    <w:name w:val="Normal (Web)"/>
    <w:basedOn w:val="Normln"/>
    <w:uiPriority w:val="99"/>
    <w:unhideWhenUsed/>
    <w:rsid w:val="005E42B2"/>
    <w:pPr>
      <w:spacing w:before="100" w:beforeAutospacing="1" w:after="100" w:afterAutospacing="1"/>
    </w:pPr>
  </w:style>
  <w:style w:type="character" w:customStyle="1" w:styleId="h1a">
    <w:name w:val="h1a"/>
    <w:basedOn w:val="Standardnpsmoodstavce"/>
    <w:rsid w:val="005E42B2"/>
  </w:style>
  <w:style w:type="paragraph" w:customStyle="1" w:styleId="Styl1-Nzevmaterilu">
    <w:name w:val="Styl1 - Název materiálu"/>
    <w:basedOn w:val="Normln"/>
    <w:link w:val="Styl1-NzevmateriluChar"/>
    <w:qFormat/>
    <w:rsid w:val="006A0D30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6A0D30"/>
    <w:rPr>
      <w:rFonts w:ascii="Arial" w:eastAsia="Times New Roman" w:hAnsi="Arial" w:cs="Arial"/>
      <w:b/>
      <w:noProof/>
      <w:szCs w:val="24"/>
      <w:lang w:eastAsia="cs-CZ"/>
    </w:rPr>
  </w:style>
  <w:style w:type="paragraph" w:customStyle="1" w:styleId="Char4">
    <w:name w:val="Char4"/>
    <w:basedOn w:val="Normln"/>
    <w:rsid w:val="00451DCE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Hypertextovodkaz">
    <w:name w:val="Hyperlink"/>
    <w:basedOn w:val="Standardnpsmoodstavce"/>
    <w:uiPriority w:val="99"/>
    <w:unhideWhenUsed/>
    <w:rsid w:val="00D126D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057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yzkum.cz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663</Words>
  <Characters>3913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4567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Moravcová Lenka</cp:lastModifiedBy>
  <cp:revision>17</cp:revision>
  <cp:lastPrinted>2020-02-27T06:51:00Z</cp:lastPrinted>
  <dcterms:created xsi:type="dcterms:W3CDTF">2020-02-24T11:23:00Z</dcterms:created>
  <dcterms:modified xsi:type="dcterms:W3CDTF">2020-03-04T07:41:00Z</dcterms:modified>
</cp:coreProperties>
</file>