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98908" w14:textId="77777777" w:rsidR="00250530" w:rsidRDefault="00250530" w:rsidP="00250530">
      <w:pPr>
        <w:spacing w:line="276" w:lineRule="auto"/>
        <w:jc w:val="center"/>
        <w:rPr>
          <w:b/>
          <w:sz w:val="40"/>
          <w:szCs w:val="40"/>
        </w:rPr>
      </w:pPr>
      <w:bookmarkStart w:id="0" w:name="_GoBack"/>
      <w:bookmarkEnd w:id="0"/>
    </w:p>
    <w:p w14:paraId="2F9ACE86" w14:textId="77777777" w:rsidR="009E7AFC" w:rsidRDefault="009E7AFC" w:rsidP="00250530">
      <w:pPr>
        <w:spacing w:line="276" w:lineRule="auto"/>
        <w:jc w:val="center"/>
        <w:rPr>
          <w:b/>
          <w:sz w:val="40"/>
          <w:szCs w:val="40"/>
        </w:rPr>
      </w:pPr>
    </w:p>
    <w:p w14:paraId="60F1C39E" w14:textId="0CCCA6A8" w:rsidR="00250530" w:rsidRPr="00250530" w:rsidRDefault="003A0FFA" w:rsidP="003A0FFA">
      <w:pPr>
        <w:tabs>
          <w:tab w:val="left" w:pos="5175"/>
        </w:tabs>
        <w:spacing w:line="276" w:lineRule="auto"/>
        <w:rPr>
          <w:b/>
          <w:sz w:val="40"/>
          <w:szCs w:val="40"/>
        </w:rPr>
      </w:pPr>
      <w:r>
        <w:rPr>
          <w:b/>
          <w:sz w:val="40"/>
          <w:szCs w:val="40"/>
        </w:rPr>
        <w:tab/>
      </w:r>
    </w:p>
    <w:p w14:paraId="35EA758B" w14:textId="77777777" w:rsidR="00250530" w:rsidRDefault="00250530" w:rsidP="00250530">
      <w:pPr>
        <w:spacing w:line="276" w:lineRule="auto"/>
        <w:jc w:val="center"/>
        <w:rPr>
          <w:b/>
          <w:sz w:val="40"/>
          <w:szCs w:val="40"/>
        </w:rPr>
      </w:pPr>
    </w:p>
    <w:p w14:paraId="7EAC139C" w14:textId="77777777" w:rsidR="00250530" w:rsidRPr="00250530" w:rsidRDefault="00250530" w:rsidP="00250530">
      <w:pPr>
        <w:spacing w:line="276" w:lineRule="auto"/>
        <w:jc w:val="center"/>
        <w:rPr>
          <w:b/>
          <w:sz w:val="40"/>
          <w:szCs w:val="40"/>
        </w:rPr>
      </w:pPr>
    </w:p>
    <w:p w14:paraId="2A7937C4" w14:textId="77777777" w:rsidR="00250530" w:rsidRPr="00DA432B" w:rsidRDefault="00250530" w:rsidP="00250530">
      <w:pPr>
        <w:spacing w:line="480" w:lineRule="auto"/>
        <w:jc w:val="center"/>
        <w:rPr>
          <w:b/>
          <w:sz w:val="40"/>
          <w:szCs w:val="40"/>
        </w:rPr>
      </w:pPr>
      <w:r w:rsidRPr="00DA432B">
        <w:rPr>
          <w:b/>
          <w:sz w:val="40"/>
          <w:szCs w:val="40"/>
        </w:rPr>
        <w:t xml:space="preserve">Program </w:t>
      </w:r>
    </w:p>
    <w:p w14:paraId="075D29DB" w14:textId="73195E4D" w:rsidR="00250530" w:rsidRPr="00DA432B" w:rsidRDefault="00250530" w:rsidP="00250530">
      <w:pPr>
        <w:spacing w:line="480" w:lineRule="auto"/>
        <w:jc w:val="center"/>
        <w:rPr>
          <w:b/>
          <w:sz w:val="40"/>
          <w:szCs w:val="40"/>
        </w:rPr>
      </w:pPr>
      <w:r w:rsidRPr="00DA432B">
        <w:rPr>
          <w:b/>
          <w:sz w:val="40"/>
          <w:szCs w:val="40"/>
        </w:rPr>
        <w:t>na</w:t>
      </w:r>
      <w:r w:rsidR="006E5DDC" w:rsidRPr="00DA432B">
        <w:rPr>
          <w:b/>
          <w:sz w:val="40"/>
          <w:szCs w:val="40"/>
        </w:rPr>
        <w:t xml:space="preserve"> podporu </w:t>
      </w:r>
      <w:r w:rsidR="00AD11FA" w:rsidRPr="00DA432B">
        <w:rPr>
          <w:b/>
          <w:sz w:val="40"/>
          <w:szCs w:val="40"/>
        </w:rPr>
        <w:t xml:space="preserve">zdravotnického </w:t>
      </w:r>
      <w:r w:rsidR="000514C9" w:rsidRPr="00DA432B">
        <w:rPr>
          <w:b/>
          <w:sz w:val="40"/>
          <w:szCs w:val="40"/>
        </w:rPr>
        <w:t>aplikovaného výzkumu</w:t>
      </w:r>
      <w:r w:rsidR="007363D2" w:rsidRPr="00DA432B">
        <w:rPr>
          <w:b/>
          <w:sz w:val="40"/>
          <w:szCs w:val="40"/>
        </w:rPr>
        <w:t xml:space="preserve"> </w:t>
      </w:r>
    </w:p>
    <w:p w14:paraId="1C1B6D42" w14:textId="6EAC7A22" w:rsidR="00250530" w:rsidRPr="00DA432B" w:rsidRDefault="00250530" w:rsidP="00250530">
      <w:pPr>
        <w:spacing w:line="480" w:lineRule="auto"/>
        <w:jc w:val="center"/>
        <w:rPr>
          <w:b/>
          <w:sz w:val="40"/>
          <w:szCs w:val="40"/>
        </w:rPr>
      </w:pPr>
      <w:r w:rsidRPr="00DA432B">
        <w:rPr>
          <w:b/>
          <w:sz w:val="40"/>
          <w:szCs w:val="40"/>
        </w:rPr>
        <w:t>na léta 2015 – 202</w:t>
      </w:r>
      <w:r w:rsidR="0061098A">
        <w:rPr>
          <w:b/>
          <w:sz w:val="40"/>
          <w:szCs w:val="40"/>
        </w:rPr>
        <w:t>3</w:t>
      </w:r>
    </w:p>
    <w:p w14:paraId="633B4761" w14:textId="77777777" w:rsidR="00250530" w:rsidRPr="00DA432B" w:rsidRDefault="00250530" w:rsidP="00250530">
      <w:pPr>
        <w:spacing w:line="276" w:lineRule="auto"/>
        <w:jc w:val="center"/>
        <w:rPr>
          <w:sz w:val="40"/>
          <w:szCs w:val="40"/>
        </w:rPr>
      </w:pPr>
    </w:p>
    <w:p w14:paraId="742E3C3C" w14:textId="77777777" w:rsidR="00250530" w:rsidRPr="00DA432B" w:rsidRDefault="00250530" w:rsidP="00250530">
      <w:pPr>
        <w:spacing w:line="276" w:lineRule="auto"/>
        <w:jc w:val="center"/>
        <w:rPr>
          <w:sz w:val="40"/>
          <w:szCs w:val="40"/>
        </w:rPr>
      </w:pPr>
    </w:p>
    <w:p w14:paraId="2CC9CE7F" w14:textId="77777777" w:rsidR="00250530" w:rsidRPr="00DA432B" w:rsidRDefault="00250530" w:rsidP="00250530">
      <w:pPr>
        <w:spacing w:line="276" w:lineRule="auto"/>
        <w:jc w:val="center"/>
        <w:rPr>
          <w:sz w:val="40"/>
          <w:szCs w:val="40"/>
        </w:rPr>
      </w:pPr>
    </w:p>
    <w:p w14:paraId="5503ABFC" w14:textId="77777777" w:rsidR="009C68EF" w:rsidRPr="00DA432B" w:rsidRDefault="009C68EF" w:rsidP="00250530">
      <w:pPr>
        <w:spacing w:line="276" w:lineRule="auto"/>
        <w:jc w:val="center"/>
        <w:rPr>
          <w:sz w:val="40"/>
          <w:szCs w:val="40"/>
        </w:rPr>
      </w:pPr>
    </w:p>
    <w:p w14:paraId="08E9D830" w14:textId="77777777" w:rsidR="009C68EF" w:rsidRPr="00DA432B" w:rsidRDefault="009C68EF" w:rsidP="00250530">
      <w:pPr>
        <w:spacing w:line="276" w:lineRule="auto"/>
        <w:jc w:val="center"/>
        <w:rPr>
          <w:sz w:val="40"/>
          <w:szCs w:val="40"/>
        </w:rPr>
      </w:pPr>
    </w:p>
    <w:p w14:paraId="0E1763A9" w14:textId="77777777" w:rsidR="009C68EF" w:rsidRPr="00DA432B" w:rsidRDefault="009C68EF" w:rsidP="00250530">
      <w:pPr>
        <w:spacing w:line="276" w:lineRule="auto"/>
        <w:jc w:val="center"/>
        <w:rPr>
          <w:sz w:val="40"/>
          <w:szCs w:val="40"/>
        </w:rPr>
      </w:pPr>
    </w:p>
    <w:p w14:paraId="3257030B" w14:textId="77777777" w:rsidR="009C68EF" w:rsidRPr="00DA432B" w:rsidRDefault="009C68EF" w:rsidP="00250530">
      <w:pPr>
        <w:spacing w:line="276" w:lineRule="auto"/>
        <w:jc w:val="center"/>
        <w:rPr>
          <w:sz w:val="40"/>
          <w:szCs w:val="40"/>
        </w:rPr>
      </w:pPr>
    </w:p>
    <w:p w14:paraId="4F1C7CC2" w14:textId="77777777" w:rsidR="009C68EF" w:rsidRPr="00DA432B" w:rsidRDefault="009C68EF" w:rsidP="00250530">
      <w:pPr>
        <w:spacing w:line="276" w:lineRule="auto"/>
        <w:jc w:val="center"/>
        <w:rPr>
          <w:sz w:val="40"/>
          <w:szCs w:val="40"/>
        </w:rPr>
      </w:pPr>
    </w:p>
    <w:p w14:paraId="12EB0E6C" w14:textId="77777777" w:rsidR="009C68EF" w:rsidRPr="00DA432B" w:rsidRDefault="009C68EF" w:rsidP="00250530">
      <w:pPr>
        <w:spacing w:line="276" w:lineRule="auto"/>
        <w:jc w:val="center"/>
        <w:rPr>
          <w:sz w:val="40"/>
          <w:szCs w:val="40"/>
        </w:rPr>
      </w:pPr>
    </w:p>
    <w:p w14:paraId="5E9506F2" w14:textId="77777777" w:rsidR="00250530" w:rsidRPr="00DA432B" w:rsidRDefault="00250530" w:rsidP="00250530">
      <w:pPr>
        <w:spacing w:line="276" w:lineRule="auto"/>
        <w:jc w:val="center"/>
      </w:pPr>
    </w:p>
    <w:p w14:paraId="16385738" w14:textId="77777777" w:rsidR="00250530" w:rsidRPr="00DA432B" w:rsidRDefault="00250530" w:rsidP="00250530">
      <w:pPr>
        <w:pStyle w:val="Nadpisobsahu1"/>
        <w:spacing w:before="0" w:after="240"/>
        <w:ind w:left="357" w:hanging="357"/>
        <w:rPr>
          <w:color w:val="auto"/>
        </w:rPr>
      </w:pPr>
      <w:r w:rsidRPr="00DA432B">
        <w:br w:type="page"/>
      </w:r>
      <w:r w:rsidRPr="00DA432B">
        <w:rPr>
          <w:color w:val="auto"/>
        </w:rPr>
        <w:lastRenderedPageBreak/>
        <w:t>Obsah</w:t>
      </w:r>
    </w:p>
    <w:p w14:paraId="16462931" w14:textId="12E13CD5" w:rsidR="009354A5" w:rsidRDefault="00183E60">
      <w:pPr>
        <w:pStyle w:val="Obsah1"/>
        <w:tabs>
          <w:tab w:val="right" w:leader="dot" w:pos="9062"/>
        </w:tabs>
        <w:rPr>
          <w:rFonts w:asciiTheme="minorHAnsi" w:eastAsiaTheme="minorEastAsia" w:hAnsiTheme="minorHAnsi" w:cstheme="minorBidi"/>
          <w:noProof/>
          <w:sz w:val="22"/>
          <w:szCs w:val="22"/>
        </w:rPr>
      </w:pPr>
      <w:r w:rsidRPr="00DA432B">
        <w:rPr>
          <w:rFonts w:ascii="Arial" w:hAnsi="Arial" w:cs="Arial"/>
          <w:b/>
          <w:sz w:val="28"/>
          <w:szCs w:val="28"/>
          <w:u w:val="single"/>
        </w:rPr>
        <w:fldChar w:fldCharType="begin"/>
      </w:r>
      <w:r w:rsidR="00250530" w:rsidRPr="00DA432B">
        <w:rPr>
          <w:rFonts w:ascii="Arial" w:hAnsi="Arial" w:cs="Arial"/>
          <w:b/>
          <w:sz w:val="28"/>
          <w:szCs w:val="28"/>
          <w:u w:val="single"/>
        </w:rPr>
        <w:instrText xml:space="preserve"> TOC \o "1-3" \h \z \u </w:instrText>
      </w:r>
      <w:r w:rsidRPr="00DA432B">
        <w:rPr>
          <w:rFonts w:ascii="Arial" w:hAnsi="Arial" w:cs="Arial"/>
          <w:b/>
          <w:sz w:val="28"/>
          <w:szCs w:val="28"/>
          <w:u w:val="single"/>
        </w:rPr>
        <w:fldChar w:fldCharType="separate"/>
      </w:r>
      <w:hyperlink w:anchor="_Toc418585143" w:history="1">
        <w:r w:rsidR="009354A5" w:rsidRPr="009A42C2">
          <w:rPr>
            <w:rStyle w:val="Hypertextovodkaz"/>
            <w:noProof/>
          </w:rPr>
          <w:t>1. Název Programu</w:t>
        </w:r>
        <w:r w:rsidR="009354A5">
          <w:rPr>
            <w:noProof/>
            <w:webHidden/>
          </w:rPr>
          <w:tab/>
        </w:r>
        <w:r w:rsidR="009354A5">
          <w:rPr>
            <w:noProof/>
            <w:webHidden/>
          </w:rPr>
          <w:fldChar w:fldCharType="begin"/>
        </w:r>
        <w:r w:rsidR="009354A5">
          <w:rPr>
            <w:noProof/>
            <w:webHidden/>
          </w:rPr>
          <w:instrText xml:space="preserve"> PAGEREF _Toc418585143 \h </w:instrText>
        </w:r>
        <w:r w:rsidR="009354A5">
          <w:rPr>
            <w:noProof/>
            <w:webHidden/>
          </w:rPr>
        </w:r>
        <w:r w:rsidR="009354A5">
          <w:rPr>
            <w:noProof/>
            <w:webHidden/>
          </w:rPr>
          <w:fldChar w:fldCharType="separate"/>
        </w:r>
        <w:r w:rsidR="007377C5">
          <w:rPr>
            <w:noProof/>
            <w:webHidden/>
          </w:rPr>
          <w:t>3</w:t>
        </w:r>
        <w:r w:rsidR="009354A5">
          <w:rPr>
            <w:noProof/>
            <w:webHidden/>
          </w:rPr>
          <w:fldChar w:fldCharType="end"/>
        </w:r>
      </w:hyperlink>
    </w:p>
    <w:p w14:paraId="1CA6EBC9" w14:textId="18A12FB6"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44" w:history="1">
        <w:r w:rsidR="009354A5" w:rsidRPr="009A42C2">
          <w:rPr>
            <w:rStyle w:val="Hypertextovodkaz"/>
            <w:noProof/>
          </w:rPr>
          <w:t>2. Právní rámec Programu</w:t>
        </w:r>
        <w:r w:rsidR="009354A5">
          <w:rPr>
            <w:noProof/>
            <w:webHidden/>
          </w:rPr>
          <w:tab/>
        </w:r>
        <w:r w:rsidR="009354A5">
          <w:rPr>
            <w:noProof/>
            <w:webHidden/>
          </w:rPr>
          <w:fldChar w:fldCharType="begin"/>
        </w:r>
        <w:r w:rsidR="009354A5">
          <w:rPr>
            <w:noProof/>
            <w:webHidden/>
          </w:rPr>
          <w:instrText xml:space="preserve"> PAGEREF _Toc418585144 \h </w:instrText>
        </w:r>
        <w:r w:rsidR="009354A5">
          <w:rPr>
            <w:noProof/>
            <w:webHidden/>
          </w:rPr>
        </w:r>
        <w:r w:rsidR="009354A5">
          <w:rPr>
            <w:noProof/>
            <w:webHidden/>
          </w:rPr>
          <w:fldChar w:fldCharType="separate"/>
        </w:r>
        <w:r w:rsidR="007377C5">
          <w:rPr>
            <w:noProof/>
            <w:webHidden/>
          </w:rPr>
          <w:t>3</w:t>
        </w:r>
        <w:r w:rsidR="009354A5">
          <w:rPr>
            <w:noProof/>
            <w:webHidden/>
          </w:rPr>
          <w:fldChar w:fldCharType="end"/>
        </w:r>
      </w:hyperlink>
    </w:p>
    <w:p w14:paraId="4AB02D39" w14:textId="0DD4AA74"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45" w:history="1">
        <w:r w:rsidR="009354A5" w:rsidRPr="009A42C2">
          <w:rPr>
            <w:rStyle w:val="Hypertextovodkaz"/>
            <w:noProof/>
          </w:rPr>
          <w:t>3. Poskytovatel</w:t>
        </w:r>
        <w:r w:rsidR="009354A5">
          <w:rPr>
            <w:noProof/>
            <w:webHidden/>
          </w:rPr>
          <w:tab/>
        </w:r>
        <w:r w:rsidR="009354A5">
          <w:rPr>
            <w:noProof/>
            <w:webHidden/>
          </w:rPr>
          <w:fldChar w:fldCharType="begin"/>
        </w:r>
        <w:r w:rsidR="009354A5">
          <w:rPr>
            <w:noProof/>
            <w:webHidden/>
          </w:rPr>
          <w:instrText xml:space="preserve"> PAGEREF _Toc418585145 \h </w:instrText>
        </w:r>
        <w:r w:rsidR="009354A5">
          <w:rPr>
            <w:noProof/>
            <w:webHidden/>
          </w:rPr>
        </w:r>
        <w:r w:rsidR="009354A5">
          <w:rPr>
            <w:noProof/>
            <w:webHidden/>
          </w:rPr>
          <w:fldChar w:fldCharType="separate"/>
        </w:r>
        <w:r w:rsidR="007377C5">
          <w:rPr>
            <w:noProof/>
            <w:webHidden/>
          </w:rPr>
          <w:t>3</w:t>
        </w:r>
        <w:r w:rsidR="009354A5">
          <w:rPr>
            <w:noProof/>
            <w:webHidden/>
          </w:rPr>
          <w:fldChar w:fldCharType="end"/>
        </w:r>
      </w:hyperlink>
    </w:p>
    <w:p w14:paraId="63C3CE2E" w14:textId="6B7F13FB"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46" w:history="1">
        <w:r w:rsidR="009354A5" w:rsidRPr="009A42C2">
          <w:rPr>
            <w:rStyle w:val="Hypertextovodkaz"/>
            <w:noProof/>
          </w:rPr>
          <w:t>4. Identifikační kód Programu</w:t>
        </w:r>
        <w:r w:rsidR="009354A5">
          <w:rPr>
            <w:noProof/>
            <w:webHidden/>
          </w:rPr>
          <w:tab/>
        </w:r>
        <w:r w:rsidR="009354A5">
          <w:rPr>
            <w:noProof/>
            <w:webHidden/>
          </w:rPr>
          <w:fldChar w:fldCharType="begin"/>
        </w:r>
        <w:r w:rsidR="009354A5">
          <w:rPr>
            <w:noProof/>
            <w:webHidden/>
          </w:rPr>
          <w:instrText xml:space="preserve"> PAGEREF _Toc418585146 \h </w:instrText>
        </w:r>
        <w:r w:rsidR="009354A5">
          <w:rPr>
            <w:noProof/>
            <w:webHidden/>
          </w:rPr>
        </w:r>
        <w:r w:rsidR="009354A5">
          <w:rPr>
            <w:noProof/>
            <w:webHidden/>
          </w:rPr>
          <w:fldChar w:fldCharType="separate"/>
        </w:r>
        <w:r w:rsidR="007377C5">
          <w:rPr>
            <w:noProof/>
            <w:webHidden/>
          </w:rPr>
          <w:t>3</w:t>
        </w:r>
        <w:r w:rsidR="009354A5">
          <w:rPr>
            <w:noProof/>
            <w:webHidden/>
          </w:rPr>
          <w:fldChar w:fldCharType="end"/>
        </w:r>
      </w:hyperlink>
    </w:p>
    <w:p w14:paraId="69C998D2" w14:textId="44DCB6A9"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47" w:history="1">
        <w:r w:rsidR="009354A5" w:rsidRPr="009A42C2">
          <w:rPr>
            <w:rStyle w:val="Hypertextovodkaz"/>
            <w:noProof/>
          </w:rPr>
          <w:t>5. Doba trvání Programu</w:t>
        </w:r>
        <w:r w:rsidR="009354A5">
          <w:rPr>
            <w:noProof/>
            <w:webHidden/>
          </w:rPr>
          <w:tab/>
        </w:r>
        <w:r w:rsidR="009354A5">
          <w:rPr>
            <w:noProof/>
            <w:webHidden/>
          </w:rPr>
          <w:fldChar w:fldCharType="begin"/>
        </w:r>
        <w:r w:rsidR="009354A5">
          <w:rPr>
            <w:noProof/>
            <w:webHidden/>
          </w:rPr>
          <w:instrText xml:space="preserve"> PAGEREF _Toc418585147 \h </w:instrText>
        </w:r>
        <w:r w:rsidR="009354A5">
          <w:rPr>
            <w:noProof/>
            <w:webHidden/>
          </w:rPr>
        </w:r>
        <w:r w:rsidR="009354A5">
          <w:rPr>
            <w:noProof/>
            <w:webHidden/>
          </w:rPr>
          <w:fldChar w:fldCharType="separate"/>
        </w:r>
        <w:r w:rsidR="007377C5">
          <w:rPr>
            <w:noProof/>
            <w:webHidden/>
          </w:rPr>
          <w:t>4</w:t>
        </w:r>
        <w:r w:rsidR="009354A5">
          <w:rPr>
            <w:noProof/>
            <w:webHidden/>
          </w:rPr>
          <w:fldChar w:fldCharType="end"/>
        </w:r>
      </w:hyperlink>
    </w:p>
    <w:p w14:paraId="75F88F85" w14:textId="36021BE3"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48" w:history="1">
        <w:r w:rsidR="009354A5" w:rsidRPr="009A42C2">
          <w:rPr>
            <w:rStyle w:val="Hypertextovodkaz"/>
            <w:noProof/>
          </w:rPr>
          <w:t>6. Termín vyhlášení veřejných soutěží Programu</w:t>
        </w:r>
        <w:r w:rsidR="009354A5">
          <w:rPr>
            <w:noProof/>
            <w:webHidden/>
          </w:rPr>
          <w:tab/>
        </w:r>
        <w:r w:rsidR="009354A5">
          <w:rPr>
            <w:noProof/>
            <w:webHidden/>
          </w:rPr>
          <w:fldChar w:fldCharType="begin"/>
        </w:r>
        <w:r w:rsidR="009354A5">
          <w:rPr>
            <w:noProof/>
            <w:webHidden/>
          </w:rPr>
          <w:instrText xml:space="preserve"> PAGEREF _Toc418585148 \h </w:instrText>
        </w:r>
        <w:r w:rsidR="009354A5">
          <w:rPr>
            <w:noProof/>
            <w:webHidden/>
          </w:rPr>
        </w:r>
        <w:r w:rsidR="009354A5">
          <w:rPr>
            <w:noProof/>
            <w:webHidden/>
          </w:rPr>
          <w:fldChar w:fldCharType="separate"/>
        </w:r>
        <w:r w:rsidR="007377C5">
          <w:rPr>
            <w:noProof/>
            <w:webHidden/>
          </w:rPr>
          <w:t>4</w:t>
        </w:r>
        <w:r w:rsidR="009354A5">
          <w:rPr>
            <w:noProof/>
            <w:webHidden/>
          </w:rPr>
          <w:fldChar w:fldCharType="end"/>
        </w:r>
      </w:hyperlink>
    </w:p>
    <w:p w14:paraId="5BA6DC59" w14:textId="2E453E7C"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49" w:history="1">
        <w:r w:rsidR="009354A5" w:rsidRPr="009A42C2">
          <w:rPr>
            <w:rStyle w:val="Hypertextovodkaz"/>
            <w:noProof/>
          </w:rPr>
          <w:t>7. Celkové výdaje na Program</w:t>
        </w:r>
        <w:r w:rsidR="009354A5">
          <w:rPr>
            <w:noProof/>
            <w:webHidden/>
          </w:rPr>
          <w:tab/>
        </w:r>
        <w:r w:rsidR="009354A5">
          <w:rPr>
            <w:noProof/>
            <w:webHidden/>
          </w:rPr>
          <w:fldChar w:fldCharType="begin"/>
        </w:r>
        <w:r w:rsidR="009354A5">
          <w:rPr>
            <w:noProof/>
            <w:webHidden/>
          </w:rPr>
          <w:instrText xml:space="preserve"> PAGEREF _Toc418585149 \h </w:instrText>
        </w:r>
        <w:r w:rsidR="009354A5">
          <w:rPr>
            <w:noProof/>
            <w:webHidden/>
          </w:rPr>
        </w:r>
        <w:r w:rsidR="009354A5">
          <w:rPr>
            <w:noProof/>
            <w:webHidden/>
          </w:rPr>
          <w:fldChar w:fldCharType="separate"/>
        </w:r>
        <w:r w:rsidR="007377C5">
          <w:rPr>
            <w:noProof/>
            <w:webHidden/>
          </w:rPr>
          <w:t>4</w:t>
        </w:r>
        <w:r w:rsidR="009354A5">
          <w:rPr>
            <w:noProof/>
            <w:webHidden/>
          </w:rPr>
          <w:fldChar w:fldCharType="end"/>
        </w:r>
      </w:hyperlink>
    </w:p>
    <w:p w14:paraId="2B602610" w14:textId="407D0BEC"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50" w:history="1">
        <w:r w:rsidR="009354A5" w:rsidRPr="009A42C2">
          <w:rPr>
            <w:rStyle w:val="Hypertextovodkaz"/>
            <w:noProof/>
          </w:rPr>
          <w:t>8. Forma, intenzita a výše podpory</w:t>
        </w:r>
        <w:r w:rsidR="009354A5">
          <w:rPr>
            <w:noProof/>
            <w:webHidden/>
          </w:rPr>
          <w:tab/>
        </w:r>
        <w:r w:rsidR="009354A5">
          <w:rPr>
            <w:noProof/>
            <w:webHidden/>
          </w:rPr>
          <w:fldChar w:fldCharType="begin"/>
        </w:r>
        <w:r w:rsidR="009354A5">
          <w:rPr>
            <w:noProof/>
            <w:webHidden/>
          </w:rPr>
          <w:instrText xml:space="preserve"> PAGEREF _Toc418585150 \h </w:instrText>
        </w:r>
        <w:r w:rsidR="009354A5">
          <w:rPr>
            <w:noProof/>
            <w:webHidden/>
          </w:rPr>
        </w:r>
        <w:r w:rsidR="009354A5">
          <w:rPr>
            <w:noProof/>
            <w:webHidden/>
          </w:rPr>
          <w:fldChar w:fldCharType="separate"/>
        </w:r>
        <w:r w:rsidR="007377C5">
          <w:rPr>
            <w:noProof/>
            <w:webHidden/>
          </w:rPr>
          <w:t>5</w:t>
        </w:r>
        <w:r w:rsidR="009354A5">
          <w:rPr>
            <w:noProof/>
            <w:webHidden/>
          </w:rPr>
          <w:fldChar w:fldCharType="end"/>
        </w:r>
      </w:hyperlink>
    </w:p>
    <w:p w14:paraId="22A10496" w14:textId="41135162"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51" w:history="1">
        <w:r w:rsidR="009354A5" w:rsidRPr="009A42C2">
          <w:rPr>
            <w:rStyle w:val="Hypertextovodkaz"/>
            <w:noProof/>
          </w:rPr>
          <w:t>9. Příjemci podpory</w:t>
        </w:r>
        <w:r w:rsidR="009354A5">
          <w:rPr>
            <w:noProof/>
            <w:webHidden/>
          </w:rPr>
          <w:tab/>
        </w:r>
        <w:r w:rsidR="009354A5">
          <w:rPr>
            <w:noProof/>
            <w:webHidden/>
          </w:rPr>
          <w:fldChar w:fldCharType="begin"/>
        </w:r>
        <w:r w:rsidR="009354A5">
          <w:rPr>
            <w:noProof/>
            <w:webHidden/>
          </w:rPr>
          <w:instrText xml:space="preserve"> PAGEREF _Toc418585151 \h </w:instrText>
        </w:r>
        <w:r w:rsidR="009354A5">
          <w:rPr>
            <w:noProof/>
            <w:webHidden/>
          </w:rPr>
        </w:r>
        <w:r w:rsidR="009354A5">
          <w:rPr>
            <w:noProof/>
            <w:webHidden/>
          </w:rPr>
          <w:fldChar w:fldCharType="separate"/>
        </w:r>
        <w:r w:rsidR="007377C5">
          <w:rPr>
            <w:noProof/>
            <w:webHidden/>
          </w:rPr>
          <w:t>5</w:t>
        </w:r>
        <w:r w:rsidR="009354A5">
          <w:rPr>
            <w:noProof/>
            <w:webHidden/>
          </w:rPr>
          <w:fldChar w:fldCharType="end"/>
        </w:r>
      </w:hyperlink>
    </w:p>
    <w:p w14:paraId="1639C0FE" w14:textId="39501805"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52" w:history="1">
        <w:r w:rsidR="009354A5" w:rsidRPr="009A42C2">
          <w:rPr>
            <w:rStyle w:val="Hypertextovodkaz"/>
            <w:noProof/>
          </w:rPr>
          <w:t>10. Způsobilost uchazečů o podporu</w:t>
        </w:r>
        <w:r w:rsidR="009354A5">
          <w:rPr>
            <w:noProof/>
            <w:webHidden/>
          </w:rPr>
          <w:tab/>
        </w:r>
        <w:r w:rsidR="009354A5">
          <w:rPr>
            <w:noProof/>
            <w:webHidden/>
          </w:rPr>
          <w:fldChar w:fldCharType="begin"/>
        </w:r>
        <w:r w:rsidR="009354A5">
          <w:rPr>
            <w:noProof/>
            <w:webHidden/>
          </w:rPr>
          <w:instrText xml:space="preserve"> PAGEREF _Toc418585152 \h </w:instrText>
        </w:r>
        <w:r w:rsidR="009354A5">
          <w:rPr>
            <w:noProof/>
            <w:webHidden/>
          </w:rPr>
        </w:r>
        <w:r w:rsidR="009354A5">
          <w:rPr>
            <w:noProof/>
            <w:webHidden/>
          </w:rPr>
          <w:fldChar w:fldCharType="separate"/>
        </w:r>
        <w:r w:rsidR="007377C5">
          <w:rPr>
            <w:noProof/>
            <w:webHidden/>
          </w:rPr>
          <w:t>6</w:t>
        </w:r>
        <w:r w:rsidR="009354A5">
          <w:rPr>
            <w:noProof/>
            <w:webHidden/>
          </w:rPr>
          <w:fldChar w:fldCharType="end"/>
        </w:r>
      </w:hyperlink>
    </w:p>
    <w:p w14:paraId="40AD833A" w14:textId="3F18B1D6"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53" w:history="1">
        <w:r w:rsidR="009354A5" w:rsidRPr="009A42C2">
          <w:rPr>
            <w:rStyle w:val="Hypertextovodkaz"/>
            <w:noProof/>
          </w:rPr>
          <w:t>11. Spolupráce mezi podniky a výzkumnými organizacemi</w:t>
        </w:r>
        <w:r w:rsidR="009354A5">
          <w:rPr>
            <w:noProof/>
            <w:webHidden/>
          </w:rPr>
          <w:tab/>
        </w:r>
        <w:r w:rsidR="009354A5">
          <w:rPr>
            <w:noProof/>
            <w:webHidden/>
          </w:rPr>
          <w:fldChar w:fldCharType="begin"/>
        </w:r>
        <w:r w:rsidR="009354A5">
          <w:rPr>
            <w:noProof/>
            <w:webHidden/>
          </w:rPr>
          <w:instrText xml:space="preserve"> PAGEREF _Toc418585153 \h </w:instrText>
        </w:r>
        <w:r w:rsidR="009354A5">
          <w:rPr>
            <w:noProof/>
            <w:webHidden/>
          </w:rPr>
        </w:r>
        <w:r w:rsidR="009354A5">
          <w:rPr>
            <w:noProof/>
            <w:webHidden/>
          </w:rPr>
          <w:fldChar w:fldCharType="separate"/>
        </w:r>
        <w:r w:rsidR="007377C5">
          <w:rPr>
            <w:noProof/>
            <w:webHidden/>
          </w:rPr>
          <w:t>6</w:t>
        </w:r>
        <w:r w:rsidR="009354A5">
          <w:rPr>
            <w:noProof/>
            <w:webHidden/>
          </w:rPr>
          <w:fldChar w:fldCharType="end"/>
        </w:r>
      </w:hyperlink>
    </w:p>
    <w:p w14:paraId="5B900F53" w14:textId="58B1D802"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54" w:history="1">
        <w:r w:rsidR="009354A5" w:rsidRPr="009A42C2">
          <w:rPr>
            <w:rStyle w:val="Hypertextovodkaz"/>
            <w:noProof/>
          </w:rPr>
          <w:t>12. Způsobilé a uznané náklady Programu</w:t>
        </w:r>
        <w:r w:rsidR="009354A5">
          <w:rPr>
            <w:noProof/>
            <w:webHidden/>
          </w:rPr>
          <w:tab/>
        </w:r>
        <w:r w:rsidR="009354A5">
          <w:rPr>
            <w:noProof/>
            <w:webHidden/>
          </w:rPr>
          <w:fldChar w:fldCharType="begin"/>
        </w:r>
        <w:r w:rsidR="009354A5">
          <w:rPr>
            <w:noProof/>
            <w:webHidden/>
          </w:rPr>
          <w:instrText xml:space="preserve"> PAGEREF _Toc418585154 \h </w:instrText>
        </w:r>
        <w:r w:rsidR="009354A5">
          <w:rPr>
            <w:noProof/>
            <w:webHidden/>
          </w:rPr>
        </w:r>
        <w:r w:rsidR="009354A5">
          <w:rPr>
            <w:noProof/>
            <w:webHidden/>
          </w:rPr>
          <w:fldChar w:fldCharType="separate"/>
        </w:r>
        <w:r w:rsidR="007377C5">
          <w:rPr>
            <w:noProof/>
            <w:webHidden/>
          </w:rPr>
          <w:t>7</w:t>
        </w:r>
        <w:r w:rsidR="009354A5">
          <w:rPr>
            <w:noProof/>
            <w:webHidden/>
          </w:rPr>
          <w:fldChar w:fldCharType="end"/>
        </w:r>
      </w:hyperlink>
    </w:p>
    <w:p w14:paraId="40A8D964" w14:textId="07D9105C"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55" w:history="1">
        <w:r w:rsidR="009354A5" w:rsidRPr="009A42C2">
          <w:rPr>
            <w:rStyle w:val="Hypertextovodkaz"/>
            <w:noProof/>
          </w:rPr>
          <w:t>13. Zaměření Programu</w:t>
        </w:r>
        <w:r w:rsidR="009354A5">
          <w:rPr>
            <w:noProof/>
            <w:webHidden/>
          </w:rPr>
          <w:tab/>
        </w:r>
        <w:r w:rsidR="009354A5">
          <w:rPr>
            <w:noProof/>
            <w:webHidden/>
          </w:rPr>
          <w:fldChar w:fldCharType="begin"/>
        </w:r>
        <w:r w:rsidR="009354A5">
          <w:rPr>
            <w:noProof/>
            <w:webHidden/>
          </w:rPr>
          <w:instrText xml:space="preserve"> PAGEREF _Toc418585155 \h </w:instrText>
        </w:r>
        <w:r w:rsidR="009354A5">
          <w:rPr>
            <w:noProof/>
            <w:webHidden/>
          </w:rPr>
        </w:r>
        <w:r w:rsidR="009354A5">
          <w:rPr>
            <w:noProof/>
            <w:webHidden/>
          </w:rPr>
          <w:fldChar w:fldCharType="separate"/>
        </w:r>
        <w:r w:rsidR="007377C5">
          <w:rPr>
            <w:noProof/>
            <w:webHidden/>
          </w:rPr>
          <w:t>7</w:t>
        </w:r>
        <w:r w:rsidR="009354A5">
          <w:rPr>
            <w:noProof/>
            <w:webHidden/>
          </w:rPr>
          <w:fldChar w:fldCharType="end"/>
        </w:r>
      </w:hyperlink>
    </w:p>
    <w:p w14:paraId="28A89CEF" w14:textId="043A496F"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56" w:history="1">
        <w:r w:rsidR="009354A5" w:rsidRPr="009A42C2">
          <w:rPr>
            <w:rStyle w:val="Hypertextovodkaz"/>
            <w:noProof/>
          </w:rPr>
          <w:t>14. Soulad Programu s Prioritami VaVaI</w:t>
        </w:r>
        <w:r w:rsidR="009354A5">
          <w:rPr>
            <w:noProof/>
            <w:webHidden/>
          </w:rPr>
          <w:tab/>
        </w:r>
        <w:r w:rsidR="009354A5">
          <w:rPr>
            <w:noProof/>
            <w:webHidden/>
          </w:rPr>
          <w:fldChar w:fldCharType="begin"/>
        </w:r>
        <w:r w:rsidR="009354A5">
          <w:rPr>
            <w:noProof/>
            <w:webHidden/>
          </w:rPr>
          <w:instrText xml:space="preserve"> PAGEREF _Toc418585156 \h </w:instrText>
        </w:r>
        <w:r w:rsidR="009354A5">
          <w:rPr>
            <w:noProof/>
            <w:webHidden/>
          </w:rPr>
        </w:r>
        <w:r w:rsidR="009354A5">
          <w:rPr>
            <w:noProof/>
            <w:webHidden/>
          </w:rPr>
          <w:fldChar w:fldCharType="separate"/>
        </w:r>
        <w:r w:rsidR="007377C5">
          <w:rPr>
            <w:noProof/>
            <w:webHidden/>
          </w:rPr>
          <w:t>8</w:t>
        </w:r>
        <w:r w:rsidR="009354A5">
          <w:rPr>
            <w:noProof/>
            <w:webHidden/>
          </w:rPr>
          <w:fldChar w:fldCharType="end"/>
        </w:r>
      </w:hyperlink>
    </w:p>
    <w:p w14:paraId="67993ADD" w14:textId="0CF0599F"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57" w:history="1">
        <w:r w:rsidR="009354A5" w:rsidRPr="009A42C2">
          <w:rPr>
            <w:rStyle w:val="Hypertextovodkaz"/>
            <w:noProof/>
          </w:rPr>
          <w:t>15. Cíle Programu</w:t>
        </w:r>
        <w:r w:rsidR="009354A5">
          <w:rPr>
            <w:noProof/>
            <w:webHidden/>
          </w:rPr>
          <w:tab/>
        </w:r>
        <w:r w:rsidR="009354A5">
          <w:rPr>
            <w:noProof/>
            <w:webHidden/>
          </w:rPr>
          <w:fldChar w:fldCharType="begin"/>
        </w:r>
        <w:r w:rsidR="009354A5">
          <w:rPr>
            <w:noProof/>
            <w:webHidden/>
          </w:rPr>
          <w:instrText xml:space="preserve"> PAGEREF _Toc418585157 \h </w:instrText>
        </w:r>
        <w:r w:rsidR="009354A5">
          <w:rPr>
            <w:noProof/>
            <w:webHidden/>
          </w:rPr>
        </w:r>
        <w:r w:rsidR="009354A5">
          <w:rPr>
            <w:noProof/>
            <w:webHidden/>
          </w:rPr>
          <w:fldChar w:fldCharType="separate"/>
        </w:r>
        <w:r w:rsidR="007377C5">
          <w:rPr>
            <w:noProof/>
            <w:webHidden/>
          </w:rPr>
          <w:t>10</w:t>
        </w:r>
        <w:r w:rsidR="009354A5">
          <w:rPr>
            <w:noProof/>
            <w:webHidden/>
          </w:rPr>
          <w:fldChar w:fldCharType="end"/>
        </w:r>
      </w:hyperlink>
    </w:p>
    <w:p w14:paraId="7C741968" w14:textId="490008DD" w:rsidR="009354A5" w:rsidRDefault="00AD6D35">
      <w:pPr>
        <w:pStyle w:val="Obsah2"/>
        <w:tabs>
          <w:tab w:val="right" w:leader="dot" w:pos="9062"/>
        </w:tabs>
        <w:rPr>
          <w:rFonts w:asciiTheme="minorHAnsi" w:eastAsiaTheme="minorEastAsia" w:hAnsiTheme="minorHAnsi" w:cstheme="minorBidi"/>
          <w:noProof/>
          <w:sz w:val="22"/>
          <w:szCs w:val="22"/>
        </w:rPr>
      </w:pPr>
      <w:hyperlink w:anchor="_Toc418585158" w:history="1">
        <w:r w:rsidR="009354A5" w:rsidRPr="009A42C2">
          <w:rPr>
            <w:rStyle w:val="Hypertextovodkaz"/>
            <w:noProof/>
          </w:rPr>
          <w:t>Oblast 1. Vznik a rozvoj chorob</w:t>
        </w:r>
        <w:r w:rsidR="009354A5">
          <w:rPr>
            <w:noProof/>
            <w:webHidden/>
          </w:rPr>
          <w:tab/>
        </w:r>
        <w:r w:rsidR="009354A5">
          <w:rPr>
            <w:noProof/>
            <w:webHidden/>
          </w:rPr>
          <w:fldChar w:fldCharType="begin"/>
        </w:r>
        <w:r w:rsidR="009354A5">
          <w:rPr>
            <w:noProof/>
            <w:webHidden/>
          </w:rPr>
          <w:instrText xml:space="preserve"> PAGEREF _Toc418585158 \h </w:instrText>
        </w:r>
        <w:r w:rsidR="009354A5">
          <w:rPr>
            <w:noProof/>
            <w:webHidden/>
          </w:rPr>
        </w:r>
        <w:r w:rsidR="009354A5">
          <w:rPr>
            <w:noProof/>
            <w:webHidden/>
          </w:rPr>
          <w:fldChar w:fldCharType="separate"/>
        </w:r>
        <w:r w:rsidR="007377C5">
          <w:rPr>
            <w:noProof/>
            <w:webHidden/>
          </w:rPr>
          <w:t>10</w:t>
        </w:r>
        <w:r w:rsidR="009354A5">
          <w:rPr>
            <w:noProof/>
            <w:webHidden/>
          </w:rPr>
          <w:fldChar w:fldCharType="end"/>
        </w:r>
      </w:hyperlink>
    </w:p>
    <w:p w14:paraId="0CFFA4EB" w14:textId="27A60B4A" w:rsidR="009354A5" w:rsidRDefault="00AD6D35">
      <w:pPr>
        <w:pStyle w:val="Obsah2"/>
        <w:tabs>
          <w:tab w:val="right" w:leader="dot" w:pos="9062"/>
        </w:tabs>
        <w:rPr>
          <w:rFonts w:asciiTheme="minorHAnsi" w:eastAsiaTheme="minorEastAsia" w:hAnsiTheme="minorHAnsi" w:cstheme="minorBidi"/>
          <w:noProof/>
          <w:sz w:val="22"/>
          <w:szCs w:val="22"/>
        </w:rPr>
      </w:pPr>
      <w:hyperlink w:anchor="_Toc418585159" w:history="1">
        <w:r w:rsidR="009354A5" w:rsidRPr="009A42C2">
          <w:rPr>
            <w:rStyle w:val="Hypertextovodkaz"/>
            <w:noProof/>
          </w:rPr>
          <w:t>Oblast 2. Nové diagnostické a terapeutické metody</w:t>
        </w:r>
        <w:r w:rsidR="009354A5">
          <w:rPr>
            <w:noProof/>
            <w:webHidden/>
          </w:rPr>
          <w:tab/>
        </w:r>
        <w:r w:rsidR="009354A5">
          <w:rPr>
            <w:noProof/>
            <w:webHidden/>
          </w:rPr>
          <w:fldChar w:fldCharType="begin"/>
        </w:r>
        <w:r w:rsidR="009354A5">
          <w:rPr>
            <w:noProof/>
            <w:webHidden/>
          </w:rPr>
          <w:instrText xml:space="preserve"> PAGEREF _Toc418585159 \h </w:instrText>
        </w:r>
        <w:r w:rsidR="009354A5">
          <w:rPr>
            <w:noProof/>
            <w:webHidden/>
          </w:rPr>
        </w:r>
        <w:r w:rsidR="009354A5">
          <w:rPr>
            <w:noProof/>
            <w:webHidden/>
          </w:rPr>
          <w:fldChar w:fldCharType="separate"/>
        </w:r>
        <w:r w:rsidR="007377C5">
          <w:rPr>
            <w:noProof/>
            <w:webHidden/>
          </w:rPr>
          <w:t>16</w:t>
        </w:r>
        <w:r w:rsidR="009354A5">
          <w:rPr>
            <w:noProof/>
            <w:webHidden/>
          </w:rPr>
          <w:fldChar w:fldCharType="end"/>
        </w:r>
      </w:hyperlink>
    </w:p>
    <w:p w14:paraId="466681D8" w14:textId="214D478F" w:rsidR="009354A5" w:rsidRDefault="00AD6D35">
      <w:pPr>
        <w:pStyle w:val="Obsah2"/>
        <w:tabs>
          <w:tab w:val="right" w:leader="dot" w:pos="9062"/>
        </w:tabs>
        <w:rPr>
          <w:rFonts w:asciiTheme="minorHAnsi" w:eastAsiaTheme="minorEastAsia" w:hAnsiTheme="minorHAnsi" w:cstheme="minorBidi"/>
          <w:noProof/>
          <w:sz w:val="22"/>
          <w:szCs w:val="22"/>
        </w:rPr>
      </w:pPr>
      <w:hyperlink w:anchor="_Toc418585160" w:history="1">
        <w:r w:rsidR="009354A5" w:rsidRPr="009A42C2">
          <w:rPr>
            <w:rStyle w:val="Hypertextovodkaz"/>
            <w:noProof/>
          </w:rPr>
          <w:t>Oblast 3. Epidemiologie a prevence nejzávažnějších chorob</w:t>
        </w:r>
        <w:r w:rsidR="009354A5">
          <w:rPr>
            <w:noProof/>
            <w:webHidden/>
          </w:rPr>
          <w:tab/>
        </w:r>
        <w:r w:rsidR="009354A5">
          <w:rPr>
            <w:noProof/>
            <w:webHidden/>
          </w:rPr>
          <w:fldChar w:fldCharType="begin"/>
        </w:r>
        <w:r w:rsidR="009354A5">
          <w:rPr>
            <w:noProof/>
            <w:webHidden/>
          </w:rPr>
          <w:instrText xml:space="preserve"> PAGEREF _Toc418585160 \h </w:instrText>
        </w:r>
        <w:r w:rsidR="009354A5">
          <w:rPr>
            <w:noProof/>
            <w:webHidden/>
          </w:rPr>
        </w:r>
        <w:r w:rsidR="009354A5">
          <w:rPr>
            <w:noProof/>
            <w:webHidden/>
          </w:rPr>
          <w:fldChar w:fldCharType="separate"/>
        </w:r>
        <w:r w:rsidR="007377C5">
          <w:rPr>
            <w:noProof/>
            <w:webHidden/>
          </w:rPr>
          <w:t>20</w:t>
        </w:r>
        <w:r w:rsidR="009354A5">
          <w:rPr>
            <w:noProof/>
            <w:webHidden/>
          </w:rPr>
          <w:fldChar w:fldCharType="end"/>
        </w:r>
      </w:hyperlink>
    </w:p>
    <w:p w14:paraId="65901754" w14:textId="1D2DEF81"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61" w:history="1">
        <w:r w:rsidR="009354A5" w:rsidRPr="009A42C2">
          <w:rPr>
            <w:rStyle w:val="Hypertextovodkaz"/>
            <w:noProof/>
          </w:rPr>
          <w:t>16. Srovnání současného stavu v zahraničí</w:t>
        </w:r>
        <w:r w:rsidR="009354A5">
          <w:rPr>
            <w:noProof/>
            <w:webHidden/>
          </w:rPr>
          <w:tab/>
        </w:r>
        <w:r w:rsidR="009354A5">
          <w:rPr>
            <w:noProof/>
            <w:webHidden/>
          </w:rPr>
          <w:fldChar w:fldCharType="begin"/>
        </w:r>
        <w:r w:rsidR="009354A5">
          <w:rPr>
            <w:noProof/>
            <w:webHidden/>
          </w:rPr>
          <w:instrText xml:space="preserve"> PAGEREF _Toc418585161 \h </w:instrText>
        </w:r>
        <w:r w:rsidR="009354A5">
          <w:rPr>
            <w:noProof/>
            <w:webHidden/>
          </w:rPr>
        </w:r>
        <w:r w:rsidR="009354A5">
          <w:rPr>
            <w:noProof/>
            <w:webHidden/>
          </w:rPr>
          <w:fldChar w:fldCharType="separate"/>
        </w:r>
        <w:r w:rsidR="007377C5">
          <w:rPr>
            <w:noProof/>
            <w:webHidden/>
          </w:rPr>
          <w:t>24</w:t>
        </w:r>
        <w:r w:rsidR="009354A5">
          <w:rPr>
            <w:noProof/>
            <w:webHidden/>
          </w:rPr>
          <w:fldChar w:fldCharType="end"/>
        </w:r>
      </w:hyperlink>
    </w:p>
    <w:p w14:paraId="63DBE5E1" w14:textId="0F67F24F"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62" w:history="1">
        <w:r w:rsidR="009354A5" w:rsidRPr="009A42C2">
          <w:rPr>
            <w:rStyle w:val="Hypertextovodkaz"/>
            <w:noProof/>
          </w:rPr>
          <w:t>17. Srovnání současného stavu v České republice</w:t>
        </w:r>
        <w:r w:rsidR="009354A5">
          <w:rPr>
            <w:noProof/>
            <w:webHidden/>
          </w:rPr>
          <w:tab/>
        </w:r>
        <w:r w:rsidR="009354A5">
          <w:rPr>
            <w:noProof/>
            <w:webHidden/>
          </w:rPr>
          <w:fldChar w:fldCharType="begin"/>
        </w:r>
        <w:r w:rsidR="009354A5">
          <w:rPr>
            <w:noProof/>
            <w:webHidden/>
          </w:rPr>
          <w:instrText xml:space="preserve"> PAGEREF _Toc418585162 \h </w:instrText>
        </w:r>
        <w:r w:rsidR="009354A5">
          <w:rPr>
            <w:noProof/>
            <w:webHidden/>
          </w:rPr>
        </w:r>
        <w:r w:rsidR="009354A5">
          <w:rPr>
            <w:noProof/>
            <w:webHidden/>
          </w:rPr>
          <w:fldChar w:fldCharType="separate"/>
        </w:r>
        <w:r w:rsidR="007377C5">
          <w:rPr>
            <w:noProof/>
            <w:webHidden/>
          </w:rPr>
          <w:t>25</w:t>
        </w:r>
        <w:r w:rsidR="009354A5">
          <w:rPr>
            <w:noProof/>
            <w:webHidden/>
          </w:rPr>
          <w:fldChar w:fldCharType="end"/>
        </w:r>
      </w:hyperlink>
    </w:p>
    <w:p w14:paraId="060EC5F4" w14:textId="505F47B4"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63" w:history="1">
        <w:r w:rsidR="009354A5" w:rsidRPr="009A42C2">
          <w:rPr>
            <w:rStyle w:val="Hypertextovodkaz"/>
            <w:noProof/>
          </w:rPr>
          <w:t>18. Očekávané výsledky</w:t>
        </w:r>
        <w:r w:rsidR="009354A5">
          <w:rPr>
            <w:noProof/>
            <w:webHidden/>
          </w:rPr>
          <w:tab/>
        </w:r>
        <w:r w:rsidR="009354A5">
          <w:rPr>
            <w:noProof/>
            <w:webHidden/>
          </w:rPr>
          <w:fldChar w:fldCharType="begin"/>
        </w:r>
        <w:r w:rsidR="009354A5">
          <w:rPr>
            <w:noProof/>
            <w:webHidden/>
          </w:rPr>
          <w:instrText xml:space="preserve"> PAGEREF _Toc418585163 \h </w:instrText>
        </w:r>
        <w:r w:rsidR="009354A5">
          <w:rPr>
            <w:noProof/>
            <w:webHidden/>
          </w:rPr>
        </w:r>
        <w:r w:rsidR="009354A5">
          <w:rPr>
            <w:noProof/>
            <w:webHidden/>
          </w:rPr>
          <w:fldChar w:fldCharType="separate"/>
        </w:r>
        <w:r w:rsidR="007377C5">
          <w:rPr>
            <w:noProof/>
            <w:webHidden/>
          </w:rPr>
          <w:t>25</w:t>
        </w:r>
        <w:r w:rsidR="009354A5">
          <w:rPr>
            <w:noProof/>
            <w:webHidden/>
          </w:rPr>
          <w:fldChar w:fldCharType="end"/>
        </w:r>
      </w:hyperlink>
    </w:p>
    <w:p w14:paraId="7FCCD39D" w14:textId="47D6E189"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64" w:history="1">
        <w:r w:rsidR="009354A5" w:rsidRPr="009A42C2">
          <w:rPr>
            <w:rStyle w:val="Hypertextovodkaz"/>
            <w:noProof/>
          </w:rPr>
          <w:t>19. Očekávané přínosy</w:t>
        </w:r>
        <w:r w:rsidR="009354A5">
          <w:rPr>
            <w:noProof/>
            <w:webHidden/>
          </w:rPr>
          <w:tab/>
        </w:r>
        <w:r w:rsidR="009354A5">
          <w:rPr>
            <w:noProof/>
            <w:webHidden/>
          </w:rPr>
          <w:fldChar w:fldCharType="begin"/>
        </w:r>
        <w:r w:rsidR="009354A5">
          <w:rPr>
            <w:noProof/>
            <w:webHidden/>
          </w:rPr>
          <w:instrText xml:space="preserve"> PAGEREF _Toc418585164 \h </w:instrText>
        </w:r>
        <w:r w:rsidR="009354A5">
          <w:rPr>
            <w:noProof/>
            <w:webHidden/>
          </w:rPr>
        </w:r>
        <w:r w:rsidR="009354A5">
          <w:rPr>
            <w:noProof/>
            <w:webHidden/>
          </w:rPr>
          <w:fldChar w:fldCharType="separate"/>
        </w:r>
        <w:r w:rsidR="007377C5">
          <w:rPr>
            <w:noProof/>
            <w:webHidden/>
          </w:rPr>
          <w:t>26</w:t>
        </w:r>
        <w:r w:rsidR="009354A5">
          <w:rPr>
            <w:noProof/>
            <w:webHidden/>
          </w:rPr>
          <w:fldChar w:fldCharType="end"/>
        </w:r>
      </w:hyperlink>
    </w:p>
    <w:p w14:paraId="6FDF3427" w14:textId="72B5E30A"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65" w:history="1">
        <w:r w:rsidR="009354A5" w:rsidRPr="009A42C2">
          <w:rPr>
            <w:rStyle w:val="Hypertextovodkaz"/>
            <w:noProof/>
          </w:rPr>
          <w:t>20. Motivační účinek</w:t>
        </w:r>
        <w:r w:rsidR="009354A5">
          <w:rPr>
            <w:noProof/>
            <w:webHidden/>
          </w:rPr>
          <w:tab/>
        </w:r>
        <w:r w:rsidR="009354A5">
          <w:rPr>
            <w:noProof/>
            <w:webHidden/>
          </w:rPr>
          <w:fldChar w:fldCharType="begin"/>
        </w:r>
        <w:r w:rsidR="009354A5">
          <w:rPr>
            <w:noProof/>
            <w:webHidden/>
          </w:rPr>
          <w:instrText xml:space="preserve"> PAGEREF _Toc418585165 \h </w:instrText>
        </w:r>
        <w:r w:rsidR="009354A5">
          <w:rPr>
            <w:noProof/>
            <w:webHidden/>
          </w:rPr>
        </w:r>
        <w:r w:rsidR="009354A5">
          <w:rPr>
            <w:noProof/>
            <w:webHidden/>
          </w:rPr>
          <w:fldChar w:fldCharType="separate"/>
        </w:r>
        <w:r w:rsidR="007377C5">
          <w:rPr>
            <w:noProof/>
            <w:webHidden/>
          </w:rPr>
          <w:t>27</w:t>
        </w:r>
        <w:r w:rsidR="009354A5">
          <w:rPr>
            <w:noProof/>
            <w:webHidden/>
          </w:rPr>
          <w:fldChar w:fldCharType="end"/>
        </w:r>
      </w:hyperlink>
    </w:p>
    <w:p w14:paraId="60E0C1C3" w14:textId="323E6C11"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66" w:history="1">
        <w:r w:rsidR="009354A5" w:rsidRPr="009A42C2">
          <w:rPr>
            <w:rStyle w:val="Hypertextovodkaz"/>
            <w:noProof/>
          </w:rPr>
          <w:t>21. Obecná kritéria hodnocení návrhů projektů</w:t>
        </w:r>
        <w:r w:rsidR="009354A5">
          <w:rPr>
            <w:noProof/>
            <w:webHidden/>
          </w:rPr>
          <w:tab/>
        </w:r>
        <w:r w:rsidR="009354A5">
          <w:rPr>
            <w:noProof/>
            <w:webHidden/>
          </w:rPr>
          <w:fldChar w:fldCharType="begin"/>
        </w:r>
        <w:r w:rsidR="009354A5">
          <w:rPr>
            <w:noProof/>
            <w:webHidden/>
          </w:rPr>
          <w:instrText xml:space="preserve"> PAGEREF _Toc418585166 \h </w:instrText>
        </w:r>
        <w:r w:rsidR="009354A5">
          <w:rPr>
            <w:noProof/>
            <w:webHidden/>
          </w:rPr>
        </w:r>
        <w:r w:rsidR="009354A5">
          <w:rPr>
            <w:noProof/>
            <w:webHidden/>
          </w:rPr>
          <w:fldChar w:fldCharType="separate"/>
        </w:r>
        <w:r w:rsidR="007377C5">
          <w:rPr>
            <w:noProof/>
            <w:webHidden/>
          </w:rPr>
          <w:t>27</w:t>
        </w:r>
        <w:r w:rsidR="009354A5">
          <w:rPr>
            <w:noProof/>
            <w:webHidden/>
          </w:rPr>
          <w:fldChar w:fldCharType="end"/>
        </w:r>
      </w:hyperlink>
    </w:p>
    <w:p w14:paraId="297650F3" w14:textId="3CC1F98A"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67" w:history="1">
        <w:r w:rsidR="009354A5" w:rsidRPr="009A42C2">
          <w:rPr>
            <w:rStyle w:val="Hypertextovodkaz"/>
            <w:noProof/>
          </w:rPr>
          <w:t>22. Proces hodnocení návrhů projektů</w:t>
        </w:r>
        <w:r w:rsidR="009354A5">
          <w:rPr>
            <w:noProof/>
            <w:webHidden/>
          </w:rPr>
          <w:tab/>
        </w:r>
        <w:r w:rsidR="009354A5">
          <w:rPr>
            <w:noProof/>
            <w:webHidden/>
          </w:rPr>
          <w:fldChar w:fldCharType="begin"/>
        </w:r>
        <w:r w:rsidR="009354A5">
          <w:rPr>
            <w:noProof/>
            <w:webHidden/>
          </w:rPr>
          <w:instrText xml:space="preserve"> PAGEREF _Toc418585167 \h </w:instrText>
        </w:r>
        <w:r w:rsidR="009354A5">
          <w:rPr>
            <w:noProof/>
            <w:webHidden/>
          </w:rPr>
        </w:r>
        <w:r w:rsidR="009354A5">
          <w:rPr>
            <w:noProof/>
            <w:webHidden/>
          </w:rPr>
          <w:fldChar w:fldCharType="separate"/>
        </w:r>
        <w:r w:rsidR="007377C5">
          <w:rPr>
            <w:noProof/>
            <w:webHidden/>
          </w:rPr>
          <w:t>27</w:t>
        </w:r>
        <w:r w:rsidR="009354A5">
          <w:rPr>
            <w:noProof/>
            <w:webHidden/>
          </w:rPr>
          <w:fldChar w:fldCharType="end"/>
        </w:r>
      </w:hyperlink>
    </w:p>
    <w:p w14:paraId="3B0C3E76" w14:textId="275FC612"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68" w:history="1">
        <w:r w:rsidR="009354A5" w:rsidRPr="009A42C2">
          <w:rPr>
            <w:rStyle w:val="Hypertextovodkaz"/>
            <w:noProof/>
          </w:rPr>
          <w:t>23. Průběžné hodnocení řešených projektů (interim)</w:t>
        </w:r>
        <w:r w:rsidR="009354A5">
          <w:rPr>
            <w:noProof/>
            <w:webHidden/>
          </w:rPr>
          <w:tab/>
        </w:r>
        <w:r w:rsidR="009354A5">
          <w:rPr>
            <w:noProof/>
            <w:webHidden/>
          </w:rPr>
          <w:fldChar w:fldCharType="begin"/>
        </w:r>
        <w:r w:rsidR="009354A5">
          <w:rPr>
            <w:noProof/>
            <w:webHidden/>
          </w:rPr>
          <w:instrText xml:space="preserve"> PAGEREF _Toc418585168 \h </w:instrText>
        </w:r>
        <w:r w:rsidR="009354A5">
          <w:rPr>
            <w:noProof/>
            <w:webHidden/>
          </w:rPr>
        </w:r>
        <w:r w:rsidR="009354A5">
          <w:rPr>
            <w:noProof/>
            <w:webHidden/>
          </w:rPr>
          <w:fldChar w:fldCharType="separate"/>
        </w:r>
        <w:r w:rsidR="007377C5">
          <w:rPr>
            <w:noProof/>
            <w:webHidden/>
          </w:rPr>
          <w:t>28</w:t>
        </w:r>
        <w:r w:rsidR="009354A5">
          <w:rPr>
            <w:noProof/>
            <w:webHidden/>
          </w:rPr>
          <w:fldChar w:fldCharType="end"/>
        </w:r>
      </w:hyperlink>
    </w:p>
    <w:p w14:paraId="5FC519F2" w14:textId="2090E1DA"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69" w:history="1">
        <w:r w:rsidR="009354A5" w:rsidRPr="009A42C2">
          <w:rPr>
            <w:rStyle w:val="Hypertextovodkaz"/>
            <w:noProof/>
          </w:rPr>
          <w:t>24. Hodnocení výsledků projektů (ex post):</w:t>
        </w:r>
        <w:r w:rsidR="009354A5">
          <w:rPr>
            <w:noProof/>
            <w:webHidden/>
          </w:rPr>
          <w:tab/>
        </w:r>
        <w:r w:rsidR="009354A5">
          <w:rPr>
            <w:noProof/>
            <w:webHidden/>
          </w:rPr>
          <w:fldChar w:fldCharType="begin"/>
        </w:r>
        <w:r w:rsidR="009354A5">
          <w:rPr>
            <w:noProof/>
            <w:webHidden/>
          </w:rPr>
          <w:instrText xml:space="preserve"> PAGEREF _Toc418585169 \h </w:instrText>
        </w:r>
        <w:r w:rsidR="009354A5">
          <w:rPr>
            <w:noProof/>
            <w:webHidden/>
          </w:rPr>
        </w:r>
        <w:r w:rsidR="009354A5">
          <w:rPr>
            <w:noProof/>
            <w:webHidden/>
          </w:rPr>
          <w:fldChar w:fldCharType="separate"/>
        </w:r>
        <w:r w:rsidR="007377C5">
          <w:rPr>
            <w:noProof/>
            <w:webHidden/>
          </w:rPr>
          <w:t>29</w:t>
        </w:r>
        <w:r w:rsidR="009354A5">
          <w:rPr>
            <w:noProof/>
            <w:webHidden/>
          </w:rPr>
          <w:fldChar w:fldCharType="end"/>
        </w:r>
      </w:hyperlink>
    </w:p>
    <w:p w14:paraId="27813407" w14:textId="1BC26F09"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70" w:history="1">
        <w:r w:rsidR="009354A5" w:rsidRPr="009A42C2">
          <w:rPr>
            <w:rStyle w:val="Hypertextovodkaz"/>
            <w:noProof/>
          </w:rPr>
          <w:t>25. Předpokládané parametry Programu</w:t>
        </w:r>
        <w:r w:rsidR="009354A5">
          <w:rPr>
            <w:noProof/>
            <w:webHidden/>
          </w:rPr>
          <w:tab/>
        </w:r>
        <w:r w:rsidR="009354A5">
          <w:rPr>
            <w:noProof/>
            <w:webHidden/>
          </w:rPr>
          <w:fldChar w:fldCharType="begin"/>
        </w:r>
        <w:r w:rsidR="009354A5">
          <w:rPr>
            <w:noProof/>
            <w:webHidden/>
          </w:rPr>
          <w:instrText xml:space="preserve"> PAGEREF _Toc418585170 \h </w:instrText>
        </w:r>
        <w:r w:rsidR="009354A5">
          <w:rPr>
            <w:noProof/>
            <w:webHidden/>
          </w:rPr>
        </w:r>
        <w:r w:rsidR="009354A5">
          <w:rPr>
            <w:noProof/>
            <w:webHidden/>
          </w:rPr>
          <w:fldChar w:fldCharType="separate"/>
        </w:r>
        <w:r w:rsidR="007377C5">
          <w:rPr>
            <w:noProof/>
            <w:webHidden/>
          </w:rPr>
          <w:t>30</w:t>
        </w:r>
        <w:r w:rsidR="009354A5">
          <w:rPr>
            <w:noProof/>
            <w:webHidden/>
          </w:rPr>
          <w:fldChar w:fldCharType="end"/>
        </w:r>
      </w:hyperlink>
    </w:p>
    <w:p w14:paraId="22B5C597" w14:textId="05B75C44" w:rsidR="009354A5" w:rsidRDefault="00AD6D35">
      <w:pPr>
        <w:pStyle w:val="Obsah1"/>
        <w:tabs>
          <w:tab w:val="right" w:leader="dot" w:pos="9062"/>
        </w:tabs>
        <w:rPr>
          <w:rFonts w:asciiTheme="minorHAnsi" w:eastAsiaTheme="minorEastAsia" w:hAnsiTheme="minorHAnsi" w:cstheme="minorBidi"/>
          <w:noProof/>
          <w:sz w:val="22"/>
          <w:szCs w:val="22"/>
        </w:rPr>
      </w:pPr>
      <w:hyperlink w:anchor="_Toc418585171" w:history="1">
        <w:r w:rsidR="009354A5" w:rsidRPr="009A42C2">
          <w:rPr>
            <w:rStyle w:val="Hypertextovodkaz"/>
            <w:noProof/>
          </w:rPr>
          <w:t>26. Kritéria splnění cílů Programu</w:t>
        </w:r>
        <w:r w:rsidR="009354A5">
          <w:rPr>
            <w:noProof/>
            <w:webHidden/>
          </w:rPr>
          <w:tab/>
        </w:r>
        <w:r w:rsidR="009354A5">
          <w:rPr>
            <w:noProof/>
            <w:webHidden/>
          </w:rPr>
          <w:fldChar w:fldCharType="begin"/>
        </w:r>
        <w:r w:rsidR="009354A5">
          <w:rPr>
            <w:noProof/>
            <w:webHidden/>
          </w:rPr>
          <w:instrText xml:space="preserve"> PAGEREF _Toc418585171 \h </w:instrText>
        </w:r>
        <w:r w:rsidR="009354A5">
          <w:rPr>
            <w:noProof/>
            <w:webHidden/>
          </w:rPr>
        </w:r>
        <w:r w:rsidR="009354A5">
          <w:rPr>
            <w:noProof/>
            <w:webHidden/>
          </w:rPr>
          <w:fldChar w:fldCharType="separate"/>
        </w:r>
        <w:r w:rsidR="007377C5">
          <w:rPr>
            <w:noProof/>
            <w:webHidden/>
          </w:rPr>
          <w:t>30</w:t>
        </w:r>
        <w:r w:rsidR="009354A5">
          <w:rPr>
            <w:noProof/>
            <w:webHidden/>
          </w:rPr>
          <w:fldChar w:fldCharType="end"/>
        </w:r>
      </w:hyperlink>
    </w:p>
    <w:p w14:paraId="33503C64" w14:textId="77777777" w:rsidR="00250530" w:rsidRPr="00DA432B" w:rsidRDefault="00183E60" w:rsidP="00250530">
      <w:pPr>
        <w:rPr>
          <w:rFonts w:ascii="Arial" w:hAnsi="Arial" w:cs="Arial"/>
          <w:b/>
          <w:sz w:val="28"/>
          <w:szCs w:val="28"/>
          <w:highlight w:val="yellow"/>
          <w:u w:val="single"/>
        </w:rPr>
      </w:pPr>
      <w:r w:rsidRPr="00DA432B">
        <w:rPr>
          <w:rFonts w:ascii="Arial" w:hAnsi="Arial" w:cs="Arial"/>
          <w:b/>
          <w:sz w:val="28"/>
          <w:szCs w:val="28"/>
          <w:u w:val="single"/>
        </w:rPr>
        <w:fldChar w:fldCharType="end"/>
      </w:r>
    </w:p>
    <w:p w14:paraId="28299D99" w14:textId="77777777" w:rsidR="00250530" w:rsidRPr="00DA432B" w:rsidRDefault="00250530" w:rsidP="000E4E3C">
      <w:pPr>
        <w:pStyle w:val="Nadpis1"/>
        <w:ind w:left="360" w:hanging="360"/>
        <w:jc w:val="both"/>
        <w:rPr>
          <w:rFonts w:ascii="Times New Roman" w:hAnsi="Times New Roman" w:cs="Times New Roman"/>
        </w:rPr>
      </w:pPr>
      <w:r w:rsidRPr="00DA432B">
        <w:rPr>
          <w:highlight w:val="yellow"/>
          <w:u w:val="single"/>
        </w:rPr>
        <w:br w:type="page"/>
      </w:r>
      <w:bookmarkStart w:id="1" w:name="_Toc404886984"/>
      <w:bookmarkStart w:id="2" w:name="_Toc405894492"/>
      <w:bookmarkStart w:id="3" w:name="_Toc418585143"/>
      <w:r w:rsidRPr="00DA432B">
        <w:rPr>
          <w:rFonts w:ascii="Times New Roman" w:hAnsi="Times New Roman" w:cs="Times New Roman"/>
        </w:rPr>
        <w:lastRenderedPageBreak/>
        <w:t>1. Název Programu</w:t>
      </w:r>
      <w:bookmarkEnd w:id="1"/>
      <w:bookmarkEnd w:id="2"/>
      <w:bookmarkEnd w:id="3"/>
    </w:p>
    <w:p w14:paraId="5F8FC52E" w14:textId="69D64E3B" w:rsidR="00250530" w:rsidRPr="00DA432B" w:rsidRDefault="00250530" w:rsidP="000E4E3C">
      <w:pPr>
        <w:spacing w:before="60" w:after="120" w:line="276" w:lineRule="auto"/>
        <w:jc w:val="both"/>
      </w:pPr>
      <w:r w:rsidRPr="00DA432B">
        <w:t xml:space="preserve">Program na podporu zdravotnického </w:t>
      </w:r>
      <w:r w:rsidR="00A44A83" w:rsidRPr="00DA432B">
        <w:t xml:space="preserve">aplikovaného </w:t>
      </w:r>
      <w:r w:rsidRPr="00DA432B">
        <w:t>výzkumu</w:t>
      </w:r>
      <w:r w:rsidR="00702D0D">
        <w:t xml:space="preserve"> </w:t>
      </w:r>
      <w:r w:rsidRPr="00DA432B">
        <w:t>na léta 2015 – 202</w:t>
      </w:r>
      <w:r w:rsidR="0061098A">
        <w:t>3</w:t>
      </w:r>
      <w:r w:rsidRPr="00DA432B">
        <w:t xml:space="preserve"> </w:t>
      </w:r>
      <w:r w:rsidR="000E4E3C" w:rsidRPr="00DA432B">
        <w:t>(</w:t>
      </w:r>
      <w:r w:rsidRPr="00DA432B">
        <w:t>dále jen „Program“).</w:t>
      </w:r>
    </w:p>
    <w:p w14:paraId="298C644F" w14:textId="77777777" w:rsidR="00250530" w:rsidRPr="00DA432B" w:rsidRDefault="00250530" w:rsidP="005E6FEB">
      <w:pPr>
        <w:spacing w:before="60" w:line="276" w:lineRule="auto"/>
        <w:jc w:val="both"/>
        <w:rPr>
          <w:highlight w:val="yellow"/>
        </w:rPr>
      </w:pPr>
    </w:p>
    <w:p w14:paraId="09F0E213" w14:textId="77777777" w:rsidR="00250530" w:rsidRPr="00DA432B" w:rsidRDefault="00250530" w:rsidP="000E4E3C">
      <w:pPr>
        <w:pStyle w:val="Nadpis1"/>
        <w:ind w:left="360" w:hanging="360"/>
        <w:jc w:val="both"/>
        <w:rPr>
          <w:rFonts w:ascii="Times New Roman" w:hAnsi="Times New Roman" w:cs="Times New Roman"/>
        </w:rPr>
      </w:pPr>
      <w:bookmarkStart w:id="4" w:name="_Toc404886985"/>
      <w:bookmarkStart w:id="5" w:name="_Toc405894493"/>
      <w:bookmarkStart w:id="6" w:name="_Toc418585144"/>
      <w:r w:rsidRPr="00DA432B">
        <w:rPr>
          <w:rFonts w:ascii="Times New Roman" w:hAnsi="Times New Roman" w:cs="Times New Roman"/>
        </w:rPr>
        <w:t>2. Právní rámec Programu</w:t>
      </w:r>
      <w:bookmarkEnd w:id="4"/>
      <w:bookmarkEnd w:id="5"/>
      <w:bookmarkEnd w:id="6"/>
    </w:p>
    <w:p w14:paraId="791DAF4B" w14:textId="77777777" w:rsidR="00250530" w:rsidRPr="00DA432B" w:rsidRDefault="00250530" w:rsidP="00747255">
      <w:pPr>
        <w:spacing w:before="60" w:after="120" w:line="276" w:lineRule="auto"/>
        <w:jc w:val="both"/>
      </w:pPr>
      <w:r w:rsidRPr="00DA432B">
        <w:t>Program bude realizován podle:</w:t>
      </w:r>
    </w:p>
    <w:p w14:paraId="02DAB986" w14:textId="77777777" w:rsidR="00250530" w:rsidRPr="00DA432B" w:rsidRDefault="00250530" w:rsidP="00747255">
      <w:pPr>
        <w:numPr>
          <w:ilvl w:val="0"/>
          <w:numId w:val="15"/>
        </w:numPr>
        <w:spacing w:before="60" w:after="120" w:line="276" w:lineRule="auto"/>
        <w:jc w:val="both"/>
      </w:pPr>
      <w:r w:rsidRPr="00DA432B">
        <w:t>zákona č. 130/2002 Sb., o podpoře výzkumu, experimentálního vývoje a inovací z veřejných prostředků a o změně některých souvisejících zákonů (zákon o podpoře výzkumu, experimentálního vývoje a inovací), ve zněn</w:t>
      </w:r>
      <w:r w:rsidR="000C7B74" w:rsidRPr="00DA432B">
        <w:t>í pozdějších předpisů (dále jen </w:t>
      </w:r>
      <w:r w:rsidRPr="00DA432B">
        <w:t>„zákon č. 130/2002 Sb.“);</w:t>
      </w:r>
    </w:p>
    <w:p w14:paraId="1C0C051A" w14:textId="59C82E09" w:rsidR="00250530" w:rsidRPr="00DA432B" w:rsidRDefault="001D5ECC" w:rsidP="00747255">
      <w:pPr>
        <w:numPr>
          <w:ilvl w:val="0"/>
          <w:numId w:val="15"/>
        </w:numPr>
        <w:spacing w:before="60" w:after="120" w:line="276" w:lineRule="auto"/>
        <w:jc w:val="both"/>
      </w:pPr>
      <w:r>
        <w:t>n</w:t>
      </w:r>
      <w:r w:rsidRPr="008C5B77">
        <w:t>ař</w:t>
      </w:r>
      <w:r>
        <w:t>ízení</w:t>
      </w:r>
      <w:r w:rsidRPr="008C5B77">
        <w:t xml:space="preserve"> Komise (EU) č. 651/2014 ze dne 17. června 2014, kterým se v souladu </w:t>
      </w:r>
      <w:r w:rsidR="00020F8A">
        <w:br/>
      </w:r>
      <w:r w:rsidRPr="008C5B77">
        <w:t xml:space="preserve">s články 107 a 108 Smlouvy o fungování EU prohlašují určité kategorie podpory </w:t>
      </w:r>
      <w:r w:rsidR="00020F8A">
        <w:br/>
      </w:r>
      <w:r w:rsidR="008D2B1A">
        <w:t>za slučitelné s vnitřním trhem</w:t>
      </w:r>
      <w:r w:rsidR="00250530" w:rsidRPr="00DA432B">
        <w:t xml:space="preserve">, Úřední věstník EU L </w:t>
      </w:r>
      <w:r>
        <w:t>187</w:t>
      </w:r>
      <w:r w:rsidRPr="00DA432B">
        <w:t xml:space="preserve"> </w:t>
      </w:r>
      <w:r w:rsidR="00250530" w:rsidRPr="00DA432B">
        <w:t>ze dne</w:t>
      </w:r>
      <w:r w:rsidR="0046657C" w:rsidRPr="00DA432B">
        <w:t xml:space="preserve"> </w:t>
      </w:r>
      <w:r w:rsidRPr="001D5ECC">
        <w:t>26</w:t>
      </w:r>
      <w:r>
        <w:t>. 6. 2014</w:t>
      </w:r>
      <w:r w:rsidR="0046657C" w:rsidRPr="00DA432B">
        <w:t xml:space="preserve">, str. </w:t>
      </w:r>
      <w:r>
        <w:t>1</w:t>
      </w:r>
      <w:r w:rsidRPr="00DA432B">
        <w:t xml:space="preserve"> </w:t>
      </w:r>
      <w:r w:rsidR="0046657C" w:rsidRPr="00DA432B">
        <w:t>(dále jen „n</w:t>
      </w:r>
      <w:r w:rsidR="00250530" w:rsidRPr="00DA432B">
        <w:t>ařízení Komise“);</w:t>
      </w:r>
    </w:p>
    <w:p w14:paraId="142C6B80" w14:textId="28042548" w:rsidR="00250530" w:rsidRPr="00DA432B" w:rsidRDefault="00250530" w:rsidP="00747255">
      <w:pPr>
        <w:numPr>
          <w:ilvl w:val="0"/>
          <w:numId w:val="15"/>
        </w:numPr>
        <w:spacing w:before="60" w:after="120" w:line="276" w:lineRule="auto"/>
        <w:jc w:val="both"/>
      </w:pPr>
      <w:r w:rsidRPr="00DA432B">
        <w:t>Rámce</w:t>
      </w:r>
      <w:r w:rsidR="008D2B1A">
        <w:t xml:space="preserve"> </w:t>
      </w:r>
      <w:r w:rsidRPr="00DA432B">
        <w:t xml:space="preserve">pro státní podporu výzkumu, vývoje a inovací - Úřední věstník Evropské unie ze dne </w:t>
      </w:r>
      <w:r w:rsidR="00071966" w:rsidRPr="001D5ECC">
        <w:t>2</w:t>
      </w:r>
      <w:r w:rsidR="00071966">
        <w:t>7. 6. 2014</w:t>
      </w:r>
      <w:r w:rsidRPr="00DA432B">
        <w:t xml:space="preserve">, </w:t>
      </w:r>
      <w:r w:rsidR="00672EC0" w:rsidRPr="008C5B77">
        <w:t>(2014/C 198/01)</w:t>
      </w:r>
      <w:r w:rsidRPr="00DA432B">
        <w:t xml:space="preserve"> (dále jen „Rámec“);</w:t>
      </w:r>
    </w:p>
    <w:p w14:paraId="0724C8B2" w14:textId="77777777" w:rsidR="00250530" w:rsidRPr="00DA432B" w:rsidRDefault="00250530" w:rsidP="00747255">
      <w:pPr>
        <w:numPr>
          <w:ilvl w:val="0"/>
          <w:numId w:val="15"/>
        </w:numPr>
        <w:spacing w:before="60" w:after="120" w:line="276" w:lineRule="auto"/>
        <w:jc w:val="both"/>
      </w:pPr>
      <w:r w:rsidRPr="00DA432B">
        <w:t>a podle ostatních souvisejících předpisů.</w:t>
      </w:r>
    </w:p>
    <w:p w14:paraId="29341B2C" w14:textId="18D1CDFA" w:rsidR="00250530" w:rsidRPr="00DA432B" w:rsidRDefault="00250530" w:rsidP="005E6FEB">
      <w:pPr>
        <w:spacing w:before="60" w:line="276" w:lineRule="auto"/>
        <w:jc w:val="both"/>
      </w:pPr>
      <w:r w:rsidRPr="00DA432B">
        <w:t>Program je podle článku 108 odst. 3 Smlouvy o </w:t>
      </w:r>
      <w:r w:rsidR="007A4354" w:rsidRPr="00DA432B">
        <w:t xml:space="preserve">fungování EU vyňat z oznamovací </w:t>
      </w:r>
      <w:r w:rsidRPr="00DA432B">
        <w:t xml:space="preserve">povinnosti, neboť splňuje podmínky </w:t>
      </w:r>
      <w:r w:rsidR="00DD47ED">
        <w:t>n</w:t>
      </w:r>
      <w:r w:rsidRPr="00DA432B">
        <w:t xml:space="preserve">ařízení </w:t>
      </w:r>
      <w:r w:rsidR="001D5ECC">
        <w:t>K</w:t>
      </w:r>
      <w:r w:rsidR="001D5ECC" w:rsidRPr="00DA432B">
        <w:t>omise</w:t>
      </w:r>
      <w:r w:rsidR="00234923">
        <w:t>.</w:t>
      </w:r>
      <w:r w:rsidR="000514C9" w:rsidRPr="00DA432B">
        <w:t xml:space="preserve"> </w:t>
      </w:r>
      <w:r w:rsidRPr="00DA432B">
        <w:t>Pr</w:t>
      </w:r>
      <w:r w:rsidR="007A4354" w:rsidRPr="00DA432B">
        <w:t>ogram bude realizován v souladu</w:t>
      </w:r>
      <w:r w:rsidR="00CB7E6C" w:rsidRPr="00DA432B">
        <w:t xml:space="preserve"> s </w:t>
      </w:r>
      <w:r w:rsidRPr="00DA432B">
        <w:t>Národními prioritami orientovaného výzkumu, experimen</w:t>
      </w:r>
      <w:r w:rsidR="000C7B74" w:rsidRPr="00DA432B">
        <w:t>tálního vývoje a inovací, které </w:t>
      </w:r>
      <w:r w:rsidRPr="00DA432B">
        <w:t xml:space="preserve">byly schváleny usnesením vlády </w:t>
      </w:r>
      <w:r w:rsidR="00747255" w:rsidRPr="00DA432B">
        <w:t xml:space="preserve">České republiky č. 552 </w:t>
      </w:r>
      <w:r w:rsidRPr="00DA432B">
        <w:t xml:space="preserve">dne 19. července 2012 </w:t>
      </w:r>
      <w:r w:rsidR="00747255" w:rsidRPr="00DA432B">
        <w:t>a</w:t>
      </w:r>
      <w:r w:rsidR="000C7B74" w:rsidRPr="00DA432B">
        <w:t> </w:t>
      </w:r>
      <w:r w:rsidR="00747255" w:rsidRPr="00DA432B">
        <w:t>v souladu s dokumentem Implementace Národních priorit orientovaného výzkumu, experimentálního vývoje a inovací, schváleným usnesením vl</w:t>
      </w:r>
      <w:r w:rsidR="000C7B74" w:rsidRPr="00DA432B">
        <w:t>ády České republiky č. 569, dne </w:t>
      </w:r>
      <w:r w:rsidR="00747255" w:rsidRPr="00DA432B">
        <w:t>31. července 2013</w:t>
      </w:r>
      <w:r w:rsidRPr="00DA432B">
        <w:t>.</w:t>
      </w:r>
      <w:r w:rsidR="000C7B74" w:rsidRPr="00DA432B">
        <w:t xml:space="preserve"> Program je dále v souladu s „Národní strategií pro vzácná onemocnění na léta 2010-2020“, kterou schválila svým usnesením </w:t>
      </w:r>
      <w:r w:rsidR="00926BAB" w:rsidRPr="00DA432B">
        <w:t xml:space="preserve">ze dne 14. června 2010 </w:t>
      </w:r>
      <w:r w:rsidR="000C7B74" w:rsidRPr="00DA432B">
        <w:t xml:space="preserve">č. 466 vláda České republiky a dále s „Národním akčním plánem pro vzácná onemocnění na léta 2012 – 2014“, který schválila svým usnesením </w:t>
      </w:r>
      <w:r w:rsidR="00926BAB" w:rsidRPr="00DA432B">
        <w:t xml:space="preserve">ze dne 29. srpna 2012 </w:t>
      </w:r>
      <w:r w:rsidR="000C7B74" w:rsidRPr="00DA432B">
        <w:t>č. 633 vláda České republiky.</w:t>
      </w:r>
      <w:r w:rsidR="00B26753" w:rsidRPr="00DA432B">
        <w:t xml:space="preserve"> Program dále zohledňuje Health 2020, strateg</w:t>
      </w:r>
      <w:r w:rsidR="00B12DC8" w:rsidRPr="00DA432B">
        <w:t>ický dokument</w:t>
      </w:r>
      <w:r w:rsidR="00B26753" w:rsidRPr="00DA432B">
        <w:t xml:space="preserve"> WHO, Koncepci hygienické služby a primární prevence v ochraně veřejného zdraví.</w:t>
      </w:r>
    </w:p>
    <w:p w14:paraId="4F033DE7" w14:textId="77777777" w:rsidR="002626CD" w:rsidRPr="00DA432B" w:rsidRDefault="002626CD" w:rsidP="005E6FEB">
      <w:pPr>
        <w:spacing w:before="60" w:line="276" w:lineRule="auto"/>
        <w:jc w:val="both"/>
      </w:pPr>
    </w:p>
    <w:p w14:paraId="4A6A955E" w14:textId="77777777" w:rsidR="00250530" w:rsidRPr="00DA432B" w:rsidRDefault="00250530" w:rsidP="00747255">
      <w:pPr>
        <w:pStyle w:val="Nadpis1"/>
        <w:ind w:left="360" w:hanging="360"/>
        <w:jc w:val="both"/>
        <w:rPr>
          <w:rFonts w:ascii="Times New Roman" w:hAnsi="Times New Roman" w:cs="Times New Roman"/>
        </w:rPr>
      </w:pPr>
      <w:bookmarkStart w:id="7" w:name="_Toc404886986"/>
      <w:bookmarkStart w:id="8" w:name="_Toc405894494"/>
      <w:bookmarkStart w:id="9" w:name="_Toc418585145"/>
      <w:r w:rsidRPr="00DA432B">
        <w:rPr>
          <w:rFonts w:ascii="Times New Roman" w:hAnsi="Times New Roman" w:cs="Times New Roman"/>
        </w:rPr>
        <w:t>3. Poskytovatel</w:t>
      </w:r>
      <w:bookmarkEnd w:id="7"/>
      <w:bookmarkEnd w:id="8"/>
      <w:bookmarkEnd w:id="9"/>
    </w:p>
    <w:p w14:paraId="75F117CE" w14:textId="77777777" w:rsidR="00250530" w:rsidRPr="00DA432B" w:rsidRDefault="00250530" w:rsidP="00747255">
      <w:pPr>
        <w:spacing w:before="60" w:after="120" w:line="276" w:lineRule="auto"/>
        <w:jc w:val="both"/>
      </w:pPr>
      <w:r w:rsidRPr="00DA432B">
        <w:t xml:space="preserve">Poskytovatelem podpory je Ministerstvo </w:t>
      </w:r>
      <w:r w:rsidR="00747255" w:rsidRPr="00DA432B">
        <w:t>zdravotnictví</w:t>
      </w:r>
      <w:r w:rsidRPr="00DA432B">
        <w:t xml:space="preserve">, sídlem </w:t>
      </w:r>
      <w:r w:rsidR="00747255" w:rsidRPr="00DA432B">
        <w:t>Palackého náměstí 4, Praha 2</w:t>
      </w:r>
      <w:r w:rsidR="00834040" w:rsidRPr="00DA432B">
        <w:t>.</w:t>
      </w:r>
    </w:p>
    <w:p w14:paraId="3D2B1FD0" w14:textId="77777777" w:rsidR="00250530" w:rsidRPr="00DA432B" w:rsidRDefault="00250530" w:rsidP="005E6FEB">
      <w:pPr>
        <w:spacing w:before="60" w:line="276" w:lineRule="auto"/>
        <w:jc w:val="both"/>
        <w:rPr>
          <w:highlight w:val="yellow"/>
        </w:rPr>
      </w:pPr>
    </w:p>
    <w:p w14:paraId="3A7050A5" w14:textId="77777777" w:rsidR="00250530" w:rsidRPr="00DA432B" w:rsidRDefault="00250530" w:rsidP="00747255">
      <w:pPr>
        <w:pStyle w:val="Nadpis1"/>
        <w:ind w:left="360" w:hanging="360"/>
        <w:jc w:val="both"/>
        <w:rPr>
          <w:rFonts w:ascii="Times New Roman" w:hAnsi="Times New Roman" w:cs="Times New Roman"/>
        </w:rPr>
      </w:pPr>
      <w:bookmarkStart w:id="10" w:name="_Toc404886987"/>
      <w:bookmarkStart w:id="11" w:name="_Toc405894495"/>
      <w:bookmarkStart w:id="12" w:name="_Toc418585146"/>
      <w:r w:rsidRPr="00DA432B">
        <w:rPr>
          <w:rFonts w:ascii="Times New Roman" w:hAnsi="Times New Roman" w:cs="Times New Roman"/>
        </w:rPr>
        <w:t>4. Identifikační kód Programu</w:t>
      </w:r>
      <w:bookmarkEnd w:id="10"/>
      <w:bookmarkEnd w:id="11"/>
      <w:bookmarkEnd w:id="12"/>
    </w:p>
    <w:p w14:paraId="01D29ADE" w14:textId="77777777" w:rsidR="00250530" w:rsidRPr="00DA432B" w:rsidRDefault="00250530" w:rsidP="00747255">
      <w:pPr>
        <w:spacing w:before="60" w:after="120" w:line="276" w:lineRule="auto"/>
        <w:jc w:val="both"/>
      </w:pPr>
      <w:r w:rsidRPr="00DA432B">
        <w:t xml:space="preserve">Pro účely evidence v informačním systému výzkumu, experimentálního vývoje a inovací byl Programu přidělen kód </w:t>
      </w:r>
      <w:r w:rsidR="00926BAB" w:rsidRPr="00DA432B">
        <w:t>„</w:t>
      </w:r>
      <w:r w:rsidR="00926BAB" w:rsidRPr="00DA432B">
        <w:rPr>
          <w:b/>
        </w:rPr>
        <w:t>NV</w:t>
      </w:r>
      <w:r w:rsidR="00926BAB" w:rsidRPr="00DA432B">
        <w:t>“</w:t>
      </w:r>
      <w:r w:rsidR="00463471" w:rsidRPr="00DA432B">
        <w:t>.</w:t>
      </w:r>
    </w:p>
    <w:p w14:paraId="1E9E93EC" w14:textId="77777777" w:rsidR="00250530" w:rsidRPr="00672EC0" w:rsidRDefault="00250530" w:rsidP="00747255">
      <w:pPr>
        <w:pStyle w:val="Nadpis1"/>
        <w:ind w:left="360" w:hanging="360"/>
        <w:jc w:val="both"/>
        <w:rPr>
          <w:rFonts w:ascii="Times New Roman" w:hAnsi="Times New Roman" w:cs="Times New Roman"/>
        </w:rPr>
      </w:pPr>
      <w:bookmarkStart w:id="13" w:name="_Toc404886988"/>
      <w:bookmarkStart w:id="14" w:name="_Toc405894496"/>
      <w:bookmarkStart w:id="15" w:name="_Toc418585147"/>
      <w:r w:rsidRPr="00672EC0">
        <w:rPr>
          <w:rFonts w:ascii="Times New Roman" w:hAnsi="Times New Roman" w:cs="Times New Roman"/>
        </w:rPr>
        <w:t>5. Doba trvání Programu</w:t>
      </w:r>
      <w:bookmarkEnd w:id="13"/>
      <w:bookmarkEnd w:id="14"/>
      <w:bookmarkEnd w:id="15"/>
    </w:p>
    <w:p w14:paraId="449D7D5F" w14:textId="2DD59191" w:rsidR="00250530" w:rsidRPr="00DA432B" w:rsidRDefault="00250530" w:rsidP="00747255">
      <w:pPr>
        <w:spacing w:before="60" w:after="120" w:line="276" w:lineRule="auto"/>
        <w:jc w:val="both"/>
      </w:pPr>
      <w:r w:rsidRPr="00DA432B">
        <w:t xml:space="preserve">Doba trvání Programu je stanovena v letech </w:t>
      </w:r>
      <w:r w:rsidRPr="0061098A">
        <w:t>201</w:t>
      </w:r>
      <w:r w:rsidR="00747255" w:rsidRPr="0061098A">
        <w:t>5</w:t>
      </w:r>
      <w:r w:rsidRPr="0061098A">
        <w:t xml:space="preserve"> až 202</w:t>
      </w:r>
      <w:r w:rsidR="0061098A">
        <w:t>3</w:t>
      </w:r>
      <w:r w:rsidRPr="0061098A">
        <w:t xml:space="preserve">, tj. </w:t>
      </w:r>
      <w:r w:rsidR="0061098A">
        <w:t>9</w:t>
      </w:r>
      <w:r w:rsidRPr="0061098A">
        <w:t xml:space="preserve"> let</w:t>
      </w:r>
      <w:r w:rsidRPr="00DA432B">
        <w:t>.</w:t>
      </w:r>
    </w:p>
    <w:p w14:paraId="68DF7C64" w14:textId="0112D37E" w:rsidR="00747255" w:rsidRPr="00DA432B" w:rsidRDefault="00250530" w:rsidP="00747255">
      <w:pPr>
        <w:spacing w:before="60" w:after="120" w:line="276" w:lineRule="auto"/>
        <w:jc w:val="both"/>
      </w:pPr>
      <w:r w:rsidRPr="00235CD8">
        <w:t xml:space="preserve">Doba trvání projektu </w:t>
      </w:r>
      <w:r w:rsidR="00B0006F" w:rsidRPr="00235CD8">
        <w:t xml:space="preserve">bude </w:t>
      </w:r>
      <w:r w:rsidRPr="00235CD8">
        <w:t xml:space="preserve">nejméně 3 roky, nejdéle </w:t>
      </w:r>
      <w:r w:rsidRPr="0061098A">
        <w:t>5</w:t>
      </w:r>
      <w:r w:rsidRPr="00235CD8">
        <w:t xml:space="preserve"> let</w:t>
      </w:r>
      <w:r w:rsidR="005521EE" w:rsidRPr="00235CD8">
        <w:t xml:space="preserve"> s tím, že v jednotlivých veřejných soutěžích ve výzkumu, experimentálním vývoji a inovacích bude jejich délka stanovena tak, aby byly optimálně využity disponibilní výdaje státního rozpočtu</w:t>
      </w:r>
      <w:r w:rsidRPr="00235CD8">
        <w:t xml:space="preserve">. </w:t>
      </w:r>
      <w:r w:rsidRPr="00DA432B">
        <w:t>Projekty realizované v rámci Programu musí být ukonč</w:t>
      </w:r>
      <w:r w:rsidR="00747255" w:rsidRPr="00DA432B">
        <w:t>eny nejpozději do 31. 12. 202</w:t>
      </w:r>
      <w:r w:rsidR="0061098A">
        <w:t>3</w:t>
      </w:r>
      <w:r w:rsidR="00747255" w:rsidRPr="00DA432B">
        <w:t xml:space="preserve">. Pětileté projekty budou </w:t>
      </w:r>
      <w:r w:rsidR="00C45911" w:rsidRPr="00DA432B">
        <w:t>zaměřeny na řešení velmi náročných a komplexních problem</w:t>
      </w:r>
      <w:r w:rsidR="000C7B74" w:rsidRPr="00DA432B">
        <w:t>atik a budou muset prokázat, že </w:t>
      </w:r>
      <w:r w:rsidR="00C45911" w:rsidRPr="00DA432B">
        <w:t>splňují náročná kritéria na dosažení excelentního výzkumu</w:t>
      </w:r>
      <w:r w:rsidR="00EB1CAF" w:rsidRPr="00DA432B">
        <w:t>, stanovená v Systému hodnocení projektů</w:t>
      </w:r>
      <w:r w:rsidR="00C45911" w:rsidRPr="00DA432B">
        <w:t>. Bližší specifikace bud</w:t>
      </w:r>
      <w:r w:rsidR="006C265A" w:rsidRPr="00DA432B">
        <w:t>e uvedena v zadávací dokumentaci</w:t>
      </w:r>
      <w:r w:rsidR="00C45911" w:rsidRPr="00DA432B">
        <w:t xml:space="preserve"> veřejné soutěže.</w:t>
      </w:r>
      <w:r w:rsidR="0061098A">
        <w:t xml:space="preserve"> </w:t>
      </w:r>
      <w:r w:rsidR="00AA4F48">
        <w:t>Dobu trvání p</w:t>
      </w:r>
      <w:r w:rsidR="0061098A">
        <w:t>rojekt</w:t>
      </w:r>
      <w:r w:rsidR="00AA4F48">
        <w:t>ů</w:t>
      </w:r>
      <w:r w:rsidR="0061098A">
        <w:t xml:space="preserve"> lze v případě potřeby prodloužit i nad 5 let</w:t>
      </w:r>
      <w:r w:rsidR="00102BB6">
        <w:t>,</w:t>
      </w:r>
      <w:r w:rsidR="0061098A">
        <w:t xml:space="preserve"> ovšem bez nároku </w:t>
      </w:r>
      <w:r w:rsidR="000C2FD2">
        <w:br/>
      </w:r>
      <w:r w:rsidR="0061098A">
        <w:t>na účelovou podporu.</w:t>
      </w:r>
    </w:p>
    <w:p w14:paraId="60B3E670" w14:textId="6BECFF5E" w:rsidR="00250530" w:rsidRPr="00672EC0" w:rsidRDefault="00250530" w:rsidP="00747255">
      <w:pPr>
        <w:spacing w:before="60" w:after="120" w:line="276" w:lineRule="auto"/>
        <w:jc w:val="both"/>
      </w:pPr>
      <w:r w:rsidRPr="00672EC0">
        <w:t>Časový rámec</w:t>
      </w:r>
      <w:r w:rsidR="007A4354" w:rsidRPr="00672EC0">
        <w:t>,</w:t>
      </w:r>
      <w:r w:rsidRPr="00672EC0">
        <w:t xml:space="preserve"> n</w:t>
      </w:r>
      <w:r w:rsidR="0046657C" w:rsidRPr="00672EC0">
        <w:t>ávazně na nařízení K</w:t>
      </w:r>
      <w:r w:rsidR="007A4354" w:rsidRPr="00672EC0">
        <w:t>omise</w:t>
      </w:r>
      <w:r w:rsidRPr="00672EC0">
        <w:t xml:space="preserve"> </w:t>
      </w:r>
      <w:r w:rsidR="007A4354" w:rsidRPr="00672EC0">
        <w:t xml:space="preserve">byl </w:t>
      </w:r>
      <w:r w:rsidRPr="00672EC0">
        <w:t>stanoven do r. 202</w:t>
      </w:r>
      <w:r w:rsidR="0061098A">
        <w:t>3</w:t>
      </w:r>
      <w:r w:rsidRPr="00672EC0">
        <w:t xml:space="preserve"> s tím, že v</w:t>
      </w:r>
      <w:r w:rsidR="0061098A">
        <w:t> </w:t>
      </w:r>
      <w:r w:rsidRPr="00672EC0">
        <w:t>letech</w:t>
      </w:r>
      <w:r w:rsidR="0061098A">
        <w:t xml:space="preserve"> 2020</w:t>
      </w:r>
      <w:r w:rsidR="00185FCF">
        <w:t>,</w:t>
      </w:r>
      <w:r w:rsidRPr="00672EC0">
        <w:t xml:space="preserve"> 2021</w:t>
      </w:r>
      <w:r w:rsidR="0061098A">
        <w:t xml:space="preserve">, </w:t>
      </w:r>
      <w:r w:rsidRPr="00672EC0">
        <w:t xml:space="preserve">2022 </w:t>
      </w:r>
      <w:r w:rsidR="0061098A">
        <w:t xml:space="preserve">a 2023 </w:t>
      </w:r>
      <w:r w:rsidRPr="00672EC0">
        <w:t>již nebudou zahajovány nové projekty, ale budou dokončovány víceleté projekty zahájené do roku 20</w:t>
      </w:r>
      <w:r w:rsidR="00185FCF">
        <w:t>19</w:t>
      </w:r>
      <w:r w:rsidRPr="00672EC0">
        <w:t>.</w:t>
      </w:r>
    </w:p>
    <w:p w14:paraId="709C35EB" w14:textId="77777777" w:rsidR="00250530" w:rsidRPr="00DA432B" w:rsidRDefault="00250530" w:rsidP="005E6FEB">
      <w:pPr>
        <w:spacing w:before="60" w:line="276" w:lineRule="auto"/>
        <w:jc w:val="both"/>
        <w:rPr>
          <w:highlight w:val="yellow"/>
        </w:rPr>
      </w:pPr>
    </w:p>
    <w:p w14:paraId="33CD7368" w14:textId="77777777" w:rsidR="00250530" w:rsidRPr="00DA432B" w:rsidRDefault="00250530" w:rsidP="00691473">
      <w:pPr>
        <w:pStyle w:val="Nadpis1"/>
        <w:ind w:left="360" w:hanging="360"/>
        <w:jc w:val="both"/>
        <w:rPr>
          <w:rFonts w:ascii="Times New Roman" w:hAnsi="Times New Roman" w:cs="Times New Roman"/>
        </w:rPr>
      </w:pPr>
      <w:bookmarkStart w:id="16" w:name="_Toc404886989"/>
      <w:bookmarkStart w:id="17" w:name="_Toc405894497"/>
      <w:bookmarkStart w:id="18" w:name="_Toc418585148"/>
      <w:r w:rsidRPr="00DA432B">
        <w:rPr>
          <w:rFonts w:ascii="Times New Roman" w:hAnsi="Times New Roman" w:cs="Times New Roman"/>
        </w:rPr>
        <w:t xml:space="preserve">6. Termín vyhlášení </w:t>
      </w:r>
      <w:r w:rsidR="003F1EC5" w:rsidRPr="00DA432B">
        <w:rPr>
          <w:rFonts w:ascii="Times New Roman" w:hAnsi="Times New Roman" w:cs="Times New Roman"/>
        </w:rPr>
        <w:t xml:space="preserve">veřejných soutěží </w:t>
      </w:r>
      <w:r w:rsidRPr="00DA432B">
        <w:rPr>
          <w:rFonts w:ascii="Times New Roman" w:hAnsi="Times New Roman" w:cs="Times New Roman"/>
        </w:rPr>
        <w:t>Programu</w:t>
      </w:r>
      <w:bookmarkEnd w:id="16"/>
      <w:bookmarkEnd w:id="17"/>
      <w:bookmarkEnd w:id="18"/>
    </w:p>
    <w:p w14:paraId="6BD11A25" w14:textId="5EB618CE" w:rsidR="00250530" w:rsidRPr="00DA432B" w:rsidRDefault="00250530" w:rsidP="00691473">
      <w:pPr>
        <w:spacing w:before="60" w:after="120" w:line="276" w:lineRule="auto"/>
        <w:jc w:val="both"/>
      </w:pPr>
      <w:r w:rsidRPr="00DA432B">
        <w:t>Veřejná soutěž ve výzkumu, experimentálním vývoji a inovacích (dále jen „veřejná soutěž“) bude vyhlášena poprvé v roce 201</w:t>
      </w:r>
      <w:r w:rsidR="00691473" w:rsidRPr="00DA432B">
        <w:t>4</w:t>
      </w:r>
      <w:r w:rsidRPr="00DA432B">
        <w:t xml:space="preserve"> se zahájením poskytování podpory v roce 201</w:t>
      </w:r>
      <w:r w:rsidR="00691473" w:rsidRPr="00DA432B">
        <w:t>5</w:t>
      </w:r>
      <w:r w:rsidRPr="00DA432B">
        <w:t xml:space="preserve">. </w:t>
      </w:r>
      <w:r w:rsidRPr="00D33888">
        <w:t xml:space="preserve">Následně </w:t>
      </w:r>
      <w:r w:rsidR="003F1EC5" w:rsidRPr="00D33888">
        <w:t xml:space="preserve">je plánováno </w:t>
      </w:r>
      <w:r w:rsidR="00463471" w:rsidRPr="00D33888">
        <w:t>každoročn</w:t>
      </w:r>
      <w:r w:rsidR="003F1EC5" w:rsidRPr="00D33888">
        <w:t>í</w:t>
      </w:r>
      <w:r w:rsidR="00463471" w:rsidRPr="00D33888">
        <w:t xml:space="preserve"> </w:t>
      </w:r>
      <w:r w:rsidRPr="00D33888">
        <w:t>vyhlášen</w:t>
      </w:r>
      <w:r w:rsidR="003F1EC5" w:rsidRPr="00D33888">
        <w:t>í</w:t>
      </w:r>
      <w:r w:rsidRPr="00D33888">
        <w:t xml:space="preserve"> veřejn</w:t>
      </w:r>
      <w:r w:rsidR="003F1EC5" w:rsidRPr="00D33888">
        <w:t>ých</w:t>
      </w:r>
      <w:r w:rsidRPr="00D33888">
        <w:t xml:space="preserve"> </w:t>
      </w:r>
      <w:r w:rsidR="003F1EC5" w:rsidRPr="00D33888">
        <w:t xml:space="preserve">soutěží </w:t>
      </w:r>
      <w:r w:rsidRPr="00D33888">
        <w:t xml:space="preserve">v letech </w:t>
      </w:r>
      <w:r w:rsidR="00691473" w:rsidRPr="00D33888">
        <w:t xml:space="preserve">2015, </w:t>
      </w:r>
      <w:r w:rsidRPr="00D33888">
        <w:t>201</w:t>
      </w:r>
      <w:r w:rsidR="00691473" w:rsidRPr="00D33888">
        <w:t>6</w:t>
      </w:r>
      <w:r w:rsidR="004E3E12" w:rsidRPr="00D33888">
        <w:t>,</w:t>
      </w:r>
      <w:r w:rsidRPr="00D33888">
        <w:t xml:space="preserve"> </w:t>
      </w:r>
      <w:r w:rsidR="00691473" w:rsidRPr="00D33888">
        <w:t xml:space="preserve">2017 </w:t>
      </w:r>
      <w:r w:rsidR="00D33888">
        <w:t xml:space="preserve">a </w:t>
      </w:r>
      <w:r w:rsidR="00691473" w:rsidRPr="00D33888">
        <w:t>2018</w:t>
      </w:r>
      <w:r w:rsidRPr="00D33888">
        <w:t xml:space="preserve">, se zahájením poskytování podpory v letech </w:t>
      </w:r>
      <w:r w:rsidR="00691473" w:rsidRPr="00D33888">
        <w:t xml:space="preserve">2016, </w:t>
      </w:r>
      <w:r w:rsidRPr="00D33888">
        <w:t>201</w:t>
      </w:r>
      <w:r w:rsidR="00691473" w:rsidRPr="00D33888">
        <w:t>7, 2018</w:t>
      </w:r>
      <w:r w:rsidR="00D33888">
        <w:t xml:space="preserve"> a</w:t>
      </w:r>
      <w:r w:rsidR="00691473" w:rsidRPr="00D33888">
        <w:t xml:space="preserve"> 2019</w:t>
      </w:r>
      <w:r w:rsidR="000C7B74" w:rsidRPr="00D33888">
        <w:t xml:space="preserve"> s tím, že do </w:t>
      </w:r>
      <w:r w:rsidR="00691473" w:rsidRPr="00D33888">
        <w:t xml:space="preserve">veřejné soutěže vyhlášené v roce </w:t>
      </w:r>
      <w:r w:rsidR="00463471" w:rsidRPr="00D33888">
        <w:t xml:space="preserve">2018 </w:t>
      </w:r>
      <w:r w:rsidR="00691473" w:rsidRPr="00D33888">
        <w:t>se budou moci přihlásit projekty s maximální délkou trvání 4 roky</w:t>
      </w:r>
      <w:r w:rsidR="00D33888">
        <w:t xml:space="preserve"> (s nárokem na účelovou podporu)</w:t>
      </w:r>
      <w:r w:rsidR="00691473" w:rsidRPr="00D33888">
        <w:t xml:space="preserve"> </w:t>
      </w:r>
      <w:r w:rsidR="00463471" w:rsidRPr="00D33888">
        <w:t>tak</w:t>
      </w:r>
      <w:r w:rsidR="00B07DC9" w:rsidRPr="00D33888">
        <w:t>, a</w:t>
      </w:r>
      <w:r w:rsidR="00463471" w:rsidRPr="00D33888">
        <w:t>by p</w:t>
      </w:r>
      <w:r w:rsidR="00691473" w:rsidRPr="00D33888">
        <w:t xml:space="preserve">rojekty </w:t>
      </w:r>
      <w:r w:rsidR="00463471" w:rsidRPr="00D33888">
        <w:t>byly</w:t>
      </w:r>
      <w:r w:rsidR="00691473" w:rsidRPr="00D33888">
        <w:t xml:space="preserve"> ukonč</w:t>
      </w:r>
      <w:r w:rsidR="000C7B74" w:rsidRPr="00D33888">
        <w:t>eny nejpozději do 31. </w:t>
      </w:r>
      <w:r w:rsidR="00691473" w:rsidRPr="00D33888">
        <w:t>12. 202</w:t>
      </w:r>
      <w:r w:rsidR="00E61DB7" w:rsidRPr="00D33888">
        <w:t>3</w:t>
      </w:r>
      <w:r w:rsidR="00691473" w:rsidRPr="00D33888">
        <w:t>.</w:t>
      </w:r>
      <w:r w:rsidRPr="00DA432B">
        <w:t xml:space="preserve"> </w:t>
      </w:r>
      <w:r w:rsidR="003F1EC5" w:rsidRPr="00DA432B">
        <w:t xml:space="preserve">Veřejné soutěže </w:t>
      </w:r>
      <w:r w:rsidRPr="00DA432B">
        <w:t>budou realizovány s ohledem na finanční možnosti a potřeby vztahující se k plnění cílů Programu.</w:t>
      </w:r>
    </w:p>
    <w:p w14:paraId="4FE4F494" w14:textId="77777777" w:rsidR="00250530" w:rsidRPr="00DA432B" w:rsidRDefault="00250530" w:rsidP="005E6FEB">
      <w:pPr>
        <w:spacing w:before="60" w:line="276" w:lineRule="auto"/>
        <w:jc w:val="both"/>
        <w:rPr>
          <w:highlight w:val="yellow"/>
        </w:rPr>
      </w:pPr>
    </w:p>
    <w:p w14:paraId="1D87A46A" w14:textId="77777777" w:rsidR="00250530" w:rsidRPr="00DA432B" w:rsidRDefault="00250530" w:rsidP="00691473">
      <w:pPr>
        <w:pStyle w:val="Nadpis1"/>
        <w:ind w:left="360" w:hanging="360"/>
        <w:jc w:val="both"/>
        <w:rPr>
          <w:rFonts w:ascii="Times New Roman" w:hAnsi="Times New Roman" w:cs="Times New Roman"/>
        </w:rPr>
      </w:pPr>
      <w:bookmarkStart w:id="19" w:name="_Toc404886990"/>
      <w:bookmarkStart w:id="20" w:name="_Toc405894498"/>
      <w:bookmarkStart w:id="21" w:name="_Toc418585149"/>
      <w:r w:rsidRPr="00DA432B">
        <w:rPr>
          <w:rFonts w:ascii="Times New Roman" w:hAnsi="Times New Roman" w:cs="Times New Roman"/>
        </w:rPr>
        <w:t>7. Celkové výdaje na Program</w:t>
      </w:r>
      <w:bookmarkEnd w:id="19"/>
      <w:bookmarkEnd w:id="20"/>
      <w:bookmarkEnd w:id="21"/>
    </w:p>
    <w:p w14:paraId="77BB3765" w14:textId="0AE288A8" w:rsidR="00250530" w:rsidRPr="00DA432B" w:rsidRDefault="00250530" w:rsidP="00691473">
      <w:pPr>
        <w:spacing w:before="60" w:after="120" w:line="276" w:lineRule="auto"/>
        <w:jc w:val="both"/>
      </w:pPr>
      <w:r w:rsidRPr="00DA432B">
        <w:t>Celkové výdaje za do</w:t>
      </w:r>
      <w:r w:rsidR="00691473" w:rsidRPr="00DA432B">
        <w:t>bu trvání Programu v letech 2015</w:t>
      </w:r>
      <w:r w:rsidRPr="00DA432B">
        <w:t xml:space="preserve"> až 20</w:t>
      </w:r>
      <w:r w:rsidR="000C7B74" w:rsidRPr="00DA432B">
        <w:t>2</w:t>
      </w:r>
      <w:r w:rsidR="00505189">
        <w:t>3</w:t>
      </w:r>
      <w:r w:rsidR="000C7B74" w:rsidRPr="00DA432B">
        <w:t xml:space="preserve"> se předpokládají ve výši </w:t>
      </w:r>
      <w:r w:rsidR="00FE72E7" w:rsidRPr="00DA432B">
        <w:br/>
      </w:r>
      <w:r w:rsidR="00BE204F">
        <w:t>7 223</w:t>
      </w:r>
      <w:r w:rsidRPr="00DA432B">
        <w:t xml:space="preserve"> mil. Kč</w:t>
      </w:r>
      <w:r w:rsidR="00041116" w:rsidRPr="00DA432B">
        <w:t xml:space="preserve">, z toho </w:t>
      </w:r>
      <w:r w:rsidR="00BE204F">
        <w:t>6 500</w:t>
      </w:r>
      <w:r w:rsidR="00041116" w:rsidRPr="00DA432B">
        <w:t xml:space="preserve"> mil. Kč z výdajů státního rozpočtu</w:t>
      </w:r>
      <w:r w:rsidR="00AF088F" w:rsidRPr="00DA432B">
        <w:t xml:space="preserve"> na výzkum, vývoj a inovace</w:t>
      </w:r>
      <w:r w:rsidR="00041116" w:rsidRPr="00DA432B">
        <w:t xml:space="preserve">, přičemž financování </w:t>
      </w:r>
      <w:r w:rsidR="00BF5822">
        <w:t>P</w:t>
      </w:r>
      <w:r w:rsidR="00BF5822" w:rsidRPr="00DA432B">
        <w:t xml:space="preserve">rogramu </w:t>
      </w:r>
      <w:r w:rsidR="00041116" w:rsidRPr="00DA432B">
        <w:t>bude realizováno podle možností státního rozpočtu</w:t>
      </w:r>
      <w:r w:rsidRPr="00DA432B">
        <w:t xml:space="preserve">. </w:t>
      </w:r>
      <w:r w:rsidR="00AF088F" w:rsidRPr="00DA432B">
        <w:t xml:space="preserve"> Průměrná </w:t>
      </w:r>
      <w:r w:rsidR="00E52C2C">
        <w:t>intenzita</w:t>
      </w:r>
      <w:r w:rsidR="00E52C2C" w:rsidRPr="00DA432B">
        <w:t xml:space="preserve"> </w:t>
      </w:r>
      <w:r w:rsidR="00AF088F" w:rsidRPr="00DA432B">
        <w:t xml:space="preserve">podpory </w:t>
      </w:r>
      <w:r w:rsidR="00BF5822">
        <w:t>P</w:t>
      </w:r>
      <w:r w:rsidR="00BF5822" w:rsidRPr="00DA432B">
        <w:t xml:space="preserve">rogramu </w:t>
      </w:r>
      <w:r w:rsidR="00AF088F" w:rsidRPr="00DA432B">
        <w:t>je vzhledem k pře</w:t>
      </w:r>
      <w:r w:rsidR="006A5BA6">
        <w:t>d</w:t>
      </w:r>
      <w:r w:rsidR="00AF088F" w:rsidRPr="00DA432B">
        <w:t xml:space="preserve">pokládanému zastoupení </w:t>
      </w:r>
      <w:r w:rsidR="00BB7BF9">
        <w:t xml:space="preserve">výzkumných </w:t>
      </w:r>
      <w:r w:rsidR="00AF088F" w:rsidRPr="00DA432B">
        <w:t xml:space="preserve">organizací a podniků na řešení projektů </w:t>
      </w:r>
      <w:r w:rsidR="00BF5822">
        <w:t>P</w:t>
      </w:r>
      <w:r w:rsidR="00BF5822" w:rsidRPr="00DA432B">
        <w:t>rogramu</w:t>
      </w:r>
      <w:r w:rsidR="00AF088F" w:rsidRPr="00DA432B">
        <w:t xml:space="preserve"> navržena ve výši 90 %.</w:t>
      </w:r>
    </w:p>
    <w:p w14:paraId="64490311" w14:textId="77777777" w:rsidR="00250530" w:rsidRPr="00DA432B" w:rsidRDefault="00250530" w:rsidP="00691473">
      <w:pPr>
        <w:spacing w:before="60" w:after="120" w:line="276" w:lineRule="auto"/>
        <w:jc w:val="both"/>
      </w:pPr>
      <w:r w:rsidRPr="00DA432B">
        <w:t>Celkové výdaje na Program jsou na období trvání Programu rozvrženy v souladu s předpokládaným postupným vyhlašováním veřejných soutěží a ve vazbě na očekávanou průměrnou délku projektů.</w:t>
      </w:r>
    </w:p>
    <w:p w14:paraId="1AF3C7E6" w14:textId="77777777" w:rsidR="00BA7970" w:rsidRDefault="00BA7970" w:rsidP="00993CF0">
      <w:pPr>
        <w:keepNext/>
        <w:spacing w:before="60" w:after="120" w:line="276" w:lineRule="auto"/>
        <w:jc w:val="both"/>
        <w:rPr>
          <w:b/>
        </w:rPr>
      </w:pPr>
    </w:p>
    <w:p w14:paraId="60079A3C" w14:textId="77777777" w:rsidR="00250530" w:rsidRPr="00DA432B" w:rsidRDefault="00250530" w:rsidP="00993CF0">
      <w:pPr>
        <w:keepNext/>
        <w:spacing w:before="60" w:after="120" w:line="276" w:lineRule="auto"/>
        <w:jc w:val="both"/>
        <w:rPr>
          <w:b/>
        </w:rPr>
      </w:pPr>
      <w:r w:rsidRPr="00DA432B">
        <w:rPr>
          <w:b/>
        </w:rPr>
        <w:t xml:space="preserve">Tab. č. 1: Celkové výdaje na Program a výdaje ze státního rozpočtu (v </w:t>
      </w:r>
      <w:r w:rsidR="00EE5807" w:rsidRPr="00DA432B">
        <w:rPr>
          <w:b/>
        </w:rPr>
        <w:t>mil</w:t>
      </w:r>
      <w:r w:rsidRPr="00DA432B">
        <w:rPr>
          <w:b/>
        </w:rPr>
        <w:t>. Kč)</w:t>
      </w:r>
    </w:p>
    <w:tbl>
      <w:tblPr>
        <w:tblW w:w="914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0"/>
        <w:gridCol w:w="742"/>
        <w:gridCol w:w="664"/>
        <w:gridCol w:w="798"/>
        <w:gridCol w:w="761"/>
        <w:gridCol w:w="681"/>
        <w:gridCol w:w="721"/>
        <w:gridCol w:w="721"/>
        <w:gridCol w:w="721"/>
        <w:gridCol w:w="882"/>
      </w:tblGrid>
      <w:tr w:rsidR="00D41825" w:rsidRPr="00DA432B" w14:paraId="755A52A9" w14:textId="77777777" w:rsidTr="00A50C0B">
        <w:tc>
          <w:tcPr>
            <w:tcW w:w="2450" w:type="dxa"/>
            <w:shd w:val="clear" w:color="auto" w:fill="E6E6E6"/>
            <w:vAlign w:val="center"/>
          </w:tcPr>
          <w:p w14:paraId="1EB4E1B1" w14:textId="77777777" w:rsidR="0075728C" w:rsidRPr="00DA432B" w:rsidRDefault="0075728C" w:rsidP="00882D36">
            <w:pPr>
              <w:jc w:val="center"/>
              <w:rPr>
                <w:b/>
                <w:sz w:val="22"/>
                <w:szCs w:val="22"/>
              </w:rPr>
            </w:pPr>
            <w:r w:rsidRPr="00DA432B">
              <w:rPr>
                <w:b/>
                <w:sz w:val="22"/>
                <w:szCs w:val="22"/>
              </w:rPr>
              <w:t>rok</w:t>
            </w:r>
          </w:p>
        </w:tc>
        <w:tc>
          <w:tcPr>
            <w:tcW w:w="742" w:type="dxa"/>
            <w:shd w:val="clear" w:color="auto" w:fill="E6E6E6"/>
            <w:vAlign w:val="center"/>
          </w:tcPr>
          <w:p w14:paraId="1C42FA60" w14:textId="5FFDF90E" w:rsidR="0075728C" w:rsidRPr="00DA432B" w:rsidRDefault="0075728C" w:rsidP="005E42A5">
            <w:pPr>
              <w:jc w:val="center"/>
              <w:rPr>
                <w:b/>
                <w:sz w:val="22"/>
                <w:szCs w:val="22"/>
              </w:rPr>
            </w:pPr>
            <w:r w:rsidRPr="00DA432B">
              <w:rPr>
                <w:b/>
                <w:sz w:val="22"/>
                <w:szCs w:val="22"/>
              </w:rPr>
              <w:t>2015</w:t>
            </w:r>
          </w:p>
        </w:tc>
        <w:tc>
          <w:tcPr>
            <w:tcW w:w="664" w:type="dxa"/>
            <w:shd w:val="clear" w:color="auto" w:fill="E6E6E6"/>
            <w:vAlign w:val="center"/>
          </w:tcPr>
          <w:p w14:paraId="508BFBC2" w14:textId="4EE733D6" w:rsidR="0075728C" w:rsidRPr="00DA432B" w:rsidRDefault="0075728C" w:rsidP="005E42A5">
            <w:pPr>
              <w:jc w:val="center"/>
              <w:rPr>
                <w:sz w:val="22"/>
                <w:szCs w:val="22"/>
              </w:rPr>
            </w:pPr>
            <w:r w:rsidRPr="00DA432B">
              <w:rPr>
                <w:b/>
                <w:sz w:val="22"/>
                <w:szCs w:val="22"/>
              </w:rPr>
              <w:t>2016</w:t>
            </w:r>
          </w:p>
        </w:tc>
        <w:tc>
          <w:tcPr>
            <w:tcW w:w="798" w:type="dxa"/>
            <w:shd w:val="clear" w:color="auto" w:fill="E6E6E6"/>
            <w:vAlign w:val="center"/>
          </w:tcPr>
          <w:p w14:paraId="254614E0" w14:textId="23C843FC" w:rsidR="0075728C" w:rsidRPr="00DA432B" w:rsidRDefault="0075728C" w:rsidP="00152671">
            <w:pPr>
              <w:jc w:val="center"/>
              <w:rPr>
                <w:b/>
                <w:sz w:val="22"/>
                <w:szCs w:val="22"/>
              </w:rPr>
            </w:pPr>
            <w:r w:rsidRPr="00DA432B">
              <w:rPr>
                <w:b/>
                <w:sz w:val="22"/>
                <w:szCs w:val="22"/>
              </w:rPr>
              <w:t>2017</w:t>
            </w:r>
            <w:r w:rsidR="005E42A5" w:rsidRPr="00DA432B">
              <w:rPr>
                <w:rStyle w:val="Znakapoznpodarou"/>
                <w:sz w:val="22"/>
                <w:szCs w:val="22"/>
              </w:rPr>
              <w:footnoteReference w:id="2"/>
            </w:r>
          </w:p>
        </w:tc>
        <w:tc>
          <w:tcPr>
            <w:tcW w:w="761" w:type="dxa"/>
            <w:shd w:val="clear" w:color="auto" w:fill="E6E6E6"/>
            <w:vAlign w:val="center"/>
          </w:tcPr>
          <w:p w14:paraId="0C9B8F39" w14:textId="42BB137F" w:rsidR="0075728C" w:rsidRPr="00DA432B" w:rsidRDefault="0075728C" w:rsidP="00A50C0B">
            <w:pPr>
              <w:jc w:val="center"/>
              <w:rPr>
                <w:b/>
                <w:sz w:val="22"/>
                <w:szCs w:val="22"/>
              </w:rPr>
            </w:pPr>
            <w:r w:rsidRPr="00DA432B">
              <w:rPr>
                <w:b/>
                <w:sz w:val="22"/>
                <w:szCs w:val="22"/>
              </w:rPr>
              <w:t>2018</w:t>
            </w:r>
            <w:r w:rsidR="00A50C0B" w:rsidRPr="00A50C0B">
              <w:rPr>
                <w:sz w:val="22"/>
                <w:szCs w:val="22"/>
                <w:vertAlign w:val="superscript"/>
              </w:rPr>
              <w:t>1</w:t>
            </w:r>
          </w:p>
        </w:tc>
        <w:tc>
          <w:tcPr>
            <w:tcW w:w="681" w:type="dxa"/>
            <w:shd w:val="clear" w:color="auto" w:fill="E6E6E6"/>
            <w:vAlign w:val="center"/>
          </w:tcPr>
          <w:p w14:paraId="46D239E0" w14:textId="77777777" w:rsidR="0075728C" w:rsidRPr="00DA432B" w:rsidRDefault="0075728C" w:rsidP="00152671">
            <w:pPr>
              <w:jc w:val="center"/>
              <w:rPr>
                <w:b/>
                <w:sz w:val="22"/>
                <w:szCs w:val="22"/>
              </w:rPr>
            </w:pPr>
            <w:r w:rsidRPr="00DA432B">
              <w:rPr>
                <w:b/>
                <w:sz w:val="22"/>
                <w:szCs w:val="22"/>
              </w:rPr>
              <w:t>2019</w:t>
            </w:r>
          </w:p>
        </w:tc>
        <w:tc>
          <w:tcPr>
            <w:tcW w:w="721" w:type="dxa"/>
            <w:shd w:val="clear" w:color="auto" w:fill="E6E6E6"/>
            <w:vAlign w:val="center"/>
          </w:tcPr>
          <w:p w14:paraId="0A031ABF" w14:textId="77777777" w:rsidR="0075728C" w:rsidRPr="00DA432B" w:rsidRDefault="0075728C" w:rsidP="00152671">
            <w:pPr>
              <w:jc w:val="center"/>
              <w:rPr>
                <w:b/>
                <w:sz w:val="22"/>
                <w:szCs w:val="22"/>
              </w:rPr>
            </w:pPr>
            <w:r w:rsidRPr="00DA432B">
              <w:rPr>
                <w:b/>
                <w:sz w:val="22"/>
                <w:szCs w:val="22"/>
              </w:rPr>
              <w:t>2020</w:t>
            </w:r>
          </w:p>
        </w:tc>
        <w:tc>
          <w:tcPr>
            <w:tcW w:w="721" w:type="dxa"/>
            <w:shd w:val="clear" w:color="auto" w:fill="E6E6E6"/>
            <w:vAlign w:val="center"/>
          </w:tcPr>
          <w:p w14:paraId="3425D918" w14:textId="77777777" w:rsidR="0075728C" w:rsidRPr="00DA432B" w:rsidRDefault="0075728C" w:rsidP="00152671">
            <w:pPr>
              <w:jc w:val="center"/>
              <w:rPr>
                <w:b/>
                <w:sz w:val="22"/>
                <w:szCs w:val="22"/>
              </w:rPr>
            </w:pPr>
            <w:r w:rsidRPr="00DA432B">
              <w:rPr>
                <w:b/>
                <w:sz w:val="22"/>
                <w:szCs w:val="22"/>
              </w:rPr>
              <w:t>2021</w:t>
            </w:r>
          </w:p>
        </w:tc>
        <w:tc>
          <w:tcPr>
            <w:tcW w:w="721" w:type="dxa"/>
            <w:shd w:val="clear" w:color="auto" w:fill="E6E6E6"/>
            <w:vAlign w:val="center"/>
          </w:tcPr>
          <w:p w14:paraId="2B06410A" w14:textId="77777777" w:rsidR="0075728C" w:rsidRPr="00DA432B" w:rsidRDefault="0075728C" w:rsidP="00152671">
            <w:pPr>
              <w:jc w:val="center"/>
              <w:rPr>
                <w:b/>
                <w:sz w:val="22"/>
                <w:szCs w:val="22"/>
              </w:rPr>
            </w:pPr>
            <w:r w:rsidRPr="00DA432B">
              <w:rPr>
                <w:b/>
                <w:sz w:val="22"/>
                <w:szCs w:val="22"/>
              </w:rPr>
              <w:t>2022</w:t>
            </w:r>
          </w:p>
        </w:tc>
        <w:tc>
          <w:tcPr>
            <w:tcW w:w="882" w:type="dxa"/>
            <w:shd w:val="clear" w:color="auto" w:fill="E6E6E6"/>
            <w:vAlign w:val="center"/>
          </w:tcPr>
          <w:p w14:paraId="29F9F5E0" w14:textId="77777777" w:rsidR="0075728C" w:rsidRPr="00DA432B" w:rsidRDefault="0075728C" w:rsidP="00882D36">
            <w:pPr>
              <w:jc w:val="center"/>
              <w:rPr>
                <w:b/>
                <w:sz w:val="22"/>
                <w:szCs w:val="22"/>
              </w:rPr>
            </w:pPr>
            <w:r w:rsidRPr="00DA432B">
              <w:rPr>
                <w:b/>
                <w:sz w:val="22"/>
                <w:szCs w:val="22"/>
              </w:rPr>
              <w:t>celkem</w:t>
            </w:r>
          </w:p>
        </w:tc>
      </w:tr>
      <w:tr w:rsidR="00533A6E" w:rsidRPr="00DA432B" w14:paraId="1664469D" w14:textId="77777777" w:rsidTr="00A50C0B">
        <w:tc>
          <w:tcPr>
            <w:tcW w:w="2450" w:type="dxa"/>
            <w:shd w:val="clear" w:color="auto" w:fill="auto"/>
            <w:vAlign w:val="center"/>
          </w:tcPr>
          <w:p w14:paraId="252217C1" w14:textId="77777777" w:rsidR="00533A6E" w:rsidRPr="00DA432B" w:rsidRDefault="00533A6E" w:rsidP="00744E7C">
            <w:pPr>
              <w:rPr>
                <w:sz w:val="22"/>
                <w:szCs w:val="22"/>
              </w:rPr>
            </w:pPr>
            <w:r w:rsidRPr="00DA432B">
              <w:rPr>
                <w:sz w:val="22"/>
                <w:szCs w:val="22"/>
              </w:rPr>
              <w:t>Celkové výdaje</w:t>
            </w:r>
          </w:p>
        </w:tc>
        <w:tc>
          <w:tcPr>
            <w:tcW w:w="742" w:type="dxa"/>
            <w:shd w:val="clear" w:color="auto" w:fill="auto"/>
            <w:vAlign w:val="bottom"/>
          </w:tcPr>
          <w:p w14:paraId="27F6126B" w14:textId="16BC7C06" w:rsidR="00533A6E" w:rsidRPr="00DA432B" w:rsidRDefault="00AC41D3" w:rsidP="00152671">
            <w:pPr>
              <w:jc w:val="center"/>
              <w:rPr>
                <w:sz w:val="22"/>
                <w:szCs w:val="22"/>
              </w:rPr>
            </w:pPr>
            <w:r>
              <w:rPr>
                <w:sz w:val="22"/>
                <w:szCs w:val="22"/>
              </w:rPr>
              <w:t>389</w:t>
            </w:r>
          </w:p>
        </w:tc>
        <w:tc>
          <w:tcPr>
            <w:tcW w:w="664" w:type="dxa"/>
            <w:shd w:val="clear" w:color="auto" w:fill="auto"/>
            <w:vAlign w:val="bottom"/>
          </w:tcPr>
          <w:p w14:paraId="262D5B67" w14:textId="57EEBF81" w:rsidR="00533A6E" w:rsidRPr="00DA432B" w:rsidRDefault="00AC41D3" w:rsidP="00152671">
            <w:pPr>
              <w:jc w:val="center"/>
              <w:rPr>
                <w:sz w:val="22"/>
                <w:szCs w:val="22"/>
              </w:rPr>
            </w:pPr>
            <w:r>
              <w:rPr>
                <w:sz w:val="22"/>
                <w:szCs w:val="22"/>
              </w:rPr>
              <w:t>944</w:t>
            </w:r>
          </w:p>
        </w:tc>
        <w:tc>
          <w:tcPr>
            <w:tcW w:w="798" w:type="dxa"/>
            <w:shd w:val="clear" w:color="auto" w:fill="auto"/>
            <w:vAlign w:val="bottom"/>
          </w:tcPr>
          <w:p w14:paraId="351851AA" w14:textId="7D35A315" w:rsidR="00533A6E" w:rsidRPr="00DA432B" w:rsidRDefault="00AC41D3" w:rsidP="00152671">
            <w:pPr>
              <w:jc w:val="center"/>
              <w:rPr>
                <w:sz w:val="22"/>
                <w:szCs w:val="22"/>
              </w:rPr>
            </w:pPr>
            <w:r>
              <w:rPr>
                <w:sz w:val="22"/>
                <w:szCs w:val="22"/>
              </w:rPr>
              <w:t>1000</w:t>
            </w:r>
          </w:p>
        </w:tc>
        <w:tc>
          <w:tcPr>
            <w:tcW w:w="761" w:type="dxa"/>
            <w:shd w:val="clear" w:color="auto" w:fill="auto"/>
            <w:vAlign w:val="bottom"/>
          </w:tcPr>
          <w:p w14:paraId="0101B909" w14:textId="0DBE5A10" w:rsidR="00533A6E" w:rsidRPr="00DA432B" w:rsidRDefault="00AC41D3" w:rsidP="00152671">
            <w:pPr>
              <w:jc w:val="center"/>
              <w:rPr>
                <w:sz w:val="22"/>
                <w:szCs w:val="22"/>
              </w:rPr>
            </w:pPr>
            <w:r>
              <w:rPr>
                <w:sz w:val="22"/>
                <w:szCs w:val="22"/>
              </w:rPr>
              <w:t>1000</w:t>
            </w:r>
          </w:p>
        </w:tc>
        <w:tc>
          <w:tcPr>
            <w:tcW w:w="681" w:type="dxa"/>
            <w:shd w:val="clear" w:color="auto" w:fill="auto"/>
            <w:vAlign w:val="bottom"/>
          </w:tcPr>
          <w:p w14:paraId="3A242C51" w14:textId="77777777" w:rsidR="00533A6E" w:rsidRPr="00DA432B" w:rsidRDefault="00533A6E" w:rsidP="00152671">
            <w:pPr>
              <w:jc w:val="center"/>
              <w:rPr>
                <w:sz w:val="22"/>
                <w:szCs w:val="22"/>
              </w:rPr>
            </w:pPr>
            <w:r w:rsidRPr="00DA432B">
              <w:rPr>
                <w:sz w:val="22"/>
                <w:szCs w:val="22"/>
              </w:rPr>
              <w:t>1167</w:t>
            </w:r>
          </w:p>
        </w:tc>
        <w:tc>
          <w:tcPr>
            <w:tcW w:w="721" w:type="dxa"/>
            <w:shd w:val="clear" w:color="auto" w:fill="auto"/>
            <w:vAlign w:val="bottom"/>
          </w:tcPr>
          <w:p w14:paraId="18C4F30D" w14:textId="77777777" w:rsidR="00533A6E" w:rsidRPr="00DA432B" w:rsidRDefault="00533A6E" w:rsidP="00152671">
            <w:pPr>
              <w:jc w:val="center"/>
              <w:rPr>
                <w:sz w:val="22"/>
                <w:szCs w:val="22"/>
              </w:rPr>
            </w:pPr>
            <w:r w:rsidRPr="00DA432B">
              <w:rPr>
                <w:sz w:val="22"/>
                <w:szCs w:val="22"/>
              </w:rPr>
              <w:t>1167</w:t>
            </w:r>
          </w:p>
        </w:tc>
        <w:tc>
          <w:tcPr>
            <w:tcW w:w="721" w:type="dxa"/>
            <w:shd w:val="clear" w:color="auto" w:fill="auto"/>
            <w:vAlign w:val="bottom"/>
          </w:tcPr>
          <w:p w14:paraId="56ACED92" w14:textId="77777777" w:rsidR="00533A6E" w:rsidRPr="00DA432B" w:rsidRDefault="00533A6E" w:rsidP="00152671">
            <w:pPr>
              <w:jc w:val="center"/>
              <w:rPr>
                <w:sz w:val="22"/>
                <w:szCs w:val="22"/>
              </w:rPr>
            </w:pPr>
            <w:r w:rsidRPr="00DA432B">
              <w:rPr>
                <w:sz w:val="22"/>
                <w:szCs w:val="22"/>
              </w:rPr>
              <w:t>889</w:t>
            </w:r>
          </w:p>
        </w:tc>
        <w:tc>
          <w:tcPr>
            <w:tcW w:w="721" w:type="dxa"/>
            <w:shd w:val="clear" w:color="auto" w:fill="auto"/>
            <w:vAlign w:val="bottom"/>
          </w:tcPr>
          <w:p w14:paraId="4322EE8D" w14:textId="77777777" w:rsidR="00533A6E" w:rsidRPr="00DA432B" w:rsidRDefault="00533A6E" w:rsidP="00152671">
            <w:pPr>
              <w:jc w:val="center"/>
              <w:rPr>
                <w:sz w:val="22"/>
                <w:szCs w:val="22"/>
              </w:rPr>
            </w:pPr>
            <w:r w:rsidRPr="00DA432B">
              <w:rPr>
                <w:sz w:val="22"/>
                <w:szCs w:val="22"/>
              </w:rPr>
              <w:t>667</w:t>
            </w:r>
          </w:p>
        </w:tc>
        <w:tc>
          <w:tcPr>
            <w:tcW w:w="882" w:type="dxa"/>
            <w:shd w:val="clear" w:color="auto" w:fill="auto"/>
            <w:vAlign w:val="bottom"/>
          </w:tcPr>
          <w:p w14:paraId="2E26825F" w14:textId="357FB00A" w:rsidR="00533A6E" w:rsidRPr="00DA432B" w:rsidRDefault="00BE204F" w:rsidP="00882D36">
            <w:pPr>
              <w:jc w:val="center"/>
              <w:rPr>
                <w:sz w:val="22"/>
                <w:szCs w:val="22"/>
              </w:rPr>
            </w:pPr>
            <w:r>
              <w:rPr>
                <w:sz w:val="22"/>
                <w:szCs w:val="22"/>
              </w:rPr>
              <w:t>7223</w:t>
            </w:r>
          </w:p>
        </w:tc>
      </w:tr>
      <w:tr w:rsidR="00D41825" w:rsidRPr="00DA432B" w14:paraId="019C8A7D" w14:textId="77777777" w:rsidTr="00A50C0B">
        <w:tc>
          <w:tcPr>
            <w:tcW w:w="2450" w:type="dxa"/>
            <w:shd w:val="clear" w:color="auto" w:fill="auto"/>
            <w:vAlign w:val="center"/>
          </w:tcPr>
          <w:p w14:paraId="1FF5AF2F" w14:textId="77777777" w:rsidR="00EE5807" w:rsidRPr="00DA432B" w:rsidRDefault="00EE5807" w:rsidP="00744E7C">
            <w:pPr>
              <w:rPr>
                <w:sz w:val="22"/>
                <w:szCs w:val="22"/>
              </w:rPr>
            </w:pPr>
            <w:r w:rsidRPr="00DA432B">
              <w:rPr>
                <w:sz w:val="22"/>
                <w:szCs w:val="22"/>
              </w:rPr>
              <w:t>Výdaje státního rozpočtu</w:t>
            </w:r>
          </w:p>
        </w:tc>
        <w:tc>
          <w:tcPr>
            <w:tcW w:w="742" w:type="dxa"/>
            <w:shd w:val="clear" w:color="auto" w:fill="auto"/>
            <w:vAlign w:val="center"/>
          </w:tcPr>
          <w:p w14:paraId="2F4E4FC1" w14:textId="7E914B57" w:rsidR="00EE5807" w:rsidRPr="00DA432B" w:rsidRDefault="00AC41D3" w:rsidP="00AC41D3">
            <w:pPr>
              <w:jc w:val="center"/>
              <w:rPr>
                <w:sz w:val="22"/>
                <w:szCs w:val="22"/>
              </w:rPr>
            </w:pPr>
            <w:r>
              <w:rPr>
                <w:sz w:val="22"/>
                <w:szCs w:val="22"/>
              </w:rPr>
              <w:t>350</w:t>
            </w:r>
          </w:p>
        </w:tc>
        <w:tc>
          <w:tcPr>
            <w:tcW w:w="664" w:type="dxa"/>
            <w:shd w:val="clear" w:color="auto" w:fill="auto"/>
            <w:vAlign w:val="center"/>
          </w:tcPr>
          <w:p w14:paraId="6A5662FF" w14:textId="27045566" w:rsidR="00EE5807" w:rsidRPr="00DA432B" w:rsidRDefault="00AC41D3" w:rsidP="00882D36">
            <w:pPr>
              <w:jc w:val="center"/>
              <w:rPr>
                <w:sz w:val="22"/>
                <w:szCs w:val="22"/>
              </w:rPr>
            </w:pPr>
            <w:r>
              <w:rPr>
                <w:sz w:val="22"/>
                <w:szCs w:val="22"/>
              </w:rPr>
              <w:t>850</w:t>
            </w:r>
          </w:p>
        </w:tc>
        <w:tc>
          <w:tcPr>
            <w:tcW w:w="798" w:type="dxa"/>
            <w:shd w:val="clear" w:color="auto" w:fill="auto"/>
            <w:vAlign w:val="center"/>
          </w:tcPr>
          <w:p w14:paraId="0F20C035" w14:textId="6C4CE938" w:rsidR="00EE5807" w:rsidRPr="00DA432B" w:rsidRDefault="00AC41D3" w:rsidP="00AC41D3">
            <w:pPr>
              <w:jc w:val="center"/>
              <w:rPr>
                <w:sz w:val="22"/>
                <w:szCs w:val="22"/>
              </w:rPr>
            </w:pPr>
            <w:r>
              <w:rPr>
                <w:sz w:val="22"/>
                <w:szCs w:val="22"/>
              </w:rPr>
              <w:t>900</w:t>
            </w:r>
          </w:p>
        </w:tc>
        <w:tc>
          <w:tcPr>
            <w:tcW w:w="761" w:type="dxa"/>
            <w:shd w:val="clear" w:color="auto" w:fill="auto"/>
            <w:vAlign w:val="center"/>
          </w:tcPr>
          <w:p w14:paraId="767A767C" w14:textId="411C6BC0" w:rsidR="00EE5807" w:rsidRPr="00DA432B" w:rsidRDefault="00AC41D3" w:rsidP="00882D36">
            <w:pPr>
              <w:jc w:val="center"/>
              <w:rPr>
                <w:sz w:val="22"/>
                <w:szCs w:val="22"/>
              </w:rPr>
            </w:pPr>
            <w:r>
              <w:rPr>
                <w:sz w:val="22"/>
                <w:szCs w:val="22"/>
              </w:rPr>
              <w:t>900</w:t>
            </w:r>
          </w:p>
        </w:tc>
        <w:tc>
          <w:tcPr>
            <w:tcW w:w="681" w:type="dxa"/>
            <w:shd w:val="clear" w:color="auto" w:fill="auto"/>
            <w:vAlign w:val="center"/>
          </w:tcPr>
          <w:p w14:paraId="53206CF4" w14:textId="77777777" w:rsidR="00EE5807" w:rsidRPr="00DA432B" w:rsidRDefault="006C7620" w:rsidP="00882D36">
            <w:pPr>
              <w:jc w:val="center"/>
              <w:rPr>
                <w:sz w:val="22"/>
                <w:szCs w:val="22"/>
              </w:rPr>
            </w:pPr>
            <w:r w:rsidRPr="00DA432B">
              <w:rPr>
                <w:sz w:val="22"/>
                <w:szCs w:val="22"/>
              </w:rPr>
              <w:t>10</w:t>
            </w:r>
            <w:r w:rsidR="00EE5807" w:rsidRPr="00DA432B">
              <w:rPr>
                <w:sz w:val="22"/>
                <w:szCs w:val="22"/>
              </w:rPr>
              <w:t>50</w:t>
            </w:r>
          </w:p>
        </w:tc>
        <w:tc>
          <w:tcPr>
            <w:tcW w:w="721" w:type="dxa"/>
            <w:shd w:val="clear" w:color="auto" w:fill="auto"/>
            <w:vAlign w:val="center"/>
          </w:tcPr>
          <w:p w14:paraId="1E00BADD" w14:textId="77777777" w:rsidR="00EE5807" w:rsidRPr="00DA432B" w:rsidRDefault="006C7620" w:rsidP="00882D36">
            <w:pPr>
              <w:jc w:val="center"/>
              <w:rPr>
                <w:sz w:val="22"/>
                <w:szCs w:val="22"/>
              </w:rPr>
            </w:pPr>
            <w:r w:rsidRPr="00DA432B">
              <w:rPr>
                <w:sz w:val="22"/>
                <w:szCs w:val="22"/>
              </w:rPr>
              <w:t>10</w:t>
            </w:r>
            <w:r w:rsidR="00EE5807" w:rsidRPr="00DA432B">
              <w:rPr>
                <w:sz w:val="22"/>
                <w:szCs w:val="22"/>
              </w:rPr>
              <w:t>50</w:t>
            </w:r>
          </w:p>
        </w:tc>
        <w:tc>
          <w:tcPr>
            <w:tcW w:w="721" w:type="dxa"/>
            <w:shd w:val="clear" w:color="auto" w:fill="auto"/>
            <w:vAlign w:val="center"/>
          </w:tcPr>
          <w:p w14:paraId="1D0D6B2E" w14:textId="77777777" w:rsidR="00EE5807" w:rsidRPr="00DA432B" w:rsidRDefault="006C7620" w:rsidP="00882D36">
            <w:pPr>
              <w:jc w:val="center"/>
              <w:rPr>
                <w:sz w:val="22"/>
                <w:szCs w:val="22"/>
              </w:rPr>
            </w:pPr>
            <w:r w:rsidRPr="00DA432B">
              <w:rPr>
                <w:sz w:val="22"/>
                <w:szCs w:val="22"/>
              </w:rPr>
              <w:t>800</w:t>
            </w:r>
          </w:p>
        </w:tc>
        <w:tc>
          <w:tcPr>
            <w:tcW w:w="721" w:type="dxa"/>
            <w:shd w:val="clear" w:color="auto" w:fill="auto"/>
            <w:vAlign w:val="center"/>
          </w:tcPr>
          <w:p w14:paraId="26D594B6" w14:textId="77777777" w:rsidR="00EE5807" w:rsidRPr="00DA432B" w:rsidRDefault="006C7620" w:rsidP="00882D36">
            <w:pPr>
              <w:jc w:val="center"/>
              <w:rPr>
                <w:sz w:val="22"/>
                <w:szCs w:val="22"/>
              </w:rPr>
            </w:pPr>
            <w:r w:rsidRPr="00DA432B">
              <w:rPr>
                <w:sz w:val="22"/>
                <w:szCs w:val="22"/>
              </w:rPr>
              <w:t>600</w:t>
            </w:r>
          </w:p>
        </w:tc>
        <w:tc>
          <w:tcPr>
            <w:tcW w:w="882" w:type="dxa"/>
            <w:shd w:val="clear" w:color="auto" w:fill="auto"/>
            <w:vAlign w:val="center"/>
          </w:tcPr>
          <w:p w14:paraId="6AB6CB27" w14:textId="528E51CC" w:rsidR="00EE5807" w:rsidRPr="00DA432B" w:rsidRDefault="00BE204F" w:rsidP="00882D36">
            <w:pPr>
              <w:jc w:val="center"/>
              <w:rPr>
                <w:sz w:val="22"/>
                <w:szCs w:val="22"/>
              </w:rPr>
            </w:pPr>
            <w:r>
              <w:rPr>
                <w:sz w:val="22"/>
                <w:szCs w:val="22"/>
              </w:rPr>
              <w:t>6500</w:t>
            </w:r>
          </w:p>
        </w:tc>
      </w:tr>
      <w:tr w:rsidR="00F25B37" w:rsidRPr="00DA432B" w14:paraId="7FD56ED2" w14:textId="77777777" w:rsidTr="00A50C0B">
        <w:tc>
          <w:tcPr>
            <w:tcW w:w="2450" w:type="dxa"/>
            <w:shd w:val="clear" w:color="auto" w:fill="auto"/>
            <w:vAlign w:val="center"/>
          </w:tcPr>
          <w:p w14:paraId="6D797F6D" w14:textId="77777777" w:rsidR="00F25B37" w:rsidRPr="00DA432B" w:rsidRDefault="00F25B37" w:rsidP="00744E7C">
            <w:pPr>
              <w:rPr>
                <w:sz w:val="22"/>
                <w:szCs w:val="22"/>
              </w:rPr>
            </w:pPr>
            <w:r w:rsidRPr="00DA432B">
              <w:rPr>
                <w:sz w:val="22"/>
                <w:szCs w:val="22"/>
              </w:rPr>
              <w:t>Neveřejné zdroje</w:t>
            </w:r>
          </w:p>
        </w:tc>
        <w:tc>
          <w:tcPr>
            <w:tcW w:w="742" w:type="dxa"/>
            <w:shd w:val="clear" w:color="auto" w:fill="auto"/>
            <w:vAlign w:val="bottom"/>
          </w:tcPr>
          <w:p w14:paraId="691A6445" w14:textId="38E4D13B" w:rsidR="00F25B37" w:rsidRPr="00DA432B" w:rsidDel="0047508A" w:rsidRDefault="00AC41D3" w:rsidP="00882D36">
            <w:pPr>
              <w:jc w:val="center"/>
              <w:rPr>
                <w:sz w:val="22"/>
                <w:szCs w:val="22"/>
              </w:rPr>
            </w:pPr>
            <w:r>
              <w:rPr>
                <w:sz w:val="22"/>
                <w:szCs w:val="22"/>
              </w:rPr>
              <w:t>39</w:t>
            </w:r>
          </w:p>
        </w:tc>
        <w:tc>
          <w:tcPr>
            <w:tcW w:w="664" w:type="dxa"/>
            <w:shd w:val="clear" w:color="auto" w:fill="auto"/>
            <w:vAlign w:val="bottom"/>
          </w:tcPr>
          <w:p w14:paraId="34859132" w14:textId="3D3BA145" w:rsidR="00F25B37" w:rsidRPr="00DA432B" w:rsidDel="0047508A" w:rsidRDefault="00AC41D3" w:rsidP="00882D36">
            <w:pPr>
              <w:jc w:val="center"/>
              <w:rPr>
                <w:sz w:val="22"/>
                <w:szCs w:val="22"/>
              </w:rPr>
            </w:pPr>
            <w:r>
              <w:rPr>
                <w:sz w:val="22"/>
                <w:szCs w:val="22"/>
              </w:rPr>
              <w:t>94</w:t>
            </w:r>
          </w:p>
        </w:tc>
        <w:tc>
          <w:tcPr>
            <w:tcW w:w="798" w:type="dxa"/>
            <w:shd w:val="clear" w:color="auto" w:fill="auto"/>
            <w:vAlign w:val="bottom"/>
          </w:tcPr>
          <w:p w14:paraId="031FF4BF" w14:textId="33A6AFEE" w:rsidR="00F25B37" w:rsidRPr="00DA432B" w:rsidDel="0047508A" w:rsidRDefault="00AC41D3" w:rsidP="00882D36">
            <w:pPr>
              <w:jc w:val="center"/>
              <w:rPr>
                <w:sz w:val="22"/>
                <w:szCs w:val="22"/>
              </w:rPr>
            </w:pPr>
            <w:r>
              <w:rPr>
                <w:sz w:val="22"/>
                <w:szCs w:val="22"/>
              </w:rPr>
              <w:t>100</w:t>
            </w:r>
          </w:p>
        </w:tc>
        <w:tc>
          <w:tcPr>
            <w:tcW w:w="761" w:type="dxa"/>
            <w:shd w:val="clear" w:color="auto" w:fill="auto"/>
            <w:vAlign w:val="bottom"/>
          </w:tcPr>
          <w:p w14:paraId="7BFD0518" w14:textId="1CB80B77" w:rsidR="00F25B37" w:rsidRPr="00DA432B" w:rsidRDefault="00AC41D3" w:rsidP="00882D36">
            <w:pPr>
              <w:jc w:val="center"/>
              <w:rPr>
                <w:sz w:val="22"/>
                <w:szCs w:val="22"/>
              </w:rPr>
            </w:pPr>
            <w:r>
              <w:rPr>
                <w:sz w:val="22"/>
                <w:szCs w:val="22"/>
              </w:rPr>
              <w:t>100</w:t>
            </w:r>
          </w:p>
        </w:tc>
        <w:tc>
          <w:tcPr>
            <w:tcW w:w="681" w:type="dxa"/>
            <w:shd w:val="clear" w:color="auto" w:fill="auto"/>
            <w:vAlign w:val="bottom"/>
          </w:tcPr>
          <w:p w14:paraId="34B97563" w14:textId="77777777" w:rsidR="00F25B37" w:rsidRPr="00DA432B" w:rsidRDefault="00F25B37" w:rsidP="00882D36">
            <w:pPr>
              <w:jc w:val="center"/>
              <w:rPr>
                <w:sz w:val="22"/>
                <w:szCs w:val="22"/>
              </w:rPr>
            </w:pPr>
            <w:r w:rsidRPr="00DA432B">
              <w:rPr>
                <w:sz w:val="22"/>
                <w:szCs w:val="22"/>
              </w:rPr>
              <w:t>117</w:t>
            </w:r>
          </w:p>
        </w:tc>
        <w:tc>
          <w:tcPr>
            <w:tcW w:w="721" w:type="dxa"/>
            <w:shd w:val="clear" w:color="auto" w:fill="auto"/>
            <w:vAlign w:val="bottom"/>
          </w:tcPr>
          <w:p w14:paraId="49D937B2" w14:textId="77777777" w:rsidR="00F25B37" w:rsidRPr="00DA432B" w:rsidRDefault="00F25B37" w:rsidP="00882D36">
            <w:pPr>
              <w:jc w:val="center"/>
              <w:rPr>
                <w:sz w:val="22"/>
                <w:szCs w:val="22"/>
              </w:rPr>
            </w:pPr>
            <w:r w:rsidRPr="00DA432B">
              <w:rPr>
                <w:sz w:val="22"/>
                <w:szCs w:val="22"/>
              </w:rPr>
              <w:t>117</w:t>
            </w:r>
          </w:p>
        </w:tc>
        <w:tc>
          <w:tcPr>
            <w:tcW w:w="721" w:type="dxa"/>
            <w:shd w:val="clear" w:color="auto" w:fill="auto"/>
            <w:vAlign w:val="bottom"/>
          </w:tcPr>
          <w:p w14:paraId="2D3A949C" w14:textId="77777777" w:rsidR="00F25B37" w:rsidRPr="00DA432B" w:rsidRDefault="00F25B37" w:rsidP="00882D36">
            <w:pPr>
              <w:jc w:val="center"/>
              <w:rPr>
                <w:sz w:val="22"/>
                <w:szCs w:val="22"/>
              </w:rPr>
            </w:pPr>
            <w:r w:rsidRPr="00DA432B">
              <w:rPr>
                <w:sz w:val="22"/>
                <w:szCs w:val="22"/>
              </w:rPr>
              <w:t>89</w:t>
            </w:r>
          </w:p>
        </w:tc>
        <w:tc>
          <w:tcPr>
            <w:tcW w:w="721" w:type="dxa"/>
            <w:shd w:val="clear" w:color="auto" w:fill="auto"/>
            <w:vAlign w:val="bottom"/>
          </w:tcPr>
          <w:p w14:paraId="3B64028F" w14:textId="77777777" w:rsidR="00F25B37" w:rsidRPr="00DA432B" w:rsidRDefault="00F25B37" w:rsidP="00882D36">
            <w:pPr>
              <w:jc w:val="center"/>
              <w:rPr>
                <w:sz w:val="22"/>
                <w:szCs w:val="22"/>
              </w:rPr>
            </w:pPr>
            <w:r w:rsidRPr="00DA432B">
              <w:rPr>
                <w:sz w:val="22"/>
                <w:szCs w:val="22"/>
              </w:rPr>
              <w:t>67</w:t>
            </w:r>
          </w:p>
        </w:tc>
        <w:tc>
          <w:tcPr>
            <w:tcW w:w="882" w:type="dxa"/>
            <w:shd w:val="clear" w:color="auto" w:fill="auto"/>
            <w:vAlign w:val="bottom"/>
          </w:tcPr>
          <w:p w14:paraId="06C2F248" w14:textId="5B9C8B14" w:rsidR="00F25B37" w:rsidRPr="00DA432B" w:rsidDel="0047508A" w:rsidRDefault="00BE204F" w:rsidP="00882D36">
            <w:pPr>
              <w:jc w:val="center"/>
              <w:rPr>
                <w:sz w:val="22"/>
                <w:szCs w:val="22"/>
              </w:rPr>
            </w:pPr>
            <w:r>
              <w:rPr>
                <w:sz w:val="22"/>
                <w:szCs w:val="22"/>
              </w:rPr>
              <w:t>723</w:t>
            </w:r>
          </w:p>
        </w:tc>
      </w:tr>
    </w:tbl>
    <w:p w14:paraId="20EF7BBF" w14:textId="77777777" w:rsidR="00264EF5" w:rsidRDefault="00264EF5" w:rsidP="00250530">
      <w:pPr>
        <w:spacing w:after="60" w:line="288" w:lineRule="auto"/>
        <w:rPr>
          <w:color w:val="000000"/>
          <w:sz w:val="22"/>
          <w:szCs w:val="22"/>
          <w:shd w:val="clear" w:color="auto" w:fill="FFFFFF"/>
        </w:rPr>
      </w:pPr>
    </w:p>
    <w:p w14:paraId="440A7A67" w14:textId="25860160" w:rsidR="00002768" w:rsidRPr="000C2FD2" w:rsidRDefault="00505189" w:rsidP="00250530">
      <w:pPr>
        <w:spacing w:after="60" w:line="288" w:lineRule="auto"/>
        <w:rPr>
          <w:color w:val="000000"/>
          <w:shd w:val="clear" w:color="auto" w:fill="FFFFFF"/>
        </w:rPr>
      </w:pPr>
      <w:r w:rsidRPr="000C2FD2">
        <w:rPr>
          <w:color w:val="000000"/>
          <w:shd w:val="clear" w:color="auto" w:fill="FFFFFF"/>
        </w:rPr>
        <w:t>Pro rok</w:t>
      </w:r>
      <w:r w:rsidR="00002768" w:rsidRPr="000C2FD2">
        <w:rPr>
          <w:color w:val="000000"/>
          <w:shd w:val="clear" w:color="auto" w:fill="FFFFFF"/>
        </w:rPr>
        <w:t xml:space="preserve"> 2023 nejsou plánovány žádné další výdaje státního rozpočtu na Program.</w:t>
      </w:r>
    </w:p>
    <w:p w14:paraId="182B3ABA" w14:textId="57831C5E" w:rsidR="00CC48AF" w:rsidRPr="00443497" w:rsidRDefault="00CC48AF" w:rsidP="00CC48AF">
      <w:pPr>
        <w:pStyle w:val="Nadpis1"/>
        <w:ind w:left="360" w:hanging="360"/>
        <w:jc w:val="both"/>
        <w:rPr>
          <w:rFonts w:ascii="Times New Roman" w:hAnsi="Times New Roman" w:cs="Times New Roman"/>
        </w:rPr>
      </w:pPr>
      <w:bookmarkStart w:id="22" w:name="_Toc404886991"/>
      <w:bookmarkStart w:id="23" w:name="_Toc405894499"/>
      <w:bookmarkStart w:id="24" w:name="_Toc418585150"/>
      <w:r w:rsidRPr="00443497">
        <w:rPr>
          <w:rFonts w:ascii="Times New Roman" w:hAnsi="Times New Roman" w:cs="Times New Roman"/>
        </w:rPr>
        <w:t>8. Forma,</w:t>
      </w:r>
      <w:r w:rsidR="000346CC">
        <w:rPr>
          <w:rFonts w:ascii="Times New Roman" w:hAnsi="Times New Roman" w:cs="Times New Roman"/>
        </w:rPr>
        <w:t xml:space="preserve"> </w:t>
      </w:r>
      <w:r w:rsidR="00E52C2C">
        <w:rPr>
          <w:rFonts w:ascii="Times New Roman" w:hAnsi="Times New Roman" w:cs="Times New Roman"/>
        </w:rPr>
        <w:t>intenzita</w:t>
      </w:r>
      <w:r w:rsidR="00E52C2C" w:rsidRPr="00443497">
        <w:rPr>
          <w:rFonts w:ascii="Times New Roman" w:hAnsi="Times New Roman" w:cs="Times New Roman"/>
        </w:rPr>
        <w:t xml:space="preserve"> </w:t>
      </w:r>
      <w:r w:rsidRPr="00443497">
        <w:rPr>
          <w:rFonts w:ascii="Times New Roman" w:hAnsi="Times New Roman" w:cs="Times New Roman"/>
        </w:rPr>
        <w:t>a výše podpory</w:t>
      </w:r>
      <w:bookmarkEnd w:id="22"/>
      <w:bookmarkEnd w:id="23"/>
      <w:bookmarkEnd w:id="24"/>
    </w:p>
    <w:p w14:paraId="4D78A4F8" w14:textId="77777777" w:rsidR="00CC48AF" w:rsidRPr="00071966" w:rsidRDefault="00CC48AF" w:rsidP="00CC48AF">
      <w:pPr>
        <w:spacing w:before="60" w:after="120" w:line="276" w:lineRule="auto"/>
        <w:jc w:val="both"/>
      </w:pPr>
      <w:r w:rsidRPr="00071966">
        <w:t xml:space="preserve">Podpora bude poskytována formou dotace na </w:t>
      </w:r>
      <w:r w:rsidR="0057703E" w:rsidRPr="00071966">
        <w:t>uznané náklady</w:t>
      </w:r>
      <w:r w:rsidRPr="00071966">
        <w:t xml:space="preserve"> právnickým nebo fyzickým osobám, formou zvýšení výdajů organizačních složek státu nebo organizačních jednotek ministerstev.</w:t>
      </w:r>
    </w:p>
    <w:p w14:paraId="285DAF2A" w14:textId="5D2BBB60" w:rsidR="00CC48AF" w:rsidRPr="00443497" w:rsidRDefault="00E52C2C" w:rsidP="00CC48AF">
      <w:pPr>
        <w:spacing w:before="60" w:after="120" w:line="276" w:lineRule="auto"/>
        <w:jc w:val="both"/>
      </w:pPr>
      <w:r w:rsidRPr="00071966">
        <w:t xml:space="preserve">Intenzita </w:t>
      </w:r>
      <w:r w:rsidR="00CC48AF" w:rsidRPr="00071966">
        <w:t xml:space="preserve">podpory, stanovená jako procento </w:t>
      </w:r>
      <w:r w:rsidR="0057703E" w:rsidRPr="00071966">
        <w:t>uznaných</w:t>
      </w:r>
      <w:r w:rsidR="00CC48AF" w:rsidRPr="00071966">
        <w:t xml:space="preserve"> nákladů projektu, bude vypočtena pro každý programový projekt i pro každého příjemce a dalšího účastníka samostatně podle nařízení Komise. Nejvyšší povolená </w:t>
      </w:r>
      <w:r w:rsidRPr="00071966">
        <w:t xml:space="preserve">intenzita </w:t>
      </w:r>
      <w:r w:rsidR="00CC48AF" w:rsidRPr="00071966">
        <w:t>podpory na jeden projekt může být v souladu se zákonem č. 130/2002 Sb.</w:t>
      </w:r>
      <w:r w:rsidR="000346CC">
        <w:t xml:space="preserve"> </w:t>
      </w:r>
      <w:r w:rsidR="00CC48AF" w:rsidRPr="00071966">
        <w:t xml:space="preserve">a </w:t>
      </w:r>
      <w:r w:rsidR="00BA65FC" w:rsidRPr="00071966">
        <w:t>n</w:t>
      </w:r>
      <w:r w:rsidR="00CC48AF" w:rsidRPr="00071966">
        <w:t xml:space="preserve">ařízením </w:t>
      </w:r>
      <w:r w:rsidR="00A92EF9" w:rsidRPr="00071966">
        <w:t>K</w:t>
      </w:r>
      <w:r w:rsidR="00CC48AF" w:rsidRPr="00071966">
        <w:t>omise pro projekty</w:t>
      </w:r>
      <w:r w:rsidR="006545CB" w:rsidRPr="00071966">
        <w:t>, jichž se účastní pouze</w:t>
      </w:r>
      <w:r w:rsidR="00CC48AF" w:rsidRPr="00071966">
        <w:t xml:space="preserve"> výzkumn</w:t>
      </w:r>
      <w:r w:rsidR="006545CB" w:rsidRPr="00071966">
        <w:t>é</w:t>
      </w:r>
      <w:r w:rsidR="00CC48AF" w:rsidRPr="00071966">
        <w:t xml:space="preserve"> organizac</w:t>
      </w:r>
      <w:r w:rsidR="006545CB" w:rsidRPr="00071966">
        <w:t>e,</w:t>
      </w:r>
      <w:r w:rsidR="00CC48AF" w:rsidRPr="00071966">
        <w:t xml:space="preserve"> až 100</w:t>
      </w:r>
      <w:r w:rsidR="006012A8" w:rsidRPr="00071966">
        <w:t xml:space="preserve"> </w:t>
      </w:r>
      <w:r w:rsidR="00CC48AF" w:rsidRPr="00071966">
        <w:t xml:space="preserve">% celkových </w:t>
      </w:r>
      <w:r w:rsidR="0057703E" w:rsidRPr="00071966">
        <w:t>uznaných nákladů</w:t>
      </w:r>
      <w:r w:rsidR="00CC48AF" w:rsidRPr="00071966">
        <w:t>.</w:t>
      </w:r>
      <w:r w:rsidR="00CC48AF" w:rsidRPr="00443497">
        <w:t xml:space="preserve"> </w:t>
      </w:r>
      <w:r w:rsidR="00FE72E7" w:rsidRPr="00443497">
        <w:t>Pro projekty, jichž</w:t>
      </w:r>
      <w:r w:rsidR="00E57D4E" w:rsidRPr="00443497">
        <w:t xml:space="preserve"> </w:t>
      </w:r>
      <w:r w:rsidR="00BD05AE">
        <w:br/>
      </w:r>
      <w:r w:rsidR="006545CB" w:rsidRPr="00443497">
        <w:t>se účastní podniky</w:t>
      </w:r>
      <w:r w:rsidR="00FE72E7" w:rsidRPr="00443497">
        <w:t>,</w:t>
      </w:r>
      <w:r w:rsidR="006545CB" w:rsidRPr="00443497">
        <w:t xml:space="preserve"> budou n</w:t>
      </w:r>
      <w:r w:rsidR="00CC48AF" w:rsidRPr="00443497">
        <w:t xml:space="preserve">ejvyšší povolené </w:t>
      </w:r>
      <w:r>
        <w:t>intenzity</w:t>
      </w:r>
      <w:r w:rsidRPr="00443497">
        <w:t xml:space="preserve"> </w:t>
      </w:r>
      <w:r w:rsidR="00CC48AF" w:rsidRPr="00443497">
        <w:t>podpory pro aplikovaný výzkum</w:t>
      </w:r>
      <w:r w:rsidR="000C2EBD">
        <w:rPr>
          <w:rStyle w:val="Znakapoznpodarou"/>
        </w:rPr>
        <w:footnoteReference w:id="3"/>
      </w:r>
      <w:r w:rsidR="007E600D">
        <w:t xml:space="preserve"> </w:t>
      </w:r>
      <w:r w:rsidR="00BD05AE">
        <w:br/>
      </w:r>
      <w:r w:rsidR="00CC48AF" w:rsidRPr="00443497">
        <w:t xml:space="preserve">a jednotlivé kategorie příjemců a dalších účastníků uvedeny </w:t>
      </w:r>
      <w:r w:rsidR="00C3232B" w:rsidRPr="00443497">
        <w:t>v</w:t>
      </w:r>
      <w:r w:rsidR="00CC48AF" w:rsidRPr="00443497">
        <w:t> zadávací dokumentaci každé veřejné soutěže dle aktuálních předpisů Evropské unie.</w:t>
      </w:r>
    </w:p>
    <w:p w14:paraId="2D159568" w14:textId="71C0499C" w:rsidR="00CC48AF" w:rsidRPr="00DA432B" w:rsidRDefault="00CC48AF" w:rsidP="00CC48AF">
      <w:pPr>
        <w:spacing w:before="60" w:after="120" w:line="276" w:lineRule="auto"/>
        <w:jc w:val="both"/>
        <w:rPr>
          <w:highlight w:val="yellow"/>
        </w:rPr>
      </w:pPr>
      <w:r w:rsidRPr="00214717">
        <w:t xml:space="preserve">Maximální povolená výše podpory projektu (bez oznamovací povinnosti a podrobnějšího posouzení EK), která je </w:t>
      </w:r>
      <w:r w:rsidR="00C750DC" w:rsidRPr="00214717">
        <w:t xml:space="preserve">stanovena </w:t>
      </w:r>
      <w:r w:rsidRPr="00214717">
        <w:t xml:space="preserve">podle čl. </w:t>
      </w:r>
      <w:r w:rsidR="00214717" w:rsidRPr="00214717">
        <w:t xml:space="preserve">4 </w:t>
      </w:r>
      <w:r w:rsidRPr="00214717">
        <w:t xml:space="preserve">odst. 1 písm. </w:t>
      </w:r>
      <w:r w:rsidR="00214717" w:rsidRPr="00214717">
        <w:t>i</w:t>
      </w:r>
      <w:r w:rsidRPr="00214717">
        <w:t>) nařízení Komise</w:t>
      </w:r>
      <w:r w:rsidR="000346CC">
        <w:t xml:space="preserve"> </w:t>
      </w:r>
      <w:r w:rsidRPr="00214717">
        <w:t>nebude překročena. Výše</w:t>
      </w:r>
      <w:r w:rsidRPr="00443497">
        <w:t xml:space="preserve"> podpory bude posuzována u každého projektu individuálně. Požadovaná výše podpory musí být zdůvodněná a přiměřená cílům, době trvání projektu a předpokládaným výsledkům projektu.</w:t>
      </w:r>
    </w:p>
    <w:p w14:paraId="301184A2" w14:textId="77777777" w:rsidR="00600C8F" w:rsidRPr="00DA432B" w:rsidRDefault="00600C8F" w:rsidP="005E6FEB">
      <w:pPr>
        <w:spacing w:before="60" w:line="288" w:lineRule="auto"/>
        <w:rPr>
          <w:rFonts w:ascii="Arial" w:hAnsi="Arial" w:cs="Arial"/>
          <w:color w:val="000000"/>
          <w:sz w:val="22"/>
          <w:szCs w:val="22"/>
          <w:highlight w:val="yellow"/>
          <w:shd w:val="clear" w:color="auto" w:fill="FFFFFF"/>
        </w:rPr>
      </w:pPr>
    </w:p>
    <w:p w14:paraId="2B1A0A21" w14:textId="77777777" w:rsidR="00250530" w:rsidRPr="00F3273F" w:rsidRDefault="00CC48AF" w:rsidP="00036752">
      <w:pPr>
        <w:pStyle w:val="Nadpis1"/>
        <w:ind w:left="360" w:hanging="360"/>
        <w:jc w:val="both"/>
        <w:rPr>
          <w:rFonts w:ascii="Times New Roman" w:hAnsi="Times New Roman" w:cs="Times New Roman"/>
        </w:rPr>
      </w:pPr>
      <w:bookmarkStart w:id="25" w:name="_Toc404886992"/>
      <w:bookmarkStart w:id="26" w:name="_Toc405894500"/>
      <w:bookmarkStart w:id="27" w:name="_Toc418585151"/>
      <w:r w:rsidRPr="00F3273F">
        <w:rPr>
          <w:rFonts w:ascii="Times New Roman" w:hAnsi="Times New Roman" w:cs="Times New Roman"/>
        </w:rPr>
        <w:t>9</w:t>
      </w:r>
      <w:r w:rsidR="00250530" w:rsidRPr="00F3273F">
        <w:rPr>
          <w:rFonts w:ascii="Times New Roman" w:hAnsi="Times New Roman" w:cs="Times New Roman"/>
        </w:rPr>
        <w:t>. Příjemci podpory</w:t>
      </w:r>
      <w:bookmarkEnd w:id="25"/>
      <w:bookmarkEnd w:id="26"/>
      <w:bookmarkEnd w:id="27"/>
    </w:p>
    <w:p w14:paraId="21034E36" w14:textId="77777777" w:rsidR="00036752" w:rsidRPr="00F3273F" w:rsidRDefault="00036752" w:rsidP="00036752">
      <w:pPr>
        <w:spacing w:before="60" w:after="120" w:line="276" w:lineRule="auto"/>
        <w:jc w:val="both"/>
      </w:pPr>
      <w:r w:rsidRPr="00F3273F">
        <w:t>Uchazečem, resp. příjemcem podpory z Programu na projekt podle zákona č. 130/2002 Sb.</w:t>
      </w:r>
      <w:r w:rsidR="00E53363" w:rsidRPr="00F3273F">
        <w:t>, nařízení Komise</w:t>
      </w:r>
      <w:r w:rsidRPr="00F3273F">
        <w:t xml:space="preserve"> a Rámce, i dalším účastníkem projektu mohou být:</w:t>
      </w:r>
    </w:p>
    <w:p w14:paraId="16DC2644" w14:textId="42B5D330" w:rsidR="00744E7C" w:rsidRPr="00443497" w:rsidRDefault="007719F0" w:rsidP="00744E7C">
      <w:pPr>
        <w:numPr>
          <w:ilvl w:val="0"/>
          <w:numId w:val="20"/>
        </w:numPr>
        <w:tabs>
          <w:tab w:val="clear" w:pos="1065"/>
          <w:tab w:val="num" w:pos="720"/>
        </w:tabs>
        <w:spacing w:before="60" w:after="120" w:line="276" w:lineRule="auto"/>
        <w:ind w:left="720" w:hanging="360"/>
        <w:jc w:val="both"/>
      </w:pPr>
      <w:r>
        <w:t>Organizace pro výzkum a šíření znalostí (dále jen “v</w:t>
      </w:r>
      <w:r w:rsidR="00744E7C" w:rsidRPr="00443497">
        <w:t>ýzkumné organizace</w:t>
      </w:r>
      <w:r>
        <w:t>“)</w:t>
      </w:r>
      <w:r w:rsidR="00744E7C" w:rsidRPr="00443497">
        <w:t xml:space="preserve"> – právnické osoby, které splňují definici výzkumné organizace podle nařízení Komise</w:t>
      </w:r>
      <w:r w:rsidR="00844B83">
        <w:rPr>
          <w:rStyle w:val="Znakapoznpodarou"/>
        </w:rPr>
        <w:footnoteReference w:id="4"/>
      </w:r>
      <w:r w:rsidR="00744E7C" w:rsidRPr="00443497">
        <w:t xml:space="preserve"> </w:t>
      </w:r>
      <w:r w:rsidR="00DD0D27">
        <w:br/>
      </w:r>
      <w:r w:rsidR="00744E7C" w:rsidRPr="00443497">
        <w:t>a které řeší projekt samostatně</w:t>
      </w:r>
      <w:r w:rsidR="00B04CED" w:rsidRPr="00443497">
        <w:t>,</w:t>
      </w:r>
      <w:r w:rsidR="00744E7C" w:rsidRPr="00443497">
        <w:t xml:space="preserve"> nebo ve spolupráci s dalšími účastníky a prokáží schopnost projekt spolufinancovat z neveřejných prostředků.</w:t>
      </w:r>
    </w:p>
    <w:p w14:paraId="16B4BE78" w14:textId="77777777" w:rsidR="00036752" w:rsidRPr="00071966" w:rsidRDefault="00036752" w:rsidP="00036752">
      <w:pPr>
        <w:numPr>
          <w:ilvl w:val="0"/>
          <w:numId w:val="20"/>
        </w:numPr>
        <w:tabs>
          <w:tab w:val="clear" w:pos="1065"/>
          <w:tab w:val="num" w:pos="720"/>
        </w:tabs>
        <w:spacing w:before="60" w:after="120" w:line="276" w:lineRule="auto"/>
        <w:ind w:left="720" w:hanging="360"/>
        <w:jc w:val="both"/>
      </w:pPr>
      <w:r w:rsidRPr="00B11DC8">
        <w:t>Podniky – právnické i fyzické osoby, které podle Přílohy 1 Nařízení Komise vykonávají hospodářskou činnost a které řeší projekt samostatně</w:t>
      </w:r>
      <w:r w:rsidR="00B04CED" w:rsidRPr="00B11DC8">
        <w:t>,</w:t>
      </w:r>
      <w:r w:rsidRPr="00B11DC8">
        <w:t xml:space="preserve"> nebo ve spolupráci s dalšími účastníky a prokáží schopnost projekt spolufinancovat z neveřejných </w:t>
      </w:r>
      <w:r w:rsidRPr="00071966">
        <w:t>prostředků.</w:t>
      </w:r>
      <w:r w:rsidR="00241433">
        <w:t xml:space="preserve"> Příjemcem podpory v souladu s </w:t>
      </w:r>
      <w:r w:rsidR="00241433" w:rsidRPr="00241433">
        <w:t xml:space="preserve">čl. 1 odst. 4 písm. a) nařízení </w:t>
      </w:r>
      <w:r w:rsidR="00241433">
        <w:t>Komise nemůže být podnik</w:t>
      </w:r>
      <w:r w:rsidR="00241433" w:rsidRPr="00241433">
        <w:t>, na který byl vydán inkasní příkaz</w:t>
      </w:r>
      <w:r w:rsidR="00241433">
        <w:t>.</w:t>
      </w:r>
    </w:p>
    <w:p w14:paraId="2EFBCB2D" w14:textId="77777777" w:rsidR="00036752" w:rsidRPr="00071966" w:rsidRDefault="00036752" w:rsidP="00071966">
      <w:pPr>
        <w:spacing w:before="60" w:after="120" w:line="276" w:lineRule="auto"/>
        <w:jc w:val="both"/>
      </w:pPr>
      <w:r w:rsidRPr="00071966">
        <w:t>Posouzení, zda uchazeč či další účastník naplňuje definiční znaky výzkumné organizace podle zákona č. 130/2002 Sb.</w:t>
      </w:r>
      <w:r w:rsidR="00E53363" w:rsidRPr="00071966">
        <w:t>, nařízení Komise</w:t>
      </w:r>
      <w:r w:rsidRPr="00071966">
        <w:t xml:space="preserve"> a Rámce, bude poskytovatel provádět u každého uchazeče či dalšího účastníka individuálně při hodnocení návrhu projektu, v průběhu řešení projektu a po jeho ukončení. Kontrola splnění definice výzkumné organizace bude provedena na základě předložení dokumentů stanovených v zadávací dokumentaci veřejné soutěže</w:t>
      </w:r>
      <w:r w:rsidR="00744E7C" w:rsidRPr="00071966">
        <w:t>.</w:t>
      </w:r>
    </w:p>
    <w:p w14:paraId="0CAE3F10" w14:textId="77777777" w:rsidR="00036752" w:rsidRPr="00071966" w:rsidRDefault="00036752" w:rsidP="005E6FEB">
      <w:pPr>
        <w:spacing w:before="60" w:line="276" w:lineRule="auto"/>
        <w:jc w:val="both"/>
      </w:pPr>
    </w:p>
    <w:p w14:paraId="13B607C1" w14:textId="77777777" w:rsidR="00250530" w:rsidRPr="00F3273F" w:rsidRDefault="00CC48AF" w:rsidP="00036752">
      <w:pPr>
        <w:pStyle w:val="Nadpis1"/>
        <w:ind w:left="360" w:hanging="360"/>
        <w:jc w:val="both"/>
        <w:rPr>
          <w:rFonts w:ascii="Times New Roman" w:hAnsi="Times New Roman" w:cs="Times New Roman"/>
        </w:rPr>
      </w:pPr>
      <w:bookmarkStart w:id="28" w:name="_Toc404886993"/>
      <w:bookmarkStart w:id="29" w:name="_Toc405894501"/>
      <w:bookmarkStart w:id="30" w:name="_Toc418585152"/>
      <w:r w:rsidRPr="00F3273F">
        <w:rPr>
          <w:rFonts w:ascii="Times New Roman" w:hAnsi="Times New Roman" w:cs="Times New Roman"/>
        </w:rPr>
        <w:t>10</w:t>
      </w:r>
      <w:r w:rsidR="00250530" w:rsidRPr="00F3273F">
        <w:rPr>
          <w:rFonts w:ascii="Times New Roman" w:hAnsi="Times New Roman" w:cs="Times New Roman"/>
        </w:rPr>
        <w:t>. Způsobilost uchazečů o podporu</w:t>
      </w:r>
      <w:bookmarkEnd w:id="28"/>
      <w:bookmarkEnd w:id="29"/>
      <w:bookmarkEnd w:id="30"/>
    </w:p>
    <w:p w14:paraId="495440C4" w14:textId="77777777" w:rsidR="00250530" w:rsidRDefault="00250530" w:rsidP="00036752">
      <w:pPr>
        <w:spacing w:before="60" w:after="120" w:line="276" w:lineRule="auto"/>
        <w:jc w:val="both"/>
      </w:pPr>
      <w:r w:rsidRPr="00F3273F">
        <w:t>Podporu projektu v tomto Programu mohou obdržet pouze ti uchazeči, kteří splňují podmínky způsobilosti dané § 18 zákona č. 130/2002 Sb. Uchází-li se o řešení jednoho projektu společně více uchazečů, vztahuje se povinnost prokázat svoji způsobilost na všechny tyto uchazeče. Způsobilost prokazuje uchazeč doklady dle zákona č. 130/2002 Sb. způsobem stanoveným poskytovatelem v zadávací dokumentaci.</w:t>
      </w:r>
    </w:p>
    <w:p w14:paraId="476EE812" w14:textId="77777777" w:rsidR="00250530" w:rsidRPr="00F3273F" w:rsidRDefault="00250530" w:rsidP="00036752">
      <w:pPr>
        <w:spacing w:before="60" w:after="120" w:line="276" w:lineRule="auto"/>
        <w:jc w:val="both"/>
      </w:pPr>
      <w:r w:rsidRPr="00F3273F">
        <w:t>Splnění podmínky způsobilosti bude vyhodnoceno komisí pro přijímání návrhů projektů před hodnocením návrhů projektů. Nesplnění některé z podmínek způso</w:t>
      </w:r>
      <w:r w:rsidR="000C7B74" w:rsidRPr="00F3273F">
        <w:t>bilosti je důvodem pro </w:t>
      </w:r>
      <w:r w:rsidRPr="00F3273F">
        <w:t>nezařazení návrhu projektu do veřejné soutěže.</w:t>
      </w:r>
    </w:p>
    <w:p w14:paraId="04C9C492" w14:textId="77777777" w:rsidR="00250530" w:rsidRPr="00DA432B" w:rsidRDefault="00250530" w:rsidP="005E6FEB">
      <w:pPr>
        <w:spacing w:before="60" w:line="276" w:lineRule="auto"/>
        <w:jc w:val="both"/>
        <w:rPr>
          <w:highlight w:val="yellow"/>
        </w:rPr>
      </w:pPr>
    </w:p>
    <w:p w14:paraId="4B86DA33" w14:textId="77777777" w:rsidR="00036752" w:rsidRPr="0060210D" w:rsidRDefault="00036752" w:rsidP="00036752">
      <w:pPr>
        <w:pStyle w:val="Nadpis1"/>
        <w:ind w:left="360" w:hanging="360"/>
        <w:jc w:val="both"/>
        <w:rPr>
          <w:rFonts w:ascii="Times New Roman" w:hAnsi="Times New Roman" w:cs="Times New Roman"/>
        </w:rPr>
      </w:pPr>
      <w:bookmarkStart w:id="31" w:name="_Toc404886994"/>
      <w:bookmarkStart w:id="32" w:name="_Toc405894502"/>
      <w:bookmarkStart w:id="33" w:name="_Toc418585153"/>
      <w:r w:rsidRPr="0060210D">
        <w:rPr>
          <w:rFonts w:ascii="Times New Roman" w:hAnsi="Times New Roman" w:cs="Times New Roman"/>
        </w:rPr>
        <w:t>11. Spolupráce mezi podniky a výzkumnými organizacemi</w:t>
      </w:r>
      <w:bookmarkEnd w:id="31"/>
      <w:bookmarkEnd w:id="32"/>
      <w:bookmarkEnd w:id="33"/>
    </w:p>
    <w:p w14:paraId="0F6DA31B" w14:textId="27F5B124" w:rsidR="004A1E88" w:rsidRPr="0060210D" w:rsidRDefault="004A1E88" w:rsidP="004A1E88">
      <w:pPr>
        <w:spacing w:before="60" w:after="120" w:line="276" w:lineRule="auto"/>
        <w:jc w:val="both"/>
      </w:pPr>
      <w:r w:rsidRPr="0060210D">
        <w:t>Za účinnou spolupráci n</w:t>
      </w:r>
      <w:r w:rsidR="00C5480B" w:rsidRPr="0060210D">
        <w:t xml:space="preserve">a projektu mezi podnikem </w:t>
      </w:r>
      <w:r w:rsidRPr="0060210D">
        <w:t>a výzkumnou organizací se v souladu s</w:t>
      </w:r>
      <w:r w:rsidR="00E53363" w:rsidRPr="0060210D">
        <w:t xml:space="preserve"> nařízením Komise </w:t>
      </w:r>
      <w:r w:rsidR="00754621" w:rsidRPr="0060210D">
        <w:t xml:space="preserve">rozumí jejich společný podíl na návrhu projektu, jejich (společný) příspěvek k realizaci projektu a (společné) sdílení rizik a výsledků projektu. </w:t>
      </w:r>
      <w:r w:rsidR="00FF316D">
        <w:t xml:space="preserve">Splnění podmínek uvedených v čl. 25 odst. </w:t>
      </w:r>
      <w:r w:rsidR="00FF316D" w:rsidRPr="00FF316D">
        <w:t xml:space="preserve">6 </w:t>
      </w:r>
      <w:r w:rsidR="00DD47ED">
        <w:t>n</w:t>
      </w:r>
      <w:r w:rsidR="00FF316D" w:rsidRPr="00FF316D">
        <w:t xml:space="preserve">ařízení Komise </w:t>
      </w:r>
      <w:r w:rsidR="00754621" w:rsidRPr="00FF316D">
        <w:t xml:space="preserve">(tedy požadovaný minimální podíl výzkumné organizace na způsobilých nákladech a právo výzkumné organizace zveřejnit výsledky výzkumného projektu) umožňuje poskytovateli poskytnout podniku příplatek </w:t>
      </w:r>
      <w:r w:rsidR="0057270E">
        <w:br/>
      </w:r>
      <w:r w:rsidR="00754621" w:rsidRPr="00FF316D">
        <w:t>za účinnou spolupráci s výzkumnou organizací.</w:t>
      </w:r>
      <w:r w:rsidR="001C30A7" w:rsidRPr="00FF316D">
        <w:t xml:space="preserve"> </w:t>
      </w:r>
      <w:r w:rsidRPr="00FF316D">
        <w:t>Podkladem pro zhodnocení, zda návrh projektu zahrnuje účinnou spolupráci mezi podnikem a výzkumnou organiz</w:t>
      </w:r>
      <w:r w:rsidRPr="0060210D">
        <w:t xml:space="preserve">ací, bude návrh smlouvy o spolupráci mezi uchazečem (příjemcem) a navrhovanými dalšími účastníky, </w:t>
      </w:r>
      <w:r w:rsidR="0057270E">
        <w:br/>
      </w:r>
      <w:r w:rsidRPr="0060210D">
        <w:t>ze kterého bude splnění výše uvedených podmínek účinné spolupráce patrné. Toto zhodnocení bude provedeno při hodnocení návrhů projektů.</w:t>
      </w:r>
    </w:p>
    <w:p w14:paraId="7C170EB5" w14:textId="77777777" w:rsidR="00036752" w:rsidRPr="00DA432B" w:rsidRDefault="00036752" w:rsidP="005E6FEB">
      <w:pPr>
        <w:spacing w:before="60" w:line="276" w:lineRule="auto"/>
        <w:jc w:val="both"/>
        <w:rPr>
          <w:highlight w:val="yellow"/>
        </w:rPr>
      </w:pPr>
    </w:p>
    <w:p w14:paraId="1B9C3609" w14:textId="77777777" w:rsidR="00250530" w:rsidRPr="00F26EE6" w:rsidRDefault="00036752" w:rsidP="006E5DDC">
      <w:pPr>
        <w:pStyle w:val="Nadpis1"/>
        <w:ind w:left="360" w:hanging="360"/>
        <w:jc w:val="both"/>
        <w:rPr>
          <w:rFonts w:ascii="Times New Roman" w:hAnsi="Times New Roman" w:cs="Times New Roman"/>
        </w:rPr>
      </w:pPr>
      <w:bookmarkStart w:id="34" w:name="_Toc404886995"/>
      <w:bookmarkStart w:id="35" w:name="_Toc405894503"/>
      <w:bookmarkStart w:id="36" w:name="_Toc418585154"/>
      <w:r w:rsidRPr="00F26EE6">
        <w:rPr>
          <w:rFonts w:ascii="Times New Roman" w:hAnsi="Times New Roman" w:cs="Times New Roman"/>
        </w:rPr>
        <w:t>12</w:t>
      </w:r>
      <w:r w:rsidR="00250530" w:rsidRPr="00F26EE6">
        <w:rPr>
          <w:rFonts w:ascii="Times New Roman" w:hAnsi="Times New Roman" w:cs="Times New Roman"/>
        </w:rPr>
        <w:t xml:space="preserve">. </w:t>
      </w:r>
      <w:r w:rsidR="001B21A0">
        <w:rPr>
          <w:rFonts w:ascii="Times New Roman" w:hAnsi="Times New Roman" w:cs="Times New Roman"/>
        </w:rPr>
        <w:t>Způsobilé</w:t>
      </w:r>
      <w:r w:rsidR="001B21A0" w:rsidRPr="00F26EE6">
        <w:rPr>
          <w:rFonts w:ascii="Times New Roman" w:hAnsi="Times New Roman" w:cs="Times New Roman"/>
        </w:rPr>
        <w:t xml:space="preserve"> </w:t>
      </w:r>
      <w:r w:rsidR="001B21A0">
        <w:rPr>
          <w:rFonts w:ascii="Times New Roman" w:hAnsi="Times New Roman" w:cs="Times New Roman"/>
        </w:rPr>
        <w:t>a u</w:t>
      </w:r>
      <w:r w:rsidR="00250530" w:rsidRPr="00F26EE6">
        <w:rPr>
          <w:rFonts w:ascii="Times New Roman" w:hAnsi="Times New Roman" w:cs="Times New Roman"/>
        </w:rPr>
        <w:t>znané náklady Programu</w:t>
      </w:r>
      <w:bookmarkEnd w:id="34"/>
      <w:bookmarkEnd w:id="35"/>
      <w:bookmarkEnd w:id="36"/>
    </w:p>
    <w:p w14:paraId="52D1A98C" w14:textId="7D8F4705" w:rsidR="00250530" w:rsidRPr="00D71904" w:rsidRDefault="00250530" w:rsidP="006E5DDC">
      <w:pPr>
        <w:spacing w:before="60" w:after="120" w:line="276" w:lineRule="auto"/>
        <w:jc w:val="both"/>
      </w:pPr>
      <w:r w:rsidRPr="00D71904">
        <w:t>Podpora bude poskytována na uznané náklady projektu vymezené v souladu se zákonem č. 130/2002 Sb.</w:t>
      </w:r>
      <w:r w:rsidR="00C03837" w:rsidRPr="00D71904">
        <w:t xml:space="preserve"> a nařízením Komise</w:t>
      </w:r>
      <w:r w:rsidR="009A07FB" w:rsidRPr="00D71904">
        <w:t xml:space="preserve"> (čl. </w:t>
      </w:r>
      <w:r w:rsidR="00F26EE6" w:rsidRPr="00D71904">
        <w:t>25</w:t>
      </w:r>
      <w:r w:rsidR="00111A85" w:rsidRPr="00D71904">
        <w:t xml:space="preserve"> </w:t>
      </w:r>
      <w:r w:rsidR="009A07FB" w:rsidRPr="00D71904">
        <w:t>odst.</w:t>
      </w:r>
      <w:r w:rsidR="0057703E" w:rsidRPr="00D71904">
        <w:t xml:space="preserve"> </w:t>
      </w:r>
      <w:r w:rsidR="00C22013" w:rsidRPr="00D71904">
        <w:t>3</w:t>
      </w:r>
      <w:r w:rsidR="0057703E" w:rsidRPr="00D71904">
        <w:t>).</w:t>
      </w:r>
      <w:r w:rsidRPr="00D71904">
        <w:t xml:space="preserve"> </w:t>
      </w:r>
      <w:r w:rsidR="001B21A0" w:rsidRPr="00D71904">
        <w:t xml:space="preserve">Uznanými </w:t>
      </w:r>
      <w:r w:rsidRPr="00D71904">
        <w:t>náklady jsou</w:t>
      </w:r>
      <w:r w:rsidR="00D71904">
        <w:t xml:space="preserve"> </w:t>
      </w:r>
      <w:r w:rsidR="001911BF" w:rsidRPr="00D71904">
        <w:t>takové způsobilé náklady</w:t>
      </w:r>
      <w:r w:rsidR="001911BF" w:rsidRPr="00D71904">
        <w:rPr>
          <w:b/>
        </w:rPr>
        <w:t>,</w:t>
      </w:r>
      <w:r w:rsidR="001911BF" w:rsidRPr="00D71904">
        <w:rPr>
          <w:b/>
          <w:color w:val="0000FF"/>
        </w:rPr>
        <w:t xml:space="preserve"> </w:t>
      </w:r>
      <w:r w:rsidR="001911BF" w:rsidRPr="00D71904">
        <w:t>které poskytovatel schválí</w:t>
      </w:r>
      <w:r w:rsidR="001B21A0" w:rsidRPr="00D71904">
        <w:t>,</w:t>
      </w:r>
      <w:r w:rsidR="001911BF" w:rsidRPr="00D71904">
        <w:t xml:space="preserve"> jsou</w:t>
      </w:r>
      <w:r w:rsidR="001B21A0" w:rsidRPr="00D71904">
        <w:t xml:space="preserve"> </w:t>
      </w:r>
      <w:r w:rsidRPr="00D71904">
        <w:t>zdůvodněné, účetně prokazatelné a z návrhu projektu musí vyplývat jejich nezbytnost pro řešení projektu. Uznané náklady musí být přiměřené (musí odpovídat cenám v čase a místě obvyklým) a musí být vynaloženy v souladu s principy hospodárnosti, účelnosti a efektivnosti.</w:t>
      </w:r>
    </w:p>
    <w:p w14:paraId="50623521" w14:textId="3E78A0C3" w:rsidR="00250530" w:rsidRPr="00F26EE6" w:rsidRDefault="007D6F66" w:rsidP="006E5DDC">
      <w:pPr>
        <w:spacing w:before="60" w:after="120" w:line="276" w:lineRule="auto"/>
        <w:jc w:val="both"/>
      </w:pPr>
      <w:r>
        <w:t>Způsobilými</w:t>
      </w:r>
      <w:r w:rsidRPr="00F26EE6">
        <w:t xml:space="preserve"> </w:t>
      </w:r>
      <w:r w:rsidR="00250530" w:rsidRPr="00F26EE6">
        <w:t>náklady projektu Programu jsou:</w:t>
      </w:r>
    </w:p>
    <w:p w14:paraId="1E59514E" w14:textId="77777777" w:rsidR="002A74FC" w:rsidRDefault="00F0028C" w:rsidP="00E55792">
      <w:pPr>
        <w:spacing w:before="60" w:line="276" w:lineRule="auto"/>
        <w:ind w:left="720" w:hanging="360"/>
        <w:jc w:val="both"/>
      </w:pPr>
      <w:r w:rsidRPr="002A74FC">
        <w:t>a)</w:t>
      </w:r>
      <w:r w:rsidR="002A74FC">
        <w:tab/>
      </w:r>
      <w:r w:rsidRPr="002A74FC">
        <w:t>osobní náklady: výzkumní pracovníci, technici a ostatní podpůrný personál v rozsahu nezbytném pro účely</w:t>
      </w:r>
      <w:r>
        <w:rPr>
          <w:sz w:val="19"/>
          <w:szCs w:val="19"/>
        </w:rPr>
        <w:t xml:space="preserve"> </w:t>
      </w:r>
      <w:r w:rsidR="002A74FC">
        <w:t>projektu,</w:t>
      </w:r>
    </w:p>
    <w:p w14:paraId="6390F1C7" w14:textId="77777777" w:rsidR="00250530" w:rsidRDefault="00F0028C" w:rsidP="00E55792">
      <w:pPr>
        <w:spacing w:before="60" w:line="276" w:lineRule="auto"/>
        <w:ind w:left="720" w:hanging="360"/>
        <w:jc w:val="both"/>
      </w:pPr>
      <w:r w:rsidRPr="002A74FC">
        <w:t>b)</w:t>
      </w:r>
      <w:r w:rsidR="002A74FC">
        <w:tab/>
      </w:r>
      <w:r w:rsidRPr="002A74FC">
        <w:t>náklady na nástroje a vybavení v rozsahu a po dobu, kdy jsou využívány pro účely projektu. Jestliže nejsou tyto nástroje a vybavení používány v rámci projektu po celou dobu své životnosti, jsou za způsobilé náklady považovány pouze odpisy za dobu trvání projektu vypočítané na základě všeobecně uznávaných účetních zásad</w:t>
      </w:r>
      <w:r w:rsidR="002A74FC">
        <w:t>,</w:t>
      </w:r>
    </w:p>
    <w:p w14:paraId="4A985455" w14:textId="77777777" w:rsidR="00E55792" w:rsidRPr="00E55792" w:rsidRDefault="00E55792" w:rsidP="00E55792">
      <w:pPr>
        <w:spacing w:before="60" w:line="276" w:lineRule="auto"/>
        <w:ind w:left="720" w:hanging="360"/>
        <w:jc w:val="both"/>
      </w:pPr>
      <w:r w:rsidRPr="00E55792">
        <w:t>c)</w:t>
      </w:r>
      <w:r w:rsidRPr="00E55792">
        <w:tab/>
        <w:t>náklady na budovy a pozemky v rozsahu a po dobu, kdy jsou využívány pro účely projektu. U budov jsou způsobilými náklady pouze odpisy za dobu trvání projektu vypočítané na základě všeobecně uznávaných účetních zásad. V případě pozemků se za způsobilé náklady považují náklady na obchodní převod nebo skutečně vzniklé náklady na kapitál,</w:t>
      </w:r>
    </w:p>
    <w:p w14:paraId="50E81014" w14:textId="65D80CAA" w:rsidR="00E55792" w:rsidRPr="00E55792" w:rsidRDefault="00E55792" w:rsidP="00E55792">
      <w:pPr>
        <w:spacing w:before="60" w:line="276" w:lineRule="auto"/>
        <w:ind w:left="720" w:hanging="360"/>
        <w:jc w:val="both"/>
      </w:pPr>
      <w:r w:rsidRPr="00E55792">
        <w:t>d)</w:t>
      </w:r>
      <w:r w:rsidRPr="00E55792">
        <w:tab/>
        <w:t xml:space="preserve">náklady na smluvní výzkum, poznatky a patenty zakoupené nebo pořízené v rámci licence z vnějších zdrojů za obvyklých tržních podmínek a rovněž náklady </w:t>
      </w:r>
      <w:r w:rsidR="000D53D2">
        <w:br/>
      </w:r>
      <w:r w:rsidRPr="00E55792">
        <w:t>na poradenské a rovnocenné služby využité výlučně pro účely projektu,</w:t>
      </w:r>
    </w:p>
    <w:p w14:paraId="71BDA8E1" w14:textId="2C6AC82D" w:rsidR="00E55792" w:rsidRDefault="00E55792" w:rsidP="00E55792">
      <w:pPr>
        <w:spacing w:before="60" w:line="276" w:lineRule="auto"/>
        <w:ind w:left="720" w:hanging="360"/>
        <w:jc w:val="both"/>
      </w:pPr>
      <w:r w:rsidRPr="00E55792">
        <w:t>e)</w:t>
      </w:r>
      <w:r w:rsidRPr="00E55792">
        <w:tab/>
        <w:t xml:space="preserve">dodatečné režijní a ostatní provozní náklady včetně nákladů na materiál, dodávky </w:t>
      </w:r>
      <w:r w:rsidR="000D53D2">
        <w:br/>
      </w:r>
      <w:r w:rsidRPr="00E55792">
        <w:t>a podobné výrobky, které vznikly bezprostředně v důsledku projektu.</w:t>
      </w:r>
    </w:p>
    <w:p w14:paraId="10E9047B" w14:textId="77777777" w:rsidR="00F0028C" w:rsidRPr="00DA432B" w:rsidRDefault="00F0028C" w:rsidP="005E6FEB">
      <w:pPr>
        <w:spacing w:before="60" w:line="276" w:lineRule="auto"/>
        <w:jc w:val="both"/>
        <w:rPr>
          <w:highlight w:val="yellow"/>
        </w:rPr>
      </w:pPr>
    </w:p>
    <w:p w14:paraId="565D9064" w14:textId="77777777" w:rsidR="00250530" w:rsidRPr="00DA432B" w:rsidRDefault="00036752" w:rsidP="000A2AB6">
      <w:pPr>
        <w:pStyle w:val="Nadpis1"/>
        <w:ind w:left="360" w:hanging="360"/>
        <w:jc w:val="both"/>
        <w:rPr>
          <w:rFonts w:ascii="Times New Roman" w:hAnsi="Times New Roman" w:cs="Times New Roman"/>
        </w:rPr>
      </w:pPr>
      <w:bookmarkStart w:id="37" w:name="_Toc404886996"/>
      <w:bookmarkStart w:id="38" w:name="_Toc405894504"/>
      <w:bookmarkStart w:id="39" w:name="_Toc418585155"/>
      <w:r w:rsidRPr="00DA432B">
        <w:rPr>
          <w:rFonts w:ascii="Times New Roman" w:hAnsi="Times New Roman" w:cs="Times New Roman"/>
        </w:rPr>
        <w:t>13</w:t>
      </w:r>
      <w:r w:rsidR="00250530" w:rsidRPr="00DA432B">
        <w:rPr>
          <w:rFonts w:ascii="Times New Roman" w:hAnsi="Times New Roman" w:cs="Times New Roman"/>
        </w:rPr>
        <w:t>. Zaměření Programu</w:t>
      </w:r>
      <w:bookmarkEnd w:id="37"/>
      <w:bookmarkEnd w:id="38"/>
      <w:bookmarkEnd w:id="39"/>
    </w:p>
    <w:p w14:paraId="5E791E86" w14:textId="77777777" w:rsidR="00250530" w:rsidRPr="00DA432B" w:rsidRDefault="000A2AB6" w:rsidP="000A2AB6">
      <w:pPr>
        <w:spacing w:before="60" w:after="120" w:line="276" w:lineRule="auto"/>
        <w:jc w:val="both"/>
      </w:pPr>
      <w:r w:rsidRPr="00DA432B">
        <w:t>Rozhodujícím předpokladem ekonomicky, sociálně i lidsky úspěšné společnosti je zdravá populace. Základním aspektem „zdraví“ je dynamika změn a procesů, ta však má obvykle značnou setrvačnost. Tím vznikají mnohé diskrepance, nejvýraznější jsou mezi rozvojem lékařské vědy a ekonomickými možnostmi země. V oblasti me</w:t>
      </w:r>
      <w:r w:rsidR="000C7B74" w:rsidRPr="00DA432B">
        <w:t>dicíny je třeba se zaměřit na </w:t>
      </w:r>
      <w:r w:rsidRPr="00DA432B">
        <w:t>nejčastější a nejnebezpečnější oblasti: chronická nei</w:t>
      </w:r>
      <w:r w:rsidR="00C5480B" w:rsidRPr="00DA432B">
        <w:t>nfekční onemocnění jako kardio-</w:t>
      </w:r>
      <w:r w:rsidR="000C7B74" w:rsidRPr="00DA432B">
        <w:t xml:space="preserve"> a </w:t>
      </w:r>
      <w:r w:rsidRPr="00DA432B">
        <w:t>cerebrovaskulární onemocnění, onkologie, deme</w:t>
      </w:r>
      <w:r w:rsidR="00C5480B" w:rsidRPr="00DA432B">
        <w:t xml:space="preserve">nce a jiná psychická onemocnění </w:t>
      </w:r>
      <w:r w:rsidR="000C7B74" w:rsidRPr="00DA432B">
        <w:t>či </w:t>
      </w:r>
      <w:r w:rsidRPr="00DA432B">
        <w:t xml:space="preserve">chronická onemocnění pohybového aparátu atd. Pozornost je třeba věnovat i zevním vlivům prostředí, které procházejí výraznými změnami. Důležité je podporovat vznik a rozvoj nových léčebných technologií (genetika, nanotechnologie). Dále je třeba sledovat nová infekční onemocnění a stále více přítomné rezistence nových agens. Je proto mj. nutné podpořit též význam virologie. Velkou výzvou bude boj s chronickými neinfekčními civilizačními onemocněními, způsobenými z valné části </w:t>
      </w:r>
      <w:r w:rsidR="00D7534F" w:rsidRPr="00DA432B">
        <w:t xml:space="preserve">nezdravým </w:t>
      </w:r>
      <w:r w:rsidRPr="00DA432B">
        <w:t>chování</w:t>
      </w:r>
      <w:r w:rsidR="00D7534F" w:rsidRPr="00DA432B">
        <w:t>m</w:t>
      </w:r>
      <w:r w:rsidRPr="00DA432B">
        <w:t xml:space="preserve"> širokých vrstev populace. Posláním zdravotnictví je adaptovat se na proměny</w:t>
      </w:r>
      <w:r w:rsidR="00C5480B" w:rsidRPr="00DA432B">
        <w:t xml:space="preserve"> prostředí, znalostí</w:t>
      </w:r>
      <w:r w:rsidR="000C7B74" w:rsidRPr="00DA432B">
        <w:t> i </w:t>
      </w:r>
      <w:r w:rsidRPr="00DA432B">
        <w:t>společnosti tak, aby byl všem občanům zaručen přístup k</w:t>
      </w:r>
      <w:r w:rsidR="00C5480B" w:rsidRPr="00DA432B">
        <w:t> </w:t>
      </w:r>
      <w:r w:rsidRPr="00DA432B">
        <w:t>podpoře</w:t>
      </w:r>
      <w:r w:rsidR="000C7B74" w:rsidRPr="00DA432B">
        <w:t xml:space="preserve"> a </w:t>
      </w:r>
      <w:r w:rsidR="00C5480B" w:rsidRPr="00DA432B">
        <w:t xml:space="preserve">ochraně jejich zdraví, aby </w:t>
      </w:r>
      <w:r w:rsidRPr="00DA432B">
        <w:t xml:space="preserve">byla posilována motivace ke zdravému životnímu stylu a aby byla důsledně uplatňována pravidla účinné prevence nemocí. </w:t>
      </w:r>
    </w:p>
    <w:p w14:paraId="6794DE7B" w14:textId="77777777" w:rsidR="00250530" w:rsidRPr="00DA432B" w:rsidRDefault="00250530" w:rsidP="005E6FEB">
      <w:pPr>
        <w:spacing w:before="60" w:line="276" w:lineRule="auto"/>
        <w:jc w:val="both"/>
        <w:rPr>
          <w:highlight w:val="yellow"/>
        </w:rPr>
      </w:pPr>
    </w:p>
    <w:p w14:paraId="552812C9" w14:textId="77777777" w:rsidR="00DC50F5" w:rsidRPr="00DA432B" w:rsidRDefault="00DC50F5" w:rsidP="00DC50F5">
      <w:pPr>
        <w:pStyle w:val="Nadpis1"/>
        <w:ind w:left="360" w:hanging="360"/>
        <w:jc w:val="both"/>
        <w:rPr>
          <w:rFonts w:ascii="Times New Roman" w:hAnsi="Times New Roman" w:cs="Times New Roman"/>
        </w:rPr>
      </w:pPr>
      <w:bookmarkStart w:id="40" w:name="_Toc404886997"/>
      <w:bookmarkStart w:id="41" w:name="_Toc405894505"/>
      <w:bookmarkStart w:id="42" w:name="_Toc418585156"/>
      <w:r w:rsidRPr="00DA432B">
        <w:rPr>
          <w:rFonts w:ascii="Times New Roman" w:hAnsi="Times New Roman" w:cs="Times New Roman"/>
        </w:rPr>
        <w:t>14. Soulad Programu s Prioritami VaVaI</w:t>
      </w:r>
      <w:bookmarkEnd w:id="40"/>
      <w:bookmarkEnd w:id="41"/>
      <w:bookmarkEnd w:id="42"/>
    </w:p>
    <w:p w14:paraId="7D659DC1" w14:textId="77777777" w:rsidR="00DC50F5" w:rsidRPr="00DA432B" w:rsidRDefault="00DC50F5" w:rsidP="00DC50F5">
      <w:pPr>
        <w:pStyle w:val="Textkomente"/>
        <w:spacing w:before="60" w:line="288" w:lineRule="auto"/>
        <w:jc w:val="both"/>
        <w:rPr>
          <w:sz w:val="24"/>
          <w:szCs w:val="24"/>
        </w:rPr>
      </w:pPr>
      <w:r w:rsidRPr="00DA432B">
        <w:rPr>
          <w:sz w:val="24"/>
          <w:szCs w:val="24"/>
        </w:rPr>
        <w:t>Zaměření Programu, jeho hlavní cíl i jeho členění je plně v souladu</w:t>
      </w:r>
      <w:r w:rsidR="000C7B74" w:rsidRPr="00DA432B">
        <w:rPr>
          <w:sz w:val="24"/>
          <w:szCs w:val="24"/>
        </w:rPr>
        <w:t> </w:t>
      </w:r>
      <w:r w:rsidRPr="00DA432B">
        <w:rPr>
          <w:sz w:val="24"/>
          <w:szCs w:val="24"/>
        </w:rPr>
        <w:t xml:space="preserve">s Prioritami </w:t>
      </w:r>
      <w:r w:rsidR="000C7B74" w:rsidRPr="00DA432B">
        <w:rPr>
          <w:sz w:val="24"/>
          <w:szCs w:val="24"/>
        </w:rPr>
        <w:t>VaVaI, konkrétně s prioritou č. </w:t>
      </w:r>
      <w:r w:rsidRPr="00DA432B">
        <w:rPr>
          <w:sz w:val="24"/>
          <w:szCs w:val="24"/>
        </w:rPr>
        <w:t>5: Zdravá populace. Priorita č. 5: Zdravá populace je čle</w:t>
      </w:r>
      <w:r w:rsidR="0083392C" w:rsidRPr="00DA432B">
        <w:rPr>
          <w:sz w:val="24"/>
          <w:szCs w:val="24"/>
        </w:rPr>
        <w:t xml:space="preserve">něna </w:t>
      </w:r>
      <w:r w:rsidR="00211979" w:rsidRPr="00DA432B">
        <w:rPr>
          <w:sz w:val="24"/>
          <w:szCs w:val="24"/>
        </w:rPr>
        <w:br/>
      </w:r>
      <w:r w:rsidR="0083392C" w:rsidRPr="00DA432B">
        <w:rPr>
          <w:sz w:val="24"/>
          <w:szCs w:val="24"/>
        </w:rPr>
        <w:t>na tři </w:t>
      </w:r>
      <w:r w:rsidR="000C7B74" w:rsidRPr="00DA432B">
        <w:rPr>
          <w:sz w:val="24"/>
          <w:szCs w:val="24"/>
        </w:rPr>
        <w:t>oblasti (1. Vznik a </w:t>
      </w:r>
      <w:r w:rsidRPr="00DA432B">
        <w:rPr>
          <w:sz w:val="24"/>
          <w:szCs w:val="24"/>
        </w:rPr>
        <w:t>rozvoj chorob; 2. Nové diag</w:t>
      </w:r>
      <w:r w:rsidR="003C40B5" w:rsidRPr="00DA432B">
        <w:rPr>
          <w:sz w:val="24"/>
          <w:szCs w:val="24"/>
        </w:rPr>
        <w:t>nostické a terapeutické metody;</w:t>
      </w:r>
      <w:r w:rsidR="000C7B74" w:rsidRPr="00DA432B">
        <w:rPr>
          <w:sz w:val="24"/>
          <w:szCs w:val="24"/>
        </w:rPr>
        <w:t xml:space="preserve"> </w:t>
      </w:r>
      <w:r w:rsidR="0083392C" w:rsidRPr="00DA432B">
        <w:rPr>
          <w:sz w:val="24"/>
          <w:szCs w:val="24"/>
        </w:rPr>
        <w:t>3. </w:t>
      </w:r>
      <w:r w:rsidR="000C7B74" w:rsidRPr="00DA432B">
        <w:rPr>
          <w:sz w:val="24"/>
          <w:szCs w:val="24"/>
        </w:rPr>
        <w:t>Epidemiologie a </w:t>
      </w:r>
      <w:r w:rsidRPr="00DA432B">
        <w:rPr>
          <w:sz w:val="24"/>
          <w:szCs w:val="24"/>
        </w:rPr>
        <w:t xml:space="preserve">prevence nejzávažnějších chorob), které se </w:t>
      </w:r>
      <w:r w:rsidR="0083392C" w:rsidRPr="00DA432B">
        <w:rPr>
          <w:sz w:val="24"/>
          <w:szCs w:val="24"/>
        </w:rPr>
        <w:t>dále dělí na 20 podoblastí a 41 </w:t>
      </w:r>
      <w:r w:rsidRPr="00DA432B">
        <w:rPr>
          <w:sz w:val="24"/>
          <w:szCs w:val="24"/>
        </w:rPr>
        <w:t>dílčích cílů, stejně jako členění Programu. Následující tabulka znázorňuje členě</w:t>
      </w:r>
      <w:r w:rsidR="000C7B74" w:rsidRPr="00DA432B">
        <w:rPr>
          <w:sz w:val="24"/>
          <w:szCs w:val="24"/>
        </w:rPr>
        <w:t>ní Programu (které je shodné se </w:t>
      </w:r>
      <w:r w:rsidRPr="00DA432B">
        <w:rPr>
          <w:sz w:val="24"/>
          <w:szCs w:val="24"/>
        </w:rPr>
        <w:t>strukturou priority č. 5: Zdravá populace).</w:t>
      </w:r>
      <w:r w:rsidR="0083392C" w:rsidRPr="00DA432B">
        <w:rPr>
          <w:sz w:val="24"/>
          <w:szCs w:val="24"/>
        </w:rPr>
        <w:t xml:space="preserve"> Program je dále v souladu s Národní strategií pro vzácná onemocnění na léta 2010-2020, s Národním akčním plánem pro vzácná onemocnění na léta 2012 – 2014 (1 podoblast a 2 dílčí cíle).</w:t>
      </w:r>
    </w:p>
    <w:p w14:paraId="3E61F52B" w14:textId="77777777" w:rsidR="00DC50F5" w:rsidRPr="00DA432B" w:rsidRDefault="00DC50F5" w:rsidP="00DC50F5">
      <w:pPr>
        <w:pStyle w:val="Textkomente"/>
        <w:spacing w:before="60" w:line="288" w:lineRule="auto"/>
        <w:jc w:val="both"/>
        <w:rPr>
          <w:sz w:val="24"/>
          <w:szCs w:val="24"/>
          <w:highlight w:val="yellow"/>
        </w:rPr>
      </w:pPr>
    </w:p>
    <w:p w14:paraId="4F07366E" w14:textId="77777777" w:rsidR="00DC50F5" w:rsidRPr="00DA432B" w:rsidRDefault="00DC50F5" w:rsidP="00DC50F5">
      <w:pPr>
        <w:spacing w:after="60" w:line="288" w:lineRule="auto"/>
        <w:rPr>
          <w:b/>
        </w:rPr>
      </w:pPr>
      <w:r w:rsidRPr="00DA432B">
        <w:rPr>
          <w:b/>
        </w:rPr>
        <w:t>Tab. č. 2: Soulad Programu s Prioritami VaVaI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4"/>
      </w:tblGrid>
      <w:tr w:rsidR="00DC50F5" w:rsidRPr="00DA432B" w14:paraId="7D086268" w14:textId="77777777">
        <w:tc>
          <w:tcPr>
            <w:tcW w:w="9104" w:type="dxa"/>
            <w:shd w:val="clear" w:color="auto" w:fill="auto"/>
          </w:tcPr>
          <w:p w14:paraId="62C0028F" w14:textId="77777777" w:rsidR="00DC50F5" w:rsidRPr="00DA432B" w:rsidRDefault="00DC50F5" w:rsidP="00A5010B">
            <w:pPr>
              <w:jc w:val="both"/>
              <w:rPr>
                <w:b/>
                <w:u w:val="single"/>
              </w:rPr>
            </w:pPr>
            <w:r w:rsidRPr="00DA432B">
              <w:rPr>
                <w:b/>
                <w:u w:val="single"/>
              </w:rPr>
              <w:t>Oblast 1. Vznik a rozvoj chorob</w:t>
            </w:r>
          </w:p>
          <w:p w14:paraId="7B2F17AA" w14:textId="77777777" w:rsidR="00DC50F5" w:rsidRPr="00DA432B" w:rsidRDefault="00DC50F5" w:rsidP="00A5010B">
            <w:pPr>
              <w:jc w:val="both"/>
              <w:rPr>
                <w:u w:val="single"/>
              </w:rPr>
            </w:pPr>
            <w:r w:rsidRPr="00DA432B">
              <w:rPr>
                <w:u w:val="single"/>
              </w:rPr>
              <w:t>Podoblast 1.1. Metabolické a endokrinní choroby</w:t>
            </w:r>
          </w:p>
          <w:p w14:paraId="58ABCE4A" w14:textId="77777777" w:rsidR="00DC50F5" w:rsidRPr="00DA432B" w:rsidRDefault="00DC50F5" w:rsidP="00A5010B">
            <w:pPr>
              <w:numPr>
                <w:ilvl w:val="0"/>
                <w:numId w:val="21"/>
              </w:numPr>
              <w:jc w:val="both"/>
            </w:pPr>
            <w:r w:rsidRPr="00DA432B">
              <w:t>Prioritní dílčí cíl 1.1.1. Etiologie a patofyziologie inzulínové rezistence</w:t>
            </w:r>
          </w:p>
          <w:p w14:paraId="5215DEB3" w14:textId="77777777" w:rsidR="00DC50F5" w:rsidRPr="00DA432B" w:rsidRDefault="00DC50F5" w:rsidP="00A5010B">
            <w:pPr>
              <w:numPr>
                <w:ilvl w:val="0"/>
                <w:numId w:val="21"/>
              </w:numPr>
              <w:jc w:val="both"/>
            </w:pPr>
            <w:r w:rsidRPr="00DA432B">
              <w:t>Prioritní dílčí cíl 1.1.2. Etiologie a patogeneze imunitně zprostředkovaných endokrinních chorob</w:t>
            </w:r>
          </w:p>
          <w:p w14:paraId="2C0D4F7F" w14:textId="77777777" w:rsidR="00DC50F5" w:rsidRPr="00DA432B" w:rsidRDefault="00DC50F5" w:rsidP="00A5010B">
            <w:pPr>
              <w:numPr>
                <w:ilvl w:val="0"/>
                <w:numId w:val="21"/>
              </w:numPr>
              <w:jc w:val="both"/>
            </w:pPr>
            <w:r w:rsidRPr="00DA432B">
              <w:t>Prioritní dílčí cíl 1.1.3. Patogeneze a léčba komplikací diabetu</w:t>
            </w:r>
          </w:p>
          <w:p w14:paraId="15AF8625" w14:textId="77777777" w:rsidR="00DC50F5" w:rsidRPr="00DA432B" w:rsidRDefault="00DC50F5" w:rsidP="00A5010B">
            <w:pPr>
              <w:jc w:val="both"/>
              <w:rPr>
                <w:u w:val="single"/>
              </w:rPr>
            </w:pPr>
            <w:r w:rsidRPr="00DA432B">
              <w:rPr>
                <w:u w:val="single"/>
              </w:rPr>
              <w:t>Podoblast 1.2. Nemoci oběhové soustavy</w:t>
            </w:r>
          </w:p>
          <w:p w14:paraId="09B9E61A" w14:textId="77777777" w:rsidR="00DC50F5" w:rsidRPr="00DA432B" w:rsidRDefault="00DC50F5" w:rsidP="00A5010B">
            <w:pPr>
              <w:numPr>
                <w:ilvl w:val="0"/>
                <w:numId w:val="21"/>
              </w:numPr>
              <w:jc w:val="both"/>
            </w:pPr>
            <w:r w:rsidRPr="00DA432B">
              <w:t>Prioritní dílčí cíl 1.2.1. Objasnění etiologických faktorů a patofyziologických dějů ovlivňujících vznik a průběh kardiovaskulárních (KVO) a cerebrovaskulárních onemocnění (CVO)</w:t>
            </w:r>
          </w:p>
          <w:p w14:paraId="3BBD30D0" w14:textId="77777777" w:rsidR="00DC50F5" w:rsidRPr="00DA432B" w:rsidRDefault="00DC50F5" w:rsidP="00A5010B">
            <w:pPr>
              <w:numPr>
                <w:ilvl w:val="0"/>
                <w:numId w:val="22"/>
              </w:numPr>
              <w:jc w:val="both"/>
            </w:pPr>
            <w:r w:rsidRPr="00DA432B">
              <w:t>Prioritní dílčí cíl 1.2.2. Rozvoj časné diagn</w:t>
            </w:r>
            <w:r w:rsidR="00A5010B" w:rsidRPr="00DA432B">
              <w:t>ostiky kardiovaskulárních (KVO)</w:t>
            </w:r>
            <w:r w:rsidR="000C7B74" w:rsidRPr="00DA432B">
              <w:t xml:space="preserve"> </w:t>
            </w:r>
            <w:r w:rsidRPr="00DA432B">
              <w:t>a</w:t>
            </w:r>
            <w:r w:rsidR="000C7B74" w:rsidRPr="00DA432B">
              <w:t> </w:t>
            </w:r>
            <w:r w:rsidRPr="00DA432B">
              <w:t>cerebrovaskulárních onemocnění (CVO) a nalezení léčebných modalit a postupů v terapii kardiovaskulárních a cerebrovaskulárních onemocnění s vyšší terapeutickou efektivitou a vyšší šetrností pro nemocného</w:t>
            </w:r>
          </w:p>
          <w:p w14:paraId="64066C55" w14:textId="77777777" w:rsidR="00DC50F5" w:rsidRPr="00DA432B" w:rsidRDefault="00DC50F5" w:rsidP="00A5010B">
            <w:pPr>
              <w:jc w:val="both"/>
              <w:rPr>
                <w:u w:val="single"/>
              </w:rPr>
            </w:pPr>
            <w:r w:rsidRPr="00DA432B">
              <w:rPr>
                <w:u w:val="single"/>
              </w:rPr>
              <w:t>Podoblast 1.3. Nádorová onemocnění</w:t>
            </w:r>
          </w:p>
          <w:p w14:paraId="6576F1BC" w14:textId="77777777" w:rsidR="00DC50F5" w:rsidRPr="00DA432B" w:rsidRDefault="00DC50F5" w:rsidP="00A5010B">
            <w:pPr>
              <w:numPr>
                <w:ilvl w:val="0"/>
                <w:numId w:val="21"/>
              </w:numPr>
              <w:jc w:val="both"/>
            </w:pPr>
            <w:r w:rsidRPr="00DA432B">
              <w:t>Prioritní dílčí cíl 1.3.1. Nádorová biologie ve vztahu k</w:t>
            </w:r>
            <w:r w:rsidR="000C7B74" w:rsidRPr="00DA432B">
              <w:t> </w:t>
            </w:r>
            <w:r w:rsidRPr="00DA432B">
              <w:t>diagnosti</w:t>
            </w:r>
            <w:r w:rsidR="00A5010B" w:rsidRPr="00DA432B">
              <w:t>ckým</w:t>
            </w:r>
            <w:r w:rsidR="000C7B74" w:rsidRPr="00DA432B">
              <w:t xml:space="preserve"> </w:t>
            </w:r>
            <w:r w:rsidR="003C40B5" w:rsidRPr="00DA432B">
              <w:t>a</w:t>
            </w:r>
            <w:r w:rsidR="000C7B74" w:rsidRPr="00DA432B">
              <w:t> </w:t>
            </w:r>
            <w:r w:rsidRPr="00DA432B">
              <w:t>terapeutickým cílům</w:t>
            </w:r>
          </w:p>
          <w:p w14:paraId="1F24B8FA" w14:textId="77777777" w:rsidR="00DC50F5" w:rsidRPr="00DA432B" w:rsidRDefault="00DC50F5" w:rsidP="00A5010B">
            <w:pPr>
              <w:numPr>
                <w:ilvl w:val="0"/>
                <w:numId w:val="21"/>
              </w:numPr>
              <w:jc w:val="both"/>
            </w:pPr>
            <w:r w:rsidRPr="00DA432B">
              <w:t>Prioritní dílčí cíl 1.3.2. Analýza vztahů hostitel-nádor jako prostředek individualizace diagnostiky a léčby</w:t>
            </w:r>
          </w:p>
          <w:p w14:paraId="5ED91613" w14:textId="77777777" w:rsidR="00DC50F5" w:rsidRPr="00DA432B" w:rsidRDefault="00DC50F5" w:rsidP="00A5010B">
            <w:pPr>
              <w:jc w:val="both"/>
              <w:rPr>
                <w:u w:val="single"/>
              </w:rPr>
            </w:pPr>
            <w:r w:rsidRPr="00DA432B">
              <w:rPr>
                <w:u w:val="single"/>
              </w:rPr>
              <w:t>Podoblast 1.4. Nervová a psychická onemocnění</w:t>
            </w:r>
          </w:p>
          <w:p w14:paraId="4930CD24" w14:textId="77777777" w:rsidR="00DC50F5" w:rsidRPr="00DA432B" w:rsidRDefault="00DC50F5" w:rsidP="00A5010B">
            <w:pPr>
              <w:numPr>
                <w:ilvl w:val="0"/>
                <w:numId w:val="21"/>
              </w:numPr>
              <w:jc w:val="both"/>
            </w:pPr>
            <w:r w:rsidRPr="00DA432B">
              <w:t>Prioritní dílčí cíl 1.4.1. Psychická a neurologická onemocnění</w:t>
            </w:r>
          </w:p>
          <w:p w14:paraId="703AA9AE" w14:textId="77777777" w:rsidR="00DC50F5" w:rsidRPr="00DA432B" w:rsidRDefault="00DC50F5" w:rsidP="00A5010B">
            <w:pPr>
              <w:numPr>
                <w:ilvl w:val="0"/>
                <w:numId w:val="21"/>
              </w:numPr>
              <w:jc w:val="both"/>
            </w:pPr>
            <w:r w:rsidRPr="00DA432B">
              <w:t>Prioritní dílčí cíl 1.4.2. Diagnostika onemocnění nervové soustavy</w:t>
            </w:r>
          </w:p>
          <w:p w14:paraId="158C5C9E" w14:textId="77777777" w:rsidR="00DC50F5" w:rsidRPr="00DA432B" w:rsidRDefault="00DC50F5" w:rsidP="00A5010B">
            <w:pPr>
              <w:numPr>
                <w:ilvl w:val="0"/>
                <w:numId w:val="21"/>
              </w:numPr>
              <w:jc w:val="both"/>
            </w:pPr>
            <w:r w:rsidRPr="00DA432B">
              <w:t>Prioritní dílčí cíl 1.4.3. Vyšší efektivita léčebných postupů u onemocnění nervové soustavy</w:t>
            </w:r>
          </w:p>
          <w:p w14:paraId="44C9DC29" w14:textId="77777777" w:rsidR="00DC50F5" w:rsidRPr="00DA432B" w:rsidRDefault="00DC50F5" w:rsidP="00A5010B">
            <w:pPr>
              <w:numPr>
                <w:ilvl w:val="0"/>
                <w:numId w:val="21"/>
              </w:numPr>
              <w:jc w:val="both"/>
            </w:pPr>
            <w:r w:rsidRPr="00DA432B">
              <w:t>Prioritní dílčí cíl 1.4.4. Zajištění kvality života u pacientů s onemocněním nervové soustavy</w:t>
            </w:r>
          </w:p>
          <w:p w14:paraId="0F0FE4AB" w14:textId="77777777" w:rsidR="00DC50F5" w:rsidRPr="00DA432B" w:rsidRDefault="00DC50F5" w:rsidP="00A5010B">
            <w:pPr>
              <w:keepNext/>
              <w:jc w:val="both"/>
              <w:rPr>
                <w:u w:val="single"/>
              </w:rPr>
            </w:pPr>
            <w:r w:rsidRPr="00DA432B">
              <w:rPr>
                <w:u w:val="single"/>
              </w:rPr>
              <w:t>Podoblast 1.5. Onemocnění pohybového aparátu a zánětlivá a imunologická onemocnění</w:t>
            </w:r>
          </w:p>
          <w:p w14:paraId="6FC42A71" w14:textId="77777777" w:rsidR="00DC50F5" w:rsidRPr="00DA432B" w:rsidRDefault="00DC50F5" w:rsidP="00A5010B">
            <w:pPr>
              <w:numPr>
                <w:ilvl w:val="0"/>
                <w:numId w:val="21"/>
              </w:numPr>
              <w:jc w:val="both"/>
            </w:pPr>
            <w:r w:rsidRPr="00DA432B">
              <w:t>Prioritní dílčí cíl 1.5.1. Etiologie a patogeneze degenerativních a metabolických onemocnění pohybového aparátu</w:t>
            </w:r>
          </w:p>
          <w:p w14:paraId="539D2557" w14:textId="77777777" w:rsidR="00DC50F5" w:rsidRPr="00DA432B" w:rsidRDefault="00DC50F5" w:rsidP="00A5010B">
            <w:pPr>
              <w:numPr>
                <w:ilvl w:val="0"/>
                <w:numId w:val="21"/>
              </w:numPr>
              <w:jc w:val="both"/>
            </w:pPr>
            <w:r w:rsidRPr="00DA432B">
              <w:t>Prioritní dílčí cíl 1.5.2. Definování rizikových faktorů vzniku alergických onemocnění a identifikace nových cílů k cílené léčbě těchto chorob</w:t>
            </w:r>
          </w:p>
          <w:p w14:paraId="4EAE50D9" w14:textId="77777777" w:rsidR="00DC50F5" w:rsidRPr="00DA432B" w:rsidRDefault="00DC50F5" w:rsidP="00A5010B">
            <w:pPr>
              <w:jc w:val="both"/>
              <w:rPr>
                <w:u w:val="single"/>
              </w:rPr>
            </w:pPr>
            <w:r w:rsidRPr="00DA432B">
              <w:rPr>
                <w:u w:val="single"/>
              </w:rPr>
              <w:t>Podoblast 1.6. Infekce</w:t>
            </w:r>
          </w:p>
          <w:p w14:paraId="1060714C" w14:textId="77777777" w:rsidR="00DC50F5" w:rsidRPr="00DA432B" w:rsidRDefault="00DC50F5" w:rsidP="00A5010B">
            <w:pPr>
              <w:numPr>
                <w:ilvl w:val="0"/>
                <w:numId w:val="21"/>
              </w:numPr>
              <w:jc w:val="both"/>
            </w:pPr>
            <w:r w:rsidRPr="00DA432B">
              <w:t xml:space="preserve">Prioritní dílčí cíl 1.6.1. </w:t>
            </w:r>
            <w:r w:rsidR="007F7B50" w:rsidRPr="00DA432B">
              <w:t>Etiologie a terapie významných infekčních onemocnění</w:t>
            </w:r>
          </w:p>
          <w:p w14:paraId="5EE729A1" w14:textId="77777777" w:rsidR="00DC50F5" w:rsidRPr="00DA432B" w:rsidRDefault="000C7B74" w:rsidP="00A5010B">
            <w:pPr>
              <w:jc w:val="both"/>
              <w:rPr>
                <w:u w:val="single"/>
              </w:rPr>
            </w:pPr>
            <w:r w:rsidRPr="00DA432B">
              <w:rPr>
                <w:u w:val="single"/>
              </w:rPr>
              <w:t xml:space="preserve">Podoblast 1.7. </w:t>
            </w:r>
            <w:r w:rsidR="00926363" w:rsidRPr="00DA432B">
              <w:rPr>
                <w:u w:val="single"/>
              </w:rPr>
              <w:t>Onemocnění dětského věku a vzácná onemocnění</w:t>
            </w:r>
          </w:p>
          <w:p w14:paraId="6534E818" w14:textId="77777777" w:rsidR="00926363" w:rsidRPr="00DA432B" w:rsidRDefault="00926363" w:rsidP="00926363">
            <w:pPr>
              <w:numPr>
                <w:ilvl w:val="0"/>
                <w:numId w:val="21"/>
              </w:numPr>
              <w:jc w:val="both"/>
            </w:pPr>
            <w:r w:rsidRPr="00DA432B">
              <w:t>Prioritní dílčí cíl 1.7.1. Onemocnění vznikající prenatálně, perinatálně a v raném dětském věku</w:t>
            </w:r>
          </w:p>
          <w:p w14:paraId="39B8BC0F" w14:textId="77777777" w:rsidR="000C7B74" w:rsidRPr="00DA432B" w:rsidRDefault="00926363" w:rsidP="00926363">
            <w:pPr>
              <w:numPr>
                <w:ilvl w:val="0"/>
                <w:numId w:val="21"/>
              </w:numPr>
              <w:jc w:val="both"/>
            </w:pPr>
            <w:r w:rsidRPr="00DA432B">
              <w:t>Prioritní dílčí cíl 1.7.2. Vzácná onemocnění</w:t>
            </w:r>
          </w:p>
          <w:p w14:paraId="7F134F08" w14:textId="77777777" w:rsidR="00926363" w:rsidRPr="00DA432B" w:rsidRDefault="00926363" w:rsidP="00926363">
            <w:pPr>
              <w:jc w:val="both"/>
            </w:pPr>
          </w:p>
          <w:p w14:paraId="22CBDFF7" w14:textId="77777777" w:rsidR="00DC50F5" w:rsidRPr="00DA432B" w:rsidRDefault="00DC50F5" w:rsidP="00A5010B">
            <w:pPr>
              <w:jc w:val="both"/>
              <w:rPr>
                <w:b/>
                <w:u w:val="single"/>
              </w:rPr>
            </w:pPr>
            <w:r w:rsidRPr="00DA432B">
              <w:rPr>
                <w:b/>
                <w:u w:val="single"/>
              </w:rPr>
              <w:t>Oblast 2. Nové diagnostické a terapeutické metody</w:t>
            </w:r>
          </w:p>
          <w:p w14:paraId="025BDC87" w14:textId="77777777" w:rsidR="00DC50F5" w:rsidRPr="00DA432B" w:rsidRDefault="00DC50F5" w:rsidP="00A5010B">
            <w:pPr>
              <w:jc w:val="both"/>
              <w:rPr>
                <w:u w:val="single"/>
              </w:rPr>
            </w:pPr>
            <w:r w:rsidRPr="00DA432B">
              <w:rPr>
                <w:u w:val="single"/>
              </w:rPr>
              <w:t>Podoblast 2.1. In vitro diagnostika</w:t>
            </w:r>
          </w:p>
          <w:p w14:paraId="1927D9B2" w14:textId="77777777" w:rsidR="00DC50F5" w:rsidRPr="00DA432B" w:rsidRDefault="00DC50F5" w:rsidP="00A5010B">
            <w:pPr>
              <w:numPr>
                <w:ilvl w:val="0"/>
                <w:numId w:val="21"/>
              </w:numPr>
              <w:jc w:val="both"/>
            </w:pPr>
            <w:r w:rsidRPr="00DA432B">
              <w:t>Prioritní dílčí cíl 2.1.1. Prohloube</w:t>
            </w:r>
            <w:r w:rsidR="00A5010B" w:rsidRPr="00DA432B">
              <w:t>ní znalos</w:t>
            </w:r>
            <w:r w:rsidR="00567944" w:rsidRPr="00DA432B">
              <w:t>tí v oblasti –omických</w:t>
            </w:r>
            <w:r w:rsidR="000C7B74" w:rsidRPr="00DA432B">
              <w:t xml:space="preserve"> </w:t>
            </w:r>
            <w:r w:rsidRPr="00DA432B">
              <w:t>a</w:t>
            </w:r>
            <w:r w:rsidR="000C7B74" w:rsidRPr="00DA432B">
              <w:t> </w:t>
            </w:r>
            <w:r w:rsidRPr="00DA432B">
              <w:t>vysokokapacitních metod</w:t>
            </w:r>
          </w:p>
          <w:p w14:paraId="28D7536A" w14:textId="77777777" w:rsidR="00DC50F5" w:rsidRPr="00DA432B" w:rsidRDefault="00DC50F5" w:rsidP="00A5010B">
            <w:pPr>
              <w:numPr>
                <w:ilvl w:val="0"/>
                <w:numId w:val="21"/>
              </w:numPr>
              <w:jc w:val="both"/>
            </w:pPr>
            <w:r w:rsidRPr="00DA432B">
              <w:t>Prioritní dílčí cíl 2.1.2. Nové technologie IVD</w:t>
            </w:r>
          </w:p>
          <w:p w14:paraId="67A7DA81" w14:textId="77777777" w:rsidR="00DC50F5" w:rsidRPr="00DA432B" w:rsidRDefault="00DC50F5" w:rsidP="00926363">
            <w:pPr>
              <w:keepNext/>
              <w:jc w:val="both"/>
              <w:rPr>
                <w:u w:val="single"/>
              </w:rPr>
            </w:pPr>
            <w:r w:rsidRPr="00DA432B">
              <w:rPr>
                <w:u w:val="single"/>
              </w:rPr>
              <w:t>Podoblast 2.2. Nízkomolekulární léčiva</w:t>
            </w:r>
          </w:p>
          <w:p w14:paraId="2D766E44" w14:textId="77777777" w:rsidR="00DC50F5" w:rsidRPr="00DA432B" w:rsidRDefault="00DC50F5" w:rsidP="00A5010B">
            <w:pPr>
              <w:numPr>
                <w:ilvl w:val="0"/>
                <w:numId w:val="21"/>
              </w:numPr>
              <w:jc w:val="both"/>
            </w:pPr>
            <w:r w:rsidRPr="00DA432B">
              <w:t>Prioritní dílčí cíl 2.2.1. Nové nízkomolekulární sloučeniny</w:t>
            </w:r>
          </w:p>
          <w:p w14:paraId="3370F3A8" w14:textId="77777777" w:rsidR="00DC50F5" w:rsidRPr="00DA432B" w:rsidRDefault="00DC50F5" w:rsidP="00567944">
            <w:pPr>
              <w:numPr>
                <w:ilvl w:val="0"/>
                <w:numId w:val="21"/>
              </w:numPr>
              <w:jc w:val="both"/>
            </w:pPr>
            <w:r w:rsidRPr="00DA432B">
              <w:t>Prioritní dílčí cíl 2.2.2. Identifikace nových terapeutickýc</w:t>
            </w:r>
            <w:r w:rsidR="00567944" w:rsidRPr="00DA432B">
              <w:t>h cílů, nové metody</w:t>
            </w:r>
            <w:r w:rsidR="000C7B74" w:rsidRPr="00DA432B">
              <w:t xml:space="preserve"> </w:t>
            </w:r>
            <w:r w:rsidRPr="00DA432B">
              <w:t>a</w:t>
            </w:r>
            <w:r w:rsidR="000C7B74" w:rsidRPr="00DA432B">
              <w:t> </w:t>
            </w:r>
            <w:r w:rsidRPr="00DA432B">
              <w:t>postupy pro biologické testování</w:t>
            </w:r>
          </w:p>
          <w:p w14:paraId="0F403C6A" w14:textId="77777777" w:rsidR="00DC50F5" w:rsidRPr="00DA432B" w:rsidRDefault="00DC50F5" w:rsidP="00A5010B">
            <w:pPr>
              <w:jc w:val="both"/>
              <w:rPr>
                <w:u w:val="single"/>
              </w:rPr>
            </w:pPr>
            <w:r w:rsidRPr="00DA432B">
              <w:rPr>
                <w:u w:val="single"/>
              </w:rPr>
              <w:t>Podoblast 2.3. Biologická léčiva včetně vakcín</w:t>
            </w:r>
          </w:p>
          <w:p w14:paraId="2E5A73D1" w14:textId="77777777" w:rsidR="00DC50F5" w:rsidRPr="00DA432B" w:rsidRDefault="00DC50F5" w:rsidP="00A5010B">
            <w:pPr>
              <w:numPr>
                <w:ilvl w:val="0"/>
                <w:numId w:val="21"/>
              </w:numPr>
              <w:jc w:val="both"/>
            </w:pPr>
            <w:r w:rsidRPr="00DA432B">
              <w:t>Prioritní dílčí cíl 2.3.1. Nové vakcíny pro prevenci a léčbu nemocí a závislostí</w:t>
            </w:r>
          </w:p>
          <w:p w14:paraId="5F19F370" w14:textId="77777777" w:rsidR="00DC50F5" w:rsidRPr="00DA432B" w:rsidRDefault="00DC50F5" w:rsidP="00A5010B">
            <w:pPr>
              <w:jc w:val="both"/>
              <w:rPr>
                <w:u w:val="single"/>
              </w:rPr>
            </w:pPr>
            <w:r w:rsidRPr="00DA432B">
              <w:rPr>
                <w:u w:val="single"/>
              </w:rPr>
              <w:t>Podoblast 2.4. Drug delivery systémy</w:t>
            </w:r>
          </w:p>
          <w:p w14:paraId="019CF9B7" w14:textId="77777777" w:rsidR="00DC50F5" w:rsidRPr="00DA432B" w:rsidRDefault="00DC50F5" w:rsidP="00A5010B">
            <w:pPr>
              <w:numPr>
                <w:ilvl w:val="0"/>
                <w:numId w:val="21"/>
              </w:numPr>
              <w:jc w:val="both"/>
            </w:pPr>
            <w:r w:rsidRPr="00DA432B">
              <w:t>Prioritní dílčí cíl 2.4.1. Vývoj nových nosičů pro řízené uvolňování a transport léčiv</w:t>
            </w:r>
          </w:p>
          <w:p w14:paraId="7E2495C7" w14:textId="77777777" w:rsidR="00DC50F5" w:rsidRPr="00DA432B" w:rsidRDefault="00DC50F5" w:rsidP="00A5010B">
            <w:pPr>
              <w:numPr>
                <w:ilvl w:val="0"/>
                <w:numId w:val="21"/>
              </w:numPr>
              <w:jc w:val="both"/>
            </w:pPr>
            <w:r w:rsidRPr="00DA432B">
              <w:t xml:space="preserve">Prioritní dílčí cíl 2.4.2. Systémy pro </w:t>
            </w:r>
            <w:r w:rsidR="00567944" w:rsidRPr="00DA432B">
              <w:t>překonávání biologických bariér</w:t>
            </w:r>
            <w:r w:rsidR="000C7B74" w:rsidRPr="00DA432B">
              <w:t xml:space="preserve"> </w:t>
            </w:r>
            <w:r w:rsidRPr="00DA432B">
              <w:t>a</w:t>
            </w:r>
            <w:r w:rsidR="000C7B74" w:rsidRPr="00DA432B">
              <w:t> </w:t>
            </w:r>
            <w:r w:rsidRPr="00DA432B">
              <w:t>chemorezistentních onemocnění</w:t>
            </w:r>
          </w:p>
          <w:p w14:paraId="5C92EB41" w14:textId="77777777" w:rsidR="00DC50F5" w:rsidRPr="00DA432B" w:rsidRDefault="00DC50F5" w:rsidP="00A5010B">
            <w:pPr>
              <w:jc w:val="both"/>
              <w:rPr>
                <w:u w:val="single"/>
              </w:rPr>
            </w:pPr>
            <w:r w:rsidRPr="00DA432B">
              <w:rPr>
                <w:u w:val="single"/>
              </w:rPr>
              <w:t>Podoblast 2.5. Genová, buněčná terapie a tkáňové náhrady</w:t>
            </w:r>
          </w:p>
          <w:p w14:paraId="0B57FAA7" w14:textId="77777777" w:rsidR="00DC50F5" w:rsidRPr="00DA432B" w:rsidRDefault="00DC50F5" w:rsidP="00A5010B">
            <w:pPr>
              <w:numPr>
                <w:ilvl w:val="0"/>
                <w:numId w:val="21"/>
              </w:numPr>
              <w:jc w:val="both"/>
            </w:pPr>
            <w:r w:rsidRPr="00DA432B">
              <w:t>Prioritní dílčí cíl 2.5.1. Zdroje pro buněčnou a tkáňovou terapii</w:t>
            </w:r>
          </w:p>
          <w:p w14:paraId="49378A92" w14:textId="77777777" w:rsidR="00DC50F5" w:rsidRPr="00DA432B" w:rsidRDefault="00DC50F5" w:rsidP="00A5010B">
            <w:pPr>
              <w:numPr>
                <w:ilvl w:val="0"/>
                <w:numId w:val="21"/>
              </w:numPr>
              <w:jc w:val="both"/>
            </w:pPr>
            <w:r w:rsidRPr="00DA432B">
              <w:t>Prioritní dílčí cíl 2.5.2. Metody pro diferenciaci a genovou modifikaci buněk/tkání</w:t>
            </w:r>
          </w:p>
          <w:p w14:paraId="72CBDBD4" w14:textId="77777777" w:rsidR="00DC50F5" w:rsidRPr="00DA432B" w:rsidRDefault="00DC50F5" w:rsidP="00A5010B">
            <w:pPr>
              <w:numPr>
                <w:ilvl w:val="0"/>
                <w:numId w:val="21"/>
              </w:numPr>
              <w:jc w:val="both"/>
            </w:pPr>
            <w:r w:rsidRPr="00DA432B">
              <w:t>Prioritní dílčí cíl 2.5.3. Biomateriály</w:t>
            </w:r>
          </w:p>
          <w:p w14:paraId="11BD3739" w14:textId="77777777" w:rsidR="00DC50F5" w:rsidRPr="00DA432B" w:rsidRDefault="00DC50F5" w:rsidP="00A5010B">
            <w:pPr>
              <w:jc w:val="both"/>
              <w:rPr>
                <w:u w:val="single"/>
              </w:rPr>
            </w:pPr>
            <w:r w:rsidRPr="00DA432B">
              <w:rPr>
                <w:u w:val="single"/>
              </w:rPr>
              <w:t>Podoblast 2.6. Vývoj nových lékařských přístrojů a zařízení</w:t>
            </w:r>
          </w:p>
          <w:p w14:paraId="22FC4C11" w14:textId="77777777" w:rsidR="00DC50F5" w:rsidRPr="00DA432B" w:rsidRDefault="00DC50F5" w:rsidP="00A5010B">
            <w:pPr>
              <w:numPr>
                <w:ilvl w:val="0"/>
                <w:numId w:val="21"/>
              </w:numPr>
              <w:jc w:val="both"/>
            </w:pPr>
            <w:r w:rsidRPr="00DA432B">
              <w:t>Prioritní dílčí cíl 2.6.1. Elektrické a magnetické mapování a stimulace</w:t>
            </w:r>
          </w:p>
          <w:p w14:paraId="43FEF128" w14:textId="77777777" w:rsidR="00DC50F5" w:rsidRPr="00DA432B" w:rsidRDefault="00DC50F5" w:rsidP="00A5010B">
            <w:pPr>
              <w:numPr>
                <w:ilvl w:val="0"/>
                <w:numId w:val="21"/>
              </w:numPr>
              <w:jc w:val="both"/>
            </w:pPr>
            <w:r w:rsidRPr="00DA432B">
              <w:t>Prioritní dílčí cíl 2.6.2. Endovaskulární postupy</w:t>
            </w:r>
          </w:p>
          <w:p w14:paraId="2676623A" w14:textId="77777777" w:rsidR="00DC50F5" w:rsidRPr="00DA432B" w:rsidRDefault="00DC50F5" w:rsidP="00A5010B">
            <w:pPr>
              <w:numPr>
                <w:ilvl w:val="0"/>
                <w:numId w:val="21"/>
              </w:numPr>
              <w:jc w:val="both"/>
            </w:pPr>
            <w:r w:rsidRPr="00DA432B">
              <w:t>Prioritní dílčí cíl 2.6.3. Navigační a robotické systé</w:t>
            </w:r>
            <w:r w:rsidR="00567944" w:rsidRPr="00DA432B">
              <w:t>my, neurostimulátory. Zpřesnění</w:t>
            </w:r>
            <w:r w:rsidR="000C7B74" w:rsidRPr="00DA432B">
              <w:t xml:space="preserve"> </w:t>
            </w:r>
            <w:r w:rsidRPr="00DA432B">
              <w:t>a</w:t>
            </w:r>
            <w:r w:rsidR="000C7B74" w:rsidRPr="00DA432B">
              <w:t> </w:t>
            </w:r>
            <w:r w:rsidRPr="00DA432B">
              <w:t>kontrola invazivních technik</w:t>
            </w:r>
          </w:p>
          <w:p w14:paraId="26A3049E" w14:textId="77777777" w:rsidR="00DC50F5" w:rsidRPr="00DA432B" w:rsidRDefault="00DC50F5" w:rsidP="00A5010B">
            <w:pPr>
              <w:jc w:val="both"/>
              <w:rPr>
                <w:u w:val="single"/>
              </w:rPr>
            </w:pPr>
            <w:r w:rsidRPr="00DA432B">
              <w:rPr>
                <w:u w:val="single"/>
              </w:rPr>
              <w:t>Podoblast 2.7. Inovativní chirurgické postupy včetně transplantace</w:t>
            </w:r>
          </w:p>
          <w:p w14:paraId="56F4E80E" w14:textId="77777777" w:rsidR="00DC50F5" w:rsidRPr="00DA432B" w:rsidRDefault="00DC50F5" w:rsidP="00A5010B">
            <w:pPr>
              <w:numPr>
                <w:ilvl w:val="0"/>
                <w:numId w:val="21"/>
              </w:numPr>
              <w:jc w:val="both"/>
            </w:pPr>
            <w:r w:rsidRPr="00DA432B">
              <w:t>Prioritní dílčí cíl 2.7.1. Chirurgické postupy a transplantace</w:t>
            </w:r>
          </w:p>
          <w:p w14:paraId="0C7745F1" w14:textId="77777777" w:rsidR="00DC50F5" w:rsidRPr="00DA432B" w:rsidRDefault="00DC50F5" w:rsidP="00A5010B">
            <w:pPr>
              <w:numPr>
                <w:ilvl w:val="0"/>
                <w:numId w:val="21"/>
              </w:numPr>
              <w:jc w:val="both"/>
            </w:pPr>
            <w:r w:rsidRPr="00DA432B">
              <w:t>Prioritní dílčí cíl 2.7.2. Neinvazivní léčba</w:t>
            </w:r>
          </w:p>
          <w:p w14:paraId="56C2F4C2" w14:textId="77777777" w:rsidR="00DC50F5" w:rsidRPr="00DA432B" w:rsidRDefault="00DC50F5" w:rsidP="00A5010B">
            <w:pPr>
              <w:jc w:val="both"/>
            </w:pPr>
          </w:p>
          <w:p w14:paraId="103497E3" w14:textId="77777777" w:rsidR="00DC50F5" w:rsidRPr="00DA432B" w:rsidRDefault="00DC50F5" w:rsidP="00A5010B">
            <w:pPr>
              <w:jc w:val="both"/>
              <w:rPr>
                <w:b/>
                <w:u w:val="single"/>
              </w:rPr>
            </w:pPr>
            <w:r w:rsidRPr="00DA432B">
              <w:rPr>
                <w:b/>
                <w:u w:val="single"/>
              </w:rPr>
              <w:t>Oblast 3. Epidemiologie a prevence nejzávažnějších chorob</w:t>
            </w:r>
          </w:p>
          <w:p w14:paraId="4CB39809" w14:textId="77777777" w:rsidR="00DC50F5" w:rsidRPr="00DA432B" w:rsidRDefault="00DC50F5" w:rsidP="00A5010B">
            <w:pPr>
              <w:jc w:val="both"/>
              <w:rPr>
                <w:u w:val="single"/>
              </w:rPr>
            </w:pPr>
            <w:r w:rsidRPr="00DA432B">
              <w:rPr>
                <w:u w:val="single"/>
              </w:rPr>
              <w:t>Podoblast 3.1. Metabolické a endokrinní choroby</w:t>
            </w:r>
          </w:p>
          <w:p w14:paraId="20DC706E" w14:textId="77777777" w:rsidR="00DC50F5" w:rsidRPr="00DA432B" w:rsidRDefault="00DC50F5" w:rsidP="00A5010B">
            <w:pPr>
              <w:numPr>
                <w:ilvl w:val="0"/>
                <w:numId w:val="21"/>
              </w:numPr>
              <w:jc w:val="both"/>
            </w:pPr>
            <w:r w:rsidRPr="00DA432B">
              <w:t>Prioritní dílčí cíl 3.1.1. Zhodnocení vlivu preventivních opatření na vznik nejčastějších metabolických poruch</w:t>
            </w:r>
          </w:p>
          <w:p w14:paraId="43D1F9A9" w14:textId="77777777" w:rsidR="00DC50F5" w:rsidRPr="00DA432B" w:rsidRDefault="00DC50F5" w:rsidP="00A5010B">
            <w:pPr>
              <w:jc w:val="both"/>
              <w:rPr>
                <w:u w:val="single"/>
              </w:rPr>
            </w:pPr>
            <w:r w:rsidRPr="00DA432B">
              <w:rPr>
                <w:u w:val="single"/>
              </w:rPr>
              <w:t>Podoblast 3.2. Nemoci oběhové soustavy</w:t>
            </w:r>
          </w:p>
          <w:p w14:paraId="6963B018" w14:textId="77777777" w:rsidR="00DC50F5" w:rsidRPr="00DA432B" w:rsidRDefault="00DC50F5" w:rsidP="00A5010B">
            <w:pPr>
              <w:numPr>
                <w:ilvl w:val="0"/>
                <w:numId w:val="21"/>
              </w:numPr>
              <w:jc w:val="both"/>
            </w:pPr>
            <w:r w:rsidRPr="00DA432B">
              <w:t>Prioritní dílčí cíl 3.2.1. Populační studie: data o onemocněních</w:t>
            </w:r>
          </w:p>
          <w:p w14:paraId="3067718B" w14:textId="77777777" w:rsidR="00DC50F5" w:rsidRPr="00DA432B" w:rsidRDefault="00DC50F5" w:rsidP="00A5010B">
            <w:pPr>
              <w:numPr>
                <w:ilvl w:val="0"/>
                <w:numId w:val="21"/>
              </w:numPr>
              <w:jc w:val="both"/>
            </w:pPr>
            <w:r w:rsidRPr="00DA432B">
              <w:t>Prioritní dílčí cíl 3.2.2. Populační intervence, zhodnocení vlivu preventivních opatření</w:t>
            </w:r>
          </w:p>
          <w:p w14:paraId="0B7BBFC2" w14:textId="77777777" w:rsidR="00DC50F5" w:rsidRPr="00DA432B" w:rsidRDefault="00DC50F5" w:rsidP="00A5010B">
            <w:pPr>
              <w:jc w:val="both"/>
              <w:rPr>
                <w:u w:val="single"/>
              </w:rPr>
            </w:pPr>
            <w:r w:rsidRPr="00DA432B">
              <w:rPr>
                <w:u w:val="single"/>
              </w:rPr>
              <w:t>Podoblast 3.3. Nádorová onemocnění</w:t>
            </w:r>
          </w:p>
          <w:p w14:paraId="25783C49" w14:textId="77777777" w:rsidR="00DC50F5" w:rsidRPr="00DA432B" w:rsidRDefault="00DC50F5" w:rsidP="00A5010B">
            <w:pPr>
              <w:numPr>
                <w:ilvl w:val="0"/>
                <w:numId w:val="21"/>
              </w:numPr>
              <w:jc w:val="both"/>
            </w:pPr>
            <w:r w:rsidRPr="00DA432B">
              <w:t>Prioritní dílčí cíl 3.3.1. Skríning a prevence výskytu nádorů</w:t>
            </w:r>
          </w:p>
          <w:p w14:paraId="10AD88F3" w14:textId="77777777" w:rsidR="00DC50F5" w:rsidRPr="00DA432B" w:rsidRDefault="00DC50F5" w:rsidP="00A5010B">
            <w:pPr>
              <w:numPr>
                <w:ilvl w:val="0"/>
                <w:numId w:val="21"/>
              </w:numPr>
              <w:jc w:val="both"/>
            </w:pPr>
            <w:r w:rsidRPr="00DA432B">
              <w:t>Prioritní dílčí cíl 3.3.2. Identifikace rizikových faktorů a jedinců v populacích</w:t>
            </w:r>
          </w:p>
          <w:p w14:paraId="6C6B903E" w14:textId="77777777" w:rsidR="00DC50F5" w:rsidRPr="00DA432B" w:rsidRDefault="00DC50F5" w:rsidP="00A5010B">
            <w:pPr>
              <w:jc w:val="both"/>
              <w:rPr>
                <w:u w:val="single"/>
              </w:rPr>
            </w:pPr>
            <w:r w:rsidRPr="00DA432B">
              <w:rPr>
                <w:u w:val="single"/>
              </w:rPr>
              <w:t>Podoblast 3.4. Nervová a psychická onemocnění</w:t>
            </w:r>
          </w:p>
          <w:p w14:paraId="75897CAD" w14:textId="77777777" w:rsidR="00DC50F5" w:rsidRPr="00DA432B" w:rsidRDefault="00DC50F5" w:rsidP="00A5010B">
            <w:pPr>
              <w:numPr>
                <w:ilvl w:val="0"/>
                <w:numId w:val="21"/>
              </w:numPr>
              <w:jc w:val="both"/>
            </w:pPr>
            <w:r w:rsidRPr="00DA432B">
              <w:t>Prioritní dílčí cíl 3.4.1. Populační studie: data o onemocněních</w:t>
            </w:r>
          </w:p>
          <w:p w14:paraId="3680F741" w14:textId="77777777" w:rsidR="00DC50F5" w:rsidRPr="00DA432B" w:rsidRDefault="00DC50F5" w:rsidP="00A5010B">
            <w:pPr>
              <w:numPr>
                <w:ilvl w:val="0"/>
                <w:numId w:val="21"/>
              </w:numPr>
              <w:jc w:val="both"/>
            </w:pPr>
            <w:r w:rsidRPr="00DA432B">
              <w:t>Prioritní dílčí cíl 3.4.2. Populační intervence, zhodnocení vlivu preventivních opatření</w:t>
            </w:r>
          </w:p>
          <w:p w14:paraId="0C9A3C94" w14:textId="77777777" w:rsidR="00DC50F5" w:rsidRPr="00DA432B" w:rsidRDefault="00DC50F5" w:rsidP="00A5010B">
            <w:pPr>
              <w:jc w:val="both"/>
              <w:rPr>
                <w:u w:val="single"/>
              </w:rPr>
            </w:pPr>
            <w:r w:rsidRPr="00DA432B">
              <w:rPr>
                <w:u w:val="single"/>
              </w:rPr>
              <w:t>Podoblast 3.5. Nemoci pohybového aparátu a zánětlivá a imunologická onemocnění</w:t>
            </w:r>
          </w:p>
          <w:p w14:paraId="1412A394" w14:textId="77777777" w:rsidR="00DC50F5" w:rsidRPr="00DA432B" w:rsidRDefault="00DC50F5" w:rsidP="00A5010B">
            <w:pPr>
              <w:numPr>
                <w:ilvl w:val="0"/>
                <w:numId w:val="21"/>
              </w:numPr>
              <w:jc w:val="both"/>
            </w:pPr>
            <w:r w:rsidRPr="00DA432B">
              <w:t>Prioritní dílčí cíl 3.5.1. Epidemiologie degenerativních a metabolických onemocnění pohybového aparátu</w:t>
            </w:r>
          </w:p>
          <w:p w14:paraId="2A1A25E1" w14:textId="77777777" w:rsidR="00DC50F5" w:rsidRPr="00DA432B" w:rsidRDefault="00DC50F5" w:rsidP="00A5010B">
            <w:pPr>
              <w:jc w:val="both"/>
              <w:rPr>
                <w:u w:val="single"/>
              </w:rPr>
            </w:pPr>
            <w:r w:rsidRPr="00DA432B">
              <w:rPr>
                <w:u w:val="single"/>
              </w:rPr>
              <w:t>Podoblast 3.6. Závislosti</w:t>
            </w:r>
          </w:p>
          <w:p w14:paraId="482BFCA8" w14:textId="77777777" w:rsidR="00DC50F5" w:rsidRPr="00DA432B" w:rsidRDefault="00DC50F5" w:rsidP="00A5010B">
            <w:pPr>
              <w:numPr>
                <w:ilvl w:val="0"/>
                <w:numId w:val="21"/>
              </w:numPr>
              <w:jc w:val="both"/>
            </w:pPr>
            <w:r w:rsidRPr="00DA432B">
              <w:t>Prioritní dílčí cíl 3.6.1. Vazby</w:t>
            </w:r>
          </w:p>
          <w:p w14:paraId="5A88A3A7" w14:textId="77777777" w:rsidR="00DC50F5" w:rsidRPr="00DA432B" w:rsidRDefault="00DC50F5" w:rsidP="00A5010B">
            <w:pPr>
              <w:numPr>
                <w:ilvl w:val="0"/>
                <w:numId w:val="21"/>
              </w:numPr>
              <w:jc w:val="both"/>
            </w:pPr>
            <w:r w:rsidRPr="00DA432B">
              <w:t>Prioritní dílčí cíl 3.6.2. Společenský dopad</w:t>
            </w:r>
          </w:p>
          <w:p w14:paraId="46FB29B7" w14:textId="77777777" w:rsidR="00DC50F5" w:rsidRPr="00DA432B" w:rsidRDefault="00DC50F5" w:rsidP="00A5010B">
            <w:pPr>
              <w:jc w:val="both"/>
              <w:rPr>
                <w:u w:val="single"/>
              </w:rPr>
            </w:pPr>
            <w:r w:rsidRPr="00DA432B">
              <w:rPr>
                <w:u w:val="single"/>
              </w:rPr>
              <w:t>Podoblast 3.7. Infekce</w:t>
            </w:r>
          </w:p>
          <w:p w14:paraId="2C7C2879" w14:textId="77777777" w:rsidR="00DC50F5" w:rsidRPr="00DA432B" w:rsidRDefault="00DC50F5" w:rsidP="00A5010B">
            <w:pPr>
              <w:numPr>
                <w:ilvl w:val="0"/>
                <w:numId w:val="21"/>
              </w:numPr>
              <w:jc w:val="both"/>
            </w:pPr>
            <w:r w:rsidRPr="00DA432B">
              <w:t>Prioritní dílčí cíl 3.7.1. Epidemiologie infekčních nemocí</w:t>
            </w:r>
          </w:p>
          <w:p w14:paraId="32297F60" w14:textId="77777777" w:rsidR="00DC50F5" w:rsidRPr="00DA432B" w:rsidRDefault="00DC50F5" w:rsidP="00A5010B">
            <w:pPr>
              <w:numPr>
                <w:ilvl w:val="0"/>
                <w:numId w:val="21"/>
              </w:numPr>
              <w:jc w:val="both"/>
            </w:pPr>
            <w:r w:rsidRPr="00DA432B">
              <w:t xml:space="preserve">Prioritní dílčí cíl 3.7.2. Tuzemské a importované potraviny jako zdroj infekcí </w:t>
            </w:r>
          </w:p>
        </w:tc>
      </w:tr>
    </w:tbl>
    <w:p w14:paraId="45B43C7F" w14:textId="77777777" w:rsidR="00DC50F5" w:rsidRPr="00DA432B" w:rsidRDefault="00DC50F5" w:rsidP="00DC50F5">
      <w:pPr>
        <w:pStyle w:val="Textkomente"/>
        <w:spacing w:before="60" w:line="288" w:lineRule="auto"/>
        <w:jc w:val="both"/>
        <w:rPr>
          <w:sz w:val="24"/>
          <w:szCs w:val="24"/>
          <w:highlight w:val="yellow"/>
        </w:rPr>
      </w:pPr>
    </w:p>
    <w:p w14:paraId="2E81B2C6" w14:textId="77777777" w:rsidR="00250530" w:rsidRPr="00DA432B" w:rsidRDefault="00DC50F5" w:rsidP="004A1E88">
      <w:pPr>
        <w:pStyle w:val="Nadpis1"/>
        <w:ind w:left="360" w:hanging="360"/>
        <w:jc w:val="both"/>
        <w:rPr>
          <w:rFonts w:ascii="Times New Roman" w:hAnsi="Times New Roman" w:cs="Times New Roman"/>
        </w:rPr>
      </w:pPr>
      <w:bookmarkStart w:id="43" w:name="_Toc404886998"/>
      <w:bookmarkStart w:id="44" w:name="_Toc405894506"/>
      <w:bookmarkStart w:id="45" w:name="_Toc418585157"/>
      <w:r w:rsidRPr="00DA432B">
        <w:rPr>
          <w:rFonts w:ascii="Times New Roman" w:hAnsi="Times New Roman" w:cs="Times New Roman"/>
        </w:rPr>
        <w:t>15</w:t>
      </w:r>
      <w:r w:rsidR="00250530" w:rsidRPr="00DA432B">
        <w:rPr>
          <w:rFonts w:ascii="Times New Roman" w:hAnsi="Times New Roman" w:cs="Times New Roman"/>
        </w:rPr>
        <w:t>. Cíle Programu</w:t>
      </w:r>
      <w:bookmarkEnd w:id="43"/>
      <w:bookmarkEnd w:id="44"/>
      <w:bookmarkEnd w:id="45"/>
    </w:p>
    <w:p w14:paraId="40B41937" w14:textId="77777777" w:rsidR="00772875" w:rsidRPr="00DA432B" w:rsidRDefault="00772875" w:rsidP="007644B5">
      <w:pPr>
        <w:spacing w:before="60" w:after="120" w:line="276" w:lineRule="auto"/>
        <w:jc w:val="both"/>
      </w:pPr>
      <w:r w:rsidRPr="00DA432B">
        <w:t xml:space="preserve">Základním a hlavním cílem Programu je zajištění mezinárodně srovnatelné úrovně </w:t>
      </w:r>
      <w:r w:rsidR="0002223D" w:rsidRPr="00DA432B">
        <w:t>zdravotnického výzkumu a využití jeho výsledků pro zlepš</w:t>
      </w:r>
      <w:r w:rsidR="000C7B74" w:rsidRPr="00DA432B">
        <w:t>ení zdraví české populace a pro </w:t>
      </w:r>
      <w:r w:rsidR="008141EF" w:rsidRPr="00DA432B">
        <w:t>zabezpečení aktuálních</w:t>
      </w:r>
      <w:r w:rsidR="0002223D" w:rsidRPr="00DA432B">
        <w:t xml:space="preserve"> potřeb zdravotnictví v České republice.</w:t>
      </w:r>
    </w:p>
    <w:p w14:paraId="5838312A" w14:textId="77777777" w:rsidR="00250530" w:rsidRPr="00DA432B" w:rsidRDefault="00087B7B" w:rsidP="007644B5">
      <w:pPr>
        <w:spacing w:before="60" w:after="120" w:line="276" w:lineRule="auto"/>
        <w:jc w:val="both"/>
      </w:pPr>
      <w:r w:rsidRPr="00DA432B">
        <w:t xml:space="preserve">Program má tři hlavní oblasti: </w:t>
      </w:r>
      <w:r w:rsidR="007644B5" w:rsidRPr="00DA432B">
        <w:t>Vznik a rozvoj chorob</w:t>
      </w:r>
      <w:r w:rsidRPr="00DA432B">
        <w:t>;</w:t>
      </w:r>
      <w:r w:rsidR="007644B5" w:rsidRPr="00DA432B">
        <w:t xml:space="preserve"> Nové diagnostické a terapeutické metody a Epidemiologie a </w:t>
      </w:r>
      <w:r w:rsidRPr="00DA432B">
        <w:t>prevence nejzávažnějších chorob</w:t>
      </w:r>
      <w:r w:rsidR="000C7B74" w:rsidRPr="00DA432B">
        <w:t>, které se dále dělí na </w:t>
      </w:r>
      <w:r w:rsidR="00926363" w:rsidRPr="00DA432B">
        <w:t>21 </w:t>
      </w:r>
      <w:r w:rsidR="007644B5" w:rsidRPr="00DA432B">
        <w:t>podoblastí a 4</w:t>
      </w:r>
      <w:r w:rsidR="00926363" w:rsidRPr="00DA432B">
        <w:t>3</w:t>
      </w:r>
      <w:r w:rsidR="007644B5" w:rsidRPr="00DA432B">
        <w:t xml:space="preserve"> dílčích cílů. </w:t>
      </w:r>
      <w:r w:rsidR="004A1E88" w:rsidRPr="00DA432B">
        <w:t>Specifické cíle charakterizují jednotlivé podoblasti. T</w:t>
      </w:r>
      <w:r w:rsidR="00250530" w:rsidRPr="00DA432B">
        <w:t xml:space="preserve">ématické vymezení Programu je plně v souladu a vychází z Národních priorit orientovaného výzkumu, experimentálního vývoje a inovací (dále jen „Priority VaVaI“), resp. z Priority </w:t>
      </w:r>
      <w:r w:rsidR="007644B5" w:rsidRPr="00DA432B">
        <w:t>5: Zdravá populace</w:t>
      </w:r>
      <w:r w:rsidR="00926363" w:rsidRPr="00DA432B">
        <w:t xml:space="preserve"> a dále z Národní strategie pro vzácná onemocnění na léta 2010-2020 a</w:t>
      </w:r>
      <w:r w:rsidR="004D6C8F" w:rsidRPr="00DA432B">
        <w:t> </w:t>
      </w:r>
      <w:r w:rsidR="00926363" w:rsidRPr="00DA432B">
        <w:t>Národního akčního plánu pro vzácná onemocnění na léta 2012 – 2014“.</w:t>
      </w:r>
    </w:p>
    <w:p w14:paraId="7EC2FE75" w14:textId="77777777" w:rsidR="005E6FEB" w:rsidRDefault="007644B5" w:rsidP="005E6FEB">
      <w:pPr>
        <w:spacing w:before="60" w:after="120" w:line="276" w:lineRule="auto"/>
        <w:jc w:val="both"/>
      </w:pPr>
      <w:r w:rsidRPr="00DA432B">
        <w:t xml:space="preserve">Projekty </w:t>
      </w:r>
      <w:r w:rsidR="0002223D" w:rsidRPr="00DA432B">
        <w:t xml:space="preserve">navržené </w:t>
      </w:r>
      <w:r w:rsidRPr="00DA432B">
        <w:t xml:space="preserve">do tohoto Programu musí být zařazeny do </w:t>
      </w:r>
      <w:r w:rsidR="005A23A9" w:rsidRPr="00DA432B">
        <w:t xml:space="preserve">jedné či více </w:t>
      </w:r>
      <w:r w:rsidRPr="00DA432B">
        <w:t xml:space="preserve">z následujících </w:t>
      </w:r>
      <w:r w:rsidR="004A1E88" w:rsidRPr="00DA432B">
        <w:t>podoblast</w:t>
      </w:r>
      <w:r w:rsidR="005A23A9" w:rsidRPr="00DA432B">
        <w:t>í</w:t>
      </w:r>
      <w:r w:rsidR="0002223D" w:rsidRPr="00DA432B">
        <w:t xml:space="preserve"> a zajišťovat plnění jednoho či více</w:t>
      </w:r>
      <w:r w:rsidRPr="00DA432B">
        <w:t xml:space="preserve"> dílčích cílů</w:t>
      </w:r>
      <w:r w:rsidR="005A23A9" w:rsidRPr="00DA432B">
        <w:t xml:space="preserve"> Programu</w:t>
      </w:r>
      <w:r w:rsidRPr="00DA432B">
        <w:t>.</w:t>
      </w:r>
    </w:p>
    <w:p w14:paraId="28EF2903" w14:textId="77777777" w:rsidR="00CA2D43" w:rsidRPr="00DA432B" w:rsidRDefault="00CA2D43" w:rsidP="005E6FEB">
      <w:pPr>
        <w:spacing w:before="60" w:after="120" w:line="276" w:lineRule="auto"/>
        <w:jc w:val="both"/>
        <w:rPr>
          <w:rStyle w:val="Hypertextovodkaz"/>
          <w:color w:val="auto"/>
          <w:u w:val="none"/>
        </w:rPr>
      </w:pPr>
    </w:p>
    <w:p w14:paraId="19A8C56B" w14:textId="77777777" w:rsidR="00A26675" w:rsidRPr="00DA432B" w:rsidRDefault="00A26675" w:rsidP="004A1E88">
      <w:pPr>
        <w:pStyle w:val="Nadpis2"/>
        <w:spacing w:after="120"/>
        <w:ind w:left="539" w:hanging="539"/>
        <w:rPr>
          <w:rStyle w:val="Hypertextovodkaz"/>
          <w:color w:val="000000"/>
          <w:sz w:val="24"/>
          <w:szCs w:val="24"/>
          <w:u w:val="none"/>
        </w:rPr>
      </w:pPr>
      <w:bookmarkStart w:id="46" w:name="_Toc404886999"/>
      <w:bookmarkStart w:id="47" w:name="_Toc405894507"/>
      <w:bookmarkStart w:id="48" w:name="_Toc418585158"/>
      <w:r w:rsidRPr="00DA432B">
        <w:rPr>
          <w:rStyle w:val="Hypertextovodkaz"/>
          <w:color w:val="000000"/>
          <w:sz w:val="24"/>
          <w:szCs w:val="24"/>
          <w:u w:val="none"/>
        </w:rPr>
        <w:t>Oblast 1. Vznik a rozvoj chorob</w:t>
      </w:r>
      <w:bookmarkEnd w:id="46"/>
      <w:bookmarkEnd w:id="47"/>
      <w:bookmarkEnd w:id="48"/>
    </w:p>
    <w:p w14:paraId="7AAA5789" w14:textId="77777777" w:rsidR="00A26675" w:rsidRPr="00DA432B" w:rsidRDefault="00A26675" w:rsidP="00AC5444">
      <w:pPr>
        <w:spacing w:after="60" w:line="288" w:lineRule="auto"/>
        <w:jc w:val="both"/>
        <w:rPr>
          <w:u w:val="single"/>
        </w:rPr>
      </w:pPr>
      <w:r w:rsidRPr="00DA432B">
        <w:rPr>
          <w:b/>
          <w:u w:val="single"/>
        </w:rPr>
        <w:t>Podoblast 1.1: Metabolické a endokrinní choroby</w:t>
      </w:r>
    </w:p>
    <w:p w14:paraId="73ED0F6A" w14:textId="77777777" w:rsidR="00A26675" w:rsidRPr="00DA432B" w:rsidRDefault="00A26675" w:rsidP="00AC5444">
      <w:pPr>
        <w:spacing w:after="60" w:line="288" w:lineRule="auto"/>
        <w:jc w:val="both"/>
        <w:rPr>
          <w:b/>
        </w:rPr>
      </w:pPr>
      <w:r w:rsidRPr="00DA432B">
        <w:rPr>
          <w:b/>
        </w:rPr>
        <w:t>Stěžejní cíl 1.1:</w:t>
      </w:r>
    </w:p>
    <w:p w14:paraId="68753E08" w14:textId="77777777" w:rsidR="00A26675" w:rsidRPr="00DA432B" w:rsidRDefault="00A26675" w:rsidP="00A26675">
      <w:pPr>
        <w:spacing w:after="60" w:line="288" w:lineRule="auto"/>
        <w:jc w:val="both"/>
      </w:pPr>
      <w:r w:rsidRPr="00DA432B">
        <w:t>Etiologie a patogeneze hlavních metabolických a endokrinních poruch v současné populaci bude objasněna a tím bude umožněna jejich prevence, zmírněn průběh a především sníženy jejich důsledky, které se promítají téměř do všech medicínských oblastí a podílej</w:t>
      </w:r>
      <w:r w:rsidR="004D6C8F" w:rsidRPr="00DA432B">
        <w:t>í se na </w:t>
      </w:r>
      <w:r w:rsidRPr="00DA432B">
        <w:t>celkové mortalitě. Tím dojde nejen k prodloužení délky, ale také zlepšení kvality aktivního života široké skupiny populace s odpovídajícím sociálním a ekonomickým dopadem.</w:t>
      </w:r>
    </w:p>
    <w:p w14:paraId="74D9A1BA" w14:textId="77777777" w:rsidR="00A26675" w:rsidRPr="00DA432B" w:rsidRDefault="00A26675" w:rsidP="0002223D">
      <w:pPr>
        <w:keepNext/>
        <w:widowControl w:val="0"/>
        <w:spacing w:before="60" w:line="288" w:lineRule="auto"/>
        <w:ind w:left="1797" w:hanging="1797"/>
        <w:jc w:val="both"/>
        <w:rPr>
          <w:b/>
        </w:rPr>
      </w:pPr>
      <w:r w:rsidRPr="00DA432B">
        <w:rPr>
          <w:b/>
        </w:rPr>
        <w:t>Dílčí cíl 1.1.1: Etiologie a patofyziologie inzulínové rezistence a metabolického syndromu</w:t>
      </w:r>
    </w:p>
    <w:p w14:paraId="5C1E6131" w14:textId="77777777" w:rsidR="00A26675" w:rsidRPr="00DA432B" w:rsidRDefault="00A26675" w:rsidP="00A26675">
      <w:pPr>
        <w:spacing w:after="60" w:line="288" w:lineRule="auto"/>
        <w:jc w:val="both"/>
      </w:pPr>
      <w:r w:rsidRPr="00DA432B">
        <w:t>Objasnění patogeneze vzájemných vztahů vrozených, vývojových a environmentálních faktorů pro vznik obezity, syndromu inzulínové rezistence a poruch intermediárního metabolismu vedoucích ke vzniku diabetu mellitu 2. typu a souvisejících onemocnění.</w:t>
      </w:r>
    </w:p>
    <w:p w14:paraId="14838220" w14:textId="77777777" w:rsidR="00A26675" w:rsidRPr="00DA432B" w:rsidRDefault="00A26675" w:rsidP="00A26675">
      <w:pPr>
        <w:widowControl w:val="0"/>
        <w:spacing w:before="60" w:line="288" w:lineRule="auto"/>
        <w:ind w:left="1800" w:hanging="1800"/>
        <w:jc w:val="both"/>
        <w:rPr>
          <w:b/>
        </w:rPr>
      </w:pPr>
      <w:r w:rsidRPr="00DA432B">
        <w:rPr>
          <w:b/>
        </w:rPr>
        <w:t>Dílčí cíl 1.1.2: Etiologie a patogeneze imunitně zprostředkovaných endokrinních chorob</w:t>
      </w:r>
    </w:p>
    <w:p w14:paraId="1423B9A1" w14:textId="77777777" w:rsidR="00A26675" w:rsidRPr="00DA432B" w:rsidRDefault="00A26675" w:rsidP="00A26675">
      <w:pPr>
        <w:spacing w:after="60" w:line="288" w:lineRule="auto"/>
        <w:jc w:val="both"/>
      </w:pPr>
      <w:r w:rsidRPr="00DA432B">
        <w:t>Identifikace vyvolávajících faktorů a mechanizmu vzniku autoimunitně zprostředkovaných poruch žláz s vnitřní sekrecí, především diabetes mellitus 1. typu, thyreopatií, onemocnění nadledvin, hypofýzy, ale i dalších žláz s vnitřní sekrecí a polyglandulárních autoimunitních syndromů. Identifikace etiologických a patogenetických faktorů podílejících se na vzniku ostatních onemocnění žláz s vnitřní sekrecí, jejich komplikac</w:t>
      </w:r>
      <w:r w:rsidR="00A560BA" w:rsidRPr="00DA432B">
        <w:t>í a přidružených chorob. V této </w:t>
      </w:r>
      <w:r w:rsidRPr="00DA432B">
        <w:t>oblasti je rovněž třeba podporovat studium etiopatogene</w:t>
      </w:r>
      <w:r w:rsidR="00BC25F8" w:rsidRPr="00DA432B">
        <w:t>ze dědičných poruch metabolismu</w:t>
      </w:r>
      <w:r w:rsidR="00A560BA" w:rsidRPr="00DA432B">
        <w:t> </w:t>
      </w:r>
      <w:r w:rsidRPr="00DA432B">
        <w:t>a na základě těchto znalostí rozvíjet nové diagnostické a léčebné postupy.</w:t>
      </w:r>
    </w:p>
    <w:p w14:paraId="39950B36" w14:textId="77777777" w:rsidR="00A26675" w:rsidRPr="00DA432B" w:rsidRDefault="00A26675" w:rsidP="00A26675">
      <w:pPr>
        <w:widowControl w:val="0"/>
        <w:spacing w:before="60" w:line="288" w:lineRule="auto"/>
        <w:ind w:left="1800" w:hanging="1800"/>
        <w:jc w:val="both"/>
        <w:rPr>
          <w:b/>
        </w:rPr>
      </w:pPr>
      <w:r w:rsidRPr="00DA432B">
        <w:rPr>
          <w:b/>
        </w:rPr>
        <w:t>Dílčí cíl 1.1.3:Patogeneze a léčba komplikací diabetu</w:t>
      </w:r>
    </w:p>
    <w:p w14:paraId="25DBF986" w14:textId="77777777" w:rsidR="00A26675" w:rsidRPr="00DA432B" w:rsidRDefault="00A26675" w:rsidP="00A26675">
      <w:pPr>
        <w:spacing w:after="60" w:line="288" w:lineRule="auto"/>
        <w:jc w:val="both"/>
      </w:pPr>
      <w:r w:rsidRPr="00DA432B">
        <w:t>Identifikace mechanismů rozvoje chronických komplikací diabetu jako jsou diabetická nefropatie, retinopatie, polyneuropatie, syndrom diabetické nohy a diabetická makroangiopatie a zavedení nových postupů v jejich prevenci a terapii. Nutná je také podpora vytvoření registrů pacientů se všemi výše popsanými onemocněními, která umožní využití takto získaných údajů pro vědu a výzkum.</w:t>
      </w:r>
    </w:p>
    <w:p w14:paraId="03005A88" w14:textId="77777777" w:rsidR="00A26675" w:rsidRPr="00DA432B" w:rsidRDefault="00A26675" w:rsidP="005E6FEB">
      <w:pPr>
        <w:spacing w:line="288" w:lineRule="auto"/>
        <w:jc w:val="both"/>
      </w:pPr>
    </w:p>
    <w:p w14:paraId="3F9DC682" w14:textId="77777777" w:rsidR="00A26675" w:rsidRPr="00DA432B" w:rsidRDefault="00A26675" w:rsidP="00AC5444">
      <w:pPr>
        <w:spacing w:after="60" w:line="288" w:lineRule="auto"/>
        <w:jc w:val="both"/>
        <w:rPr>
          <w:u w:val="single"/>
        </w:rPr>
      </w:pPr>
      <w:r w:rsidRPr="00DA432B">
        <w:rPr>
          <w:b/>
          <w:u w:val="single"/>
        </w:rPr>
        <w:t>Podoblast 1.2: Nemoci oběhové soustavy</w:t>
      </w:r>
    </w:p>
    <w:p w14:paraId="22D53E6D" w14:textId="77777777" w:rsidR="00A26675" w:rsidRPr="00DA432B" w:rsidRDefault="00A26675" w:rsidP="00AC5444">
      <w:pPr>
        <w:spacing w:after="60"/>
        <w:rPr>
          <w:b/>
        </w:rPr>
      </w:pPr>
      <w:r w:rsidRPr="00DA432B">
        <w:rPr>
          <w:b/>
        </w:rPr>
        <w:t>Stěžejní cíl 1.2:</w:t>
      </w:r>
    </w:p>
    <w:p w14:paraId="69C893DE" w14:textId="77777777" w:rsidR="007F7B50" w:rsidRPr="00DA432B" w:rsidRDefault="007F7B50" w:rsidP="007F7B50">
      <w:pPr>
        <w:widowControl w:val="0"/>
        <w:spacing w:before="60" w:line="288" w:lineRule="auto"/>
        <w:jc w:val="both"/>
      </w:pPr>
      <w:r w:rsidRPr="00DA432B">
        <w:t>Imposantní pokrok v prognóze, diagnostice a terapii ischemické choroby srdeční, jejích rizikových faktorů a dalších KVO by byl nemyslitelný be</w:t>
      </w:r>
      <w:r w:rsidR="00A5010B" w:rsidRPr="00DA432B">
        <w:t>z těsné spolupráce teoretických</w:t>
      </w:r>
      <w:r w:rsidR="00A560BA" w:rsidRPr="00DA432B">
        <w:t> a </w:t>
      </w:r>
      <w:r w:rsidRPr="00DA432B">
        <w:t>klinických kardiologů, kardiochirurgů, angiologů a cévních chirurgů</w:t>
      </w:r>
      <w:r w:rsidR="00A560BA" w:rsidRPr="00DA432B">
        <w:t>. Tato </w:t>
      </w:r>
      <w:r w:rsidR="00A5010B" w:rsidRPr="00DA432B">
        <w:t>kooperace má</w:t>
      </w:r>
      <w:r w:rsidR="00A560BA" w:rsidRPr="00DA432B">
        <w:t xml:space="preserve"> </w:t>
      </w:r>
      <w:r w:rsidRPr="00DA432B">
        <w:t>u nás dlouholetou tradici a je hnacím motorem vědeckého pokroku. Cílem výzkumné činnosti bude přispět k objasnění etiologi</w:t>
      </w:r>
      <w:r w:rsidR="00A560BA" w:rsidRPr="00DA432B">
        <w:t>ckých faktorů a molekulárních a </w:t>
      </w:r>
      <w:r w:rsidRPr="00DA432B">
        <w:t>buněčných patogenetických mechanismů, které se podílejí na vzniku ischemické choroby srdeční a jejích rizikových faktorů, srdečního selhání, poruch srdečního rytmu, strukturálních a zánětlivých onemocnění srdce, vrozených srdečních vad a nemocí tepenného a žilního systém</w:t>
      </w:r>
      <w:r w:rsidR="00651F18" w:rsidRPr="00DA432B">
        <w:t>u</w:t>
      </w:r>
      <w:r w:rsidRPr="00DA432B">
        <w:t xml:space="preserve">, se zvláštním zřetelem ke zlepšení jejich prevence, časné diagnostiky a vysoce individualizované léčby. Budou identifikovány nové etiologické faktory a nové patofyziologické mechanismy ovlivňující vznik a progresi kardiovaskulárních onemocnění, zejména: ischemické choroby srdeční, srdečního selhání, poruch srdečního rytmu, hypertenze, strukturálních onemocnění srdce, ICHDK, aortálních aneurysmat, chronické žilní insuficience, </w:t>
      </w:r>
      <w:r w:rsidR="00A5010B" w:rsidRPr="00DA432B">
        <w:t>zánětlivých onemocnění srdce</w:t>
      </w:r>
      <w:r w:rsidR="00A560BA" w:rsidRPr="00DA432B">
        <w:t xml:space="preserve"> </w:t>
      </w:r>
      <w:r w:rsidRPr="00DA432B">
        <w:t>i ostatních nemocí tepenného a žilního systému; s jasným dopadem na zlepšení jejich prevence, časné diagnostiky a vysoce individualizované léčby.</w:t>
      </w:r>
    </w:p>
    <w:p w14:paraId="4EDD954C" w14:textId="77777777" w:rsidR="00A26675" w:rsidRPr="00DA432B" w:rsidRDefault="007F7B50" w:rsidP="007F7B50">
      <w:pPr>
        <w:widowControl w:val="0"/>
        <w:spacing w:before="60" w:line="288" w:lineRule="auto"/>
        <w:jc w:val="both"/>
      </w:pPr>
      <w:r w:rsidRPr="00DA432B">
        <w:t>Budou poznány etiopatogenetické mechanismy, které jsou příčinou C</w:t>
      </w:r>
      <w:r w:rsidR="00651F18" w:rsidRPr="00DA432B">
        <w:t>MP, a možnosti jejich ovlivnění</w:t>
      </w:r>
      <w:r w:rsidRPr="00DA432B">
        <w:t xml:space="preserve"> a to zejména z oblasti „netradičních“ rizikových faktorů. Dále budou rozpoznány mechanismy, které vedou ke vzniku neurologického postižení u pacientů s mozkovým infarktem, spontánním mozkovým krvácením a spontánním subarachnoidálním krváce</w:t>
      </w:r>
      <w:r w:rsidR="00A5010B" w:rsidRPr="00DA432B">
        <w:t>ním</w:t>
      </w:r>
      <w:r w:rsidR="00651F18" w:rsidRPr="00DA432B">
        <w:t>,</w:t>
      </w:r>
      <w:r w:rsidR="00A560BA" w:rsidRPr="00DA432B">
        <w:t xml:space="preserve"> a </w:t>
      </w:r>
      <w:r w:rsidRPr="00DA432B">
        <w:t>objasněny možnosti jejich ovlivnění. Budou objasněny důvody úspěchu a selhání terapeutických postupů u pacientů s CMP. Budou pochopeny regen</w:t>
      </w:r>
      <w:r w:rsidR="00A560BA" w:rsidRPr="00DA432B">
        <w:t>erační mechanismy, které </w:t>
      </w:r>
      <w:r w:rsidRPr="00DA432B">
        <w:t>jsou reakcí na postižení nervového systému včetn</w:t>
      </w:r>
      <w:r w:rsidR="00A5010B" w:rsidRPr="00DA432B">
        <w:t>ě mechanismů mozkové plasticity</w:t>
      </w:r>
      <w:r w:rsidR="00A560BA" w:rsidRPr="00DA432B">
        <w:t xml:space="preserve"> a </w:t>
      </w:r>
      <w:r w:rsidRPr="00DA432B">
        <w:t>regenerace mozkové tkáně v rámci neurorehabilitace.</w:t>
      </w:r>
    </w:p>
    <w:p w14:paraId="25B562CC" w14:textId="77777777" w:rsidR="00A26675" w:rsidRPr="00DA432B" w:rsidRDefault="00A26675" w:rsidP="00A26675">
      <w:pPr>
        <w:widowControl w:val="0"/>
        <w:spacing w:before="60" w:line="288" w:lineRule="auto"/>
        <w:jc w:val="both"/>
        <w:rPr>
          <w:b/>
        </w:rPr>
      </w:pPr>
      <w:r w:rsidRPr="00DA432B">
        <w:rPr>
          <w:b/>
        </w:rPr>
        <w:t>Dílčí cíl 1.2.1: Objasnění etiologických faktorů a patofyziologických dějů ovlivňujících vznik a průběh kardiovaskulárních (KVO) a cerebrovaskulárních onemocnění (CVO)</w:t>
      </w:r>
    </w:p>
    <w:p w14:paraId="3A9BEBF3" w14:textId="77777777" w:rsidR="00A26675" w:rsidRPr="00DA432B" w:rsidRDefault="00A26675" w:rsidP="00A26675">
      <w:pPr>
        <w:widowControl w:val="0"/>
        <w:spacing w:before="60" w:line="288" w:lineRule="auto"/>
        <w:jc w:val="both"/>
        <w:rPr>
          <w:rFonts w:ascii="Calibri" w:hAnsi="Calibri"/>
          <w:sz w:val="22"/>
        </w:rPr>
      </w:pPr>
      <w:r w:rsidRPr="00DA432B">
        <w:t>Preferován bude multioborový biomedicínský výzkum, přinášející kvalitativně nové poznatky o příčinách a mechanizmech, ovlivňujících rozvoj a průběh KVO a CVO, s jasně definovaným klinickým přínosem pro zlepšení jejich prevence, diagnostiky či léčby.</w:t>
      </w:r>
    </w:p>
    <w:p w14:paraId="0AB799D4" w14:textId="77777777" w:rsidR="00A26675" w:rsidRPr="00DA432B" w:rsidRDefault="00A26675" w:rsidP="00A26675">
      <w:pPr>
        <w:widowControl w:val="0"/>
        <w:spacing w:before="60" w:line="288" w:lineRule="auto"/>
        <w:jc w:val="both"/>
        <w:rPr>
          <w:b/>
        </w:rPr>
      </w:pPr>
      <w:r w:rsidRPr="00DA432B">
        <w:rPr>
          <w:b/>
        </w:rPr>
        <w:t>Dílčí cíl 1.2.2: Rozvoj časné diagn</w:t>
      </w:r>
      <w:r w:rsidR="00A5010B" w:rsidRPr="00DA432B">
        <w:rPr>
          <w:b/>
        </w:rPr>
        <w:t>ostiky kardiovaskulárních (KVO)</w:t>
      </w:r>
      <w:r w:rsidR="00A560BA" w:rsidRPr="00DA432B">
        <w:rPr>
          <w:b/>
        </w:rPr>
        <w:t xml:space="preserve"> a </w:t>
      </w:r>
      <w:r w:rsidRPr="00DA432B">
        <w:rPr>
          <w:b/>
        </w:rPr>
        <w:t>cerebrovaskulárních onemocnění (CVO) a nalez</w:t>
      </w:r>
      <w:r w:rsidR="00A5010B" w:rsidRPr="00DA432B">
        <w:rPr>
          <w:b/>
        </w:rPr>
        <w:t>ení léčebných modalit a postupů</w:t>
      </w:r>
      <w:r w:rsidR="00A560BA" w:rsidRPr="00DA432B">
        <w:rPr>
          <w:b/>
        </w:rPr>
        <w:t xml:space="preserve"> v </w:t>
      </w:r>
      <w:r w:rsidRPr="00DA432B">
        <w:rPr>
          <w:b/>
        </w:rPr>
        <w:t>terapii kardiovaskulárních a cerebrovaskulárních onemocnění s vyšší terapeutickou efektivitou a vyšší šetrností pro nemocného</w:t>
      </w:r>
    </w:p>
    <w:p w14:paraId="4095179B" w14:textId="77777777" w:rsidR="00A26675" w:rsidRPr="00DA432B" w:rsidRDefault="00A26675" w:rsidP="00A26675">
      <w:pPr>
        <w:widowControl w:val="0"/>
        <w:spacing w:before="60" w:line="288" w:lineRule="auto"/>
        <w:jc w:val="both"/>
      </w:pPr>
      <w:r w:rsidRPr="00DA432B">
        <w:t xml:space="preserve">Preferován je multioborový výzkum a vývoj </w:t>
      </w:r>
      <w:r w:rsidR="00A5010B" w:rsidRPr="00DA432B">
        <w:t>nových technologií, metod, léků</w:t>
      </w:r>
      <w:r w:rsidR="00A560BA" w:rsidRPr="00DA432B">
        <w:t xml:space="preserve"> a </w:t>
      </w:r>
      <w:r w:rsidRPr="00DA432B">
        <w:t xml:space="preserve">diagnostických a léčebných postupů s jasně definovaným klinickým přínosem pro časnou diagnostiku anebo vysoce účinnou cílenou léčbu KVO a CVO, respektující jedinečnost každého pacienta. Do této oblasti spadá rovněž výzkum vedoucí k identifikaci a ověření regeneračních, rehabilitačních, resocializačních </w:t>
      </w:r>
      <w:r w:rsidR="00A5010B" w:rsidRPr="00DA432B">
        <w:t>a edukačních postupů u pacientů</w:t>
      </w:r>
      <w:r w:rsidR="00A560BA" w:rsidRPr="00DA432B">
        <w:t xml:space="preserve"> s </w:t>
      </w:r>
      <w:r w:rsidRPr="00DA432B">
        <w:t>kardiovaskulárními a cerebrovaskulárními onemocněn</w:t>
      </w:r>
      <w:r w:rsidR="00A5010B" w:rsidRPr="00DA432B">
        <w:t>ími ke zkrácení rekonvalescence</w:t>
      </w:r>
      <w:r w:rsidR="00A560BA" w:rsidRPr="00DA432B">
        <w:t xml:space="preserve"> a </w:t>
      </w:r>
      <w:r w:rsidRPr="00DA432B">
        <w:t>pracovní neschopnosti nemocných a zlepšení jejich sociálního uplatnění.</w:t>
      </w:r>
    </w:p>
    <w:p w14:paraId="32B77AFD" w14:textId="77777777" w:rsidR="00A26675" w:rsidRPr="00DA432B" w:rsidRDefault="00A26675" w:rsidP="00A26675"/>
    <w:p w14:paraId="43F6020B" w14:textId="178E27D6" w:rsidR="00A26675" w:rsidRPr="00DA432B" w:rsidRDefault="00D208AD" w:rsidP="00AC5444">
      <w:pPr>
        <w:spacing w:after="60"/>
        <w:rPr>
          <w:b/>
          <w:u w:val="single"/>
        </w:rPr>
      </w:pPr>
      <w:r>
        <w:rPr>
          <w:b/>
          <w:u w:val="single"/>
        </w:rPr>
        <w:br/>
      </w:r>
      <w:r w:rsidR="00A26675" w:rsidRPr="00DA432B">
        <w:rPr>
          <w:b/>
          <w:u w:val="single"/>
        </w:rPr>
        <w:t>Podoblast 1.3: Nádorová onemocnění</w:t>
      </w:r>
    </w:p>
    <w:p w14:paraId="4FB93A6F" w14:textId="77777777" w:rsidR="00A26675" w:rsidRPr="00DA432B" w:rsidRDefault="00A26675" w:rsidP="00AC5444">
      <w:pPr>
        <w:spacing w:after="60"/>
        <w:rPr>
          <w:b/>
        </w:rPr>
      </w:pPr>
      <w:r w:rsidRPr="00DA432B">
        <w:rPr>
          <w:b/>
        </w:rPr>
        <w:t>Stěžejní cíl 1.3</w:t>
      </w:r>
    </w:p>
    <w:p w14:paraId="10039762" w14:textId="77777777" w:rsidR="00A26675" w:rsidRPr="00DA432B" w:rsidRDefault="00A26675" w:rsidP="00A26675">
      <w:pPr>
        <w:widowControl w:val="0"/>
        <w:spacing w:before="60" w:line="288" w:lineRule="auto"/>
        <w:jc w:val="both"/>
      </w:pPr>
      <w:r w:rsidRPr="00DA432B">
        <w:t>Preferován je multioborový výzkum přinášející kvalita</w:t>
      </w:r>
      <w:r w:rsidR="00A5010B" w:rsidRPr="00DA432B">
        <w:t>tivně nové poznatky o příčinách</w:t>
      </w:r>
      <w:r w:rsidR="00A560BA" w:rsidRPr="00DA432B">
        <w:t xml:space="preserve"> a </w:t>
      </w:r>
      <w:r w:rsidRPr="00DA432B">
        <w:t>mechanismech ovlivňujících rozvoj a průběh nádorových onemocnění s jasně definovaným klinickým přínosem pro následné zlepšení jejich prevence, diagnostiky a léčby. Budou vyvinuty nové diagnostické postupy pro včasný záchyt nádorových onemocnění s využitím nově identifikovaných nádorových biomarkerů využitelných pro rychlý a levný skríning celé populace a individualizaci léčby. Budou vyvinuty terapeutické přístupy založené na popisu biologie individuálního nádoru s minimalizací vedlejších účinků.</w:t>
      </w:r>
    </w:p>
    <w:p w14:paraId="74D34305" w14:textId="77777777" w:rsidR="00A26675" w:rsidRPr="00DA432B" w:rsidRDefault="00A26675" w:rsidP="00A26675">
      <w:pPr>
        <w:widowControl w:val="0"/>
        <w:spacing w:before="60" w:line="288" w:lineRule="auto"/>
        <w:ind w:left="1526" w:hanging="1526"/>
        <w:jc w:val="both"/>
        <w:rPr>
          <w:b/>
        </w:rPr>
      </w:pPr>
      <w:r w:rsidRPr="00DA432B">
        <w:rPr>
          <w:b/>
        </w:rPr>
        <w:t>Dílčí cíl 1.3.1: Nádorová biologie ve vztahu k diagnostickým a terapeutickým cílům</w:t>
      </w:r>
    </w:p>
    <w:p w14:paraId="67BF0E66" w14:textId="77777777" w:rsidR="00A26675" w:rsidRPr="00DA432B" w:rsidRDefault="00D05EF1" w:rsidP="00A26675">
      <w:pPr>
        <w:widowControl w:val="0"/>
        <w:spacing w:before="60" w:line="288" w:lineRule="auto"/>
        <w:jc w:val="both"/>
      </w:pPr>
      <w:r w:rsidRPr="00DA432B">
        <w:t>Studium biologických mechanismů vzniku nádorových onemocnění. Identifikace nových terapeutických cílů a biomarkerů, které umožní lepší diagnostiku a léčbu nádorových nemocí. Zvláštní pozornost bude věnována propojení diagnostiky s cílenou léčbou a zavedení nových terapeutických přístupů založených na kombinované léčbě, epigenetice, sofistikovaným drug-delivery systémům a léčbě rezistentního nádorového onemocnění.</w:t>
      </w:r>
    </w:p>
    <w:p w14:paraId="27985B5D" w14:textId="77777777" w:rsidR="00A26675" w:rsidRPr="00DA432B" w:rsidRDefault="00A26675" w:rsidP="00A26675">
      <w:pPr>
        <w:widowControl w:val="0"/>
        <w:spacing w:before="60" w:line="288" w:lineRule="auto"/>
        <w:jc w:val="both"/>
        <w:rPr>
          <w:b/>
        </w:rPr>
      </w:pPr>
      <w:r w:rsidRPr="00DA432B">
        <w:rPr>
          <w:b/>
        </w:rPr>
        <w:t>Dílčí cíl 1.3.2: Analýza vztahů hostitel-nádor jako prostředek individualizace diagnostiky a léčby</w:t>
      </w:r>
    </w:p>
    <w:p w14:paraId="1AF5BF60" w14:textId="77777777" w:rsidR="00A26675" w:rsidRPr="00DA432B" w:rsidRDefault="00A26675" w:rsidP="00A26675">
      <w:pPr>
        <w:widowControl w:val="0"/>
        <w:spacing w:before="60" w:line="288" w:lineRule="auto"/>
        <w:jc w:val="both"/>
      </w:pPr>
      <w:r w:rsidRPr="00DA432B">
        <w:t>Studium vztahu mezi nádorem a jeho hostitelem př</w:t>
      </w:r>
      <w:r w:rsidR="00A5010B" w:rsidRPr="00DA432B">
        <w:t>ispěje k rozvoji diagnostických</w:t>
      </w:r>
      <w:r w:rsidR="00A560BA" w:rsidRPr="00DA432B">
        <w:t xml:space="preserve"> a </w:t>
      </w:r>
      <w:r w:rsidRPr="00DA432B">
        <w:t>terapeutických metod umožňujících monitorovat a terapeuticky využít intera</w:t>
      </w:r>
      <w:r w:rsidR="00A560BA" w:rsidRPr="00DA432B">
        <w:t>kci mezi </w:t>
      </w:r>
      <w:r w:rsidRPr="00DA432B">
        <w:t>normálními a nádorovými buňkami, pochopit význam</w:t>
      </w:r>
      <w:r w:rsidR="00A5010B" w:rsidRPr="00DA432B">
        <w:t xml:space="preserve"> nádorového stromatu, zánětlivé</w:t>
      </w:r>
      <w:r w:rsidR="00A560BA" w:rsidRPr="00DA432B">
        <w:t xml:space="preserve"> a </w:t>
      </w:r>
      <w:r w:rsidRPr="00DA432B">
        <w:t>imunitní odpovědi pro vznik a rozvoj nádorů.</w:t>
      </w:r>
    </w:p>
    <w:p w14:paraId="60BB8F61" w14:textId="77777777" w:rsidR="00A26675" w:rsidRPr="00DA432B" w:rsidRDefault="00A26675" w:rsidP="005E6FEB">
      <w:pPr>
        <w:widowControl w:val="0"/>
        <w:spacing w:line="288" w:lineRule="auto"/>
        <w:jc w:val="both"/>
      </w:pPr>
    </w:p>
    <w:p w14:paraId="16785D59" w14:textId="77777777" w:rsidR="00A26675" w:rsidRPr="00DA432B" w:rsidRDefault="00A26675" w:rsidP="00AC5444">
      <w:pPr>
        <w:widowControl w:val="0"/>
        <w:spacing w:before="60" w:after="60" w:line="288" w:lineRule="auto"/>
        <w:jc w:val="both"/>
        <w:rPr>
          <w:u w:val="single"/>
        </w:rPr>
      </w:pPr>
      <w:r w:rsidRPr="00DA432B">
        <w:rPr>
          <w:b/>
          <w:u w:val="single"/>
        </w:rPr>
        <w:t>Podoblast 1.4: Nervová a psychická onemocnění</w:t>
      </w:r>
    </w:p>
    <w:p w14:paraId="22A1E265" w14:textId="77777777" w:rsidR="00A26675" w:rsidRPr="00DA432B" w:rsidRDefault="00A26675" w:rsidP="00AC5444">
      <w:pPr>
        <w:spacing w:after="60"/>
        <w:rPr>
          <w:b/>
        </w:rPr>
      </w:pPr>
      <w:r w:rsidRPr="00DA432B">
        <w:rPr>
          <w:b/>
        </w:rPr>
        <w:t>Stěžejní cíl 1.4:</w:t>
      </w:r>
    </w:p>
    <w:p w14:paraId="377705F9" w14:textId="77777777" w:rsidR="00A26675" w:rsidRPr="00DA432B" w:rsidRDefault="00A26675" w:rsidP="00A26675">
      <w:pPr>
        <w:widowControl w:val="0"/>
        <w:spacing w:before="60" w:line="288" w:lineRule="auto"/>
        <w:jc w:val="both"/>
      </w:pPr>
      <w:r w:rsidRPr="00DA432B">
        <w:t>Hlavním cílem je základní i aplikovaný výzkum vedoucí k objasnění etiologie i patogeneze závažných onemocnění nervového systému v rozsahu, který povede k co nejčasnějšímu stanovení správné diagnózy a k zahájení kauzální léčby. F</w:t>
      </w:r>
      <w:r w:rsidR="00A560BA" w:rsidRPr="00DA432B">
        <w:t>inálním výstupem je vyléčení či </w:t>
      </w:r>
      <w:r w:rsidRPr="00DA432B">
        <w:t>minimalizace obtíží a zlepšení funkční kapacity i kvality života nemocných. Tím se umenší psychická, sociální a ekonomická zátěž pro rodiny nemocných i pro společnost. Součástí stěžejního cíle je i včasná identifikace rizikových jedinců a preklinických stavů tak, aby byla možná co nejúčinnější predikce a včasná prevence nervových i psychických onemocnění.</w:t>
      </w:r>
    </w:p>
    <w:p w14:paraId="6C2CEDA8" w14:textId="77777777" w:rsidR="00A26675" w:rsidRPr="00DA432B" w:rsidRDefault="00A26675" w:rsidP="00A26675">
      <w:r w:rsidRPr="00DA432B">
        <w:rPr>
          <w:b/>
        </w:rPr>
        <w:t>Dílčí cíl 1.4.1: Psychická a neurologická onemocnění</w:t>
      </w:r>
    </w:p>
    <w:p w14:paraId="12A63BD2" w14:textId="77777777" w:rsidR="00A26675" w:rsidRPr="00DA432B" w:rsidRDefault="00D05EF1" w:rsidP="00A26675">
      <w:pPr>
        <w:widowControl w:val="0"/>
        <w:spacing w:before="60" w:line="288" w:lineRule="auto"/>
        <w:jc w:val="both"/>
      </w:pPr>
      <w:r w:rsidRPr="00DA432B">
        <w:t xml:space="preserve">Objasnění genetických, epigenetických a environmentálních </w:t>
      </w:r>
      <w:r w:rsidR="00A5010B" w:rsidRPr="00DA432B">
        <w:t>faktorů přispívajících k</w:t>
      </w:r>
      <w:r w:rsidR="00A560BA" w:rsidRPr="00DA432B">
        <w:t> </w:t>
      </w:r>
      <w:r w:rsidR="00A5010B" w:rsidRPr="00DA432B">
        <w:t>vzniku</w:t>
      </w:r>
      <w:r w:rsidR="00A560BA" w:rsidRPr="00DA432B">
        <w:t xml:space="preserve"> a </w:t>
      </w:r>
      <w:r w:rsidRPr="00DA432B">
        <w:t xml:space="preserve">rozvoji psychických a neurologických onemocnění je nezbytným předpokladem zlepšení prevence, vývoje nových léčebných postupů i zkvalitnění komplexní </w:t>
      </w:r>
      <w:r w:rsidR="00A560BA" w:rsidRPr="00DA432B">
        <w:t>péče o pacienty se </w:t>
      </w:r>
      <w:r w:rsidRPr="00DA432B">
        <w:t>širokou škálou onemocnění, včetně cévních mozkových příhod, epilepsií, demencí, schizofrenie, deprese, bipolárních poruch, úzkostných poruch, autismu, hyperkinetické poruchy, poruch příjmu potravy, roztroušené sklerózy, extrapyramidových a mozečkových onemocnění, neuromuskulárních a neuropatických postižení a dalších poruch nervové soustavy, které se manifestují psychickým či neurologickým onemocněním.</w:t>
      </w:r>
    </w:p>
    <w:p w14:paraId="0E51AF73" w14:textId="77777777" w:rsidR="00A26675" w:rsidRPr="00DA432B" w:rsidRDefault="00A26675" w:rsidP="00A26675">
      <w:pPr>
        <w:widowControl w:val="0"/>
        <w:spacing w:before="60" w:line="288" w:lineRule="auto"/>
        <w:ind w:left="1526" w:hanging="1526"/>
        <w:jc w:val="both"/>
        <w:rPr>
          <w:b/>
        </w:rPr>
      </w:pPr>
      <w:r w:rsidRPr="00DA432B">
        <w:rPr>
          <w:b/>
        </w:rPr>
        <w:t>Dílčí cíl 1.4.2: Diagnostika onemocnění nervové soustavy</w:t>
      </w:r>
    </w:p>
    <w:p w14:paraId="6EC47F2E" w14:textId="77777777" w:rsidR="00A26675" w:rsidRPr="00DA432B" w:rsidRDefault="00D05EF1" w:rsidP="00A26675">
      <w:pPr>
        <w:widowControl w:val="0"/>
        <w:spacing w:before="60" w:line="288" w:lineRule="auto"/>
        <w:jc w:val="both"/>
      </w:pPr>
      <w:r w:rsidRPr="00DA432B">
        <w:t>Rozšíření a inovace stávající diagnostiky zahrnující molekulární genetiku (např. celoexomové sekvenování), elektrofyziologické techniky všech modalit, strukturální i funkční neurozobrazovací metody a technologie vedoucí k objasnění fyziolog</w:t>
      </w:r>
      <w:r w:rsidR="00A5010B" w:rsidRPr="00DA432B">
        <w:t>ických, vývojových</w:t>
      </w:r>
      <w:r w:rsidR="00A560BA" w:rsidRPr="00DA432B">
        <w:t xml:space="preserve"> a </w:t>
      </w:r>
      <w:r w:rsidRPr="00DA432B">
        <w:t>pro jednotlivé diagnózy specifických změn mozkového konektomu u pacientů s autismem, epilepsií, schizofrenií a dalšími poruchami propojení klíčových oblastí mozku. Součástí diagnostiky je hledání bilogických markerů jednotlivých onemocnění i nových experimentálních a klinických neuropsychologických testů.</w:t>
      </w:r>
    </w:p>
    <w:p w14:paraId="034FEE97" w14:textId="77777777" w:rsidR="00A26675" w:rsidRPr="00DA432B" w:rsidRDefault="00A26675" w:rsidP="00A26675">
      <w:pPr>
        <w:widowControl w:val="0"/>
        <w:spacing w:before="60" w:line="288" w:lineRule="auto"/>
        <w:ind w:left="1526" w:hanging="1526"/>
        <w:jc w:val="both"/>
        <w:rPr>
          <w:b/>
        </w:rPr>
      </w:pPr>
      <w:r w:rsidRPr="00DA432B">
        <w:rPr>
          <w:b/>
        </w:rPr>
        <w:t>Dílčí cíl 1.4.3: Vyšší efektivita léčebných postupů u onemocnění nervové soustavy</w:t>
      </w:r>
    </w:p>
    <w:p w14:paraId="2C80D978" w14:textId="77777777" w:rsidR="00A26675" w:rsidRPr="00DA432B" w:rsidRDefault="00A26675" w:rsidP="00A26675">
      <w:pPr>
        <w:widowControl w:val="0"/>
        <w:spacing w:before="60" w:line="288" w:lineRule="auto"/>
        <w:jc w:val="both"/>
      </w:pPr>
      <w:r w:rsidRPr="00DA432B">
        <w:t>Nalezení nových léčebných modalit i zpřesnění a inovace stá</w:t>
      </w:r>
      <w:r w:rsidR="00A560BA" w:rsidRPr="00DA432B">
        <w:t>vajících léčebných postupů na </w:t>
      </w:r>
      <w:r w:rsidRPr="00DA432B">
        <w:t>základě genotypu či endofenotypu včetně farmakogenetických analýz za účelem minimalizace nežádoucích účinků. Kritériem efektivity bude nejen vyléčení či zmírnění klinických obtíží, ale i maximální možná kvalita života zahrnující i důstojnou</w:t>
      </w:r>
      <w:r w:rsidR="00A5010B" w:rsidRPr="00DA432B">
        <w:t xml:space="preserve"> psychosociální úroveň pacienta</w:t>
      </w:r>
      <w:r w:rsidR="00A560BA" w:rsidRPr="00DA432B">
        <w:t xml:space="preserve"> </w:t>
      </w:r>
      <w:r w:rsidRPr="00DA432B">
        <w:t>i jeho rodiny.</w:t>
      </w:r>
    </w:p>
    <w:p w14:paraId="6623966D" w14:textId="77777777" w:rsidR="00A26675" w:rsidRPr="00DA432B" w:rsidRDefault="00A26675" w:rsidP="00A26675">
      <w:pPr>
        <w:widowControl w:val="0"/>
        <w:spacing w:before="60" w:line="288" w:lineRule="auto"/>
        <w:ind w:left="1526" w:hanging="1526"/>
        <w:jc w:val="both"/>
        <w:rPr>
          <w:b/>
        </w:rPr>
      </w:pPr>
      <w:r w:rsidRPr="00DA432B">
        <w:rPr>
          <w:b/>
        </w:rPr>
        <w:t>Dílčí cíl 1.4.4: Zajištění kvality života u pacientů s onemocněním nervové soustavy</w:t>
      </w:r>
    </w:p>
    <w:p w14:paraId="7E4ECF87" w14:textId="77777777" w:rsidR="00A26675" w:rsidRPr="00DA432B" w:rsidRDefault="00A26675" w:rsidP="00A26675">
      <w:pPr>
        <w:widowControl w:val="0"/>
        <w:spacing w:before="60" w:line="288" w:lineRule="auto"/>
        <w:jc w:val="both"/>
      </w:pPr>
      <w:r w:rsidRPr="00DA432B">
        <w:t>V kontextu s předchozím cílem musí být hlavní prioritou neurovědního výzkumu zajištění maximálně možné kvality života jedinců trpících one</w:t>
      </w:r>
      <w:r w:rsidR="00A560BA" w:rsidRPr="00DA432B">
        <w:t>mocněními nervové soustavy a to </w:t>
      </w:r>
      <w:r w:rsidRPr="00DA432B">
        <w:t>prostřednictvím nejen časné diagnostiky a terapie, ale i návazné kontinuální neurorehabilitace, psychoterapeutické i psychosociální péče, psychoedukace a moderní komunitní sociální péče zahrnující stacionární a respitní služby.</w:t>
      </w:r>
    </w:p>
    <w:p w14:paraId="307C5884" w14:textId="77777777" w:rsidR="00A26675" w:rsidRPr="00DA432B" w:rsidRDefault="00A26675" w:rsidP="00A26675">
      <w:pPr>
        <w:widowControl w:val="0"/>
        <w:spacing w:before="60" w:line="288" w:lineRule="auto"/>
        <w:jc w:val="both"/>
      </w:pPr>
      <w:r w:rsidRPr="00DA432B">
        <w:t>Cílem je nejen zvýšení funkční kapacity a kvality života s omezením revertence</w:t>
      </w:r>
      <w:r w:rsidR="00A5010B" w:rsidRPr="00DA432B">
        <w:t xml:space="preserve"> (četnosti</w:t>
      </w:r>
      <w:r w:rsidR="00A560BA" w:rsidRPr="00DA432B">
        <w:t xml:space="preserve"> a </w:t>
      </w:r>
      <w:r w:rsidRPr="00DA432B">
        <w:t>délky hospitalizací) a posílení resilienční odolnosti pacienta, ale i ekonomicky významné úspory spojené se zkrácením pracovní neschopnosti i rekonvalescence nemocných.</w:t>
      </w:r>
    </w:p>
    <w:p w14:paraId="2D5C9E24" w14:textId="77777777" w:rsidR="00A26675" w:rsidRPr="00DA432B" w:rsidRDefault="00A26675" w:rsidP="00A26675"/>
    <w:p w14:paraId="552B8AEB" w14:textId="77777777" w:rsidR="00A26675" w:rsidRPr="00DA432B" w:rsidRDefault="00A26675" w:rsidP="00AC5444">
      <w:pPr>
        <w:keepNext/>
        <w:widowControl w:val="0"/>
        <w:spacing w:before="60" w:after="60" w:line="288" w:lineRule="auto"/>
        <w:jc w:val="both"/>
        <w:rPr>
          <w:b/>
          <w:u w:val="single"/>
        </w:rPr>
      </w:pPr>
      <w:bookmarkStart w:id="49" w:name="_Toc363977013"/>
      <w:r w:rsidRPr="00DA432B">
        <w:rPr>
          <w:b/>
          <w:u w:val="single"/>
        </w:rPr>
        <w:t>Podoblast 1.5: Onemocnění pohybového aparátu a zánětlivá a imunologická onemocnění</w:t>
      </w:r>
    </w:p>
    <w:p w14:paraId="027D29EC" w14:textId="77777777" w:rsidR="00A26675" w:rsidRPr="00DA432B" w:rsidRDefault="00A26675" w:rsidP="00AC5444">
      <w:pPr>
        <w:spacing w:after="60"/>
        <w:rPr>
          <w:b/>
        </w:rPr>
      </w:pPr>
      <w:r w:rsidRPr="00DA432B">
        <w:rPr>
          <w:b/>
        </w:rPr>
        <w:t>Stěžejní cíl 1.5:</w:t>
      </w:r>
    </w:p>
    <w:p w14:paraId="16BE0054" w14:textId="77777777" w:rsidR="00A26675" w:rsidRPr="00DA432B" w:rsidRDefault="00A26675" w:rsidP="00A26675">
      <w:pPr>
        <w:widowControl w:val="0"/>
        <w:spacing w:before="60" w:line="288" w:lineRule="auto"/>
        <w:jc w:val="both"/>
      </w:pPr>
      <w:r w:rsidRPr="00DA432B">
        <w:t>Bude poznána etiopatogeneze a stanovena odpovídající léčba zánětlivých, zejména hlavních systémových, revmatických, degenerativních, metabolickýc</w:t>
      </w:r>
      <w:r w:rsidR="00A560BA" w:rsidRPr="00DA432B">
        <w:t>h a imunitních onemocnění. Bude </w:t>
      </w:r>
      <w:r w:rsidRPr="00DA432B">
        <w:t>objasněna etiologie a patogeneze nemocí pohybového aparátu, což významně přispěje ke zvýšení kvality života starší populace.</w:t>
      </w:r>
    </w:p>
    <w:bookmarkEnd w:id="49"/>
    <w:p w14:paraId="121F55D6" w14:textId="77777777" w:rsidR="00A26675" w:rsidRPr="00DA432B" w:rsidRDefault="00A26675" w:rsidP="00A26675">
      <w:pPr>
        <w:widowControl w:val="0"/>
        <w:spacing w:before="60" w:line="288" w:lineRule="auto"/>
        <w:jc w:val="both"/>
        <w:rPr>
          <w:b/>
        </w:rPr>
      </w:pPr>
      <w:r w:rsidRPr="00DA432B">
        <w:rPr>
          <w:b/>
        </w:rPr>
        <w:t>Dílčí cíl 1.5.1: Etiologie a patogeneze degenerativních a metabolických onemocnění pohybového aparátu</w:t>
      </w:r>
    </w:p>
    <w:p w14:paraId="572CA984" w14:textId="77777777" w:rsidR="00A26675" w:rsidRPr="00DA432B" w:rsidRDefault="00A26675" w:rsidP="00A26675">
      <w:pPr>
        <w:widowControl w:val="0"/>
        <w:spacing w:before="60" w:line="288" w:lineRule="auto"/>
        <w:jc w:val="both"/>
      </w:pPr>
      <w:r w:rsidRPr="00DA432B">
        <w:t>Studium molekulární biologie kostních, chrupavkových a svalových buněk. Studium genetických polymorfizmů a epigenetických faktorů při vzniku autoimunitních onemocnění. Sledování environmentálních faktorů při vzniku těchto onemocnění. Další rozvoj zobrazovacích metodik mikrostruktury kosti umožňující lepší hodnocení kvality kosti. Rozvoj zobrazovacích metodik k posouzení progrese osteoartrózy. P</w:t>
      </w:r>
      <w:r w:rsidR="00A560BA" w:rsidRPr="00DA432B">
        <w:t>ochopení dalších faktorů, které </w:t>
      </w:r>
      <w:r w:rsidRPr="00DA432B">
        <w:t>umožňují hojení zlomenin. Rozvoj metodik tkáňového inženýrství s cílem přípravy umělé chrupavky a kosti. Studium metabolismu chondrocytů a extracelulárních matrix, speciálně pochopení disbalance degradačních a reparačních procesů, které umožňují syntézu cíleně fungujících preparátů.</w:t>
      </w:r>
    </w:p>
    <w:p w14:paraId="676FFE53" w14:textId="77777777" w:rsidR="00A26675" w:rsidRPr="00DA432B" w:rsidRDefault="00A26675" w:rsidP="00A26675">
      <w:pPr>
        <w:widowControl w:val="0"/>
        <w:spacing w:before="60" w:line="288" w:lineRule="auto"/>
        <w:jc w:val="both"/>
        <w:rPr>
          <w:b/>
        </w:rPr>
      </w:pPr>
      <w:r w:rsidRPr="00DA432B">
        <w:rPr>
          <w:b/>
        </w:rPr>
        <w:t>Dílčí cíl 1.5.2: Definování rizikových faktor</w:t>
      </w:r>
      <w:r w:rsidR="0017264D" w:rsidRPr="00DA432B">
        <w:rPr>
          <w:b/>
        </w:rPr>
        <w:t>ů vzniku alergických onemocnění</w:t>
      </w:r>
      <w:r w:rsidR="00A560BA" w:rsidRPr="00DA432B">
        <w:rPr>
          <w:b/>
        </w:rPr>
        <w:t xml:space="preserve"> a </w:t>
      </w:r>
      <w:r w:rsidRPr="00DA432B">
        <w:rPr>
          <w:b/>
        </w:rPr>
        <w:t>identifikace nových cílů k cílené léčbě těchto chorob</w:t>
      </w:r>
    </w:p>
    <w:p w14:paraId="4E7C9A08" w14:textId="77777777" w:rsidR="00A26675" w:rsidRPr="00DA432B" w:rsidRDefault="00A26675" w:rsidP="00A26675">
      <w:pPr>
        <w:widowControl w:val="0"/>
        <w:spacing w:before="60" w:line="288" w:lineRule="auto"/>
        <w:jc w:val="both"/>
      </w:pPr>
      <w:r w:rsidRPr="00DA432B">
        <w:t xml:space="preserve">Studovány budou genové polymorfismy a epigenetická </w:t>
      </w:r>
      <w:r w:rsidR="00A560BA" w:rsidRPr="00DA432B">
        <w:t>regulace molekul účastnících se </w:t>
      </w:r>
      <w:r w:rsidRPr="00DA432B">
        <w:t>alergických reakcí a dále zevní faktory vzniku těchto chorob. Pozornost bude věnována interakcím imunitního systému s mikroorgani</w:t>
      </w:r>
      <w:r w:rsidR="00AC7E75" w:rsidRPr="00DA432B">
        <w:t>z</w:t>
      </w:r>
      <w:r w:rsidRPr="00DA432B">
        <w:t>my a environmentálními fa</w:t>
      </w:r>
      <w:r w:rsidR="00A560BA" w:rsidRPr="00DA432B">
        <w:t>ktory a dále </w:t>
      </w:r>
      <w:r w:rsidRPr="00DA432B">
        <w:t>regulačním mechanismům alergického zánětu.</w:t>
      </w:r>
    </w:p>
    <w:p w14:paraId="1D2E039E" w14:textId="77777777" w:rsidR="00A26675" w:rsidRPr="00DA432B" w:rsidRDefault="00A26675" w:rsidP="005E6FEB">
      <w:pPr>
        <w:widowControl w:val="0"/>
        <w:spacing w:line="288" w:lineRule="auto"/>
        <w:jc w:val="both"/>
      </w:pPr>
    </w:p>
    <w:p w14:paraId="094D8EA8" w14:textId="77777777" w:rsidR="00A26675" w:rsidRPr="00DA432B" w:rsidRDefault="00A26675" w:rsidP="00AC5444">
      <w:pPr>
        <w:widowControl w:val="0"/>
        <w:spacing w:before="60" w:after="60" w:line="288" w:lineRule="auto"/>
        <w:jc w:val="both"/>
        <w:rPr>
          <w:u w:val="single"/>
        </w:rPr>
      </w:pPr>
      <w:r w:rsidRPr="00DA432B">
        <w:rPr>
          <w:b/>
          <w:u w:val="single"/>
        </w:rPr>
        <w:t>Podoblast 1.6: Infekce</w:t>
      </w:r>
    </w:p>
    <w:p w14:paraId="7F6676BA" w14:textId="77777777" w:rsidR="00A26675" w:rsidRPr="00DA432B" w:rsidRDefault="00A26675" w:rsidP="00AC5444">
      <w:pPr>
        <w:spacing w:after="60"/>
      </w:pPr>
      <w:r w:rsidRPr="00DA432B">
        <w:rPr>
          <w:b/>
        </w:rPr>
        <w:t>Stěžejní cíl 1.6:</w:t>
      </w:r>
    </w:p>
    <w:p w14:paraId="18E5CA83" w14:textId="77777777" w:rsidR="00BC25F8" w:rsidRPr="00DA432B" w:rsidRDefault="00D05EF1" w:rsidP="00A26675">
      <w:pPr>
        <w:spacing w:before="60" w:line="288" w:lineRule="auto"/>
        <w:jc w:val="both"/>
      </w:pPr>
      <w:r w:rsidRPr="00DA432B">
        <w:t xml:space="preserve">Objasnění etiologie, epidemiologie a patogeneze onemocnění ve vztahu </w:t>
      </w:r>
      <w:r w:rsidR="00A560BA" w:rsidRPr="00DA432B">
        <w:t>k novým, znovu se </w:t>
      </w:r>
      <w:r w:rsidRPr="00DA432B">
        <w:t>objevujícím, oportunním i přehlíženým infekcím, u</w:t>
      </w:r>
      <w:r w:rsidR="00A560BA" w:rsidRPr="00DA432B">
        <w:t>možnění individualizace léčby a </w:t>
      </w:r>
      <w:r w:rsidRPr="00DA432B">
        <w:t>zlepšení kvality života pacientů a populace jako celku. Vývoj nových diagnostických metod pro časnou detekci infekcí i nových léčebných postupů pro důležité infekční choroby. Charakteristika molekulárních mechanismů rezistence k </w:t>
      </w:r>
      <w:r w:rsidR="00A560BA" w:rsidRPr="00DA432B">
        <w:t>antimikrobiálním látkám, včetně </w:t>
      </w:r>
      <w:r w:rsidRPr="00DA432B">
        <w:t>analýzy molekulárně-epidemiologických markerů šíření rezistence. Vývoj nových antimikrobiálních látek a určení alternativních cílů pro racionální chemoterapii.</w:t>
      </w:r>
    </w:p>
    <w:p w14:paraId="4296D0B1" w14:textId="77777777" w:rsidR="00A26675" w:rsidRPr="00DA432B" w:rsidRDefault="00A26675" w:rsidP="00A26675">
      <w:pPr>
        <w:widowControl w:val="0"/>
        <w:spacing w:before="60" w:line="288" w:lineRule="auto"/>
        <w:ind w:left="1692" w:hanging="1692"/>
        <w:jc w:val="both"/>
        <w:rPr>
          <w:b/>
        </w:rPr>
      </w:pPr>
      <w:r w:rsidRPr="00DA432B">
        <w:rPr>
          <w:b/>
        </w:rPr>
        <w:t>Dílčí cíl 1.6.1: Etiologie a terapie významných infekčních onemocnění</w:t>
      </w:r>
    </w:p>
    <w:p w14:paraId="2ED0EC9F" w14:textId="77777777" w:rsidR="00A26675" w:rsidRPr="00DA432B" w:rsidRDefault="00D05EF1" w:rsidP="00A26675">
      <w:pPr>
        <w:spacing w:before="60" w:line="288" w:lineRule="auto"/>
        <w:jc w:val="both"/>
      </w:pPr>
      <w:r w:rsidRPr="00DA432B">
        <w:t xml:space="preserve">Objasnění molekulárně-genetických mechanismů </w:t>
      </w:r>
      <w:r w:rsidR="0017264D" w:rsidRPr="00DA432B">
        <w:t>zodpovědných za změny virulence</w:t>
      </w:r>
      <w:r w:rsidR="00A560BA" w:rsidRPr="00DA432B">
        <w:t xml:space="preserve"> a </w:t>
      </w:r>
      <w:r w:rsidRPr="00DA432B">
        <w:t>rezistence původců infekčních onemocnění. Určení patogenního potenciálu mikroorgani</w:t>
      </w:r>
      <w:r w:rsidR="00AC7E75" w:rsidRPr="00DA432B">
        <w:t>z</w:t>
      </w:r>
      <w:r w:rsidRPr="00DA432B">
        <w:t>mů při vzniku a rozvoji infekčních, metabolických (vč. endokrinních), nádorových, kardiovaskulárních a neurodegenerativních onemocnění a mechanismů/faktorů zodpovědných za aktivaci latentních či oportunních infekcí. Definice základních molekulárně-epidemiologických markerů šíření multirezistentních bakterií, kvasinek, plísní a virů v lidské populaci s cílem zpomalit jejich vznik i šíření a zachovat účinnost antiinfektiv. Vývoj nových diagnostických metod pro včasný záchyt infekčních onemocnění a vyhledávání nových markerů infekčních onemocnění jako potenciálních diagnostických i terapeutických cílů. Vývoj nových látek s antimikrobiálním účinkem a jejich základní charakteristika.</w:t>
      </w:r>
    </w:p>
    <w:p w14:paraId="20124CD5" w14:textId="77777777" w:rsidR="005E6FEB" w:rsidRPr="00DA432B" w:rsidRDefault="005E6FEB" w:rsidP="0083392C">
      <w:pPr>
        <w:widowControl w:val="0"/>
        <w:spacing w:line="288" w:lineRule="auto"/>
        <w:jc w:val="both"/>
      </w:pPr>
    </w:p>
    <w:p w14:paraId="791A3C46" w14:textId="77777777" w:rsidR="0083392C" w:rsidRPr="00DA432B" w:rsidRDefault="0083392C" w:rsidP="0083392C">
      <w:pPr>
        <w:widowControl w:val="0"/>
        <w:spacing w:before="60" w:after="60" w:line="288" w:lineRule="auto"/>
        <w:jc w:val="both"/>
        <w:rPr>
          <w:b/>
          <w:u w:val="single"/>
        </w:rPr>
      </w:pPr>
      <w:r w:rsidRPr="00DA432B">
        <w:rPr>
          <w:b/>
          <w:u w:val="single"/>
        </w:rPr>
        <w:t>Podoblast 1.7: Onemocnění dětského věku a vzácná onemocnění</w:t>
      </w:r>
    </w:p>
    <w:p w14:paraId="7E8752C5" w14:textId="77777777" w:rsidR="0083392C" w:rsidRPr="00DA432B" w:rsidRDefault="0083392C" w:rsidP="0083392C">
      <w:pPr>
        <w:spacing w:after="60"/>
      </w:pPr>
      <w:r w:rsidRPr="00DA432B">
        <w:rPr>
          <w:b/>
        </w:rPr>
        <w:t>Stěžejní cíl 1.7:</w:t>
      </w:r>
    </w:p>
    <w:p w14:paraId="287F4DD3" w14:textId="77777777" w:rsidR="0083392C" w:rsidRPr="00DA432B" w:rsidRDefault="0083392C" w:rsidP="0083392C">
      <w:pPr>
        <w:spacing w:before="60" w:line="288" w:lineRule="auto"/>
        <w:jc w:val="both"/>
      </w:pPr>
      <w:r w:rsidRPr="00DA432B">
        <w:t>Hlavním cílem základního výzkumu v této oblasti je prohloubení poznatků o etiopatogenezi závažných vzácných onemocnění (především s monogenní dědičností) a vývojových onemocnění prenatálního věku, perinatálních komplikací a chronických onemocnění dětského věku s využitím komplexních přístupů. Získané poznatky základního výzkumu budou převáděny do klinické praxe, aplikovaný výzkum bude zaměřený na rozvoj nových diagnostických metod a algoritmů a na vývoj nových léčebných a preventivních postupů včetně prenatální a preimplantační diagnostiky.</w:t>
      </w:r>
    </w:p>
    <w:p w14:paraId="439B0D24" w14:textId="6E615C89" w:rsidR="00D208AD" w:rsidRDefault="00D208AD">
      <w:pPr>
        <w:rPr>
          <w:b/>
        </w:rPr>
      </w:pPr>
    </w:p>
    <w:p w14:paraId="36D94DAD" w14:textId="77777777" w:rsidR="0083392C" w:rsidRPr="00DA432B" w:rsidRDefault="0083392C" w:rsidP="0083392C">
      <w:pPr>
        <w:widowControl w:val="0"/>
        <w:spacing w:before="60" w:line="288" w:lineRule="auto"/>
        <w:ind w:left="1692" w:hanging="1692"/>
        <w:jc w:val="both"/>
        <w:rPr>
          <w:b/>
        </w:rPr>
      </w:pPr>
      <w:r w:rsidRPr="00DA432B">
        <w:rPr>
          <w:b/>
        </w:rPr>
        <w:t>Dílčí cíl 1.7.1: Onemocnění vznikající prenatálně, perinatálně a v raném dětském věku</w:t>
      </w:r>
    </w:p>
    <w:p w14:paraId="4985BE43" w14:textId="77777777" w:rsidR="0083392C" w:rsidRPr="00DA432B" w:rsidRDefault="0083392C" w:rsidP="0083392C">
      <w:pPr>
        <w:spacing w:before="60" w:line="288" w:lineRule="auto"/>
        <w:jc w:val="both"/>
      </w:pPr>
      <w:r w:rsidRPr="00DA432B">
        <w:t>Studium dopadu geneticky podmíněných faktorů a negativních vlivů zevního prostředí na</w:t>
      </w:r>
      <w:r w:rsidR="00A560BA" w:rsidRPr="00DA432B">
        <w:t> </w:t>
      </w:r>
      <w:r w:rsidRPr="00DA432B">
        <w:t>etiopatogenezi a patofyziologii závažných onemocnění dětského věku. Rozvoj neinvazivních diagnostických metod chronických onemocnění dětského věku. Příprava preventivních postupů a</w:t>
      </w:r>
      <w:r w:rsidR="00380D0C" w:rsidRPr="00DA432B">
        <w:t xml:space="preserve"> </w:t>
      </w:r>
      <w:r w:rsidRPr="00DA432B">
        <w:t>léčebných metod v péči o nemocné dítě s cílem zlepšit kvalitu života chronicky nemocných dětí.</w:t>
      </w:r>
    </w:p>
    <w:p w14:paraId="2AE0F711" w14:textId="77777777" w:rsidR="0083392C" w:rsidRPr="00DA432B" w:rsidRDefault="0083392C" w:rsidP="0083392C">
      <w:pPr>
        <w:widowControl w:val="0"/>
        <w:spacing w:before="60" w:line="288" w:lineRule="auto"/>
        <w:ind w:left="1692" w:hanging="1692"/>
        <w:jc w:val="both"/>
        <w:rPr>
          <w:b/>
        </w:rPr>
      </w:pPr>
      <w:r w:rsidRPr="00DA432B">
        <w:rPr>
          <w:b/>
        </w:rPr>
        <w:t>Dílčí cíl 1.7.2: Vzácná onemocnění</w:t>
      </w:r>
    </w:p>
    <w:p w14:paraId="13732224" w14:textId="77777777" w:rsidR="0083392C" w:rsidRDefault="0083392C" w:rsidP="0083392C">
      <w:pPr>
        <w:widowControl w:val="0"/>
        <w:spacing w:line="288" w:lineRule="auto"/>
        <w:jc w:val="both"/>
      </w:pPr>
      <w:r w:rsidRPr="00DA432B">
        <w:t>Počet známých vzácných nemocí není konečný a s postupným rozvojem moderních technologií sekvenování nové generace se daří popisovat nové geneticky podmíněné</w:t>
      </w:r>
      <w:r w:rsidR="00380D0C" w:rsidRPr="00DA432B">
        <w:t xml:space="preserve"> </w:t>
      </w:r>
      <w:r w:rsidRPr="00DA432B">
        <w:t>klinické jednotky. Zjištěním mutací a genů u nové choroby však práce nekončí a k objasnění patogenetických mechanismů je třeba využít řadu dalších postupů z oblasti genomiky, metabolomiky, proteomiky, molekulové a buněčné biologie a v řadě případů je nutné využít i</w:t>
      </w:r>
      <w:r w:rsidR="00A560BA" w:rsidRPr="00DA432B">
        <w:t> </w:t>
      </w:r>
      <w:r w:rsidRPr="00DA432B">
        <w:t>zvířecí modely. Pro dosud neléčitelné geneticky podmíněné vzácné nemoci je významný rozvoj preimplantační a prenatální diagnostiky, která zajišťuje účinnou primární a/nebo</w:t>
      </w:r>
      <w:r w:rsidR="00A560BA" w:rsidRPr="00DA432B">
        <w:t> </w:t>
      </w:r>
      <w:r w:rsidRPr="00DA432B">
        <w:t>sekundární prevenci těchto onemocnění v postižených rodinách. Hlavními prioritami této oblasti je proto výzkum zaměřený na objasňování etiologie u nemocí s dosud neznámými příčinami a studium molekulových, biochemických a buněčných mechanismů u etiologicky definovaných vzácných onemocnění (jako nezbytného předpokladu pro navazující výzkum nových diagnostických a léčebných postupů). Další prioritou je podpora výzkumu jejich nosologické klasifikace (tj. fenotypové ontologie), epidemiologie, rozvoj metod pro včasnou prevenci těchto nemocí a výzkum nákladové efektivity diagnostických a léčebných postupů v</w:t>
      </w:r>
      <w:r w:rsidR="00A560BA" w:rsidRPr="00DA432B">
        <w:t> </w:t>
      </w:r>
      <w:r w:rsidRPr="00DA432B">
        <w:t>oblasti vzácných onemocnění.</w:t>
      </w:r>
    </w:p>
    <w:p w14:paraId="1D163A74" w14:textId="77777777" w:rsidR="00B45F88" w:rsidRPr="00DA432B" w:rsidRDefault="00B45F88" w:rsidP="0083392C">
      <w:pPr>
        <w:widowControl w:val="0"/>
        <w:spacing w:line="288" w:lineRule="auto"/>
        <w:jc w:val="both"/>
      </w:pPr>
    </w:p>
    <w:p w14:paraId="46B5A160" w14:textId="77777777" w:rsidR="00A26675" w:rsidRPr="00DA432B" w:rsidRDefault="00A26675" w:rsidP="004A1E88">
      <w:pPr>
        <w:pStyle w:val="Nadpis2"/>
        <w:spacing w:after="120"/>
        <w:ind w:left="539" w:hanging="539"/>
        <w:rPr>
          <w:rStyle w:val="Hypertextovodkaz"/>
          <w:color w:val="000000"/>
          <w:sz w:val="24"/>
          <w:szCs w:val="24"/>
          <w:u w:val="none"/>
        </w:rPr>
      </w:pPr>
      <w:bookmarkStart w:id="50" w:name="_Toc404887000"/>
      <w:bookmarkStart w:id="51" w:name="_Toc405894508"/>
      <w:bookmarkStart w:id="52" w:name="_Toc418585159"/>
      <w:r w:rsidRPr="00DA432B">
        <w:rPr>
          <w:rStyle w:val="Hypertextovodkaz"/>
          <w:color w:val="000000"/>
          <w:sz w:val="24"/>
          <w:szCs w:val="24"/>
          <w:u w:val="none"/>
        </w:rPr>
        <w:t>Oblast 2. Nové diagnostické a terapeutické metody</w:t>
      </w:r>
      <w:bookmarkEnd w:id="50"/>
      <w:bookmarkEnd w:id="51"/>
      <w:bookmarkEnd w:id="52"/>
    </w:p>
    <w:p w14:paraId="40FCB3B8" w14:textId="77777777" w:rsidR="00A26675" w:rsidRPr="00DA432B" w:rsidRDefault="00A26675" w:rsidP="00A26675">
      <w:pPr>
        <w:spacing w:before="60" w:line="288" w:lineRule="auto"/>
        <w:jc w:val="both"/>
        <w:rPr>
          <w:b/>
          <w:u w:val="single"/>
        </w:rPr>
      </w:pPr>
      <w:r w:rsidRPr="00DA432B">
        <w:rPr>
          <w:b/>
          <w:u w:val="single"/>
        </w:rPr>
        <w:t>Podoblast 2.1: In vitro diagnostika</w:t>
      </w:r>
    </w:p>
    <w:p w14:paraId="39877D80" w14:textId="77777777" w:rsidR="00A26675" w:rsidRPr="00DA432B" w:rsidRDefault="00A26675" w:rsidP="00A26675">
      <w:pPr>
        <w:spacing w:before="60" w:line="288" w:lineRule="auto"/>
        <w:jc w:val="both"/>
        <w:rPr>
          <w:b/>
        </w:rPr>
      </w:pPr>
      <w:r w:rsidRPr="00DA432B">
        <w:rPr>
          <w:b/>
        </w:rPr>
        <w:t>Stěžejní cíl 2.1:</w:t>
      </w:r>
    </w:p>
    <w:p w14:paraId="1DE6614F" w14:textId="77777777" w:rsidR="00A26675" w:rsidRPr="00DA432B" w:rsidRDefault="00A26675" w:rsidP="00A26675">
      <w:pPr>
        <w:spacing w:before="60" w:line="288" w:lineRule="auto"/>
        <w:jc w:val="both"/>
      </w:pPr>
      <w:r w:rsidRPr="00DA432B">
        <w:t xml:space="preserve">Budou objasněny patogenetické mechanismy u vybraných genetických variant nacházených při celogenomovém sekvenování a jejich asociace s různými lidskými onemocněními, budou vytvořeny nové in vitro diagnostické metody reagující na </w:t>
      </w:r>
      <w:r w:rsidR="00A560BA" w:rsidRPr="00DA432B">
        <w:t>tyto výsledky a dále na nově se </w:t>
      </w:r>
      <w:r w:rsidRPr="00DA432B">
        <w:t>objevující hrozby či na nově objevené biomarkery a bud</w:t>
      </w:r>
      <w:r w:rsidR="0017264D" w:rsidRPr="00DA432B">
        <w:t>ou rozvíjené in silico přístupy</w:t>
      </w:r>
      <w:r w:rsidR="00A560BA" w:rsidRPr="00DA432B">
        <w:t xml:space="preserve"> a </w:t>
      </w:r>
      <w:r w:rsidRPr="00DA432B">
        <w:t>přístupy systémové biologie k využití velkého objemu dat generovanému masivně paralelními metodami.</w:t>
      </w:r>
      <w:r w:rsidR="004D5090" w:rsidRPr="00DA432B">
        <w:t xml:space="preserve"> </w:t>
      </w:r>
      <w:r w:rsidRPr="00DA432B">
        <w:t>Bude docházet k integraci diagnostiky se samotnou léčbou prostřednictvím přístupů systémové a translační medicíny.</w:t>
      </w:r>
    </w:p>
    <w:p w14:paraId="2A2FC3F4" w14:textId="77777777" w:rsidR="00A26675" w:rsidRPr="00DA432B" w:rsidRDefault="00A26675" w:rsidP="00A560BA">
      <w:pPr>
        <w:keepNext/>
        <w:widowControl w:val="0"/>
        <w:spacing w:before="60" w:line="288" w:lineRule="auto"/>
        <w:ind w:left="1690" w:hanging="1690"/>
        <w:jc w:val="both"/>
        <w:rPr>
          <w:b/>
        </w:rPr>
      </w:pPr>
      <w:r w:rsidRPr="00DA432B">
        <w:rPr>
          <w:b/>
        </w:rPr>
        <w:t>Dílčí cíl 2.1.1: Prohloubení znalostí v oblasti omických a vysokokapacitních metod</w:t>
      </w:r>
    </w:p>
    <w:p w14:paraId="057D4096" w14:textId="77777777" w:rsidR="00A26675" w:rsidRPr="00DA432B" w:rsidRDefault="00A26675" w:rsidP="00A26675">
      <w:pPr>
        <w:spacing w:before="60" w:line="288" w:lineRule="auto"/>
        <w:jc w:val="both"/>
      </w:pPr>
      <w:r w:rsidRPr="00DA432B">
        <w:t>Vysokoprůchodové (HTS) metody produkují obrovské množství dat a informací, kterým bude nutné porozumět a jejichž klinickou využitelnost bude nutné systematicky ověřovat. Jedním z cílů bude objasnit molekulové a buněčné patogenetické mechanismy u vybraných genetických variant nacházených při celogenomovém sekvenování a ověřit jejich asociaci s různými lidskými onemocněními. Pro efektivní analýzu dat z HTS technologií budou rozvíjené in silico přístupy a přístupy systémové biologie k využití velkého objemu dat generovanému HTS metodami. Identifikace no</w:t>
      </w:r>
      <w:r w:rsidR="0017264D" w:rsidRPr="00DA432B">
        <w:t>vých diagnostik, prognostických</w:t>
      </w:r>
      <w:r w:rsidR="00A560BA" w:rsidRPr="00DA432B">
        <w:t xml:space="preserve"> a </w:t>
      </w:r>
      <w:r w:rsidRPr="00DA432B">
        <w:t>prediktivních biomarkerů prostřednictvím „omics“ techn</w:t>
      </w:r>
      <w:r w:rsidR="0017264D" w:rsidRPr="00DA432B">
        <w:t>ologií, integrace získaných dat</w:t>
      </w:r>
      <w:r w:rsidR="00A560BA" w:rsidRPr="00DA432B">
        <w:t xml:space="preserve"> s </w:t>
      </w:r>
      <w:r w:rsidRPr="00DA432B">
        <w:t>jejich vazbou na klinické charakteristiky ve zdraví a nemoci.</w:t>
      </w:r>
    </w:p>
    <w:p w14:paraId="31235EE9" w14:textId="77777777" w:rsidR="00A26675" w:rsidRPr="00DA432B" w:rsidRDefault="00A26675" w:rsidP="00A26675">
      <w:pPr>
        <w:widowControl w:val="0"/>
        <w:spacing w:before="60" w:line="288" w:lineRule="auto"/>
        <w:ind w:left="1692" w:hanging="1692"/>
        <w:jc w:val="both"/>
        <w:rPr>
          <w:b/>
        </w:rPr>
      </w:pPr>
      <w:r w:rsidRPr="00DA432B">
        <w:rPr>
          <w:b/>
        </w:rPr>
        <w:t>Dílčí cíl 2.1.2: Nové technologie IVD</w:t>
      </w:r>
    </w:p>
    <w:p w14:paraId="34FCCEC3" w14:textId="77777777" w:rsidR="00A26675" w:rsidRPr="00DA432B" w:rsidRDefault="00A26675" w:rsidP="00A26675">
      <w:pPr>
        <w:spacing w:before="60" w:line="288" w:lineRule="auto"/>
        <w:jc w:val="both"/>
      </w:pPr>
      <w:r w:rsidRPr="00DA432B">
        <w:t>Budou vyvinuty nové technologie či jejich součásti umožňující rychlou, senzitivní, specifickou, miniinvazivní či neinvazivní diagnostiku a mo</w:t>
      </w:r>
      <w:r w:rsidR="00A560BA" w:rsidRPr="00DA432B">
        <w:t>nitorování průběhu nemoci. Tyto </w:t>
      </w:r>
      <w:r w:rsidRPr="00DA432B">
        <w:t>nové technologie budou pracovat buď s pacientským materiálem odvozeným z</w:t>
      </w:r>
      <w:r w:rsidR="0017264D" w:rsidRPr="00DA432B">
        <w:t xml:space="preserve"> </w:t>
      </w:r>
      <w:r w:rsidRPr="00DA432B">
        <w:t xml:space="preserve">krve nebo jiné tělní tekutiny, tkání (tkáňově řezy, např. tumory) nebo s pacientem jako celkem v podobě celotělových funkčních zobrazovacích metod </w:t>
      </w:r>
      <w:r w:rsidR="00A560BA" w:rsidRPr="00DA432B">
        <w:t>(MRI, PET-CT); výzkum se v této </w:t>
      </w:r>
      <w:r w:rsidRPr="00DA432B">
        <w:t>oblasti soustředí na přípravu nových zobrazovacích enhancerů a specifických radiofarmak, které umožní v čase zobrazit patologické děje (např. angiogeneze, specifické lokalizované metabolické děje, zobrazení receptorů) u konkrétního pacienta. Některé z těchto látek budou mít současně i terapeutický charakter (např. protilátky s PET-radiofarmakem).</w:t>
      </w:r>
    </w:p>
    <w:p w14:paraId="6194D891" w14:textId="77777777" w:rsidR="00A26675" w:rsidRPr="00DA432B" w:rsidRDefault="00A26675" w:rsidP="00A26675">
      <w:pPr>
        <w:rPr>
          <w:b/>
        </w:rPr>
      </w:pPr>
    </w:p>
    <w:p w14:paraId="264528B1" w14:textId="77777777" w:rsidR="00A26675" w:rsidRPr="00DA432B" w:rsidRDefault="00A26675" w:rsidP="00306EEE">
      <w:pPr>
        <w:keepNext/>
        <w:spacing w:before="60" w:after="60" w:line="288" w:lineRule="auto"/>
        <w:jc w:val="both"/>
        <w:rPr>
          <w:b/>
          <w:u w:val="single"/>
        </w:rPr>
      </w:pPr>
      <w:r w:rsidRPr="00DA432B">
        <w:rPr>
          <w:b/>
          <w:u w:val="single"/>
        </w:rPr>
        <w:t>Podoblast 2.2: Nízkomolekulární léčiva</w:t>
      </w:r>
    </w:p>
    <w:p w14:paraId="4636C500" w14:textId="77777777" w:rsidR="00A26675" w:rsidRPr="00DA432B" w:rsidRDefault="00A26675" w:rsidP="00306EEE">
      <w:pPr>
        <w:keepNext/>
        <w:spacing w:after="60"/>
        <w:rPr>
          <w:b/>
        </w:rPr>
      </w:pPr>
      <w:r w:rsidRPr="00DA432B">
        <w:rPr>
          <w:b/>
        </w:rPr>
        <w:t>Stěžejní cíl 2.2:</w:t>
      </w:r>
    </w:p>
    <w:p w14:paraId="3E305B67" w14:textId="77777777" w:rsidR="00A26675" w:rsidRPr="00DA432B" w:rsidRDefault="00A26675" w:rsidP="00A26675">
      <w:pPr>
        <w:spacing w:before="60" w:line="288" w:lineRule="auto"/>
        <w:jc w:val="both"/>
      </w:pPr>
      <w:r w:rsidRPr="00DA432B">
        <w:t xml:space="preserve">Budou připravené nové biologicky aktivní nízkomolekulární látky s terapeutickým potenciálem ověřeným v „proof-of-concept“ studiích. Efektivnější postupy ve sledování biologické aktivity léčiv s využitím komplexního přístupu k hodnocení žádoucích, nežádoucích a toxických účinků nových nízkomolekulárních sloučenin (zdokonalení biologických testů, zavádění nových testovacích metod, predikce biologické aktivity, toxicity a vedlejších účinků in silico) povedou ke včasné eliminaci neaktivních nebo toxických molekul. Identifikací nových základních struktur (leading </w:t>
      </w:r>
      <w:r w:rsidR="0017264D" w:rsidRPr="00DA432B">
        <w:t>structures) a jejich modifikací</w:t>
      </w:r>
      <w:r w:rsidR="00A560BA" w:rsidRPr="00DA432B">
        <w:t xml:space="preserve"> či </w:t>
      </w:r>
      <w:r w:rsidRPr="00DA432B">
        <w:t>modifikací klinicky ověřených léčiv bude zvýšena jejich farmakoterapeutická využitelnost.</w:t>
      </w:r>
    </w:p>
    <w:p w14:paraId="602F666B" w14:textId="77777777" w:rsidR="00A26675" w:rsidRPr="00DA432B" w:rsidRDefault="00A26675" w:rsidP="00A26675">
      <w:pPr>
        <w:spacing w:before="60" w:line="288" w:lineRule="auto"/>
        <w:jc w:val="both"/>
        <w:rPr>
          <w:b/>
        </w:rPr>
      </w:pPr>
      <w:r w:rsidRPr="00DA432B">
        <w:rPr>
          <w:b/>
        </w:rPr>
        <w:t>Dílčí cíl 2.2.1: Nové nízkomolekulární sloučeniny</w:t>
      </w:r>
    </w:p>
    <w:p w14:paraId="1578F535" w14:textId="77777777" w:rsidR="00A26675" w:rsidRPr="00DA432B" w:rsidRDefault="00A26675" w:rsidP="00A26675">
      <w:pPr>
        <w:spacing w:before="60" w:line="288" w:lineRule="auto"/>
        <w:jc w:val="both"/>
      </w:pPr>
      <w:r w:rsidRPr="00DA432B">
        <w:t>Příprava nových nízkomolekulárních sloučenin a strukturálních motivů s relevantními farmakologickými účinky. Nové molekuly mohou být syntetizovány i nacházeny prostřednictvím studia vztahu mezi strukturou a aktivitou, kombinatoriální chemií, vysokokapacitním skríningem či izolací z přírodních, přede</w:t>
      </w:r>
      <w:r w:rsidR="00A560BA" w:rsidRPr="00DA432B">
        <w:t>vším rostlinných zdrojů. V řadě </w:t>
      </w:r>
      <w:r w:rsidRPr="00DA432B">
        <w:t>oblastí (např. v oblasti velkokapacitního skríningu (HTS)) existuje v ČR infrastruktura na světové úrovni.</w:t>
      </w:r>
    </w:p>
    <w:p w14:paraId="5C63C007" w14:textId="77777777" w:rsidR="00A26675" w:rsidRPr="00DA432B" w:rsidRDefault="00A26675" w:rsidP="00A26675">
      <w:pPr>
        <w:spacing w:before="60" w:line="288" w:lineRule="auto"/>
        <w:jc w:val="both"/>
        <w:rPr>
          <w:b/>
        </w:rPr>
      </w:pPr>
      <w:r w:rsidRPr="00DA432B">
        <w:rPr>
          <w:b/>
        </w:rPr>
        <w:t xml:space="preserve">Dílčí cíl 2.2.2: Identifikace nových terapeutických </w:t>
      </w:r>
      <w:r w:rsidR="00A560BA" w:rsidRPr="00DA432B">
        <w:rPr>
          <w:b/>
        </w:rPr>
        <w:t>cílů, nové metody a postupy pro </w:t>
      </w:r>
      <w:r w:rsidRPr="00DA432B">
        <w:rPr>
          <w:b/>
        </w:rPr>
        <w:t>biologické testování</w:t>
      </w:r>
    </w:p>
    <w:p w14:paraId="79CABB35" w14:textId="77777777" w:rsidR="00A26675" w:rsidRPr="00DA432B" w:rsidRDefault="00A26675" w:rsidP="00A26675">
      <w:pPr>
        <w:spacing w:before="60" w:line="288" w:lineRule="auto"/>
        <w:jc w:val="both"/>
      </w:pPr>
      <w:r w:rsidRPr="00DA432B">
        <w:t>Nové terapeutické cíle budou generovány na základě výsledků základního výzkumu, budou nalezeny nové postupy a metody v hodnocení účinnosti a toxicity n</w:t>
      </w:r>
      <w:r w:rsidR="00A560BA" w:rsidRPr="00DA432B">
        <w:t>a úrovni in vitro pro </w:t>
      </w:r>
      <w:r w:rsidRPr="00DA432B">
        <w:t>zvýšení pravděpodobnosti klinické využitelnosti malých molekul. Vybrané kandidátní sloučeniny, nové metody a postupy budou následně validovány na úrovni preklinického hodnocení in vivo.</w:t>
      </w:r>
    </w:p>
    <w:p w14:paraId="2E53F419" w14:textId="7B0C8C99" w:rsidR="00D208AD" w:rsidRDefault="00D208AD">
      <w:pPr>
        <w:rPr>
          <w:b/>
          <w:u w:val="single"/>
        </w:rPr>
      </w:pPr>
    </w:p>
    <w:p w14:paraId="605C876C" w14:textId="77777777" w:rsidR="00A26675" w:rsidRPr="00DA432B" w:rsidRDefault="00A26675" w:rsidP="00A26675">
      <w:pPr>
        <w:spacing w:before="60" w:line="288" w:lineRule="auto"/>
        <w:jc w:val="both"/>
        <w:rPr>
          <w:b/>
          <w:u w:val="single"/>
        </w:rPr>
      </w:pPr>
      <w:r w:rsidRPr="00DA432B">
        <w:rPr>
          <w:b/>
          <w:u w:val="single"/>
        </w:rPr>
        <w:t>Podoblast 2.3: Biologická léčiva včetně vakcín</w:t>
      </w:r>
    </w:p>
    <w:p w14:paraId="58C423F5" w14:textId="77777777" w:rsidR="00A26675" w:rsidRPr="00DA432B" w:rsidRDefault="00A26675" w:rsidP="00A26675">
      <w:pPr>
        <w:spacing w:before="60" w:line="288" w:lineRule="auto"/>
        <w:jc w:val="both"/>
        <w:rPr>
          <w:b/>
        </w:rPr>
      </w:pPr>
      <w:r w:rsidRPr="00DA432B">
        <w:rPr>
          <w:b/>
        </w:rPr>
        <w:t>Stěžejní cíl 2.3:</w:t>
      </w:r>
    </w:p>
    <w:p w14:paraId="77A45327" w14:textId="77777777" w:rsidR="00A26675" w:rsidRPr="00DA432B" w:rsidRDefault="00A26675" w:rsidP="00A26675">
      <w:pPr>
        <w:spacing w:before="60" w:line="288" w:lineRule="auto"/>
        <w:jc w:val="both"/>
      </w:pPr>
      <w:r w:rsidRPr="00DA432B">
        <w:t>Dojde k širšímu využití biologické terapie a imunoterapie, k čemuž především přispěje znalost přesného mechanizmu účinku a specifického cíle, snížení výrobních nákladů a nové poznatky spojené s in vivo monitorováním průběhu biologické odpovědi na léčbu. Budou zavedená nová biologická léčiva vynikající například lepší stabilitou, možností neinvazivního podávání a nové vakcíny s lepším účinnostním i bezpečnostním profilem.</w:t>
      </w:r>
    </w:p>
    <w:p w14:paraId="7617079C" w14:textId="77777777" w:rsidR="00A26675" w:rsidRPr="00DA432B" w:rsidRDefault="00A26675" w:rsidP="00A26675">
      <w:pPr>
        <w:spacing w:before="60" w:line="288" w:lineRule="auto"/>
        <w:jc w:val="both"/>
        <w:rPr>
          <w:b/>
        </w:rPr>
      </w:pPr>
      <w:r w:rsidRPr="00DA432B">
        <w:rPr>
          <w:b/>
        </w:rPr>
        <w:t xml:space="preserve">Dílčí cíl 2.3.1: Nové vakcíny pro prevenci a léčbu nemocí a závislostí </w:t>
      </w:r>
    </w:p>
    <w:p w14:paraId="6C8BE308" w14:textId="2B7ABEEC" w:rsidR="00A26675" w:rsidRPr="00DA432B" w:rsidRDefault="00A26675" w:rsidP="00A26675">
      <w:pPr>
        <w:spacing w:before="60" w:line="288" w:lineRule="auto"/>
        <w:jc w:val="both"/>
      </w:pPr>
      <w:r w:rsidRPr="00DA432B">
        <w:t xml:space="preserve">Budou vyvíjeny nové cíle pro vakcinaci (např. pro léčbu a prevenci závažných společenských hrozeb), nové vakcinační přístupy (DNA vakcíny, </w:t>
      </w:r>
      <w:r w:rsidR="002C2EBE" w:rsidRPr="00DA432B">
        <w:t xml:space="preserve">reversní vakcinologie – vývoj vakcín sekvencí celého genomu infekčních agens, </w:t>
      </w:r>
      <w:r w:rsidRPr="00DA432B">
        <w:t>protinádorové, desenzibilizační apod.)</w:t>
      </w:r>
      <w:r w:rsidR="00A5038A">
        <w:t>.</w:t>
      </w:r>
    </w:p>
    <w:p w14:paraId="4D919162" w14:textId="77777777" w:rsidR="00A26675" w:rsidRPr="00DA432B" w:rsidRDefault="00A26675" w:rsidP="00A26675">
      <w:pPr>
        <w:spacing w:before="60" w:line="288" w:lineRule="auto"/>
        <w:jc w:val="both"/>
      </w:pPr>
    </w:p>
    <w:p w14:paraId="64833098" w14:textId="77777777" w:rsidR="00A26675" w:rsidRPr="00DA432B" w:rsidRDefault="00A26675" w:rsidP="0002223D">
      <w:pPr>
        <w:keepNext/>
        <w:spacing w:before="60" w:line="288" w:lineRule="auto"/>
        <w:jc w:val="both"/>
        <w:rPr>
          <w:b/>
          <w:u w:val="single"/>
        </w:rPr>
      </w:pPr>
      <w:r w:rsidRPr="00DA432B">
        <w:rPr>
          <w:b/>
          <w:u w:val="single"/>
        </w:rPr>
        <w:t>Podoblast 2.4: Drug delivery systémy</w:t>
      </w:r>
    </w:p>
    <w:p w14:paraId="17EC28D0" w14:textId="77777777" w:rsidR="00A26675" w:rsidRPr="00DA432B" w:rsidRDefault="00A26675" w:rsidP="00A26675">
      <w:pPr>
        <w:spacing w:before="60" w:line="288" w:lineRule="auto"/>
        <w:jc w:val="both"/>
        <w:rPr>
          <w:b/>
        </w:rPr>
      </w:pPr>
      <w:r w:rsidRPr="00DA432B">
        <w:rPr>
          <w:b/>
        </w:rPr>
        <w:t>Stěžejní cíl 2.4:</w:t>
      </w:r>
    </w:p>
    <w:p w14:paraId="59E67520" w14:textId="77777777" w:rsidR="00A26675" w:rsidRPr="00DA432B" w:rsidRDefault="00A26675" w:rsidP="00A26675">
      <w:pPr>
        <w:spacing w:before="60" w:line="288" w:lineRule="auto"/>
        <w:jc w:val="both"/>
      </w:pPr>
      <w:r w:rsidRPr="00DA432B">
        <w:t>Budou vytvořeny a využívány nové transportní systémy pro léčiva i jejich kombinace, případně i geny, umožňující terapii cílových tkání</w:t>
      </w:r>
      <w:r w:rsidR="00145A84" w:rsidRPr="00DA432B">
        <w:t>,</w:t>
      </w:r>
      <w:r w:rsidRPr="00DA432B">
        <w:t xml:space="preserve"> nebo buněk, řízené uvolňování aktivních látek a průnik léčiv v terapeuticky významných koncentracích do obtížně dostupných orgánových (kůže, CNS), tkáňových, buněčných</w:t>
      </w:r>
      <w:r w:rsidR="00145A84" w:rsidRPr="00DA432B">
        <w:t>,</w:t>
      </w:r>
      <w:r w:rsidRPr="00DA432B">
        <w:t xml:space="preserve"> anebo subcelulárních struktur.</w:t>
      </w:r>
    </w:p>
    <w:p w14:paraId="792823FD" w14:textId="77777777" w:rsidR="00A26675" w:rsidRPr="00DA432B" w:rsidRDefault="00A26675" w:rsidP="0002223D">
      <w:pPr>
        <w:keepNext/>
        <w:spacing w:before="60" w:line="288" w:lineRule="auto"/>
        <w:jc w:val="both"/>
        <w:rPr>
          <w:b/>
        </w:rPr>
      </w:pPr>
      <w:r w:rsidRPr="00DA432B">
        <w:rPr>
          <w:b/>
        </w:rPr>
        <w:t>Dílčí cíl 2.4.1: Vývoj nových nosičů pro řízené uvolňování a transport léčiv</w:t>
      </w:r>
    </w:p>
    <w:p w14:paraId="13F9992C" w14:textId="77777777" w:rsidR="00A26675" w:rsidRPr="00DA432B" w:rsidRDefault="00A26675" w:rsidP="00A26675">
      <w:pPr>
        <w:spacing w:before="60" w:line="288" w:lineRule="auto"/>
        <w:jc w:val="both"/>
      </w:pPr>
      <w:r w:rsidRPr="00DA432B">
        <w:t>Nové nosiče léčiv na principu makromolekulárních struktur anebo nanočástic umožní řízené uvolňování léčiv v rámci celého organizmu, nebo cílený transport a řízené uvolnění biologicky aktivních molekul (léčiv, genů) ve specifických tkáních, buněčných</w:t>
      </w:r>
      <w:r w:rsidR="00145A84" w:rsidRPr="00DA432B">
        <w:t>,</w:t>
      </w:r>
      <w:r w:rsidR="00A560BA" w:rsidRPr="00DA432B">
        <w:t xml:space="preserve"> nebo </w:t>
      </w:r>
      <w:r w:rsidRPr="00DA432B">
        <w:t>subcelulárních strukturách. Výzkum povede k vývoji účinnějších, bezpečnějších (méně toxických) léčiv s výhodnějšími farmakokinetickými a farmakodynamickými vlastnostmi</w:t>
      </w:r>
      <w:r w:rsidR="00A560BA" w:rsidRPr="00DA432B">
        <w:t xml:space="preserve"> a </w:t>
      </w:r>
      <w:r w:rsidRPr="00DA432B">
        <w:t>umožňujícími popřípadě i personalizovanou terapii.</w:t>
      </w:r>
    </w:p>
    <w:p w14:paraId="6975F4FD" w14:textId="77777777" w:rsidR="00A26675" w:rsidRPr="00DA432B" w:rsidRDefault="00A26675" w:rsidP="00A26675">
      <w:pPr>
        <w:spacing w:before="60" w:line="288" w:lineRule="auto"/>
        <w:jc w:val="both"/>
        <w:rPr>
          <w:b/>
        </w:rPr>
      </w:pPr>
      <w:r w:rsidRPr="00DA432B">
        <w:rPr>
          <w:b/>
        </w:rPr>
        <w:t>Dílčí cíl 2.4.2: Systémy pro překonávání biologických bariér a chemorezistentních onemocnění</w:t>
      </w:r>
    </w:p>
    <w:p w14:paraId="6D447D1A" w14:textId="77777777" w:rsidR="00A26675" w:rsidRPr="00DA432B" w:rsidRDefault="00A26675" w:rsidP="00A26675">
      <w:pPr>
        <w:spacing w:before="60" w:line="288" w:lineRule="auto"/>
        <w:jc w:val="both"/>
      </w:pPr>
      <w:r w:rsidRPr="00DA432B">
        <w:t>Studium podstaty biologických, chemických a fyzikálních bariér v organi</w:t>
      </w:r>
      <w:r w:rsidR="00AC7E75" w:rsidRPr="00DA432B">
        <w:t>z</w:t>
      </w:r>
      <w:r w:rsidRPr="00DA432B">
        <w:t>mu vedoucí k vývoji nových způsobů jejich překonávání a k vývoji nových typů léčiv, formulací a drug-delivery systémů překonávajících biologické bariéry typu kožní, hematoencefalitické, testikulární, nebo okulární, i k překonání drug-rezistentních fenotypů apod. Výstupy tohoto dílčího cíle budou mít přímé využití například v léčbě pacientů s neurologickými, zánětlivými, infekčními, onkologickými, reprodukčními, nebo očními chorobami</w:t>
      </w:r>
      <w:r w:rsidR="00A560BA" w:rsidRPr="00DA432B">
        <w:t xml:space="preserve"> a </w:t>
      </w:r>
      <w:r w:rsidRPr="00DA432B">
        <w:t>v neposlední řadě v léčbě nemocí rezistentních na stávající terapii.</w:t>
      </w:r>
    </w:p>
    <w:p w14:paraId="77803D90" w14:textId="77777777" w:rsidR="00A26675" w:rsidRPr="00DA432B" w:rsidRDefault="00A26675" w:rsidP="005E6FEB">
      <w:pPr>
        <w:pStyle w:val="Textkomente"/>
        <w:spacing w:line="288" w:lineRule="auto"/>
        <w:jc w:val="both"/>
        <w:rPr>
          <w:sz w:val="24"/>
          <w:szCs w:val="24"/>
        </w:rPr>
      </w:pPr>
    </w:p>
    <w:p w14:paraId="0DC6A58B" w14:textId="77777777" w:rsidR="00A26675" w:rsidRPr="00DA432B" w:rsidRDefault="00A26675" w:rsidP="00A26675">
      <w:pPr>
        <w:spacing w:before="60" w:line="288" w:lineRule="auto"/>
        <w:jc w:val="both"/>
        <w:rPr>
          <w:b/>
          <w:u w:val="single"/>
        </w:rPr>
      </w:pPr>
      <w:r w:rsidRPr="00DA432B">
        <w:rPr>
          <w:b/>
          <w:u w:val="single"/>
        </w:rPr>
        <w:t>Podoblast 2.5: Genová, buněčná terapie a tkáňové náhrady</w:t>
      </w:r>
    </w:p>
    <w:p w14:paraId="18C96C16" w14:textId="77777777" w:rsidR="00A26675" w:rsidRPr="00DA432B" w:rsidRDefault="00A26675" w:rsidP="00A26675">
      <w:pPr>
        <w:spacing w:before="60" w:line="288" w:lineRule="auto"/>
        <w:jc w:val="both"/>
        <w:rPr>
          <w:b/>
        </w:rPr>
      </w:pPr>
      <w:r w:rsidRPr="00DA432B">
        <w:rPr>
          <w:b/>
        </w:rPr>
        <w:t>Stěžejní cíl 2.5:</w:t>
      </w:r>
    </w:p>
    <w:p w14:paraId="02445061" w14:textId="77777777" w:rsidR="00A26675" w:rsidRPr="00DA432B" w:rsidRDefault="00A26675" w:rsidP="00A26675">
      <w:pPr>
        <w:pStyle w:val="Textkomente"/>
        <w:spacing w:before="60" w:line="288" w:lineRule="auto"/>
        <w:jc w:val="both"/>
        <w:rPr>
          <w:sz w:val="24"/>
          <w:szCs w:val="24"/>
        </w:rPr>
      </w:pPr>
      <w:r w:rsidRPr="00DA432B">
        <w:rPr>
          <w:sz w:val="24"/>
          <w:szCs w:val="24"/>
        </w:rPr>
        <w:t>Zavedení nových bezpečných postupů založených na použití autologních či modifikovaných autologních, allogenních či xenogenních buněk a biomateriálů a na metodologii genové terapie pro léčbu nemocí, u nichž dosavadní léčebné postupy selhávají anebo jsou příliš nákladné.</w:t>
      </w:r>
    </w:p>
    <w:p w14:paraId="11CC3830" w14:textId="77777777" w:rsidR="00A26675" w:rsidRPr="00DA432B" w:rsidRDefault="00A26675" w:rsidP="00A26675">
      <w:pPr>
        <w:spacing w:before="60" w:line="288" w:lineRule="auto"/>
        <w:jc w:val="both"/>
        <w:rPr>
          <w:b/>
        </w:rPr>
      </w:pPr>
      <w:r w:rsidRPr="00DA432B">
        <w:rPr>
          <w:b/>
        </w:rPr>
        <w:t>Dílčí cíl 2.5.1: Zdroje pro buněčnou a tkáňovou terapii</w:t>
      </w:r>
    </w:p>
    <w:p w14:paraId="62943D97" w14:textId="77777777" w:rsidR="00A26675" w:rsidRPr="00DA432B" w:rsidRDefault="00A26675" w:rsidP="00A26675">
      <w:pPr>
        <w:pStyle w:val="Textkomente"/>
        <w:spacing w:before="60" w:line="288" w:lineRule="auto"/>
        <w:jc w:val="both"/>
        <w:rPr>
          <w:sz w:val="24"/>
          <w:szCs w:val="24"/>
        </w:rPr>
      </w:pPr>
      <w:r w:rsidRPr="00DA432B">
        <w:rPr>
          <w:sz w:val="24"/>
          <w:szCs w:val="24"/>
        </w:rPr>
        <w:t>Příprava a charakterizace buněk a buněčných linií schopných diferenciace do požadovaných fenotypů. Může se jednat o allogenní či xenogenní zdroje, vývoj linií s definovanými vlastnostmi zahrnující nejen schopnost požadované diferenciace, ale i vysoký stupeň bezpečnosti. (např. autologní kmenové buňky tukové tkáně, kontinuální a kostní dřeně, nesmrtelné linie z buněk z fetální a embryonální tkáně, iPSC, tkáňové štěpy, transgenní zvířata apod.). Pro potřeby imunoterapie zhoubných nádorů linie z geneticky modifikovaných nádorových buněk a z aktivovaných buněk imunitního systému</w:t>
      </w:r>
    </w:p>
    <w:p w14:paraId="6C0BA484" w14:textId="77777777" w:rsidR="00A26675" w:rsidRPr="00DA432B" w:rsidRDefault="00A26675" w:rsidP="0002223D">
      <w:pPr>
        <w:keepNext/>
        <w:spacing w:before="60" w:line="288" w:lineRule="auto"/>
        <w:jc w:val="both"/>
        <w:rPr>
          <w:b/>
        </w:rPr>
      </w:pPr>
      <w:r w:rsidRPr="00DA432B">
        <w:rPr>
          <w:b/>
        </w:rPr>
        <w:t>Dílčí cíl 2.5.2: Metody pro diferenciaci a genovou modifikaci buněk/tkání</w:t>
      </w:r>
    </w:p>
    <w:p w14:paraId="15B353EB" w14:textId="77777777" w:rsidR="00A26675" w:rsidRPr="00DA432B" w:rsidRDefault="00A26675" w:rsidP="00A26675">
      <w:pPr>
        <w:pStyle w:val="Textkomente"/>
        <w:spacing w:before="60" w:line="288" w:lineRule="auto"/>
        <w:jc w:val="both"/>
        <w:rPr>
          <w:sz w:val="24"/>
          <w:szCs w:val="24"/>
        </w:rPr>
      </w:pPr>
      <w:r w:rsidRPr="00DA432B">
        <w:rPr>
          <w:sz w:val="24"/>
          <w:szCs w:val="24"/>
        </w:rPr>
        <w:t>Metody pro diferenciaci cílových buněk či tkání, případně související genové modifikace. Diferenciace mohou zahrnovat jak využití nízkomolekulárních</w:t>
      </w:r>
      <w:r w:rsidR="00EE77DD" w:rsidRPr="00DA432B">
        <w:rPr>
          <w:sz w:val="24"/>
          <w:szCs w:val="24"/>
        </w:rPr>
        <w:t>,</w:t>
      </w:r>
      <w:r w:rsidRPr="00DA432B">
        <w:rPr>
          <w:sz w:val="24"/>
          <w:szCs w:val="24"/>
        </w:rPr>
        <w:t xml:space="preserve"> anebo vysokomolekulárních látek, tak také genetické modifikace. </w:t>
      </w:r>
    </w:p>
    <w:p w14:paraId="1BA70A82" w14:textId="77777777" w:rsidR="00A26675" w:rsidRPr="00DA432B" w:rsidRDefault="00A26675" w:rsidP="00A26675">
      <w:pPr>
        <w:pStyle w:val="Textkomente"/>
        <w:spacing w:before="60" w:line="288" w:lineRule="auto"/>
        <w:jc w:val="both"/>
        <w:rPr>
          <w:sz w:val="24"/>
          <w:szCs w:val="24"/>
        </w:rPr>
      </w:pPr>
      <w:r w:rsidRPr="00DA432B">
        <w:rPr>
          <w:sz w:val="24"/>
          <w:szCs w:val="24"/>
        </w:rPr>
        <w:t>Indukce kmenových či prekurzorových buněk na buňky s požadovaným fenotypem a stupněm bezpečnosti.</w:t>
      </w:r>
    </w:p>
    <w:p w14:paraId="724AD02D" w14:textId="77777777" w:rsidR="00A26675" w:rsidRPr="00DA432B" w:rsidRDefault="00A26675" w:rsidP="00A26675">
      <w:pPr>
        <w:pStyle w:val="Textkomente"/>
        <w:spacing w:before="60" w:line="288" w:lineRule="auto"/>
        <w:jc w:val="both"/>
        <w:rPr>
          <w:sz w:val="24"/>
          <w:szCs w:val="24"/>
        </w:rPr>
      </w:pPr>
      <w:r w:rsidRPr="00DA432B">
        <w:rPr>
          <w:sz w:val="24"/>
          <w:szCs w:val="24"/>
        </w:rPr>
        <w:t>Využití aktivovaných dendritických buněk pro imunoterapii nádorů.</w:t>
      </w:r>
    </w:p>
    <w:p w14:paraId="3B213BF8" w14:textId="77777777" w:rsidR="00A26675" w:rsidRPr="00DA432B" w:rsidRDefault="00A26675" w:rsidP="00A26675">
      <w:pPr>
        <w:pStyle w:val="Textkomente"/>
        <w:spacing w:before="60" w:line="288" w:lineRule="auto"/>
        <w:jc w:val="both"/>
        <w:rPr>
          <w:sz w:val="24"/>
          <w:szCs w:val="24"/>
        </w:rPr>
      </w:pPr>
      <w:r w:rsidRPr="00DA432B">
        <w:rPr>
          <w:sz w:val="24"/>
          <w:szCs w:val="24"/>
        </w:rPr>
        <w:t>Genetické modifikace nádorových buněk a buněk imunitního systému in vivo a ex vivo. Isolace a charakterizace linií vhodných pro imunoterapii nádorů</w:t>
      </w:r>
    </w:p>
    <w:p w14:paraId="0506690C" w14:textId="77777777" w:rsidR="00A26675" w:rsidRPr="00DA432B" w:rsidRDefault="00A26675" w:rsidP="00A26675">
      <w:pPr>
        <w:pStyle w:val="Textkomente"/>
        <w:spacing w:before="60" w:line="288" w:lineRule="auto"/>
        <w:jc w:val="both"/>
        <w:rPr>
          <w:sz w:val="24"/>
          <w:szCs w:val="24"/>
        </w:rPr>
      </w:pPr>
      <w:r w:rsidRPr="00DA432B">
        <w:rPr>
          <w:sz w:val="24"/>
          <w:szCs w:val="24"/>
        </w:rPr>
        <w:t>Nové postupy pro genovou terapii lidských onemocnění, včetně prověření nových, bezpečnějších a účinnějších vektorů pro přenos genů</w:t>
      </w:r>
    </w:p>
    <w:p w14:paraId="61F89D91" w14:textId="77777777" w:rsidR="00A26675" w:rsidRPr="00DA432B" w:rsidRDefault="00A26675" w:rsidP="00A26675">
      <w:pPr>
        <w:spacing w:before="60" w:line="288" w:lineRule="auto"/>
        <w:jc w:val="both"/>
        <w:rPr>
          <w:b/>
        </w:rPr>
      </w:pPr>
      <w:r w:rsidRPr="00DA432B">
        <w:rPr>
          <w:b/>
        </w:rPr>
        <w:t>Dílčí cíl 2.5.3: Biomateriály</w:t>
      </w:r>
    </w:p>
    <w:p w14:paraId="19C1A3F6" w14:textId="77777777" w:rsidR="00A26675" w:rsidRPr="00DA432B" w:rsidRDefault="00A26675" w:rsidP="00A26675">
      <w:pPr>
        <w:pStyle w:val="Textkomente"/>
        <w:spacing w:before="60" w:line="288" w:lineRule="auto"/>
        <w:jc w:val="both"/>
        <w:rPr>
          <w:sz w:val="24"/>
          <w:szCs w:val="24"/>
        </w:rPr>
      </w:pPr>
      <w:r w:rsidRPr="00DA432B">
        <w:rPr>
          <w:sz w:val="24"/>
          <w:szCs w:val="24"/>
        </w:rPr>
        <w:t>Definované struktury se specifickou funkcí, např. jako součást tkáňové náhrady (scaffoldy, biohybridní zařízení apod.). Vývoj těchto materiálů zahrnuje polymerní nosiče, hydrogely, nanovláknové struktury, nanočástice, alogenní materiály a decelularizovanou extracelulární matrix z alogenních i xenogenních zdrojů.</w:t>
      </w:r>
    </w:p>
    <w:p w14:paraId="34BBD781" w14:textId="77777777" w:rsidR="00A26675" w:rsidRPr="00DA432B" w:rsidRDefault="00A26675" w:rsidP="005E6FEB">
      <w:pPr>
        <w:pStyle w:val="Textkomente"/>
        <w:spacing w:line="288" w:lineRule="auto"/>
        <w:jc w:val="both"/>
        <w:rPr>
          <w:sz w:val="24"/>
          <w:szCs w:val="24"/>
        </w:rPr>
      </w:pPr>
    </w:p>
    <w:p w14:paraId="2547401D" w14:textId="77777777" w:rsidR="00A26675" w:rsidRPr="00DA432B" w:rsidRDefault="00A26675" w:rsidP="00A26675">
      <w:pPr>
        <w:spacing w:before="60" w:line="288" w:lineRule="auto"/>
        <w:jc w:val="both"/>
        <w:rPr>
          <w:b/>
          <w:u w:val="single"/>
        </w:rPr>
      </w:pPr>
      <w:r w:rsidRPr="00DA432B">
        <w:rPr>
          <w:b/>
          <w:u w:val="single"/>
        </w:rPr>
        <w:t>Podoblast 2.6: Vývoj nových lékařských přístrojů a zařízení</w:t>
      </w:r>
    </w:p>
    <w:p w14:paraId="3973609E"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2.6:</w:t>
      </w:r>
    </w:p>
    <w:p w14:paraId="1A4E5D33"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Pro </w:t>
      </w:r>
      <w:r w:rsidR="00EE77DD" w:rsidRPr="00DA432B">
        <w:rPr>
          <w:sz w:val="24"/>
          <w:szCs w:val="24"/>
        </w:rPr>
        <w:t>v</w:t>
      </w:r>
      <w:r w:rsidRPr="00DA432B">
        <w:rPr>
          <w:sz w:val="24"/>
          <w:szCs w:val="24"/>
        </w:rPr>
        <w:t>časnou diagnostiku</w:t>
      </w:r>
      <w:r w:rsidR="00EE77DD" w:rsidRPr="00DA432B">
        <w:rPr>
          <w:sz w:val="24"/>
          <w:szCs w:val="24"/>
        </w:rPr>
        <w:t>,</w:t>
      </w:r>
      <w:r w:rsidRPr="00DA432B">
        <w:rPr>
          <w:sz w:val="24"/>
          <w:szCs w:val="24"/>
        </w:rPr>
        <w:t xml:space="preserve"> účinnou a standardizovanou léčbu kardiovaskulárních, neurologických, onkologických a dalších onemocnění budou vyvinuty nové hardwarové</w:t>
      </w:r>
      <w:r w:rsidR="00A560BA" w:rsidRPr="00DA432B">
        <w:rPr>
          <w:sz w:val="24"/>
          <w:szCs w:val="24"/>
        </w:rPr>
        <w:t xml:space="preserve"> a </w:t>
      </w:r>
      <w:r w:rsidRPr="00DA432B">
        <w:rPr>
          <w:sz w:val="24"/>
          <w:szCs w:val="24"/>
        </w:rPr>
        <w:t>softwarové technologie a metody. Na časné diagnostice těchto chorob se budou podílet</w:t>
      </w:r>
      <w:r w:rsidR="00A560BA" w:rsidRPr="00DA432B">
        <w:rPr>
          <w:sz w:val="24"/>
          <w:szCs w:val="24"/>
        </w:rPr>
        <w:t xml:space="preserve"> i </w:t>
      </w:r>
      <w:r w:rsidRPr="00DA432B">
        <w:rPr>
          <w:sz w:val="24"/>
          <w:szCs w:val="24"/>
        </w:rPr>
        <w:t>zobrazovací metody založené na využití nanotechnologií. Nanotechnologie zřejmě najdou</w:t>
      </w:r>
      <w:r w:rsidR="00A560BA" w:rsidRPr="00DA432B">
        <w:rPr>
          <w:sz w:val="24"/>
          <w:szCs w:val="24"/>
        </w:rPr>
        <w:t xml:space="preserve"> i </w:t>
      </w:r>
      <w:r w:rsidRPr="00DA432B">
        <w:rPr>
          <w:sz w:val="24"/>
          <w:szCs w:val="24"/>
        </w:rPr>
        <w:t>léčebné využití.</w:t>
      </w:r>
    </w:p>
    <w:p w14:paraId="4B5A3229" w14:textId="77777777" w:rsidR="00A26675" w:rsidRPr="00DA432B" w:rsidRDefault="00A26675" w:rsidP="00A560BA">
      <w:pPr>
        <w:pStyle w:val="Textkomente"/>
        <w:keepNext/>
        <w:spacing w:before="60" w:line="288" w:lineRule="auto"/>
        <w:jc w:val="both"/>
        <w:rPr>
          <w:b/>
          <w:sz w:val="24"/>
          <w:szCs w:val="24"/>
        </w:rPr>
      </w:pPr>
      <w:r w:rsidRPr="00DA432B">
        <w:rPr>
          <w:b/>
          <w:sz w:val="24"/>
          <w:szCs w:val="24"/>
        </w:rPr>
        <w:t>Dílčí cíl 2.6.1:Elektrické a magnetické mapování a stimulace</w:t>
      </w:r>
    </w:p>
    <w:p w14:paraId="5E43376B" w14:textId="77777777" w:rsidR="00A26675" w:rsidRPr="00DA432B" w:rsidRDefault="00A26675" w:rsidP="00A26675">
      <w:pPr>
        <w:pStyle w:val="Textkomente"/>
        <w:spacing w:before="60" w:line="288" w:lineRule="auto"/>
        <w:jc w:val="both"/>
        <w:rPr>
          <w:sz w:val="24"/>
          <w:szCs w:val="24"/>
        </w:rPr>
      </w:pPr>
      <w:r w:rsidRPr="00DA432B">
        <w:rPr>
          <w:sz w:val="24"/>
          <w:szCs w:val="24"/>
        </w:rPr>
        <w:t>Preferován je multioborový výzkum a vývoj nových hardwarových a softwarových technologií pro elektrické či magnetické mapování aktivit jednotlivých buněk, tkání a orgánů a/nebo jejich stimulaci s jasně definovaným klinickým cílem v oblasti zlepšení diagnostiky a/nebo léčby onemocnění. Součástí výzkumných projektů je vývoj minimálně do stadia plně funkčních prototypů.</w:t>
      </w:r>
    </w:p>
    <w:p w14:paraId="53B1EC9F"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2.6.2:Endovaskulární postupy</w:t>
      </w:r>
    </w:p>
    <w:p w14:paraId="6BCF670D" w14:textId="77777777" w:rsidR="00A26675" w:rsidRPr="00DA432B" w:rsidRDefault="00A26675" w:rsidP="00A26675">
      <w:pPr>
        <w:pStyle w:val="Textkomente"/>
        <w:spacing w:before="60" w:line="288" w:lineRule="auto"/>
        <w:jc w:val="both"/>
        <w:rPr>
          <w:sz w:val="24"/>
          <w:szCs w:val="24"/>
        </w:rPr>
      </w:pPr>
      <w:r w:rsidRPr="00DA432B">
        <w:rPr>
          <w:sz w:val="24"/>
          <w:szCs w:val="24"/>
        </w:rPr>
        <w:t>Preferován je multioborový výzkum a vývoj nových technologií umožňujících vytvořit nové endovaskulární diagnostické a léčebné postupy s jasně definovaným klinickým cílem v oblasti zlepšení diagnostiky a/nebo léčby onemocnění. Součástí výzkumných projektů je vývoj minimálně do stadia plně funkčních prototypů nebo biologických modelů i zavádění nových ověřených technik a technologií v endovaskulární oblasti.</w:t>
      </w:r>
    </w:p>
    <w:p w14:paraId="0EB14F04"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2.6.3: Navigační a robotické systémy, neurostimulátory. Zpřesnění a kontrola invazivních technik.</w:t>
      </w:r>
    </w:p>
    <w:p w14:paraId="43311881" w14:textId="77777777" w:rsidR="00A26675" w:rsidRPr="00DA432B" w:rsidRDefault="00A26675" w:rsidP="00A26675">
      <w:pPr>
        <w:pStyle w:val="Textkomente"/>
        <w:spacing w:before="60" w:line="288" w:lineRule="auto"/>
        <w:jc w:val="both"/>
        <w:rPr>
          <w:sz w:val="24"/>
          <w:szCs w:val="24"/>
        </w:rPr>
      </w:pPr>
      <w:r w:rsidRPr="00DA432B">
        <w:rPr>
          <w:sz w:val="24"/>
          <w:szCs w:val="24"/>
        </w:rPr>
        <w:t>Preferován je multioborový výzkum vedoucí k standardizaci intervenčních a miniinvazivních operačních postupů, ke zvýšení jejich bezpečnosti a účinnosti. Neuromodulace je dalším rozvíjejícím se směrem léčby různých onemocnění (arteriální hypertenze, srdeční selhání, obezita, bolest, neurodegenerativní onemocnění, epilepsie, psychiatrická onemocněn). Jde</w:t>
      </w:r>
      <w:r w:rsidR="00A560BA" w:rsidRPr="00DA432B">
        <w:rPr>
          <w:sz w:val="24"/>
          <w:szCs w:val="24"/>
        </w:rPr>
        <w:t> o v</w:t>
      </w:r>
      <w:r w:rsidRPr="00DA432B">
        <w:rPr>
          <w:sz w:val="24"/>
          <w:szCs w:val="24"/>
        </w:rPr>
        <w:t>ývoj technologických celků využívajících intervenční nebo miniinvazivní metody kontrolované mapovacími a navigačními systémy, zobrazovacími technikami a různými senzory (měření kontaktu s tkání, atd). Neuromodulace spočívá v použití neurostimulátorů, případně v cílené destrukci částí nervového systému. V kardiovaskulární chirurgii se jedná hlavně o rozšíření a standardizaci roboticky asistovaných zákroků na srdci (vlastní srdeční sval, chlopně, koronární tepny) i na tepnách, zvláště aortě (výdutě, obliterující postižení, řešení některých komplikací u endovaskulárních postupů</w:t>
      </w:r>
      <w:r w:rsidR="00A560BA" w:rsidRPr="00DA432B">
        <w:rPr>
          <w:sz w:val="24"/>
          <w:szCs w:val="24"/>
        </w:rPr>
        <w:t>). Součástí výzkumu je vývoj do </w:t>
      </w:r>
      <w:r w:rsidRPr="00DA432B">
        <w:rPr>
          <w:sz w:val="24"/>
          <w:szCs w:val="24"/>
        </w:rPr>
        <w:t>stadia technologických celků či funkčně plně použitelných prototypů.</w:t>
      </w:r>
    </w:p>
    <w:p w14:paraId="4D85F4B7" w14:textId="77777777" w:rsidR="00A26675" w:rsidRPr="00DA432B" w:rsidRDefault="00A26675" w:rsidP="005E6FEB">
      <w:pPr>
        <w:pStyle w:val="Textkomente"/>
        <w:spacing w:line="288" w:lineRule="auto"/>
        <w:jc w:val="both"/>
        <w:rPr>
          <w:sz w:val="24"/>
          <w:szCs w:val="24"/>
        </w:rPr>
      </w:pPr>
    </w:p>
    <w:p w14:paraId="2709E0E1" w14:textId="77777777" w:rsidR="00A26675" w:rsidRPr="00DA432B" w:rsidRDefault="00A26675" w:rsidP="00A26675">
      <w:pPr>
        <w:spacing w:before="60" w:line="288" w:lineRule="auto"/>
        <w:jc w:val="both"/>
        <w:rPr>
          <w:b/>
          <w:u w:val="single"/>
        </w:rPr>
      </w:pPr>
      <w:r w:rsidRPr="00DA432B">
        <w:rPr>
          <w:b/>
          <w:u w:val="single"/>
        </w:rPr>
        <w:t>Podoblast 2.7: Inovativní chirurgické postupy včetně transplantace</w:t>
      </w:r>
    </w:p>
    <w:p w14:paraId="4104EDC2"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2.7:</w:t>
      </w:r>
    </w:p>
    <w:p w14:paraId="7521F308" w14:textId="77777777" w:rsidR="00A26675" w:rsidRPr="00DA432B" w:rsidRDefault="00A26675" w:rsidP="00A26675">
      <w:pPr>
        <w:pStyle w:val="Textkomente"/>
        <w:spacing w:before="60" w:line="288" w:lineRule="auto"/>
        <w:jc w:val="both"/>
        <w:rPr>
          <w:sz w:val="24"/>
          <w:szCs w:val="24"/>
        </w:rPr>
      </w:pPr>
      <w:r w:rsidRPr="00DA432B">
        <w:rPr>
          <w:sz w:val="24"/>
          <w:szCs w:val="24"/>
        </w:rPr>
        <w:t>Cílem je vývoj a využití nových chirurgických postupů s nižší invazivitou</w:t>
      </w:r>
      <w:r w:rsidR="00EE77DD" w:rsidRPr="00DA432B">
        <w:rPr>
          <w:sz w:val="24"/>
          <w:szCs w:val="24"/>
        </w:rPr>
        <w:t>,</w:t>
      </w:r>
      <w:r w:rsidRPr="00DA432B">
        <w:rPr>
          <w:sz w:val="24"/>
          <w:szCs w:val="24"/>
        </w:rPr>
        <w:t xml:space="preserve"> a tudíž menší zátěží pro organizmus pacientů. Nové metody budou efektivnější, umožní lepší hojení, redukci potencionálních komplikací a přinesou kvalitní dlouhodobou prognóz</w:t>
      </w:r>
      <w:r w:rsidR="00A560BA" w:rsidRPr="00DA432B">
        <w:rPr>
          <w:sz w:val="24"/>
          <w:szCs w:val="24"/>
        </w:rPr>
        <w:t>u pro </w:t>
      </w:r>
      <w:r w:rsidRPr="00DA432B">
        <w:rPr>
          <w:sz w:val="24"/>
          <w:szCs w:val="24"/>
        </w:rPr>
        <w:t>nemocného. To umožní na druhé straně extenzivnější zákroky pro dosud chirurgicky neřešitelné nálezy.</w:t>
      </w:r>
      <w:r w:rsidR="00EE77DD" w:rsidRPr="00DA432B">
        <w:rPr>
          <w:sz w:val="24"/>
          <w:szCs w:val="24"/>
        </w:rPr>
        <w:t xml:space="preserve"> </w:t>
      </w:r>
      <w:r w:rsidRPr="00DA432B">
        <w:rPr>
          <w:sz w:val="24"/>
          <w:szCs w:val="24"/>
        </w:rPr>
        <w:t xml:space="preserve">V oblasti transplantace dojde ke kultivaci </w:t>
      </w:r>
      <w:r w:rsidR="0017264D" w:rsidRPr="00DA432B">
        <w:rPr>
          <w:sz w:val="24"/>
          <w:szCs w:val="24"/>
        </w:rPr>
        <w:t>tkání, vytvoření umělých orgánů</w:t>
      </w:r>
      <w:r w:rsidR="00A560BA" w:rsidRPr="00DA432B">
        <w:rPr>
          <w:sz w:val="24"/>
          <w:szCs w:val="24"/>
        </w:rPr>
        <w:t xml:space="preserve"> </w:t>
      </w:r>
      <w:r w:rsidRPr="00DA432B">
        <w:rPr>
          <w:sz w:val="24"/>
          <w:szCs w:val="24"/>
        </w:rPr>
        <w:t>a</w:t>
      </w:r>
      <w:r w:rsidR="00A560BA" w:rsidRPr="00DA432B">
        <w:rPr>
          <w:sz w:val="24"/>
          <w:szCs w:val="24"/>
        </w:rPr>
        <w:t> </w:t>
      </w:r>
      <w:r w:rsidRPr="00DA432B">
        <w:rPr>
          <w:sz w:val="24"/>
          <w:szCs w:val="24"/>
        </w:rPr>
        <w:t>usnadnění přijímání transplantátů organi</w:t>
      </w:r>
      <w:r w:rsidR="00AC7E75" w:rsidRPr="00DA432B">
        <w:rPr>
          <w:sz w:val="24"/>
          <w:szCs w:val="24"/>
        </w:rPr>
        <w:t>z</w:t>
      </w:r>
      <w:r w:rsidRPr="00DA432B">
        <w:rPr>
          <w:sz w:val="24"/>
          <w:szCs w:val="24"/>
        </w:rPr>
        <w:t>mem pacienta. Zvýšení léčebných možností umožní přechod na minimalizaci nezbytné doby hospitalizace nebo nabídne možnost ambulantního ošetření se zkrácením celkové doby léčby.</w:t>
      </w:r>
    </w:p>
    <w:p w14:paraId="327565A8"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2.7.1: Chirurgické postupy a transplantace</w:t>
      </w:r>
    </w:p>
    <w:p w14:paraId="5CC9994C"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Budou vyvíjeny nové, šetrnější operační postupy se sofistikovanými navigovanými technikami. Cílem je výzkum zaměřený na vývoj a implementaci nových chirurgických technik a postupů. Výsledným stavem bude přesun operativy do oblasti jednodenní chirurgie či výrazné zkrácení doby hospitalizace při zachování její </w:t>
      </w:r>
      <w:r w:rsidR="0017264D" w:rsidRPr="00DA432B">
        <w:rPr>
          <w:sz w:val="24"/>
          <w:szCs w:val="24"/>
        </w:rPr>
        <w:t>bezpečnosti a efektivity. Dojde</w:t>
      </w:r>
      <w:r w:rsidR="00A560BA" w:rsidRPr="00DA432B">
        <w:rPr>
          <w:sz w:val="24"/>
          <w:szCs w:val="24"/>
        </w:rPr>
        <w:t xml:space="preserve"> k </w:t>
      </w:r>
      <w:r w:rsidRPr="00DA432B">
        <w:rPr>
          <w:sz w:val="24"/>
          <w:szCs w:val="24"/>
        </w:rPr>
        <w:t xml:space="preserve">vývoji biologických náhrad tkání a orgánů, imunomodulačních a protektivních postupů zvyšujících účinnost, bezpečnost a toleranci chirurgické a transplantační léčby. Cílem multioborového výzkumu budou transplantace tkáňové </w:t>
      </w:r>
      <w:r w:rsidR="0017264D" w:rsidRPr="00DA432B">
        <w:rPr>
          <w:sz w:val="24"/>
          <w:szCs w:val="24"/>
        </w:rPr>
        <w:t>i orgánové od dárců i pěstované</w:t>
      </w:r>
      <w:r w:rsidR="00A560BA" w:rsidRPr="00DA432B">
        <w:rPr>
          <w:sz w:val="24"/>
          <w:szCs w:val="24"/>
        </w:rPr>
        <w:t xml:space="preserve"> in </w:t>
      </w:r>
      <w:r w:rsidRPr="00DA432B">
        <w:rPr>
          <w:sz w:val="24"/>
          <w:szCs w:val="24"/>
        </w:rPr>
        <w:t>vitro, které organizmus dobře přijímá a jejichž funkce nahrazuje orgán (tkáň).</w:t>
      </w:r>
    </w:p>
    <w:p w14:paraId="3D0AEC73"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2.7.2:Neinvazivní léčba</w:t>
      </w:r>
    </w:p>
    <w:p w14:paraId="671DCA92" w14:textId="77777777" w:rsidR="00A26675" w:rsidRPr="00DA432B" w:rsidRDefault="00A26675" w:rsidP="00A26675">
      <w:pPr>
        <w:pStyle w:val="Textkomente"/>
        <w:spacing w:before="60" w:line="288" w:lineRule="auto"/>
        <w:jc w:val="both"/>
        <w:rPr>
          <w:sz w:val="24"/>
          <w:szCs w:val="24"/>
        </w:rPr>
      </w:pPr>
      <w:r w:rsidRPr="00DA432B">
        <w:rPr>
          <w:sz w:val="24"/>
          <w:szCs w:val="24"/>
        </w:rPr>
        <w:t>Fokusovaná radiační léčba, neinvazivní lokální a lokoregionální léčba (např. radiochirurgie, litotrypse, léčba ultrazvukem včetně sonotrombolýzy). Multioborový a multimodalní výzkum je cílen na neinvazivní avšak svojí povahou chirurgické techniky bez penetrace kožního krytu. Precizní diagnostika a vývoj nových léčebných metodik zvýší jejich využívání v ambulantním režimu. Nové modality budou vyvinuty do stadia klinicky použitelného prototypu.</w:t>
      </w:r>
    </w:p>
    <w:p w14:paraId="7CF13839" w14:textId="77777777" w:rsidR="00A26675" w:rsidRPr="00DA432B" w:rsidRDefault="00A26675" w:rsidP="00A26675">
      <w:pPr>
        <w:pStyle w:val="Textkomente"/>
        <w:spacing w:before="60" w:line="288" w:lineRule="auto"/>
        <w:jc w:val="both"/>
        <w:rPr>
          <w:sz w:val="24"/>
          <w:szCs w:val="24"/>
        </w:rPr>
      </w:pPr>
    </w:p>
    <w:p w14:paraId="4D06E635" w14:textId="77777777" w:rsidR="00A26675" w:rsidRPr="00DA432B" w:rsidRDefault="00A26675" w:rsidP="004A1E88">
      <w:pPr>
        <w:pStyle w:val="Nadpis2"/>
        <w:spacing w:after="120"/>
        <w:ind w:left="539" w:hanging="539"/>
        <w:rPr>
          <w:rStyle w:val="Hypertextovodkaz"/>
          <w:color w:val="000000"/>
          <w:sz w:val="24"/>
          <w:szCs w:val="24"/>
          <w:u w:val="none"/>
        </w:rPr>
      </w:pPr>
      <w:bookmarkStart w:id="53" w:name="_Toc404887001"/>
      <w:bookmarkStart w:id="54" w:name="_Toc405894509"/>
      <w:bookmarkStart w:id="55" w:name="_Toc418585160"/>
      <w:r w:rsidRPr="00DA432B">
        <w:rPr>
          <w:rStyle w:val="Hypertextovodkaz"/>
          <w:color w:val="000000"/>
          <w:sz w:val="24"/>
          <w:szCs w:val="24"/>
          <w:u w:val="none"/>
        </w:rPr>
        <w:t>Oblast 3</w:t>
      </w:r>
      <w:r w:rsidR="00A5010B" w:rsidRPr="00DA432B">
        <w:rPr>
          <w:rStyle w:val="Hypertextovodkaz"/>
          <w:color w:val="000000"/>
          <w:sz w:val="24"/>
          <w:szCs w:val="24"/>
          <w:u w:val="none"/>
        </w:rPr>
        <w:t>.</w:t>
      </w:r>
      <w:r w:rsidRPr="00DA432B">
        <w:rPr>
          <w:rStyle w:val="Hypertextovodkaz"/>
          <w:color w:val="000000"/>
          <w:sz w:val="24"/>
          <w:szCs w:val="24"/>
          <w:u w:val="none"/>
        </w:rPr>
        <w:t xml:space="preserve"> Epidemiologie a prevence nejzávažnějších chorob</w:t>
      </w:r>
      <w:bookmarkEnd w:id="53"/>
      <w:bookmarkEnd w:id="54"/>
      <w:bookmarkEnd w:id="55"/>
    </w:p>
    <w:p w14:paraId="1CBA50B4" w14:textId="77777777" w:rsidR="00A26675" w:rsidRPr="00DA432B" w:rsidRDefault="00A26675" w:rsidP="00A26675">
      <w:pPr>
        <w:spacing w:before="60" w:line="288" w:lineRule="auto"/>
        <w:jc w:val="both"/>
        <w:rPr>
          <w:b/>
          <w:u w:val="single"/>
        </w:rPr>
      </w:pPr>
      <w:r w:rsidRPr="00DA432B">
        <w:rPr>
          <w:b/>
          <w:u w:val="single"/>
        </w:rPr>
        <w:t>Podoblast 3.1: Metabolické a endokrinní choroby</w:t>
      </w:r>
    </w:p>
    <w:p w14:paraId="32B6CDE0"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3.1:</w:t>
      </w:r>
    </w:p>
    <w:p w14:paraId="2A04E4F7" w14:textId="77777777" w:rsidR="00A26675" w:rsidRPr="00DA432B" w:rsidRDefault="00A26675" w:rsidP="00A26675">
      <w:pPr>
        <w:pStyle w:val="Textkomente"/>
        <w:spacing w:before="60" w:line="288" w:lineRule="auto"/>
        <w:jc w:val="both"/>
        <w:rPr>
          <w:sz w:val="24"/>
          <w:szCs w:val="24"/>
        </w:rPr>
      </w:pPr>
      <w:r w:rsidRPr="00DA432B">
        <w:rPr>
          <w:sz w:val="24"/>
          <w:szCs w:val="24"/>
        </w:rPr>
        <w:t>Budou dostupné validované epidemiologické údaje o 1) výskytu, trendech, zdravotních</w:t>
      </w:r>
      <w:r w:rsidR="00231BDB" w:rsidRPr="00DA432B">
        <w:rPr>
          <w:sz w:val="24"/>
          <w:szCs w:val="24"/>
        </w:rPr>
        <w:t xml:space="preserve"> a </w:t>
      </w:r>
      <w:r w:rsidRPr="00DA432B">
        <w:rPr>
          <w:sz w:val="24"/>
          <w:szCs w:val="24"/>
        </w:rPr>
        <w:t>ekonomických důsledcích nejčastějších hromadně se vyskytujících metabolických poruch</w:t>
      </w:r>
      <w:r w:rsidR="00231BDB" w:rsidRPr="00DA432B">
        <w:rPr>
          <w:sz w:val="24"/>
          <w:szCs w:val="24"/>
        </w:rPr>
        <w:t xml:space="preserve"> a </w:t>
      </w:r>
      <w:r w:rsidRPr="00DA432B">
        <w:rPr>
          <w:sz w:val="24"/>
          <w:szCs w:val="24"/>
        </w:rPr>
        <w:t>2) jejich společenských, socioekonomických, behaviorálních, biologických determinantách.</w:t>
      </w:r>
    </w:p>
    <w:p w14:paraId="18D0A25D" w14:textId="77777777" w:rsidR="00A26675" w:rsidRPr="00DA432B" w:rsidRDefault="00A26675" w:rsidP="00A26675">
      <w:pPr>
        <w:pStyle w:val="Textkomente"/>
        <w:spacing w:before="60" w:line="288" w:lineRule="auto"/>
        <w:jc w:val="both"/>
        <w:rPr>
          <w:sz w:val="24"/>
          <w:szCs w:val="24"/>
        </w:rPr>
      </w:pPr>
      <w:r w:rsidRPr="00DA432B">
        <w:rPr>
          <w:sz w:val="24"/>
          <w:szCs w:val="24"/>
        </w:rPr>
        <w:t>Bude analyzována a simulována efektivita jednotlivých intervenčních preventivních</w:t>
      </w:r>
      <w:r w:rsidR="00231BDB" w:rsidRPr="00DA432B">
        <w:rPr>
          <w:sz w:val="24"/>
          <w:szCs w:val="24"/>
        </w:rPr>
        <w:t xml:space="preserve"> i </w:t>
      </w:r>
      <w:r w:rsidRPr="00DA432B">
        <w:rPr>
          <w:sz w:val="24"/>
          <w:szCs w:val="24"/>
        </w:rPr>
        <w:t>terapeutických postupů tak, aby bylo možno na podkladě těchto výsledků propagovat</w:t>
      </w:r>
      <w:r w:rsidR="00231BDB" w:rsidRPr="00DA432B">
        <w:rPr>
          <w:sz w:val="24"/>
          <w:szCs w:val="24"/>
        </w:rPr>
        <w:t xml:space="preserve"> a </w:t>
      </w:r>
      <w:r w:rsidRPr="00DA432B">
        <w:rPr>
          <w:sz w:val="24"/>
          <w:szCs w:val="24"/>
        </w:rPr>
        <w:t>posilovat komplexní nejefektivnější celospolečenský program i mimo zdravotnický sektor, jehož akceptace by přispěla k zastavení nárůstu či dokonce poklesu jejich incidence</w:t>
      </w:r>
      <w:r w:rsidR="00231BDB" w:rsidRPr="00DA432B">
        <w:rPr>
          <w:sz w:val="24"/>
          <w:szCs w:val="24"/>
        </w:rPr>
        <w:t xml:space="preserve"> a </w:t>
      </w:r>
      <w:r w:rsidRPr="00DA432B">
        <w:rPr>
          <w:sz w:val="24"/>
          <w:szCs w:val="24"/>
        </w:rPr>
        <w:t>pozitivnímu dopadu na celkové zdraví populace.</w:t>
      </w:r>
    </w:p>
    <w:p w14:paraId="16F179F8"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3.1.1: Zhodnocení vlivu preventivních opatření na vznik nejčastějších metabolických poruch</w:t>
      </w:r>
    </w:p>
    <w:p w14:paraId="48E0CAB4" w14:textId="77777777" w:rsidR="00A26675" w:rsidRPr="00DA432B" w:rsidRDefault="00A26675" w:rsidP="00A26675">
      <w:pPr>
        <w:pStyle w:val="Textkomente"/>
        <w:spacing w:before="60" w:line="288" w:lineRule="auto"/>
        <w:jc w:val="both"/>
        <w:rPr>
          <w:sz w:val="24"/>
          <w:szCs w:val="24"/>
        </w:rPr>
      </w:pPr>
      <w:r w:rsidRPr="00DA432B">
        <w:rPr>
          <w:sz w:val="24"/>
          <w:szCs w:val="24"/>
        </w:rPr>
        <w:t>Klinické i komunitní hodnocení nových farmakologických i nefarmakologických postupů zaměřených na prevenci vzniku obezity, poruch glukózového metabolismu, hyperlipoproteinémie a hypertentenze, poruch funkce štítné žlázy, endokrinně podmíněných poruch reprodukce a dalších autoimunitních endokrinní onemocnění.</w:t>
      </w:r>
    </w:p>
    <w:p w14:paraId="72CD2A4A" w14:textId="77777777" w:rsidR="00A26675" w:rsidRPr="00DA432B" w:rsidRDefault="00A26675" w:rsidP="00A26675">
      <w:pPr>
        <w:rPr>
          <w:b/>
        </w:rPr>
      </w:pPr>
    </w:p>
    <w:p w14:paraId="43DC3CFD" w14:textId="77777777" w:rsidR="00A26675" w:rsidRPr="00DA432B" w:rsidRDefault="00A26675" w:rsidP="00A26675">
      <w:pPr>
        <w:spacing w:before="60" w:line="288" w:lineRule="auto"/>
        <w:jc w:val="both"/>
        <w:rPr>
          <w:b/>
          <w:u w:val="single"/>
        </w:rPr>
      </w:pPr>
      <w:r w:rsidRPr="00DA432B">
        <w:rPr>
          <w:b/>
          <w:u w:val="single"/>
        </w:rPr>
        <w:t>Podoblast 3.2: Nemoci oběhové soustavy</w:t>
      </w:r>
    </w:p>
    <w:p w14:paraId="731C8329"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3.2:</w:t>
      </w:r>
    </w:p>
    <w:p w14:paraId="27E0A027" w14:textId="77777777" w:rsidR="00A26675" w:rsidRPr="00DA432B" w:rsidRDefault="00A26675" w:rsidP="00A26675">
      <w:pPr>
        <w:pStyle w:val="Textkomente"/>
        <w:spacing w:before="60" w:line="288" w:lineRule="auto"/>
        <w:jc w:val="both"/>
        <w:rPr>
          <w:sz w:val="24"/>
          <w:szCs w:val="24"/>
        </w:rPr>
      </w:pPr>
      <w:r w:rsidRPr="00DA432B">
        <w:rPr>
          <w:sz w:val="24"/>
          <w:szCs w:val="24"/>
        </w:rPr>
        <w:t>Sledování klasických i nových (netradičních) rizikových faktorů kardiovaskulárních</w:t>
      </w:r>
      <w:r w:rsidR="00231BDB" w:rsidRPr="00DA432B">
        <w:rPr>
          <w:sz w:val="24"/>
          <w:szCs w:val="24"/>
        </w:rPr>
        <w:t xml:space="preserve"> a </w:t>
      </w:r>
      <w:r w:rsidRPr="00DA432B">
        <w:rPr>
          <w:sz w:val="24"/>
          <w:szCs w:val="24"/>
        </w:rPr>
        <w:t>cerebrovaskulárních onemocnění v populaci ČR na</w:t>
      </w:r>
      <w:r w:rsidR="00231BDB" w:rsidRPr="00DA432B">
        <w:rPr>
          <w:sz w:val="24"/>
          <w:szCs w:val="24"/>
        </w:rPr>
        <w:t>pomůže snížení incidence těchto </w:t>
      </w:r>
      <w:r w:rsidRPr="00DA432B">
        <w:rPr>
          <w:sz w:val="24"/>
          <w:szCs w:val="24"/>
        </w:rPr>
        <w:t>onemocnění v ČR. Přispěje k inovaci a zefekti</w:t>
      </w:r>
      <w:r w:rsidR="00231BDB" w:rsidRPr="00DA432B">
        <w:rPr>
          <w:sz w:val="24"/>
          <w:szCs w:val="24"/>
        </w:rPr>
        <w:t>vnění preventivních programů se </w:t>
      </w:r>
      <w:r w:rsidRPr="00DA432B">
        <w:rPr>
          <w:sz w:val="24"/>
          <w:szCs w:val="24"/>
        </w:rPr>
        <w:t>začleněním aktuálních poznatků a potřeb společnosti v oblasti realizace zdravotní politiky na jednotlivých úrovních.</w:t>
      </w:r>
    </w:p>
    <w:p w14:paraId="6F6CAD24" w14:textId="77777777" w:rsidR="00A26675" w:rsidRPr="00DA432B" w:rsidRDefault="00A26675" w:rsidP="00231BDB">
      <w:pPr>
        <w:pStyle w:val="Textkomente"/>
        <w:keepNext/>
        <w:spacing w:before="60" w:line="288" w:lineRule="auto"/>
        <w:jc w:val="both"/>
        <w:rPr>
          <w:b/>
          <w:sz w:val="24"/>
          <w:szCs w:val="24"/>
        </w:rPr>
      </w:pPr>
      <w:r w:rsidRPr="00DA432B">
        <w:rPr>
          <w:b/>
          <w:sz w:val="24"/>
          <w:szCs w:val="24"/>
        </w:rPr>
        <w:t>Dílčí cíl 3.2.1:Populační studie: data o onemocněních</w:t>
      </w:r>
    </w:p>
    <w:p w14:paraId="373B2807" w14:textId="77777777" w:rsidR="00A26675" w:rsidRPr="00DA432B" w:rsidRDefault="00A26675" w:rsidP="00A26675">
      <w:pPr>
        <w:pStyle w:val="Textkomente"/>
        <w:spacing w:before="60" w:line="288" w:lineRule="auto"/>
        <w:jc w:val="both"/>
        <w:rPr>
          <w:sz w:val="24"/>
          <w:szCs w:val="24"/>
        </w:rPr>
      </w:pPr>
      <w:r w:rsidRPr="00DA432B">
        <w:rPr>
          <w:sz w:val="24"/>
          <w:szCs w:val="24"/>
        </w:rPr>
        <w:t>Sběr a zpracování dat o incidenci a prevalenci kardiovaskulárních a cerebrovaskulárních onemocnění a jejich rizikových faktorech.</w:t>
      </w:r>
    </w:p>
    <w:p w14:paraId="65C82AA3" w14:textId="0E1D2CC1" w:rsidR="00BB5B15" w:rsidRDefault="00BB5B15">
      <w:pPr>
        <w:rPr>
          <w:b/>
        </w:rPr>
      </w:pPr>
    </w:p>
    <w:p w14:paraId="737B6863"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3.2.2: Populační intervence, zhodnocení vlivu preventivních opatření</w:t>
      </w:r>
    </w:p>
    <w:p w14:paraId="6060819E" w14:textId="77777777" w:rsidR="00100E0D" w:rsidRPr="00DA432B" w:rsidRDefault="00A26675" w:rsidP="00A26675">
      <w:pPr>
        <w:pStyle w:val="Textkomente"/>
        <w:spacing w:before="60" w:line="288" w:lineRule="auto"/>
        <w:jc w:val="both"/>
        <w:rPr>
          <w:sz w:val="24"/>
          <w:szCs w:val="24"/>
        </w:rPr>
      </w:pPr>
      <w:r w:rsidRPr="00DA432B">
        <w:rPr>
          <w:sz w:val="24"/>
          <w:szCs w:val="24"/>
        </w:rPr>
        <w:t>Ověření intervenčních postupů, vedoucích a) ke snížení incidence, společenského</w:t>
      </w:r>
      <w:r w:rsidR="00231BDB" w:rsidRPr="00DA432B">
        <w:rPr>
          <w:sz w:val="24"/>
          <w:szCs w:val="24"/>
        </w:rPr>
        <w:t xml:space="preserve"> a </w:t>
      </w:r>
      <w:r w:rsidRPr="00DA432B">
        <w:rPr>
          <w:sz w:val="24"/>
          <w:szCs w:val="24"/>
        </w:rPr>
        <w:t>ekonomického dopadu kardiovaskulárních a cerebrov</w:t>
      </w:r>
      <w:r w:rsidR="00231BDB" w:rsidRPr="00DA432B">
        <w:rPr>
          <w:sz w:val="24"/>
          <w:szCs w:val="24"/>
        </w:rPr>
        <w:t>askulárních onemocnění a jejích </w:t>
      </w:r>
      <w:r w:rsidRPr="00DA432B">
        <w:rPr>
          <w:sz w:val="24"/>
          <w:szCs w:val="24"/>
        </w:rPr>
        <w:t>rizikových faktorů, b) k výchově populace s cílem časného rozpoznání příznaků pacientem, což umožní časný záchyt a léčbu.</w:t>
      </w:r>
    </w:p>
    <w:p w14:paraId="71597AB7" w14:textId="77777777" w:rsidR="00231BDB" w:rsidRPr="00DA432B" w:rsidRDefault="00231BDB" w:rsidP="00A26675">
      <w:pPr>
        <w:pStyle w:val="Textkomente"/>
        <w:spacing w:before="60" w:line="288" w:lineRule="auto"/>
        <w:jc w:val="both"/>
        <w:rPr>
          <w:sz w:val="24"/>
          <w:szCs w:val="24"/>
        </w:rPr>
      </w:pPr>
    </w:p>
    <w:p w14:paraId="10C5A30A" w14:textId="77777777" w:rsidR="00A26675" w:rsidRPr="00DA432B" w:rsidRDefault="00A26675" w:rsidP="00A26675">
      <w:pPr>
        <w:pStyle w:val="Textkomente"/>
        <w:spacing w:before="60" w:line="288" w:lineRule="auto"/>
        <w:jc w:val="both"/>
        <w:rPr>
          <w:b/>
          <w:sz w:val="24"/>
          <w:szCs w:val="24"/>
          <w:u w:val="single"/>
        </w:rPr>
      </w:pPr>
      <w:r w:rsidRPr="00DA432B">
        <w:rPr>
          <w:b/>
          <w:sz w:val="24"/>
          <w:szCs w:val="24"/>
          <w:u w:val="single"/>
        </w:rPr>
        <w:t>Podoblast 3.3: Nádorová onemocnění</w:t>
      </w:r>
    </w:p>
    <w:p w14:paraId="090C611F"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3.3:</w:t>
      </w:r>
    </w:p>
    <w:p w14:paraId="3AF6955D" w14:textId="77777777" w:rsidR="00A26675" w:rsidRPr="00DA432B" w:rsidRDefault="00A26675" w:rsidP="00A26675">
      <w:pPr>
        <w:pStyle w:val="Textkomente"/>
        <w:spacing w:before="60" w:line="288" w:lineRule="auto"/>
        <w:jc w:val="both"/>
        <w:rPr>
          <w:sz w:val="24"/>
          <w:szCs w:val="24"/>
        </w:rPr>
      </w:pPr>
      <w:r w:rsidRPr="00DA432B">
        <w:rPr>
          <w:sz w:val="24"/>
          <w:szCs w:val="24"/>
        </w:rPr>
        <w:t>Bude poznána epidemiologie nádorových chorob, identifikovány rizikové faktory v jednotlivých populacích, navržené specifické i nespecifické metody jejich prevence, přesného a specifického skríningu, v konečném důsledku vedoucí k identifikaci rizikových jedinců, včasnému záchytu nádorů, jejich recidiv i vedlej</w:t>
      </w:r>
      <w:r w:rsidR="00231BDB" w:rsidRPr="00DA432B">
        <w:rPr>
          <w:sz w:val="24"/>
          <w:szCs w:val="24"/>
        </w:rPr>
        <w:t>ších následků léčby s dopady do </w:t>
      </w:r>
      <w:r w:rsidRPr="00DA432B">
        <w:rPr>
          <w:sz w:val="24"/>
          <w:szCs w:val="24"/>
        </w:rPr>
        <w:t>snížené mortality, morbidity a nákladnosti protinádorové léčby s ohledem na subjektivní hodnocení kvality života pacienta. Bude rozpoznána potřeba specializované paliativní péče</w:t>
      </w:r>
      <w:r w:rsidR="00231BDB" w:rsidRPr="00DA432B">
        <w:rPr>
          <w:sz w:val="24"/>
          <w:szCs w:val="24"/>
        </w:rPr>
        <w:t xml:space="preserve"> u </w:t>
      </w:r>
      <w:r w:rsidRPr="00DA432B">
        <w:rPr>
          <w:sz w:val="24"/>
          <w:szCs w:val="24"/>
        </w:rPr>
        <w:t>pacientů s vyčerpanými možnostmi specifické protinádorové léčby. Zvýší se počet kvalitních klinických studií ve výše uvedených oblastech a dostupnost výstupů z nich.</w:t>
      </w:r>
    </w:p>
    <w:p w14:paraId="20CCE5FB" w14:textId="77777777" w:rsidR="00A26675" w:rsidRPr="00DA432B" w:rsidRDefault="00A26675" w:rsidP="00257364">
      <w:pPr>
        <w:pStyle w:val="Textkomente"/>
        <w:keepNext/>
        <w:spacing w:before="60" w:line="288" w:lineRule="auto"/>
        <w:jc w:val="both"/>
        <w:rPr>
          <w:b/>
          <w:sz w:val="24"/>
          <w:szCs w:val="24"/>
        </w:rPr>
      </w:pPr>
      <w:r w:rsidRPr="00DA432B">
        <w:rPr>
          <w:b/>
          <w:sz w:val="24"/>
          <w:szCs w:val="24"/>
        </w:rPr>
        <w:t>Dílčí cíl 3.3.1: Skríning a prevence výskytu nádorů</w:t>
      </w:r>
    </w:p>
    <w:p w14:paraId="6F9F95D0" w14:textId="77777777" w:rsidR="00A26675" w:rsidRPr="00DA432B" w:rsidRDefault="00A26675" w:rsidP="00A26675">
      <w:pPr>
        <w:pStyle w:val="Textkomente"/>
        <w:spacing w:before="60" w:line="288" w:lineRule="auto"/>
        <w:jc w:val="both"/>
        <w:rPr>
          <w:sz w:val="24"/>
          <w:szCs w:val="24"/>
        </w:rPr>
      </w:pPr>
      <w:r w:rsidRPr="00DA432B">
        <w:rPr>
          <w:sz w:val="24"/>
          <w:szCs w:val="24"/>
        </w:rPr>
        <w:t>Pozornost bude věnována zejména možnostem chemoprevence nádorů, posílení a zpřesnění stávajících i zavedení nových, vysoce senzitivních, specifických, neinvazivníc</w:t>
      </w:r>
      <w:r w:rsidR="00231BDB" w:rsidRPr="00DA432B">
        <w:rPr>
          <w:sz w:val="24"/>
          <w:szCs w:val="24"/>
        </w:rPr>
        <w:t>h nebo </w:t>
      </w:r>
      <w:r w:rsidRPr="00DA432B">
        <w:rPr>
          <w:sz w:val="24"/>
          <w:szCs w:val="24"/>
        </w:rPr>
        <w:t>minimálně invazivních skríningových programů, které budou využitelné ke včasnému odhalení nádorovéh</w:t>
      </w:r>
      <w:r w:rsidR="005E6FEB" w:rsidRPr="00DA432B">
        <w:rPr>
          <w:sz w:val="24"/>
          <w:szCs w:val="24"/>
        </w:rPr>
        <w:t>o onemocnění v celkové populaci</w:t>
      </w:r>
      <w:r w:rsidRPr="00DA432B">
        <w:rPr>
          <w:sz w:val="24"/>
          <w:szCs w:val="24"/>
        </w:rPr>
        <w:t xml:space="preserve"> nebo v rizikových skupinách jedinců.</w:t>
      </w:r>
    </w:p>
    <w:p w14:paraId="58433F47"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3.3.2: Identifikace rizikových faktorů a jedinců v populacích</w:t>
      </w:r>
    </w:p>
    <w:p w14:paraId="26DF643B" w14:textId="77777777" w:rsidR="00A26675" w:rsidRPr="00DA432B" w:rsidRDefault="00D05EF1" w:rsidP="00A26675">
      <w:pPr>
        <w:pStyle w:val="Textkomente"/>
        <w:spacing w:before="60" w:line="288" w:lineRule="auto"/>
        <w:jc w:val="both"/>
        <w:rPr>
          <w:b/>
          <w:sz w:val="24"/>
          <w:szCs w:val="24"/>
        </w:rPr>
      </w:pPr>
      <w:r w:rsidRPr="00DA432B">
        <w:rPr>
          <w:sz w:val="24"/>
          <w:szCs w:val="24"/>
        </w:rPr>
        <w:t>Výzkum se zaměří na identifikaci faktorů podílejících se na vzniku a rozvoji nádorových onemocnění, rizikových faktorů v populaci (zejména genetických, environmentálních, fyzikálních, návykových, nutričních, pohybových a infekčních) a povede k návrhu specifických preventivních opatření a dalšímu zkoumání biologických mechanismů.</w:t>
      </w:r>
    </w:p>
    <w:p w14:paraId="6314F250" w14:textId="77777777" w:rsidR="00100E0D" w:rsidRPr="00DA432B" w:rsidRDefault="00100E0D" w:rsidP="005E6FEB">
      <w:pPr>
        <w:pStyle w:val="Textkomente"/>
        <w:spacing w:line="288" w:lineRule="auto"/>
        <w:jc w:val="both"/>
        <w:rPr>
          <w:b/>
          <w:sz w:val="24"/>
          <w:szCs w:val="24"/>
          <w:u w:val="single"/>
        </w:rPr>
      </w:pPr>
    </w:p>
    <w:p w14:paraId="35A0E0D2" w14:textId="77777777" w:rsidR="00A26675" w:rsidRPr="00DA432B" w:rsidRDefault="00A26675" w:rsidP="00A26675">
      <w:pPr>
        <w:pStyle w:val="Textkomente"/>
        <w:spacing w:before="60" w:line="288" w:lineRule="auto"/>
        <w:jc w:val="both"/>
        <w:rPr>
          <w:b/>
          <w:sz w:val="24"/>
          <w:szCs w:val="24"/>
          <w:u w:val="single"/>
        </w:rPr>
      </w:pPr>
      <w:r w:rsidRPr="00DA432B">
        <w:rPr>
          <w:b/>
          <w:sz w:val="24"/>
          <w:szCs w:val="24"/>
          <w:u w:val="single"/>
        </w:rPr>
        <w:t>Podoblast 3.4: Nervová a psychická onemocnění</w:t>
      </w:r>
    </w:p>
    <w:p w14:paraId="77DDB87E"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3.4:</w:t>
      </w:r>
    </w:p>
    <w:p w14:paraId="4B189AF6" w14:textId="181A8EB9" w:rsidR="00224053" w:rsidRDefault="00A26675" w:rsidP="00AE72F6">
      <w:pPr>
        <w:pStyle w:val="Textkomente"/>
        <w:spacing w:before="60" w:line="288" w:lineRule="auto"/>
        <w:jc w:val="both"/>
        <w:rPr>
          <w:b/>
        </w:rPr>
      </w:pPr>
      <w:r w:rsidRPr="00DA432B">
        <w:rPr>
          <w:sz w:val="24"/>
          <w:szCs w:val="24"/>
        </w:rPr>
        <w:t>Budou zmapovány hlavní demografické a epidemiologické charakteristiky onemocnění nervového systému, nalezeny a vytipovány jejich vazby (např. na věk, pohlaví, geografické</w:t>
      </w:r>
      <w:r w:rsidR="00231BDB" w:rsidRPr="00DA432B">
        <w:rPr>
          <w:sz w:val="24"/>
          <w:szCs w:val="24"/>
        </w:rPr>
        <w:t xml:space="preserve"> a </w:t>
      </w:r>
      <w:r w:rsidRPr="00DA432B">
        <w:rPr>
          <w:sz w:val="24"/>
          <w:szCs w:val="24"/>
        </w:rPr>
        <w:t>environmentální, vývojové, genetické a komorbidity) a uskutečněny preventivní opatření</w:t>
      </w:r>
      <w:r w:rsidR="00231BDB" w:rsidRPr="00DA432B">
        <w:rPr>
          <w:sz w:val="24"/>
          <w:szCs w:val="24"/>
        </w:rPr>
        <w:t xml:space="preserve"> a </w:t>
      </w:r>
      <w:r w:rsidRPr="00DA432B">
        <w:rPr>
          <w:sz w:val="24"/>
          <w:szCs w:val="24"/>
        </w:rPr>
        <w:t>programy pro snížení prevalence a incidence onemocnění nervového systému včetně duševních poruch, omezení revertence (četnosti a délky hospitalizací) a snížení socio-ekonomického břemene, jež nemoci nervové soustavy představují. Současně bude probíhat výzkum efektivity a účinnosti poskytovaných intervencí a služeb (services research), s cílem optimalizovat nabídku a koordinaci těchto intervencí.</w:t>
      </w:r>
    </w:p>
    <w:p w14:paraId="4867EE91"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3.4.1:Populační studie: data o onemocněních</w:t>
      </w:r>
    </w:p>
    <w:p w14:paraId="5637FF59" w14:textId="77777777" w:rsidR="00D05EF1" w:rsidRPr="00DA432B" w:rsidRDefault="00D05EF1" w:rsidP="00A26675">
      <w:pPr>
        <w:pStyle w:val="Textkomente"/>
        <w:spacing w:before="60" w:line="288" w:lineRule="auto"/>
        <w:jc w:val="both"/>
        <w:rPr>
          <w:sz w:val="24"/>
          <w:szCs w:val="24"/>
        </w:rPr>
      </w:pPr>
      <w:r w:rsidRPr="00DA432B">
        <w:rPr>
          <w:sz w:val="24"/>
          <w:szCs w:val="24"/>
        </w:rPr>
        <w:t>Vznik registrů (duševní a nervové nemoci, suicidia, somatické komorbidity, časné a pozdní morbidity u rizikových novorozenců atd.) a podpora longitudinálních studií budou základem databází, z nichž budou vycházet preventivně zaměřené intervence.</w:t>
      </w:r>
    </w:p>
    <w:p w14:paraId="3D4BEEE5"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3.4.2: Populační intervence, zhodnocení vlivu preventivních opatření</w:t>
      </w:r>
    </w:p>
    <w:p w14:paraId="2518A0CF" w14:textId="77777777" w:rsidR="00A26675" w:rsidRPr="00DA432B" w:rsidRDefault="00A26675" w:rsidP="00A26675">
      <w:pPr>
        <w:pStyle w:val="Textkomente"/>
        <w:spacing w:before="60" w:line="288" w:lineRule="auto"/>
        <w:jc w:val="both"/>
        <w:rPr>
          <w:sz w:val="24"/>
          <w:szCs w:val="24"/>
        </w:rPr>
      </w:pPr>
      <w:r w:rsidRPr="00DA432B">
        <w:rPr>
          <w:sz w:val="24"/>
          <w:szCs w:val="24"/>
        </w:rPr>
        <w:t>Primárně preventivní celopopulační intervence budou především zaměřeny na destigmatizaci jedinců, kteří trpí onemocněním mozku: stigmatizace představuje stresor potenciálně zhoršující průběh onemocnění a vede k oddálení vyhledá</w:t>
      </w:r>
      <w:r w:rsidR="00231BDB" w:rsidRPr="00DA432B">
        <w:rPr>
          <w:sz w:val="24"/>
          <w:szCs w:val="24"/>
        </w:rPr>
        <w:t>ní terapeutické pomoci, přičemž </w:t>
      </w:r>
      <w:r w:rsidRPr="00DA432B">
        <w:rPr>
          <w:sz w:val="24"/>
          <w:szCs w:val="24"/>
        </w:rPr>
        <w:t>prodlení může negativně ovlivnit výsledný stav nemocného.</w:t>
      </w:r>
    </w:p>
    <w:p w14:paraId="3CDDE1F7" w14:textId="77777777" w:rsidR="00A26675" w:rsidRPr="00DA432B" w:rsidRDefault="00A26675" w:rsidP="00A26675">
      <w:pPr>
        <w:pStyle w:val="Textkomente"/>
        <w:spacing w:before="60" w:line="288" w:lineRule="auto"/>
        <w:jc w:val="both"/>
        <w:rPr>
          <w:sz w:val="24"/>
          <w:szCs w:val="24"/>
        </w:rPr>
      </w:pPr>
      <w:r w:rsidRPr="00DA432B">
        <w:rPr>
          <w:sz w:val="24"/>
          <w:szCs w:val="24"/>
        </w:rPr>
        <w:t>Primárně preventivní programy budou dále zaměřené na riz</w:t>
      </w:r>
      <w:r w:rsidR="00231BDB" w:rsidRPr="00DA432B">
        <w:rPr>
          <w:sz w:val="24"/>
          <w:szCs w:val="24"/>
        </w:rPr>
        <w:t>ikové populace, jako jsou např. </w:t>
      </w:r>
      <w:r w:rsidRPr="00DA432B">
        <w:rPr>
          <w:sz w:val="24"/>
          <w:szCs w:val="24"/>
        </w:rPr>
        <w:t>perinatálně ohrožené děti nebo jedinci se zvýšeným rizikem rozvoje psychotické poruchy, CMP nebo demence. Budou využívány ne</w:t>
      </w:r>
      <w:r w:rsidR="00231BDB" w:rsidRPr="00DA432B">
        <w:rPr>
          <w:sz w:val="24"/>
          <w:szCs w:val="24"/>
        </w:rPr>
        <w:t>jmodernější metody včetně např. </w:t>
      </w:r>
      <w:r w:rsidRPr="00DA432B">
        <w:rPr>
          <w:sz w:val="24"/>
          <w:szCs w:val="24"/>
        </w:rPr>
        <w:t xml:space="preserve">telemedicíny. </w:t>
      </w:r>
    </w:p>
    <w:p w14:paraId="2732A67C" w14:textId="77777777" w:rsidR="00A26675" w:rsidRPr="00DA432B" w:rsidRDefault="00A26675" w:rsidP="00A26675">
      <w:pPr>
        <w:pStyle w:val="Textkomente"/>
        <w:spacing w:before="60" w:line="288" w:lineRule="auto"/>
        <w:jc w:val="both"/>
        <w:rPr>
          <w:sz w:val="24"/>
          <w:szCs w:val="24"/>
        </w:rPr>
      </w:pPr>
      <w:r w:rsidRPr="00DA432B">
        <w:rPr>
          <w:sz w:val="24"/>
          <w:szCs w:val="24"/>
        </w:rPr>
        <w:t>Současně bude probíhat výzkum efektivity a účinnosti poskytovaných intervencí a služeb (services research), s cílem optimalizovat nabídku a koordinaci těchto intervencí.</w:t>
      </w:r>
    </w:p>
    <w:p w14:paraId="5D29B026" w14:textId="77777777" w:rsidR="00A26675" w:rsidRPr="00DA432B" w:rsidRDefault="00A26675" w:rsidP="005E6FEB">
      <w:pPr>
        <w:pStyle w:val="Textkomente"/>
        <w:spacing w:line="288" w:lineRule="auto"/>
        <w:jc w:val="both"/>
        <w:rPr>
          <w:sz w:val="24"/>
          <w:szCs w:val="24"/>
        </w:rPr>
      </w:pPr>
    </w:p>
    <w:p w14:paraId="23577820" w14:textId="77777777" w:rsidR="00A26675" w:rsidRPr="00DA432B" w:rsidRDefault="00A26675" w:rsidP="00257364">
      <w:pPr>
        <w:pStyle w:val="Textkomente"/>
        <w:keepNext/>
        <w:spacing w:before="60" w:line="288" w:lineRule="auto"/>
        <w:jc w:val="both"/>
        <w:rPr>
          <w:b/>
          <w:sz w:val="24"/>
          <w:szCs w:val="24"/>
          <w:u w:val="single"/>
        </w:rPr>
      </w:pPr>
      <w:r w:rsidRPr="00DA432B">
        <w:rPr>
          <w:b/>
          <w:sz w:val="24"/>
          <w:szCs w:val="24"/>
          <w:u w:val="single"/>
        </w:rPr>
        <w:t>Podoblast 3.5: Nemoci pohybového aparátu a zánětlivá a imunologická onemocnění</w:t>
      </w:r>
    </w:p>
    <w:p w14:paraId="6DA820B0" w14:textId="77777777" w:rsidR="00A26675" w:rsidRPr="00DA432B" w:rsidRDefault="00A26675" w:rsidP="00257364">
      <w:pPr>
        <w:pStyle w:val="Textkomente"/>
        <w:keepNext/>
        <w:spacing w:before="60" w:line="288" w:lineRule="auto"/>
        <w:jc w:val="both"/>
        <w:rPr>
          <w:b/>
          <w:sz w:val="24"/>
          <w:szCs w:val="24"/>
        </w:rPr>
      </w:pPr>
      <w:r w:rsidRPr="00DA432B">
        <w:rPr>
          <w:b/>
          <w:sz w:val="24"/>
          <w:szCs w:val="24"/>
        </w:rPr>
        <w:t>Stěžejní cíl 3.5:</w:t>
      </w:r>
    </w:p>
    <w:p w14:paraId="65FB0190" w14:textId="77777777" w:rsidR="00A26675" w:rsidRPr="00DA432B" w:rsidRDefault="00A26675" w:rsidP="00A26675">
      <w:pPr>
        <w:pStyle w:val="Textkomente"/>
        <w:spacing w:before="60" w:line="288" w:lineRule="auto"/>
        <w:jc w:val="both"/>
        <w:rPr>
          <w:sz w:val="24"/>
          <w:szCs w:val="24"/>
        </w:rPr>
      </w:pPr>
      <w:r w:rsidRPr="00DA432B">
        <w:rPr>
          <w:sz w:val="24"/>
          <w:szCs w:val="24"/>
        </w:rPr>
        <w:t>Budou známy nejen faktory prevalence a incidence, ale i dalších významné environmentální faktory zúčastněné na etiopatogenezi těchto onemocnění. Z nejdůležitějších nutno jmenovat vztah infekce k rozvoji autoimunitních onemocnění, dále pak endokrinní faktory, vlivy stárnutí, faktory znečištění životního prostředí, vlivy kouření a dalších návykových látek.</w:t>
      </w:r>
    </w:p>
    <w:p w14:paraId="6977D471" w14:textId="77777777" w:rsidR="00A26675" w:rsidRPr="00DA432B" w:rsidRDefault="00A26675" w:rsidP="00A26675">
      <w:pPr>
        <w:pStyle w:val="Textkomente"/>
        <w:spacing w:before="60" w:line="288" w:lineRule="auto"/>
        <w:jc w:val="both"/>
        <w:rPr>
          <w:b/>
          <w:sz w:val="24"/>
          <w:szCs w:val="24"/>
        </w:rPr>
      </w:pPr>
      <w:r w:rsidRPr="00DA432B">
        <w:rPr>
          <w:b/>
          <w:sz w:val="24"/>
          <w:szCs w:val="24"/>
        </w:rPr>
        <w:t xml:space="preserve">Dílčí cíl 3.5.1:Epidemiologie degenerativních a metabolických onemocnění pohybového aparátu a autoimunitně zprostředkovaných chorob gastrointestinálního traktu </w:t>
      </w:r>
    </w:p>
    <w:p w14:paraId="351DD8CE" w14:textId="77777777" w:rsidR="00A26675" w:rsidRPr="00DA432B" w:rsidRDefault="00A26675" w:rsidP="00A26675">
      <w:pPr>
        <w:pStyle w:val="Textkomente"/>
        <w:spacing w:before="60" w:line="288" w:lineRule="auto"/>
        <w:jc w:val="both"/>
        <w:rPr>
          <w:sz w:val="24"/>
          <w:szCs w:val="24"/>
        </w:rPr>
      </w:pPr>
      <w:r w:rsidRPr="00DA432B">
        <w:rPr>
          <w:sz w:val="24"/>
          <w:szCs w:val="24"/>
        </w:rPr>
        <w:t>Popsat epidemiologické souvislosti výskytu zevních příčin na rozvoj degenerativních onemocnění kloubů a páteře, např. kloubních dysplazií, obezity, traumat, zánětu, faktorů životního stylu a pohybové zátěže. Zmapovat epidemiologicky významné souvislosti vedoucí ke vzniku různých typů metabolických osteopatií, např. faktory nutriční, příjmu kalcia</w:t>
      </w:r>
      <w:r w:rsidR="00231BDB" w:rsidRPr="00DA432B">
        <w:rPr>
          <w:sz w:val="24"/>
          <w:szCs w:val="24"/>
        </w:rPr>
        <w:t xml:space="preserve"> a </w:t>
      </w:r>
      <w:r w:rsidRPr="00DA432B">
        <w:rPr>
          <w:sz w:val="24"/>
          <w:szCs w:val="24"/>
        </w:rPr>
        <w:t>vitaminů, vlivu pohybových aktivit, vliv kouření a návykových látek, dále vliv různých léků (např. glukokortikoidů) a vzniku idiopatických střevních zánětu a celiakie.</w:t>
      </w:r>
    </w:p>
    <w:p w14:paraId="551323F0" w14:textId="77777777" w:rsidR="00A26675" w:rsidRPr="00DA432B" w:rsidRDefault="00A26675" w:rsidP="005E6FEB">
      <w:pPr>
        <w:pStyle w:val="Textkomente"/>
        <w:spacing w:line="288" w:lineRule="auto"/>
        <w:jc w:val="both"/>
        <w:rPr>
          <w:sz w:val="24"/>
          <w:szCs w:val="24"/>
        </w:rPr>
      </w:pPr>
    </w:p>
    <w:p w14:paraId="5A568481" w14:textId="77777777" w:rsidR="00A26675" w:rsidRPr="00DA432B" w:rsidRDefault="00A26675" w:rsidP="00A26675">
      <w:pPr>
        <w:pStyle w:val="Textkomente"/>
        <w:spacing w:before="60" w:line="288" w:lineRule="auto"/>
        <w:jc w:val="both"/>
        <w:rPr>
          <w:b/>
          <w:sz w:val="24"/>
          <w:szCs w:val="24"/>
          <w:u w:val="single"/>
        </w:rPr>
      </w:pPr>
      <w:r w:rsidRPr="00DA432B">
        <w:rPr>
          <w:b/>
          <w:sz w:val="24"/>
          <w:szCs w:val="24"/>
          <w:u w:val="single"/>
        </w:rPr>
        <w:t>Podoblast 3.6: Závislosti</w:t>
      </w:r>
    </w:p>
    <w:p w14:paraId="44262C4B"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3.6:</w:t>
      </w:r>
    </w:p>
    <w:p w14:paraId="077E1483" w14:textId="534E78C9" w:rsidR="00A26675" w:rsidRPr="00DA432B" w:rsidRDefault="00A26675" w:rsidP="00A26675">
      <w:pPr>
        <w:pStyle w:val="Textkomente"/>
        <w:spacing w:before="60" w:line="288" w:lineRule="auto"/>
        <w:jc w:val="both"/>
        <w:rPr>
          <w:sz w:val="24"/>
          <w:szCs w:val="24"/>
        </w:rPr>
      </w:pPr>
      <w:r w:rsidRPr="00DA432B">
        <w:rPr>
          <w:sz w:val="24"/>
          <w:szCs w:val="24"/>
        </w:rPr>
        <w:t xml:space="preserve">Cílem </w:t>
      </w:r>
      <w:r w:rsidR="00BF5822">
        <w:rPr>
          <w:sz w:val="24"/>
          <w:szCs w:val="24"/>
        </w:rPr>
        <w:t>P</w:t>
      </w:r>
      <w:r w:rsidR="00BF5822" w:rsidRPr="00DA432B">
        <w:rPr>
          <w:sz w:val="24"/>
          <w:szCs w:val="24"/>
        </w:rPr>
        <w:t>rogramu</w:t>
      </w:r>
      <w:r w:rsidRPr="00DA432B">
        <w:rPr>
          <w:sz w:val="24"/>
          <w:szCs w:val="24"/>
        </w:rPr>
        <w:t xml:space="preserve"> je snížení prevalence a incidence závislostí včetně alkoholismu, kouření</w:t>
      </w:r>
      <w:r w:rsidR="00231BDB" w:rsidRPr="00DA432B">
        <w:rPr>
          <w:sz w:val="24"/>
          <w:szCs w:val="24"/>
        </w:rPr>
        <w:t xml:space="preserve"> a </w:t>
      </w:r>
      <w:r w:rsidRPr="00DA432B">
        <w:rPr>
          <w:sz w:val="24"/>
          <w:szCs w:val="24"/>
        </w:rPr>
        <w:t>gamblerství a snížení jejich zdravotních a socio-ekonomických dopadů. Předpokladem dosažení těchto cílů je zmapování epidemiologie, rizik rozvoje, společenské zátěže</w:t>
      </w:r>
      <w:r w:rsidR="00231BDB" w:rsidRPr="00DA432B">
        <w:rPr>
          <w:sz w:val="24"/>
          <w:szCs w:val="24"/>
        </w:rPr>
        <w:t xml:space="preserve"> a </w:t>
      </w:r>
      <w:r w:rsidRPr="00DA432B">
        <w:rPr>
          <w:sz w:val="24"/>
          <w:szCs w:val="24"/>
        </w:rPr>
        <w:t>prediktorů léčby závislostí a příprava podkladů pro preven</w:t>
      </w:r>
      <w:r w:rsidR="00231BDB" w:rsidRPr="00DA432B">
        <w:rPr>
          <w:sz w:val="24"/>
          <w:szCs w:val="24"/>
        </w:rPr>
        <w:t>tivní opatření a programy a pro </w:t>
      </w:r>
      <w:r w:rsidRPr="00DA432B">
        <w:rPr>
          <w:sz w:val="24"/>
          <w:szCs w:val="24"/>
        </w:rPr>
        <w:t>politická, legislativní a ekonomická rozhodnutí.</w:t>
      </w:r>
    </w:p>
    <w:p w14:paraId="0AE5A236"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3.6.1: Vazby</w:t>
      </w:r>
    </w:p>
    <w:p w14:paraId="268CA312" w14:textId="77777777" w:rsidR="00A26675" w:rsidRPr="00DA432B" w:rsidRDefault="00A26675" w:rsidP="00A26675">
      <w:pPr>
        <w:pStyle w:val="Textkomente"/>
        <w:spacing w:before="60" w:line="288" w:lineRule="auto"/>
        <w:jc w:val="both"/>
        <w:rPr>
          <w:sz w:val="24"/>
          <w:szCs w:val="24"/>
        </w:rPr>
      </w:pPr>
      <w:r w:rsidRPr="00DA432B">
        <w:rPr>
          <w:sz w:val="24"/>
          <w:szCs w:val="24"/>
        </w:rPr>
        <w:t>Nalezení genetických, epigenetických, environmentálních, veřejno-zdravotních, behaviorálních a sociálních vazeb závislostí včetně jejich vazby na jiná související onemocnění.</w:t>
      </w:r>
    </w:p>
    <w:p w14:paraId="7C58BEE1" w14:textId="77777777" w:rsidR="00A26675" w:rsidRPr="00DA432B" w:rsidRDefault="00A26675" w:rsidP="005F58B9">
      <w:pPr>
        <w:pStyle w:val="Textkomente"/>
        <w:keepNext/>
        <w:spacing w:before="60" w:line="288" w:lineRule="auto"/>
        <w:jc w:val="both"/>
        <w:rPr>
          <w:b/>
          <w:sz w:val="24"/>
          <w:szCs w:val="24"/>
        </w:rPr>
      </w:pPr>
      <w:r w:rsidRPr="00DA432B">
        <w:rPr>
          <w:b/>
          <w:sz w:val="24"/>
          <w:szCs w:val="24"/>
        </w:rPr>
        <w:t>Dílčí cíl 3.6.2: Společenský dopad</w:t>
      </w:r>
    </w:p>
    <w:p w14:paraId="739FB9AB" w14:textId="77777777" w:rsidR="00A26675" w:rsidRPr="00DA432B" w:rsidRDefault="00A26675" w:rsidP="00A26675">
      <w:pPr>
        <w:pStyle w:val="Textkomente"/>
        <w:spacing w:before="60" w:line="288" w:lineRule="auto"/>
        <w:jc w:val="both"/>
        <w:rPr>
          <w:sz w:val="24"/>
          <w:szCs w:val="24"/>
        </w:rPr>
      </w:pPr>
      <w:r w:rsidRPr="00DA432B">
        <w:rPr>
          <w:sz w:val="24"/>
          <w:szCs w:val="24"/>
        </w:rPr>
        <w:t>Snížení společenského a ekonomického dopadu závislostí.</w:t>
      </w:r>
    </w:p>
    <w:p w14:paraId="51A2BFBE" w14:textId="77777777" w:rsidR="00231BDB" w:rsidRPr="00DA432B" w:rsidRDefault="00231BDB" w:rsidP="00A26675">
      <w:pPr>
        <w:pStyle w:val="Textkomente"/>
        <w:spacing w:before="60" w:line="288" w:lineRule="auto"/>
        <w:jc w:val="both"/>
        <w:rPr>
          <w:sz w:val="24"/>
          <w:szCs w:val="24"/>
        </w:rPr>
      </w:pPr>
    </w:p>
    <w:p w14:paraId="6BA2C825" w14:textId="77777777" w:rsidR="00A26675" w:rsidRPr="00DA432B" w:rsidRDefault="00A26675" w:rsidP="00A26675">
      <w:pPr>
        <w:pStyle w:val="Textkomente"/>
        <w:spacing w:before="60" w:line="288" w:lineRule="auto"/>
        <w:jc w:val="both"/>
        <w:rPr>
          <w:b/>
          <w:sz w:val="24"/>
          <w:szCs w:val="24"/>
          <w:u w:val="single"/>
        </w:rPr>
      </w:pPr>
      <w:r w:rsidRPr="00DA432B">
        <w:rPr>
          <w:b/>
          <w:sz w:val="24"/>
          <w:szCs w:val="24"/>
          <w:u w:val="single"/>
        </w:rPr>
        <w:t>Podoblast 3.7: Infekce</w:t>
      </w:r>
    </w:p>
    <w:p w14:paraId="5EE51166"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3.7:</w:t>
      </w:r>
    </w:p>
    <w:p w14:paraId="14D96DDE" w14:textId="77777777" w:rsidR="00A26675" w:rsidRPr="00DA432B" w:rsidRDefault="00A26675" w:rsidP="00A26675">
      <w:pPr>
        <w:pStyle w:val="Textkomente"/>
        <w:spacing w:before="60" w:line="288" w:lineRule="auto"/>
        <w:jc w:val="both"/>
        <w:rPr>
          <w:sz w:val="24"/>
          <w:szCs w:val="24"/>
        </w:rPr>
      </w:pPr>
      <w:r w:rsidRPr="00DA432B">
        <w:rPr>
          <w:sz w:val="24"/>
          <w:szCs w:val="24"/>
        </w:rPr>
        <w:t>Omezení výskytu a šíření původců infekcí, včetně nozokomiálních i nově hrozících etiologických agens se zoonotickým potenciálem a zkvalitnění jejich laboratorní diagnostiky.</w:t>
      </w:r>
    </w:p>
    <w:p w14:paraId="7458A221"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3.7.1: Epidemiologie infekčních nemocí</w:t>
      </w:r>
    </w:p>
    <w:p w14:paraId="0750CCF2" w14:textId="77777777" w:rsidR="00306156" w:rsidRPr="00DA432B" w:rsidRDefault="00306156" w:rsidP="00306156">
      <w:pPr>
        <w:pStyle w:val="Textkomente"/>
        <w:spacing w:before="60" w:line="288" w:lineRule="auto"/>
        <w:jc w:val="both"/>
        <w:rPr>
          <w:sz w:val="24"/>
          <w:szCs w:val="24"/>
        </w:rPr>
      </w:pPr>
      <w:r w:rsidRPr="00DA432B">
        <w:rPr>
          <w:rFonts w:eastAsia="Arial Unicode MS"/>
          <w:sz w:val="24"/>
          <w:szCs w:val="24"/>
        </w:rPr>
        <w:t>Sledování nemocnosti a smrtnosti infekčních onemocnění a studium faktorů ovlivňujících jejich výskyt</w:t>
      </w:r>
      <w:r w:rsidRPr="00DA432B">
        <w:rPr>
          <w:sz w:val="24"/>
          <w:szCs w:val="24"/>
        </w:rPr>
        <w:t xml:space="preserve">. Identifikace nových zdrojů a cest šíření infekčních onemocnění a vývoj účinných protiepidemických opatření. Rozvoj nových diagnostických metod k identifikaci původců a testování jejich vlastností. </w:t>
      </w:r>
      <w:r w:rsidRPr="00DA432B">
        <w:rPr>
          <w:rFonts w:eastAsia="Arial Unicode MS"/>
          <w:sz w:val="24"/>
          <w:szCs w:val="24"/>
        </w:rPr>
        <w:t xml:space="preserve">Rozvoj programů surveillance infekčních onemocnění v souladu s požadavky Evropské unie. </w:t>
      </w:r>
      <w:r w:rsidRPr="00DA432B">
        <w:rPr>
          <w:sz w:val="24"/>
          <w:szCs w:val="24"/>
        </w:rPr>
        <w:t xml:space="preserve">Optimalizace informačních systémů a registrů. Sledování účinnosti vakcinačních programů </w:t>
      </w:r>
      <w:r w:rsidRPr="00DA432B">
        <w:rPr>
          <w:rFonts w:eastAsia="Arial Unicode MS"/>
          <w:sz w:val="24"/>
          <w:szCs w:val="24"/>
        </w:rPr>
        <w:t>a návrhy jejich aktualizace dle epidemiologické situace a dostupnosti nově vyvinutých vakcín</w:t>
      </w:r>
      <w:r w:rsidRPr="00DA432B">
        <w:rPr>
          <w:sz w:val="24"/>
          <w:szCs w:val="24"/>
        </w:rPr>
        <w:t>. Edukace obyvatelstva.</w:t>
      </w:r>
    </w:p>
    <w:p w14:paraId="41D30441" w14:textId="77777777" w:rsidR="00A26675" w:rsidRPr="00DA432B" w:rsidRDefault="00A26675" w:rsidP="00257364">
      <w:pPr>
        <w:pStyle w:val="Textkomente"/>
        <w:keepNext/>
        <w:spacing w:before="60" w:line="288" w:lineRule="auto"/>
        <w:jc w:val="both"/>
        <w:rPr>
          <w:b/>
          <w:sz w:val="24"/>
          <w:szCs w:val="24"/>
        </w:rPr>
      </w:pPr>
      <w:r w:rsidRPr="00DA432B">
        <w:rPr>
          <w:b/>
          <w:sz w:val="24"/>
          <w:szCs w:val="24"/>
        </w:rPr>
        <w:t xml:space="preserve">Dílčí cíl 3.7.2: Tuzemské a importované potraviny jako zdroj infekcí </w:t>
      </w:r>
    </w:p>
    <w:p w14:paraId="57570F1F" w14:textId="77777777" w:rsidR="00A26675" w:rsidRPr="00DA432B" w:rsidRDefault="00A26675" w:rsidP="00A26675">
      <w:pPr>
        <w:pStyle w:val="Textkomente"/>
        <w:spacing w:before="60" w:line="288" w:lineRule="auto"/>
        <w:jc w:val="both"/>
        <w:rPr>
          <w:sz w:val="24"/>
          <w:szCs w:val="24"/>
        </w:rPr>
      </w:pPr>
      <w:r w:rsidRPr="00DA432B">
        <w:rPr>
          <w:sz w:val="24"/>
          <w:szCs w:val="24"/>
        </w:rPr>
        <w:t>Identifikace rizikových faktorů při dovozu potravin z různých destinací, identifikace zdrojů kontaminace a vypracování postupů vedoucích k ochraně obyvatel ČR. Rychlá laboratorní diagnostika původců alimentárních infekcí a testování jejich vlastností. Optimalizace informačních systémů. Edukace spotřebitele.</w:t>
      </w:r>
    </w:p>
    <w:p w14:paraId="41EC0C7A" w14:textId="77777777" w:rsidR="00A26675" w:rsidRPr="00DA432B" w:rsidRDefault="00A26675" w:rsidP="00A26675">
      <w:pPr>
        <w:pStyle w:val="Textkomente"/>
        <w:spacing w:before="60" w:line="288" w:lineRule="auto"/>
        <w:jc w:val="both"/>
        <w:rPr>
          <w:sz w:val="24"/>
          <w:szCs w:val="24"/>
          <w:highlight w:val="yellow"/>
        </w:rPr>
      </w:pPr>
    </w:p>
    <w:p w14:paraId="17A77399" w14:textId="77777777" w:rsidR="00250530" w:rsidRPr="00DA432B" w:rsidRDefault="00250530" w:rsidP="003633A4">
      <w:pPr>
        <w:pStyle w:val="Nadpis1"/>
        <w:ind w:left="360" w:hanging="360"/>
        <w:jc w:val="both"/>
        <w:rPr>
          <w:rFonts w:ascii="Times New Roman" w:hAnsi="Times New Roman" w:cs="Times New Roman"/>
        </w:rPr>
      </w:pPr>
      <w:bookmarkStart w:id="56" w:name="_Toc404887002"/>
      <w:bookmarkStart w:id="57" w:name="_Toc405894510"/>
      <w:bookmarkStart w:id="58" w:name="_Toc418585161"/>
      <w:r w:rsidRPr="00DA432B">
        <w:rPr>
          <w:rFonts w:ascii="Times New Roman" w:hAnsi="Times New Roman" w:cs="Times New Roman"/>
        </w:rPr>
        <w:t>1</w:t>
      </w:r>
      <w:r w:rsidR="00036752" w:rsidRPr="00DA432B">
        <w:rPr>
          <w:rFonts w:ascii="Times New Roman" w:hAnsi="Times New Roman" w:cs="Times New Roman"/>
        </w:rPr>
        <w:t>6</w:t>
      </w:r>
      <w:r w:rsidRPr="00DA432B">
        <w:rPr>
          <w:rFonts w:ascii="Times New Roman" w:hAnsi="Times New Roman" w:cs="Times New Roman"/>
        </w:rPr>
        <w:t>. Srovnání současného stavu v zahraničí</w:t>
      </w:r>
      <w:bookmarkEnd w:id="56"/>
      <w:bookmarkEnd w:id="57"/>
      <w:bookmarkEnd w:id="58"/>
    </w:p>
    <w:p w14:paraId="0E0A6ECE" w14:textId="77777777" w:rsidR="002A2F47" w:rsidRPr="00DA432B" w:rsidRDefault="003633A4" w:rsidP="002A2F47">
      <w:pPr>
        <w:spacing w:after="120" w:line="276" w:lineRule="auto"/>
        <w:jc w:val="both"/>
      </w:pPr>
      <w:r w:rsidRPr="00DA432B">
        <w:t xml:space="preserve">Zdravotnický a lékařský výzkum všech zemí </w:t>
      </w:r>
      <w:r w:rsidR="008C3DE4" w:rsidRPr="00DA432B">
        <w:t xml:space="preserve">je </w:t>
      </w:r>
      <w:r w:rsidRPr="00DA432B">
        <w:t>podporován kombinací institucionálního financování a financování účelového. Pokud vezmeme do úvahy existenci jednoho ústavu Společného výzkumného centra (JRC), který se zabývá i zdravotnickým výzkume</w:t>
      </w:r>
      <w:r w:rsidR="00231BDB" w:rsidRPr="00DA432B">
        <w:t>m, potom to </w:t>
      </w:r>
      <w:r w:rsidRPr="00DA432B">
        <w:t>platí i pro EU.</w:t>
      </w:r>
    </w:p>
    <w:p w14:paraId="41498D7B" w14:textId="77777777" w:rsidR="003633A4" w:rsidRPr="00DA432B" w:rsidRDefault="003633A4" w:rsidP="00F22735">
      <w:pPr>
        <w:spacing w:after="120" w:line="276" w:lineRule="auto"/>
        <w:jc w:val="both"/>
      </w:pPr>
      <w:r w:rsidRPr="00DA432B">
        <w:t xml:space="preserve">Lékařský výzkum má stále ještě blíže k výzkumu základnímu. Z toho vyplývá, s výjimkou Rakouska, neexistence velkých konkrétních národních programů </w:t>
      </w:r>
      <w:r w:rsidR="00F22735" w:rsidRPr="00DA432B">
        <w:t xml:space="preserve">čistě aplikovaného </w:t>
      </w:r>
      <w:r w:rsidRPr="00DA432B">
        <w:t>lékařského výzkumu. Přitom výzkumné instituce i organizace ve všech sledovaných zemích si dostatečně uvědomují nutnost rychlého a efektivního využívání dosažených výsledků výzkumu. Svědčí o tom jednak velká pozornost a podpora věnovaná translačnímu výzkumu</w:t>
      </w:r>
      <w:r w:rsidR="00902B7A" w:rsidRPr="00DA432B">
        <w:t>,</w:t>
      </w:r>
      <w:r w:rsidRPr="00DA432B">
        <w:t xml:space="preserve"> tj. propojení základního výzkumu a výzkumu klinického. </w:t>
      </w:r>
    </w:p>
    <w:p w14:paraId="3DC58DD0" w14:textId="77777777" w:rsidR="003633A4" w:rsidRPr="00DA432B" w:rsidRDefault="00F22735" w:rsidP="002A2F47">
      <w:pPr>
        <w:pStyle w:val="Odstavecseseznamem1"/>
        <w:spacing w:after="120"/>
        <w:ind w:left="0"/>
        <w:jc w:val="both"/>
        <w:rPr>
          <w:rFonts w:ascii="Times New Roman" w:hAnsi="Times New Roman" w:cs="Times New Roman"/>
          <w:sz w:val="24"/>
          <w:szCs w:val="24"/>
        </w:rPr>
      </w:pPr>
      <w:r w:rsidRPr="00DA432B">
        <w:rPr>
          <w:rFonts w:ascii="Times New Roman" w:hAnsi="Times New Roman" w:cs="Times New Roman"/>
          <w:sz w:val="24"/>
          <w:szCs w:val="24"/>
        </w:rPr>
        <w:t xml:space="preserve">Zdravotnický a lékařský výzkum ve všech zemích má neobyčejně široký rozsah a velice rozmanitou strukturou výzkumných pracovišť (vysoké školy, veřejné výzkumné organizace, státní výzkumné ústavy). </w:t>
      </w:r>
      <w:r w:rsidR="003633A4" w:rsidRPr="00DA432B">
        <w:rPr>
          <w:rFonts w:ascii="Times New Roman" w:hAnsi="Times New Roman" w:cs="Times New Roman"/>
          <w:sz w:val="24"/>
          <w:szCs w:val="24"/>
        </w:rPr>
        <w:t>S určitou opatrností by za „mírné“ priority bylo možné označit: neurologický výzkum, především pak výzkum mozku; molekulární lékařství; genomika, výzkum rakoviny; zdravotnické a lékařské problémy spojené se stárnutím obyvatelstva.</w:t>
      </w:r>
    </w:p>
    <w:p w14:paraId="5EDE2E24" w14:textId="77777777" w:rsidR="003633A4" w:rsidRPr="00DA432B" w:rsidRDefault="003633A4" w:rsidP="002A2F47">
      <w:pPr>
        <w:pStyle w:val="Odstavecseseznamem1"/>
        <w:spacing w:after="120"/>
        <w:ind w:left="0"/>
        <w:jc w:val="both"/>
        <w:rPr>
          <w:rFonts w:ascii="Times New Roman" w:hAnsi="Times New Roman" w:cs="Times New Roman"/>
          <w:sz w:val="24"/>
          <w:szCs w:val="24"/>
        </w:rPr>
      </w:pPr>
      <w:r w:rsidRPr="00DA432B">
        <w:rPr>
          <w:rFonts w:ascii="Times New Roman" w:hAnsi="Times New Roman" w:cs="Times New Roman"/>
          <w:sz w:val="24"/>
          <w:szCs w:val="24"/>
        </w:rPr>
        <w:t xml:space="preserve">Ve všech sledovaných zemích lze pozorovat transdisciplinární snahy. Do lékařského výzkumu, který dlouhá léta býval standardní součástí věd o živé přírodě, jsou postupně vtahovány i obory věd o neživé přírodě a obory věd </w:t>
      </w:r>
      <w:r w:rsidR="00231BDB" w:rsidRPr="00DA432B">
        <w:rPr>
          <w:rFonts w:ascii="Times New Roman" w:hAnsi="Times New Roman" w:cs="Times New Roman"/>
          <w:sz w:val="24"/>
          <w:szCs w:val="24"/>
        </w:rPr>
        <w:t xml:space="preserve">technických. </w:t>
      </w:r>
    </w:p>
    <w:p w14:paraId="0C9D0328" w14:textId="77777777" w:rsidR="00250530" w:rsidRPr="00DA432B" w:rsidRDefault="003633A4" w:rsidP="002A2F47">
      <w:pPr>
        <w:spacing w:after="120" w:line="276" w:lineRule="auto"/>
        <w:jc w:val="both"/>
      </w:pPr>
      <w:r w:rsidRPr="00DA432B">
        <w:t>Na závěr je užitečné připomenout některá významná specifika vybraných zemí a EU.</w:t>
      </w:r>
      <w:r w:rsidR="002A2F47" w:rsidRPr="00DA432B">
        <w:t xml:space="preserve"> Nizozemsko má r</w:t>
      </w:r>
      <w:r w:rsidRPr="00DA432B">
        <w:t>ozsáhlé a štědře podporované inicia</w:t>
      </w:r>
      <w:r w:rsidR="00231BDB" w:rsidRPr="00DA432B">
        <w:t>tivy „Nizozemská iniciativa pro </w:t>
      </w:r>
      <w:r w:rsidRPr="00DA432B">
        <w:t>genomiku“ a „Národní iniciativa mozek a poznání.</w:t>
      </w:r>
      <w:r w:rsidR="00F22735" w:rsidRPr="00DA432B">
        <w:t xml:space="preserve"> </w:t>
      </w:r>
      <w:r w:rsidR="00231BDB" w:rsidRPr="00DA432B">
        <w:t>Největší a nejvíce </w:t>
      </w:r>
      <w:r w:rsidRPr="00DA432B">
        <w:t xml:space="preserve">podporovaný výzkumný program </w:t>
      </w:r>
      <w:r w:rsidR="00F22735" w:rsidRPr="00DA432B">
        <w:t xml:space="preserve">v Rakousku je </w:t>
      </w:r>
      <w:r w:rsidRPr="00DA432B">
        <w:t>G</w:t>
      </w:r>
      <w:r w:rsidR="00231BDB" w:rsidRPr="00DA432B">
        <w:t>EN-AU (Genome Research in </w:t>
      </w:r>
      <w:r w:rsidRPr="00DA432B">
        <w:t>Austria).</w:t>
      </w:r>
      <w:r w:rsidR="00315569" w:rsidRPr="00DA432B">
        <w:t xml:space="preserve"> </w:t>
      </w:r>
      <w:r w:rsidR="00F22735" w:rsidRPr="00DA432B">
        <w:t xml:space="preserve">Ve </w:t>
      </w:r>
      <w:r w:rsidRPr="00DA432B">
        <w:t>Švýcarsk</w:t>
      </w:r>
      <w:r w:rsidR="00F22735" w:rsidRPr="00DA432B">
        <w:t>u</w:t>
      </w:r>
      <w:r w:rsidR="002A2F47" w:rsidRPr="00DA432B">
        <w:t xml:space="preserve"> </w:t>
      </w:r>
      <w:r w:rsidR="00F22735" w:rsidRPr="00DA432B">
        <w:t xml:space="preserve">jsou </w:t>
      </w:r>
      <w:r w:rsidR="002A2F47" w:rsidRPr="00DA432B">
        <w:t>v</w:t>
      </w:r>
      <w:r w:rsidRPr="00DA432B">
        <w:t>elmi úzce pojaté a zcela konkrétní priority výzkumu (např. „SYNAPSY – synaptické základy psychických onemocnění“, „Neuro – plasticita a opravy nervového systému“).</w:t>
      </w:r>
      <w:r w:rsidR="00902B7A" w:rsidRPr="00DA432B">
        <w:t xml:space="preserve"> </w:t>
      </w:r>
      <w:r w:rsidR="00902B7A" w:rsidRPr="00DA432B">
        <w:br/>
      </w:r>
      <w:r w:rsidR="002A2F47" w:rsidRPr="00DA432B">
        <w:t xml:space="preserve">Ve </w:t>
      </w:r>
      <w:r w:rsidR="00F22735" w:rsidRPr="00DA432B">
        <w:t>S</w:t>
      </w:r>
      <w:r w:rsidR="002A2F47" w:rsidRPr="00DA432B">
        <w:t xml:space="preserve">pojeném království (resp. Velké Británii) je </w:t>
      </w:r>
      <w:r w:rsidR="00F22735" w:rsidRPr="00DA432B">
        <w:t xml:space="preserve">rozšířena </w:t>
      </w:r>
      <w:r w:rsidRPr="00DA432B">
        <w:t>standardní podpor</w:t>
      </w:r>
      <w:r w:rsidR="00572EE0" w:rsidRPr="00DA432B">
        <w:t>a</w:t>
      </w:r>
      <w:r w:rsidRPr="00DA432B">
        <w:t xml:space="preserve"> výzkumu, především základního, prostřednictví</w:t>
      </w:r>
      <w:r w:rsidR="002A2F47" w:rsidRPr="00DA432B">
        <w:t>m</w:t>
      </w:r>
      <w:r w:rsidRPr="00DA432B">
        <w:t xml:space="preserve"> sedmi oborových výzkumných rad (jednou z nich je Medical Res</w:t>
      </w:r>
      <w:r w:rsidR="006D312D">
        <w:t>e</w:t>
      </w:r>
      <w:r w:rsidRPr="00DA432B">
        <w:t>arch Council) o podporu průřezových a transdiscipl</w:t>
      </w:r>
      <w:r w:rsidR="00231BDB" w:rsidRPr="00DA432B">
        <w:t>inárních aktivit, na kterých se </w:t>
      </w:r>
      <w:r w:rsidRPr="00DA432B">
        <w:t>podílí vždy několik Rad pro výzkum. Výrazným specifikem lékařského výzkumu v</w:t>
      </w:r>
      <w:r w:rsidR="002A2F47" w:rsidRPr="00DA432B">
        <w:t> </w:t>
      </w:r>
      <w:r w:rsidRPr="00DA432B">
        <w:t>USA</w:t>
      </w:r>
      <w:r w:rsidR="002A2F47" w:rsidRPr="00DA432B">
        <w:t xml:space="preserve"> je</w:t>
      </w:r>
      <w:r w:rsidR="00231BDB" w:rsidRPr="00DA432B">
        <w:t>, že </w:t>
      </w:r>
      <w:r w:rsidRPr="00DA432B">
        <w:t>všechny weby lékařských výzkumných ústavů mají</w:t>
      </w:r>
      <w:r w:rsidR="008436E9" w:rsidRPr="00DA432B">
        <w:t xml:space="preserve"> rozsáhlou, dobře srozumitelnou</w:t>
      </w:r>
      <w:r w:rsidR="00231BDB" w:rsidRPr="00DA432B">
        <w:t xml:space="preserve"> a </w:t>
      </w:r>
      <w:r w:rsidRPr="00DA432B">
        <w:t>pravidelně aktualizovanou část s informacemi o prováděné</w:t>
      </w:r>
      <w:r w:rsidR="00231BDB" w:rsidRPr="00DA432B">
        <w:t>m výzkumu a jeho výsledcích pro </w:t>
      </w:r>
      <w:r w:rsidRPr="00DA432B">
        <w:t>širokou veřejnost.</w:t>
      </w:r>
      <w:r w:rsidR="00F22735" w:rsidRPr="00DA432B">
        <w:t xml:space="preserve"> </w:t>
      </w:r>
      <w:r w:rsidR="002A2F47" w:rsidRPr="00DA432B">
        <w:t>Evropská unie klade v</w:t>
      </w:r>
      <w:r w:rsidRPr="00DA432B">
        <w:t xml:space="preserve">ýrazný akcent na zdravotní </w:t>
      </w:r>
      <w:r w:rsidR="00902B7A" w:rsidRPr="00DA432B">
        <w:br/>
      </w:r>
      <w:r w:rsidRPr="00DA432B">
        <w:t>a lék</w:t>
      </w:r>
      <w:r w:rsidR="00231BDB" w:rsidRPr="00DA432B">
        <w:t>ařskou problematiku spojenou se </w:t>
      </w:r>
      <w:r w:rsidRPr="00DA432B">
        <w:t xml:space="preserve">stárnutím obyvatelstva. </w:t>
      </w:r>
      <w:r w:rsidR="002A2F47" w:rsidRPr="00DA432B">
        <w:t>Je zde však v</w:t>
      </w:r>
      <w:r w:rsidRPr="00DA432B">
        <w:t>elmi nízká účast subjektů z Česka na lékařském</w:t>
      </w:r>
      <w:r w:rsidR="00231BDB" w:rsidRPr="00DA432B">
        <w:t xml:space="preserve"> a </w:t>
      </w:r>
      <w:r w:rsidRPr="00DA432B">
        <w:t>zdravotnickém výzkumu v rámcových programech, především pak na podpoře základního výzkumu poskytované Evropskou radou pro výzkum (ERC). Účast na zdravotnické</w:t>
      </w:r>
      <w:r w:rsidR="002156E5" w:rsidRPr="00DA432B">
        <w:t>m</w:t>
      </w:r>
      <w:r w:rsidR="00231BDB" w:rsidRPr="00DA432B">
        <w:t xml:space="preserve"> a </w:t>
      </w:r>
      <w:r w:rsidRPr="00DA432B">
        <w:t>lékařském výzkumu se však neliší od účasti v jiných oblastech VaV</w:t>
      </w:r>
      <w:r w:rsidR="008436E9" w:rsidRPr="00DA432B">
        <w:t>aI.</w:t>
      </w:r>
    </w:p>
    <w:p w14:paraId="7E8ED478" w14:textId="77777777" w:rsidR="009D72C1" w:rsidRPr="00DA432B" w:rsidRDefault="009D72C1" w:rsidP="002A2F47">
      <w:pPr>
        <w:spacing w:after="120" w:line="276" w:lineRule="auto"/>
        <w:jc w:val="both"/>
      </w:pPr>
      <w:r w:rsidRPr="00DA432B">
        <w:t xml:space="preserve">Podrobně je </w:t>
      </w:r>
      <w:r w:rsidR="00663858" w:rsidRPr="00DA432B">
        <w:t xml:space="preserve">stav v zahraničí analyzován v paralelně předkládané </w:t>
      </w:r>
      <w:r w:rsidR="00A65565" w:rsidRPr="00DA432B">
        <w:t>„Koncepci zdravotnického výzkumu do roku 2022“.</w:t>
      </w:r>
    </w:p>
    <w:p w14:paraId="4879EF9D" w14:textId="77777777" w:rsidR="003633A4" w:rsidRPr="00DA432B" w:rsidRDefault="003633A4" w:rsidP="005E6FEB">
      <w:pPr>
        <w:spacing w:before="60" w:line="288" w:lineRule="auto"/>
        <w:rPr>
          <w:rFonts w:ascii="Arial" w:hAnsi="Arial" w:cs="Arial"/>
          <w:color w:val="000000"/>
          <w:sz w:val="22"/>
          <w:szCs w:val="22"/>
          <w:highlight w:val="yellow"/>
          <w:shd w:val="clear" w:color="auto" w:fill="FFFFFF"/>
        </w:rPr>
      </w:pPr>
    </w:p>
    <w:p w14:paraId="08EA22CB" w14:textId="77777777" w:rsidR="00250530" w:rsidRPr="00DA432B" w:rsidRDefault="00250530" w:rsidP="00B86E09">
      <w:pPr>
        <w:pStyle w:val="Nadpis1"/>
        <w:ind w:left="360" w:hanging="360"/>
        <w:jc w:val="both"/>
        <w:rPr>
          <w:rFonts w:ascii="Times New Roman" w:hAnsi="Times New Roman" w:cs="Times New Roman"/>
        </w:rPr>
      </w:pPr>
      <w:bookmarkStart w:id="59" w:name="_Toc404887003"/>
      <w:bookmarkStart w:id="60" w:name="_Toc405894511"/>
      <w:bookmarkStart w:id="61" w:name="_Toc418585162"/>
      <w:bookmarkStart w:id="62" w:name="OLE_LINK6"/>
      <w:bookmarkStart w:id="63" w:name="OLE_LINK7"/>
      <w:r w:rsidRPr="00DA432B">
        <w:rPr>
          <w:rFonts w:ascii="Times New Roman" w:hAnsi="Times New Roman" w:cs="Times New Roman"/>
        </w:rPr>
        <w:t>1</w:t>
      </w:r>
      <w:r w:rsidR="00036752" w:rsidRPr="00DA432B">
        <w:rPr>
          <w:rFonts w:ascii="Times New Roman" w:hAnsi="Times New Roman" w:cs="Times New Roman"/>
        </w:rPr>
        <w:t>7</w:t>
      </w:r>
      <w:r w:rsidRPr="00DA432B">
        <w:rPr>
          <w:rFonts w:ascii="Times New Roman" w:hAnsi="Times New Roman" w:cs="Times New Roman"/>
        </w:rPr>
        <w:t>. Srovnání současného stavu v České republice</w:t>
      </w:r>
      <w:bookmarkEnd w:id="59"/>
      <w:bookmarkEnd w:id="60"/>
      <w:bookmarkEnd w:id="61"/>
    </w:p>
    <w:bookmarkEnd w:id="62"/>
    <w:bookmarkEnd w:id="63"/>
    <w:p w14:paraId="19458789" w14:textId="77777777" w:rsidR="008348AF" w:rsidRPr="00DA432B" w:rsidRDefault="008348AF" w:rsidP="008348AF">
      <w:pPr>
        <w:spacing w:after="120" w:line="276" w:lineRule="auto"/>
        <w:jc w:val="both"/>
      </w:pPr>
      <w:r w:rsidRPr="00DA432B">
        <w:t>Podrobná analýza současného stavu výzkumu a vývoje ve zdravotnictví v ČR je uvedena</w:t>
      </w:r>
      <w:r w:rsidR="00231BDB" w:rsidRPr="00DA432B">
        <w:t xml:space="preserve"> v </w:t>
      </w:r>
      <w:r w:rsidRPr="00DA432B">
        <w:t>Příloze č. 3 (Analýza výzkumu a vývoje ve zdravotnictví v ČR) „Koncepce zdravotnického výzkumu do roku 2022“. Stručně lze konstatovat, že největší podíl konkrétních právních forem mezi účastníky řešících projekty zdravotnického výzkumu tvořily státní příspěvkové organizace Ministerstva zdravotnictví</w:t>
      </w:r>
      <w:r w:rsidR="0051474A" w:rsidRPr="00DA432B">
        <w:t xml:space="preserve"> a</w:t>
      </w:r>
      <w:r w:rsidRPr="00DA432B">
        <w:t xml:space="preserve"> krajů - nemocnice aj. (63</w:t>
      </w:r>
      <w:r w:rsidR="006012A8" w:rsidRPr="00DA432B">
        <w:t xml:space="preserve"> </w:t>
      </w:r>
      <w:r w:rsidRPr="00DA432B">
        <w:t>%), veřejné vysoké školy (28,4</w:t>
      </w:r>
      <w:r w:rsidR="006012A8" w:rsidRPr="00DA432B">
        <w:t xml:space="preserve"> </w:t>
      </w:r>
      <w:r w:rsidRPr="00DA432B">
        <w:t>%) a dále veřejné výzkumné instituce, především ústavy Akademie věd ČR (5,2</w:t>
      </w:r>
      <w:r w:rsidR="006012A8" w:rsidRPr="00DA432B">
        <w:t xml:space="preserve"> </w:t>
      </w:r>
      <w:r w:rsidRPr="00DA432B">
        <w:t>%). Podíly ostatních právních forem jsou již zanedbatelné.</w:t>
      </w:r>
    </w:p>
    <w:p w14:paraId="1B6D58AE" w14:textId="047C92E3" w:rsidR="008348AF" w:rsidRPr="00DA432B" w:rsidRDefault="008348AF" w:rsidP="008348AF">
      <w:pPr>
        <w:spacing w:after="120" w:line="276" w:lineRule="auto"/>
        <w:jc w:val="both"/>
      </w:pPr>
      <w:r w:rsidRPr="00DA432B">
        <w:t>Česká republika jako civilizovaná země s rozvinutým a kval</w:t>
      </w:r>
      <w:r w:rsidR="00231BDB" w:rsidRPr="00DA432B">
        <w:t>itním zdravotnictvím by měla na </w:t>
      </w:r>
      <w:r w:rsidRPr="00DA432B">
        <w:t>oblast zdravotnického výzkum</w:t>
      </w:r>
      <w:r w:rsidR="008116F2" w:rsidRPr="00DA432B">
        <w:t>u</w:t>
      </w:r>
      <w:r w:rsidRPr="00DA432B">
        <w:t xml:space="preserve"> i nadále vydávat adekvátní </w:t>
      </w:r>
      <w:r w:rsidR="00E52C2C">
        <w:t>intenzitu</w:t>
      </w:r>
      <w:r w:rsidR="00E52C2C" w:rsidRPr="00DA432B">
        <w:t xml:space="preserve"> </w:t>
      </w:r>
      <w:r w:rsidRPr="00DA432B">
        <w:t>podpory, aby zúročil</w:t>
      </w:r>
      <w:r w:rsidR="008116F2" w:rsidRPr="00DA432B">
        <w:t>a</w:t>
      </w:r>
      <w:r w:rsidRPr="00DA432B">
        <w:t xml:space="preserve"> léta budování kvalitních týmů a pracovišť, ať už klinických nebo především výzkumných.</w:t>
      </w:r>
    </w:p>
    <w:p w14:paraId="4CEFD0BE" w14:textId="77777777" w:rsidR="008348AF" w:rsidRPr="00DA432B" w:rsidRDefault="008348AF" w:rsidP="005E6FEB">
      <w:pPr>
        <w:spacing w:before="60" w:line="276" w:lineRule="auto"/>
        <w:jc w:val="both"/>
      </w:pPr>
    </w:p>
    <w:p w14:paraId="2727F872" w14:textId="77777777" w:rsidR="00250530" w:rsidRPr="00403D93" w:rsidRDefault="00036752" w:rsidP="00FE390B">
      <w:pPr>
        <w:pStyle w:val="Nadpis1"/>
        <w:ind w:left="360" w:hanging="360"/>
        <w:jc w:val="both"/>
        <w:rPr>
          <w:rFonts w:ascii="Times New Roman" w:hAnsi="Times New Roman" w:cs="Times New Roman"/>
        </w:rPr>
      </w:pPr>
      <w:bookmarkStart w:id="64" w:name="_Toc404887004"/>
      <w:bookmarkStart w:id="65" w:name="_Toc405894512"/>
      <w:bookmarkStart w:id="66" w:name="_Toc418585163"/>
      <w:r w:rsidRPr="00403D93">
        <w:rPr>
          <w:rFonts w:ascii="Times New Roman" w:hAnsi="Times New Roman" w:cs="Times New Roman"/>
        </w:rPr>
        <w:t>18</w:t>
      </w:r>
      <w:r w:rsidR="00250530" w:rsidRPr="00403D93">
        <w:rPr>
          <w:rFonts w:ascii="Times New Roman" w:hAnsi="Times New Roman" w:cs="Times New Roman"/>
        </w:rPr>
        <w:t>. Očekávané výsledky</w:t>
      </w:r>
      <w:bookmarkEnd w:id="64"/>
      <w:bookmarkEnd w:id="65"/>
      <w:bookmarkEnd w:id="66"/>
    </w:p>
    <w:p w14:paraId="4372E4B6" w14:textId="2B83B956" w:rsidR="00773857" w:rsidRPr="00403D93" w:rsidRDefault="00250530" w:rsidP="00EF4B65">
      <w:pPr>
        <w:spacing w:after="120" w:line="276" w:lineRule="auto"/>
        <w:jc w:val="both"/>
      </w:pPr>
      <w:bookmarkStart w:id="67" w:name="OLE_LINK4"/>
      <w:bookmarkStart w:id="68" w:name="OLE_LINK5"/>
      <w:r w:rsidRPr="00403D93">
        <w:t>V návaznosti na stanovené cíle budou podporovány pouze ty projekty, které odůvodněně předpokládají dosažení alespoň jednoho hlavního</w:t>
      </w:r>
      <w:r w:rsidR="00C1195A" w:rsidRPr="00403D93">
        <w:rPr>
          <w:rStyle w:val="Znakapoznpodarou"/>
        </w:rPr>
        <w:footnoteReference w:id="5"/>
      </w:r>
      <w:r w:rsidRPr="00403D93">
        <w:t xml:space="preserve"> </w:t>
      </w:r>
      <w:r w:rsidR="00773857" w:rsidRPr="00403D93">
        <w:t xml:space="preserve">a jednoho vedlejšího </w:t>
      </w:r>
      <w:r w:rsidRPr="00403D93">
        <w:t>výsledku výzkumu</w:t>
      </w:r>
      <w:r w:rsidR="00CB7E6C" w:rsidRPr="00403D93">
        <w:t xml:space="preserve"> a </w:t>
      </w:r>
      <w:r w:rsidRPr="00403D93">
        <w:t>vývoje</w:t>
      </w:r>
      <w:r w:rsidR="00773857" w:rsidRPr="00403D93">
        <w:t>.</w:t>
      </w:r>
      <w:r w:rsidR="008A25D1">
        <w:t xml:space="preserve"> Akceptovatelné je také dosažení alespoň dvou hlavních výsledků.</w:t>
      </w:r>
    </w:p>
    <w:p w14:paraId="29BCF5E8" w14:textId="77777777" w:rsidR="00250530" w:rsidRPr="00403D93" w:rsidRDefault="00773857" w:rsidP="00EF4B65">
      <w:pPr>
        <w:spacing w:after="120" w:line="276" w:lineRule="auto"/>
        <w:jc w:val="both"/>
      </w:pPr>
      <w:r w:rsidRPr="00403D93">
        <w:t>Za hlavní výsledek se považuje jeden</w:t>
      </w:r>
      <w:r w:rsidR="00250530" w:rsidRPr="00403D93">
        <w:t xml:space="preserve"> z následujících druhů výsledků:</w:t>
      </w:r>
    </w:p>
    <w:p w14:paraId="51328C50" w14:textId="77777777" w:rsidR="00773857" w:rsidRPr="00403D93" w:rsidRDefault="00773857" w:rsidP="00773857">
      <w:pPr>
        <w:numPr>
          <w:ilvl w:val="0"/>
          <w:numId w:val="34"/>
        </w:numPr>
        <w:spacing w:after="120" w:line="276" w:lineRule="auto"/>
        <w:jc w:val="both"/>
      </w:pPr>
      <w:r w:rsidRPr="00403D93">
        <w:t>F - užitný vzor, průmyslový vzor</w:t>
      </w:r>
    </w:p>
    <w:p w14:paraId="1B3DBA66" w14:textId="77777777" w:rsidR="00773857" w:rsidRPr="00403D93" w:rsidRDefault="00773857" w:rsidP="00773857">
      <w:pPr>
        <w:numPr>
          <w:ilvl w:val="0"/>
          <w:numId w:val="34"/>
        </w:numPr>
        <w:spacing w:after="120" w:line="276" w:lineRule="auto"/>
        <w:jc w:val="both"/>
      </w:pPr>
      <w:r w:rsidRPr="00403D93">
        <w:t>G - prototyp, funkční vzorek</w:t>
      </w:r>
    </w:p>
    <w:p w14:paraId="2A248CA9" w14:textId="3A1BB61A" w:rsidR="00773857" w:rsidRPr="00403D93" w:rsidRDefault="00773857" w:rsidP="00773857">
      <w:pPr>
        <w:numPr>
          <w:ilvl w:val="0"/>
          <w:numId w:val="34"/>
        </w:numPr>
        <w:spacing w:after="120" w:line="276" w:lineRule="auto"/>
        <w:jc w:val="both"/>
      </w:pPr>
      <w:r w:rsidRPr="00403D93">
        <w:t>J</w:t>
      </w:r>
      <w:r w:rsidR="008A25D1" w:rsidRPr="00174DE1">
        <w:rPr>
          <w:vertAlign w:val="subscript"/>
        </w:rPr>
        <w:t>imp</w:t>
      </w:r>
      <w:r w:rsidRPr="00403D93">
        <w:t xml:space="preserve"> - recenzovaný odborný článek</w:t>
      </w:r>
      <w:r w:rsidR="008A25D1">
        <w:t xml:space="preserve"> v časopise s impakt faktorem</w:t>
      </w:r>
      <w:r w:rsidR="00193DAC" w:rsidRPr="00403D93">
        <w:rPr>
          <w:rStyle w:val="Znakapoznpodarou"/>
        </w:rPr>
        <w:footnoteReference w:id="6"/>
      </w:r>
    </w:p>
    <w:p w14:paraId="5734EC4F" w14:textId="77777777" w:rsidR="00773857" w:rsidRPr="00403D93" w:rsidRDefault="00773857" w:rsidP="00773857">
      <w:pPr>
        <w:numPr>
          <w:ilvl w:val="0"/>
          <w:numId w:val="34"/>
        </w:numPr>
        <w:spacing w:after="120" w:line="276" w:lineRule="auto"/>
        <w:jc w:val="both"/>
      </w:pPr>
      <w:r w:rsidRPr="00403D93">
        <w:t>N - certifikovaná metodika, léčebný postup, specializované mapy</w:t>
      </w:r>
    </w:p>
    <w:p w14:paraId="245A8664" w14:textId="77777777" w:rsidR="00773857" w:rsidRPr="00403D93" w:rsidRDefault="00773857" w:rsidP="00773857">
      <w:pPr>
        <w:numPr>
          <w:ilvl w:val="0"/>
          <w:numId w:val="34"/>
        </w:numPr>
        <w:spacing w:after="120" w:line="276" w:lineRule="auto"/>
        <w:jc w:val="both"/>
      </w:pPr>
      <w:r w:rsidRPr="00403D93">
        <w:t>P - patent</w:t>
      </w:r>
    </w:p>
    <w:p w14:paraId="3FE26F30" w14:textId="77777777" w:rsidR="00773857" w:rsidRPr="00403D93" w:rsidRDefault="00773857" w:rsidP="00773857">
      <w:pPr>
        <w:numPr>
          <w:ilvl w:val="0"/>
          <w:numId w:val="34"/>
        </w:numPr>
        <w:spacing w:after="120" w:line="276" w:lineRule="auto"/>
        <w:jc w:val="both"/>
      </w:pPr>
      <w:r w:rsidRPr="00403D93">
        <w:t>R - software</w:t>
      </w:r>
    </w:p>
    <w:p w14:paraId="6CD05B80" w14:textId="77777777" w:rsidR="00773857" w:rsidRPr="00403D93" w:rsidRDefault="00773857" w:rsidP="00773857">
      <w:pPr>
        <w:numPr>
          <w:ilvl w:val="0"/>
          <w:numId w:val="34"/>
        </w:numPr>
        <w:spacing w:after="120" w:line="276" w:lineRule="auto"/>
        <w:jc w:val="both"/>
      </w:pPr>
      <w:r w:rsidRPr="00403D93">
        <w:t>Z - poloprovoz, ověřená technologie</w:t>
      </w:r>
    </w:p>
    <w:p w14:paraId="23FFD221" w14:textId="77777777" w:rsidR="00F501D8" w:rsidRDefault="00F501D8">
      <w:r>
        <w:br w:type="page"/>
      </w:r>
    </w:p>
    <w:p w14:paraId="10534041" w14:textId="651CFC16" w:rsidR="00773857" w:rsidRPr="00403D93" w:rsidRDefault="00773857" w:rsidP="00773857">
      <w:pPr>
        <w:spacing w:after="120" w:line="276" w:lineRule="auto"/>
        <w:jc w:val="both"/>
      </w:pPr>
      <w:r w:rsidRPr="00403D93">
        <w:t>Za vedlejší výsledek se považuje jeden z následujících druhů výsledků:</w:t>
      </w:r>
    </w:p>
    <w:p w14:paraId="64D4AFBD" w14:textId="77777777" w:rsidR="00FE390B" w:rsidRPr="00403D93" w:rsidRDefault="00FE390B" w:rsidP="00FE390B">
      <w:pPr>
        <w:numPr>
          <w:ilvl w:val="0"/>
          <w:numId w:val="34"/>
        </w:numPr>
        <w:spacing w:after="120" w:line="276" w:lineRule="auto"/>
        <w:jc w:val="both"/>
      </w:pPr>
      <w:r w:rsidRPr="00403D93">
        <w:t>B - odborná kniha</w:t>
      </w:r>
    </w:p>
    <w:p w14:paraId="4E66D35B" w14:textId="77777777" w:rsidR="00FE390B" w:rsidRPr="00403D93" w:rsidRDefault="00FE390B" w:rsidP="00FE390B">
      <w:pPr>
        <w:numPr>
          <w:ilvl w:val="0"/>
          <w:numId w:val="34"/>
        </w:numPr>
        <w:spacing w:after="120" w:line="276" w:lineRule="auto"/>
        <w:jc w:val="both"/>
      </w:pPr>
      <w:r w:rsidRPr="00403D93">
        <w:t>C - kapitola v odborné knize</w:t>
      </w:r>
    </w:p>
    <w:p w14:paraId="59C720E6" w14:textId="77777777" w:rsidR="00FE390B" w:rsidRPr="00403D93" w:rsidRDefault="00FE390B" w:rsidP="00FE390B">
      <w:pPr>
        <w:numPr>
          <w:ilvl w:val="0"/>
          <w:numId w:val="34"/>
        </w:numPr>
        <w:spacing w:after="120" w:line="276" w:lineRule="auto"/>
        <w:jc w:val="both"/>
      </w:pPr>
      <w:r w:rsidRPr="00403D93">
        <w:t>D - článek ve sborníku</w:t>
      </w:r>
    </w:p>
    <w:p w14:paraId="35392F9B" w14:textId="77777777" w:rsidR="00D763A8" w:rsidRPr="00403D93" w:rsidRDefault="00D763A8" w:rsidP="00D763A8">
      <w:pPr>
        <w:numPr>
          <w:ilvl w:val="0"/>
          <w:numId w:val="34"/>
        </w:numPr>
        <w:spacing w:after="120" w:line="276" w:lineRule="auto"/>
        <w:jc w:val="both"/>
      </w:pPr>
      <w:r w:rsidRPr="00FE390B">
        <w:t>J - recenzovaný odborný článek</w:t>
      </w:r>
      <w:r>
        <w:t xml:space="preserve"> v neimpaktovaných periodikách</w:t>
      </w:r>
    </w:p>
    <w:p w14:paraId="47460566" w14:textId="77777777" w:rsidR="00250530" w:rsidRPr="00403D93" w:rsidRDefault="00250530" w:rsidP="000945CE">
      <w:pPr>
        <w:spacing w:after="120" w:line="276" w:lineRule="auto"/>
        <w:jc w:val="both"/>
      </w:pPr>
      <w:r w:rsidRPr="00403D93">
        <w:t xml:space="preserve">Za hlavní </w:t>
      </w:r>
      <w:r w:rsidR="00773857" w:rsidRPr="00403D93">
        <w:t xml:space="preserve">a vedlejší </w:t>
      </w:r>
      <w:r w:rsidRPr="00403D93">
        <w:t>výsledek VaV se pro účely tohoto Programu považuje nový výsledek, který byl</w:t>
      </w:r>
      <w:r w:rsidRPr="00403D93">
        <w:rPr>
          <w:rFonts w:ascii="Arial" w:hAnsi="Arial" w:cs="Arial"/>
          <w:color w:val="000000"/>
          <w:sz w:val="22"/>
          <w:szCs w:val="22"/>
          <w:shd w:val="clear" w:color="auto" w:fill="FFFFFF"/>
        </w:rPr>
        <w:t xml:space="preserve"> </w:t>
      </w:r>
      <w:r w:rsidRPr="00403D93">
        <w:t>dosažen výhradně v rámci projektu podpořeného v tomto Programu a v rejstříku informací o výsledcích IS VaVaI bude uplatněn výhradně jako výsledek tohoto projektu.</w:t>
      </w:r>
    </w:p>
    <w:p w14:paraId="6449FED5" w14:textId="77777777" w:rsidR="00250530" w:rsidRPr="00403D93" w:rsidRDefault="00250530" w:rsidP="000945CE">
      <w:pPr>
        <w:spacing w:after="120" w:line="276" w:lineRule="auto"/>
        <w:jc w:val="both"/>
      </w:pPr>
      <w:r w:rsidRPr="00403D93">
        <w:t xml:space="preserve">Za </w:t>
      </w:r>
      <w:r w:rsidR="00773857" w:rsidRPr="00403D93">
        <w:t xml:space="preserve">další </w:t>
      </w:r>
      <w:r w:rsidRPr="00403D93">
        <w:t>výsledek VaV se pro účely tohoto Programu považuje nový výsledek, který byl dosažen v rámci projektu podpořeného v tomto Programu a v rejstříku informací o výsledcích IS VaVaI bude zcela nebo částečně uplatněn jako výsledek tohoto projektu.</w:t>
      </w:r>
    </w:p>
    <w:p w14:paraId="05C216FC" w14:textId="77777777" w:rsidR="000945CE" w:rsidRPr="00DA432B" w:rsidRDefault="000945CE" w:rsidP="005E6FEB">
      <w:pPr>
        <w:spacing w:before="60" w:line="276" w:lineRule="auto"/>
        <w:jc w:val="both"/>
        <w:rPr>
          <w:highlight w:val="yellow"/>
        </w:rPr>
      </w:pPr>
    </w:p>
    <w:p w14:paraId="01F880B7" w14:textId="77777777" w:rsidR="00250530" w:rsidRPr="00C714B2" w:rsidRDefault="00DE4D83" w:rsidP="00B86E09">
      <w:pPr>
        <w:pStyle w:val="Nadpis1"/>
        <w:ind w:left="360" w:hanging="360"/>
        <w:jc w:val="both"/>
        <w:rPr>
          <w:rFonts w:ascii="Times New Roman" w:hAnsi="Times New Roman" w:cs="Times New Roman"/>
        </w:rPr>
      </w:pPr>
      <w:bookmarkStart w:id="69" w:name="_Toc404887005"/>
      <w:bookmarkStart w:id="70" w:name="_Toc405894513"/>
      <w:bookmarkStart w:id="71" w:name="_Toc418585164"/>
      <w:bookmarkEnd w:id="67"/>
      <w:bookmarkEnd w:id="68"/>
      <w:r w:rsidRPr="00C714B2">
        <w:rPr>
          <w:rFonts w:ascii="Times New Roman" w:hAnsi="Times New Roman" w:cs="Times New Roman"/>
        </w:rPr>
        <w:t>19</w:t>
      </w:r>
      <w:r w:rsidR="00250530" w:rsidRPr="00C714B2">
        <w:rPr>
          <w:rFonts w:ascii="Times New Roman" w:hAnsi="Times New Roman" w:cs="Times New Roman"/>
        </w:rPr>
        <w:t>. Očekávané přínosy</w:t>
      </w:r>
      <w:bookmarkEnd w:id="69"/>
      <w:bookmarkEnd w:id="70"/>
      <w:bookmarkEnd w:id="71"/>
    </w:p>
    <w:p w14:paraId="356EA4AD" w14:textId="77777777" w:rsidR="00250530" w:rsidRPr="00C714B2" w:rsidRDefault="00250530" w:rsidP="00B86E09">
      <w:pPr>
        <w:spacing w:after="120" w:line="276" w:lineRule="auto"/>
        <w:jc w:val="both"/>
      </w:pPr>
      <w:r w:rsidRPr="00C714B2">
        <w:t xml:space="preserve">Naplnění cílů Programu má poskytnout především tyto očekávané přínosy: </w:t>
      </w:r>
    </w:p>
    <w:p w14:paraId="70B06387" w14:textId="77777777" w:rsidR="00126D11" w:rsidRPr="00C714B2" w:rsidRDefault="00126D11" w:rsidP="00126D11">
      <w:pPr>
        <w:numPr>
          <w:ilvl w:val="0"/>
          <w:numId w:val="24"/>
        </w:numPr>
        <w:spacing w:after="120" w:line="276" w:lineRule="auto"/>
        <w:jc w:val="both"/>
      </w:pPr>
      <w:r w:rsidRPr="00C714B2">
        <w:t>zajistit rozvoj klinického výzkumu v České republice jako základního zdroje nových klinických postupů při diagnostice, léčbě a prevenci ve zdravotnictví,</w:t>
      </w:r>
    </w:p>
    <w:p w14:paraId="39E72B5A" w14:textId="77777777" w:rsidR="00126D11" w:rsidRPr="00C714B2" w:rsidRDefault="00126D11" w:rsidP="00126D11">
      <w:pPr>
        <w:numPr>
          <w:ilvl w:val="0"/>
          <w:numId w:val="24"/>
        </w:numPr>
        <w:spacing w:after="120" w:line="276" w:lineRule="auto"/>
        <w:jc w:val="both"/>
      </w:pPr>
      <w:r w:rsidRPr="00C714B2">
        <w:t>rozvíjet vnitřní systém hodnocení výsledků výzkumu za účelem jejich lepšího uplatnění při poskytování zdravotních služeb,</w:t>
      </w:r>
    </w:p>
    <w:p w14:paraId="7476F887" w14:textId="77777777" w:rsidR="00126D11" w:rsidRPr="00C714B2" w:rsidRDefault="00126D11" w:rsidP="00126D11">
      <w:pPr>
        <w:numPr>
          <w:ilvl w:val="0"/>
          <w:numId w:val="24"/>
        </w:numPr>
        <w:spacing w:after="120" w:line="276" w:lineRule="auto"/>
        <w:jc w:val="both"/>
      </w:pPr>
      <w:r w:rsidRPr="00C714B2">
        <w:t>zvýšit konkrétní přínos výzkumu zdravotní péči (především diagnostice, terapii</w:t>
      </w:r>
      <w:r w:rsidR="00CB7E6C" w:rsidRPr="00C714B2">
        <w:t xml:space="preserve"> a </w:t>
      </w:r>
      <w:r w:rsidRPr="00C714B2">
        <w:t>prevenci),</w:t>
      </w:r>
    </w:p>
    <w:p w14:paraId="13295545" w14:textId="77777777" w:rsidR="00126D11" w:rsidRPr="00C714B2" w:rsidRDefault="00126D11" w:rsidP="00126D11">
      <w:pPr>
        <w:numPr>
          <w:ilvl w:val="0"/>
          <w:numId w:val="24"/>
        </w:numPr>
        <w:spacing w:after="120" w:line="276" w:lineRule="auto"/>
        <w:jc w:val="both"/>
      </w:pPr>
      <w:r w:rsidRPr="00C714B2">
        <w:t>rozšířit spolupráci se špičkovými zahraničními pracovišti a týmy, vytvořit podmínky k jejímu rozvoji,</w:t>
      </w:r>
    </w:p>
    <w:p w14:paraId="33B90638" w14:textId="77777777" w:rsidR="00126D11" w:rsidRPr="00C714B2" w:rsidRDefault="00126D11" w:rsidP="00126D11">
      <w:pPr>
        <w:numPr>
          <w:ilvl w:val="0"/>
          <w:numId w:val="24"/>
        </w:numPr>
        <w:spacing w:after="120" w:line="276" w:lineRule="auto"/>
        <w:jc w:val="both"/>
      </w:pPr>
      <w:r w:rsidRPr="00C714B2">
        <w:t>zlepšit propojení a návaznosti základního a aplikovaného výzkumu,</w:t>
      </w:r>
    </w:p>
    <w:p w14:paraId="5C305720" w14:textId="77777777" w:rsidR="00126D11" w:rsidRPr="00C714B2" w:rsidRDefault="00126D11" w:rsidP="00126D11">
      <w:pPr>
        <w:numPr>
          <w:ilvl w:val="0"/>
          <w:numId w:val="24"/>
        </w:numPr>
        <w:spacing w:after="120" w:line="276" w:lineRule="auto"/>
        <w:jc w:val="both"/>
      </w:pPr>
      <w:r w:rsidRPr="00C714B2">
        <w:t>promítnout aktuální hodnocení zdravotního stavu naší populace do priorit našeho zdravotnického výzkumu,</w:t>
      </w:r>
    </w:p>
    <w:p w14:paraId="458B5D16" w14:textId="77777777" w:rsidR="00126D11" w:rsidRPr="00C714B2" w:rsidRDefault="00126D11" w:rsidP="00126D11">
      <w:pPr>
        <w:numPr>
          <w:ilvl w:val="0"/>
          <w:numId w:val="24"/>
        </w:numPr>
        <w:spacing w:after="120" w:line="276" w:lineRule="auto"/>
        <w:jc w:val="both"/>
      </w:pPr>
      <w:r w:rsidRPr="00C714B2">
        <w:t>zajistit kontinuitu našeho zdravotnického výzkumu s rozvojem světové vědy,</w:t>
      </w:r>
    </w:p>
    <w:p w14:paraId="0E7EF581" w14:textId="77777777" w:rsidR="00126D11" w:rsidRPr="00C714B2" w:rsidRDefault="00126D11" w:rsidP="00126D11">
      <w:pPr>
        <w:numPr>
          <w:ilvl w:val="0"/>
          <w:numId w:val="24"/>
        </w:numPr>
        <w:spacing w:after="120" w:line="276" w:lineRule="auto"/>
        <w:jc w:val="both"/>
      </w:pPr>
      <w:r w:rsidRPr="00C714B2">
        <w:t>podpořit excelenci v oblasti výzkumu,</w:t>
      </w:r>
    </w:p>
    <w:p w14:paraId="379D078B" w14:textId="77777777" w:rsidR="00126D11" w:rsidRPr="00C714B2" w:rsidRDefault="00126D11" w:rsidP="00126D11">
      <w:pPr>
        <w:numPr>
          <w:ilvl w:val="0"/>
          <w:numId w:val="24"/>
        </w:numPr>
        <w:spacing w:after="120" w:line="276" w:lineRule="auto"/>
        <w:jc w:val="both"/>
      </w:pPr>
      <w:r w:rsidRPr="00C714B2">
        <w:t>vytvořit podmínky podporující širší zapojen</w:t>
      </w:r>
      <w:r w:rsidR="008436E9" w:rsidRPr="00C714B2">
        <w:t>í mladých výzkumných pracovníků,</w:t>
      </w:r>
    </w:p>
    <w:p w14:paraId="1E372362" w14:textId="77777777" w:rsidR="00126D11" w:rsidRPr="00C714B2" w:rsidRDefault="00126D11" w:rsidP="00126D11">
      <w:pPr>
        <w:numPr>
          <w:ilvl w:val="0"/>
          <w:numId w:val="24"/>
        </w:numPr>
        <w:spacing w:after="120" w:line="276" w:lineRule="auto"/>
        <w:jc w:val="both"/>
      </w:pPr>
      <w:r w:rsidRPr="00C714B2">
        <w:t xml:space="preserve">zabezpečit další </w:t>
      </w:r>
      <w:r w:rsidR="00AC7E75" w:rsidRPr="00C714B2">
        <w:t xml:space="preserve">odborný </w:t>
      </w:r>
      <w:r w:rsidRPr="00C714B2">
        <w:t>rozvoj stávajících špičkových výzkumných zdravotnických pracovišť,</w:t>
      </w:r>
    </w:p>
    <w:p w14:paraId="44552FCE" w14:textId="77777777" w:rsidR="00126D11" w:rsidRPr="00C714B2" w:rsidRDefault="00126D11" w:rsidP="00126D11">
      <w:pPr>
        <w:numPr>
          <w:ilvl w:val="0"/>
          <w:numId w:val="24"/>
        </w:numPr>
        <w:spacing w:after="120" w:line="276" w:lineRule="auto"/>
        <w:jc w:val="both"/>
      </w:pPr>
      <w:r w:rsidRPr="00C714B2">
        <w:t>využít výsledků výzkumu v pre i postgraduálním vzdělávání lékařů i ostatních pracovníků ve zdravotnictví,</w:t>
      </w:r>
    </w:p>
    <w:p w14:paraId="1317DD70" w14:textId="77777777" w:rsidR="004E3E12" w:rsidRPr="00C714B2" w:rsidRDefault="004E3E12" w:rsidP="00126D11">
      <w:pPr>
        <w:numPr>
          <w:ilvl w:val="0"/>
          <w:numId w:val="24"/>
        </w:numPr>
        <w:spacing w:after="120" w:line="276" w:lineRule="auto"/>
        <w:jc w:val="both"/>
      </w:pPr>
      <w:r w:rsidRPr="00C714B2">
        <w:t>využít výsledků výzkumu pro prezentaci zdravotnických zařízení i regionů.</w:t>
      </w:r>
    </w:p>
    <w:p w14:paraId="1596BEDF" w14:textId="77777777" w:rsidR="00250530" w:rsidRPr="00DA432B" w:rsidRDefault="00250530" w:rsidP="005E6FEB">
      <w:pPr>
        <w:spacing w:before="60" w:line="276" w:lineRule="auto"/>
        <w:jc w:val="both"/>
        <w:rPr>
          <w:highlight w:val="yellow"/>
        </w:rPr>
      </w:pPr>
    </w:p>
    <w:p w14:paraId="532538CB" w14:textId="77777777" w:rsidR="00250530" w:rsidRPr="00403D93" w:rsidRDefault="00DE4D83" w:rsidP="00B86E09">
      <w:pPr>
        <w:pStyle w:val="Nadpis1"/>
        <w:ind w:left="360" w:hanging="360"/>
        <w:jc w:val="both"/>
        <w:rPr>
          <w:rFonts w:ascii="Times New Roman" w:hAnsi="Times New Roman" w:cs="Times New Roman"/>
        </w:rPr>
      </w:pPr>
      <w:bookmarkStart w:id="72" w:name="_Toc404887006"/>
      <w:bookmarkStart w:id="73" w:name="_Toc405894514"/>
      <w:bookmarkStart w:id="74" w:name="_Toc418585165"/>
      <w:r w:rsidRPr="00403D93">
        <w:rPr>
          <w:rFonts w:ascii="Times New Roman" w:hAnsi="Times New Roman" w:cs="Times New Roman"/>
        </w:rPr>
        <w:t>20</w:t>
      </w:r>
      <w:r w:rsidR="00250530" w:rsidRPr="00403D93">
        <w:rPr>
          <w:rFonts w:ascii="Times New Roman" w:hAnsi="Times New Roman" w:cs="Times New Roman"/>
        </w:rPr>
        <w:t>. Motivační účinek</w:t>
      </w:r>
      <w:bookmarkEnd w:id="72"/>
      <w:bookmarkEnd w:id="73"/>
      <w:bookmarkEnd w:id="74"/>
    </w:p>
    <w:p w14:paraId="56009E09" w14:textId="152A4350" w:rsidR="0078380B" w:rsidRPr="00403D93" w:rsidRDefault="0078380B" w:rsidP="00B86E09">
      <w:pPr>
        <w:spacing w:after="120" w:line="276" w:lineRule="auto"/>
        <w:jc w:val="both"/>
      </w:pPr>
      <w:r w:rsidRPr="00403D93">
        <w:t>Program přispěje ke zvýšení, zefektivnění a zkvalitnění činností v oblasti aplikovaného výzkumu</w:t>
      </w:r>
      <w:r w:rsidR="00924964">
        <w:t xml:space="preserve"> </w:t>
      </w:r>
      <w:r w:rsidRPr="00403D93">
        <w:t xml:space="preserve">v oblasti zdravotnictví a dále zvýší kvalitní spolupráci mezi průmyslovými podniky (zejm. malými a středními), výzkumnými organizacemi a organizacemi poskytujícími služby s vysokou přidanou hodnotou. Snahou </w:t>
      </w:r>
      <w:r w:rsidR="00BF5822">
        <w:t>P</w:t>
      </w:r>
      <w:r w:rsidR="00BF5822" w:rsidRPr="00403D93">
        <w:t xml:space="preserve">rogramu </w:t>
      </w:r>
      <w:r w:rsidRPr="00403D93">
        <w:t>je mj. změnit motivační mechanismy podniků a</w:t>
      </w:r>
      <w:r w:rsidR="00231BDB" w:rsidRPr="00403D93">
        <w:t xml:space="preserve"> výzkumných organizací tak, aby </w:t>
      </w:r>
      <w:r w:rsidRPr="00403D93">
        <w:t>zvýšily úsilí při získávání nových poznatků</w:t>
      </w:r>
      <w:r w:rsidR="00B86E09" w:rsidRPr="00403D93">
        <w:t xml:space="preserve"> </w:t>
      </w:r>
      <w:r w:rsidR="0092135A">
        <w:br/>
      </w:r>
      <w:r w:rsidR="00B86E09" w:rsidRPr="00403D93">
        <w:t>ve zdravotnickém výzkumu</w:t>
      </w:r>
      <w:r w:rsidRPr="00403D93">
        <w:t>, jejich využívání</w:t>
      </w:r>
      <w:r w:rsidR="00231BDB" w:rsidRPr="00403D93">
        <w:t xml:space="preserve"> </w:t>
      </w:r>
      <w:r w:rsidRPr="00403D93">
        <w:t>a</w:t>
      </w:r>
      <w:r w:rsidR="00231BDB" w:rsidRPr="00403D93">
        <w:t> </w:t>
      </w:r>
      <w:r w:rsidRPr="00403D93">
        <w:t xml:space="preserve">zavádění v nových výrobcích, službách </w:t>
      </w:r>
      <w:r w:rsidR="00640BBB">
        <w:br/>
      </w:r>
      <w:r w:rsidRPr="00403D93">
        <w:t xml:space="preserve">a procesech výroby. </w:t>
      </w:r>
    </w:p>
    <w:p w14:paraId="70BB9463" w14:textId="402835D0" w:rsidR="0078380B" w:rsidRPr="00F01E82" w:rsidRDefault="00A2126E" w:rsidP="00B86E09">
      <w:pPr>
        <w:spacing w:after="120" w:line="276" w:lineRule="auto"/>
        <w:jc w:val="both"/>
      </w:pPr>
      <w:r w:rsidRPr="00214CE2">
        <w:t>Malý a střední podnik má v souladu s </w:t>
      </w:r>
      <w:r w:rsidR="00DD47ED">
        <w:t>n</w:t>
      </w:r>
      <w:r w:rsidRPr="00214CE2">
        <w:t xml:space="preserve">ařízením Komise motivační účinek podpory prokázán automaticky, pokud </w:t>
      </w:r>
      <w:r w:rsidR="004F7D05">
        <w:t xml:space="preserve">zahájí řešení projektu po </w:t>
      </w:r>
      <w:r w:rsidR="00DD47ED">
        <w:t xml:space="preserve">nabytí účinnosti </w:t>
      </w:r>
      <w:r w:rsidR="004F7D05">
        <w:t xml:space="preserve">Smlouvy o poskytnutí podpory a </w:t>
      </w:r>
      <w:r w:rsidRPr="00214CE2">
        <w:t xml:space="preserve">splní podmínky </w:t>
      </w:r>
      <w:r>
        <w:t>stanovené</w:t>
      </w:r>
      <w:r w:rsidRPr="00214CE2">
        <w:t xml:space="preserve"> zadávací dokumentac</w:t>
      </w:r>
      <w:r>
        <w:t xml:space="preserve">í. </w:t>
      </w:r>
      <w:r w:rsidR="00F01E82" w:rsidRPr="000019C7">
        <w:t xml:space="preserve">Je-li příjemcem či dalším účastníkem velký podnik, musí </w:t>
      </w:r>
      <w:r w:rsidR="004720C9">
        <w:t xml:space="preserve">pro splnění motivačního účinku </w:t>
      </w:r>
      <w:r w:rsidR="00F01E82" w:rsidRPr="000019C7">
        <w:t>v souladu s </w:t>
      </w:r>
      <w:r w:rsidR="00DD47ED">
        <w:t>n</w:t>
      </w:r>
      <w:r w:rsidR="00F01E82" w:rsidRPr="000019C7">
        <w:t>ařízením Komise v návrhu projektu</w:t>
      </w:r>
      <w:r w:rsidR="00605E7A">
        <w:t xml:space="preserve"> splnit náležitosti podle </w:t>
      </w:r>
      <w:r w:rsidR="00605E7A" w:rsidRPr="00605E7A">
        <w:t xml:space="preserve">čl. 6 odst. </w:t>
      </w:r>
      <w:r w:rsidR="00B26C33">
        <w:t>3</w:t>
      </w:r>
      <w:r w:rsidR="00605E7A" w:rsidRPr="00605E7A">
        <w:t xml:space="preserve"> </w:t>
      </w:r>
      <w:r w:rsidR="00605E7A">
        <w:t>nařízení Komise, zejm.</w:t>
      </w:r>
      <w:r w:rsidR="00F01E82" w:rsidRPr="000019C7">
        <w:t xml:space="preserve"> prokázat, že podpora přispěje k významnému nárůstu rozsahu projektu či činnosti v důsledku podpory nebo významně zvýší celkovou částku vynaloženou příjemcem na projekt či činnost v důsledku podpory nebo dojde k významnému urychlení při dokončování příslušného projektu </w:t>
      </w:r>
      <w:r w:rsidR="00104C64">
        <w:br/>
      </w:r>
      <w:r w:rsidR="00F01E82" w:rsidRPr="000019C7">
        <w:t>či činnosti</w:t>
      </w:r>
      <w:r w:rsidR="00F01E82">
        <w:t xml:space="preserve">. </w:t>
      </w:r>
      <w:r w:rsidR="0078380B" w:rsidRPr="00F01E82">
        <w:t>Zhodnocení motivačního účinku bude součástí protokolu o výsledku hodnocení zpracovaném odborným poradním orgánem</w:t>
      </w:r>
      <w:r w:rsidR="00B86E09" w:rsidRPr="00F01E82">
        <w:t xml:space="preserve"> poskytovatele</w:t>
      </w:r>
      <w:r w:rsidR="0078380B" w:rsidRPr="00F01E82">
        <w:t>.</w:t>
      </w:r>
    </w:p>
    <w:p w14:paraId="673880FD" w14:textId="411866B7" w:rsidR="0078380B" w:rsidRPr="00C11D32" w:rsidRDefault="0078380B" w:rsidP="00C11D32">
      <w:pPr>
        <w:rPr>
          <w:b/>
          <w:kern w:val="32"/>
          <w:sz w:val="32"/>
        </w:rPr>
      </w:pPr>
    </w:p>
    <w:p w14:paraId="7DB960D1" w14:textId="77777777" w:rsidR="00250530" w:rsidRPr="00403D93" w:rsidRDefault="00DE4D83" w:rsidP="00DE4D83">
      <w:pPr>
        <w:pStyle w:val="Nadpis1"/>
        <w:ind w:left="360" w:hanging="360"/>
        <w:jc w:val="both"/>
        <w:rPr>
          <w:rFonts w:ascii="Times New Roman" w:hAnsi="Times New Roman" w:cs="Times New Roman"/>
        </w:rPr>
      </w:pPr>
      <w:bookmarkStart w:id="75" w:name="_Toc404887007"/>
      <w:bookmarkStart w:id="76" w:name="_Toc405894515"/>
      <w:bookmarkStart w:id="77" w:name="_Toc418585166"/>
      <w:r w:rsidRPr="00403D93">
        <w:rPr>
          <w:rFonts w:ascii="Times New Roman" w:hAnsi="Times New Roman" w:cs="Times New Roman"/>
        </w:rPr>
        <w:t>21</w:t>
      </w:r>
      <w:r w:rsidR="00250530" w:rsidRPr="00403D93">
        <w:rPr>
          <w:rFonts w:ascii="Times New Roman" w:hAnsi="Times New Roman" w:cs="Times New Roman"/>
        </w:rPr>
        <w:t>. Obecná kritéria hodnocení návrhů projektů</w:t>
      </w:r>
      <w:bookmarkEnd w:id="75"/>
      <w:bookmarkEnd w:id="76"/>
      <w:bookmarkEnd w:id="77"/>
    </w:p>
    <w:p w14:paraId="4BC43C3E" w14:textId="77777777" w:rsidR="00615DEC" w:rsidRPr="00403D93" w:rsidRDefault="00615DEC" w:rsidP="00615DEC">
      <w:pPr>
        <w:spacing w:after="120" w:line="276" w:lineRule="auto"/>
        <w:jc w:val="both"/>
      </w:pPr>
      <w:r w:rsidRPr="00403D93">
        <w:t xml:space="preserve">V souladu s pravidly stanovenými zákonem č. 130/2002 Sb. jmenuje </w:t>
      </w:r>
      <w:r w:rsidR="00E3434D" w:rsidRPr="00403D93">
        <w:t>poskytovatel</w:t>
      </w:r>
      <w:r w:rsidR="00E9695E" w:rsidRPr="00403D93">
        <w:t xml:space="preserve"> komisi pro </w:t>
      </w:r>
      <w:r w:rsidRPr="00403D93">
        <w:t>přijímání návrhů projektů. Doručené návrhy projektů kontroluje komise pro přijímání návrhů projektů z hlediska splnění všech náležitostí stano</w:t>
      </w:r>
      <w:r w:rsidR="00E9695E" w:rsidRPr="00403D93">
        <w:t>vených zadávací dokumentací pro </w:t>
      </w:r>
      <w:r w:rsidRPr="00403D93">
        <w:t>návrhy projektů.</w:t>
      </w:r>
    </w:p>
    <w:p w14:paraId="4247FC5A" w14:textId="77777777" w:rsidR="00615DEC" w:rsidRPr="00403D93" w:rsidRDefault="00615DEC" w:rsidP="00615DEC">
      <w:pPr>
        <w:spacing w:after="120" w:line="276" w:lineRule="auto"/>
        <w:jc w:val="both"/>
      </w:pPr>
      <w:r w:rsidRPr="00403D93">
        <w:t xml:space="preserve">O přijetí návrhu projektu do veřejné soutěže, resp. o jeho vyřazení z veřejné soutěže, rozhoduje </w:t>
      </w:r>
      <w:r w:rsidR="00E3434D" w:rsidRPr="00403D93">
        <w:t>poskytovatel</w:t>
      </w:r>
      <w:r w:rsidRPr="00403D93">
        <w:t xml:space="preserve"> v souladu s § 21 odst. 3 zákona č. 130/2002 Sb. na základě protokolu zpracovaného komisí pro přijímání návrhů projektů, resp. odborným poradním orgánem. Návrhy projektů vyřazené z veřejné soutěže nejsou dále hodnoceny.</w:t>
      </w:r>
    </w:p>
    <w:p w14:paraId="5EA8DCC3" w14:textId="77777777" w:rsidR="00615DEC" w:rsidRPr="00DA432B" w:rsidRDefault="00615DEC" w:rsidP="005E6FEB">
      <w:pPr>
        <w:spacing w:before="60" w:line="276" w:lineRule="auto"/>
        <w:jc w:val="both"/>
        <w:rPr>
          <w:highlight w:val="yellow"/>
        </w:rPr>
      </w:pPr>
    </w:p>
    <w:p w14:paraId="0F2A1D67" w14:textId="77777777" w:rsidR="00DE4D83" w:rsidRPr="00DA432B" w:rsidRDefault="00DE4D83" w:rsidP="00DE4D83">
      <w:pPr>
        <w:pStyle w:val="Nadpis1"/>
        <w:ind w:left="360" w:hanging="360"/>
        <w:jc w:val="both"/>
        <w:rPr>
          <w:rFonts w:ascii="Times New Roman" w:hAnsi="Times New Roman" w:cs="Times New Roman"/>
        </w:rPr>
      </w:pPr>
      <w:bookmarkStart w:id="78" w:name="_Toc404887008"/>
      <w:bookmarkStart w:id="79" w:name="_Toc405894516"/>
      <w:bookmarkStart w:id="80" w:name="_Toc418585167"/>
      <w:r w:rsidRPr="00DA432B">
        <w:rPr>
          <w:rFonts w:ascii="Times New Roman" w:hAnsi="Times New Roman" w:cs="Times New Roman"/>
        </w:rPr>
        <w:t>22. Proces hodnocení návrhů projektů</w:t>
      </w:r>
      <w:bookmarkEnd w:id="78"/>
      <w:bookmarkEnd w:id="79"/>
      <w:bookmarkEnd w:id="80"/>
    </w:p>
    <w:p w14:paraId="5DB6B5DC" w14:textId="77777777" w:rsidR="00DE4D83" w:rsidRPr="00DA432B" w:rsidRDefault="00DE4D83" w:rsidP="00DE4D83">
      <w:pPr>
        <w:spacing w:after="120" w:line="276" w:lineRule="auto"/>
        <w:jc w:val="both"/>
      </w:pPr>
      <w:r w:rsidRPr="00DA432B">
        <w:t xml:space="preserve">Hodnocení bude probíhat v rámci třístupňového systému, který vychází ze </w:t>
      </w:r>
      <w:r w:rsidR="00EB1CAF" w:rsidRPr="00DA432B">
        <w:t>Systému hodnocení projektů</w:t>
      </w:r>
      <w:r w:rsidRPr="00DA432B">
        <w:t xml:space="preserve">: </w:t>
      </w:r>
    </w:p>
    <w:p w14:paraId="456B90AA" w14:textId="77777777" w:rsidR="00DE4D83" w:rsidRPr="00DA432B" w:rsidRDefault="00DE4D83" w:rsidP="00191BAF">
      <w:pPr>
        <w:numPr>
          <w:ilvl w:val="0"/>
          <w:numId w:val="27"/>
        </w:numPr>
        <w:spacing w:after="120" w:line="276" w:lineRule="auto"/>
        <w:jc w:val="both"/>
      </w:pPr>
      <w:r w:rsidRPr="00DA432B">
        <w:t xml:space="preserve">Rozhodujícím orgánem je </w:t>
      </w:r>
      <w:r w:rsidR="00E3434D" w:rsidRPr="00DA432B">
        <w:t>poskytovatel</w:t>
      </w:r>
      <w:r w:rsidRPr="00DA432B">
        <w:t>.</w:t>
      </w:r>
    </w:p>
    <w:p w14:paraId="4A999822" w14:textId="77777777" w:rsidR="00DE4D83" w:rsidRPr="00DA432B" w:rsidRDefault="00605381" w:rsidP="00191BAF">
      <w:pPr>
        <w:numPr>
          <w:ilvl w:val="0"/>
          <w:numId w:val="27"/>
        </w:numPr>
        <w:spacing w:after="120" w:line="276" w:lineRule="auto"/>
        <w:jc w:val="both"/>
      </w:pPr>
      <w:r w:rsidRPr="00DA432B">
        <w:t>Vědecká</w:t>
      </w:r>
      <w:r w:rsidR="00A94B75" w:rsidRPr="00DA432B">
        <w:t xml:space="preserve"> rada</w:t>
      </w:r>
      <w:r w:rsidR="00DE4D83" w:rsidRPr="00DA432B">
        <w:t xml:space="preserve"> j</w:t>
      </w:r>
      <w:r w:rsidR="00A94B75" w:rsidRPr="00DA432B">
        <w:t>e</w:t>
      </w:r>
      <w:r w:rsidR="00DE4D83" w:rsidRPr="00DA432B">
        <w:t xml:space="preserve"> </w:t>
      </w:r>
      <w:r w:rsidR="00A94B75" w:rsidRPr="00DA432B">
        <w:t xml:space="preserve">odborným </w:t>
      </w:r>
      <w:r w:rsidR="00DE4D83" w:rsidRPr="00DA432B">
        <w:t>poradním orgán</w:t>
      </w:r>
      <w:r w:rsidR="00A94B75" w:rsidRPr="00DA432B">
        <w:t>em</w:t>
      </w:r>
      <w:r w:rsidR="00DE4D83" w:rsidRPr="00DA432B">
        <w:t xml:space="preserve"> dle </w:t>
      </w:r>
      <w:r w:rsidR="007B0AB6" w:rsidRPr="00DA432B">
        <w:t xml:space="preserve">§ 21 odst. 4 </w:t>
      </w:r>
      <w:r w:rsidR="00DE4D83" w:rsidRPr="00DA432B">
        <w:t>zákona č. 130/2002 Sb.</w:t>
      </w:r>
    </w:p>
    <w:p w14:paraId="016E2A0B" w14:textId="77777777" w:rsidR="00DE4D83" w:rsidRPr="00DA432B" w:rsidRDefault="00DE4D83" w:rsidP="00191BAF">
      <w:pPr>
        <w:numPr>
          <w:ilvl w:val="0"/>
          <w:numId w:val="27"/>
        </w:numPr>
        <w:spacing w:after="120" w:line="276" w:lineRule="auto"/>
        <w:jc w:val="both"/>
      </w:pPr>
      <w:r w:rsidRPr="00DA432B">
        <w:t xml:space="preserve">Hodnotící panely jsou expertními orgány </w:t>
      </w:r>
      <w:r w:rsidR="002B4DA1" w:rsidRPr="00DA432B">
        <w:t>Vědeck</w:t>
      </w:r>
      <w:r w:rsidR="006B1C98" w:rsidRPr="00DA432B">
        <w:t>é</w:t>
      </w:r>
      <w:r w:rsidR="00A94B75" w:rsidRPr="00DA432B">
        <w:t xml:space="preserve"> rady</w:t>
      </w:r>
      <w:r w:rsidRPr="00DA432B">
        <w:t xml:space="preserve"> podle </w:t>
      </w:r>
      <w:r w:rsidR="00640195" w:rsidRPr="00DA432B">
        <w:t>Systému hodnocení projektů</w:t>
      </w:r>
      <w:r w:rsidRPr="00DA432B">
        <w:t>.</w:t>
      </w:r>
    </w:p>
    <w:p w14:paraId="7A4FABBA" w14:textId="77777777" w:rsidR="00DE4D83" w:rsidRPr="00DA432B" w:rsidRDefault="00DE4D83" w:rsidP="00DE4D83">
      <w:pPr>
        <w:spacing w:after="120" w:line="276" w:lineRule="auto"/>
        <w:jc w:val="both"/>
      </w:pPr>
      <w:r w:rsidRPr="00DA432B">
        <w:t>Systém posuzování návrhu projektu je koncipován tak, aby se zmenšil prostor pro zájmové vlivy a předešlo se konfliktu zájmů na všech úrovních posuzování.</w:t>
      </w:r>
    </w:p>
    <w:p w14:paraId="5D7C0691" w14:textId="77777777" w:rsidR="00191BAF" w:rsidRPr="00DA432B" w:rsidRDefault="00191BAF" w:rsidP="00DE4D83">
      <w:pPr>
        <w:spacing w:after="120" w:line="276" w:lineRule="auto"/>
        <w:jc w:val="both"/>
      </w:pPr>
    </w:p>
    <w:p w14:paraId="7A14C1C3" w14:textId="77777777" w:rsidR="00191BAF" w:rsidRPr="00DA432B" w:rsidRDefault="00191BAF" w:rsidP="00191BAF">
      <w:pPr>
        <w:spacing w:after="120" w:line="276" w:lineRule="auto"/>
        <w:jc w:val="both"/>
        <w:rPr>
          <w:b/>
          <w:u w:val="single"/>
        </w:rPr>
      </w:pPr>
      <w:r w:rsidRPr="00DA432B">
        <w:rPr>
          <w:b/>
          <w:u w:val="single"/>
        </w:rPr>
        <w:t>Kritéria hodnocení návrhů projektů</w:t>
      </w:r>
    </w:p>
    <w:p w14:paraId="095A54EC" w14:textId="77777777" w:rsidR="00191BAF" w:rsidRPr="00DA432B" w:rsidRDefault="00191BAF" w:rsidP="00191BAF">
      <w:pPr>
        <w:spacing w:after="120" w:line="276" w:lineRule="auto"/>
        <w:jc w:val="both"/>
      </w:pPr>
      <w:r w:rsidRPr="00DA432B">
        <w:t xml:space="preserve">Hodnocení a výběr návrhů projektů provádějí poradní orgány </w:t>
      </w:r>
      <w:r w:rsidR="00640195" w:rsidRPr="00DA432B">
        <w:t xml:space="preserve">poskytovatele </w:t>
      </w:r>
      <w:r w:rsidRPr="00DA432B">
        <w:t>na základě těch</w:t>
      </w:r>
      <w:r w:rsidR="00E9695E" w:rsidRPr="00DA432B">
        <w:t>to </w:t>
      </w:r>
      <w:r w:rsidRPr="00DA432B">
        <w:t>kritérií:</w:t>
      </w:r>
    </w:p>
    <w:p w14:paraId="6978979B" w14:textId="77777777" w:rsidR="00191BAF" w:rsidRPr="00DA432B" w:rsidRDefault="00191BAF" w:rsidP="00191BAF">
      <w:pPr>
        <w:numPr>
          <w:ilvl w:val="0"/>
          <w:numId w:val="26"/>
        </w:numPr>
        <w:spacing w:after="120" w:line="276" w:lineRule="auto"/>
        <w:jc w:val="both"/>
      </w:pPr>
      <w:r w:rsidRPr="00DA432B">
        <w:t>Způsobilost uchazeče, zejména technické a institucionální zázemí uchazeče.</w:t>
      </w:r>
    </w:p>
    <w:p w14:paraId="525D0626" w14:textId="77777777" w:rsidR="00191BAF" w:rsidRPr="00DA432B" w:rsidRDefault="00191BAF" w:rsidP="00191BAF">
      <w:pPr>
        <w:numPr>
          <w:ilvl w:val="0"/>
          <w:numId w:val="26"/>
        </w:numPr>
        <w:spacing w:after="120" w:line="276" w:lineRule="auto"/>
        <w:jc w:val="both"/>
      </w:pPr>
      <w:r w:rsidRPr="00DA432B">
        <w:t>Schopnosti a předpoklady navrhovatele. Posuzují se zejména odborné schopnosti navrhovatele a výsledky, kterých zatím dosáhl.</w:t>
      </w:r>
    </w:p>
    <w:p w14:paraId="55C1CEC6" w14:textId="77777777" w:rsidR="00191BAF" w:rsidRPr="00DA432B" w:rsidRDefault="00191BAF" w:rsidP="00191BAF">
      <w:pPr>
        <w:numPr>
          <w:ilvl w:val="0"/>
          <w:numId w:val="26"/>
        </w:numPr>
        <w:spacing w:after="120" w:line="276" w:lineRule="auto"/>
        <w:jc w:val="both"/>
      </w:pPr>
      <w:r w:rsidRPr="00DA432B">
        <w:t xml:space="preserve">Kvalita navrhovaného projektu: </w:t>
      </w:r>
    </w:p>
    <w:p w14:paraId="07265C26" w14:textId="77777777" w:rsidR="00191BAF" w:rsidRPr="00DA432B" w:rsidRDefault="00191BAF" w:rsidP="00191BAF">
      <w:pPr>
        <w:numPr>
          <w:ilvl w:val="1"/>
          <w:numId w:val="26"/>
        </w:numPr>
        <w:spacing w:after="120" w:line="276" w:lineRule="auto"/>
        <w:jc w:val="both"/>
      </w:pPr>
      <w:r w:rsidRPr="00DA432B">
        <w:t>cíle projektu - zda byly vymezeny jasné cíle projektu, jejich novost, náročnost, významnost a reálnost;</w:t>
      </w:r>
    </w:p>
    <w:p w14:paraId="65A9C597" w14:textId="77777777" w:rsidR="00191BAF" w:rsidRPr="00DA432B" w:rsidRDefault="00191BAF" w:rsidP="00191BAF">
      <w:pPr>
        <w:numPr>
          <w:ilvl w:val="1"/>
          <w:numId w:val="26"/>
        </w:numPr>
        <w:spacing w:after="120" w:line="276" w:lineRule="auto"/>
        <w:jc w:val="both"/>
      </w:pPr>
      <w:r w:rsidRPr="00DA432B">
        <w:t>návrh způsobu řešení - jakým způsobem navrhovatel hodlá dosáhnout stanovených cílů a výsledků (ujasněná koncepce, příprava a adekvátnost navrhované metodiky);</w:t>
      </w:r>
    </w:p>
    <w:p w14:paraId="3D0E1D01" w14:textId="77777777" w:rsidR="00191BAF" w:rsidRPr="00DA432B" w:rsidRDefault="00191BAF" w:rsidP="00191BAF">
      <w:pPr>
        <w:numPr>
          <w:ilvl w:val="1"/>
          <w:numId w:val="26"/>
        </w:numPr>
        <w:spacing w:after="120" w:line="276" w:lineRule="auto"/>
        <w:jc w:val="both"/>
      </w:pPr>
      <w:r w:rsidRPr="00DA432B">
        <w:t>výstupy - relevance přehledu předpokládaných výsledků</w:t>
      </w:r>
      <w:r w:rsidR="00E9695E" w:rsidRPr="00DA432B">
        <w:t>; které se stanou základem pro </w:t>
      </w:r>
      <w:r w:rsidRPr="00DA432B">
        <w:t>řešení známých nebo očekávaných, současný</w:t>
      </w:r>
      <w:r w:rsidR="00E9695E" w:rsidRPr="00DA432B">
        <w:t>ch nebo budoucích problémů nebo </w:t>
      </w:r>
      <w:r w:rsidRPr="00DA432B">
        <w:t>možností;</w:t>
      </w:r>
    </w:p>
    <w:p w14:paraId="617B7F76" w14:textId="77777777" w:rsidR="00191BAF" w:rsidRPr="00DA432B" w:rsidRDefault="00191BAF" w:rsidP="00191BAF">
      <w:pPr>
        <w:numPr>
          <w:ilvl w:val="1"/>
          <w:numId w:val="26"/>
        </w:numPr>
        <w:spacing w:after="120" w:line="276" w:lineRule="auto"/>
        <w:jc w:val="both"/>
      </w:pPr>
      <w:r w:rsidRPr="00DA432B">
        <w:t>zahraniční spolupráce - hodnotí se zapojení zahraničních pracovišť do řešení; vzájemné využití přístrojového vybavení spolupracujících pracovišť; využití komplementárních přístupů a metodik;</w:t>
      </w:r>
    </w:p>
    <w:p w14:paraId="59D5B260" w14:textId="77777777" w:rsidR="00191BAF" w:rsidRPr="00DA432B" w:rsidRDefault="00191BAF" w:rsidP="00191BAF">
      <w:pPr>
        <w:numPr>
          <w:ilvl w:val="1"/>
          <w:numId w:val="26"/>
        </w:numPr>
        <w:spacing w:after="120" w:line="276" w:lineRule="auto"/>
        <w:jc w:val="both"/>
      </w:pPr>
      <w:r w:rsidRPr="00DA432B">
        <w:t>soulad s Národními prioritami orientovaného výzkumu, vývoje a inovací, schválenými usnesením vlády ze dne 17. července 2012 č. 552 - posuzuje se, zda návrh přispívá</w:t>
      </w:r>
      <w:r w:rsidR="00E9695E" w:rsidRPr="00DA432B">
        <w:t xml:space="preserve"> k </w:t>
      </w:r>
      <w:r w:rsidRPr="00DA432B">
        <w:t>jejich naplnění v části orientovaného výzkumu</w:t>
      </w:r>
      <w:r w:rsidR="00435657" w:rsidRPr="00DA432B">
        <w:t>, p</w:t>
      </w:r>
      <w:r w:rsidR="006F3199" w:rsidRPr="00DA432B">
        <w:t>op</w:t>
      </w:r>
      <w:r w:rsidR="00435657" w:rsidRPr="00DA432B">
        <w:t>ř. soulad s Národní strategií pro vzácná onemocnění na léta 2010-2020.</w:t>
      </w:r>
    </w:p>
    <w:p w14:paraId="7628E4EA" w14:textId="77777777" w:rsidR="00191BAF" w:rsidRPr="00DA432B" w:rsidRDefault="00191BAF" w:rsidP="00191BAF">
      <w:pPr>
        <w:spacing w:after="120" w:line="276" w:lineRule="auto"/>
        <w:jc w:val="both"/>
      </w:pPr>
      <w:r w:rsidRPr="00DA432B">
        <w:t>Konkrétní postup hodnocení návrhů bude stanoven v zadávací dokumentaci pro jednotlivé veřejné soutěže Programu.</w:t>
      </w:r>
    </w:p>
    <w:p w14:paraId="19E2CF42" w14:textId="77777777" w:rsidR="00191BAF" w:rsidRPr="00DA432B" w:rsidRDefault="00191BAF" w:rsidP="005E6FEB">
      <w:pPr>
        <w:spacing w:before="60" w:line="276" w:lineRule="auto"/>
        <w:jc w:val="both"/>
        <w:rPr>
          <w:highlight w:val="yellow"/>
        </w:rPr>
      </w:pPr>
    </w:p>
    <w:p w14:paraId="2D35E055" w14:textId="77777777" w:rsidR="00191BAF" w:rsidRPr="00DA432B" w:rsidRDefault="00191BAF" w:rsidP="00191BAF">
      <w:pPr>
        <w:pStyle w:val="Nadpis1"/>
        <w:ind w:left="360" w:hanging="360"/>
        <w:jc w:val="both"/>
        <w:rPr>
          <w:rFonts w:ascii="Times New Roman" w:hAnsi="Times New Roman" w:cs="Times New Roman"/>
        </w:rPr>
      </w:pPr>
      <w:bookmarkStart w:id="81" w:name="_Toc404887009"/>
      <w:bookmarkStart w:id="82" w:name="_Toc405894517"/>
      <w:bookmarkStart w:id="83" w:name="_Toc418585168"/>
      <w:r w:rsidRPr="00DA432B">
        <w:rPr>
          <w:rFonts w:ascii="Times New Roman" w:hAnsi="Times New Roman" w:cs="Times New Roman"/>
        </w:rPr>
        <w:t>23. Průběžné hodnocení řešených projektů (interim)</w:t>
      </w:r>
      <w:bookmarkEnd w:id="81"/>
      <w:bookmarkEnd w:id="82"/>
      <w:bookmarkEnd w:id="83"/>
    </w:p>
    <w:p w14:paraId="06EBF00E" w14:textId="77777777" w:rsidR="00191BAF" w:rsidRPr="00DA432B" w:rsidRDefault="00191BAF" w:rsidP="00191BAF">
      <w:pPr>
        <w:spacing w:after="120" w:line="276" w:lineRule="auto"/>
        <w:jc w:val="both"/>
      </w:pPr>
      <w:r w:rsidRPr="00DA432B">
        <w:t xml:space="preserve">Hodnocení průběhu řešení projektu provádí </w:t>
      </w:r>
      <w:r w:rsidR="00640195" w:rsidRPr="00DA432B">
        <w:t xml:space="preserve">poskytovatel </w:t>
      </w:r>
      <w:r w:rsidRPr="00DA432B">
        <w:t xml:space="preserve">každoročně na základě posouzení </w:t>
      </w:r>
      <w:r w:rsidR="004D5D54" w:rsidRPr="00DA432B">
        <w:t xml:space="preserve">odbornými </w:t>
      </w:r>
      <w:r w:rsidR="00B054EC" w:rsidRPr="00DA432B">
        <w:t xml:space="preserve">poradními orgány (hodnotící panel a </w:t>
      </w:r>
      <w:r w:rsidR="00605381" w:rsidRPr="00DA432B">
        <w:t>Vědecká</w:t>
      </w:r>
      <w:r w:rsidR="00B054EC" w:rsidRPr="00DA432B">
        <w:t xml:space="preserve"> rada)</w:t>
      </w:r>
      <w:r w:rsidRPr="00DA432B">
        <w:t>, a to na základě předložených dílčích zpráv a výsledků kontrolní činnosti poskytovatele.</w:t>
      </w:r>
    </w:p>
    <w:p w14:paraId="2464EE07" w14:textId="77777777" w:rsidR="00191BAF" w:rsidRPr="00DA432B" w:rsidRDefault="00640195" w:rsidP="00191BAF">
      <w:pPr>
        <w:spacing w:after="120" w:line="276" w:lineRule="auto"/>
        <w:jc w:val="both"/>
      </w:pPr>
      <w:bookmarkStart w:id="84" w:name="_Ref243098688"/>
      <w:r w:rsidRPr="00DA432B">
        <w:t xml:space="preserve">Poskytovatel </w:t>
      </w:r>
      <w:r w:rsidR="00191BAF" w:rsidRPr="00DA432B">
        <w:t>hodnotí postup při řešení projektu podle těchto hlavních kritérií:</w:t>
      </w:r>
      <w:bookmarkEnd w:id="84"/>
    </w:p>
    <w:p w14:paraId="4F0C4B13" w14:textId="77777777" w:rsidR="00191BAF" w:rsidRPr="00DA432B" w:rsidRDefault="00191BAF" w:rsidP="00191BAF">
      <w:pPr>
        <w:numPr>
          <w:ilvl w:val="0"/>
          <w:numId w:val="31"/>
        </w:numPr>
        <w:spacing w:after="120" w:line="276" w:lineRule="auto"/>
        <w:jc w:val="both"/>
      </w:pPr>
      <w:r w:rsidRPr="00DA432B">
        <w:t>postup prací a jejich soulad s plněním stanovených cílů;</w:t>
      </w:r>
    </w:p>
    <w:p w14:paraId="25A8EB26" w14:textId="77777777" w:rsidR="00191BAF" w:rsidRPr="00DA432B" w:rsidRDefault="00191BAF" w:rsidP="00191BAF">
      <w:pPr>
        <w:numPr>
          <w:ilvl w:val="0"/>
          <w:numId w:val="31"/>
        </w:numPr>
        <w:spacing w:after="120" w:line="276" w:lineRule="auto"/>
        <w:jc w:val="both"/>
      </w:pPr>
      <w:r w:rsidRPr="00DA432B">
        <w:t>zajištění řešení po stránce odborné a personální;</w:t>
      </w:r>
    </w:p>
    <w:p w14:paraId="5C51E313" w14:textId="77777777" w:rsidR="00191BAF" w:rsidRPr="00DA432B" w:rsidRDefault="00191BAF" w:rsidP="00191BAF">
      <w:pPr>
        <w:numPr>
          <w:ilvl w:val="0"/>
          <w:numId w:val="31"/>
        </w:numPr>
        <w:spacing w:after="120" w:line="276" w:lineRule="auto"/>
        <w:jc w:val="both"/>
      </w:pPr>
      <w:r w:rsidRPr="00DA432B">
        <w:t>využití technického a přístrojového vybavení pořízeného z</w:t>
      </w:r>
      <w:r w:rsidR="000A16BB" w:rsidRPr="00DA432B">
        <w:t xml:space="preserve"> </w:t>
      </w:r>
      <w:r w:rsidRPr="00DA432B">
        <w:t>projektu;</w:t>
      </w:r>
    </w:p>
    <w:p w14:paraId="4C813AAD" w14:textId="77777777" w:rsidR="00191BAF" w:rsidRPr="00DA432B" w:rsidRDefault="00191BAF" w:rsidP="00191BAF">
      <w:pPr>
        <w:numPr>
          <w:ilvl w:val="0"/>
          <w:numId w:val="31"/>
        </w:numPr>
        <w:spacing w:after="120" w:line="276" w:lineRule="auto"/>
        <w:jc w:val="both"/>
      </w:pPr>
      <w:r w:rsidRPr="00DA432B">
        <w:t>personální, organizační a technický postup budování nového týmu;</w:t>
      </w:r>
    </w:p>
    <w:p w14:paraId="14B4D278" w14:textId="77777777" w:rsidR="00191BAF" w:rsidRPr="00DA432B" w:rsidRDefault="00191BAF" w:rsidP="00191BAF">
      <w:pPr>
        <w:numPr>
          <w:ilvl w:val="0"/>
          <w:numId w:val="31"/>
        </w:numPr>
        <w:spacing w:after="120" w:line="276" w:lineRule="auto"/>
        <w:jc w:val="both"/>
      </w:pPr>
      <w:r w:rsidRPr="00DA432B">
        <w:t>dosažení cílů řešení v porovnání s plánem stanoveným v návrhu projektu, předpoklady celkového časového a věcného splnění úkolu;</w:t>
      </w:r>
    </w:p>
    <w:p w14:paraId="77FB1457" w14:textId="77777777" w:rsidR="00191BAF" w:rsidRPr="00DA432B" w:rsidRDefault="00191BAF" w:rsidP="00191BAF">
      <w:pPr>
        <w:numPr>
          <w:ilvl w:val="0"/>
          <w:numId w:val="31"/>
        </w:numPr>
        <w:spacing w:after="120" w:line="276" w:lineRule="auto"/>
        <w:jc w:val="both"/>
      </w:pPr>
      <w:r w:rsidRPr="00DA432B">
        <w:t>vyhodnocení dosavadního hospodaření s přidělenými prostředky, event. navrhovaného rozpočtu na další období (kontroluje se čerpání přidělen</w:t>
      </w:r>
      <w:r w:rsidR="00B7254D" w:rsidRPr="00DA432B">
        <w:t>ých prostředků, účelnost jejich </w:t>
      </w:r>
      <w:r w:rsidRPr="00DA432B">
        <w:t>vynaložení a dodržení jejich skladby, řádné z</w:t>
      </w:r>
      <w:r w:rsidR="00B7254D" w:rsidRPr="00DA432B">
        <w:t>důvodnění event. přesunů či </w:t>
      </w:r>
      <w:r w:rsidRPr="00DA432B">
        <w:t>změn);</w:t>
      </w:r>
    </w:p>
    <w:p w14:paraId="76484A22" w14:textId="77777777" w:rsidR="00191BAF" w:rsidRPr="00DA432B" w:rsidRDefault="00191BAF" w:rsidP="00191BAF">
      <w:pPr>
        <w:numPr>
          <w:ilvl w:val="0"/>
          <w:numId w:val="31"/>
        </w:numPr>
        <w:spacing w:after="120" w:line="276" w:lineRule="auto"/>
        <w:jc w:val="both"/>
      </w:pPr>
      <w:r w:rsidRPr="00DA432B">
        <w:t>posouzení výsledků v členění podle druhů definovaných v části 18. Programu.</w:t>
      </w:r>
    </w:p>
    <w:p w14:paraId="4E50F65B" w14:textId="77777777" w:rsidR="00191BAF" w:rsidRPr="00DA432B" w:rsidRDefault="00191BAF" w:rsidP="00191BAF">
      <w:pPr>
        <w:spacing w:after="120" w:line="276" w:lineRule="auto"/>
        <w:jc w:val="both"/>
      </w:pPr>
      <w:r w:rsidRPr="00DA432B">
        <w:t>O výs</w:t>
      </w:r>
      <w:r w:rsidR="000250D9" w:rsidRPr="00DA432B">
        <w:t>ledku hod</w:t>
      </w:r>
      <w:r w:rsidR="00322053" w:rsidRPr="00DA432B">
        <w:t>nocení vypracují odborné poradní orgány</w:t>
      </w:r>
      <w:r w:rsidRPr="00DA432B">
        <w:t xml:space="preserve"> písemný protokol, který předloží </w:t>
      </w:r>
      <w:r w:rsidR="00640195" w:rsidRPr="00DA432B">
        <w:t>poskytovateli</w:t>
      </w:r>
      <w:r w:rsidRPr="00DA432B">
        <w:t>.</w:t>
      </w:r>
    </w:p>
    <w:p w14:paraId="1307F294" w14:textId="77777777" w:rsidR="00191BAF" w:rsidRPr="00DA432B" w:rsidRDefault="00191BAF" w:rsidP="00191BAF">
      <w:pPr>
        <w:spacing w:after="120" w:line="276" w:lineRule="auto"/>
        <w:jc w:val="both"/>
      </w:pPr>
      <w:r w:rsidRPr="00DA432B">
        <w:t xml:space="preserve">Jsou-li splněny předpoklady pro pokračování podpory projektu a </w:t>
      </w:r>
      <w:r w:rsidR="00640195" w:rsidRPr="00DA432B">
        <w:t>poskytovatel</w:t>
      </w:r>
      <w:r w:rsidRPr="00DA432B">
        <w:t xml:space="preserve"> rozhodne</w:t>
      </w:r>
      <w:r w:rsidR="00B7254D" w:rsidRPr="00DA432B">
        <w:t xml:space="preserve"> o </w:t>
      </w:r>
      <w:r w:rsidRPr="00DA432B">
        <w:t xml:space="preserve">pokračování podpory projektu, poskytne </w:t>
      </w:r>
      <w:r w:rsidR="00640195" w:rsidRPr="00DA432B">
        <w:t xml:space="preserve">poskytovatel </w:t>
      </w:r>
      <w:r w:rsidRPr="00DA432B">
        <w:t>příjemci finanční prostředky na další rok řešení projektu.</w:t>
      </w:r>
    </w:p>
    <w:p w14:paraId="32F1D25C" w14:textId="77777777" w:rsidR="00191BAF" w:rsidRPr="00DA432B" w:rsidRDefault="00191BAF" w:rsidP="00191BAF">
      <w:pPr>
        <w:spacing w:after="120" w:line="276" w:lineRule="auto"/>
        <w:jc w:val="both"/>
      </w:pPr>
      <w:r w:rsidRPr="00DA432B">
        <w:t xml:space="preserve">Nejsou-li splněny předpoklady k pokračování podpory projektu, je </w:t>
      </w:r>
      <w:r w:rsidR="00640195" w:rsidRPr="00DA432B">
        <w:t xml:space="preserve">poskytovatel </w:t>
      </w:r>
      <w:r w:rsidRPr="00DA432B">
        <w:t>opráv</w:t>
      </w:r>
      <w:r w:rsidR="00B7254D" w:rsidRPr="00DA432B">
        <w:t>něn od </w:t>
      </w:r>
      <w:r w:rsidRPr="00DA432B">
        <w:t xml:space="preserve">smlouvy o poskytnutí podpory odstoupit nebo vydat rozhodnutí o ukončení podpory. </w:t>
      </w:r>
    </w:p>
    <w:p w14:paraId="021FEEEA" w14:textId="77777777" w:rsidR="00191BAF" w:rsidRDefault="00191BAF" w:rsidP="00191BAF">
      <w:pPr>
        <w:spacing w:after="120" w:line="276" w:lineRule="auto"/>
        <w:jc w:val="both"/>
      </w:pPr>
      <w:r w:rsidRPr="00DA432B">
        <w:t>V průběžném hodnocení bude rovněž posuzováno plnění povi</w:t>
      </w:r>
      <w:r w:rsidR="00B7254D" w:rsidRPr="00DA432B">
        <w:t>nností o předávání informací do </w:t>
      </w:r>
      <w:r w:rsidRPr="00DA432B">
        <w:t>informačního systému výzkumu, experimentálního vývoje a inovací (podle § 31 zákona</w:t>
      </w:r>
      <w:r w:rsidR="00B7254D" w:rsidRPr="00DA432B">
        <w:t xml:space="preserve"> č. </w:t>
      </w:r>
      <w:r w:rsidRPr="00DA432B">
        <w:t>130/2002 Sb.).</w:t>
      </w:r>
    </w:p>
    <w:p w14:paraId="33AC3E32" w14:textId="77777777" w:rsidR="00CC3976" w:rsidRPr="00DA432B" w:rsidRDefault="00CC3976" w:rsidP="00191BAF">
      <w:pPr>
        <w:spacing w:after="120" w:line="276" w:lineRule="auto"/>
        <w:jc w:val="both"/>
      </w:pPr>
    </w:p>
    <w:p w14:paraId="611A6713" w14:textId="77777777" w:rsidR="00191BAF" w:rsidRPr="00DA432B" w:rsidRDefault="00191BAF" w:rsidP="00191BAF">
      <w:pPr>
        <w:pStyle w:val="Nadpis1"/>
        <w:ind w:left="360" w:hanging="360"/>
        <w:jc w:val="both"/>
        <w:rPr>
          <w:rFonts w:ascii="Times New Roman" w:hAnsi="Times New Roman" w:cs="Times New Roman"/>
        </w:rPr>
      </w:pPr>
      <w:bookmarkStart w:id="85" w:name="_Toc404887010"/>
      <w:bookmarkStart w:id="86" w:name="_Toc405894518"/>
      <w:bookmarkStart w:id="87" w:name="_Toc418585169"/>
      <w:r w:rsidRPr="00DA432B">
        <w:rPr>
          <w:rFonts w:ascii="Times New Roman" w:hAnsi="Times New Roman" w:cs="Times New Roman"/>
        </w:rPr>
        <w:t>24. Hodnocení výsledků projektů (ex post):</w:t>
      </w:r>
      <w:bookmarkEnd w:id="85"/>
      <w:bookmarkEnd w:id="86"/>
      <w:bookmarkEnd w:id="87"/>
    </w:p>
    <w:p w14:paraId="4CF1315F" w14:textId="77777777" w:rsidR="00191BAF" w:rsidRPr="00DA432B" w:rsidRDefault="00191BAF" w:rsidP="00191BAF">
      <w:pPr>
        <w:spacing w:after="120" w:line="276" w:lineRule="auto"/>
        <w:jc w:val="both"/>
      </w:pPr>
      <w:r w:rsidRPr="00DA432B">
        <w:t>Hodnocení ukončeného projektu provádí na základě posouzení hodnotícím panele</w:t>
      </w:r>
      <w:r w:rsidR="00F46250" w:rsidRPr="00DA432B">
        <w:t xml:space="preserve">m </w:t>
      </w:r>
      <w:r w:rsidR="00605381" w:rsidRPr="00DA432B">
        <w:t>Vědecká</w:t>
      </w:r>
      <w:r w:rsidR="00F46250" w:rsidRPr="00DA432B">
        <w:t xml:space="preserve"> rada</w:t>
      </w:r>
      <w:r w:rsidRPr="00DA432B">
        <w:t xml:space="preserve">, a to na základě závěrečné zprávy a výsledku kontrolní činnosti o hospodaření s prostředky. </w:t>
      </w:r>
    </w:p>
    <w:p w14:paraId="5BFFF1CF" w14:textId="77777777" w:rsidR="00191BAF" w:rsidRPr="00DA432B" w:rsidRDefault="00640195" w:rsidP="00191BAF">
      <w:pPr>
        <w:spacing w:after="120" w:line="276" w:lineRule="auto"/>
        <w:jc w:val="both"/>
      </w:pPr>
      <w:r w:rsidRPr="00DA432B">
        <w:t xml:space="preserve">Poskytovatel </w:t>
      </w:r>
      <w:r w:rsidR="00191BAF" w:rsidRPr="00DA432B">
        <w:t>hodnotí závěrečnou zprávu a postup při řešení projektu podle těchto hlavních kritérií:</w:t>
      </w:r>
    </w:p>
    <w:p w14:paraId="04EC8C69" w14:textId="77777777" w:rsidR="00191BAF" w:rsidRPr="00DA432B" w:rsidRDefault="00191BAF" w:rsidP="00DB6E7D">
      <w:pPr>
        <w:numPr>
          <w:ilvl w:val="0"/>
          <w:numId w:val="32"/>
        </w:numPr>
        <w:spacing w:after="120" w:line="276" w:lineRule="auto"/>
        <w:jc w:val="both"/>
      </w:pPr>
      <w:r w:rsidRPr="00DA432B">
        <w:t xml:space="preserve">splnění hlavního </w:t>
      </w:r>
      <w:r w:rsidR="00AC7E75" w:rsidRPr="00DA432B">
        <w:t xml:space="preserve">cíle </w:t>
      </w:r>
      <w:r w:rsidR="00DB6E7D" w:rsidRPr="00DA432B">
        <w:t>Programu</w:t>
      </w:r>
      <w:r w:rsidRPr="00DA432B">
        <w:t>;</w:t>
      </w:r>
    </w:p>
    <w:p w14:paraId="01D35571" w14:textId="77777777" w:rsidR="00191BAF" w:rsidRPr="00DA432B" w:rsidRDefault="00191BAF" w:rsidP="00DB6E7D">
      <w:pPr>
        <w:numPr>
          <w:ilvl w:val="0"/>
          <w:numId w:val="32"/>
        </w:numPr>
        <w:spacing w:after="120" w:line="276" w:lineRule="auto"/>
        <w:jc w:val="both"/>
      </w:pPr>
      <w:r w:rsidRPr="00DA432B">
        <w:t>postup prací a jejich soulad s plněním stanovených cílů;</w:t>
      </w:r>
    </w:p>
    <w:p w14:paraId="2381737E" w14:textId="77777777" w:rsidR="00191BAF" w:rsidRPr="00DA432B" w:rsidRDefault="00191BAF" w:rsidP="00DB6E7D">
      <w:pPr>
        <w:numPr>
          <w:ilvl w:val="0"/>
          <w:numId w:val="32"/>
        </w:numPr>
        <w:spacing w:after="120" w:line="276" w:lineRule="auto"/>
        <w:jc w:val="both"/>
      </w:pPr>
      <w:r w:rsidRPr="00DA432B">
        <w:t>zajištění řešení po stránce odborné a personální;</w:t>
      </w:r>
    </w:p>
    <w:p w14:paraId="38387F65" w14:textId="77777777" w:rsidR="00191BAF" w:rsidRPr="00DA432B" w:rsidRDefault="00191BAF" w:rsidP="00DB6E7D">
      <w:pPr>
        <w:numPr>
          <w:ilvl w:val="0"/>
          <w:numId w:val="32"/>
        </w:numPr>
        <w:spacing w:after="120" w:line="276" w:lineRule="auto"/>
        <w:jc w:val="both"/>
      </w:pPr>
      <w:r w:rsidRPr="00DA432B">
        <w:t>využití technického a přístrojového vybavení pořízeného z přidělených prostředků;</w:t>
      </w:r>
    </w:p>
    <w:p w14:paraId="6A7C0F45" w14:textId="77777777" w:rsidR="00191BAF" w:rsidRPr="00DA432B" w:rsidRDefault="00191BAF" w:rsidP="00DB6E7D">
      <w:pPr>
        <w:numPr>
          <w:ilvl w:val="0"/>
          <w:numId w:val="32"/>
        </w:numPr>
        <w:spacing w:after="120" w:line="276" w:lineRule="auto"/>
        <w:jc w:val="both"/>
      </w:pPr>
      <w:r w:rsidRPr="00DA432B">
        <w:t>vyhodnocení dosavadního hospodaření s přiděle</w:t>
      </w:r>
      <w:r w:rsidR="00AC248C" w:rsidRPr="00DA432B">
        <w:t>nými prostředky, (kontroluje se </w:t>
      </w:r>
      <w:r w:rsidRPr="00DA432B">
        <w:t>čerpání přidělených prostředků, účelnost jejich vynaložení a dodržení jejich skladby);</w:t>
      </w:r>
    </w:p>
    <w:p w14:paraId="3462B225" w14:textId="77777777" w:rsidR="00191BAF" w:rsidRPr="00DA432B" w:rsidRDefault="00191BAF" w:rsidP="00EE2BBD">
      <w:pPr>
        <w:numPr>
          <w:ilvl w:val="0"/>
          <w:numId w:val="32"/>
        </w:numPr>
        <w:spacing w:after="120" w:line="276" w:lineRule="auto"/>
        <w:jc w:val="both"/>
      </w:pPr>
      <w:r w:rsidRPr="00DA432B">
        <w:t>posouzení výsledků v členění pod</w:t>
      </w:r>
      <w:r w:rsidR="00DB6E7D" w:rsidRPr="00DA432B">
        <w:t>le druhů definovaných v části 18</w:t>
      </w:r>
      <w:r w:rsidRPr="00DA432B">
        <w:t>.</w:t>
      </w:r>
      <w:r w:rsidR="00DB6E7D" w:rsidRPr="00DA432B">
        <w:t xml:space="preserve"> Programu.</w:t>
      </w:r>
      <w:r w:rsidR="00C503FC" w:rsidRPr="00DA432B">
        <w:t xml:space="preserve"> Při hodnocení výsledků projektů bude kladen důraz nejen na publikaci výsledků v renomovaných časopisech, ale současně i na jejich využití v praxi.</w:t>
      </w:r>
    </w:p>
    <w:p w14:paraId="4958F462" w14:textId="77777777" w:rsidR="00191BAF" w:rsidRPr="00DA432B" w:rsidRDefault="00605381" w:rsidP="00DB6E7D">
      <w:pPr>
        <w:spacing w:after="120" w:line="276" w:lineRule="auto"/>
        <w:jc w:val="both"/>
      </w:pPr>
      <w:r w:rsidRPr="00DA432B">
        <w:t>Vědecká</w:t>
      </w:r>
      <w:r w:rsidR="00AF6B8D" w:rsidRPr="00DA432B">
        <w:t xml:space="preserve"> rada</w:t>
      </w:r>
      <w:r w:rsidR="00191BAF" w:rsidRPr="00DA432B">
        <w:t xml:space="preserve"> a hodnot</w:t>
      </w:r>
      <w:r w:rsidR="00DB6E7D" w:rsidRPr="00DA432B">
        <w:t>í</w:t>
      </w:r>
      <w:r w:rsidR="00191BAF" w:rsidRPr="00DA432B">
        <w:t>cí panel při celkovém hodnocení ukončeného projektu přihlíží</w:t>
      </w:r>
      <w:r w:rsidR="00AC248C" w:rsidRPr="00DA432B">
        <w:t xml:space="preserve"> i </w:t>
      </w:r>
      <w:r w:rsidR="00191BAF" w:rsidRPr="00DA432B">
        <w:t>k dodržování podmínek hospodaření s přidělenými prostředky.</w:t>
      </w:r>
    </w:p>
    <w:p w14:paraId="74A41D41" w14:textId="77777777" w:rsidR="00191BAF" w:rsidRPr="00DA432B" w:rsidRDefault="00191BAF" w:rsidP="00DB6E7D">
      <w:pPr>
        <w:spacing w:after="120" w:line="276" w:lineRule="auto"/>
        <w:jc w:val="both"/>
      </w:pPr>
      <w:r w:rsidRPr="00DA432B">
        <w:t xml:space="preserve">O výsledku hodnocení ukončeného projektu vypracují odborné poradní orgány protokol a předloží ho </w:t>
      </w:r>
      <w:r w:rsidR="00640195" w:rsidRPr="00DA432B">
        <w:t>poskytovateli</w:t>
      </w:r>
      <w:r w:rsidRPr="00DA432B">
        <w:t xml:space="preserve">, </w:t>
      </w:r>
      <w:r w:rsidR="00640195" w:rsidRPr="00DA432B">
        <w:t xml:space="preserve">který </w:t>
      </w:r>
      <w:r w:rsidRPr="00DA432B">
        <w:t xml:space="preserve">návrh hodnocení projedná a rozhodne. </w:t>
      </w:r>
    </w:p>
    <w:p w14:paraId="570335A8" w14:textId="77777777" w:rsidR="00191BAF" w:rsidRPr="00DA432B" w:rsidRDefault="00191BAF" w:rsidP="00DB6E7D">
      <w:pPr>
        <w:spacing w:after="120" w:line="276" w:lineRule="auto"/>
        <w:jc w:val="both"/>
      </w:pPr>
    </w:p>
    <w:p w14:paraId="312E4F5D" w14:textId="77777777" w:rsidR="00191BAF" w:rsidRPr="00DA432B" w:rsidRDefault="00191BAF" w:rsidP="00DB6E7D">
      <w:pPr>
        <w:spacing w:after="120" w:line="276" w:lineRule="auto"/>
        <w:jc w:val="both"/>
      </w:pPr>
      <w:r w:rsidRPr="00DA432B">
        <w:t xml:space="preserve">Řešení projektu je hodnoceno následujícím způsobem: </w:t>
      </w:r>
    </w:p>
    <w:p w14:paraId="58A77AC0" w14:textId="77777777" w:rsidR="00191BAF" w:rsidRPr="00DA432B" w:rsidRDefault="00191BAF" w:rsidP="00DB6E7D">
      <w:pPr>
        <w:numPr>
          <w:ilvl w:val="0"/>
          <w:numId w:val="33"/>
        </w:numPr>
        <w:spacing w:after="120" w:line="276" w:lineRule="auto"/>
        <w:jc w:val="both"/>
      </w:pPr>
      <w:r w:rsidRPr="00DA432B">
        <w:rPr>
          <w:b/>
          <w:u w:val="single"/>
        </w:rPr>
        <w:t>splněno</w:t>
      </w:r>
      <w:r w:rsidRPr="00DA432B">
        <w:t xml:space="preserve"> - deklarovaných cílů projektu bylo dosaženo, </w:t>
      </w:r>
      <w:r w:rsidR="00AC7E75" w:rsidRPr="00DA432B">
        <w:t xml:space="preserve">aplikované </w:t>
      </w:r>
      <w:r w:rsidRPr="00DA432B">
        <w:t>výsledky z projektu</w:t>
      </w:r>
      <w:r w:rsidR="00AC7E75" w:rsidRPr="00DA432B">
        <w:t xml:space="preserve"> a </w:t>
      </w:r>
      <w:r w:rsidRPr="00DA432B">
        <w:t>publikace, případně další výsledky</w:t>
      </w:r>
      <w:r w:rsidR="00AC7E75" w:rsidRPr="00DA432B">
        <w:t>,</w:t>
      </w:r>
      <w:r w:rsidRPr="00DA432B">
        <w:t xml:space="preserve"> jsou z hlediska počtu</w:t>
      </w:r>
      <w:r w:rsidR="00AC248C" w:rsidRPr="00DA432B">
        <w:t xml:space="preserve"> a </w:t>
      </w:r>
      <w:r w:rsidRPr="00DA432B">
        <w:t xml:space="preserve">potenciálního ohlasu či možností využití při řešení projektem vyjmenovaných problémů vynikající nebo velmi dobré a výrazně zasáhnou do vývoje oboru </w:t>
      </w:r>
      <w:r w:rsidR="00AC248C" w:rsidRPr="00DA432B">
        <w:t>a to </w:t>
      </w:r>
      <w:r w:rsidRPr="00DA432B">
        <w:t xml:space="preserve">zejména v mezinárodním kontextu. </w:t>
      </w:r>
    </w:p>
    <w:p w14:paraId="2C1CFB08" w14:textId="77777777" w:rsidR="00191BAF" w:rsidRPr="00DA432B" w:rsidRDefault="00191BAF" w:rsidP="00DB6E7D">
      <w:pPr>
        <w:numPr>
          <w:ilvl w:val="0"/>
          <w:numId w:val="33"/>
        </w:numPr>
        <w:spacing w:after="120" w:line="276" w:lineRule="auto"/>
        <w:jc w:val="both"/>
      </w:pPr>
      <w:r w:rsidRPr="00DA432B">
        <w:rPr>
          <w:b/>
          <w:u w:val="single"/>
        </w:rPr>
        <w:t>nesplněno -</w:t>
      </w:r>
      <w:r w:rsidRPr="00DA432B">
        <w:t xml:space="preserve"> publikované či jinak uplatněné výsledky z projektu (publikace, případně další výsledky) nejsou z hlediska počtu a potenciálního ohlasu či možností využití při</w:t>
      </w:r>
      <w:r w:rsidR="00AC248C" w:rsidRPr="00DA432B">
        <w:t> </w:t>
      </w:r>
      <w:r w:rsidRPr="00DA432B">
        <w:t>řešení projektem vyjmenovaných problémů vynikající nebo velmi dobré</w:t>
      </w:r>
      <w:r w:rsidR="00AC248C" w:rsidRPr="00DA432B">
        <w:t xml:space="preserve"> a </w:t>
      </w:r>
      <w:r w:rsidRPr="00DA432B">
        <w:t>pravděpodobně výrazně nezasáhnou do vývoje oboru.</w:t>
      </w:r>
    </w:p>
    <w:p w14:paraId="6ED72F3B" w14:textId="77777777" w:rsidR="00250530" w:rsidRPr="00DA432B" w:rsidRDefault="00250530" w:rsidP="005E6FEB">
      <w:pPr>
        <w:spacing w:before="60" w:line="276" w:lineRule="auto"/>
        <w:jc w:val="both"/>
        <w:rPr>
          <w:highlight w:val="yellow"/>
        </w:rPr>
      </w:pPr>
    </w:p>
    <w:p w14:paraId="503BD5A8" w14:textId="77777777" w:rsidR="00250530" w:rsidRPr="00DA432B" w:rsidRDefault="00250530" w:rsidP="007C33E0">
      <w:pPr>
        <w:pStyle w:val="Nadpis1"/>
        <w:ind w:left="360" w:hanging="360"/>
        <w:jc w:val="both"/>
        <w:rPr>
          <w:rFonts w:ascii="Times New Roman" w:hAnsi="Times New Roman" w:cs="Times New Roman"/>
        </w:rPr>
      </w:pPr>
      <w:bookmarkStart w:id="88" w:name="_Toc404887011"/>
      <w:bookmarkStart w:id="89" w:name="_Toc405894519"/>
      <w:bookmarkStart w:id="90" w:name="_Toc418585170"/>
      <w:r w:rsidRPr="00DA432B">
        <w:rPr>
          <w:rFonts w:ascii="Times New Roman" w:hAnsi="Times New Roman" w:cs="Times New Roman"/>
        </w:rPr>
        <w:t>2</w:t>
      </w:r>
      <w:r w:rsidR="007C33E0" w:rsidRPr="00DA432B">
        <w:rPr>
          <w:rFonts w:ascii="Times New Roman" w:hAnsi="Times New Roman" w:cs="Times New Roman"/>
        </w:rPr>
        <w:t>5</w:t>
      </w:r>
      <w:r w:rsidRPr="00DA432B">
        <w:rPr>
          <w:rFonts w:ascii="Times New Roman" w:hAnsi="Times New Roman" w:cs="Times New Roman"/>
        </w:rPr>
        <w:t>. Předpokládané parametry Programu</w:t>
      </w:r>
      <w:bookmarkEnd w:id="88"/>
      <w:bookmarkEnd w:id="89"/>
      <w:bookmarkEnd w:id="90"/>
    </w:p>
    <w:p w14:paraId="2280652D" w14:textId="7CB7C89C" w:rsidR="00250530" w:rsidRPr="00DA432B" w:rsidRDefault="00250530" w:rsidP="00FD1FAD">
      <w:pPr>
        <w:spacing w:after="120" w:line="276" w:lineRule="auto"/>
        <w:jc w:val="both"/>
      </w:pPr>
      <w:r w:rsidRPr="00DA432B">
        <w:t xml:space="preserve">Ve vazbě na zaměření Programu a ze zkušeností z předchozího programu podporující aplikovaný výzkum z veřejných prostředků se očekává průměrná výše podpory na jeden projekt </w:t>
      </w:r>
      <w:r w:rsidR="002E770B" w:rsidRPr="00DA432B">
        <w:t>8,</w:t>
      </w:r>
      <w:r w:rsidR="00FB7E33">
        <w:t>1</w:t>
      </w:r>
      <w:r w:rsidRPr="00DA432B">
        <w:t xml:space="preserve"> mil. Kč</w:t>
      </w:r>
      <w:r w:rsidR="002E770B" w:rsidRPr="00DA432B">
        <w:t xml:space="preserve"> (</w:t>
      </w:r>
      <w:r w:rsidR="00FB7E33">
        <w:t xml:space="preserve">8 125 </w:t>
      </w:r>
      <w:r w:rsidR="002E770B" w:rsidRPr="00DA432B">
        <w:t>tis. Kč), tj. průměrné výdaje na projekt celkem 9,</w:t>
      </w:r>
      <w:r w:rsidR="00D733C2">
        <w:t>0</w:t>
      </w:r>
      <w:r w:rsidR="002E770B" w:rsidRPr="00DA432B">
        <w:t xml:space="preserve"> mil. Kč </w:t>
      </w:r>
      <w:r w:rsidR="00104C64">
        <w:br/>
      </w:r>
      <w:r w:rsidR="002E770B" w:rsidRPr="00DA432B">
        <w:t>(</w:t>
      </w:r>
      <w:r w:rsidR="00D733C2">
        <w:t>9 023</w:t>
      </w:r>
      <w:r w:rsidR="002E770B" w:rsidRPr="00DA432B">
        <w:t xml:space="preserve"> tis. Kč)</w:t>
      </w:r>
      <w:r w:rsidR="00FD1FAD" w:rsidRPr="00DA432B">
        <w:t xml:space="preserve">. Vzhledem k celkovému rozpočtu Programu se předpokládá </w:t>
      </w:r>
      <w:r w:rsidR="00D01EA2" w:rsidRPr="00DA432B">
        <w:t xml:space="preserve">cca </w:t>
      </w:r>
      <w:r w:rsidR="00792CBD" w:rsidRPr="00DA432B">
        <w:t>800</w:t>
      </w:r>
      <w:r w:rsidR="002E770B" w:rsidRPr="00DA432B">
        <w:t xml:space="preserve"> </w:t>
      </w:r>
      <w:r w:rsidR="00FD1FAD" w:rsidRPr="00DA432B">
        <w:t xml:space="preserve">podpořených projektů, přičemž spolupráce v Programu se očekává </w:t>
      </w:r>
      <w:r w:rsidR="00D01EA2" w:rsidRPr="00DA432B">
        <w:t>u cca 50 </w:t>
      </w:r>
      <w:r w:rsidR="00FD1FAD" w:rsidRPr="00DA432B">
        <w:t xml:space="preserve">projektů </w:t>
      </w:r>
      <w:r w:rsidR="00104C64">
        <w:br/>
      </w:r>
      <w:r w:rsidR="00FD1FAD" w:rsidRPr="00DA432B">
        <w:t xml:space="preserve">(tj. </w:t>
      </w:r>
      <w:r w:rsidR="00D01EA2" w:rsidRPr="00DA432B">
        <w:t>cca 5</w:t>
      </w:r>
      <w:r w:rsidR="00FD1FAD" w:rsidRPr="00DA432B">
        <w:t xml:space="preserve"> %) řešen</w:t>
      </w:r>
      <w:r w:rsidR="00D01EA2" w:rsidRPr="00DA432B">
        <w:t>ých</w:t>
      </w:r>
      <w:r w:rsidR="00FD1FAD" w:rsidRPr="00DA432B">
        <w:t xml:space="preserve"> ve spolupráci </w:t>
      </w:r>
      <w:r w:rsidR="00D01EA2" w:rsidRPr="00DA432B">
        <w:t xml:space="preserve">výzkumných organizací s podniky. </w:t>
      </w:r>
      <w:r w:rsidRPr="00DA432B">
        <w:t xml:space="preserve">Program předpokládá zapojení </w:t>
      </w:r>
      <w:r w:rsidR="00D01EA2" w:rsidRPr="00DA432B">
        <w:t xml:space="preserve">cca </w:t>
      </w:r>
      <w:r w:rsidR="00792CBD" w:rsidRPr="00DA432B">
        <w:t>900</w:t>
      </w:r>
      <w:r w:rsidRPr="00DA432B">
        <w:t xml:space="preserve"> subjektů</w:t>
      </w:r>
      <w:r w:rsidR="00FD1FAD" w:rsidRPr="00DA432B">
        <w:t xml:space="preserve"> do řešení podpořených projektů</w:t>
      </w:r>
      <w:r w:rsidR="00CD3F4E" w:rsidRPr="00DA432B">
        <w:t>.</w:t>
      </w:r>
    </w:p>
    <w:p w14:paraId="32B62C57" w14:textId="77777777" w:rsidR="00250530" w:rsidRPr="00DA432B" w:rsidRDefault="00250530" w:rsidP="005E6FEB">
      <w:pPr>
        <w:spacing w:before="60" w:line="276" w:lineRule="auto"/>
        <w:jc w:val="both"/>
        <w:rPr>
          <w:highlight w:val="yellow"/>
        </w:rPr>
      </w:pPr>
    </w:p>
    <w:p w14:paraId="11CFD9E7" w14:textId="77777777" w:rsidR="00250530" w:rsidRPr="00DA432B" w:rsidRDefault="00250530" w:rsidP="007C33E0">
      <w:pPr>
        <w:pStyle w:val="Nadpis1"/>
        <w:ind w:left="360" w:hanging="360"/>
        <w:jc w:val="both"/>
        <w:rPr>
          <w:rFonts w:ascii="Times New Roman" w:hAnsi="Times New Roman" w:cs="Times New Roman"/>
        </w:rPr>
      </w:pPr>
      <w:bookmarkStart w:id="91" w:name="_Toc404887012"/>
      <w:bookmarkStart w:id="92" w:name="_Toc405894520"/>
      <w:bookmarkStart w:id="93" w:name="_Toc418585171"/>
      <w:r w:rsidRPr="00DA432B">
        <w:rPr>
          <w:rFonts w:ascii="Times New Roman" w:hAnsi="Times New Roman" w:cs="Times New Roman"/>
        </w:rPr>
        <w:t>2</w:t>
      </w:r>
      <w:r w:rsidR="007C33E0" w:rsidRPr="00DA432B">
        <w:rPr>
          <w:rFonts w:ascii="Times New Roman" w:hAnsi="Times New Roman" w:cs="Times New Roman"/>
        </w:rPr>
        <w:t>6</w:t>
      </w:r>
      <w:r w:rsidRPr="00DA432B">
        <w:rPr>
          <w:rFonts w:ascii="Times New Roman" w:hAnsi="Times New Roman" w:cs="Times New Roman"/>
        </w:rPr>
        <w:t>. Kritéria splnění cílů Programu</w:t>
      </w:r>
      <w:bookmarkEnd w:id="91"/>
      <w:bookmarkEnd w:id="92"/>
      <w:bookmarkEnd w:id="93"/>
    </w:p>
    <w:p w14:paraId="6DE733A7" w14:textId="77777777" w:rsidR="00250530" w:rsidRPr="00DA432B" w:rsidRDefault="00250530" w:rsidP="00FD1FAD">
      <w:pPr>
        <w:spacing w:after="120" w:line="276" w:lineRule="auto"/>
        <w:jc w:val="both"/>
      </w:pPr>
      <w:r w:rsidRPr="00DA432B">
        <w:t>Dosažení hlavního i dílčích cílů Programu bude vyhodnocováno v souladu s Metodikou hodnocení výsledků výzkumných organizací a hodnocení výsledků ukončených programů platnou v době hodnocení Programu, případně dalších podmínek stanovených poskytovatelem a dále podle definic pro předávání výsledků do IS VaVaI platné v době hodnocení Programu. Dosažení cílů Programu bude vyhodnocováno na základě souboru indikátorů urče</w:t>
      </w:r>
      <w:r w:rsidR="00AC248C" w:rsidRPr="00DA432B">
        <w:t>ných pro </w:t>
      </w:r>
      <w:r w:rsidRPr="00DA432B">
        <w:t>monitorování průběhu plnění Programu a hodn</w:t>
      </w:r>
      <w:r w:rsidR="00AC248C" w:rsidRPr="00DA432B">
        <w:t>ocení jeho celkové výkonnosti a </w:t>
      </w:r>
      <w:r w:rsidRPr="00DA432B">
        <w:t xml:space="preserve">úspěšnosti. </w:t>
      </w:r>
    </w:p>
    <w:p w14:paraId="59B58B79" w14:textId="77777777" w:rsidR="00250530" w:rsidRPr="00DA432B" w:rsidRDefault="00250530" w:rsidP="00FD1FAD">
      <w:pPr>
        <w:spacing w:after="120" w:line="276" w:lineRule="auto"/>
        <w:jc w:val="both"/>
      </w:pPr>
      <w:r w:rsidRPr="00DA432B">
        <w:t>Indikátory jsou řazeny do tří kategorií dle své povahy, a to indikátory realizace Programu, indikátory výsledků Programu a indikátory splnění cílů Programu.</w:t>
      </w:r>
    </w:p>
    <w:p w14:paraId="24B479E6" w14:textId="14887DFC" w:rsidR="00250530" w:rsidRPr="00DA432B" w:rsidRDefault="00250530" w:rsidP="00250530">
      <w:pPr>
        <w:spacing w:after="60" w:line="288" w:lineRule="auto"/>
        <w:ind w:left="180"/>
        <w:rPr>
          <w:b/>
        </w:rPr>
      </w:pPr>
      <w:r w:rsidRPr="00DA432B">
        <w:rPr>
          <w:b/>
        </w:rPr>
        <w:t>Tab. č. 3: Indikátory Programu</w:t>
      </w:r>
      <w:r w:rsidR="008F665B">
        <w:rPr>
          <w:rStyle w:val="Znakapoznpodarou"/>
          <w:b/>
        </w:rPr>
        <w:footnoteReference w:id="7"/>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0"/>
        <w:gridCol w:w="1692"/>
      </w:tblGrid>
      <w:tr w:rsidR="00250530" w:rsidRPr="00DA432B" w14:paraId="2C333F27" w14:textId="77777777">
        <w:trPr>
          <w:tblHeader/>
        </w:trPr>
        <w:tc>
          <w:tcPr>
            <w:tcW w:w="7380" w:type="dxa"/>
            <w:shd w:val="clear" w:color="auto" w:fill="E6E6E6"/>
          </w:tcPr>
          <w:p w14:paraId="3AB53755" w14:textId="77777777" w:rsidR="00250530" w:rsidRPr="00DA432B" w:rsidRDefault="00250530" w:rsidP="00882D36">
            <w:pPr>
              <w:spacing w:after="120" w:line="276" w:lineRule="auto"/>
              <w:jc w:val="both"/>
            </w:pPr>
            <w:r w:rsidRPr="00DA432B">
              <w:t>Indikátor</w:t>
            </w:r>
          </w:p>
        </w:tc>
        <w:tc>
          <w:tcPr>
            <w:tcW w:w="1692" w:type="dxa"/>
            <w:shd w:val="clear" w:color="auto" w:fill="E6E6E6"/>
          </w:tcPr>
          <w:p w14:paraId="55189C5B" w14:textId="77777777" w:rsidR="00250530" w:rsidRPr="00DA432B" w:rsidRDefault="00250530" w:rsidP="00882D36">
            <w:pPr>
              <w:spacing w:after="120" w:line="276" w:lineRule="auto"/>
              <w:jc w:val="both"/>
            </w:pPr>
            <w:r w:rsidRPr="00DA432B">
              <w:t>Počet</w:t>
            </w:r>
          </w:p>
        </w:tc>
      </w:tr>
      <w:tr w:rsidR="00250530" w:rsidRPr="00DA432B" w14:paraId="407C50FD" w14:textId="77777777">
        <w:tc>
          <w:tcPr>
            <w:tcW w:w="9072" w:type="dxa"/>
            <w:gridSpan w:val="2"/>
            <w:shd w:val="clear" w:color="auto" w:fill="auto"/>
          </w:tcPr>
          <w:p w14:paraId="450A8AD1" w14:textId="77777777" w:rsidR="00250530" w:rsidRPr="00DA432B" w:rsidRDefault="00250530" w:rsidP="00882D36">
            <w:pPr>
              <w:spacing w:line="276" w:lineRule="auto"/>
              <w:jc w:val="center"/>
              <w:rPr>
                <w:b/>
              </w:rPr>
            </w:pPr>
            <w:r w:rsidRPr="00DA432B">
              <w:rPr>
                <w:b/>
              </w:rPr>
              <w:t>Indikátory realizace Programu</w:t>
            </w:r>
          </w:p>
        </w:tc>
      </w:tr>
      <w:tr w:rsidR="00250530" w:rsidRPr="00DA432B" w14:paraId="0BB95927" w14:textId="77777777">
        <w:trPr>
          <w:trHeight w:val="292"/>
        </w:trPr>
        <w:tc>
          <w:tcPr>
            <w:tcW w:w="7380" w:type="dxa"/>
            <w:shd w:val="clear" w:color="auto" w:fill="auto"/>
          </w:tcPr>
          <w:p w14:paraId="7C3BC450" w14:textId="77777777" w:rsidR="00250530" w:rsidRPr="00DA432B" w:rsidRDefault="00250530" w:rsidP="00882D36">
            <w:pPr>
              <w:spacing w:line="276" w:lineRule="auto"/>
              <w:jc w:val="both"/>
            </w:pPr>
            <w:r w:rsidRPr="00DA432B">
              <w:t>Minimální počet celkem vybraných (podpořených) projektů</w:t>
            </w:r>
            <w:r w:rsidR="00792CBD" w:rsidRPr="00DA432B">
              <w:rPr>
                <w:rStyle w:val="Znakapoznpodarou"/>
              </w:rPr>
              <w:footnoteReference w:id="8"/>
            </w:r>
          </w:p>
        </w:tc>
        <w:tc>
          <w:tcPr>
            <w:tcW w:w="1692" w:type="dxa"/>
            <w:shd w:val="clear" w:color="auto" w:fill="auto"/>
          </w:tcPr>
          <w:p w14:paraId="1BE71911" w14:textId="77777777" w:rsidR="00250530" w:rsidRPr="00DA432B" w:rsidRDefault="00792CBD" w:rsidP="00882D36">
            <w:pPr>
              <w:spacing w:line="276" w:lineRule="auto"/>
              <w:jc w:val="right"/>
            </w:pPr>
            <w:r w:rsidRPr="00DA432B">
              <w:t>8</w:t>
            </w:r>
            <w:r w:rsidR="00FE390B" w:rsidRPr="00DA432B">
              <w:t>00</w:t>
            </w:r>
          </w:p>
        </w:tc>
      </w:tr>
      <w:tr w:rsidR="00250530" w:rsidRPr="00DA432B" w14:paraId="3A762707" w14:textId="77777777">
        <w:tc>
          <w:tcPr>
            <w:tcW w:w="7380" w:type="dxa"/>
            <w:shd w:val="clear" w:color="auto" w:fill="auto"/>
          </w:tcPr>
          <w:p w14:paraId="609DD494" w14:textId="77777777" w:rsidR="00250530" w:rsidRPr="00DA432B" w:rsidRDefault="00250530" w:rsidP="00882D36">
            <w:pPr>
              <w:spacing w:line="276" w:lineRule="auto"/>
              <w:jc w:val="both"/>
            </w:pPr>
            <w:r w:rsidRPr="00DA432B">
              <w:t>Minimální počet úspěšně ukončených projektů celkem</w:t>
            </w:r>
          </w:p>
        </w:tc>
        <w:tc>
          <w:tcPr>
            <w:tcW w:w="1692" w:type="dxa"/>
            <w:shd w:val="clear" w:color="auto" w:fill="auto"/>
          </w:tcPr>
          <w:p w14:paraId="21F12070" w14:textId="77777777" w:rsidR="00250530" w:rsidRPr="00DA432B" w:rsidRDefault="00792CBD" w:rsidP="00882D36">
            <w:pPr>
              <w:spacing w:line="276" w:lineRule="auto"/>
              <w:jc w:val="right"/>
            </w:pPr>
            <w:r w:rsidRPr="00DA432B">
              <w:t>600</w:t>
            </w:r>
          </w:p>
        </w:tc>
      </w:tr>
      <w:tr w:rsidR="00250530" w:rsidRPr="00DA432B" w14:paraId="3A93A5FF" w14:textId="77777777">
        <w:tc>
          <w:tcPr>
            <w:tcW w:w="9072" w:type="dxa"/>
            <w:gridSpan w:val="2"/>
            <w:shd w:val="clear" w:color="auto" w:fill="auto"/>
          </w:tcPr>
          <w:p w14:paraId="61C4162D" w14:textId="77777777" w:rsidR="00250530" w:rsidRPr="00DA432B" w:rsidRDefault="00250530" w:rsidP="00882D36">
            <w:pPr>
              <w:spacing w:line="276" w:lineRule="auto"/>
              <w:jc w:val="center"/>
              <w:rPr>
                <w:b/>
              </w:rPr>
            </w:pPr>
            <w:r w:rsidRPr="00DA432B">
              <w:rPr>
                <w:b/>
              </w:rPr>
              <w:t xml:space="preserve">Úspěšně bude dokončeno minimálně </w:t>
            </w:r>
            <w:r w:rsidR="00792CBD" w:rsidRPr="00DA432B">
              <w:rPr>
                <w:b/>
              </w:rPr>
              <w:t>75</w:t>
            </w:r>
            <w:r w:rsidR="008E5142" w:rsidRPr="00DA432B">
              <w:rPr>
                <w:b/>
              </w:rPr>
              <w:t xml:space="preserve"> </w:t>
            </w:r>
            <w:r w:rsidRPr="00DA432B">
              <w:rPr>
                <w:b/>
              </w:rPr>
              <w:t>% projektů</w:t>
            </w:r>
          </w:p>
        </w:tc>
      </w:tr>
      <w:tr w:rsidR="00250530" w:rsidRPr="00DA432B" w14:paraId="2B702F7E" w14:textId="77777777">
        <w:trPr>
          <w:trHeight w:val="234"/>
        </w:trPr>
        <w:tc>
          <w:tcPr>
            <w:tcW w:w="9072" w:type="dxa"/>
            <w:gridSpan w:val="2"/>
            <w:shd w:val="clear" w:color="auto" w:fill="auto"/>
          </w:tcPr>
          <w:p w14:paraId="4D5405D2" w14:textId="77777777" w:rsidR="00250530" w:rsidRPr="00DA432B" w:rsidRDefault="00250530" w:rsidP="00882D36">
            <w:pPr>
              <w:spacing w:line="276" w:lineRule="auto"/>
              <w:jc w:val="both"/>
            </w:pPr>
          </w:p>
        </w:tc>
      </w:tr>
      <w:tr w:rsidR="00250530" w:rsidRPr="00DA432B" w14:paraId="28D0BEBF" w14:textId="77777777">
        <w:tc>
          <w:tcPr>
            <w:tcW w:w="9072" w:type="dxa"/>
            <w:gridSpan w:val="2"/>
            <w:shd w:val="clear" w:color="auto" w:fill="auto"/>
          </w:tcPr>
          <w:p w14:paraId="09DAC553" w14:textId="77777777" w:rsidR="00250530" w:rsidRPr="00DA432B" w:rsidRDefault="00250530" w:rsidP="00882D36">
            <w:pPr>
              <w:spacing w:line="276" w:lineRule="auto"/>
              <w:jc w:val="center"/>
              <w:rPr>
                <w:b/>
              </w:rPr>
            </w:pPr>
            <w:r w:rsidRPr="00DA432B">
              <w:rPr>
                <w:b/>
              </w:rPr>
              <w:t>Indikátory výsledků Programu</w:t>
            </w:r>
          </w:p>
        </w:tc>
      </w:tr>
      <w:tr w:rsidR="002901DB" w:rsidRPr="00DA432B" w14:paraId="594FD61E" w14:textId="77777777">
        <w:tc>
          <w:tcPr>
            <w:tcW w:w="7380" w:type="dxa"/>
            <w:shd w:val="clear" w:color="auto" w:fill="auto"/>
          </w:tcPr>
          <w:p w14:paraId="6B3264B3" w14:textId="319805F4" w:rsidR="002901DB" w:rsidRPr="00DA432B" w:rsidRDefault="002901DB" w:rsidP="00882D36">
            <w:pPr>
              <w:spacing w:line="276" w:lineRule="auto"/>
              <w:jc w:val="both"/>
            </w:pPr>
            <w:r w:rsidRPr="00DA432B">
              <w:t xml:space="preserve">Minimální počet hlavních výsledků </w:t>
            </w:r>
            <w:r w:rsidR="00BF5822">
              <w:t>P</w:t>
            </w:r>
            <w:r w:rsidR="00BF5822" w:rsidRPr="00DA432B">
              <w:t>rogramu</w:t>
            </w:r>
          </w:p>
        </w:tc>
        <w:tc>
          <w:tcPr>
            <w:tcW w:w="1692" w:type="dxa"/>
            <w:shd w:val="clear" w:color="auto" w:fill="auto"/>
          </w:tcPr>
          <w:p w14:paraId="074E1387" w14:textId="77777777" w:rsidR="002901DB" w:rsidRPr="00DA432B" w:rsidRDefault="002901DB" w:rsidP="00882D36">
            <w:pPr>
              <w:spacing w:line="276" w:lineRule="auto"/>
              <w:jc w:val="right"/>
            </w:pPr>
            <w:r w:rsidRPr="00DA432B">
              <w:t>600</w:t>
            </w:r>
          </w:p>
        </w:tc>
      </w:tr>
      <w:tr w:rsidR="002901DB" w:rsidRPr="00DA432B" w14:paraId="468DD0D2" w14:textId="77777777">
        <w:tc>
          <w:tcPr>
            <w:tcW w:w="7380" w:type="dxa"/>
            <w:shd w:val="clear" w:color="auto" w:fill="auto"/>
          </w:tcPr>
          <w:p w14:paraId="66D61FF4" w14:textId="30293018" w:rsidR="002901DB" w:rsidRPr="00DA432B" w:rsidRDefault="002901DB" w:rsidP="00882D36">
            <w:pPr>
              <w:spacing w:line="276" w:lineRule="auto"/>
              <w:jc w:val="both"/>
            </w:pPr>
            <w:r w:rsidRPr="00DA432B">
              <w:t xml:space="preserve">Minimální počet vedlejších výsledků </w:t>
            </w:r>
            <w:r w:rsidR="00BF5822">
              <w:t>P</w:t>
            </w:r>
            <w:r w:rsidRPr="00DA432B">
              <w:t>rogramu</w:t>
            </w:r>
          </w:p>
        </w:tc>
        <w:tc>
          <w:tcPr>
            <w:tcW w:w="1692" w:type="dxa"/>
            <w:shd w:val="clear" w:color="auto" w:fill="auto"/>
          </w:tcPr>
          <w:p w14:paraId="3F94B26D" w14:textId="77777777" w:rsidR="002901DB" w:rsidRPr="00DA432B" w:rsidRDefault="006E5DEB" w:rsidP="00882D36">
            <w:pPr>
              <w:spacing w:line="276" w:lineRule="auto"/>
              <w:jc w:val="right"/>
            </w:pPr>
            <w:r w:rsidRPr="00DA432B">
              <w:t>6</w:t>
            </w:r>
            <w:r w:rsidR="002901DB" w:rsidRPr="00DA432B">
              <w:t>00</w:t>
            </w:r>
          </w:p>
        </w:tc>
      </w:tr>
      <w:tr w:rsidR="002901DB" w:rsidRPr="00DA432B" w14:paraId="04D9F379" w14:textId="77777777">
        <w:tc>
          <w:tcPr>
            <w:tcW w:w="7380" w:type="dxa"/>
            <w:shd w:val="clear" w:color="auto" w:fill="auto"/>
          </w:tcPr>
          <w:p w14:paraId="4990DE3B" w14:textId="3726C304" w:rsidR="002901DB" w:rsidRPr="00DA432B" w:rsidRDefault="002901DB" w:rsidP="00882D36">
            <w:pPr>
              <w:spacing w:line="276" w:lineRule="auto"/>
              <w:jc w:val="both"/>
            </w:pPr>
            <w:r w:rsidRPr="00DA432B">
              <w:t xml:space="preserve">Minimální počet dalších výsledků </w:t>
            </w:r>
            <w:r w:rsidR="00BF5822">
              <w:t>P</w:t>
            </w:r>
            <w:r w:rsidR="00BF5822" w:rsidRPr="00DA432B">
              <w:t>rogramu</w:t>
            </w:r>
          </w:p>
        </w:tc>
        <w:tc>
          <w:tcPr>
            <w:tcW w:w="1692" w:type="dxa"/>
            <w:shd w:val="clear" w:color="auto" w:fill="auto"/>
          </w:tcPr>
          <w:p w14:paraId="55AA6462" w14:textId="77777777" w:rsidR="002901DB" w:rsidRPr="00DA432B" w:rsidRDefault="006E5DEB" w:rsidP="00882D36">
            <w:pPr>
              <w:spacing w:line="276" w:lineRule="auto"/>
              <w:jc w:val="right"/>
            </w:pPr>
            <w:r w:rsidRPr="00DA432B">
              <w:t>1 200</w:t>
            </w:r>
          </w:p>
        </w:tc>
      </w:tr>
      <w:tr w:rsidR="00250530" w:rsidRPr="00DA432B" w14:paraId="3D35F26C" w14:textId="77777777">
        <w:tc>
          <w:tcPr>
            <w:tcW w:w="7380" w:type="dxa"/>
            <w:shd w:val="clear" w:color="auto" w:fill="auto"/>
          </w:tcPr>
          <w:p w14:paraId="385E23B4" w14:textId="77777777" w:rsidR="00250530" w:rsidRPr="00DA432B" w:rsidRDefault="00250530" w:rsidP="00882D36">
            <w:pPr>
              <w:spacing w:line="276" w:lineRule="auto"/>
            </w:pPr>
          </w:p>
        </w:tc>
        <w:tc>
          <w:tcPr>
            <w:tcW w:w="1692" w:type="dxa"/>
            <w:shd w:val="clear" w:color="auto" w:fill="auto"/>
          </w:tcPr>
          <w:p w14:paraId="0E8C7374" w14:textId="77777777" w:rsidR="00250530" w:rsidRPr="00DA432B" w:rsidRDefault="00250530" w:rsidP="00882D36">
            <w:pPr>
              <w:spacing w:line="276" w:lineRule="auto"/>
              <w:jc w:val="right"/>
            </w:pPr>
          </w:p>
        </w:tc>
      </w:tr>
      <w:tr w:rsidR="00250530" w:rsidRPr="00DA432B" w14:paraId="1A8F25B2" w14:textId="77777777">
        <w:tc>
          <w:tcPr>
            <w:tcW w:w="7380" w:type="dxa"/>
            <w:shd w:val="clear" w:color="auto" w:fill="auto"/>
          </w:tcPr>
          <w:p w14:paraId="59A1E56F" w14:textId="77777777" w:rsidR="00250530" w:rsidRPr="00DA432B" w:rsidRDefault="00250530" w:rsidP="00882D36">
            <w:pPr>
              <w:spacing w:line="276" w:lineRule="auto"/>
              <w:jc w:val="center"/>
              <w:rPr>
                <w:b/>
              </w:rPr>
            </w:pPr>
            <w:r w:rsidRPr="00DA432B">
              <w:rPr>
                <w:b/>
              </w:rPr>
              <w:t>Minimální počet výsledků Programu</w:t>
            </w:r>
          </w:p>
        </w:tc>
        <w:tc>
          <w:tcPr>
            <w:tcW w:w="1692" w:type="dxa"/>
            <w:shd w:val="clear" w:color="auto" w:fill="auto"/>
          </w:tcPr>
          <w:p w14:paraId="32EBC91D" w14:textId="77777777" w:rsidR="00250530" w:rsidRPr="00DA432B" w:rsidRDefault="006E5DEB" w:rsidP="00882D36">
            <w:pPr>
              <w:spacing w:line="276" w:lineRule="auto"/>
              <w:jc w:val="right"/>
              <w:rPr>
                <w:b/>
              </w:rPr>
            </w:pPr>
            <w:r w:rsidRPr="00DA432B">
              <w:rPr>
                <w:b/>
              </w:rPr>
              <w:t>2 400</w:t>
            </w:r>
          </w:p>
        </w:tc>
      </w:tr>
      <w:tr w:rsidR="00250530" w:rsidRPr="00DA432B" w14:paraId="73DF490D" w14:textId="77777777">
        <w:trPr>
          <w:trHeight w:val="278"/>
        </w:trPr>
        <w:tc>
          <w:tcPr>
            <w:tcW w:w="9072" w:type="dxa"/>
            <w:gridSpan w:val="2"/>
            <w:shd w:val="clear" w:color="auto" w:fill="auto"/>
          </w:tcPr>
          <w:p w14:paraId="00A5CE12" w14:textId="77777777" w:rsidR="00250530" w:rsidRPr="00DA432B" w:rsidRDefault="00250530" w:rsidP="00882D36">
            <w:pPr>
              <w:spacing w:line="276" w:lineRule="auto"/>
              <w:jc w:val="both"/>
            </w:pPr>
          </w:p>
        </w:tc>
      </w:tr>
      <w:tr w:rsidR="00250530" w:rsidRPr="00DA432B" w14:paraId="6E41A487" w14:textId="77777777">
        <w:tc>
          <w:tcPr>
            <w:tcW w:w="9072" w:type="dxa"/>
            <w:gridSpan w:val="2"/>
            <w:shd w:val="clear" w:color="auto" w:fill="auto"/>
          </w:tcPr>
          <w:p w14:paraId="5802609F" w14:textId="77777777" w:rsidR="00250530" w:rsidRPr="00DA432B" w:rsidRDefault="00250530" w:rsidP="00882D36">
            <w:pPr>
              <w:spacing w:line="276" w:lineRule="auto"/>
              <w:jc w:val="center"/>
              <w:rPr>
                <w:b/>
              </w:rPr>
            </w:pPr>
            <w:r w:rsidRPr="00DA432B">
              <w:rPr>
                <w:b/>
              </w:rPr>
              <w:t>Indikátory splnění cílů Programu</w:t>
            </w:r>
          </w:p>
        </w:tc>
      </w:tr>
      <w:tr w:rsidR="00250530" w:rsidRPr="00882D36" w14:paraId="44E7FF55" w14:textId="77777777">
        <w:tc>
          <w:tcPr>
            <w:tcW w:w="9072" w:type="dxa"/>
            <w:gridSpan w:val="2"/>
            <w:shd w:val="clear" w:color="auto" w:fill="auto"/>
          </w:tcPr>
          <w:p w14:paraId="6751B70B" w14:textId="77777777" w:rsidR="00250530" w:rsidRPr="00882D36" w:rsidRDefault="00250530" w:rsidP="00882D36">
            <w:pPr>
              <w:spacing w:line="276" w:lineRule="auto"/>
              <w:jc w:val="center"/>
              <w:rPr>
                <w:b/>
              </w:rPr>
            </w:pPr>
            <w:r w:rsidRPr="00DA432B">
              <w:rPr>
                <w:b/>
              </w:rPr>
              <w:t>Minimálně bude dosaženo 65</w:t>
            </w:r>
            <w:r w:rsidR="008E5142" w:rsidRPr="00DA432B">
              <w:rPr>
                <w:b/>
              </w:rPr>
              <w:t xml:space="preserve"> </w:t>
            </w:r>
            <w:r w:rsidRPr="00DA432B">
              <w:rPr>
                <w:b/>
              </w:rPr>
              <w:t xml:space="preserve">% </w:t>
            </w:r>
            <w:r w:rsidR="007C33E0" w:rsidRPr="00DA432B">
              <w:rPr>
                <w:b/>
              </w:rPr>
              <w:t>dílčích</w:t>
            </w:r>
            <w:r w:rsidRPr="00DA432B">
              <w:rPr>
                <w:b/>
              </w:rPr>
              <w:t xml:space="preserve"> cílů Programu</w:t>
            </w:r>
          </w:p>
        </w:tc>
      </w:tr>
    </w:tbl>
    <w:p w14:paraId="133B2DA8" w14:textId="77777777" w:rsidR="00F5677B" w:rsidRDefault="00F5677B" w:rsidP="007C33E0">
      <w:pPr>
        <w:spacing w:line="276" w:lineRule="auto"/>
      </w:pPr>
    </w:p>
    <w:sectPr w:rsidR="00F5677B" w:rsidSect="00E1638D">
      <w:headerReference w:type="default" r:id="rId8"/>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7AB85" w14:textId="77777777" w:rsidR="008F665B" w:rsidRDefault="008F665B">
      <w:r>
        <w:separator/>
      </w:r>
    </w:p>
  </w:endnote>
  <w:endnote w:type="continuationSeparator" w:id="0">
    <w:p w14:paraId="6040D951" w14:textId="77777777" w:rsidR="008F665B" w:rsidRDefault="008F665B">
      <w:r>
        <w:continuationSeparator/>
      </w:r>
    </w:p>
  </w:endnote>
  <w:endnote w:type="continuationNotice" w:id="1">
    <w:p w14:paraId="49A0AE59" w14:textId="77777777" w:rsidR="008F665B" w:rsidRDefault="008F66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67C7B" w14:textId="77777777" w:rsidR="008F665B" w:rsidRDefault="008F665B" w:rsidP="00B00BE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DE26A19" w14:textId="77777777" w:rsidR="008F665B" w:rsidRDefault="008F665B" w:rsidP="00E1638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3D88C" w14:textId="19D73CF4" w:rsidR="008F665B" w:rsidRDefault="008F665B" w:rsidP="00B00BE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AD6D35">
      <w:rPr>
        <w:rStyle w:val="slostrnky"/>
        <w:noProof/>
      </w:rPr>
      <w:t>2</w:t>
    </w:r>
    <w:r>
      <w:rPr>
        <w:rStyle w:val="slostrnky"/>
      </w:rPr>
      <w:fldChar w:fldCharType="end"/>
    </w:r>
  </w:p>
  <w:p w14:paraId="34371674" w14:textId="77777777" w:rsidR="008F665B" w:rsidRDefault="008F665B" w:rsidP="00E1638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B9B95" w14:textId="77777777" w:rsidR="008F665B" w:rsidRDefault="008F665B">
      <w:r>
        <w:separator/>
      </w:r>
    </w:p>
  </w:footnote>
  <w:footnote w:type="continuationSeparator" w:id="0">
    <w:p w14:paraId="53B50595" w14:textId="77777777" w:rsidR="008F665B" w:rsidRDefault="008F665B">
      <w:r>
        <w:continuationSeparator/>
      </w:r>
    </w:p>
  </w:footnote>
  <w:footnote w:type="continuationNotice" w:id="1">
    <w:p w14:paraId="79798BDA" w14:textId="77777777" w:rsidR="008F665B" w:rsidRDefault="008F665B"/>
  </w:footnote>
  <w:footnote w:id="2">
    <w:p w14:paraId="54E4D969" w14:textId="5923A39A" w:rsidR="008F665B" w:rsidRDefault="008F665B" w:rsidP="005E42A5">
      <w:pPr>
        <w:pStyle w:val="Textpoznpodarou"/>
        <w:ind w:left="180" w:hanging="180"/>
      </w:pPr>
      <w:r>
        <w:rPr>
          <w:rStyle w:val="Znakapoznpodarou"/>
        </w:rPr>
        <w:footnoteRef/>
      </w:r>
      <w:r>
        <w:t xml:space="preserve"> Rozdíl mezi výdaji Programu a plánovanými výdaji státního rozpočtu bude kryt z nároků z nespotřebovaných výdajů z předchozích let.</w:t>
      </w:r>
    </w:p>
  </w:footnote>
  <w:footnote w:id="3">
    <w:p w14:paraId="0C29A311" w14:textId="5284DE2E" w:rsidR="008F665B" w:rsidRDefault="008F665B">
      <w:pPr>
        <w:pStyle w:val="Textpoznpodarou"/>
      </w:pPr>
      <w:r>
        <w:rPr>
          <w:rStyle w:val="Znakapoznpodarou"/>
        </w:rPr>
        <w:footnoteRef/>
      </w:r>
      <w:r>
        <w:t xml:space="preserve"> V souladu s článkem I, odst. 1.3. bod 15 písm. e) Rámce se</w:t>
      </w:r>
      <w:r w:rsidRPr="000C2EBD">
        <w:t xml:space="preserve"> </w:t>
      </w:r>
      <w:r>
        <w:t>aplikovaným výzkumem rozumí průmyslový výzkum, experimentální vývoj nebo jejich kombinace.</w:t>
      </w:r>
    </w:p>
  </w:footnote>
  <w:footnote w:id="4">
    <w:p w14:paraId="3776BE2D" w14:textId="5473A251" w:rsidR="008F665B" w:rsidRPr="00702D0D" w:rsidRDefault="008F665B" w:rsidP="00702D0D">
      <w:pPr>
        <w:spacing w:line="288" w:lineRule="auto"/>
        <w:jc w:val="both"/>
        <w:rPr>
          <w:sz w:val="20"/>
          <w:szCs w:val="20"/>
        </w:rPr>
      </w:pPr>
      <w:r>
        <w:rPr>
          <w:rStyle w:val="Znakapoznpodarou"/>
        </w:rPr>
        <w:footnoteRef/>
      </w:r>
      <w:r>
        <w:t xml:space="preserve"> </w:t>
      </w:r>
      <w:r w:rsidRPr="00702D0D">
        <w:rPr>
          <w:sz w:val="20"/>
          <w:szCs w:val="20"/>
        </w:rPr>
        <w:t xml:space="preserve">V souladu s článkem 2 odst. 83 nařízení Komise se „organizací pro výzkum a šíření znalostí“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 těmito činnostmi vést oddělené účetnictví. Podniky, </w:t>
      </w:r>
      <w:r>
        <w:rPr>
          <w:sz w:val="20"/>
          <w:szCs w:val="20"/>
        </w:rPr>
        <w:br/>
      </w:r>
      <w:r w:rsidRPr="00702D0D">
        <w:rPr>
          <w:sz w:val="20"/>
          <w:szCs w:val="20"/>
        </w:rPr>
        <w:t>jež mohou uplatňovat rozhodující vliv na takovýto subjekt, například jako podílníci nebo členové, nesmějí mít přednostní přístup k výsledkům, jichž dosáhl.</w:t>
      </w:r>
    </w:p>
    <w:p w14:paraId="13C00359" w14:textId="7CBF34C3" w:rsidR="008F665B" w:rsidRDefault="008F665B">
      <w:pPr>
        <w:pStyle w:val="Textpoznpodarou"/>
      </w:pPr>
    </w:p>
  </w:footnote>
  <w:footnote w:id="5">
    <w:p w14:paraId="34616DE3" w14:textId="762595A3" w:rsidR="008F665B" w:rsidRDefault="008F665B" w:rsidP="009300B8">
      <w:pPr>
        <w:pStyle w:val="Textpoznpodarou"/>
        <w:ind w:left="142" w:hanging="142"/>
      </w:pPr>
      <w:r>
        <w:rPr>
          <w:rStyle w:val="Znakapoznpodarou"/>
        </w:rPr>
        <w:footnoteRef/>
      </w:r>
      <w:r>
        <w:t xml:space="preserve"> Pozn.: Členění na hlavní výsledky (vykázané pouze v Programu) a na vedlejší výsledky (vykázané i v jiných aktivitách či programech) je navrženo kvůli budoucímu hodnocení programu – při nedostatku hlavních (samostatných) výsledků bude projekt hodnocen jako neúspěšný.</w:t>
      </w:r>
    </w:p>
  </w:footnote>
  <w:footnote w:id="6">
    <w:p w14:paraId="18C16579" w14:textId="77777777" w:rsidR="008F665B" w:rsidRDefault="008F665B" w:rsidP="003701A7">
      <w:pPr>
        <w:pStyle w:val="Textpoznpodarou"/>
        <w:tabs>
          <w:tab w:val="left" w:pos="8010"/>
        </w:tabs>
      </w:pPr>
      <w:r>
        <w:rPr>
          <w:rStyle w:val="Znakapoznpodarou"/>
        </w:rPr>
        <w:footnoteRef/>
      </w:r>
      <w:r>
        <w:t xml:space="preserve"> Při hodnocení výsledků bude kladen důraz na aplikovatelnost tohoto typu výsledku v praxi.</w:t>
      </w:r>
      <w:r>
        <w:tab/>
      </w:r>
    </w:p>
  </w:footnote>
  <w:footnote w:id="7">
    <w:p w14:paraId="358EB776" w14:textId="35695CB1" w:rsidR="008F665B" w:rsidRDefault="008F665B" w:rsidP="00C43EFF">
      <w:pPr>
        <w:pStyle w:val="Textkomente"/>
        <w:jc w:val="both"/>
      </w:pPr>
      <w:r>
        <w:rPr>
          <w:rStyle w:val="Znakapoznpodarou"/>
        </w:rPr>
        <w:footnoteRef/>
      </w:r>
      <w:r>
        <w:t xml:space="preserve"> Indikátory Programu vycházejí z původního počtu plánovaných veřejných soutěží (celkem 6). I když při úpravě Programu v roce 2021 již bylo známo, že kon</w:t>
      </w:r>
      <w:r w:rsidR="00C43EFF">
        <w:t>eč</w:t>
      </w:r>
      <w:r>
        <w:t>ný počet soutěží byl nižší (celkem 5), tak z důvod</w:t>
      </w:r>
      <w:r w:rsidR="00C43EFF">
        <w:t>u</w:t>
      </w:r>
      <w:r>
        <w:t xml:space="preserve"> transparentnosti nebyly cílové hodnoty nijak upravovány. </w:t>
      </w:r>
    </w:p>
    <w:p w14:paraId="5355DE73" w14:textId="3F20F2D9" w:rsidR="008F665B" w:rsidRDefault="008F665B">
      <w:pPr>
        <w:pStyle w:val="Textpoznpodarou"/>
      </w:pPr>
    </w:p>
  </w:footnote>
  <w:footnote w:id="8">
    <w:p w14:paraId="4E5E9BC9" w14:textId="77777777" w:rsidR="008F665B" w:rsidRDefault="008F665B" w:rsidP="00792CBD">
      <w:pPr>
        <w:pStyle w:val="Textpoznpodarou"/>
        <w:ind w:left="180" w:hanging="180"/>
      </w:pPr>
      <w:r>
        <w:rPr>
          <w:rStyle w:val="Znakapoznpodarou"/>
        </w:rPr>
        <w:footnoteRef/>
      </w:r>
      <w:r>
        <w:t xml:space="preserve"> Minimální počet vybraných projektů je závislý na finančních prostředcích uvolněných na řešení projektů Programu podle možností státního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B5D24" w14:textId="1953C4F9" w:rsidR="008F665B" w:rsidRDefault="008F665B" w:rsidP="007364F5">
    <w:pPr>
      <w:pStyle w:val="Zhlav"/>
      <w:jc w:val="center"/>
    </w:pPr>
    <w:r>
      <w:rPr>
        <w:i/>
        <w:sz w:val="20"/>
        <w:szCs w:val="20"/>
      </w:rPr>
      <w:t xml:space="preserve"> Program na podporu zdravotnického aplikovaného výzkumu na léta 2015 - 2023</w:t>
    </w:r>
  </w:p>
  <w:p w14:paraId="6380EFDD" w14:textId="77777777" w:rsidR="008F665B" w:rsidRDefault="008F665B" w:rsidP="00931C0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54D7"/>
    <w:multiLevelType w:val="hybridMultilevel"/>
    <w:tmpl w:val="067404C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7F3882"/>
    <w:multiLevelType w:val="hybridMultilevel"/>
    <w:tmpl w:val="35B829C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F551E5"/>
    <w:multiLevelType w:val="hybridMultilevel"/>
    <w:tmpl w:val="BC5474FE"/>
    <w:lvl w:ilvl="0" w:tplc="99DE5C86">
      <w:start w:val="1"/>
      <w:numFmt w:val="bullet"/>
      <w:lvlText w:val=""/>
      <w:lvlJc w:val="left"/>
      <w:pPr>
        <w:tabs>
          <w:tab w:val="num" w:pos="720"/>
        </w:tabs>
        <w:ind w:left="720" w:hanging="360"/>
      </w:pPr>
      <w:rPr>
        <w:rFonts w:ascii="Symbol" w:hAnsi="Symbol" w:hint="default"/>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D51F5D"/>
    <w:multiLevelType w:val="hybridMultilevel"/>
    <w:tmpl w:val="C4C8BE4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6" w15:restartNumberingAfterBreak="0">
    <w:nsid w:val="1B9B3841"/>
    <w:multiLevelType w:val="hybridMultilevel"/>
    <w:tmpl w:val="C6DEEBE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947F09"/>
    <w:multiLevelType w:val="hybridMultilevel"/>
    <w:tmpl w:val="94E489A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0E657DD"/>
    <w:multiLevelType w:val="hybridMultilevel"/>
    <w:tmpl w:val="01B4919C"/>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6275A87"/>
    <w:multiLevelType w:val="hybridMultilevel"/>
    <w:tmpl w:val="64322E9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26538C"/>
    <w:multiLevelType w:val="hybridMultilevel"/>
    <w:tmpl w:val="F770440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CD37A5"/>
    <w:multiLevelType w:val="hybridMultilevel"/>
    <w:tmpl w:val="9B268A6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0031F1B"/>
    <w:multiLevelType w:val="hybridMultilevel"/>
    <w:tmpl w:val="0C1624B2"/>
    <w:lvl w:ilvl="0" w:tplc="DC2ADEFE">
      <w:start w:val="1"/>
      <w:numFmt w:val="bullet"/>
      <w:lvlText w:val=""/>
      <w:lvlJc w:val="left"/>
      <w:pPr>
        <w:tabs>
          <w:tab w:val="num" w:pos="34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0A5FE7"/>
    <w:multiLevelType w:val="hybridMultilevel"/>
    <w:tmpl w:val="CF9072E2"/>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start w:val="1"/>
      <w:numFmt w:val="bullet"/>
      <w:lvlText w:val=""/>
      <w:lvlJc w:val="left"/>
      <w:pPr>
        <w:tabs>
          <w:tab w:val="num" w:pos="1812"/>
        </w:tabs>
        <w:ind w:left="1812" w:hanging="360"/>
      </w:pPr>
      <w:rPr>
        <w:rFonts w:ascii="Symbol" w:hAnsi="Symbol" w:hint="default"/>
      </w:rPr>
    </w:lvl>
    <w:lvl w:ilvl="4" w:tplc="04050003">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14" w15:restartNumberingAfterBreak="0">
    <w:nsid w:val="32BD2F04"/>
    <w:multiLevelType w:val="hybridMultilevel"/>
    <w:tmpl w:val="CE260C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D933CA"/>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3A59296B"/>
    <w:multiLevelType w:val="hybridMultilevel"/>
    <w:tmpl w:val="48C03F9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7" w15:restartNumberingAfterBreak="0">
    <w:nsid w:val="3ABF006D"/>
    <w:multiLevelType w:val="hybridMultilevel"/>
    <w:tmpl w:val="EF92463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7F848B9"/>
    <w:multiLevelType w:val="hybridMultilevel"/>
    <w:tmpl w:val="31F0343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9917B31"/>
    <w:multiLevelType w:val="hybridMultilevel"/>
    <w:tmpl w:val="9F2AA8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672B46"/>
    <w:multiLevelType w:val="hybridMultilevel"/>
    <w:tmpl w:val="C2DE49F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21" w15:restartNumberingAfterBreak="0">
    <w:nsid w:val="55491991"/>
    <w:multiLevelType w:val="hybridMultilevel"/>
    <w:tmpl w:val="5CDCDAD2"/>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6525FFE"/>
    <w:multiLevelType w:val="hybridMultilevel"/>
    <w:tmpl w:val="C35674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011885"/>
    <w:multiLevelType w:val="hybridMultilevel"/>
    <w:tmpl w:val="979011F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E65772"/>
    <w:multiLevelType w:val="hybridMultilevel"/>
    <w:tmpl w:val="DFC87C9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25" w15:restartNumberingAfterBreak="0">
    <w:nsid w:val="6A9D599C"/>
    <w:multiLevelType w:val="hybridMultilevel"/>
    <w:tmpl w:val="D86889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5C6226"/>
    <w:multiLevelType w:val="hybridMultilevel"/>
    <w:tmpl w:val="10DAF0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6FDD3BDD"/>
    <w:multiLevelType w:val="hybridMultilevel"/>
    <w:tmpl w:val="917A9C3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0A83138"/>
    <w:multiLevelType w:val="hybridMultilevel"/>
    <w:tmpl w:val="D34470B8"/>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4650CF0"/>
    <w:multiLevelType w:val="hybridMultilevel"/>
    <w:tmpl w:val="F89AEC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D777B0"/>
    <w:multiLevelType w:val="hybridMultilevel"/>
    <w:tmpl w:val="E368D130"/>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715240D"/>
    <w:multiLevelType w:val="hybridMultilevel"/>
    <w:tmpl w:val="7EEA75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6406CC"/>
    <w:multiLevelType w:val="hybridMultilevel"/>
    <w:tmpl w:val="B55C18B2"/>
    <w:lvl w:ilvl="0" w:tplc="B4EEBB7A">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732"/>
        </w:tabs>
        <w:ind w:left="732" w:hanging="360"/>
      </w:pPr>
    </w:lvl>
    <w:lvl w:ilvl="2" w:tplc="0405001B">
      <w:start w:val="1"/>
      <w:numFmt w:val="lowerRoman"/>
      <w:lvlText w:val="%3."/>
      <w:lvlJc w:val="right"/>
      <w:pPr>
        <w:tabs>
          <w:tab w:val="num" w:pos="1452"/>
        </w:tabs>
        <w:ind w:left="1452" w:hanging="180"/>
      </w:pPr>
    </w:lvl>
    <w:lvl w:ilvl="3" w:tplc="0405000F">
      <w:start w:val="1"/>
      <w:numFmt w:val="decimal"/>
      <w:lvlText w:val="%4."/>
      <w:lvlJc w:val="left"/>
      <w:pPr>
        <w:tabs>
          <w:tab w:val="num" w:pos="2172"/>
        </w:tabs>
        <w:ind w:left="2172" w:hanging="360"/>
      </w:pPr>
    </w:lvl>
    <w:lvl w:ilvl="4" w:tplc="04050019">
      <w:start w:val="1"/>
      <w:numFmt w:val="lowerLetter"/>
      <w:lvlText w:val="%5."/>
      <w:lvlJc w:val="left"/>
      <w:pPr>
        <w:tabs>
          <w:tab w:val="num" w:pos="2892"/>
        </w:tabs>
        <w:ind w:left="2892" w:hanging="360"/>
      </w:pPr>
    </w:lvl>
    <w:lvl w:ilvl="5" w:tplc="0405001B" w:tentative="1">
      <w:start w:val="1"/>
      <w:numFmt w:val="lowerRoman"/>
      <w:lvlText w:val="%6."/>
      <w:lvlJc w:val="right"/>
      <w:pPr>
        <w:tabs>
          <w:tab w:val="num" w:pos="3612"/>
        </w:tabs>
        <w:ind w:left="3612" w:hanging="180"/>
      </w:pPr>
    </w:lvl>
    <w:lvl w:ilvl="6" w:tplc="0405000F" w:tentative="1">
      <w:start w:val="1"/>
      <w:numFmt w:val="decimal"/>
      <w:lvlText w:val="%7."/>
      <w:lvlJc w:val="left"/>
      <w:pPr>
        <w:tabs>
          <w:tab w:val="num" w:pos="4332"/>
        </w:tabs>
        <w:ind w:left="4332" w:hanging="360"/>
      </w:pPr>
    </w:lvl>
    <w:lvl w:ilvl="7" w:tplc="04050019" w:tentative="1">
      <w:start w:val="1"/>
      <w:numFmt w:val="lowerLetter"/>
      <w:lvlText w:val="%8."/>
      <w:lvlJc w:val="left"/>
      <w:pPr>
        <w:tabs>
          <w:tab w:val="num" w:pos="5052"/>
        </w:tabs>
        <w:ind w:left="5052" w:hanging="360"/>
      </w:pPr>
    </w:lvl>
    <w:lvl w:ilvl="8" w:tplc="0405001B" w:tentative="1">
      <w:start w:val="1"/>
      <w:numFmt w:val="lowerRoman"/>
      <w:lvlText w:val="%9."/>
      <w:lvlJc w:val="right"/>
      <w:pPr>
        <w:tabs>
          <w:tab w:val="num" w:pos="5772"/>
        </w:tabs>
        <w:ind w:left="5772" w:hanging="180"/>
      </w:pPr>
    </w:lvl>
  </w:abstractNum>
  <w:num w:numId="1">
    <w:abstractNumId w:val="30"/>
  </w:num>
  <w:num w:numId="2">
    <w:abstractNumId w:val="23"/>
  </w:num>
  <w:num w:numId="3">
    <w:abstractNumId w:val="7"/>
  </w:num>
  <w:num w:numId="4">
    <w:abstractNumId w:val="18"/>
  </w:num>
  <w:num w:numId="5">
    <w:abstractNumId w:val="11"/>
  </w:num>
  <w:num w:numId="6">
    <w:abstractNumId w:val="10"/>
  </w:num>
  <w:num w:numId="7">
    <w:abstractNumId w:val="17"/>
  </w:num>
  <w:num w:numId="8">
    <w:abstractNumId w:val="3"/>
  </w:num>
  <w:num w:numId="9">
    <w:abstractNumId w:val="9"/>
  </w:num>
  <w:num w:numId="10">
    <w:abstractNumId w:val="15"/>
  </w:num>
  <w:num w:numId="11">
    <w:abstractNumId w:val="28"/>
  </w:num>
  <w:num w:numId="12">
    <w:abstractNumId w:val="25"/>
  </w:num>
  <w:num w:numId="13">
    <w:abstractNumId w:val="0"/>
  </w:num>
  <w:num w:numId="14">
    <w:abstractNumId w:val="8"/>
  </w:num>
  <w:num w:numId="15">
    <w:abstractNumId w:val="1"/>
  </w:num>
  <w:num w:numId="16">
    <w:abstractNumId w:val="16"/>
  </w:num>
  <w:num w:numId="17">
    <w:abstractNumId w:val="31"/>
  </w:num>
  <w:num w:numId="18">
    <w:abstractNumId w:val="21"/>
  </w:num>
  <w:num w:numId="19">
    <w:abstractNumId w:val="12"/>
  </w:num>
  <w:num w:numId="20">
    <w:abstractNumId w:val="29"/>
  </w:num>
  <w:num w:numId="21">
    <w:abstractNumId w:val="26"/>
  </w:num>
  <w:num w:numId="22">
    <w:abstractNumId w:val="4"/>
  </w:num>
  <w:num w:numId="23">
    <w:abstractNumId w:val="19"/>
  </w:num>
  <w:num w:numId="24">
    <w:abstractNumId w:val="27"/>
  </w:num>
  <w:num w:numId="25">
    <w:abstractNumId w:val="13"/>
  </w:num>
  <w:num w:numId="26">
    <w:abstractNumId w:val="33"/>
  </w:num>
  <w:num w:numId="27">
    <w:abstractNumId w:val="14"/>
  </w:num>
  <w:num w:numId="28">
    <w:abstractNumId w:val="20"/>
  </w:num>
  <w:num w:numId="29">
    <w:abstractNumId w:val="5"/>
  </w:num>
  <w:num w:numId="30">
    <w:abstractNumId w:val="24"/>
  </w:num>
  <w:num w:numId="31">
    <w:abstractNumId w:val="32"/>
  </w:num>
  <w:num w:numId="32">
    <w:abstractNumId w:val="22"/>
  </w:num>
  <w:num w:numId="33">
    <w:abstractNumId w:val="6"/>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530"/>
    <w:rsid w:val="00002768"/>
    <w:rsid w:val="00020F8A"/>
    <w:rsid w:val="0002223D"/>
    <w:rsid w:val="00022D6F"/>
    <w:rsid w:val="000250D9"/>
    <w:rsid w:val="0003274C"/>
    <w:rsid w:val="000346CC"/>
    <w:rsid w:val="00036752"/>
    <w:rsid w:val="00041116"/>
    <w:rsid w:val="000453B8"/>
    <w:rsid w:val="000514C9"/>
    <w:rsid w:val="0007039A"/>
    <w:rsid w:val="00071966"/>
    <w:rsid w:val="00071B13"/>
    <w:rsid w:val="00086ABE"/>
    <w:rsid w:val="00087B7B"/>
    <w:rsid w:val="00091563"/>
    <w:rsid w:val="000945CE"/>
    <w:rsid w:val="000A16BB"/>
    <w:rsid w:val="000A2AB6"/>
    <w:rsid w:val="000A373C"/>
    <w:rsid w:val="000A5E1D"/>
    <w:rsid w:val="000B2EB7"/>
    <w:rsid w:val="000C2EBD"/>
    <w:rsid w:val="000C2FD2"/>
    <w:rsid w:val="000C7687"/>
    <w:rsid w:val="000C7B74"/>
    <w:rsid w:val="000D53D2"/>
    <w:rsid w:val="000E3249"/>
    <w:rsid w:val="000E4E3C"/>
    <w:rsid w:val="000E6DC2"/>
    <w:rsid w:val="000F0A84"/>
    <w:rsid w:val="00100E0D"/>
    <w:rsid w:val="00102BB6"/>
    <w:rsid w:val="0010381F"/>
    <w:rsid w:val="00103F71"/>
    <w:rsid w:val="00104C64"/>
    <w:rsid w:val="00111A85"/>
    <w:rsid w:val="00111DAC"/>
    <w:rsid w:val="00126D11"/>
    <w:rsid w:val="00130495"/>
    <w:rsid w:val="0013088D"/>
    <w:rsid w:val="00131CF6"/>
    <w:rsid w:val="00145A84"/>
    <w:rsid w:val="00152671"/>
    <w:rsid w:val="0017264D"/>
    <w:rsid w:val="00183E60"/>
    <w:rsid w:val="00185FCF"/>
    <w:rsid w:val="00186DA2"/>
    <w:rsid w:val="001911BF"/>
    <w:rsid w:val="00191BAF"/>
    <w:rsid w:val="00193DAC"/>
    <w:rsid w:val="00194C51"/>
    <w:rsid w:val="001A0DD6"/>
    <w:rsid w:val="001A1010"/>
    <w:rsid w:val="001A64FA"/>
    <w:rsid w:val="001A6BF1"/>
    <w:rsid w:val="001B21A0"/>
    <w:rsid w:val="001C240B"/>
    <w:rsid w:val="001C2B44"/>
    <w:rsid w:val="001C30A7"/>
    <w:rsid w:val="001C602C"/>
    <w:rsid w:val="001D5989"/>
    <w:rsid w:val="001D5ECC"/>
    <w:rsid w:val="001F5948"/>
    <w:rsid w:val="002049E3"/>
    <w:rsid w:val="00210642"/>
    <w:rsid w:val="002114A9"/>
    <w:rsid w:val="00211979"/>
    <w:rsid w:val="00214717"/>
    <w:rsid w:val="002156E5"/>
    <w:rsid w:val="00224053"/>
    <w:rsid w:val="002271E4"/>
    <w:rsid w:val="00230ACB"/>
    <w:rsid w:val="00231BDB"/>
    <w:rsid w:val="00234923"/>
    <w:rsid w:val="00235CD8"/>
    <w:rsid w:val="0024074F"/>
    <w:rsid w:val="00241433"/>
    <w:rsid w:val="00244C1E"/>
    <w:rsid w:val="00250530"/>
    <w:rsid w:val="002523AA"/>
    <w:rsid w:val="00254E4E"/>
    <w:rsid w:val="00254FC9"/>
    <w:rsid w:val="00257364"/>
    <w:rsid w:val="002626CD"/>
    <w:rsid w:val="00264EF5"/>
    <w:rsid w:val="00266757"/>
    <w:rsid w:val="00270407"/>
    <w:rsid w:val="00272F61"/>
    <w:rsid w:val="002739F0"/>
    <w:rsid w:val="00276AF0"/>
    <w:rsid w:val="00280E36"/>
    <w:rsid w:val="002901DB"/>
    <w:rsid w:val="002957AE"/>
    <w:rsid w:val="002A2F47"/>
    <w:rsid w:val="002A74FC"/>
    <w:rsid w:val="002B2693"/>
    <w:rsid w:val="002B4DA1"/>
    <w:rsid w:val="002B5618"/>
    <w:rsid w:val="002C2EBE"/>
    <w:rsid w:val="002C551D"/>
    <w:rsid w:val="002D518A"/>
    <w:rsid w:val="002E04CC"/>
    <w:rsid w:val="002E0FAA"/>
    <w:rsid w:val="002E1536"/>
    <w:rsid w:val="002E4525"/>
    <w:rsid w:val="002E5813"/>
    <w:rsid w:val="002E65DA"/>
    <w:rsid w:val="002E770B"/>
    <w:rsid w:val="002F1296"/>
    <w:rsid w:val="002F520E"/>
    <w:rsid w:val="002F5E16"/>
    <w:rsid w:val="00301778"/>
    <w:rsid w:val="003038FB"/>
    <w:rsid w:val="00306156"/>
    <w:rsid w:val="00306EEE"/>
    <w:rsid w:val="00310CC0"/>
    <w:rsid w:val="00315569"/>
    <w:rsid w:val="00322053"/>
    <w:rsid w:val="0032632C"/>
    <w:rsid w:val="00326EA4"/>
    <w:rsid w:val="00340FCB"/>
    <w:rsid w:val="003455C2"/>
    <w:rsid w:val="0035245A"/>
    <w:rsid w:val="00355CD9"/>
    <w:rsid w:val="00355D7F"/>
    <w:rsid w:val="00355DF0"/>
    <w:rsid w:val="0035627B"/>
    <w:rsid w:val="00357114"/>
    <w:rsid w:val="003572B3"/>
    <w:rsid w:val="0036235C"/>
    <w:rsid w:val="003633A4"/>
    <w:rsid w:val="003701A7"/>
    <w:rsid w:val="00373FE6"/>
    <w:rsid w:val="00374541"/>
    <w:rsid w:val="003776BB"/>
    <w:rsid w:val="00380D0C"/>
    <w:rsid w:val="00386F1D"/>
    <w:rsid w:val="0038790B"/>
    <w:rsid w:val="003920E3"/>
    <w:rsid w:val="003A0FFA"/>
    <w:rsid w:val="003A3466"/>
    <w:rsid w:val="003A4908"/>
    <w:rsid w:val="003A661D"/>
    <w:rsid w:val="003B0242"/>
    <w:rsid w:val="003B105F"/>
    <w:rsid w:val="003C0C34"/>
    <w:rsid w:val="003C1C43"/>
    <w:rsid w:val="003C2734"/>
    <w:rsid w:val="003C40B5"/>
    <w:rsid w:val="003C6211"/>
    <w:rsid w:val="003C7DC9"/>
    <w:rsid w:val="003D1855"/>
    <w:rsid w:val="003E20EA"/>
    <w:rsid w:val="003E399E"/>
    <w:rsid w:val="003E3F13"/>
    <w:rsid w:val="003F143F"/>
    <w:rsid w:val="003F1EC5"/>
    <w:rsid w:val="003F2EB6"/>
    <w:rsid w:val="003F41DD"/>
    <w:rsid w:val="0040028B"/>
    <w:rsid w:val="00402649"/>
    <w:rsid w:val="00403D93"/>
    <w:rsid w:val="00412E12"/>
    <w:rsid w:val="004200C9"/>
    <w:rsid w:val="00435657"/>
    <w:rsid w:val="00436044"/>
    <w:rsid w:val="004410AE"/>
    <w:rsid w:val="00443497"/>
    <w:rsid w:val="00446375"/>
    <w:rsid w:val="00452D67"/>
    <w:rsid w:val="00454075"/>
    <w:rsid w:val="00455F8E"/>
    <w:rsid w:val="004573E8"/>
    <w:rsid w:val="00463471"/>
    <w:rsid w:val="0046558C"/>
    <w:rsid w:val="0046657C"/>
    <w:rsid w:val="004720C9"/>
    <w:rsid w:val="0047508A"/>
    <w:rsid w:val="00483349"/>
    <w:rsid w:val="00486EC4"/>
    <w:rsid w:val="004A1E88"/>
    <w:rsid w:val="004A719A"/>
    <w:rsid w:val="004B20DE"/>
    <w:rsid w:val="004B7540"/>
    <w:rsid w:val="004C39A2"/>
    <w:rsid w:val="004D44A9"/>
    <w:rsid w:val="004D5090"/>
    <w:rsid w:val="004D5D54"/>
    <w:rsid w:val="004D6C8F"/>
    <w:rsid w:val="004E14D5"/>
    <w:rsid w:val="004E3E12"/>
    <w:rsid w:val="004F574C"/>
    <w:rsid w:val="004F6DD1"/>
    <w:rsid w:val="004F7D05"/>
    <w:rsid w:val="00505189"/>
    <w:rsid w:val="0051474A"/>
    <w:rsid w:val="00517788"/>
    <w:rsid w:val="00531FAD"/>
    <w:rsid w:val="00533A6E"/>
    <w:rsid w:val="00536BC7"/>
    <w:rsid w:val="005521EE"/>
    <w:rsid w:val="00553854"/>
    <w:rsid w:val="00553DFA"/>
    <w:rsid w:val="0055780D"/>
    <w:rsid w:val="00567944"/>
    <w:rsid w:val="0057270E"/>
    <w:rsid w:val="00572EE0"/>
    <w:rsid w:val="0057703E"/>
    <w:rsid w:val="005A23A9"/>
    <w:rsid w:val="005B43B0"/>
    <w:rsid w:val="005B7305"/>
    <w:rsid w:val="005B750A"/>
    <w:rsid w:val="005C5617"/>
    <w:rsid w:val="005D4FAE"/>
    <w:rsid w:val="005D789A"/>
    <w:rsid w:val="005E42A5"/>
    <w:rsid w:val="005E6FEB"/>
    <w:rsid w:val="005F282E"/>
    <w:rsid w:val="005F3B0D"/>
    <w:rsid w:val="005F58B9"/>
    <w:rsid w:val="00600C8F"/>
    <w:rsid w:val="006012A8"/>
    <w:rsid w:val="0060210D"/>
    <w:rsid w:val="00602217"/>
    <w:rsid w:val="00605381"/>
    <w:rsid w:val="0060592A"/>
    <w:rsid w:val="00605E7A"/>
    <w:rsid w:val="0061098A"/>
    <w:rsid w:val="00610D7F"/>
    <w:rsid w:val="00611A9B"/>
    <w:rsid w:val="00615DEC"/>
    <w:rsid w:val="00640195"/>
    <w:rsid w:val="00640BBB"/>
    <w:rsid w:val="00640DB6"/>
    <w:rsid w:val="00643F78"/>
    <w:rsid w:val="00651F18"/>
    <w:rsid w:val="006545CB"/>
    <w:rsid w:val="0065641A"/>
    <w:rsid w:val="00663858"/>
    <w:rsid w:val="00672EC0"/>
    <w:rsid w:val="00675882"/>
    <w:rsid w:val="00683571"/>
    <w:rsid w:val="006855BC"/>
    <w:rsid w:val="00691473"/>
    <w:rsid w:val="006920E7"/>
    <w:rsid w:val="00697062"/>
    <w:rsid w:val="006A5BA6"/>
    <w:rsid w:val="006A7F49"/>
    <w:rsid w:val="006B1C98"/>
    <w:rsid w:val="006B25A9"/>
    <w:rsid w:val="006B2C60"/>
    <w:rsid w:val="006B7991"/>
    <w:rsid w:val="006C265A"/>
    <w:rsid w:val="006C2695"/>
    <w:rsid w:val="006C5753"/>
    <w:rsid w:val="006C7620"/>
    <w:rsid w:val="006D2EF0"/>
    <w:rsid w:val="006D2F03"/>
    <w:rsid w:val="006D312D"/>
    <w:rsid w:val="006D4A32"/>
    <w:rsid w:val="006D4AB2"/>
    <w:rsid w:val="006D6888"/>
    <w:rsid w:val="006E559E"/>
    <w:rsid w:val="006E5DDC"/>
    <w:rsid w:val="006E5DEB"/>
    <w:rsid w:val="006F3199"/>
    <w:rsid w:val="006F3CA9"/>
    <w:rsid w:val="006F5F8F"/>
    <w:rsid w:val="00702D0D"/>
    <w:rsid w:val="00723A61"/>
    <w:rsid w:val="00724983"/>
    <w:rsid w:val="00724ED0"/>
    <w:rsid w:val="00726457"/>
    <w:rsid w:val="0072700F"/>
    <w:rsid w:val="00734451"/>
    <w:rsid w:val="007363D2"/>
    <w:rsid w:val="007364F5"/>
    <w:rsid w:val="007377C5"/>
    <w:rsid w:val="00742CA6"/>
    <w:rsid w:val="00742DB3"/>
    <w:rsid w:val="00744E7C"/>
    <w:rsid w:val="0074678E"/>
    <w:rsid w:val="00747255"/>
    <w:rsid w:val="00754206"/>
    <w:rsid w:val="00754621"/>
    <w:rsid w:val="0075728C"/>
    <w:rsid w:val="00761239"/>
    <w:rsid w:val="0076148A"/>
    <w:rsid w:val="007644B5"/>
    <w:rsid w:val="007719F0"/>
    <w:rsid w:val="00772875"/>
    <w:rsid w:val="00773857"/>
    <w:rsid w:val="00773F7E"/>
    <w:rsid w:val="0078380B"/>
    <w:rsid w:val="00784FB9"/>
    <w:rsid w:val="00792CBD"/>
    <w:rsid w:val="00796DD5"/>
    <w:rsid w:val="007A4354"/>
    <w:rsid w:val="007A7BFF"/>
    <w:rsid w:val="007B0AB6"/>
    <w:rsid w:val="007B3F9D"/>
    <w:rsid w:val="007C33E0"/>
    <w:rsid w:val="007C5AE5"/>
    <w:rsid w:val="007D1112"/>
    <w:rsid w:val="007D6F66"/>
    <w:rsid w:val="007D7CC3"/>
    <w:rsid w:val="007E1A82"/>
    <w:rsid w:val="007E50D2"/>
    <w:rsid w:val="007E600D"/>
    <w:rsid w:val="007F4B2B"/>
    <w:rsid w:val="007F7B50"/>
    <w:rsid w:val="0080268C"/>
    <w:rsid w:val="008116F2"/>
    <w:rsid w:val="008141EF"/>
    <w:rsid w:val="0083228D"/>
    <w:rsid w:val="0083392C"/>
    <w:rsid w:val="00834040"/>
    <w:rsid w:val="008348AF"/>
    <w:rsid w:val="00834BB6"/>
    <w:rsid w:val="008436E9"/>
    <w:rsid w:val="00844B83"/>
    <w:rsid w:val="00846CCB"/>
    <w:rsid w:val="0085624B"/>
    <w:rsid w:val="00857756"/>
    <w:rsid w:val="00864C4A"/>
    <w:rsid w:val="00882510"/>
    <w:rsid w:val="00882D36"/>
    <w:rsid w:val="008839C4"/>
    <w:rsid w:val="00886E4A"/>
    <w:rsid w:val="00890701"/>
    <w:rsid w:val="008954D0"/>
    <w:rsid w:val="00896A6B"/>
    <w:rsid w:val="008A0E95"/>
    <w:rsid w:val="008A1371"/>
    <w:rsid w:val="008A25D1"/>
    <w:rsid w:val="008B06F0"/>
    <w:rsid w:val="008B26D6"/>
    <w:rsid w:val="008B6432"/>
    <w:rsid w:val="008C17A9"/>
    <w:rsid w:val="008C3D12"/>
    <w:rsid w:val="008C3DE4"/>
    <w:rsid w:val="008D2B1A"/>
    <w:rsid w:val="008D73BD"/>
    <w:rsid w:val="008E5142"/>
    <w:rsid w:val="008E553B"/>
    <w:rsid w:val="008E7E94"/>
    <w:rsid w:val="008F3697"/>
    <w:rsid w:val="008F41B8"/>
    <w:rsid w:val="008F53E2"/>
    <w:rsid w:val="008F665B"/>
    <w:rsid w:val="00902B7A"/>
    <w:rsid w:val="0090583E"/>
    <w:rsid w:val="00910DB7"/>
    <w:rsid w:val="0092135A"/>
    <w:rsid w:val="00921756"/>
    <w:rsid w:val="00922BD2"/>
    <w:rsid w:val="00924964"/>
    <w:rsid w:val="00926363"/>
    <w:rsid w:val="00926BAB"/>
    <w:rsid w:val="009300B8"/>
    <w:rsid w:val="009306AC"/>
    <w:rsid w:val="00931C01"/>
    <w:rsid w:val="009354A5"/>
    <w:rsid w:val="00940573"/>
    <w:rsid w:val="00941F0F"/>
    <w:rsid w:val="00945305"/>
    <w:rsid w:val="00945C29"/>
    <w:rsid w:val="00951B62"/>
    <w:rsid w:val="009541A0"/>
    <w:rsid w:val="00964775"/>
    <w:rsid w:val="00971020"/>
    <w:rsid w:val="00980FDE"/>
    <w:rsid w:val="00982846"/>
    <w:rsid w:val="00987159"/>
    <w:rsid w:val="009908B6"/>
    <w:rsid w:val="00993CF0"/>
    <w:rsid w:val="009A07FB"/>
    <w:rsid w:val="009A171B"/>
    <w:rsid w:val="009A269C"/>
    <w:rsid w:val="009A2ADF"/>
    <w:rsid w:val="009A43EB"/>
    <w:rsid w:val="009C68EF"/>
    <w:rsid w:val="009D72C1"/>
    <w:rsid w:val="009E60E0"/>
    <w:rsid w:val="009E7AFC"/>
    <w:rsid w:val="00A019C2"/>
    <w:rsid w:val="00A14DC3"/>
    <w:rsid w:val="00A15D62"/>
    <w:rsid w:val="00A1745E"/>
    <w:rsid w:val="00A1784D"/>
    <w:rsid w:val="00A2126E"/>
    <w:rsid w:val="00A22855"/>
    <w:rsid w:val="00A26675"/>
    <w:rsid w:val="00A37A57"/>
    <w:rsid w:val="00A422D6"/>
    <w:rsid w:val="00A42714"/>
    <w:rsid w:val="00A44A83"/>
    <w:rsid w:val="00A47798"/>
    <w:rsid w:val="00A5010B"/>
    <w:rsid w:val="00A5038A"/>
    <w:rsid w:val="00A50C0B"/>
    <w:rsid w:val="00A54C8B"/>
    <w:rsid w:val="00A560BA"/>
    <w:rsid w:val="00A65565"/>
    <w:rsid w:val="00A6780E"/>
    <w:rsid w:val="00A67F7E"/>
    <w:rsid w:val="00A71C6C"/>
    <w:rsid w:val="00A80008"/>
    <w:rsid w:val="00A9120B"/>
    <w:rsid w:val="00A91CC1"/>
    <w:rsid w:val="00A92EF9"/>
    <w:rsid w:val="00A94B75"/>
    <w:rsid w:val="00A95066"/>
    <w:rsid w:val="00A97A7C"/>
    <w:rsid w:val="00A97A93"/>
    <w:rsid w:val="00A97B10"/>
    <w:rsid w:val="00AA4F48"/>
    <w:rsid w:val="00AA5301"/>
    <w:rsid w:val="00AB3DB6"/>
    <w:rsid w:val="00AC08D5"/>
    <w:rsid w:val="00AC14B6"/>
    <w:rsid w:val="00AC248C"/>
    <w:rsid w:val="00AC3D7E"/>
    <w:rsid w:val="00AC41D3"/>
    <w:rsid w:val="00AC5444"/>
    <w:rsid w:val="00AC614C"/>
    <w:rsid w:val="00AC7E75"/>
    <w:rsid w:val="00AD11FA"/>
    <w:rsid w:val="00AD6D35"/>
    <w:rsid w:val="00AE320C"/>
    <w:rsid w:val="00AE72F6"/>
    <w:rsid w:val="00AF088F"/>
    <w:rsid w:val="00AF6B8D"/>
    <w:rsid w:val="00B0006F"/>
    <w:rsid w:val="00B008AD"/>
    <w:rsid w:val="00B00BE1"/>
    <w:rsid w:val="00B04CED"/>
    <w:rsid w:val="00B054EC"/>
    <w:rsid w:val="00B07DC9"/>
    <w:rsid w:val="00B105A9"/>
    <w:rsid w:val="00B11DC8"/>
    <w:rsid w:val="00B12DC8"/>
    <w:rsid w:val="00B132BC"/>
    <w:rsid w:val="00B1763E"/>
    <w:rsid w:val="00B26753"/>
    <w:rsid w:val="00B26C33"/>
    <w:rsid w:val="00B30B28"/>
    <w:rsid w:val="00B30E43"/>
    <w:rsid w:val="00B3389D"/>
    <w:rsid w:val="00B435B9"/>
    <w:rsid w:val="00B45256"/>
    <w:rsid w:val="00B45AF5"/>
    <w:rsid w:val="00B45F88"/>
    <w:rsid w:val="00B50C45"/>
    <w:rsid w:val="00B52F2A"/>
    <w:rsid w:val="00B53376"/>
    <w:rsid w:val="00B7065C"/>
    <w:rsid w:val="00B7254D"/>
    <w:rsid w:val="00B83EE8"/>
    <w:rsid w:val="00B85B3D"/>
    <w:rsid w:val="00B86AE9"/>
    <w:rsid w:val="00B86E09"/>
    <w:rsid w:val="00B87EFF"/>
    <w:rsid w:val="00B90BD0"/>
    <w:rsid w:val="00B92690"/>
    <w:rsid w:val="00B94019"/>
    <w:rsid w:val="00BA0610"/>
    <w:rsid w:val="00BA2B5D"/>
    <w:rsid w:val="00BA3830"/>
    <w:rsid w:val="00BA65FC"/>
    <w:rsid w:val="00BA7970"/>
    <w:rsid w:val="00BB04F3"/>
    <w:rsid w:val="00BB0EEF"/>
    <w:rsid w:val="00BB5B15"/>
    <w:rsid w:val="00BB7BF9"/>
    <w:rsid w:val="00BC2461"/>
    <w:rsid w:val="00BC25F8"/>
    <w:rsid w:val="00BC300F"/>
    <w:rsid w:val="00BC7916"/>
    <w:rsid w:val="00BD05AE"/>
    <w:rsid w:val="00BD1BA6"/>
    <w:rsid w:val="00BD3836"/>
    <w:rsid w:val="00BD40E3"/>
    <w:rsid w:val="00BD5100"/>
    <w:rsid w:val="00BD78CC"/>
    <w:rsid w:val="00BE0556"/>
    <w:rsid w:val="00BE204F"/>
    <w:rsid w:val="00BF4CD6"/>
    <w:rsid w:val="00BF5822"/>
    <w:rsid w:val="00BF62B5"/>
    <w:rsid w:val="00C00156"/>
    <w:rsid w:val="00C03837"/>
    <w:rsid w:val="00C04A0A"/>
    <w:rsid w:val="00C06A6B"/>
    <w:rsid w:val="00C1195A"/>
    <w:rsid w:val="00C11BE4"/>
    <w:rsid w:val="00C11D32"/>
    <w:rsid w:val="00C130D0"/>
    <w:rsid w:val="00C13925"/>
    <w:rsid w:val="00C22013"/>
    <w:rsid w:val="00C24439"/>
    <w:rsid w:val="00C27380"/>
    <w:rsid w:val="00C30110"/>
    <w:rsid w:val="00C3232B"/>
    <w:rsid w:val="00C34613"/>
    <w:rsid w:val="00C34936"/>
    <w:rsid w:val="00C34F23"/>
    <w:rsid w:val="00C43EFF"/>
    <w:rsid w:val="00C45911"/>
    <w:rsid w:val="00C503FC"/>
    <w:rsid w:val="00C52B55"/>
    <w:rsid w:val="00C5480B"/>
    <w:rsid w:val="00C56931"/>
    <w:rsid w:val="00C570B9"/>
    <w:rsid w:val="00C6249C"/>
    <w:rsid w:val="00C714B2"/>
    <w:rsid w:val="00C7497F"/>
    <w:rsid w:val="00C750DC"/>
    <w:rsid w:val="00C83E41"/>
    <w:rsid w:val="00C90A29"/>
    <w:rsid w:val="00C918EE"/>
    <w:rsid w:val="00C93F7F"/>
    <w:rsid w:val="00CA2D43"/>
    <w:rsid w:val="00CB4222"/>
    <w:rsid w:val="00CB7E6C"/>
    <w:rsid w:val="00CC1D9E"/>
    <w:rsid w:val="00CC3976"/>
    <w:rsid w:val="00CC48AF"/>
    <w:rsid w:val="00CC4901"/>
    <w:rsid w:val="00CC57FE"/>
    <w:rsid w:val="00CD0F7B"/>
    <w:rsid w:val="00CD3F4E"/>
    <w:rsid w:val="00CE3C73"/>
    <w:rsid w:val="00CE631E"/>
    <w:rsid w:val="00CF166B"/>
    <w:rsid w:val="00CF7BF6"/>
    <w:rsid w:val="00D016E7"/>
    <w:rsid w:val="00D0184E"/>
    <w:rsid w:val="00D01EA2"/>
    <w:rsid w:val="00D05EF1"/>
    <w:rsid w:val="00D07DA4"/>
    <w:rsid w:val="00D11ACF"/>
    <w:rsid w:val="00D208AD"/>
    <w:rsid w:val="00D2467F"/>
    <w:rsid w:val="00D24FBC"/>
    <w:rsid w:val="00D25D00"/>
    <w:rsid w:val="00D306D6"/>
    <w:rsid w:val="00D32BA1"/>
    <w:rsid w:val="00D33146"/>
    <w:rsid w:val="00D333E7"/>
    <w:rsid w:val="00D33888"/>
    <w:rsid w:val="00D340A9"/>
    <w:rsid w:val="00D415E4"/>
    <w:rsid w:val="00D41825"/>
    <w:rsid w:val="00D47FCE"/>
    <w:rsid w:val="00D53F38"/>
    <w:rsid w:val="00D60A44"/>
    <w:rsid w:val="00D714D6"/>
    <w:rsid w:val="00D7152E"/>
    <w:rsid w:val="00D71904"/>
    <w:rsid w:val="00D733C2"/>
    <w:rsid w:val="00D7534F"/>
    <w:rsid w:val="00D763A8"/>
    <w:rsid w:val="00D80D57"/>
    <w:rsid w:val="00D852F5"/>
    <w:rsid w:val="00DA08CA"/>
    <w:rsid w:val="00DA1689"/>
    <w:rsid w:val="00DA2F1E"/>
    <w:rsid w:val="00DA3818"/>
    <w:rsid w:val="00DA432B"/>
    <w:rsid w:val="00DA49DB"/>
    <w:rsid w:val="00DA5B79"/>
    <w:rsid w:val="00DB3340"/>
    <w:rsid w:val="00DB6E7D"/>
    <w:rsid w:val="00DB6EE8"/>
    <w:rsid w:val="00DB78E8"/>
    <w:rsid w:val="00DC4730"/>
    <w:rsid w:val="00DC50F5"/>
    <w:rsid w:val="00DD0D27"/>
    <w:rsid w:val="00DD46A8"/>
    <w:rsid w:val="00DD47ED"/>
    <w:rsid w:val="00DE4D83"/>
    <w:rsid w:val="00E1638D"/>
    <w:rsid w:val="00E31ECC"/>
    <w:rsid w:val="00E33474"/>
    <w:rsid w:val="00E3434D"/>
    <w:rsid w:val="00E35FED"/>
    <w:rsid w:val="00E36711"/>
    <w:rsid w:val="00E4185E"/>
    <w:rsid w:val="00E42BB1"/>
    <w:rsid w:val="00E431CE"/>
    <w:rsid w:val="00E45A8B"/>
    <w:rsid w:val="00E47554"/>
    <w:rsid w:val="00E47785"/>
    <w:rsid w:val="00E52C2C"/>
    <w:rsid w:val="00E53363"/>
    <w:rsid w:val="00E55792"/>
    <w:rsid w:val="00E558FB"/>
    <w:rsid w:val="00E57D4E"/>
    <w:rsid w:val="00E61DB7"/>
    <w:rsid w:val="00E65574"/>
    <w:rsid w:val="00E71BCB"/>
    <w:rsid w:val="00E72B74"/>
    <w:rsid w:val="00E77C77"/>
    <w:rsid w:val="00E80467"/>
    <w:rsid w:val="00E90795"/>
    <w:rsid w:val="00E9695E"/>
    <w:rsid w:val="00E97A66"/>
    <w:rsid w:val="00E97FD0"/>
    <w:rsid w:val="00EA59A8"/>
    <w:rsid w:val="00EA6B16"/>
    <w:rsid w:val="00EB1CAF"/>
    <w:rsid w:val="00EC6422"/>
    <w:rsid w:val="00ED1094"/>
    <w:rsid w:val="00ED121E"/>
    <w:rsid w:val="00ED27F2"/>
    <w:rsid w:val="00ED7997"/>
    <w:rsid w:val="00EE2BBD"/>
    <w:rsid w:val="00EE5807"/>
    <w:rsid w:val="00EE77DD"/>
    <w:rsid w:val="00EF4B65"/>
    <w:rsid w:val="00EF6CB8"/>
    <w:rsid w:val="00F0028C"/>
    <w:rsid w:val="00F01E82"/>
    <w:rsid w:val="00F174A8"/>
    <w:rsid w:val="00F22735"/>
    <w:rsid w:val="00F25B37"/>
    <w:rsid w:val="00F26EE6"/>
    <w:rsid w:val="00F30043"/>
    <w:rsid w:val="00F3273F"/>
    <w:rsid w:val="00F34538"/>
    <w:rsid w:val="00F46250"/>
    <w:rsid w:val="00F501D8"/>
    <w:rsid w:val="00F50E7E"/>
    <w:rsid w:val="00F5677B"/>
    <w:rsid w:val="00F60F15"/>
    <w:rsid w:val="00F643D8"/>
    <w:rsid w:val="00F73808"/>
    <w:rsid w:val="00F90BB1"/>
    <w:rsid w:val="00FA1BB2"/>
    <w:rsid w:val="00FB3CE1"/>
    <w:rsid w:val="00FB455B"/>
    <w:rsid w:val="00FB7E33"/>
    <w:rsid w:val="00FD1FAD"/>
    <w:rsid w:val="00FD3C4C"/>
    <w:rsid w:val="00FE0F62"/>
    <w:rsid w:val="00FE390B"/>
    <w:rsid w:val="00FE57C2"/>
    <w:rsid w:val="00FE72E7"/>
    <w:rsid w:val="00FF316D"/>
    <w:rsid w:val="00FF44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E98FCE9"/>
  <w15:docId w15:val="{593AD30D-C9DB-4BF9-902D-CD94C318E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5F8F"/>
    <w:rPr>
      <w:sz w:val="24"/>
      <w:szCs w:val="24"/>
    </w:rPr>
  </w:style>
  <w:style w:type="paragraph" w:styleId="Nadpis1">
    <w:name w:val="heading 1"/>
    <w:basedOn w:val="Normln"/>
    <w:next w:val="Normln"/>
    <w:qFormat/>
    <w:rsid w:val="0025053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4A1E88"/>
    <w:pPr>
      <w:keepNext/>
      <w:spacing w:before="240" w:after="60" w:line="276" w:lineRule="auto"/>
      <w:ind w:left="540" w:hanging="540"/>
      <w:jc w:val="both"/>
      <w:outlineLvl w:val="1"/>
    </w:pPr>
    <w:rPr>
      <w:b/>
      <w:bCs/>
      <w:iCs/>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4">
    <w:name w:val="Char Char4"/>
    <w:basedOn w:val="Normln"/>
    <w:rsid w:val="00250530"/>
    <w:pPr>
      <w:spacing w:after="160" w:line="240" w:lineRule="exact"/>
    </w:pPr>
    <w:rPr>
      <w:rFonts w:ascii="Tahoma" w:hAnsi="Tahoma"/>
      <w:sz w:val="20"/>
      <w:szCs w:val="20"/>
      <w:lang w:val="en-US" w:eastAsia="en-US"/>
    </w:rPr>
  </w:style>
  <w:style w:type="paragraph" w:styleId="Obsah1">
    <w:name w:val="toc 1"/>
    <w:basedOn w:val="Normln"/>
    <w:next w:val="Normln"/>
    <w:autoRedefine/>
    <w:uiPriority w:val="39"/>
    <w:rsid w:val="00250530"/>
    <w:pPr>
      <w:spacing w:after="120"/>
      <w:jc w:val="both"/>
    </w:pPr>
  </w:style>
  <w:style w:type="character" w:styleId="Hypertextovodkaz">
    <w:name w:val="Hyperlink"/>
    <w:uiPriority w:val="99"/>
    <w:rsid w:val="00250530"/>
    <w:rPr>
      <w:color w:val="0000FF"/>
      <w:u w:val="single"/>
    </w:rPr>
  </w:style>
  <w:style w:type="paragraph" w:customStyle="1" w:styleId="CharChar6">
    <w:name w:val="Char Char6"/>
    <w:basedOn w:val="Normln"/>
    <w:rsid w:val="00250530"/>
    <w:pPr>
      <w:spacing w:after="160" w:line="240" w:lineRule="exact"/>
    </w:pPr>
    <w:rPr>
      <w:rFonts w:ascii="Tahoma" w:hAnsi="Tahoma"/>
      <w:sz w:val="20"/>
      <w:szCs w:val="20"/>
      <w:lang w:val="en-US" w:eastAsia="en-US"/>
    </w:rPr>
  </w:style>
  <w:style w:type="paragraph" w:styleId="Zhlav">
    <w:name w:val="header"/>
    <w:basedOn w:val="Normln"/>
    <w:link w:val="ZhlavChar"/>
    <w:rsid w:val="00250530"/>
    <w:pPr>
      <w:tabs>
        <w:tab w:val="center" w:pos="4536"/>
        <w:tab w:val="right" w:pos="9072"/>
      </w:tabs>
    </w:pPr>
  </w:style>
  <w:style w:type="paragraph" w:styleId="Zpat">
    <w:name w:val="footer"/>
    <w:basedOn w:val="Normln"/>
    <w:rsid w:val="00250530"/>
    <w:pPr>
      <w:tabs>
        <w:tab w:val="center" w:pos="4536"/>
        <w:tab w:val="right" w:pos="9072"/>
      </w:tabs>
    </w:pPr>
  </w:style>
  <w:style w:type="character" w:customStyle="1" w:styleId="ZhlavChar">
    <w:name w:val="Záhlaví Char"/>
    <w:link w:val="Zhlav"/>
    <w:locked/>
    <w:rsid w:val="00250530"/>
    <w:rPr>
      <w:sz w:val="24"/>
      <w:szCs w:val="24"/>
      <w:lang w:val="cs-CZ" w:eastAsia="cs-CZ" w:bidi="ar-SA"/>
    </w:rPr>
  </w:style>
  <w:style w:type="paragraph" w:customStyle="1" w:styleId="Nadpisobsahu1">
    <w:name w:val="Nadpis obsahu1"/>
    <w:basedOn w:val="Nadpis1"/>
    <w:next w:val="Normln"/>
    <w:qFormat/>
    <w:rsid w:val="00250530"/>
    <w:pPr>
      <w:keepLines/>
      <w:spacing w:before="480" w:after="0" w:line="276" w:lineRule="auto"/>
      <w:ind w:left="360" w:hanging="360"/>
      <w:jc w:val="both"/>
      <w:outlineLvl w:val="9"/>
    </w:pPr>
    <w:rPr>
      <w:rFonts w:ascii="Cambria" w:hAnsi="Cambria" w:cs="Cambria"/>
      <w:color w:val="365F91"/>
      <w:kern w:val="0"/>
      <w:sz w:val="28"/>
      <w:szCs w:val="28"/>
    </w:rPr>
  </w:style>
  <w:style w:type="table" w:styleId="Mkatabulky">
    <w:name w:val="Table Grid"/>
    <w:basedOn w:val="Normlntabulka"/>
    <w:rsid w:val="00250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250530"/>
    <w:pPr>
      <w:spacing w:after="120"/>
      <w:jc w:val="both"/>
    </w:pPr>
    <w:rPr>
      <w:sz w:val="20"/>
      <w:szCs w:val="20"/>
    </w:rPr>
  </w:style>
  <w:style w:type="character" w:styleId="Znakapoznpodarou">
    <w:name w:val="footnote reference"/>
    <w:semiHidden/>
    <w:rsid w:val="00250530"/>
    <w:rPr>
      <w:vertAlign w:val="superscript"/>
    </w:rPr>
  </w:style>
  <w:style w:type="character" w:customStyle="1" w:styleId="Tabulka10b">
    <w:name w:val="Tabulka 10 b"/>
    <w:rsid w:val="00250530"/>
    <w:rPr>
      <w:sz w:val="20"/>
    </w:rPr>
  </w:style>
  <w:style w:type="character" w:customStyle="1" w:styleId="TextpoznpodarouChar">
    <w:name w:val="Text pozn. pod čarou Char"/>
    <w:link w:val="Textpoznpodarou"/>
    <w:locked/>
    <w:rsid w:val="00250530"/>
    <w:rPr>
      <w:lang w:val="cs-CZ" w:eastAsia="cs-CZ" w:bidi="ar-SA"/>
    </w:rPr>
  </w:style>
  <w:style w:type="character" w:customStyle="1" w:styleId="apple-converted-space">
    <w:name w:val="apple-converted-space"/>
    <w:basedOn w:val="Standardnpsmoodstavce"/>
    <w:rsid w:val="00747255"/>
  </w:style>
  <w:style w:type="paragraph" w:customStyle="1" w:styleId="Odstavecseseznamem1">
    <w:name w:val="Odstavec se seznamem1"/>
    <w:basedOn w:val="Normln"/>
    <w:qFormat/>
    <w:rsid w:val="003633A4"/>
    <w:pPr>
      <w:spacing w:after="200" w:line="276" w:lineRule="auto"/>
      <w:ind w:left="720"/>
    </w:pPr>
    <w:rPr>
      <w:rFonts w:ascii="Calibri" w:eastAsia="Calibri" w:hAnsi="Calibri" w:cs="Calibri"/>
      <w:sz w:val="22"/>
      <w:szCs w:val="22"/>
    </w:rPr>
  </w:style>
  <w:style w:type="character" w:styleId="Odkaznakoment">
    <w:name w:val="annotation reference"/>
    <w:uiPriority w:val="99"/>
    <w:rsid w:val="00036752"/>
    <w:rPr>
      <w:sz w:val="16"/>
      <w:szCs w:val="16"/>
    </w:rPr>
  </w:style>
  <w:style w:type="paragraph" w:styleId="Textkomente">
    <w:name w:val="annotation text"/>
    <w:basedOn w:val="Normln"/>
    <w:link w:val="TextkomenteChar"/>
    <w:uiPriority w:val="99"/>
    <w:rsid w:val="00036752"/>
    <w:rPr>
      <w:sz w:val="20"/>
      <w:szCs w:val="20"/>
    </w:rPr>
  </w:style>
  <w:style w:type="paragraph" w:styleId="Pedmtkomente">
    <w:name w:val="annotation subject"/>
    <w:basedOn w:val="Textkomente"/>
    <w:next w:val="Textkomente"/>
    <w:semiHidden/>
    <w:rsid w:val="00036752"/>
    <w:rPr>
      <w:b/>
      <w:bCs/>
    </w:rPr>
  </w:style>
  <w:style w:type="paragraph" w:styleId="Textbubliny">
    <w:name w:val="Balloon Text"/>
    <w:basedOn w:val="Normln"/>
    <w:semiHidden/>
    <w:rsid w:val="00036752"/>
    <w:rPr>
      <w:rFonts w:ascii="Tahoma" w:hAnsi="Tahoma" w:cs="Tahoma"/>
      <w:sz w:val="16"/>
      <w:szCs w:val="16"/>
    </w:rPr>
  </w:style>
  <w:style w:type="character" w:customStyle="1" w:styleId="TextkomenteChar">
    <w:name w:val="Text komentáře Char"/>
    <w:link w:val="Textkomente"/>
    <w:uiPriority w:val="99"/>
    <w:locked/>
    <w:rsid w:val="00A26675"/>
    <w:rPr>
      <w:lang w:val="cs-CZ" w:eastAsia="cs-CZ" w:bidi="ar-SA"/>
    </w:rPr>
  </w:style>
  <w:style w:type="paragraph" w:styleId="Obsah2">
    <w:name w:val="toc 2"/>
    <w:basedOn w:val="Normln"/>
    <w:next w:val="Normln"/>
    <w:autoRedefine/>
    <w:uiPriority w:val="39"/>
    <w:rsid w:val="00D7152E"/>
    <w:pPr>
      <w:ind w:left="240"/>
    </w:pPr>
  </w:style>
  <w:style w:type="character" w:customStyle="1" w:styleId="CharChar2">
    <w:name w:val="Char Char2"/>
    <w:locked/>
    <w:rsid w:val="00931C01"/>
    <w:rPr>
      <w:rFonts w:ascii="Calibri" w:eastAsia="Calibri" w:hAnsi="Calibri" w:cs="Calibri"/>
      <w:lang w:val="cs-CZ" w:eastAsia="cs-CZ" w:bidi="ar-SA"/>
    </w:rPr>
  </w:style>
  <w:style w:type="paragraph" w:customStyle="1" w:styleId="normalodsazene">
    <w:name w:val="normalodsazene"/>
    <w:basedOn w:val="Normln"/>
    <w:link w:val="normalodsazeneChar2"/>
    <w:rsid w:val="00DE4D83"/>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DE4D83"/>
    <w:rPr>
      <w:rFonts w:ascii="Arial" w:hAnsi="Arial"/>
      <w:sz w:val="22"/>
      <w:szCs w:val="24"/>
      <w:lang w:val="cs-CZ" w:eastAsia="cs-CZ" w:bidi="ar-SA"/>
    </w:rPr>
  </w:style>
  <w:style w:type="paragraph" w:styleId="Zkladntext">
    <w:name w:val="Body Text"/>
    <w:basedOn w:val="Normln"/>
    <w:rsid w:val="00191BAF"/>
    <w:pPr>
      <w:jc w:val="both"/>
    </w:pPr>
    <w:rPr>
      <w:rFonts w:ascii="Arial" w:hAnsi="Arial" w:cs="Arial"/>
    </w:rPr>
  </w:style>
  <w:style w:type="character" w:styleId="slostrnky">
    <w:name w:val="page number"/>
    <w:basedOn w:val="Standardnpsmoodstavce"/>
    <w:rsid w:val="00E1638D"/>
  </w:style>
  <w:style w:type="paragraph" w:customStyle="1" w:styleId="Char4CharCharCharCharCharCharCharCharCharChar">
    <w:name w:val="Char4 Char Char Char Char Char Char Char Char Char Char"/>
    <w:basedOn w:val="Normln"/>
    <w:rsid w:val="000C7B74"/>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rsid w:val="00193DAC"/>
    <w:rPr>
      <w:sz w:val="20"/>
      <w:szCs w:val="20"/>
    </w:rPr>
  </w:style>
  <w:style w:type="character" w:customStyle="1" w:styleId="TextvysvtlivekChar">
    <w:name w:val="Text vysvětlivek Char"/>
    <w:basedOn w:val="Standardnpsmoodstavce"/>
    <w:link w:val="Textvysvtlivek"/>
    <w:rsid w:val="00193DAC"/>
  </w:style>
  <w:style w:type="character" w:styleId="Odkaznavysvtlivky">
    <w:name w:val="endnote reference"/>
    <w:rsid w:val="00193DAC"/>
    <w:rPr>
      <w:vertAlign w:val="superscript"/>
    </w:rPr>
  </w:style>
  <w:style w:type="paragraph" w:customStyle="1" w:styleId="CharChar60">
    <w:name w:val="Char Char6"/>
    <w:basedOn w:val="Normln"/>
    <w:rsid w:val="001911BF"/>
    <w:pPr>
      <w:spacing w:after="160" w:line="240" w:lineRule="exact"/>
    </w:pPr>
    <w:rPr>
      <w:rFonts w:ascii="Tahoma" w:hAnsi="Tahoma"/>
      <w:sz w:val="20"/>
      <w:szCs w:val="20"/>
      <w:lang w:val="en-US" w:eastAsia="en-US"/>
    </w:rPr>
  </w:style>
  <w:style w:type="paragraph" w:styleId="Revize">
    <w:name w:val="Revision"/>
    <w:hidden/>
    <w:uiPriority w:val="99"/>
    <w:semiHidden/>
    <w:rsid w:val="003A0F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27DAF-B341-4776-A136-21F4CAC03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64</Pages>
  <Words>10821</Words>
  <Characters>63850</Characters>
  <Application>Microsoft Office Word</Application>
  <DocSecurity>4</DocSecurity>
  <Lines>532</Lines>
  <Paragraphs>149</Paragraphs>
  <ScaleCrop>false</ScaleCrop>
  <HeadingPairs>
    <vt:vector size="2" baseType="variant">
      <vt:variant>
        <vt:lpstr>Název</vt:lpstr>
      </vt:variant>
      <vt:variant>
        <vt:i4>1</vt:i4>
      </vt:variant>
    </vt:vector>
  </HeadingPairs>
  <TitlesOfParts>
    <vt:vector size="1" baseType="lpstr">
      <vt:lpstr>Program</vt:lpstr>
    </vt:vector>
  </TitlesOfParts>
  <Company>MZČR</Company>
  <LinksUpToDate>false</LinksUpToDate>
  <CharactersWithSpaces>74522</CharactersWithSpaces>
  <SharedDoc>false</SharedDoc>
  <HLinks>
    <vt:vector size="174" baseType="variant">
      <vt:variant>
        <vt:i4>1835067</vt:i4>
      </vt:variant>
      <vt:variant>
        <vt:i4>170</vt:i4>
      </vt:variant>
      <vt:variant>
        <vt:i4>0</vt:i4>
      </vt:variant>
      <vt:variant>
        <vt:i4>5</vt:i4>
      </vt:variant>
      <vt:variant>
        <vt:lpwstr/>
      </vt:variant>
      <vt:variant>
        <vt:lpwstr>_Toc404896259</vt:lpwstr>
      </vt:variant>
      <vt:variant>
        <vt:i4>1835067</vt:i4>
      </vt:variant>
      <vt:variant>
        <vt:i4>164</vt:i4>
      </vt:variant>
      <vt:variant>
        <vt:i4>0</vt:i4>
      </vt:variant>
      <vt:variant>
        <vt:i4>5</vt:i4>
      </vt:variant>
      <vt:variant>
        <vt:lpwstr/>
      </vt:variant>
      <vt:variant>
        <vt:lpwstr>_Toc404896258</vt:lpwstr>
      </vt:variant>
      <vt:variant>
        <vt:i4>1835067</vt:i4>
      </vt:variant>
      <vt:variant>
        <vt:i4>158</vt:i4>
      </vt:variant>
      <vt:variant>
        <vt:i4>0</vt:i4>
      </vt:variant>
      <vt:variant>
        <vt:i4>5</vt:i4>
      </vt:variant>
      <vt:variant>
        <vt:lpwstr/>
      </vt:variant>
      <vt:variant>
        <vt:lpwstr>_Toc404896257</vt:lpwstr>
      </vt:variant>
      <vt:variant>
        <vt:i4>1835067</vt:i4>
      </vt:variant>
      <vt:variant>
        <vt:i4>152</vt:i4>
      </vt:variant>
      <vt:variant>
        <vt:i4>0</vt:i4>
      </vt:variant>
      <vt:variant>
        <vt:i4>5</vt:i4>
      </vt:variant>
      <vt:variant>
        <vt:lpwstr/>
      </vt:variant>
      <vt:variant>
        <vt:lpwstr>_Toc404896256</vt:lpwstr>
      </vt:variant>
      <vt:variant>
        <vt:i4>1835067</vt:i4>
      </vt:variant>
      <vt:variant>
        <vt:i4>146</vt:i4>
      </vt:variant>
      <vt:variant>
        <vt:i4>0</vt:i4>
      </vt:variant>
      <vt:variant>
        <vt:i4>5</vt:i4>
      </vt:variant>
      <vt:variant>
        <vt:lpwstr/>
      </vt:variant>
      <vt:variant>
        <vt:lpwstr>_Toc404896255</vt:lpwstr>
      </vt:variant>
      <vt:variant>
        <vt:i4>1835067</vt:i4>
      </vt:variant>
      <vt:variant>
        <vt:i4>140</vt:i4>
      </vt:variant>
      <vt:variant>
        <vt:i4>0</vt:i4>
      </vt:variant>
      <vt:variant>
        <vt:i4>5</vt:i4>
      </vt:variant>
      <vt:variant>
        <vt:lpwstr/>
      </vt:variant>
      <vt:variant>
        <vt:lpwstr>_Toc404896254</vt:lpwstr>
      </vt:variant>
      <vt:variant>
        <vt:i4>1835067</vt:i4>
      </vt:variant>
      <vt:variant>
        <vt:i4>134</vt:i4>
      </vt:variant>
      <vt:variant>
        <vt:i4>0</vt:i4>
      </vt:variant>
      <vt:variant>
        <vt:i4>5</vt:i4>
      </vt:variant>
      <vt:variant>
        <vt:lpwstr/>
      </vt:variant>
      <vt:variant>
        <vt:lpwstr>_Toc404896253</vt:lpwstr>
      </vt:variant>
      <vt:variant>
        <vt:i4>1835067</vt:i4>
      </vt:variant>
      <vt:variant>
        <vt:i4>128</vt:i4>
      </vt:variant>
      <vt:variant>
        <vt:i4>0</vt:i4>
      </vt:variant>
      <vt:variant>
        <vt:i4>5</vt:i4>
      </vt:variant>
      <vt:variant>
        <vt:lpwstr/>
      </vt:variant>
      <vt:variant>
        <vt:lpwstr>_Toc404896252</vt:lpwstr>
      </vt:variant>
      <vt:variant>
        <vt:i4>1835067</vt:i4>
      </vt:variant>
      <vt:variant>
        <vt:i4>122</vt:i4>
      </vt:variant>
      <vt:variant>
        <vt:i4>0</vt:i4>
      </vt:variant>
      <vt:variant>
        <vt:i4>5</vt:i4>
      </vt:variant>
      <vt:variant>
        <vt:lpwstr/>
      </vt:variant>
      <vt:variant>
        <vt:lpwstr>_Toc404896251</vt:lpwstr>
      </vt:variant>
      <vt:variant>
        <vt:i4>1835067</vt:i4>
      </vt:variant>
      <vt:variant>
        <vt:i4>116</vt:i4>
      </vt:variant>
      <vt:variant>
        <vt:i4>0</vt:i4>
      </vt:variant>
      <vt:variant>
        <vt:i4>5</vt:i4>
      </vt:variant>
      <vt:variant>
        <vt:lpwstr/>
      </vt:variant>
      <vt:variant>
        <vt:lpwstr>_Toc404896250</vt:lpwstr>
      </vt:variant>
      <vt:variant>
        <vt:i4>1900603</vt:i4>
      </vt:variant>
      <vt:variant>
        <vt:i4>110</vt:i4>
      </vt:variant>
      <vt:variant>
        <vt:i4>0</vt:i4>
      </vt:variant>
      <vt:variant>
        <vt:i4>5</vt:i4>
      </vt:variant>
      <vt:variant>
        <vt:lpwstr/>
      </vt:variant>
      <vt:variant>
        <vt:lpwstr>_Toc404896249</vt:lpwstr>
      </vt:variant>
      <vt:variant>
        <vt:i4>1900603</vt:i4>
      </vt:variant>
      <vt:variant>
        <vt:i4>104</vt:i4>
      </vt:variant>
      <vt:variant>
        <vt:i4>0</vt:i4>
      </vt:variant>
      <vt:variant>
        <vt:i4>5</vt:i4>
      </vt:variant>
      <vt:variant>
        <vt:lpwstr/>
      </vt:variant>
      <vt:variant>
        <vt:lpwstr>_Toc404896248</vt:lpwstr>
      </vt:variant>
      <vt:variant>
        <vt:i4>1900603</vt:i4>
      </vt:variant>
      <vt:variant>
        <vt:i4>98</vt:i4>
      </vt:variant>
      <vt:variant>
        <vt:i4>0</vt:i4>
      </vt:variant>
      <vt:variant>
        <vt:i4>5</vt:i4>
      </vt:variant>
      <vt:variant>
        <vt:lpwstr/>
      </vt:variant>
      <vt:variant>
        <vt:lpwstr>_Toc404896247</vt:lpwstr>
      </vt:variant>
      <vt:variant>
        <vt:i4>1900603</vt:i4>
      </vt:variant>
      <vt:variant>
        <vt:i4>92</vt:i4>
      </vt:variant>
      <vt:variant>
        <vt:i4>0</vt:i4>
      </vt:variant>
      <vt:variant>
        <vt:i4>5</vt:i4>
      </vt:variant>
      <vt:variant>
        <vt:lpwstr/>
      </vt:variant>
      <vt:variant>
        <vt:lpwstr>_Toc404896246</vt:lpwstr>
      </vt:variant>
      <vt:variant>
        <vt:i4>1900603</vt:i4>
      </vt:variant>
      <vt:variant>
        <vt:i4>86</vt:i4>
      </vt:variant>
      <vt:variant>
        <vt:i4>0</vt:i4>
      </vt:variant>
      <vt:variant>
        <vt:i4>5</vt:i4>
      </vt:variant>
      <vt:variant>
        <vt:lpwstr/>
      </vt:variant>
      <vt:variant>
        <vt:lpwstr>_Toc404896245</vt:lpwstr>
      </vt:variant>
      <vt:variant>
        <vt:i4>1900603</vt:i4>
      </vt:variant>
      <vt:variant>
        <vt:i4>80</vt:i4>
      </vt:variant>
      <vt:variant>
        <vt:i4>0</vt:i4>
      </vt:variant>
      <vt:variant>
        <vt:i4>5</vt:i4>
      </vt:variant>
      <vt:variant>
        <vt:lpwstr/>
      </vt:variant>
      <vt:variant>
        <vt:lpwstr>_Toc404896244</vt:lpwstr>
      </vt:variant>
      <vt:variant>
        <vt:i4>1900603</vt:i4>
      </vt:variant>
      <vt:variant>
        <vt:i4>74</vt:i4>
      </vt:variant>
      <vt:variant>
        <vt:i4>0</vt:i4>
      </vt:variant>
      <vt:variant>
        <vt:i4>5</vt:i4>
      </vt:variant>
      <vt:variant>
        <vt:lpwstr/>
      </vt:variant>
      <vt:variant>
        <vt:lpwstr>_Toc404896243</vt:lpwstr>
      </vt:variant>
      <vt:variant>
        <vt:i4>1900603</vt:i4>
      </vt:variant>
      <vt:variant>
        <vt:i4>68</vt:i4>
      </vt:variant>
      <vt:variant>
        <vt:i4>0</vt:i4>
      </vt:variant>
      <vt:variant>
        <vt:i4>5</vt:i4>
      </vt:variant>
      <vt:variant>
        <vt:lpwstr/>
      </vt:variant>
      <vt:variant>
        <vt:lpwstr>_Toc404896242</vt:lpwstr>
      </vt:variant>
      <vt:variant>
        <vt:i4>1900603</vt:i4>
      </vt:variant>
      <vt:variant>
        <vt:i4>62</vt:i4>
      </vt:variant>
      <vt:variant>
        <vt:i4>0</vt:i4>
      </vt:variant>
      <vt:variant>
        <vt:i4>5</vt:i4>
      </vt:variant>
      <vt:variant>
        <vt:lpwstr/>
      </vt:variant>
      <vt:variant>
        <vt:lpwstr>_Toc404896241</vt:lpwstr>
      </vt:variant>
      <vt:variant>
        <vt:i4>1900603</vt:i4>
      </vt:variant>
      <vt:variant>
        <vt:i4>56</vt:i4>
      </vt:variant>
      <vt:variant>
        <vt:i4>0</vt:i4>
      </vt:variant>
      <vt:variant>
        <vt:i4>5</vt:i4>
      </vt:variant>
      <vt:variant>
        <vt:lpwstr/>
      </vt:variant>
      <vt:variant>
        <vt:lpwstr>_Toc404896240</vt:lpwstr>
      </vt:variant>
      <vt:variant>
        <vt:i4>1703995</vt:i4>
      </vt:variant>
      <vt:variant>
        <vt:i4>50</vt:i4>
      </vt:variant>
      <vt:variant>
        <vt:i4>0</vt:i4>
      </vt:variant>
      <vt:variant>
        <vt:i4>5</vt:i4>
      </vt:variant>
      <vt:variant>
        <vt:lpwstr/>
      </vt:variant>
      <vt:variant>
        <vt:lpwstr>_Toc404896239</vt:lpwstr>
      </vt:variant>
      <vt:variant>
        <vt:i4>1703995</vt:i4>
      </vt:variant>
      <vt:variant>
        <vt:i4>44</vt:i4>
      </vt:variant>
      <vt:variant>
        <vt:i4>0</vt:i4>
      </vt:variant>
      <vt:variant>
        <vt:i4>5</vt:i4>
      </vt:variant>
      <vt:variant>
        <vt:lpwstr/>
      </vt:variant>
      <vt:variant>
        <vt:lpwstr>_Toc404896238</vt:lpwstr>
      </vt:variant>
      <vt:variant>
        <vt:i4>1703995</vt:i4>
      </vt:variant>
      <vt:variant>
        <vt:i4>38</vt:i4>
      </vt:variant>
      <vt:variant>
        <vt:i4>0</vt:i4>
      </vt:variant>
      <vt:variant>
        <vt:i4>5</vt:i4>
      </vt:variant>
      <vt:variant>
        <vt:lpwstr/>
      </vt:variant>
      <vt:variant>
        <vt:lpwstr>_Toc404896237</vt:lpwstr>
      </vt:variant>
      <vt:variant>
        <vt:i4>1703995</vt:i4>
      </vt:variant>
      <vt:variant>
        <vt:i4>32</vt:i4>
      </vt:variant>
      <vt:variant>
        <vt:i4>0</vt:i4>
      </vt:variant>
      <vt:variant>
        <vt:i4>5</vt:i4>
      </vt:variant>
      <vt:variant>
        <vt:lpwstr/>
      </vt:variant>
      <vt:variant>
        <vt:lpwstr>_Toc404896236</vt:lpwstr>
      </vt:variant>
      <vt:variant>
        <vt:i4>1703995</vt:i4>
      </vt:variant>
      <vt:variant>
        <vt:i4>26</vt:i4>
      </vt:variant>
      <vt:variant>
        <vt:i4>0</vt:i4>
      </vt:variant>
      <vt:variant>
        <vt:i4>5</vt:i4>
      </vt:variant>
      <vt:variant>
        <vt:lpwstr/>
      </vt:variant>
      <vt:variant>
        <vt:lpwstr>_Toc404896235</vt:lpwstr>
      </vt:variant>
      <vt:variant>
        <vt:i4>1703995</vt:i4>
      </vt:variant>
      <vt:variant>
        <vt:i4>20</vt:i4>
      </vt:variant>
      <vt:variant>
        <vt:i4>0</vt:i4>
      </vt:variant>
      <vt:variant>
        <vt:i4>5</vt:i4>
      </vt:variant>
      <vt:variant>
        <vt:lpwstr/>
      </vt:variant>
      <vt:variant>
        <vt:lpwstr>_Toc404896234</vt:lpwstr>
      </vt:variant>
      <vt:variant>
        <vt:i4>1703995</vt:i4>
      </vt:variant>
      <vt:variant>
        <vt:i4>14</vt:i4>
      </vt:variant>
      <vt:variant>
        <vt:i4>0</vt:i4>
      </vt:variant>
      <vt:variant>
        <vt:i4>5</vt:i4>
      </vt:variant>
      <vt:variant>
        <vt:lpwstr/>
      </vt:variant>
      <vt:variant>
        <vt:lpwstr>_Toc404896233</vt:lpwstr>
      </vt:variant>
      <vt:variant>
        <vt:i4>1703995</vt:i4>
      </vt:variant>
      <vt:variant>
        <vt:i4>8</vt:i4>
      </vt:variant>
      <vt:variant>
        <vt:i4>0</vt:i4>
      </vt:variant>
      <vt:variant>
        <vt:i4>5</vt:i4>
      </vt:variant>
      <vt:variant>
        <vt:lpwstr/>
      </vt:variant>
      <vt:variant>
        <vt:lpwstr>_Toc404896232</vt:lpwstr>
      </vt:variant>
      <vt:variant>
        <vt:i4>1703995</vt:i4>
      </vt:variant>
      <vt:variant>
        <vt:i4>2</vt:i4>
      </vt:variant>
      <vt:variant>
        <vt:i4>0</vt:i4>
      </vt:variant>
      <vt:variant>
        <vt:i4>5</vt:i4>
      </vt:variant>
      <vt:variant>
        <vt:lpwstr/>
      </vt:variant>
      <vt:variant>
        <vt:lpwstr>_Toc404896231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dc:title>
  <dc:creator>Marketa</dc:creator>
  <cp:lastModifiedBy>Nováková Marta</cp:lastModifiedBy>
  <cp:revision>2</cp:revision>
  <cp:lastPrinted>2015-05-04T14:39:00Z</cp:lastPrinted>
  <dcterms:created xsi:type="dcterms:W3CDTF">2021-03-18T10:30:00Z</dcterms:created>
  <dcterms:modified xsi:type="dcterms:W3CDTF">2021-03-18T10:30:00Z</dcterms:modified>
</cp:coreProperties>
</file>