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7137C" w14:textId="77777777" w:rsidR="003914A5" w:rsidRDefault="001530F3" w:rsidP="000623A0">
      <w:pPr>
        <w:jc w:val="both"/>
      </w:pPr>
      <w:r>
        <w:tab/>
      </w:r>
    </w:p>
    <w:p w14:paraId="5B23513D" w14:textId="77777777" w:rsidR="003914A5" w:rsidRDefault="003914A5" w:rsidP="00FB7A16">
      <w:pPr>
        <w:spacing w:after="240" w:line="281" w:lineRule="auto"/>
        <w:rPr>
          <w:b/>
          <w:color w:val="C00000"/>
          <w:sz w:val="24"/>
          <w:szCs w:val="30"/>
        </w:rPr>
      </w:pPr>
      <w:r w:rsidRPr="00F405FB">
        <w:rPr>
          <w:b/>
          <w:color w:val="C00000"/>
          <w:sz w:val="36"/>
          <w:szCs w:val="30"/>
        </w:rPr>
        <w:t xml:space="preserve">Doporučení pro Poskytovatele finanční podpory VaVaI </w:t>
      </w:r>
      <w:r w:rsidRPr="00F405FB">
        <w:rPr>
          <w:b/>
          <w:color w:val="C00000"/>
          <w:sz w:val="24"/>
          <w:szCs w:val="30"/>
        </w:rPr>
        <w:t>(dále jen Poskytovatel) k aplikaci postupů otevřené vědy v podmínkách národních programů a veřejných soutěží ve výzkumu, vývoji a inovacích (dále jen VaVaI)</w:t>
      </w:r>
    </w:p>
    <w:p w14:paraId="494AEDE2" w14:textId="221645E6" w:rsidR="003914A5" w:rsidRDefault="00F96FBE" w:rsidP="000E3D9B">
      <w:pPr>
        <w:spacing w:after="200"/>
        <w:jc w:val="both"/>
      </w:pPr>
      <w:r>
        <w:t xml:space="preserve">Cílem </w:t>
      </w:r>
      <w:r w:rsidR="00C256DC">
        <w:t>Doporučení</w:t>
      </w:r>
      <w:r w:rsidR="000E3D9B">
        <w:rPr>
          <w:rStyle w:val="Znakapoznpodarou"/>
        </w:rPr>
        <w:footnoteReference w:id="1"/>
      </w:r>
      <w:r w:rsidR="00C256DC">
        <w:t xml:space="preserve"> pro Poskytovatele (dále jen Doporučení) </w:t>
      </w:r>
      <w:r>
        <w:t xml:space="preserve">je přinést </w:t>
      </w:r>
      <w:r w:rsidR="00C256DC">
        <w:t xml:space="preserve">na systémové úrovni </w:t>
      </w:r>
      <w:r w:rsidR="00F74706">
        <w:t>určitý návod, který pomůže jak Poskytovatelům, tak konsekventně Příjemcům</w:t>
      </w:r>
      <w:r w:rsidR="00DE4E38" w:rsidRPr="00DE4E38">
        <w:t xml:space="preserve"> </w:t>
      </w:r>
      <w:r w:rsidR="00DE4E38">
        <w:t>podpory (dále jen Příjemci)</w:t>
      </w:r>
      <w:r w:rsidR="00F74706">
        <w:t xml:space="preserve"> zorientovat se v této kom</w:t>
      </w:r>
      <w:r w:rsidR="000D1105">
        <w:t>p</w:t>
      </w:r>
      <w:r w:rsidR="00F74706">
        <w:t>lexní oblasti.</w:t>
      </w:r>
      <w:r w:rsidR="000D1105">
        <w:t xml:space="preserve"> </w:t>
      </w:r>
      <w:r w:rsidR="003914A5">
        <w:t xml:space="preserve">Návrh Doporučení </w:t>
      </w:r>
      <w:r w:rsidR="00926761">
        <w:t>je v souladu se současnou českou legislativou, respektu</w:t>
      </w:r>
      <w:r w:rsidR="003914A5">
        <w:t xml:space="preserve">je mezinárodní i </w:t>
      </w:r>
      <w:r w:rsidR="0001683A">
        <w:t xml:space="preserve">evropské </w:t>
      </w:r>
      <w:r w:rsidR="00787751">
        <w:t xml:space="preserve">dokumenty </w:t>
      </w:r>
      <w:r w:rsidR="00E512D3">
        <w:t>(např. D</w:t>
      </w:r>
      <w:r w:rsidR="003914A5">
        <w:t>oporučení</w:t>
      </w:r>
      <w:r w:rsidR="00E512D3">
        <w:t xml:space="preserve"> komise</w:t>
      </w:r>
      <w:r w:rsidR="003914A5">
        <w:t xml:space="preserve"> EU</w:t>
      </w:r>
      <w:r w:rsidR="00E512D3">
        <w:rPr>
          <w:rStyle w:val="Znakapoznpodarou"/>
        </w:rPr>
        <w:footnoteReference w:id="2"/>
      </w:r>
      <w:r w:rsidR="00E512D3">
        <w:t>)</w:t>
      </w:r>
      <w:r w:rsidR="00926761">
        <w:t xml:space="preserve">. Reflektuje </w:t>
      </w:r>
      <w:r w:rsidR="003914A5">
        <w:t>současn</w:t>
      </w:r>
      <w:r w:rsidR="00926761">
        <w:t>é</w:t>
      </w:r>
      <w:r w:rsidR="003914A5">
        <w:t xml:space="preserve"> a budoucí výstupy projektů, realizovaných v České republice, které problematiku otevřeného přístupu k vědeckým informacím a k datům řeší a zavádějí tak postupně koncept otevřené vědy do českého prostředí VaVaI.</w:t>
      </w:r>
      <w:r w:rsidR="003914A5" w:rsidRPr="00957FF0">
        <w:t xml:space="preserve"> </w:t>
      </w:r>
      <w:r w:rsidR="003914A5" w:rsidRPr="003A102F">
        <w:t>Výchozí dokumenty, o něž se Doporučení opírá</w:t>
      </w:r>
      <w:r w:rsidR="003914A5">
        <w:t xml:space="preserve">, jsou uvedeny </w:t>
      </w:r>
      <w:r w:rsidR="003914A5" w:rsidRPr="00EE41DD">
        <w:t>v</w:t>
      </w:r>
      <w:r w:rsidR="004720B5" w:rsidRPr="00EE41DD">
        <w:t xml:space="preserve"> závěru </w:t>
      </w:r>
      <w:r w:rsidR="003914A5" w:rsidRPr="00EE41DD">
        <w:t>Doporučení</w:t>
      </w:r>
      <w:r w:rsidR="003914A5">
        <w:t>.</w:t>
      </w:r>
    </w:p>
    <w:p w14:paraId="5A94D489" w14:textId="0A39F19D" w:rsidR="003914A5" w:rsidRPr="006E6DE0" w:rsidRDefault="003914A5" w:rsidP="000E3D9B">
      <w:pPr>
        <w:spacing w:after="200"/>
        <w:jc w:val="both"/>
      </w:pPr>
      <w:r w:rsidRPr="00EE41DD">
        <w:t>Otevřená věda – Open Science</w:t>
      </w:r>
      <w:r w:rsidRPr="00667C8A">
        <w:t xml:space="preserve"> je koncept v rámci výzkumného procesu, který usiluje o</w:t>
      </w:r>
      <w:r w:rsidR="00FD21F8">
        <w:t> </w:t>
      </w:r>
      <w:r w:rsidRPr="00EE41DD">
        <w:t>otevřený přístup – Open Access</w:t>
      </w:r>
      <w:r>
        <w:t xml:space="preserve"> </w:t>
      </w:r>
      <w:r w:rsidRPr="00667C8A">
        <w:t>k vědeckým výsledkům s využitím nových digitálníc</w:t>
      </w:r>
      <w:r>
        <w:t xml:space="preserve">h technologií </w:t>
      </w:r>
      <w:r w:rsidR="000E3D9B">
        <w:br/>
      </w:r>
      <w:r>
        <w:t>a nástrojů.</w:t>
      </w:r>
      <w:r w:rsidRPr="00667C8A">
        <w:t xml:space="preserve"> Hlavním cílem je zlepšení dostupnosti a opětovné využitelnosti výsledků výzkumu, </w:t>
      </w:r>
      <w:r w:rsidR="00926761">
        <w:t>úspora</w:t>
      </w:r>
      <w:r w:rsidR="00926761" w:rsidRPr="00667C8A">
        <w:t xml:space="preserve"> </w:t>
      </w:r>
      <w:r w:rsidRPr="00667C8A">
        <w:t xml:space="preserve">finančních zdrojů, možnost navázat nové spolupráce a zajištění transparentnosti výzkumu, která </w:t>
      </w:r>
      <w:r w:rsidR="0001683A">
        <w:t xml:space="preserve">by měla </w:t>
      </w:r>
      <w:r w:rsidR="0001683A" w:rsidRPr="00667C8A">
        <w:t>umož</w:t>
      </w:r>
      <w:r w:rsidR="0001683A">
        <w:t>ňovat</w:t>
      </w:r>
      <w:r w:rsidR="0001683A" w:rsidRPr="00667C8A">
        <w:t xml:space="preserve"> </w:t>
      </w:r>
      <w:r w:rsidRPr="00667C8A">
        <w:t>replikaci výsledků, vyvoláv</w:t>
      </w:r>
      <w:r w:rsidR="0001683A">
        <w:t xml:space="preserve">at </w:t>
      </w:r>
      <w:r w:rsidRPr="00667C8A">
        <w:t xml:space="preserve">větší důvěru ve výzkum, </w:t>
      </w:r>
      <w:r w:rsidR="0001683A" w:rsidRPr="00667C8A">
        <w:t>usnadň</w:t>
      </w:r>
      <w:r w:rsidR="0001683A">
        <w:t>ovat</w:t>
      </w:r>
      <w:r w:rsidR="0001683A" w:rsidRPr="00667C8A">
        <w:t xml:space="preserve"> </w:t>
      </w:r>
      <w:r w:rsidRPr="00667C8A">
        <w:t xml:space="preserve">hodnocení výsledků a vědecké diskuse a </w:t>
      </w:r>
      <w:r w:rsidR="0001683A" w:rsidRPr="00667C8A">
        <w:t>zvyš</w:t>
      </w:r>
      <w:r w:rsidR="0001683A">
        <w:t>ovat</w:t>
      </w:r>
      <w:r w:rsidR="0001683A" w:rsidRPr="00667C8A">
        <w:t xml:space="preserve"> </w:t>
      </w:r>
      <w:r w:rsidRPr="00667C8A">
        <w:t>impakt vědců i</w:t>
      </w:r>
      <w:r w:rsidR="00FD21F8">
        <w:t> </w:t>
      </w:r>
      <w:r w:rsidRPr="00667C8A">
        <w:t xml:space="preserve">výzkumných institucí. </w:t>
      </w:r>
      <w:r w:rsidR="00926761" w:rsidRPr="00E94B78">
        <w:t xml:space="preserve">To </w:t>
      </w:r>
      <w:r w:rsidR="00926761">
        <w:t xml:space="preserve">by mělo </w:t>
      </w:r>
      <w:r w:rsidR="00926761" w:rsidRPr="00E94B78">
        <w:t>přisp</w:t>
      </w:r>
      <w:r w:rsidR="00926761">
        <w:t>ět</w:t>
      </w:r>
      <w:r w:rsidR="00926761" w:rsidRPr="00E94B78">
        <w:t xml:space="preserve"> k urychlení a z</w:t>
      </w:r>
      <w:r w:rsidR="00926761">
        <w:t xml:space="preserve">výšení </w:t>
      </w:r>
      <w:r w:rsidR="00926761" w:rsidRPr="00E94B78">
        <w:t>efektiv</w:t>
      </w:r>
      <w:r w:rsidR="00926761">
        <w:t>ity</w:t>
      </w:r>
      <w:r w:rsidR="00926761" w:rsidRPr="00E94B78">
        <w:t xml:space="preserve"> </w:t>
      </w:r>
      <w:r w:rsidRPr="00667C8A">
        <w:t>výzkumu a zlepšení jeho kvality.</w:t>
      </w:r>
      <w:r>
        <w:t xml:space="preserve"> </w:t>
      </w:r>
      <w:r w:rsidR="00926761" w:rsidRPr="00926761">
        <w:t xml:space="preserve">Předpokládá se, že postupy otevřené vědy by mohly </w:t>
      </w:r>
      <w:r>
        <w:t xml:space="preserve">postupně přinášet hospodářský, sociální </w:t>
      </w:r>
      <w:r w:rsidR="000E3D9B">
        <w:br/>
      </w:r>
      <w:r>
        <w:t xml:space="preserve">a kulturní prospěch nejen veřejnému sektoru, ale také podnikové sféře (zejména malým </w:t>
      </w:r>
      <w:r w:rsidR="000E3D9B">
        <w:br/>
      </w:r>
      <w:r>
        <w:t xml:space="preserve">a </w:t>
      </w:r>
      <w:r w:rsidRPr="006E6DE0">
        <w:t>středním podnikům), a obecně celé společnosti.</w:t>
      </w:r>
      <w:r w:rsidR="001A3461">
        <w:t xml:space="preserve"> S</w:t>
      </w:r>
      <w:r w:rsidR="001A3461" w:rsidRPr="001A3461">
        <w:t xml:space="preserve"> ohledem na (nejen) geopolitický vývoj je </w:t>
      </w:r>
      <w:r w:rsidR="001A3461">
        <w:t xml:space="preserve">ovšem </w:t>
      </w:r>
      <w:r w:rsidR="001A3461" w:rsidRPr="001A3461">
        <w:t>i oblast otevřené vědy jedním z témat strategické autonomie a</w:t>
      </w:r>
      <w:r w:rsidR="001A3461">
        <w:t> </w:t>
      </w:r>
      <w:r w:rsidR="001A3461" w:rsidRPr="001A3461">
        <w:t>od</w:t>
      </w:r>
      <w:r w:rsidR="001A3461">
        <w:t>olnosti výzkumných systému na ná</w:t>
      </w:r>
      <w:r w:rsidR="001A3461" w:rsidRPr="001A3461">
        <w:t>rodní i institucionální úrovni</w:t>
      </w:r>
    </w:p>
    <w:p w14:paraId="1AAA7905" w14:textId="77777777" w:rsidR="00926761" w:rsidRDefault="00926761" w:rsidP="000E3D9B">
      <w:pPr>
        <w:spacing w:after="200"/>
        <w:jc w:val="both"/>
      </w:pPr>
      <w:r w:rsidRPr="006E6DE0">
        <w:t>Hlavními pilíři otevřené vědy jsou zejména otevřený přístup k recenzovaným vědeckým publikacím (Open Access) a otevřený přístup k výzkumným datům (Open Data)</w:t>
      </w:r>
      <w:r w:rsidR="00E512D3" w:rsidRPr="006E6DE0">
        <w:rPr>
          <w:rStyle w:val="Znakapoznpodarou"/>
        </w:rPr>
        <w:footnoteReference w:id="3"/>
      </w:r>
      <w:r w:rsidRPr="006E6DE0">
        <w:t>.</w:t>
      </w:r>
      <w:r>
        <w:t xml:space="preserve"> </w:t>
      </w:r>
    </w:p>
    <w:p w14:paraId="18F161DA" w14:textId="77777777" w:rsidR="003914A5" w:rsidRDefault="003914A5" w:rsidP="000E3D9B">
      <w:pPr>
        <w:pStyle w:val="Nadpis2"/>
        <w:numPr>
          <w:ilvl w:val="0"/>
          <w:numId w:val="18"/>
        </w:numPr>
        <w:spacing w:after="180" w:line="281" w:lineRule="auto"/>
        <w:ind w:left="426" w:hanging="426"/>
        <w:jc w:val="both"/>
      </w:pPr>
      <w:r>
        <w:t>Otevřený přístup k recenzovaným vědeckým publikacím</w:t>
      </w:r>
      <w:r w:rsidRPr="006E6DE0">
        <w:rPr>
          <w:b w:val="0"/>
          <w:sz w:val="22"/>
          <w:szCs w:val="22"/>
          <w:vertAlign w:val="superscript"/>
        </w:rPr>
        <w:footnoteReference w:id="4"/>
      </w:r>
    </w:p>
    <w:p w14:paraId="7F43A209" w14:textId="77777777" w:rsidR="000B79DB" w:rsidRDefault="00343D22" w:rsidP="000E3D9B">
      <w:pPr>
        <w:spacing w:after="200"/>
        <w:jc w:val="both"/>
      </w:pPr>
      <w:r>
        <w:t>Přestože je otevřený přístup</w:t>
      </w:r>
      <w:r w:rsidRPr="00343D22">
        <w:t xml:space="preserve"> </w:t>
      </w:r>
      <w:r>
        <w:t xml:space="preserve">k vědeckým publikacím v řadě zemí již </w:t>
      </w:r>
      <w:r w:rsidR="006F180A">
        <w:t>více než</w:t>
      </w:r>
      <w:r>
        <w:t xml:space="preserve"> 10 let podporován jako prospěšný nejen pro vědecký provoz samotný, ale </w:t>
      </w:r>
      <w:r w:rsidR="006F180A">
        <w:t xml:space="preserve">i </w:t>
      </w:r>
      <w:r>
        <w:t xml:space="preserve">pro jeho </w:t>
      </w:r>
      <w:r w:rsidR="006F180A">
        <w:t>předpokládaný přínos ekonomický, zatím není známa žádná studie, která by tento efekt potvrdila. V </w:t>
      </w:r>
      <w:r w:rsidR="006F180A" w:rsidRPr="00926761">
        <w:t>evropské</w:t>
      </w:r>
      <w:r w:rsidR="006F180A">
        <w:t>m</w:t>
      </w:r>
      <w:r w:rsidR="006F180A" w:rsidRPr="00926761">
        <w:t xml:space="preserve"> </w:t>
      </w:r>
      <w:r w:rsidR="006F180A">
        <w:t>měřítk</w:t>
      </w:r>
      <w:r w:rsidR="006F180A" w:rsidRPr="00926761">
        <w:t>u existuje</w:t>
      </w:r>
      <w:r w:rsidR="006F180A">
        <w:t xml:space="preserve"> pouze</w:t>
      </w:r>
      <w:r w:rsidR="006F180A" w:rsidRPr="00926761">
        <w:t xml:space="preserve"> celá řada právně nezávazných doporučení a iniciativ, které členským státům doporučují připravit jasné strategie a další podpůrná opatření</w:t>
      </w:r>
      <w:r w:rsidR="000B79DB">
        <w:t xml:space="preserve"> a některé evropské země zákonnou úpravu přijaly</w:t>
      </w:r>
      <w:r w:rsidR="006F180A">
        <w:t xml:space="preserve">. </w:t>
      </w:r>
      <w:r w:rsidR="000B79DB">
        <w:t>Nicméně v</w:t>
      </w:r>
      <w:r w:rsidR="006F180A">
        <w:t xml:space="preserve"> českém </w:t>
      </w:r>
      <w:r w:rsidR="00926761" w:rsidRPr="00926761">
        <w:t xml:space="preserve">zákoně č. 130/2002 Sb., o podpoře výzkumu, experimentálního </w:t>
      </w:r>
      <w:r w:rsidR="00926761" w:rsidRPr="00926761">
        <w:lastRenderedPageBreak/>
        <w:t>vývoje a inovací, ve znění pozdějších předpisů není problematika otevřeného přístupu závazně upravena</w:t>
      </w:r>
      <w:r w:rsidR="000B79DB">
        <w:t xml:space="preserve">, i když lze předpokládat, že se tak v budoucnu </w:t>
      </w:r>
      <w:r w:rsidR="00A6281F">
        <w:t xml:space="preserve">může </w:t>
      </w:r>
      <w:r w:rsidR="000B79DB">
        <w:t>st</w:t>
      </w:r>
      <w:r w:rsidR="00A6281F">
        <w:t>át</w:t>
      </w:r>
      <w:r w:rsidR="00926761" w:rsidRPr="00926761">
        <w:t>.</w:t>
      </w:r>
    </w:p>
    <w:p w14:paraId="60AC3C29" w14:textId="77777777" w:rsidR="00E512D3" w:rsidRDefault="00E512D3" w:rsidP="000E3D9B">
      <w:pPr>
        <w:spacing w:after="60" w:line="281" w:lineRule="auto"/>
        <w:jc w:val="both"/>
      </w:pPr>
      <w:r>
        <w:t xml:space="preserve">Proto lze Poskytovatelům doporučit, aby </w:t>
      </w:r>
      <w:r w:rsidR="00DE4E38">
        <w:t>P</w:t>
      </w:r>
      <w:r>
        <w:t xml:space="preserve">říjemce motivovali k </w:t>
      </w:r>
      <w:r w:rsidR="000B79DB">
        <w:t xml:space="preserve">publikování formou Open Access </w:t>
      </w:r>
      <w:r w:rsidR="00CA7CC2">
        <w:t>podle</w:t>
      </w:r>
      <w:r>
        <w:t xml:space="preserve"> následující</w:t>
      </w:r>
      <w:r w:rsidR="00CA7CC2">
        <w:t>ch</w:t>
      </w:r>
      <w:r>
        <w:t xml:space="preserve"> princip</w:t>
      </w:r>
      <w:r w:rsidR="00CA7CC2">
        <w:t>ů</w:t>
      </w:r>
      <w:r>
        <w:t>:</w:t>
      </w:r>
    </w:p>
    <w:p w14:paraId="4A8CEBB4" w14:textId="77777777" w:rsidR="00E512D3" w:rsidRDefault="00E512D3" w:rsidP="000E3D9B">
      <w:pPr>
        <w:pStyle w:val="Odstavecseseznamem"/>
        <w:numPr>
          <w:ilvl w:val="0"/>
          <w:numId w:val="20"/>
        </w:numPr>
        <w:spacing w:after="60" w:line="281" w:lineRule="auto"/>
        <w:ind w:left="567"/>
        <w:jc w:val="both"/>
      </w:pPr>
      <w:r>
        <w:t>zv</w:t>
      </w:r>
      <w:r w:rsidR="00CA7CC2">
        <w:t>yšová</w:t>
      </w:r>
      <w:r>
        <w:t>ní podílu výsledků, které budou formou Open Access publikovány (s výjimkou výsledků, kde to z principu není možné, např. monografie),</w:t>
      </w:r>
    </w:p>
    <w:p w14:paraId="1B3B2711" w14:textId="23388BCF" w:rsidR="00E512D3" w:rsidRDefault="00CA7CC2" w:rsidP="000E3D9B">
      <w:pPr>
        <w:pStyle w:val="Odstavecseseznamem"/>
        <w:numPr>
          <w:ilvl w:val="0"/>
          <w:numId w:val="20"/>
        </w:numPr>
        <w:spacing w:after="60" w:line="281" w:lineRule="auto"/>
        <w:ind w:left="567"/>
        <w:jc w:val="both"/>
      </w:pPr>
      <w:r>
        <w:t>zvyšová</w:t>
      </w:r>
      <w:r w:rsidR="00E512D3">
        <w:t>ní dostupnosti výsledků a tím zvýšení efektivity prostředků vynaložených na řešení projektů,</w:t>
      </w:r>
    </w:p>
    <w:p w14:paraId="47568660" w14:textId="77777777" w:rsidR="00E512D3" w:rsidRDefault="00E512D3" w:rsidP="000E3D9B">
      <w:pPr>
        <w:pStyle w:val="Odstavecseseznamem"/>
        <w:numPr>
          <w:ilvl w:val="0"/>
          <w:numId w:val="20"/>
        </w:numPr>
        <w:spacing w:after="60" w:line="281" w:lineRule="auto"/>
        <w:ind w:left="567"/>
        <w:jc w:val="both"/>
      </w:pPr>
      <w:r>
        <w:t xml:space="preserve">podpora </w:t>
      </w:r>
      <w:r w:rsidR="00CA7CC2">
        <w:t xml:space="preserve">využívání </w:t>
      </w:r>
      <w:r>
        <w:t>transformačních smluv s cílem zvýše</w:t>
      </w:r>
      <w:r w:rsidR="00CA7CC2">
        <w:t>ní podílu vědeckých publikací s </w:t>
      </w:r>
      <w:r>
        <w:t>otevřeným přístupem,</w:t>
      </w:r>
    </w:p>
    <w:p w14:paraId="5D6DEA7D" w14:textId="77777777" w:rsidR="00E512D3" w:rsidRDefault="00E512D3" w:rsidP="000E3D9B">
      <w:pPr>
        <w:pStyle w:val="Odstavecseseznamem"/>
        <w:numPr>
          <w:ilvl w:val="0"/>
          <w:numId w:val="20"/>
        </w:numPr>
        <w:spacing w:after="60" w:line="281" w:lineRule="auto"/>
        <w:ind w:left="567"/>
        <w:jc w:val="both"/>
      </w:pPr>
      <w:r>
        <w:t>podpora všech formátů Open Access: Green Open Access, Gold Open Access a</w:t>
      </w:r>
      <w:r w:rsidR="00FD21F8">
        <w:t> </w:t>
      </w:r>
      <w:r>
        <w:t>Diamond Open Access,</w:t>
      </w:r>
    </w:p>
    <w:p w14:paraId="5CC9A08A" w14:textId="77777777" w:rsidR="000C618B" w:rsidRDefault="000C618B" w:rsidP="000E3D9B">
      <w:pPr>
        <w:pStyle w:val="Odstavecseseznamem"/>
        <w:numPr>
          <w:ilvl w:val="0"/>
          <w:numId w:val="20"/>
        </w:numPr>
        <w:spacing w:after="60" w:line="281" w:lineRule="auto"/>
        <w:ind w:left="567"/>
        <w:jc w:val="both"/>
      </w:pPr>
      <w:r>
        <w:t>zahrnutí nákladů na otevřený přístup k vědeckým publikacím do způsobilých nákladů projektů,</w:t>
      </w:r>
    </w:p>
    <w:p w14:paraId="3E20B3E3" w14:textId="24E4BCD1" w:rsidR="000C618B" w:rsidRPr="003713FC" w:rsidRDefault="00EE27F8" w:rsidP="000E3D9B">
      <w:pPr>
        <w:pStyle w:val="Odstavecseseznamem"/>
        <w:numPr>
          <w:ilvl w:val="0"/>
          <w:numId w:val="20"/>
        </w:numPr>
        <w:spacing w:after="60" w:line="281" w:lineRule="auto"/>
        <w:ind w:left="567"/>
        <w:jc w:val="both"/>
      </w:pPr>
      <w:r w:rsidRPr="003713FC">
        <w:t xml:space="preserve">dohledatelnost otevřených dat pro </w:t>
      </w:r>
      <w:r w:rsidR="000C618B" w:rsidRPr="003713FC">
        <w:t>vše</w:t>
      </w:r>
      <w:r w:rsidRPr="003713FC">
        <w:t>chny</w:t>
      </w:r>
      <w:r w:rsidR="000C618B" w:rsidRPr="003713FC">
        <w:t xml:space="preserve"> vědeck</w:t>
      </w:r>
      <w:r w:rsidRPr="003713FC">
        <w:t>é</w:t>
      </w:r>
      <w:r w:rsidR="000C618B" w:rsidRPr="003713FC">
        <w:t xml:space="preserve"> publikac</w:t>
      </w:r>
      <w:r w:rsidRPr="003713FC">
        <w:t>e</w:t>
      </w:r>
      <w:r w:rsidR="000C618B" w:rsidRPr="003713FC">
        <w:t xml:space="preserve"> </w:t>
      </w:r>
      <w:r w:rsidRPr="003713FC">
        <w:t>-</w:t>
      </w:r>
      <w:r w:rsidR="000C618B" w:rsidRPr="003713FC">
        <w:t xml:space="preserve"> se zákonnými výjimkami (ochrana duševního vlastnictví, obchodního tajemství, bezpečnosti státu neb</w:t>
      </w:r>
      <w:r w:rsidR="00DE4E38" w:rsidRPr="003713FC">
        <w:t>o oprávněných obchodních zájmů P</w:t>
      </w:r>
      <w:r w:rsidR="000C618B" w:rsidRPr="003713FC">
        <w:t>říjemce nebo třetí osoby)</w:t>
      </w:r>
      <w:r w:rsidRPr="003713FC">
        <w:t>,</w:t>
      </w:r>
    </w:p>
    <w:p w14:paraId="07A1D892" w14:textId="77777777" w:rsidR="00926761" w:rsidRDefault="00E512D3" w:rsidP="000E3D9B">
      <w:pPr>
        <w:pStyle w:val="Odstavecseseznamem"/>
        <w:numPr>
          <w:ilvl w:val="0"/>
          <w:numId w:val="20"/>
        </w:numPr>
        <w:ind w:left="567"/>
        <w:jc w:val="both"/>
      </w:pPr>
      <w:r>
        <w:t>svoboda řešitelů vybrat, jakou formou a v jakých publikačních mediích budou svoje výsledky publikovat.</w:t>
      </w:r>
    </w:p>
    <w:p w14:paraId="66FE08FE" w14:textId="77777777" w:rsidR="00BF7A1B" w:rsidRDefault="00BF7A1B" w:rsidP="000E3D9B">
      <w:pPr>
        <w:spacing w:before="120" w:after="200" w:line="281" w:lineRule="auto"/>
        <w:jc w:val="both"/>
      </w:pPr>
      <w:r w:rsidRPr="00BF7A1B">
        <w:t xml:space="preserve">Otevřený přístup k vědeckým publikacím kromě svých nepopiratelně pozitivních kvalit má i svá úskalí, kdy existují vydavatelství s otevřeným přístupem, aniž mají vždy zajištěné kvalitní recenzní řízení. Forma publikování prostřednictvím tzv. Golden Open Access spojená s platbou tzv. APC (Article Processing Charges) může </w:t>
      </w:r>
      <w:r w:rsidR="00A6281F" w:rsidRPr="00BF7A1B">
        <w:t xml:space="preserve">publikování </w:t>
      </w:r>
      <w:r w:rsidR="00A6281F">
        <w:t xml:space="preserve">u vydavatelů, s nimiž není sjednána transformační smlouva, </w:t>
      </w:r>
      <w:r w:rsidRPr="00BF7A1B">
        <w:t xml:space="preserve">značně prodražit a mohla by vytvořit finanční bariéru pro některé výzkumníky. Mandatorní politika Open Access by mohla také vést k nižší kvalitě vědeckých publikací, protože výzkumníci nemusí být dostatečně motivováni, aby přispívali do významných časopisů, pokud tyto časopisy nejsou nebo nebudou v režimu Open Access. V oborech, kde praxe publikování formou otevřeného přístupu ještě není standardem, by zavedení plošné povinnosti publikovat touto formou </w:t>
      </w:r>
      <w:r w:rsidR="00A6281F">
        <w:t xml:space="preserve">mohlo </w:t>
      </w:r>
      <w:r w:rsidRPr="00BF7A1B">
        <w:t>znamena</w:t>
      </w:r>
      <w:r w:rsidR="00A6281F">
        <w:t>t</w:t>
      </w:r>
      <w:r w:rsidRPr="00BF7A1B">
        <w:t xml:space="preserve"> snížení konkurenceschopnosti. Jiná situace by nastala, pokud by publikování formou Open Access bylo zavedeno všemi významnými světovými poskytovateli – tak jako je tomu například u částicové fyz</w:t>
      </w:r>
      <w:r>
        <w:t xml:space="preserve">iky, kde díky konsorciu SCOAP3 </w:t>
      </w:r>
      <w:r w:rsidRPr="00BF7A1B">
        <w:t>prakticky všechny časopisy publikují výstupy</w:t>
      </w:r>
      <w:r>
        <w:t xml:space="preserve"> autorů z </w:t>
      </w:r>
      <w:r w:rsidRPr="00BF7A1B">
        <w:t>členských zemí bez dalších poplatků – nebo pokud by se k praxi otevřeného přístupu přihlásili všichni významní vydavatelé napříč obory.</w:t>
      </w:r>
    </w:p>
    <w:p w14:paraId="3AABDBB4" w14:textId="238D0448" w:rsidR="00BF7A1B" w:rsidRDefault="00BF7A1B" w:rsidP="000E3D9B">
      <w:pPr>
        <w:spacing w:after="360" w:line="259" w:lineRule="auto"/>
        <w:jc w:val="both"/>
      </w:pPr>
      <w:r>
        <w:t>Poskytovatelé by měli doporučit Příjemcům, resp. autorům, aby v rámci jednání o vydavatelské smlouvě, si uchovali – kde je to jen trochu možné – ke své publikaci majetková autorská práva</w:t>
      </w:r>
      <w:r>
        <w:rPr>
          <w:rStyle w:val="Znakapoznpodarou"/>
        </w:rPr>
        <w:footnoteReference w:id="5"/>
      </w:r>
      <w:r>
        <w:t xml:space="preserve"> v takovém rozsahu, aby mohli určit licenci, pod kterou bude výstup jejich výzkumu zveřejněn, a</w:t>
      </w:r>
      <w:r w:rsidR="00FD21F8">
        <w:t> </w:t>
      </w:r>
      <w:r>
        <w:t>případně mohli vyhovět</w:t>
      </w:r>
      <w:r>
        <w:rPr>
          <w:rStyle w:val="Znakapoznpodarou"/>
        </w:rPr>
        <w:footnoteReference w:id="6"/>
      </w:r>
      <w:r>
        <w:t xml:space="preserve"> i požadavku na uložení AAM nebo VoR do repozitáře, viz dále.</w:t>
      </w:r>
      <w:r w:rsidR="003713FC">
        <w:t xml:space="preserve"> </w:t>
      </w:r>
      <w:r w:rsidR="000B4FE9">
        <w:t>Vzhledem k tomu, že držitelem majetkových práv je zpravidla Příjemce,</w:t>
      </w:r>
      <w:r w:rsidR="000B4FE9" w:rsidRPr="000B4FE9">
        <w:t xml:space="preserve"> </w:t>
      </w:r>
      <w:r w:rsidR="000B4FE9">
        <w:t xml:space="preserve">tedy autorův </w:t>
      </w:r>
      <w:r w:rsidR="000B4FE9">
        <w:lastRenderedPageBreak/>
        <w:t>zaměstnavatel, ten by měl poskytnout svým publikujícím autorům oprávnění, aby vydavatelskou smlouvu uzavírali jménem instituce-zaměstnavatele-Příjemce.</w:t>
      </w:r>
    </w:p>
    <w:p w14:paraId="6E1863A7" w14:textId="77777777" w:rsidR="00BF7A1B" w:rsidRPr="002C7C40" w:rsidRDefault="00BF7A1B" w:rsidP="000E3D9B">
      <w:pPr>
        <w:pStyle w:val="Nadpis2"/>
        <w:spacing w:after="120" w:line="281" w:lineRule="auto"/>
        <w:ind w:left="578" w:hanging="578"/>
        <w:jc w:val="both"/>
        <w:rPr>
          <w:sz w:val="26"/>
          <w:szCs w:val="26"/>
        </w:rPr>
      </w:pPr>
      <w:r w:rsidRPr="002C7C40">
        <w:rPr>
          <w:sz w:val="26"/>
          <w:szCs w:val="26"/>
        </w:rPr>
        <w:t xml:space="preserve">Doporučení pro Poskytovatele, kteří se </w:t>
      </w:r>
      <w:r w:rsidR="005F4339" w:rsidRPr="002C7C40">
        <w:rPr>
          <w:sz w:val="26"/>
          <w:szCs w:val="26"/>
        </w:rPr>
        <w:t>chtějí</w:t>
      </w:r>
      <w:r w:rsidRPr="002C7C40">
        <w:rPr>
          <w:sz w:val="26"/>
          <w:szCs w:val="26"/>
        </w:rPr>
        <w:t xml:space="preserve"> přiblížit požadavkům Horizon Europe </w:t>
      </w:r>
    </w:p>
    <w:p w14:paraId="38B3E0A6" w14:textId="77777777" w:rsidR="00BF7A1B" w:rsidRDefault="00BF7A1B" w:rsidP="000E3D9B">
      <w:pPr>
        <w:spacing w:after="60" w:line="281" w:lineRule="auto"/>
        <w:jc w:val="both"/>
      </w:pPr>
      <w:r>
        <w:t xml:space="preserve">Poskytovatelé, kteří se rozhodnou i s uvážením všech oborových i jiných specifik požadovat od </w:t>
      </w:r>
      <w:r w:rsidR="00DE4E38">
        <w:t>P</w:t>
      </w:r>
      <w:r>
        <w:t>říjemců vyšší míru přiblížení praxi zaváděné v programu Horizon Europe, ať v rámci hodnoticích kritérií projektové žádosti nebo přímo v pravidlech programu, by měli požadovat, aby autor si udržel dostatečný rozsah autorských majetkových práv, aby mohl:</w:t>
      </w:r>
    </w:p>
    <w:p w14:paraId="67BE1832" w14:textId="77777777" w:rsidR="00BF7A1B" w:rsidRDefault="00BF7A1B" w:rsidP="000E3D9B">
      <w:pPr>
        <w:pStyle w:val="Odstavecseseznamem"/>
        <w:numPr>
          <w:ilvl w:val="0"/>
          <w:numId w:val="16"/>
        </w:numPr>
        <w:spacing w:after="60" w:line="281" w:lineRule="auto"/>
        <w:ind w:left="567"/>
        <w:contextualSpacing w:val="0"/>
        <w:jc w:val="both"/>
      </w:pPr>
      <w:r>
        <w:t>článek u vydavatele publikova</w:t>
      </w:r>
      <w:r w:rsidR="000668A6">
        <w:t>t</w:t>
      </w:r>
      <w:r>
        <w:t xml:space="preserve"> ideálně </w:t>
      </w:r>
      <w:r w:rsidR="00EA1B88">
        <w:t xml:space="preserve">pod </w:t>
      </w:r>
      <w:r>
        <w:t xml:space="preserve">veřejnou </w:t>
      </w:r>
      <w:r w:rsidR="00141870">
        <w:t>licencí Creative Commons</w:t>
      </w:r>
      <w:r w:rsidR="00141870">
        <w:rPr>
          <w:rStyle w:val="Znakapoznpodarou"/>
        </w:rPr>
        <w:footnoteReference w:id="7"/>
      </w:r>
      <w:r w:rsidR="00141870">
        <w:t xml:space="preserve"> CC BY</w:t>
      </w:r>
      <w:r>
        <w:t xml:space="preserve">, </w:t>
      </w:r>
      <w:r w:rsidR="000668A6">
        <w:t>monografi</w:t>
      </w:r>
      <w:r w:rsidR="00787751">
        <w:t>e</w:t>
      </w:r>
      <w:r w:rsidR="000668A6">
        <w:t xml:space="preserve"> </w:t>
      </w:r>
      <w:r>
        <w:t>a</w:t>
      </w:r>
      <w:r w:rsidR="000668A6">
        <w:t xml:space="preserve"> rozsáhlé texty</w:t>
      </w:r>
      <w:r w:rsidR="00787751" w:rsidRPr="00787751">
        <w:t xml:space="preserve"> </w:t>
      </w:r>
      <w:r w:rsidR="000668A6">
        <w:t>pod veřejnou licencí vylučující úpravu nebo komerční využití, tj. např. CC BY</w:t>
      </w:r>
      <w:r w:rsidR="00EA1B88">
        <w:t>-</w:t>
      </w:r>
      <w:r w:rsidR="000668A6">
        <w:t>NC, CC BY</w:t>
      </w:r>
      <w:r w:rsidR="00EA1B88">
        <w:t>-</w:t>
      </w:r>
      <w:r w:rsidR="000668A6">
        <w:t>ND, CC BY</w:t>
      </w:r>
      <w:r w:rsidR="00EA1B88">
        <w:t>-</w:t>
      </w:r>
      <w:r w:rsidR="000668A6">
        <w:t>NC</w:t>
      </w:r>
      <w:r w:rsidR="00EA1B88">
        <w:t>-</w:t>
      </w:r>
      <w:r w:rsidR="000668A6">
        <w:t>ND</w:t>
      </w:r>
      <w:r w:rsidR="00EA1B88">
        <w:t>,</w:t>
      </w:r>
    </w:p>
    <w:p w14:paraId="02B3127B" w14:textId="788335F8" w:rsidR="00141870" w:rsidRDefault="00BF7A1B" w:rsidP="000E3D9B">
      <w:pPr>
        <w:pStyle w:val="Odstavecseseznamem"/>
        <w:numPr>
          <w:ilvl w:val="0"/>
          <w:numId w:val="16"/>
        </w:numPr>
        <w:spacing w:after="200"/>
        <w:ind w:left="567"/>
        <w:jc w:val="both"/>
      </w:pPr>
      <w:r>
        <w:t xml:space="preserve">uložil strojově čitelnou finální vydavatelskou verzi (Version of Record – VoR) </w:t>
      </w:r>
      <w:r w:rsidR="00672B1B">
        <w:t>a</w:t>
      </w:r>
      <w:r>
        <w:t>nebo konečnou verzi rukopisu přijatého ke zveřejnění (tj. verzi po zapracování připomínek vzešlých z recenzního řízení – Author Accepted Manuscript – AAM) se zřetelným uvedením, o kterou verzi jde, do důvěryhodného repozitáře</w:t>
      </w:r>
      <w:r w:rsidR="00F04883">
        <w:rPr>
          <w:rStyle w:val="Znakapoznpodarou"/>
        </w:rPr>
        <w:footnoteReference w:id="8"/>
      </w:r>
      <w:r w:rsidR="005F4339">
        <w:t xml:space="preserve"> </w:t>
      </w:r>
      <w:r>
        <w:t>tak, aby k němu byl přístup co nejdříve je možn</w:t>
      </w:r>
      <w:r w:rsidR="005F4339">
        <w:t>o</w:t>
      </w:r>
      <w:r>
        <w:t xml:space="preserve"> po zveřejnění</w:t>
      </w:r>
      <w:r w:rsidR="00F04883">
        <w:rPr>
          <w:rStyle w:val="Znakapoznpodarou"/>
        </w:rPr>
        <w:footnoteReference w:id="9"/>
      </w:r>
      <w:r w:rsidR="005F4339">
        <w:t xml:space="preserve"> </w:t>
      </w:r>
      <w:r>
        <w:t>na stránkách vydavatele.</w:t>
      </w:r>
    </w:p>
    <w:p w14:paraId="2AD8A3C5" w14:textId="77777777" w:rsidR="003914A5" w:rsidRPr="00E106C8" w:rsidRDefault="003914A5" w:rsidP="000E3D9B">
      <w:pPr>
        <w:pStyle w:val="Nadpis2"/>
        <w:numPr>
          <w:ilvl w:val="0"/>
          <w:numId w:val="18"/>
        </w:numPr>
        <w:spacing w:after="180" w:line="281" w:lineRule="auto"/>
        <w:ind w:left="426" w:hanging="426"/>
        <w:jc w:val="both"/>
      </w:pPr>
      <w:r w:rsidRPr="005F4339">
        <w:t>Správa výzkumných dat</w:t>
      </w:r>
      <w:r w:rsidRPr="00E106C8">
        <w:rPr>
          <w:b w:val="0"/>
          <w:sz w:val="22"/>
          <w:szCs w:val="22"/>
          <w:vertAlign w:val="superscript"/>
        </w:rPr>
        <w:footnoteReference w:id="10"/>
      </w:r>
    </w:p>
    <w:p w14:paraId="540F810D" w14:textId="179E7E48" w:rsidR="006E6DE0" w:rsidRDefault="006E6DE0" w:rsidP="000E3D9B">
      <w:pPr>
        <w:spacing w:after="120" w:line="281" w:lineRule="auto"/>
        <w:jc w:val="both"/>
      </w:pPr>
      <w:r>
        <w:t>Výzkumnými daty se dle zákonné definice</w:t>
      </w:r>
      <w:r w:rsidR="008F1C5C">
        <w:rPr>
          <w:rStyle w:val="Znakapoznpodarou"/>
        </w:rPr>
        <w:footnoteReference w:id="11"/>
      </w:r>
      <w:r w:rsidR="008F1C5C">
        <w:t xml:space="preserve"> </w:t>
      </w:r>
      <w:r>
        <w:t xml:space="preserve">rozumí informace, s výjimkou vědeckých publikací, </w:t>
      </w:r>
      <w:r w:rsidR="000E3D9B">
        <w:br/>
      </w:r>
      <w:r>
        <w:t xml:space="preserve">v elektronické podobě, které jsou shromažďovány nebo vytvářeny v průběhu výzkumu nebo vývoje a jsou používány jako důkazy v procesu výzkumu nebo vývoje nebo které jsou obecně akceptovány výzkumnou obcí jako nezbytné k validaci zjištění a výsledků výzkumu nebo vývoje. </w:t>
      </w:r>
    </w:p>
    <w:p w14:paraId="71D6C150" w14:textId="42D0AF32" w:rsidR="008F1C5C" w:rsidRDefault="006E6DE0" w:rsidP="000E3D9B">
      <w:pPr>
        <w:spacing w:after="120" w:line="281" w:lineRule="auto"/>
        <w:jc w:val="both"/>
      </w:pPr>
      <w:r>
        <w:t>Na rozdíl od chybějící právní úpravy otevřeného přístupu k vědeckým publikacím, pro správu výzkumných dat existuje jasně definovaný legislativní rámec</w:t>
      </w:r>
      <w:r w:rsidR="00303A46">
        <w:rPr>
          <w:rStyle w:val="Znakapoznpodarou"/>
        </w:rPr>
        <w:footnoteReference w:id="12"/>
      </w:r>
      <w:r>
        <w:t>, který jsou Poskytovatelé povinni při své praxi naplňovat. Výjimku z této povinnosti tvoří výzkumná data, která jsou chráněna podle zákonů upravujících ochranu výsledků autorské, vynálezecké nebo obdobné tvůrčí činnosti nebo která jsou chráněna toliko zvláštním právem p</w:t>
      </w:r>
      <w:r w:rsidR="00DE4E38">
        <w:t>ořizovatele databáze, jehož je P</w:t>
      </w:r>
      <w:r>
        <w:t xml:space="preserve">říjemce </w:t>
      </w:r>
      <w:r>
        <w:lastRenderedPageBreak/>
        <w:t xml:space="preserve">vykonavatelem. </w:t>
      </w:r>
      <w:r w:rsidR="008F1C5C" w:rsidRPr="008F1C5C">
        <w:t>Odmítnout poskytnutí výzkumných dat je také možné v případech, kdy výzkum nebo vývoj podporovaný podle tohoto zákona nebyl plně financován z veřejných prostředků anebo by poskytnutím výzkumných dat došlo k nepřiměřenému zásahu do práva na ochranu soukromí a osobních údajů, práva na ochranu obchodního tajemství, bezpečnosti státu</w:t>
      </w:r>
      <w:r w:rsidR="00DE4E38">
        <w:t xml:space="preserve"> nebo jiných oprávněných zájmů P</w:t>
      </w:r>
      <w:r w:rsidR="008F1C5C" w:rsidRPr="008F1C5C">
        <w:t>říjemce.</w:t>
      </w:r>
    </w:p>
    <w:p w14:paraId="56C301FD" w14:textId="77777777" w:rsidR="008F1C5C" w:rsidRDefault="008F1C5C" w:rsidP="000E3D9B">
      <w:pPr>
        <w:spacing w:after="60" w:line="281" w:lineRule="auto"/>
        <w:jc w:val="both"/>
      </w:pPr>
      <w:r>
        <w:t>Zákon rovněž ukládá ve správě výzkumných dat řadu povinností</w:t>
      </w:r>
      <w:r w:rsidR="00A8338D" w:rsidRPr="00A8338D">
        <w:t xml:space="preserve"> </w:t>
      </w:r>
      <w:r w:rsidR="00A8338D">
        <w:t>Poskytovateli</w:t>
      </w:r>
      <w:r>
        <w:t xml:space="preserve">: </w:t>
      </w:r>
    </w:p>
    <w:p w14:paraId="12301E5B" w14:textId="77777777" w:rsidR="00A8338D" w:rsidRDefault="008F1C5C" w:rsidP="000E3D9B">
      <w:pPr>
        <w:pStyle w:val="Odstavecseseznamem"/>
        <w:numPr>
          <w:ilvl w:val="0"/>
          <w:numId w:val="17"/>
        </w:numPr>
        <w:spacing w:after="60" w:line="281" w:lineRule="auto"/>
        <w:ind w:left="567"/>
        <w:contextualSpacing w:val="0"/>
        <w:jc w:val="both"/>
      </w:pPr>
      <w:r>
        <w:t>povinnost Poskytovatele předávat provozovateli IS VaVaI údaje o výzkumných datech</w:t>
      </w:r>
      <w:r w:rsidR="00A8338D">
        <w:rPr>
          <w:rStyle w:val="Znakapoznpodarou"/>
        </w:rPr>
        <w:footnoteReference w:id="13"/>
      </w:r>
      <w:r>
        <w:t xml:space="preserve"> výzkumných organizací podporovaných z jeho rozpočtové kapitoly včetně údajů o jejich zveřejnění a údajů o jejich ochraně podle zvláštních právních předpisů; </w:t>
      </w:r>
    </w:p>
    <w:p w14:paraId="5B093B8F" w14:textId="77777777" w:rsidR="00A8338D" w:rsidRDefault="00A8338D" w:rsidP="000E3D9B">
      <w:pPr>
        <w:pStyle w:val="Odstavecseseznamem"/>
        <w:numPr>
          <w:ilvl w:val="0"/>
          <w:numId w:val="17"/>
        </w:numPr>
        <w:spacing w:after="60" w:line="281" w:lineRule="auto"/>
        <w:ind w:left="567"/>
        <w:contextualSpacing w:val="0"/>
        <w:jc w:val="both"/>
      </w:pPr>
      <w:r>
        <w:t>u</w:t>
      </w:r>
      <w:r w:rsidR="008F1C5C">
        <w:t>pravit ve smlouvě o poskytnutí podpory způsob správy výzkumných dat a informace o</w:t>
      </w:r>
      <w:r w:rsidR="002C7C40">
        <w:t> </w:t>
      </w:r>
      <w:r w:rsidR="008F1C5C">
        <w:t>dostupnosti výzkumných dat v souladu se zásadou, že výzkumná data nejsou zveřejňována p</w:t>
      </w:r>
      <w:r>
        <w:t>ouze v odůvodněných případech</w:t>
      </w:r>
      <w:r>
        <w:rPr>
          <w:rStyle w:val="Znakapoznpodarou"/>
        </w:rPr>
        <w:footnoteReference w:id="14"/>
      </w:r>
      <w:r>
        <w:t>,</w:t>
      </w:r>
    </w:p>
    <w:p w14:paraId="0C3EC720" w14:textId="77777777" w:rsidR="00D62AE0" w:rsidRDefault="008F1C5C" w:rsidP="000E3D9B">
      <w:pPr>
        <w:pStyle w:val="Odstavecseseznamem"/>
        <w:numPr>
          <w:ilvl w:val="0"/>
          <w:numId w:val="17"/>
        </w:numPr>
        <w:spacing w:after="120" w:line="281" w:lineRule="auto"/>
        <w:ind w:left="567" w:hanging="357"/>
        <w:contextualSpacing w:val="0"/>
        <w:jc w:val="both"/>
      </w:pPr>
      <w:r>
        <w:t>poskytnout veřejnou podporu pouze za podmínky zveřejnění pravdivých a včasných informací mimo jiné o výzkumných datech prostřednictvím informačního systému výzkumu, vývoje a inovací</w:t>
      </w:r>
      <w:r w:rsidR="00A8338D">
        <w:rPr>
          <w:rStyle w:val="Znakapoznpodarou"/>
        </w:rPr>
        <w:footnoteReference w:id="15"/>
      </w:r>
      <w:r>
        <w:t xml:space="preserve"> a</w:t>
      </w:r>
      <w:r w:rsidR="00A8338D">
        <w:t xml:space="preserve"> další</w:t>
      </w:r>
      <w:r>
        <w:t>.</w:t>
      </w:r>
    </w:p>
    <w:p w14:paraId="5F69D8DC" w14:textId="77777777" w:rsidR="00D62AE0" w:rsidRDefault="00D62AE0" w:rsidP="000E3D9B">
      <w:pPr>
        <w:spacing w:after="120" w:line="281" w:lineRule="auto"/>
        <w:jc w:val="both"/>
      </w:pPr>
      <w:r w:rsidRPr="00D62AE0">
        <w:t>Zákon neurčuje, jakým způsobem mají být data zveřejňována, nicméně ukládání do repozitářů s</w:t>
      </w:r>
      <w:r w:rsidR="00770A9B">
        <w:t> </w:t>
      </w:r>
      <w:r w:rsidRPr="00D62AE0">
        <w:t xml:space="preserve">otevřeným přístupem je </w:t>
      </w:r>
      <w:r w:rsidR="00400EDA" w:rsidRPr="00D62AE0">
        <w:t>vhodn</w:t>
      </w:r>
      <w:r w:rsidR="00400EDA">
        <w:t>á</w:t>
      </w:r>
      <w:r w:rsidR="00400EDA" w:rsidRPr="00D62AE0">
        <w:t xml:space="preserve"> prax</w:t>
      </w:r>
      <w:r w:rsidR="00400EDA">
        <w:t>e</w:t>
      </w:r>
      <w:r w:rsidRPr="00D62AE0">
        <w:t>, neboť uvedením odkazu na</w:t>
      </w:r>
      <w:r w:rsidR="00400EDA">
        <w:t xml:space="preserve"> </w:t>
      </w:r>
      <w:r w:rsidR="00770A9B" w:rsidRPr="00D62AE0">
        <w:t>zveřejněn</w:t>
      </w:r>
      <w:r w:rsidR="00770A9B">
        <w:t>á</w:t>
      </w:r>
      <w:r w:rsidR="00770A9B" w:rsidRPr="00D62AE0" w:rsidDel="00400EDA">
        <w:t xml:space="preserve"> </w:t>
      </w:r>
      <w:r w:rsidRPr="00D62AE0">
        <w:t>výzkumná data je zákonná povinnost bezplatného poskytnutí dat třetím osobám</w:t>
      </w:r>
      <w:r w:rsidR="00770A9B" w:rsidRPr="00770A9B">
        <w:t xml:space="preserve"> </w:t>
      </w:r>
      <w:r w:rsidR="00770A9B" w:rsidRPr="00D62AE0">
        <w:t>splněna</w:t>
      </w:r>
      <w:r w:rsidRPr="00D62AE0">
        <w:t>.</w:t>
      </w:r>
    </w:p>
    <w:p w14:paraId="7AB15FA3" w14:textId="075BD525" w:rsidR="009A5324" w:rsidRDefault="009A5324" w:rsidP="000E3D9B">
      <w:pPr>
        <w:spacing w:after="120" w:line="281" w:lineRule="auto"/>
        <w:jc w:val="both"/>
      </w:pPr>
      <w:r>
        <w:t xml:space="preserve">S ohledem na tyto zákonné povinnosti </w:t>
      </w:r>
      <w:r w:rsidR="00770A9B">
        <w:t xml:space="preserve">by </w:t>
      </w:r>
      <w:r>
        <w:t xml:space="preserve">Poskytovatelé </w:t>
      </w:r>
      <w:r w:rsidR="00770A9B">
        <w:t xml:space="preserve">měli </w:t>
      </w:r>
      <w:r>
        <w:t>vyžadovat</w:t>
      </w:r>
      <w:r w:rsidR="003914A5">
        <w:t>, aby Příjemci zajistili správu výzkumných dat shromážděných či vytvořených v průběhu projektu odpovědně v</w:t>
      </w:r>
      <w:r w:rsidR="002B30BD">
        <w:t> </w:t>
      </w:r>
      <w:r w:rsidR="003914A5">
        <w:t xml:space="preserve">souladu s </w:t>
      </w:r>
      <w:hyperlink r:id="rId8">
        <w:r w:rsidR="003914A5">
          <w:rPr>
            <w:color w:val="1155CC"/>
            <w:u w:val="single"/>
          </w:rPr>
          <w:t>FAIR principy</w:t>
        </w:r>
      </w:hyperlink>
      <w:r w:rsidR="00EE27F8">
        <w:rPr>
          <w:rStyle w:val="Znakapoznpodarou"/>
          <w:color w:val="1155CC"/>
          <w:u w:val="single"/>
        </w:rPr>
        <w:footnoteReference w:id="16"/>
      </w:r>
      <w:r w:rsidR="003914A5">
        <w:t xml:space="preserve">. </w:t>
      </w:r>
    </w:p>
    <w:p w14:paraId="01AEE9C1" w14:textId="2CF777DF" w:rsidR="003914A5" w:rsidRDefault="00EE1180" w:rsidP="000E3D9B">
      <w:pPr>
        <w:spacing w:after="60" w:line="281" w:lineRule="auto"/>
        <w:jc w:val="both"/>
      </w:pPr>
      <w:r>
        <w:t xml:space="preserve">Příjemce </w:t>
      </w:r>
      <w:r w:rsidR="00770A9B">
        <w:t xml:space="preserve">by </w:t>
      </w:r>
      <w:r>
        <w:t>z</w:t>
      </w:r>
      <w:r w:rsidR="003914A5">
        <w:t xml:space="preserve">ejména </w:t>
      </w:r>
      <w:r w:rsidR="00E0144B">
        <w:t>m</w:t>
      </w:r>
      <w:r w:rsidR="00770A9B">
        <w:t>ěl</w:t>
      </w:r>
      <w:r w:rsidR="003914A5">
        <w:t>:</w:t>
      </w:r>
    </w:p>
    <w:p w14:paraId="2E4A360E" w14:textId="77777777" w:rsidR="00A27135" w:rsidRDefault="003914A5" w:rsidP="000E3D9B">
      <w:pPr>
        <w:numPr>
          <w:ilvl w:val="0"/>
          <w:numId w:val="11"/>
        </w:numPr>
        <w:spacing w:after="60" w:line="276" w:lineRule="auto"/>
        <w:ind w:left="567"/>
        <w:jc w:val="both"/>
      </w:pPr>
      <w:r>
        <w:t>vypracovat Plán správy dat</w:t>
      </w:r>
      <w:r>
        <w:rPr>
          <w:vertAlign w:val="superscript"/>
        </w:rPr>
        <w:footnoteReference w:id="17"/>
      </w:r>
      <w:r>
        <w:t xml:space="preserve">, (Data Management Plan, </w:t>
      </w:r>
      <w:r w:rsidR="00726C42">
        <w:t>dále</w:t>
      </w:r>
      <w:r>
        <w:t xml:space="preserve"> DMP) v souladu s FAIR principy, řídit se jím v rámci realizace projektu a pravidelně ho aktualizovat</w:t>
      </w:r>
      <w:r w:rsidR="00145142">
        <w:t>.</w:t>
      </w:r>
      <w:r>
        <w:t xml:space="preserve"> </w:t>
      </w:r>
      <w:r w:rsidR="00145142">
        <w:t>DMP</w:t>
      </w:r>
      <w:r w:rsidR="00726C42">
        <w:t>,</w:t>
      </w:r>
      <w:r w:rsidR="00145142">
        <w:t xml:space="preserve"> </w:t>
      </w:r>
      <w:r>
        <w:t>jako vhodný nástroj k vyjasnění potřeb a nároků na infrastrukturu a personální zabezpečení projektu</w:t>
      </w:r>
      <w:r>
        <w:rPr>
          <w:vertAlign w:val="superscript"/>
        </w:rPr>
        <w:footnoteReference w:id="18"/>
      </w:r>
      <w:r w:rsidR="00726C42">
        <w:t>,</w:t>
      </w:r>
      <w:r w:rsidR="00A27135">
        <w:t xml:space="preserve"> by měl obsahovat minimálně informace o tom:</w:t>
      </w:r>
    </w:p>
    <w:p w14:paraId="70087F9E" w14:textId="77777777" w:rsidR="00A27135" w:rsidRDefault="00A27135" w:rsidP="000E3D9B">
      <w:pPr>
        <w:numPr>
          <w:ilvl w:val="1"/>
          <w:numId w:val="11"/>
        </w:numPr>
        <w:spacing w:after="60" w:line="276" w:lineRule="auto"/>
        <w:ind w:left="851"/>
        <w:jc w:val="both"/>
      </w:pPr>
      <w:r>
        <w:t xml:space="preserve">jaká výzkumná data bude </w:t>
      </w:r>
      <w:r w:rsidR="00DE4E38">
        <w:t>P</w:t>
      </w:r>
      <w:r>
        <w:t>říjemce v rámci projektu vytvářet, zpracovávat nebo sbírat;</w:t>
      </w:r>
    </w:p>
    <w:p w14:paraId="1114BAA6" w14:textId="77777777" w:rsidR="00A27135" w:rsidRDefault="00A27135" w:rsidP="000E3D9B">
      <w:pPr>
        <w:numPr>
          <w:ilvl w:val="1"/>
          <w:numId w:val="11"/>
        </w:numPr>
        <w:spacing w:after="60" w:line="276" w:lineRule="auto"/>
        <w:ind w:left="851"/>
        <w:jc w:val="both"/>
      </w:pPr>
      <w:r>
        <w:t xml:space="preserve">jaké metody a zásady jejich správy </w:t>
      </w:r>
      <w:r w:rsidR="00DE4E38">
        <w:t>P</w:t>
      </w:r>
      <w:r>
        <w:t>říjemce použije;</w:t>
      </w:r>
    </w:p>
    <w:p w14:paraId="63493B82" w14:textId="77777777" w:rsidR="00A27135" w:rsidRDefault="00A27135" w:rsidP="000E3D9B">
      <w:pPr>
        <w:numPr>
          <w:ilvl w:val="1"/>
          <w:numId w:val="11"/>
        </w:numPr>
        <w:spacing w:after="60" w:line="276" w:lineRule="auto"/>
        <w:ind w:left="851"/>
        <w:jc w:val="both"/>
      </w:pPr>
      <w:r>
        <w:lastRenderedPageBreak/>
        <w:t>zda a jakým způsobem budou data sdílena, publikována nebo uveřejňována, případně odůvodnění, proč nemohou být výzkum</w:t>
      </w:r>
      <w:r w:rsidR="00DE4E38">
        <w:t>ná data šířena a zveřejňována (P</w:t>
      </w:r>
      <w:r>
        <w:t>říjemce nezveřejní informace o výzkumných datech, jejichž zveřejněním by došlo k</w:t>
      </w:r>
      <w:r w:rsidR="00E0144B">
        <w:t> </w:t>
      </w:r>
      <w:r>
        <w:t xml:space="preserve">nepřiměřenému zásahu do práva na ochranu duševního vlastnictví, obchodního tajemství, bezpečnosti státu nebo oprávněných obchodních zájmů </w:t>
      </w:r>
      <w:r w:rsidR="00DE4E38">
        <w:t>P</w:t>
      </w:r>
      <w:r>
        <w:t>říjemce nebo třetí osoby);</w:t>
      </w:r>
    </w:p>
    <w:p w14:paraId="0B7CD5D4" w14:textId="77777777" w:rsidR="003914A5" w:rsidRDefault="00A27135" w:rsidP="000E3D9B">
      <w:pPr>
        <w:numPr>
          <w:ilvl w:val="1"/>
          <w:numId w:val="11"/>
        </w:numPr>
        <w:spacing w:after="60" w:line="276" w:lineRule="auto"/>
        <w:ind w:left="851"/>
        <w:jc w:val="both"/>
      </w:pPr>
      <w:r>
        <w:t xml:space="preserve">jakým způsobem budou data ukládána během řešení projektu a </w:t>
      </w:r>
      <w:r w:rsidR="00DE4E38">
        <w:t>uchovávána po skončení projektu;</w:t>
      </w:r>
      <w:r>
        <w:t xml:space="preserve"> </w:t>
      </w:r>
    </w:p>
    <w:p w14:paraId="4F23D332" w14:textId="32DFFB5D" w:rsidR="003914A5" w:rsidRDefault="003914A5" w:rsidP="000E3D9B">
      <w:pPr>
        <w:numPr>
          <w:ilvl w:val="0"/>
          <w:numId w:val="11"/>
        </w:numPr>
        <w:spacing w:after="60" w:line="276" w:lineRule="auto"/>
        <w:ind w:left="567"/>
        <w:jc w:val="both"/>
      </w:pPr>
      <w:r>
        <w:t xml:space="preserve">uložit výzkumná data dle </w:t>
      </w:r>
      <w:r w:rsidR="00726C42">
        <w:t>DMP</w:t>
      </w:r>
      <w:r>
        <w:t>, tedy hned jak je to možné a v souladu s</w:t>
      </w:r>
      <w:r w:rsidR="00FB7A16">
        <w:t xml:space="preserve">e </w:t>
      </w:r>
      <w:r>
        <w:t xml:space="preserve">lhůtami v </w:t>
      </w:r>
      <w:r w:rsidR="00726C42">
        <w:t>DMP</w:t>
      </w:r>
      <w:r>
        <w:t xml:space="preserve"> do důvěryhodného repozitáře</w:t>
      </w:r>
      <w:r>
        <w:rPr>
          <w:vertAlign w:val="superscript"/>
        </w:rPr>
        <w:footnoteReference w:id="19"/>
      </w:r>
      <w:r>
        <w:t>, a to tak, že je k nim otevřený přístup (v souladu s </w:t>
      </w:r>
      <w:r w:rsidR="00726C42">
        <w:t>DMP</w:t>
      </w:r>
      <w:r>
        <w:t>) pod veřejnou licencí Creative Commons (CC BY), Creative Commons Public Domain Dedication (CC 0) nebo jejího ekvivalentu s obdobnými právy. Otevřený přístup k datům se řídí zásadou „otevřená jak jen možno, uzavřená jen jak nutno“ a nemusí být poskytnut, pokud by to bylo v rozporu s jakýmikoli omezeními, zejména se zájmy EU v</w:t>
      </w:r>
      <w:r w:rsidR="00FB7A16">
        <w:t> </w:t>
      </w:r>
      <w:r>
        <w:t>oblasti hospodářské soutěže</w:t>
      </w:r>
      <w:r w:rsidRPr="00B01446">
        <w:t xml:space="preserve">, právem na ochranu duševního vlastnictví, právem na ochranu soukromí </w:t>
      </w:r>
      <w:r w:rsidR="000E3D9B">
        <w:br/>
      </w:r>
      <w:r w:rsidRPr="00B01446">
        <w:t>a osobních údajů, právem na ochranu obchodního tajemství,</w:t>
      </w:r>
      <w:r>
        <w:t xml:space="preserve"> bezpečnosti státu nebo jinými oprávněnými zájmy Příjemce (např. v případě možnosti obchodního využití) nebo s povinnostmi Příjemce vůči Poskytovateli podpory VaVaI. Pokud není zajištěn otevřený přístup (k některým nebo ke všem datům), musí to být odůvodněno v </w:t>
      </w:r>
      <w:r w:rsidR="00726C42">
        <w:t>DMP</w:t>
      </w:r>
      <w:r>
        <w:t>;</w:t>
      </w:r>
    </w:p>
    <w:p w14:paraId="2C6A134F" w14:textId="77777777" w:rsidR="00E0144B" w:rsidRDefault="00E0144B" w:rsidP="000E3D9B">
      <w:pPr>
        <w:numPr>
          <w:ilvl w:val="0"/>
          <w:numId w:val="11"/>
        </w:numPr>
        <w:spacing w:after="60" w:line="276" w:lineRule="auto"/>
        <w:ind w:left="567"/>
        <w:jc w:val="both"/>
      </w:pPr>
      <w:r>
        <w:t xml:space="preserve">opatřit uložená data kvalitními metadaty v souladu s </w:t>
      </w:r>
      <w:hyperlink r:id="rId9">
        <w:r w:rsidRPr="004E6738">
          <w:t>Obecným doporučením metadatového popisu</w:t>
        </w:r>
      </w:hyperlink>
      <w:r w:rsidRPr="004E6738">
        <w:rPr>
          <w:vertAlign w:val="superscript"/>
        </w:rPr>
        <w:footnoteReference w:id="20"/>
      </w:r>
      <w:r w:rsidR="00145142">
        <w:t>.</w:t>
      </w:r>
    </w:p>
    <w:p w14:paraId="7C7397FC" w14:textId="77777777" w:rsidR="003914A5" w:rsidRPr="00E106C8" w:rsidRDefault="003914A5" w:rsidP="000E3D9B">
      <w:pPr>
        <w:pStyle w:val="Nadpis2"/>
        <w:numPr>
          <w:ilvl w:val="0"/>
          <w:numId w:val="18"/>
        </w:numPr>
        <w:spacing w:before="240" w:after="180" w:line="281" w:lineRule="auto"/>
        <w:ind w:left="425" w:hanging="425"/>
        <w:jc w:val="both"/>
      </w:pPr>
      <w:r w:rsidRPr="00E0144B">
        <w:t>Další (nepovinné) postupy aplikace otevřené vědy</w:t>
      </w:r>
    </w:p>
    <w:p w14:paraId="799A9A07" w14:textId="77777777" w:rsidR="003914A5" w:rsidRDefault="003914A5" w:rsidP="000E3D9B">
      <w:pPr>
        <w:spacing w:after="200" w:line="281" w:lineRule="auto"/>
        <w:jc w:val="both"/>
      </w:pPr>
      <w:r>
        <w:t>Doporučuje se, aby Poskytovatelé podporovali i další (nepovinné) postupy</w:t>
      </w:r>
      <w:r w:rsidR="00F01323">
        <w:rPr>
          <w:rStyle w:val="Znakapoznpodarou"/>
        </w:rPr>
        <w:footnoteReference w:id="21"/>
      </w:r>
      <w:r>
        <w:t xml:space="preserve"> aplikace otevřené vědy v podmínkách konkrétních k tomu vhodných výzev. Jejich aplikace může být také součástí hodnoticích kritérií, např. se může jednat o zapojení zainteresované veřejnosti do vědeckého výzkumu (zohlednění potřeb uživatelů, širší komunity a občanské vědy) nebo včasné sdílení výsledků, účast na otevřeném recenzním řízení atd. </w:t>
      </w:r>
    </w:p>
    <w:p w14:paraId="3B13E592" w14:textId="77777777" w:rsidR="003914A5" w:rsidRPr="005A505D" w:rsidRDefault="003914A5" w:rsidP="000E3D9B">
      <w:pPr>
        <w:pStyle w:val="Nadpis2"/>
        <w:numPr>
          <w:ilvl w:val="0"/>
          <w:numId w:val="18"/>
        </w:numPr>
        <w:spacing w:after="180" w:line="281" w:lineRule="auto"/>
        <w:ind w:left="426" w:hanging="426"/>
        <w:jc w:val="both"/>
      </w:pPr>
      <w:r w:rsidRPr="00E106C8">
        <w:t>Způsobilé náklady</w:t>
      </w:r>
    </w:p>
    <w:p w14:paraId="055AE297" w14:textId="77777777" w:rsidR="00D64397" w:rsidRDefault="003914A5" w:rsidP="000E3D9B">
      <w:pPr>
        <w:spacing w:after="120" w:line="281" w:lineRule="auto"/>
        <w:jc w:val="both"/>
      </w:pPr>
      <w:r>
        <w:t>Příjemcům podpory se důrazně doporučuje, aby – pokud je to pro autory přijatelné – publikovali v periodikách, resp. na platformách, které poskytují otevřený přístup bez nákladů na straně autora. To umožňují buď tituly s tzv. diamantovým otevřeným přístupem, n</w:t>
      </w:r>
      <w:r w:rsidR="005A505D">
        <w:t xml:space="preserve">ebo tituly, pro které </w:t>
      </w:r>
      <w:r w:rsidR="005A505D">
        <w:lastRenderedPageBreak/>
        <w:t>Národním c</w:t>
      </w:r>
      <w:r>
        <w:t>entrum CzechELib má aktuálně platné transformační smlouvy také pro mateřskou instituci korespondujícího autora (tj. zajištění otevřeného přístupu při minimalizaci celkových výdajů z veřejných prostředků, např. využitím tzv. tokenů pro otevřený přístup publikování</w:t>
      </w:r>
      <w:r w:rsidR="005A505D">
        <w:t>)</w:t>
      </w:r>
      <w:r>
        <w:t>. Lze rovněž zvážit dohodu se spoluautorem, jehož mateřská instituce takové podmínky splňuje. Pokud se takovou cestu nepodaří najít, pak publikační poplatky (Article processing charge, APC) za otevřený přístup k recenzovaným vědeckým publikacím</w:t>
      </w:r>
      <w:r>
        <w:rPr>
          <w:vertAlign w:val="superscript"/>
        </w:rPr>
        <w:footnoteReference w:id="22"/>
      </w:r>
      <w:r>
        <w:t xml:space="preserve"> vztahujících se k projektu by měly být způsobilým nákladem. </w:t>
      </w:r>
    </w:p>
    <w:p w14:paraId="0AB37873" w14:textId="77777777" w:rsidR="003914A5" w:rsidRDefault="003914A5" w:rsidP="000E3D9B">
      <w:pPr>
        <w:spacing w:after="120" w:line="281" w:lineRule="auto"/>
        <w:jc w:val="both"/>
      </w:pPr>
      <w:r>
        <w:t xml:space="preserve">Stejně tak </w:t>
      </w:r>
      <w:r w:rsidR="005A505D" w:rsidRPr="005A505D">
        <w:t>by měly být</w:t>
      </w:r>
      <w:r>
        <w:t xml:space="preserve"> způsobilými náklady na správu výzkumných dat (např. náklady spojené s pořizováním, zpracováním a ukládáním dat, anonymizací dat), včetně možnosti v projektu v</w:t>
      </w:r>
      <w:r w:rsidR="00FB7A16">
        <w:t> </w:t>
      </w:r>
      <w:r>
        <w:t>rámci odborného týmu zřídit pozici odborníka na správu dat (data stewarda) nebo obdobnou odbornou pozici, která se bude zabývat koordinací/správou výzkumných dat. Relevantní výši úvazku FTE navrhne Uchazeč/Příjemce s ohledem na předpokládanou časovou náročnost/objem generovaných dat v rámci projektu</w:t>
      </w:r>
      <w:r w:rsidR="00F74706" w:rsidRPr="005A505D">
        <w:rPr>
          <w:vertAlign w:val="superscript"/>
        </w:rPr>
        <w:footnoteReference w:id="23"/>
      </w:r>
      <w:r>
        <w:t>.</w:t>
      </w:r>
    </w:p>
    <w:p w14:paraId="22209318" w14:textId="77777777" w:rsidR="003914A5" w:rsidRDefault="003914A5" w:rsidP="000E3D9B">
      <w:pPr>
        <w:spacing w:before="120" w:after="360" w:line="281" w:lineRule="auto"/>
        <w:jc w:val="both"/>
        <w:rPr>
          <w:b/>
        </w:rPr>
      </w:pPr>
      <w:r>
        <w:rPr>
          <w:b/>
        </w:rPr>
        <w:t xml:space="preserve">Podpora i způsobilé náklady musí být vždy přiměřené ve vztahu k projektovým aktivitám a očekávaným výsledkům. Jejich výši </w:t>
      </w:r>
      <w:r w:rsidR="009819F1">
        <w:rPr>
          <w:b/>
        </w:rPr>
        <w:t xml:space="preserve">musí </w:t>
      </w:r>
      <w:r>
        <w:rPr>
          <w:b/>
        </w:rPr>
        <w:t>z</w:t>
      </w:r>
      <w:r w:rsidR="009819F1">
        <w:rPr>
          <w:b/>
        </w:rPr>
        <w:t>e</w:t>
      </w:r>
      <w:r>
        <w:rPr>
          <w:b/>
        </w:rPr>
        <w:t xml:space="preserve"> zákona uznat Poskytovatel.</w:t>
      </w:r>
    </w:p>
    <w:p w14:paraId="56B7C5DA" w14:textId="29CAF583" w:rsidR="003914A5" w:rsidRPr="005A505D" w:rsidRDefault="003914A5" w:rsidP="000E3D9B">
      <w:pPr>
        <w:pStyle w:val="Nadpis2"/>
        <w:numPr>
          <w:ilvl w:val="0"/>
          <w:numId w:val="0"/>
        </w:numPr>
        <w:spacing w:after="180" w:line="281" w:lineRule="auto"/>
        <w:jc w:val="both"/>
      </w:pPr>
      <w:bookmarkStart w:id="0" w:name="_1woh337uigst" w:colFirst="0" w:colLast="0"/>
      <w:bookmarkStart w:id="1" w:name="_gjdgxs" w:colFirst="0" w:colLast="0"/>
      <w:bookmarkStart w:id="2" w:name="_g9cbegz9kt0v" w:colFirst="0" w:colLast="0"/>
      <w:bookmarkStart w:id="3" w:name="_x5mz7if2cne2" w:colFirst="0" w:colLast="0"/>
      <w:bookmarkEnd w:id="0"/>
      <w:bookmarkEnd w:id="1"/>
      <w:bookmarkEnd w:id="2"/>
      <w:bookmarkEnd w:id="3"/>
      <w:r w:rsidRPr="00EE41DD">
        <w:t>Výchozí dokumenty</w:t>
      </w:r>
      <w:r w:rsidR="00C718BF" w:rsidRPr="00EE41DD">
        <w:t xml:space="preserve"> a projekty</w:t>
      </w:r>
      <w:r w:rsidRPr="00D347A9">
        <w:t>,</w:t>
      </w:r>
      <w:r>
        <w:t xml:space="preserve"> </w:t>
      </w:r>
      <w:r w:rsidRPr="003A102F">
        <w:t>o něž se Doporučení opírá</w:t>
      </w:r>
    </w:p>
    <w:p w14:paraId="632E16A2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0" w:history="1">
        <w:r w:rsidR="003914A5" w:rsidRPr="00986F7C">
          <w:rPr>
            <w:rStyle w:val="Hypertextovodkaz"/>
          </w:rPr>
          <w:t xml:space="preserve">UNESCO </w:t>
        </w:r>
        <w:r w:rsidR="003914A5" w:rsidRPr="00B01446">
          <w:rPr>
            <w:rStyle w:val="Hypertextovodkaz"/>
            <w:lang w:val="en-GB"/>
          </w:rPr>
          <w:t xml:space="preserve">Recommendation </w:t>
        </w:r>
        <w:r w:rsidR="003914A5" w:rsidRPr="00986F7C">
          <w:rPr>
            <w:rStyle w:val="Hypertextovodkaz"/>
          </w:rPr>
          <w:t>on Open Science</w:t>
        </w:r>
      </w:hyperlink>
      <w:r w:rsidR="003914A5" w:rsidRPr="00986F7C">
        <w:t>, UNESCO 2021, 34 p. (Doporučení UNESCO k</w:t>
      </w:r>
      <w:r w:rsidR="003914A5">
        <w:t> otevřené vědě</w:t>
      </w:r>
      <w:r w:rsidR="003914A5" w:rsidRPr="00986F7C">
        <w:t>).</w:t>
      </w:r>
    </w:p>
    <w:p w14:paraId="7A2727E7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1" w:history="1">
        <w:r w:rsidR="003914A5" w:rsidRPr="00986F7C">
          <w:rPr>
            <w:rStyle w:val="Hypertextovodkaz"/>
          </w:rPr>
          <w:t>Doporučení komise (EU) 2018/790 ze dne 25. dubna 2018 o přístupu k vědeckým informacím a jejich uchovávání</w:t>
        </w:r>
      </w:hyperlink>
      <w:r w:rsidR="003914A5" w:rsidRPr="00986F7C">
        <w:t>, Ústřední věstník Evropské unie 31. 5. 2018, L 134/12.</w:t>
      </w:r>
    </w:p>
    <w:p w14:paraId="4B32CE11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2" w:history="1">
        <w:r w:rsidR="003914A5" w:rsidRPr="00986F7C">
          <w:rPr>
            <w:rStyle w:val="Hypertextovodkaz"/>
          </w:rPr>
          <w:t>Směrnice Evropského parlamentu a Rady (EU) 2019/1024 ze dne 20. června 2019 o otevřených datech a opakovaném použití informací veřejného sektoru</w:t>
        </w:r>
      </w:hyperlink>
      <w:r w:rsidR="003914A5" w:rsidRPr="00986F7C">
        <w:t>, (přepracované znění), Ústřední věstník Evropské unie, 26. 6. 2019, L 172/56.</w:t>
      </w:r>
    </w:p>
    <w:p w14:paraId="77183378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3" w:history="1">
        <w:r w:rsidR="003914A5" w:rsidRPr="00986F7C">
          <w:rPr>
            <w:rStyle w:val="Hypertextovodkaz"/>
          </w:rPr>
          <w:t>Závěry Rady o vysoce kvalitní, transparentní, otevřené, důvěryhodné a spravedlivé akademické publikační činnosti</w:t>
        </w:r>
      </w:hyperlink>
      <w:r w:rsidR="003914A5">
        <w:t>, Rada Evropské unie, schváleno</w:t>
      </w:r>
      <w:r w:rsidR="003914A5" w:rsidRPr="00986F7C">
        <w:t xml:space="preserve"> 23. května 2023, 9616/23.</w:t>
      </w:r>
    </w:p>
    <w:p w14:paraId="767B85DD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4" w:history="1">
        <w:r w:rsidR="003914A5" w:rsidRPr="00986F7C">
          <w:rPr>
            <w:rStyle w:val="Hypertextovodkaz"/>
          </w:rPr>
          <w:t>Národní politika výzkumu, vývoje a inovací České republiky 2021</w:t>
        </w:r>
      </w:hyperlink>
      <w:r w:rsidR="003914A5" w:rsidRPr="00986F7C">
        <w:t>, Rada pro výzkum, vývoj a inovace, Ministerstvo školství, mládeže a tělovýchovy, schváleno Usnesením vlády ze dne 20. července 2020 č. 759.</w:t>
      </w:r>
    </w:p>
    <w:p w14:paraId="7BCB787A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5">
        <w:r w:rsidR="003914A5" w:rsidRPr="00986F7C">
          <w:rPr>
            <w:color w:val="1155CC"/>
            <w:u w:val="single"/>
          </w:rPr>
          <w:t>CzechELib</w:t>
        </w:r>
      </w:hyperlink>
      <w:r w:rsidR="003914A5" w:rsidRPr="00986F7C">
        <w:t xml:space="preserve"> – Národní centrum pro elektronické informační zdroje (2017–2022), Operační program výzkum, vývoj a vzdělávání (OP VVV), Individuální projekt systémový, </w:t>
      </w:r>
      <w:r w:rsidR="003914A5" w:rsidRPr="00C718BF">
        <w:rPr>
          <w:rStyle w:val="Siln"/>
          <w:b w:val="0"/>
          <w:color w:val="1A1A1A"/>
        </w:rPr>
        <w:t>id</w:t>
      </w:r>
      <w:r w:rsidR="003914A5">
        <w:t xml:space="preserve">. </w:t>
      </w:r>
      <w:r w:rsidR="003914A5" w:rsidRPr="00986F7C">
        <w:t>kód projektu</w:t>
      </w:r>
      <w:r w:rsidR="003914A5">
        <w:t>:</w:t>
      </w:r>
      <w:r w:rsidR="003914A5" w:rsidRPr="00986F7C">
        <w:t xml:space="preserve"> </w:t>
      </w:r>
      <w:r w:rsidR="003914A5" w:rsidRPr="00986F7C">
        <w:rPr>
          <w:color w:val="292929"/>
          <w:shd w:val="clear" w:color="auto" w:fill="FFFFFF"/>
        </w:rPr>
        <w:t>EF16_040/0003542</w:t>
      </w:r>
      <w:r w:rsidR="003914A5" w:rsidRPr="00986F7C">
        <w:t>, posléze Národní centrum CzechELib v</w:t>
      </w:r>
      <w:r w:rsidR="00FB7A16">
        <w:t> </w:t>
      </w:r>
      <w:r w:rsidR="003914A5" w:rsidRPr="00986F7C">
        <w:t xml:space="preserve">rámci projektu </w:t>
      </w:r>
      <w:hyperlink r:id="rId16" w:history="1">
        <w:r w:rsidR="003914A5" w:rsidRPr="00986F7C">
          <w:rPr>
            <w:rStyle w:val="Hypertextovodkaz"/>
          </w:rPr>
          <w:t>NCIP VaVaI</w:t>
        </w:r>
      </w:hyperlink>
      <w:r w:rsidR="003914A5" w:rsidRPr="00986F7C">
        <w:t xml:space="preserve"> – Národní centrum pro informační podporu výzkumu, vývoje a inovací (2021–2027), Projekt sdílených činností, </w:t>
      </w:r>
      <w:r w:rsidR="003914A5" w:rsidRPr="00C718BF">
        <w:rPr>
          <w:rStyle w:val="Siln"/>
          <w:b w:val="0"/>
          <w:color w:val="1A1A1A"/>
        </w:rPr>
        <w:t>id</w:t>
      </w:r>
      <w:r w:rsidR="003914A5">
        <w:t xml:space="preserve">. </w:t>
      </w:r>
      <w:r w:rsidR="003914A5" w:rsidRPr="00986F7C">
        <w:t>kód projektu</w:t>
      </w:r>
      <w:r w:rsidR="003914A5">
        <w:t>:</w:t>
      </w:r>
      <w:r w:rsidR="003914A5" w:rsidRPr="00986F7C">
        <w:t xml:space="preserve"> </w:t>
      </w:r>
      <w:r w:rsidR="003914A5" w:rsidRPr="00986F7C">
        <w:rPr>
          <w:color w:val="1A1A1A"/>
        </w:rPr>
        <w:t>MS2101.</w:t>
      </w:r>
      <w:r w:rsidR="003914A5" w:rsidRPr="00986F7C">
        <w:t xml:space="preserve"> </w:t>
      </w:r>
    </w:p>
    <w:p w14:paraId="47D9D0A3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7" w:history="1">
        <w:r w:rsidR="003914A5" w:rsidRPr="00986F7C">
          <w:rPr>
            <w:rStyle w:val="Hypertextovodkaz"/>
          </w:rPr>
          <w:t>CARDS</w:t>
        </w:r>
      </w:hyperlink>
      <w:r w:rsidR="003914A5" w:rsidRPr="00986F7C">
        <w:t xml:space="preserve"> – Czech Academic and Research Discovery Services (2023–2029), Operační program Jan Ámos Komenský (OP JAK), </w:t>
      </w:r>
      <w:r w:rsidR="003914A5" w:rsidRPr="00C718BF">
        <w:rPr>
          <w:rStyle w:val="Siln"/>
          <w:b w:val="0"/>
          <w:color w:val="1A1A1A"/>
        </w:rPr>
        <w:t>Individuální projekt systémový – VaV I, reg. č.</w:t>
      </w:r>
      <w:r w:rsidR="00FB7A16">
        <w:rPr>
          <w:rStyle w:val="Siln"/>
          <w:b w:val="0"/>
          <w:color w:val="1A1A1A"/>
        </w:rPr>
        <w:t> </w:t>
      </w:r>
      <w:r w:rsidR="003914A5" w:rsidRPr="00C718BF">
        <w:rPr>
          <w:rStyle w:val="Siln"/>
          <w:b w:val="0"/>
          <w:color w:val="1A1A1A"/>
        </w:rPr>
        <w:t xml:space="preserve">projektu: </w:t>
      </w:r>
      <w:r w:rsidR="003914A5" w:rsidRPr="00C718BF">
        <w:rPr>
          <w:b/>
          <w:color w:val="1A1A1A"/>
        </w:rPr>
        <w:t> </w:t>
      </w:r>
      <w:r w:rsidR="003914A5" w:rsidRPr="00C718BF">
        <w:rPr>
          <w:rStyle w:val="Siln"/>
          <w:b w:val="0"/>
          <w:color w:val="1A1A1A"/>
        </w:rPr>
        <w:t>CZ.02.01.01/00/22_004/0004342, id. kód projektu:</w:t>
      </w:r>
      <w:r w:rsidR="003914A5" w:rsidRPr="00986F7C">
        <w:rPr>
          <w:rStyle w:val="Siln"/>
          <w:color w:val="1A1A1A"/>
        </w:rPr>
        <w:t xml:space="preserve"> </w:t>
      </w:r>
      <w:r w:rsidR="003914A5" w:rsidRPr="00986F7C">
        <w:rPr>
          <w:color w:val="292929"/>
          <w:shd w:val="clear" w:color="auto" w:fill="FFFFFF"/>
        </w:rPr>
        <w:t>EH22_004/0004342.</w:t>
      </w:r>
    </w:p>
    <w:p w14:paraId="0A25E1D9" w14:textId="77777777" w:rsidR="003914A5" w:rsidRPr="00986F7C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8" w:history="1">
        <w:r w:rsidR="003914A5" w:rsidRPr="00986F7C">
          <w:rPr>
            <w:rStyle w:val="Hypertextovodkaz"/>
          </w:rPr>
          <w:t>Architektura implementace iniciativy EOSC v České republice</w:t>
        </w:r>
      </w:hyperlink>
      <w:r w:rsidR="003914A5" w:rsidRPr="00986F7C">
        <w:t xml:space="preserve"> (červen 2021, pracovní dokument definující základní rámec implementace a hlavní očekávané výsledky).</w:t>
      </w:r>
    </w:p>
    <w:p w14:paraId="6A55F322" w14:textId="63C0A8ED" w:rsidR="00FB7A16" w:rsidRPr="00B01446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19" w:history="1">
        <w:r w:rsidR="003914A5" w:rsidRPr="00986F7C">
          <w:rPr>
            <w:rStyle w:val="Hypertextovodkaz"/>
          </w:rPr>
          <w:t>EOSC-CZ</w:t>
        </w:r>
      </w:hyperlink>
      <w:r w:rsidR="003914A5" w:rsidRPr="00986F7C">
        <w:t xml:space="preserve"> – European Open Science Cloud Czech Republic (2023–2028), Operační program Jan Ámos Komenský (OP JAK),</w:t>
      </w:r>
      <w:r w:rsidR="003914A5" w:rsidRPr="00986F7C">
        <w:rPr>
          <w:b/>
        </w:rPr>
        <w:t xml:space="preserve"> </w:t>
      </w:r>
      <w:r w:rsidR="003914A5" w:rsidRPr="00C718BF">
        <w:rPr>
          <w:rStyle w:val="Siln"/>
          <w:b w:val="0"/>
          <w:color w:val="1A1A1A"/>
        </w:rPr>
        <w:t>Individuální projekt systémový – VaV I,</w:t>
      </w:r>
      <w:r w:rsidR="003914A5" w:rsidRPr="00C718BF">
        <w:rPr>
          <w:b/>
        </w:rPr>
        <w:t xml:space="preserve"> </w:t>
      </w:r>
      <w:r w:rsidR="003914A5" w:rsidRPr="00C718BF">
        <w:t xml:space="preserve">reg. č.projektu: </w:t>
      </w:r>
      <w:r w:rsidR="003914A5" w:rsidRPr="00C718BF">
        <w:rPr>
          <w:color w:val="000000"/>
          <w:shd w:val="clear" w:color="auto" w:fill="FFFFFF"/>
        </w:rPr>
        <w:t>CZ.02.01.01/00/22_004/0007682,</w:t>
      </w:r>
      <w:r w:rsidR="003914A5" w:rsidRPr="00C718BF">
        <w:rPr>
          <w:b/>
          <w:color w:val="000000"/>
          <w:shd w:val="clear" w:color="auto" w:fill="FFFFFF"/>
        </w:rPr>
        <w:t xml:space="preserve"> </w:t>
      </w:r>
      <w:r w:rsidR="003914A5" w:rsidRPr="00C718BF">
        <w:rPr>
          <w:rStyle w:val="Siln"/>
          <w:b w:val="0"/>
          <w:color w:val="1A1A1A"/>
        </w:rPr>
        <w:t>id</w:t>
      </w:r>
      <w:r w:rsidR="003914A5" w:rsidRPr="00C718BF">
        <w:rPr>
          <w:b/>
        </w:rPr>
        <w:t>.</w:t>
      </w:r>
      <w:r w:rsidR="003914A5">
        <w:t xml:space="preserve"> </w:t>
      </w:r>
      <w:r w:rsidR="003914A5" w:rsidRPr="00986F7C">
        <w:t>kód projektu</w:t>
      </w:r>
      <w:r w:rsidR="003914A5">
        <w:t>:</w:t>
      </w:r>
      <w:r w:rsidR="003914A5" w:rsidRPr="00986F7C">
        <w:t xml:space="preserve"> </w:t>
      </w:r>
      <w:r w:rsidR="003914A5" w:rsidRPr="00986F7C">
        <w:rPr>
          <w:color w:val="292929"/>
          <w:shd w:val="clear" w:color="auto" w:fill="FFFFFF"/>
        </w:rPr>
        <w:t>EH22_004/0007682.</w:t>
      </w:r>
    </w:p>
    <w:p w14:paraId="711D83E8" w14:textId="1091D9CC" w:rsidR="00B01446" w:rsidRPr="00B01446" w:rsidRDefault="00000000" w:rsidP="000E3D9B">
      <w:pPr>
        <w:pStyle w:val="Odstavecseseznamem"/>
        <w:numPr>
          <w:ilvl w:val="0"/>
          <w:numId w:val="14"/>
        </w:numPr>
        <w:spacing w:line="276" w:lineRule="auto"/>
        <w:jc w:val="both"/>
      </w:pPr>
      <w:hyperlink r:id="rId20" w:history="1">
        <w:r w:rsidR="00B01446" w:rsidRPr="00986F7C">
          <w:rPr>
            <w:rStyle w:val="Hypertextovodkaz"/>
          </w:rPr>
          <w:t>NRP</w:t>
        </w:r>
      </w:hyperlink>
      <w:r w:rsidR="00B01446" w:rsidRPr="00986F7C">
        <w:t xml:space="preserve"> – Národní repozitářová platforma pro výzkumná data (2024–2028), Operační program Jan Ámos Komenský (OP JAK) Open Science I, reg. č. projektu: </w:t>
      </w:r>
      <w:r w:rsidR="00B01446" w:rsidRPr="00FB7A16">
        <w:rPr>
          <w:color w:val="000000"/>
          <w:shd w:val="clear" w:color="auto" w:fill="FAFAFA"/>
        </w:rPr>
        <w:t>CZ.02.01.01/00/23_014/0008787.</w:t>
      </w:r>
    </w:p>
    <w:sectPr w:rsidR="00B01446" w:rsidRPr="00B01446" w:rsidSect="003E218D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332" w:right="1418" w:bottom="1276" w:left="1134" w:header="57" w:footer="39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C86B" w14:textId="77777777" w:rsidR="00A367DA" w:rsidRDefault="00A367DA">
      <w:pPr>
        <w:spacing w:line="240" w:lineRule="auto"/>
      </w:pPr>
      <w:r>
        <w:separator/>
      </w:r>
    </w:p>
  </w:endnote>
  <w:endnote w:type="continuationSeparator" w:id="0">
    <w:p w14:paraId="2737B005" w14:textId="77777777" w:rsidR="00A367DA" w:rsidRDefault="00A367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76DBA" w14:textId="1EE3FDC0" w:rsidR="00CB3A77" w:rsidRPr="00104F08" w:rsidRDefault="00CB3A77">
    <w:pPr>
      <w:pStyle w:val="Zpat"/>
      <w:jc w:val="right"/>
      <w:rPr>
        <w:color w:val="CE3736"/>
        <w:sz w:val="28"/>
        <w:szCs w:val="28"/>
      </w:rPr>
    </w:pPr>
    <w:r w:rsidRPr="00104F08">
      <w:rPr>
        <w:color w:val="CE3736"/>
      </w:rPr>
      <w:t xml:space="preserve"> </w:t>
    </w:r>
    <w:r w:rsidRPr="00104F08">
      <w:rPr>
        <w:color w:val="CE3736"/>
      </w:rPr>
      <w:fldChar w:fldCharType="begin"/>
    </w:r>
    <w:r w:rsidRPr="00104F08">
      <w:rPr>
        <w:color w:val="CE3736"/>
      </w:rPr>
      <w:instrText>PAGE  \* Arabic</w:instrText>
    </w:r>
    <w:r w:rsidRPr="00104F08">
      <w:rPr>
        <w:color w:val="CE3736"/>
      </w:rPr>
      <w:fldChar w:fldCharType="separate"/>
    </w:r>
    <w:r w:rsidR="00912C82">
      <w:rPr>
        <w:noProof/>
        <w:color w:val="CE3736"/>
      </w:rPr>
      <w:t>4</w:t>
    </w:r>
    <w:r w:rsidRPr="00104F08">
      <w:rPr>
        <w:color w:val="CE3736"/>
      </w:rPr>
      <w:fldChar w:fldCharType="end"/>
    </w:r>
    <w:r w:rsidRPr="00104F08">
      <w:rPr>
        <w:color w:val="CE3736"/>
      </w:rPr>
      <w:t>/</w:t>
    </w:r>
    <w:r w:rsidRPr="00104F08">
      <w:rPr>
        <w:color w:val="CE3736"/>
      </w:rPr>
      <w:fldChar w:fldCharType="begin"/>
    </w:r>
    <w:r w:rsidRPr="00104F08">
      <w:rPr>
        <w:color w:val="CE3736"/>
      </w:rPr>
      <w:instrText xml:space="preserve"> SECTIONPAGES  \* MERGEFORMAT </w:instrText>
    </w:r>
    <w:r w:rsidRPr="00104F08">
      <w:rPr>
        <w:color w:val="CE3736"/>
      </w:rPr>
      <w:fldChar w:fldCharType="separate"/>
    </w:r>
    <w:r w:rsidR="003A634D">
      <w:rPr>
        <w:noProof/>
        <w:color w:val="CE3736"/>
      </w:rPr>
      <w:t>7</w:t>
    </w:r>
    <w:r w:rsidRPr="00104F08">
      <w:rPr>
        <w:color w:val="CE3736"/>
      </w:rPr>
      <w:fldChar w:fldCharType="end"/>
    </w:r>
  </w:p>
  <w:p w14:paraId="1D697567" w14:textId="77777777" w:rsidR="00C354C2" w:rsidRDefault="00C354C2">
    <w:pPr>
      <w:pBdr>
        <w:top w:val="nil"/>
        <w:left w:val="nil"/>
        <w:bottom w:val="nil"/>
        <w:right w:val="nil"/>
        <w:between w:val="nil"/>
      </w:pBdr>
      <w:tabs>
        <w:tab w:val="left" w:pos="9617"/>
      </w:tabs>
      <w:spacing w:line="180" w:lineRule="auto"/>
      <w:ind w:left="360" w:right="574" w:hanging="360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6985" w14:textId="4EB4944E" w:rsidR="007A287D" w:rsidRPr="00CB3A77" w:rsidRDefault="007A287D" w:rsidP="004B549A">
    <w:pPr>
      <w:rPr>
        <w:color w:val="CE3736"/>
        <w:sz w:val="24"/>
        <w:szCs w:val="24"/>
      </w:rPr>
    </w:pPr>
    <w:r w:rsidRPr="005B0B34">
      <w:rPr>
        <w:rFonts w:eastAsia="Open Sans Light" w:cs="Arial"/>
        <w:color w:val="000000" w:themeColor="text1"/>
        <w:sz w:val="16"/>
        <w:szCs w:val="16"/>
      </w:rPr>
      <w:t xml:space="preserve">Projekt Národní centrum pro informační podporu výzkumu, vývoje a inovací s identifikačním kódem MS2101 </w:t>
    </w:r>
    <w:r>
      <w:rPr>
        <w:rFonts w:eastAsia="Open Sans Light" w:cs="Arial"/>
        <w:color w:val="000000" w:themeColor="text1"/>
        <w:sz w:val="16"/>
        <w:szCs w:val="16"/>
      </w:rPr>
      <w:t xml:space="preserve">                           </w:t>
    </w:r>
    <w:r w:rsidRPr="00875ECB">
      <w:rPr>
        <w:color w:val="CE3736"/>
      </w:rPr>
      <w:fldChar w:fldCharType="begin"/>
    </w:r>
    <w:r w:rsidRPr="00875ECB">
      <w:rPr>
        <w:color w:val="CE3736"/>
      </w:rPr>
      <w:instrText>PAGE  \* Arabic</w:instrText>
    </w:r>
    <w:r w:rsidRPr="00875ECB">
      <w:rPr>
        <w:color w:val="CE3736"/>
      </w:rPr>
      <w:fldChar w:fldCharType="separate"/>
    </w:r>
    <w:r w:rsidR="00912C82">
      <w:rPr>
        <w:noProof/>
        <w:color w:val="CE3736"/>
      </w:rPr>
      <w:t>1</w:t>
    </w:r>
    <w:r w:rsidRPr="00875ECB">
      <w:rPr>
        <w:color w:val="CE3736"/>
      </w:rPr>
      <w:fldChar w:fldCharType="end"/>
    </w:r>
    <w:r w:rsidRPr="00875ECB">
      <w:rPr>
        <w:color w:val="CE3736"/>
      </w:rPr>
      <w:t>/</w:t>
    </w:r>
    <w:r w:rsidRPr="00875ECB">
      <w:rPr>
        <w:color w:val="CE3736"/>
      </w:rPr>
      <w:fldChar w:fldCharType="begin"/>
    </w:r>
    <w:r w:rsidRPr="00875ECB">
      <w:rPr>
        <w:color w:val="CE3736"/>
      </w:rPr>
      <w:instrText xml:space="preserve"> SECTIONPAGES  \* MERGEFORMAT </w:instrText>
    </w:r>
    <w:r w:rsidRPr="00875ECB">
      <w:rPr>
        <w:color w:val="CE3736"/>
      </w:rPr>
      <w:fldChar w:fldCharType="separate"/>
    </w:r>
    <w:r w:rsidR="003A634D">
      <w:rPr>
        <w:noProof/>
        <w:color w:val="CE3736"/>
      </w:rPr>
      <w:t>7</w:t>
    </w:r>
    <w:r w:rsidRPr="00875ECB">
      <w:rPr>
        <w:color w:val="CE3736"/>
      </w:rPr>
      <w:fldChar w:fldCharType="end"/>
    </w:r>
  </w:p>
  <w:p w14:paraId="2178ECB5" w14:textId="77777777" w:rsidR="007A287D" w:rsidRDefault="007A287D" w:rsidP="007A287D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spacing w:line="284" w:lineRule="auto"/>
      <w:rPr>
        <w:rFonts w:eastAsia="Open Sans Light" w:cs="Arial"/>
        <w:color w:val="000000" w:themeColor="text1"/>
        <w:sz w:val="16"/>
        <w:szCs w:val="16"/>
      </w:rPr>
    </w:pPr>
    <w:r w:rsidRPr="005B0B34">
      <w:rPr>
        <w:rFonts w:eastAsia="Open Sans Light" w:cs="Arial"/>
        <w:color w:val="000000" w:themeColor="text1"/>
        <w:sz w:val="16"/>
        <w:szCs w:val="16"/>
      </w:rPr>
      <w:t xml:space="preserve">je realizován za podpory Ministerstva školství, mládeže a tělovýchovy. </w:t>
    </w:r>
  </w:p>
  <w:p w14:paraId="371DA9FB" w14:textId="77777777" w:rsidR="00C354C2" w:rsidRDefault="00C354C2" w:rsidP="007A287D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spacing w:line="284" w:lineRule="auto"/>
      <w:rPr>
        <w:rFonts w:ascii="Open Sans Light" w:eastAsia="Open Sans Light" w:hAnsi="Open Sans Light" w:cs="Open Sans Light"/>
        <w:color w:val="E5003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CEC6" w14:textId="77777777" w:rsidR="00A367DA" w:rsidRDefault="00A367DA">
      <w:pPr>
        <w:spacing w:line="240" w:lineRule="auto"/>
      </w:pPr>
      <w:r>
        <w:separator/>
      </w:r>
    </w:p>
  </w:footnote>
  <w:footnote w:type="continuationSeparator" w:id="0">
    <w:p w14:paraId="47EC6B78" w14:textId="77777777" w:rsidR="00A367DA" w:rsidRDefault="00A367DA">
      <w:pPr>
        <w:spacing w:line="240" w:lineRule="auto"/>
      </w:pPr>
      <w:r>
        <w:continuationSeparator/>
      </w:r>
    </w:p>
  </w:footnote>
  <w:footnote w:id="1">
    <w:p w14:paraId="4B84489E" w14:textId="2802C7B8" w:rsidR="000E3D9B" w:rsidRDefault="000E3D9B" w:rsidP="000E3D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E3D9B">
        <w:t>Toto Doporučení není právní dokument. Poskytovatel by měl mít jistotu, že je oprávněn požadavky uložené nad zákonné povinnosti, skutečně vyžadovat, zejména jejich neplnění oprávněně sankcionovat.</w:t>
      </w:r>
    </w:p>
  </w:footnote>
  <w:footnote w:id="2">
    <w:p w14:paraId="640FF4FF" w14:textId="77777777" w:rsidR="00E512D3" w:rsidRDefault="00E512D3" w:rsidP="000E3D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512D3">
        <w:t>Doporučení komise (EU) 2018/790 ze dne 25. dubna 2018 o přístupu k vědeckým informacím a jejich uchovávání</w:t>
      </w:r>
    </w:p>
  </w:footnote>
  <w:footnote w:id="3">
    <w:p w14:paraId="5336B4A0" w14:textId="77777777" w:rsidR="00E512D3" w:rsidRDefault="00E512D3" w:rsidP="000E3D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512D3">
        <w:t>Pro úvodní pasáže textu k oběma pilířům jsme se svolením GA ČR využili její materiál.</w:t>
      </w:r>
    </w:p>
  </w:footnote>
  <w:footnote w:id="4">
    <w:p w14:paraId="74BC3DBB" w14:textId="77777777" w:rsidR="003914A5" w:rsidRPr="0028190F" w:rsidRDefault="003914A5" w:rsidP="000E3D9B">
      <w:pPr>
        <w:spacing w:line="240" w:lineRule="auto"/>
        <w:jc w:val="both"/>
        <w:rPr>
          <w:sz w:val="20"/>
          <w:szCs w:val="20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sz w:val="20"/>
          <w:szCs w:val="20"/>
        </w:rPr>
        <w:t xml:space="preserve"> Recenzovanými vědeckými publikacemi se rozumí publikační výsledky typu J (recenzovaný odborný článek), B (odborná kniha), C (kapitola v odborné knize) a D (stať ve sborníku) podle Definice druhů výstupů, které jsou samo</w:t>
      </w:r>
      <w:r>
        <w:rPr>
          <w:sz w:val="20"/>
          <w:szCs w:val="20"/>
        </w:rPr>
        <w:t>statnou přílohou Metodiky 17+; č</w:t>
      </w:r>
      <w:r w:rsidRPr="0028190F">
        <w:rPr>
          <w:sz w:val="20"/>
          <w:szCs w:val="20"/>
        </w:rPr>
        <w:t xml:space="preserve">.j.: 26822/2017-OMP; dostupné </w:t>
      </w:r>
      <w:r w:rsidR="00FD21F8">
        <w:rPr>
          <w:sz w:val="20"/>
          <w:szCs w:val="20"/>
        </w:rPr>
        <w:t> </w:t>
      </w:r>
      <w:r w:rsidR="00FD21F8" w:rsidRPr="0028190F">
        <w:rPr>
          <w:sz w:val="20"/>
          <w:szCs w:val="20"/>
        </w:rPr>
        <w:t>z</w:t>
      </w:r>
      <w:r w:rsidR="00FD21F8">
        <w:rPr>
          <w:sz w:val="20"/>
          <w:szCs w:val="20"/>
        </w:rPr>
        <w:t> </w:t>
      </w:r>
      <w:hyperlink r:id="rId1">
        <w:r w:rsidRPr="0028190F">
          <w:rPr>
            <w:color w:val="1155CC"/>
            <w:sz w:val="20"/>
            <w:szCs w:val="20"/>
            <w:u w:val="single"/>
          </w:rPr>
          <w:t>https://www.isvavai.cz/dokumenty/definice_druhu_vysledku.pdf</w:t>
        </w:r>
      </w:hyperlink>
      <w:r w:rsidRPr="0028190F">
        <w:rPr>
          <w:sz w:val="20"/>
          <w:szCs w:val="20"/>
        </w:rPr>
        <w:t>.</w:t>
      </w:r>
    </w:p>
  </w:footnote>
  <w:footnote w:id="5">
    <w:p w14:paraId="74992671" w14:textId="77777777" w:rsidR="00BF7A1B" w:rsidRDefault="00BF7A1B" w:rsidP="000E3D9B">
      <w:pPr>
        <w:pStyle w:val="Textpoznpodarou"/>
        <w:spacing w:after="40"/>
        <w:jc w:val="both"/>
      </w:pPr>
      <w:r>
        <w:rPr>
          <w:rStyle w:val="Znakapoznpodarou"/>
        </w:rPr>
        <w:footnoteRef/>
      </w:r>
      <w:r>
        <w:t xml:space="preserve"> Držitelem majetkových práv ovšem zpravidla není autor, ale jeho zaměstnavatel: § 58 zákona č.</w:t>
      </w:r>
      <w:r w:rsidR="00FD21F8">
        <w:t> </w:t>
      </w:r>
      <w:r>
        <w:t>121/2000 Sb. autorský zákon</w:t>
      </w:r>
    </w:p>
  </w:footnote>
  <w:footnote w:id="6">
    <w:p w14:paraId="3264B277" w14:textId="77777777" w:rsidR="00BF7A1B" w:rsidRDefault="00BF7A1B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1B2A83">
        <w:t>T</w:t>
      </w:r>
      <w:r>
        <w:t>ím</w:t>
      </w:r>
      <w:r w:rsidRPr="001B2A83">
        <w:t xml:space="preserve"> </w:t>
      </w:r>
      <w:r>
        <w:t xml:space="preserve">toto </w:t>
      </w:r>
      <w:r w:rsidRPr="001B2A83">
        <w:t xml:space="preserve">Doporučení nijak neomezuje vědecké pracovníky v publikování v jimi zvolených časopisech. Pouze upozorňuje, že pro splnění podmínek otevřené vědy je nutné </w:t>
      </w:r>
      <w:r>
        <w:t>opatr</w:t>
      </w:r>
      <w:r w:rsidRPr="001B2A83">
        <w:t>ně nakládat s</w:t>
      </w:r>
      <w:r>
        <w:t> majetkovými p</w:t>
      </w:r>
      <w:r w:rsidRPr="001B2A83">
        <w:t>rávy k</w:t>
      </w:r>
      <w:r>
        <w:t> </w:t>
      </w:r>
      <w:r w:rsidRPr="001B2A83">
        <w:t>výsledkům projektů.</w:t>
      </w:r>
    </w:p>
  </w:footnote>
  <w:footnote w:id="7">
    <w:p w14:paraId="5C1F4AFB" w14:textId="36F3FAC5" w:rsidR="00141870" w:rsidRDefault="00141870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L</w:t>
      </w:r>
      <w:r w:rsidRPr="005144A3">
        <w:t xml:space="preserve">icenci </w:t>
      </w:r>
      <w:r>
        <w:t xml:space="preserve">přidělenou publikovanému článku </w:t>
      </w:r>
      <w:r w:rsidRPr="0064419D">
        <w:t>nelze</w:t>
      </w:r>
      <w:r w:rsidRPr="005144A3">
        <w:t xml:space="preserve"> pro zveřejnění v repozitáři měnit</w:t>
      </w:r>
    </w:p>
  </w:footnote>
  <w:footnote w:id="8">
    <w:p w14:paraId="378C7186" w14:textId="77777777" w:rsidR="00F04883" w:rsidRDefault="00F04883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F04883">
        <w:t>e-Infra/EOSC-CZ s podporou NTK vytvořila pracovní skupinu, která připravuje dokument pro orientaci v</w:t>
      </w:r>
      <w:r w:rsidR="002C7C40">
        <w:t> </w:t>
      </w:r>
      <w:r w:rsidRPr="00F04883">
        <w:t>základních parametrech, z nichž se dá dovodit důvěryhodnost. Nikoliv tedy úplný taxativní výčet.</w:t>
      </w:r>
    </w:p>
  </w:footnote>
  <w:footnote w:id="9">
    <w:p w14:paraId="21EC0290" w14:textId="279264EB" w:rsidR="00F04883" w:rsidRDefault="00F04883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28190F">
        <w:t>Termín „</w:t>
      </w:r>
      <w:r w:rsidRPr="00D5165A">
        <w:t>co nejdříve je možno</w:t>
      </w:r>
      <w:r w:rsidRPr="0028190F">
        <w:t xml:space="preserve">“ </w:t>
      </w:r>
      <w:r w:rsidR="000C1646">
        <w:t>vykládáme jako</w:t>
      </w:r>
      <w:r w:rsidRPr="0028190F">
        <w:t xml:space="preserve"> </w:t>
      </w:r>
      <w:r w:rsidR="000C1646">
        <w:t>„</w:t>
      </w:r>
      <w:r w:rsidRPr="0028190F">
        <w:t>neprodleně poté, co je to technicky možné</w:t>
      </w:r>
      <w:r w:rsidR="000C1646">
        <w:t>“</w:t>
      </w:r>
      <w:r w:rsidRPr="0028190F">
        <w:t xml:space="preserve"> – tj. nelze očekávat, že </w:t>
      </w:r>
      <w:r>
        <w:t>P</w:t>
      </w:r>
      <w:r w:rsidRPr="0028190F">
        <w:t>říjemce bude schopen uložit VoR dříve, než je publikována, nebo než se prokazatelně dozví, že VoR byl</w:t>
      </w:r>
      <w:r>
        <w:t>a</w:t>
      </w:r>
      <w:r w:rsidRPr="0028190F">
        <w:t xml:space="preserve"> publikován</w:t>
      </w:r>
      <w:r>
        <w:t>a; Doporučení EU to interpretuje: “</w:t>
      </w:r>
      <w:r w:rsidRPr="00FA0202">
        <w:t>nejlépe v okamžiku zveřejnění a</w:t>
      </w:r>
      <w:r w:rsidR="00FD21F8">
        <w:t> </w:t>
      </w:r>
      <w:r w:rsidRPr="00FA0202">
        <w:t>v</w:t>
      </w:r>
      <w:r w:rsidR="00FD21F8">
        <w:t> </w:t>
      </w:r>
      <w:r w:rsidRPr="00FA0202">
        <w:t xml:space="preserve">každém případě nejpozději šest měsíců po datu zveřejnění (nejpozději dvanáct měsíců v případě společenských </w:t>
      </w:r>
      <w:r w:rsidR="000E3D9B">
        <w:br/>
      </w:r>
      <w:r w:rsidRPr="00FA0202">
        <w:t>a humanitních věd)</w:t>
      </w:r>
      <w:r>
        <w:t>“</w:t>
      </w:r>
      <w:r w:rsidR="000C1646">
        <w:t xml:space="preserve"> – přitom „</w:t>
      </w:r>
      <w:r w:rsidR="000C1646" w:rsidRPr="00FA0202">
        <w:t>v okamžiku zveřejnění</w:t>
      </w:r>
      <w:r w:rsidR="000C1646">
        <w:t>“ je obvykle nesplnitelný požadavek</w:t>
      </w:r>
      <w:r w:rsidRPr="00FA0202">
        <w:t>.</w:t>
      </w:r>
    </w:p>
  </w:footnote>
  <w:footnote w:id="10">
    <w:p w14:paraId="762B22D4" w14:textId="41D4B2B0" w:rsidR="003914A5" w:rsidRPr="0028190F" w:rsidRDefault="003914A5" w:rsidP="000E3D9B">
      <w:pPr>
        <w:spacing w:after="60" w:line="240" w:lineRule="auto"/>
        <w:jc w:val="both"/>
        <w:rPr>
          <w:sz w:val="20"/>
          <w:szCs w:val="20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sz w:val="20"/>
          <w:szCs w:val="20"/>
        </w:rPr>
        <w:t xml:space="preserve"> V rámci OP JAK je několika výzvami podporována implementace EOSC v ČR a vybudování Národní datové infrastruktury (NDI) a jejich služeb. Tři projekty (IPs </w:t>
      </w:r>
      <w:hyperlink r:id="rId2">
        <w:r w:rsidRPr="0028190F">
          <w:rPr>
            <w:color w:val="1155CC"/>
            <w:sz w:val="20"/>
            <w:szCs w:val="20"/>
            <w:u w:val="single"/>
          </w:rPr>
          <w:t>EOSC-CZ</w:t>
        </w:r>
      </w:hyperlink>
      <w:r>
        <w:rPr>
          <w:color w:val="1155CC"/>
          <w:sz w:val="20"/>
          <w:szCs w:val="20"/>
          <w:u w:val="single"/>
        </w:rPr>
        <w:t>,</w:t>
      </w:r>
      <w:r w:rsidRPr="0028190F">
        <w:rPr>
          <w:sz w:val="20"/>
          <w:szCs w:val="20"/>
        </w:rPr>
        <w:t xml:space="preserve"> IPs </w:t>
      </w:r>
      <w:hyperlink r:id="rId3" w:history="1">
        <w:r w:rsidRPr="000F61D2">
          <w:rPr>
            <w:rStyle w:val="Hypertextovodkaz"/>
            <w:sz w:val="20"/>
            <w:szCs w:val="20"/>
          </w:rPr>
          <w:t>CARDS</w:t>
        </w:r>
      </w:hyperlink>
      <w:r w:rsidRPr="000F61D2">
        <w:rPr>
          <w:sz w:val="20"/>
          <w:szCs w:val="20"/>
        </w:rPr>
        <w:t xml:space="preserve"> a </w:t>
      </w:r>
      <w:hyperlink r:id="rId4" w:history="1">
        <w:r w:rsidRPr="000F61D2">
          <w:rPr>
            <w:rStyle w:val="Hypertextovodkaz"/>
            <w:sz w:val="20"/>
            <w:szCs w:val="20"/>
          </w:rPr>
          <w:t>NRP</w:t>
        </w:r>
      </w:hyperlink>
      <w:r w:rsidRPr="0028190F">
        <w:rPr>
          <w:sz w:val="20"/>
          <w:szCs w:val="20"/>
        </w:rPr>
        <w:t>) již svoji činnost zahájily a pracují na vytvoření prvních služeb – Národního metadatového adresáře, Národního katalogu repozitářů a Národní repozitářové platformy. V době jejich provozu by bylo vhodné zvážit zařazení doporučení k jejich užívání v rámci správy dat – tj. repozitář, do kterého budou data ukládána, musí být evidován v Národním katalogu repozitářů a dataset musí být dohledatelný v Národním metadatovém adresáři.</w:t>
      </w:r>
    </w:p>
  </w:footnote>
  <w:footnote w:id="11">
    <w:p w14:paraId="6FE41B05" w14:textId="77777777" w:rsidR="008F1C5C" w:rsidRDefault="008F1C5C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8F1C5C">
        <w:t>§ 2 odst. 2 písm. o) zák. č. 130/2002 Sb., zákon o podpoře výzkumu, experimentálního vývoje a</w:t>
      </w:r>
      <w:r w:rsidR="002C7C40">
        <w:t> </w:t>
      </w:r>
      <w:r w:rsidRPr="008F1C5C">
        <w:t>inovací, ve znění pozdějších předpisů (dále jen Zákon o výzkumu)</w:t>
      </w:r>
    </w:p>
  </w:footnote>
  <w:footnote w:id="12">
    <w:p w14:paraId="05846C8C" w14:textId="67FD708F" w:rsidR="00303A46" w:rsidRDefault="00303A46" w:rsidP="000E3D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8338D">
        <w:t>§ 1</w:t>
      </w:r>
      <w:r>
        <w:t>2a</w:t>
      </w:r>
      <w:r w:rsidRPr="00A8338D">
        <w:t xml:space="preserve"> Zákona o výzkumu</w:t>
      </w:r>
    </w:p>
  </w:footnote>
  <w:footnote w:id="13">
    <w:p w14:paraId="1CED8056" w14:textId="77777777" w:rsidR="00A8338D" w:rsidRDefault="00A8338D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A8338D">
        <w:t>§ 31 odst. 6 Zákona o výzkumu</w:t>
      </w:r>
    </w:p>
  </w:footnote>
  <w:footnote w:id="14">
    <w:p w14:paraId="5E611DE9" w14:textId="77777777" w:rsidR="00A8338D" w:rsidRDefault="00A8338D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A8338D">
        <w:t>§ 9 odst. 1 písm. l) a m) Zákona o výzkumu</w:t>
      </w:r>
    </w:p>
  </w:footnote>
  <w:footnote w:id="15">
    <w:p w14:paraId="4EC5561A" w14:textId="77777777" w:rsidR="00A8338D" w:rsidRDefault="00A8338D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</w:t>
      </w:r>
      <w:r w:rsidRPr="00A8338D">
        <w:t>§ 12 odst. 1 Zákona o výzkumu</w:t>
      </w:r>
    </w:p>
  </w:footnote>
  <w:footnote w:id="16">
    <w:p w14:paraId="0384F0DA" w14:textId="77777777" w:rsidR="00EE27F8" w:rsidRDefault="00EE27F8" w:rsidP="000E3D9B">
      <w:pPr>
        <w:pStyle w:val="Textpoznpodarou"/>
        <w:spacing w:after="60"/>
        <w:jc w:val="both"/>
      </w:pPr>
      <w:r>
        <w:rPr>
          <w:rStyle w:val="Znakapoznpodarou"/>
        </w:rPr>
        <w:footnoteRef/>
      </w:r>
      <w:r>
        <w:t xml:space="preserve"> D</w:t>
      </w:r>
      <w:r w:rsidRPr="00EE27F8">
        <w:t>ata nemusí být zcela otevřená, ale měla by být FAIR, tj. dohledatelná, přístupná, interoperabilní a</w:t>
      </w:r>
      <w:r w:rsidR="00FD21F8">
        <w:t> </w:t>
      </w:r>
      <w:r w:rsidRPr="00EE27F8">
        <w:t>opětovně využitelná (Findable, Accessible, Interoperable, and Reusable)</w:t>
      </w:r>
      <w:r w:rsidR="00A27135">
        <w:t xml:space="preserve">. </w:t>
      </w:r>
      <w:r w:rsidR="00A27135" w:rsidRPr="00A27135">
        <w:t xml:space="preserve">Zevrubný rozbor je na </w:t>
      </w:r>
      <w:hyperlink r:id="rId5" w:history="1">
        <w:r w:rsidR="00A27135" w:rsidRPr="00166444">
          <w:rPr>
            <w:rStyle w:val="Hypertextovodkaz"/>
          </w:rPr>
          <w:t>https://openscience.cuni.cz/OSCI-229.html</w:t>
        </w:r>
      </w:hyperlink>
      <w:r w:rsidR="00A27135">
        <w:t xml:space="preserve"> </w:t>
      </w:r>
    </w:p>
  </w:footnote>
  <w:footnote w:id="17">
    <w:p w14:paraId="1E1880A9" w14:textId="4E37C8EC" w:rsidR="003914A5" w:rsidRPr="0028190F" w:rsidRDefault="003914A5" w:rsidP="000E3D9B">
      <w:pPr>
        <w:spacing w:after="60" w:line="240" w:lineRule="auto"/>
        <w:jc w:val="both"/>
        <w:rPr>
          <w:sz w:val="20"/>
          <w:szCs w:val="20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sz w:val="20"/>
          <w:szCs w:val="20"/>
        </w:rPr>
        <w:t xml:space="preserve"> Pro tvorbu Plánu správy dat se doporučuje využít </w:t>
      </w:r>
      <w:hyperlink r:id="rId6">
        <w:r w:rsidRPr="0028190F">
          <w:rPr>
            <w:color w:val="1155CC"/>
            <w:sz w:val="20"/>
            <w:szCs w:val="20"/>
            <w:u w:val="single"/>
          </w:rPr>
          <w:t>vzorový template DMP Horizon Europe</w:t>
        </w:r>
      </w:hyperlink>
      <w:r w:rsidRPr="0028190F">
        <w:rPr>
          <w:sz w:val="20"/>
          <w:szCs w:val="20"/>
        </w:rPr>
        <w:t xml:space="preserve"> a podporovat použití některého z existujících nástrojů na tvorbu DMP, který umožní jeho vytváření a aktualizaci ve strojově čitelné podobě jako např. </w:t>
      </w:r>
      <w:hyperlink r:id="rId7">
        <w:r w:rsidRPr="0028190F">
          <w:rPr>
            <w:color w:val="1155CC"/>
            <w:sz w:val="20"/>
            <w:szCs w:val="20"/>
            <w:u w:val="single"/>
          </w:rPr>
          <w:t>Data Stewardship Wizard</w:t>
        </w:r>
      </w:hyperlink>
      <w:r w:rsidRPr="0028190F">
        <w:rPr>
          <w:sz w:val="20"/>
          <w:szCs w:val="20"/>
        </w:rPr>
        <w:t xml:space="preserve">, který je </w:t>
      </w:r>
      <w:r w:rsidRPr="003A634D">
        <w:rPr>
          <w:sz w:val="20"/>
          <w:szCs w:val="20"/>
        </w:rPr>
        <w:t>součástí projektu NRP, takže by měl být integrovaný do NDI. Nástroje pro tvorbu DMP budou součástí služeb NDI od roku 2025.</w:t>
      </w:r>
      <w:r w:rsidR="00912C82" w:rsidRPr="003A634D">
        <w:rPr>
          <w:sz w:val="20"/>
          <w:szCs w:val="20"/>
        </w:rPr>
        <w:t xml:space="preserve"> Pokud to možnosti podpory umožňují, Poskytovatel může akceptovat vytvoření a využití generických data management plánů Příjemcem, které budou popisovat nakládání s daty napříč projekty pracujícími se stejným nebo podobným typem dat.</w:t>
      </w:r>
    </w:p>
  </w:footnote>
  <w:footnote w:id="18">
    <w:p w14:paraId="2D0CA657" w14:textId="77777777" w:rsidR="003914A5" w:rsidRPr="0028190F" w:rsidRDefault="003914A5" w:rsidP="000E3D9B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color w:val="000000"/>
          <w:sz w:val="20"/>
          <w:szCs w:val="20"/>
          <w:highlight w:val="yellow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color w:val="000000"/>
          <w:sz w:val="20"/>
          <w:szCs w:val="20"/>
        </w:rPr>
        <w:t xml:space="preserve"> </w:t>
      </w:r>
      <w:r w:rsidR="00726C42" w:rsidRPr="00726C42">
        <w:rPr>
          <w:color w:val="000000"/>
          <w:sz w:val="20"/>
          <w:szCs w:val="20"/>
        </w:rPr>
        <w:t>DMP</w:t>
      </w:r>
      <w:r w:rsidRPr="0028190F">
        <w:rPr>
          <w:color w:val="000000"/>
          <w:sz w:val="20"/>
          <w:szCs w:val="20"/>
        </w:rPr>
        <w:t xml:space="preserve"> předkládá Příjemce až v průběhu realizace projektu (doporučení 6 měsíců po zahájení realizace), např. jako součást průběžných zpráv o realizaci. Poslední aktualizace je předložena společně se závěrečnou zprávou o realizaci.</w:t>
      </w:r>
    </w:p>
  </w:footnote>
  <w:footnote w:id="19">
    <w:p w14:paraId="5956345E" w14:textId="77777777" w:rsidR="003914A5" w:rsidRPr="0028190F" w:rsidRDefault="003914A5" w:rsidP="000E3D9B">
      <w:pPr>
        <w:spacing w:after="60" w:line="240" w:lineRule="auto"/>
        <w:jc w:val="both"/>
        <w:rPr>
          <w:sz w:val="20"/>
          <w:szCs w:val="20"/>
          <w:highlight w:val="yellow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sz w:val="20"/>
          <w:szCs w:val="20"/>
        </w:rPr>
        <w:t xml:space="preserve"> Vhodným repozitářem pro ukládání výzkumných dat je většinou příslušný oborový repozitář, popř. institucionální či obecný repozitář jako např. Zenodo. Pro hledání vhodných repozitářů doporučujeme užít registru</w:t>
      </w:r>
      <w:r w:rsidR="00CC7F9C">
        <w:rPr>
          <w:sz w:val="20"/>
          <w:szCs w:val="20"/>
        </w:rPr>
        <w:t xml:space="preserve"> </w:t>
      </w:r>
      <w:r w:rsidR="001D5CB6" w:rsidRPr="00726C42">
        <w:rPr>
          <w:sz w:val="20"/>
          <w:szCs w:val="20"/>
        </w:rPr>
        <w:t>re3data.org</w:t>
      </w:r>
      <w:r w:rsidR="001D5CB6">
        <w:rPr>
          <w:sz w:val="20"/>
          <w:szCs w:val="20"/>
        </w:rPr>
        <w:t>,</w:t>
      </w:r>
      <w:r w:rsidR="001D5CB6" w:rsidRPr="001D5CB6">
        <w:rPr>
          <w:sz w:val="20"/>
          <w:szCs w:val="20"/>
        </w:rPr>
        <w:t xml:space="preserve"> který obsahuje přes tři tisíce repozitářů,</w:t>
      </w:r>
      <w:r w:rsidRPr="0028190F">
        <w:rPr>
          <w:sz w:val="20"/>
          <w:szCs w:val="20"/>
        </w:rPr>
        <w:t xml:space="preserve"> nebo lze konzultovat </w:t>
      </w:r>
      <w:r w:rsidR="00B01065">
        <w:rPr>
          <w:sz w:val="20"/>
          <w:szCs w:val="20"/>
        </w:rPr>
        <w:t xml:space="preserve">s pracovní skupinou pro repozitáře </w:t>
      </w:r>
      <w:r w:rsidR="00B01065" w:rsidRPr="00B01065">
        <w:rPr>
          <w:sz w:val="20"/>
          <w:szCs w:val="20"/>
        </w:rPr>
        <w:t>&lt;data-repos-wg@lists.eosc.cz&gt;</w:t>
      </w:r>
      <w:r w:rsidR="00B01065" w:rsidRPr="00B01065" w:rsidDel="00612985">
        <w:rPr>
          <w:sz w:val="20"/>
          <w:szCs w:val="20"/>
        </w:rPr>
        <w:t xml:space="preserve"> </w:t>
      </w:r>
      <w:r w:rsidRPr="0028190F">
        <w:rPr>
          <w:sz w:val="20"/>
          <w:szCs w:val="20"/>
        </w:rPr>
        <w:t>. D</w:t>
      </w:r>
      <w:r>
        <w:rPr>
          <w:sz w:val="20"/>
          <w:szCs w:val="20"/>
        </w:rPr>
        <w:t>a</w:t>
      </w:r>
      <w:r w:rsidRPr="0028190F">
        <w:rPr>
          <w:sz w:val="20"/>
          <w:szCs w:val="20"/>
        </w:rPr>
        <w:t>lší důvěryhodné repozitáře budou budovány v rámci NDI od roku 2025 implementací EOSC v ČR.</w:t>
      </w:r>
    </w:p>
  </w:footnote>
  <w:footnote w:id="20">
    <w:p w14:paraId="5B23CF0A" w14:textId="77777777" w:rsidR="00E0144B" w:rsidRPr="0028190F" w:rsidRDefault="00E0144B" w:rsidP="000E3D9B">
      <w:pPr>
        <w:spacing w:line="240" w:lineRule="auto"/>
        <w:jc w:val="both"/>
        <w:rPr>
          <w:sz w:val="20"/>
          <w:szCs w:val="20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sz w:val="20"/>
          <w:szCs w:val="20"/>
        </w:rPr>
        <w:t xml:space="preserve"> V rámci projektu IPs </w:t>
      </w:r>
      <w:hyperlink r:id="rId8">
        <w:r w:rsidRPr="0028190F">
          <w:rPr>
            <w:color w:val="1155CC"/>
            <w:sz w:val="20"/>
            <w:szCs w:val="20"/>
            <w:u w:val="single"/>
          </w:rPr>
          <w:t>CARDS</w:t>
        </w:r>
      </w:hyperlink>
      <w:r w:rsidRPr="0028190F">
        <w:rPr>
          <w:sz w:val="20"/>
          <w:szCs w:val="20"/>
        </w:rPr>
        <w:t xml:space="preserve"> bude definován základní metadatový model pro popis výzkumných dat v</w:t>
      </w:r>
      <w:r w:rsidR="00FB7A16">
        <w:rPr>
          <w:sz w:val="20"/>
          <w:szCs w:val="20"/>
        </w:rPr>
        <w:t> </w:t>
      </w:r>
      <w:r w:rsidRPr="0028190F">
        <w:rPr>
          <w:sz w:val="20"/>
          <w:szCs w:val="20"/>
        </w:rPr>
        <w:t xml:space="preserve">ČR s ohledem na mezinárodní prostředí a již existující schémata. Tento základní metadatový model bude implementován do NDI a základní metadata o výzkumných datech budou dohledatelná </w:t>
      </w:r>
      <w:r>
        <w:rPr>
          <w:sz w:val="20"/>
          <w:szCs w:val="20"/>
        </w:rPr>
        <w:t>v Národním metadatovém adresáři</w:t>
      </w:r>
      <w:r w:rsidRPr="0028190F">
        <w:rPr>
          <w:sz w:val="20"/>
          <w:szCs w:val="20"/>
        </w:rPr>
        <w:t xml:space="preserve">, který bude zároveň sloužit jako vyhledávač výzkumných dat v ČR. </w:t>
      </w:r>
    </w:p>
  </w:footnote>
  <w:footnote w:id="21">
    <w:p w14:paraId="07CAAB1F" w14:textId="77777777" w:rsidR="00F01323" w:rsidRDefault="00F01323" w:rsidP="000E3D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hyperlink r:id="rId9" w:history="1">
        <w:r w:rsidRPr="00F01323">
          <w:rPr>
            <w:rStyle w:val="Hypertextovodkaz"/>
          </w:rPr>
          <w:t>Průvodce programem Horizont Evropa</w:t>
        </w:r>
      </w:hyperlink>
      <w:r>
        <w:t xml:space="preserve"> - zejména kapitola 16. Open science) uvádí podrobné postupy otevřené vědy (str. 38 - 53); </w:t>
      </w:r>
      <w:hyperlink r:id="rId10" w:history="1">
        <w:r>
          <w:rPr>
            <w:rStyle w:val="Hypertextovodkaz"/>
          </w:rPr>
          <w:t>O</w:t>
        </w:r>
        <w:r w:rsidRPr="00F01323">
          <w:rPr>
            <w:rStyle w:val="Hypertextovodkaz"/>
          </w:rPr>
          <w:t>becná modelová grantová dohoda</w:t>
        </w:r>
      </w:hyperlink>
      <w:r>
        <w:t xml:space="preserve"> (MGA), v čl. 17 uvádí požadavky vyplývající z politiky otevřené vědy; </w:t>
      </w:r>
      <w:hyperlink r:id="rId11" w:history="1">
        <w:r>
          <w:rPr>
            <w:rStyle w:val="Hypertextovodkaz"/>
          </w:rPr>
          <w:t>A</w:t>
        </w:r>
        <w:r w:rsidRPr="00F01323">
          <w:rPr>
            <w:rStyle w:val="Hypertextovodkaz"/>
          </w:rPr>
          <w:t>notovaná grantová dohoda</w:t>
        </w:r>
      </w:hyperlink>
      <w:r>
        <w:t xml:space="preserve"> (AGA) nabízí vysvětlení a podrobnější pokyny pro požadavky otevřené vědy v Příloze 5</w:t>
      </w:r>
    </w:p>
  </w:footnote>
  <w:footnote w:id="22">
    <w:p w14:paraId="05137ABD" w14:textId="77777777" w:rsidR="003914A5" w:rsidRPr="0028190F" w:rsidRDefault="003914A5" w:rsidP="000E3D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 w:rsidRPr="0028190F">
        <w:rPr>
          <w:sz w:val="20"/>
          <w:szCs w:val="20"/>
          <w:vertAlign w:val="superscript"/>
        </w:rPr>
        <w:footnoteRef/>
      </w:r>
      <w:r w:rsidRPr="0028190F">
        <w:rPr>
          <w:sz w:val="20"/>
          <w:szCs w:val="20"/>
        </w:rPr>
        <w:t xml:space="preserve"> </w:t>
      </w:r>
      <w:r w:rsidRPr="0028190F">
        <w:rPr>
          <w:sz w:val="20"/>
          <w:szCs w:val="20"/>
          <w:highlight w:val="white"/>
        </w:rPr>
        <w:t>Konkrétní nastavení způsobilosti nákladů na APC může být v dalších letech upraveno/zpřísněno, a to s</w:t>
      </w:r>
      <w:r w:rsidR="00FB7A16">
        <w:rPr>
          <w:sz w:val="20"/>
          <w:szCs w:val="20"/>
          <w:highlight w:val="white"/>
        </w:rPr>
        <w:t> </w:t>
      </w:r>
      <w:r w:rsidRPr="0028190F">
        <w:rPr>
          <w:sz w:val="20"/>
          <w:szCs w:val="20"/>
          <w:highlight w:val="white"/>
        </w:rPr>
        <w:t xml:space="preserve">cílem dosáhnout většího souladu s pravidly Horizon Europe, event. </w:t>
      </w:r>
      <w:hyperlink r:id="rId12">
        <w:r w:rsidRPr="0028190F">
          <w:rPr>
            <w:color w:val="1155CC"/>
            <w:sz w:val="20"/>
            <w:szCs w:val="20"/>
            <w:highlight w:val="white"/>
            <w:u w:val="single"/>
          </w:rPr>
          <w:t>Coalition S</w:t>
        </w:r>
      </w:hyperlink>
      <w:r w:rsidRPr="0028190F">
        <w:rPr>
          <w:rFonts w:ascii="Roboto" w:eastAsia="Roboto" w:hAnsi="Roboto" w:cs="Roboto"/>
          <w:color w:val="444746"/>
          <w:sz w:val="20"/>
          <w:szCs w:val="20"/>
          <w:highlight w:val="white"/>
        </w:rPr>
        <w:t>.</w:t>
      </w:r>
    </w:p>
  </w:footnote>
  <w:footnote w:id="23">
    <w:p w14:paraId="57585A28" w14:textId="77777777" w:rsidR="00F74706" w:rsidRDefault="00F74706" w:rsidP="000E3D9B">
      <w:pPr>
        <w:pStyle w:val="Textkomente"/>
        <w:jc w:val="both"/>
      </w:pPr>
      <w:r>
        <w:rPr>
          <w:rStyle w:val="Znakapoznpodarou"/>
        </w:rPr>
        <w:footnoteRef/>
      </w:r>
      <w:r>
        <w:t xml:space="preserve"> Je třeba připomenout, že na rozvoj kapacit VO pro podporu OA ve smyslu dat i publikací byla poskytnuta celá řada rozvojových prostředků prostřednictvím výzev z operačních programů (např. výzvy na Rozvoj kapacit pro výzkum a vývoj), ale i ze státního rozpočtu. Rozvoj služeb pro OA na VO je též oblastí, která</w:t>
      </w:r>
      <w:r w:rsidR="006D11F5">
        <w:t xml:space="preserve"> má</w:t>
      </w:r>
      <w:r>
        <w:t xml:space="preserve"> být podporována v rámci interních nástrojů z financování dlouhodobého koncepčního rozvoje výzkumné organizace. Očekává se tedy, že </w:t>
      </w:r>
      <w:r w:rsidR="004E6738">
        <w:t>v</w:t>
      </w:r>
      <w:r>
        <w:t xml:space="preserve"> řadě výzkumných organizací je </w:t>
      </w:r>
      <w:r w:rsidR="004E6738">
        <w:t xml:space="preserve">již </w:t>
      </w:r>
      <w:r>
        <w:t xml:space="preserve">implementována příslušná strategie v oblasti OA, jejímž cílem je zefektivnit a poskytnout v daném rozsahu služby pro žadatele do programových a grantových nástrojů </w:t>
      </w:r>
      <w:r w:rsidR="00DE4E38">
        <w:t>Poskytovatelů.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017A" w14:textId="77777777" w:rsidR="00142519" w:rsidRDefault="005E1AA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758592" behindDoc="1" locked="0" layoutInCell="0" allowOverlap="1" wp14:anchorId="6CB3F823" wp14:editId="4F43519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56500" cy="10693400"/>
              <wp:effectExtent l="0" t="0" r="0" b="3175"/>
              <wp:wrapNone/>
              <wp:docPr id="3" name="WordPictureWatermark63262189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556500" cy="106934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34710FD" id="WordPictureWatermark632621891" o:spid="_x0000_s1026" style="position:absolute;margin-left:0;margin-top:0;width:595pt;height:842pt;z-index:-251557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" o:allowincell="f" filled="f" stroked="f">
              <o:lock v:ext="edit" aspectratio="t"/>
              <w10:wrap anchorx="margin" anchory="margin"/>
            </v:rect>
          </w:pict>
        </mc:Fallback>
      </mc:AlternateContent>
    </w:r>
    <w:r w:rsidR="00000000">
      <w:rPr>
        <w:noProof/>
      </w:rPr>
      <w:pict w14:anchorId="649E30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09969" o:spid="_x0000_s1035" type="#_x0000_t75" alt="" style="position:absolute;margin-left:0;margin-top:0;width:595pt;height:842pt;z-index:-25156403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023_CEL_vodoznak_svg"/>
          <w10:wrap anchorx="margin" anchory="margin"/>
        </v:shape>
      </w:pict>
    </w:r>
    <w:r w:rsidR="00000000">
      <w:rPr>
        <w:noProof/>
      </w:rPr>
      <w:pict w14:anchorId="3BEC47CB">
        <v:shape id="WordPictureWatermark614018973" o:spid="_x0000_s1034" type="#_x0000_t75" alt="" style="position:absolute;margin-left:0;margin-top:0;width:357pt;height:505.2pt;z-index:-2515732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2023_CEL_vodoznak_svg" gain="19661f" blacklevel="22938f"/>
          <w10:wrap anchorx="margin" anchory="margin"/>
        </v:shape>
      </w:pict>
    </w:r>
    <w:r w:rsidR="00000000">
      <w:rPr>
        <w:noProof/>
      </w:rPr>
      <w:pict w14:anchorId="5CE57234">
        <v:shape id="WordPictureWatermark613800305" o:spid="_x0000_s1033" type="#_x0000_t75" alt="" style="position:absolute;margin-left:0;margin-top:0;width:595pt;height:842pt;z-index:-2515793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2023_CEL_vodoznak_svg"/>
          <w10:wrap anchorx="margin" anchory="margin"/>
        </v:shape>
      </w:pict>
    </w:r>
    <w:r w:rsidR="00000000">
      <w:rPr>
        <w:noProof/>
      </w:rPr>
      <w:pict w14:anchorId="6972BE03">
        <v:shape id="WordPictureWatermark613777997" o:spid="_x0000_s1032" type="#_x0000_t75" alt="" style="position:absolute;margin-left:0;margin-top:0;width:669.35pt;height:947.25pt;z-index:-2515886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2023_CEL_vodoznak_svg" gain="19661f" blacklevel="22938f"/>
          <w10:wrap anchorx="margin" anchory="margin"/>
        </v:shape>
      </w:pict>
    </w:r>
    <w:r w:rsidR="00000000">
      <w:rPr>
        <w:noProof/>
      </w:rPr>
      <w:pict w14:anchorId="2E4AE7DF">
        <v:shape id="WordPictureWatermark613758624" o:spid="_x0000_s1031" type="#_x0000_t75" alt="" style="position:absolute;margin-left:0;margin-top:0;width:371.85pt;height:526.25pt;z-index:-2515978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2023_CEL_vodoznak_svg" gain="19661f" blacklevel="22938f"/>
          <w10:wrap anchorx="margin" anchory="margin"/>
        </v:shape>
      </w:pict>
    </w:r>
    <w:r w:rsidR="00000000">
      <w:rPr>
        <w:noProof/>
      </w:rPr>
      <w:pict w14:anchorId="569419B2">
        <v:shape id="WordPictureWatermark613729749" o:spid="_x0000_s1030" type="#_x0000_t75" alt="" style="position:absolute;margin-left:0;margin-top:0;width:743.75pt;height:1052.5pt;z-index:-2516070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2023_CEL_vodoznak_svg" gain="19661f" blacklevel="22938f"/>
          <w10:wrap anchorx="margin" anchory="margin"/>
        </v:shape>
      </w:pict>
    </w:r>
    <w:r w:rsidR="00000000">
      <w:rPr>
        <w:noProof/>
      </w:rPr>
      <w:pict w14:anchorId="4EFCAB72">
        <v:shape id="WordPictureWatermark613700924" o:spid="_x0000_s1029" type="#_x0000_t75" alt="" style="position:absolute;margin-left:0;margin-top:0;width:743.75pt;height:1052.5pt;z-index:-2516162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2023_CEL_vodoznak_svg"/>
          <w10:wrap anchorx="margin" anchory="margin"/>
        </v:shape>
      </w:pict>
    </w:r>
    <w:r w:rsidR="00000000">
      <w:rPr>
        <w:noProof/>
      </w:rPr>
      <w:pict w14:anchorId="0D927CF0">
        <v:shape id="WordPictureWatermark612789589" o:spid="_x0000_s1028" type="#_x0000_t75" alt="" style="position:absolute;margin-left:0;margin-top:0;width:1338.75pt;height:1894.5pt;z-index:-2516254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4" o:title="2023_CEL_vodoznak_svg"/>
          <w10:wrap anchorx="margin" anchory="margin"/>
        </v:shape>
      </w:pict>
    </w:r>
    <w:r w:rsidR="00000000">
      <w:rPr>
        <w:noProof/>
      </w:rPr>
      <w:pict w14:anchorId="09570A23">
        <v:shape id="WordPictureWatermark612753744" o:spid="_x0000_s1027" type="#_x0000_t75" alt="" style="position:absolute;margin-left:0;margin-top:0;width:1338.75pt;height:1894.5pt;z-index:-25163468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4" o:title="2023_CEL_vodoznak_svg"/>
          <w10:wrap anchorx="margin" anchory="margin"/>
        </v:shape>
      </w:pict>
    </w:r>
    <w:r w:rsidR="00000000">
      <w:rPr>
        <w:noProof/>
      </w:rPr>
      <w:pict w14:anchorId="28326DFE">
        <v:shape id="WordPictureWatermark612722345" o:spid="_x0000_s1026" type="#_x0000_t75" alt="" style="position:absolute;margin-left:0;margin-top:0;width:892.5pt;height:1263pt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4" o:title="2023_CEL_vodoznak_svg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250427C0" wp14:editId="2B75A43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1334750" cy="16040100"/>
              <wp:effectExtent l="0" t="0" r="0" b="0"/>
              <wp:wrapNone/>
              <wp:docPr id="2" name="WordPictureWatermark61255279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334750" cy="160401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8B58698" id="WordPictureWatermark612552799" o:spid="_x0000_s1026" style="position:absolute;margin-left:0;margin-top:0;width:892.5pt;height:1263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" o:allowincell="f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3FD8" w14:textId="77777777" w:rsidR="00870533" w:rsidRDefault="00870533">
    <w:pPr>
      <w:pStyle w:val="Zhlav"/>
    </w:pPr>
  </w:p>
  <w:p w14:paraId="2F7D396E" w14:textId="77777777" w:rsidR="005C6E7C" w:rsidRDefault="005C6E7C">
    <w:pPr>
      <w:pStyle w:val="Zhlav"/>
    </w:pPr>
  </w:p>
  <w:p w14:paraId="72110361" w14:textId="77777777" w:rsidR="00142519" w:rsidRDefault="00875ECB">
    <w:pPr>
      <w:pStyle w:val="Zhlav"/>
    </w:pPr>
    <w:r>
      <w:rPr>
        <w:noProof/>
        <w:sz w:val="20"/>
        <w:szCs w:val="20"/>
      </w:rPr>
      <w:drawing>
        <wp:inline distT="0" distB="0" distL="0" distR="0" wp14:anchorId="5B2A16BE" wp14:editId="78B75069">
          <wp:extent cx="6660000" cy="807273"/>
          <wp:effectExtent l="0" t="0" r="0" b="0"/>
          <wp:docPr id="10" name="Grafický objekt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cký objekt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0000" cy="807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2B94C0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722346" o:spid="_x0000_s1025" type="#_x0000_t75" alt="" style="position:absolute;margin-left:0;margin-top:0;width:892.5pt;height:1263pt;z-index:-25164083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3" o:title="2023_CEL_vodoznak_svg"/>
          <w10:wrap anchorx="margin" anchory="margin"/>
        </v:shape>
      </w:pict>
    </w:r>
    <w:r w:rsidR="005E1AA6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574B96B3" wp14:editId="09E131E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1334750" cy="16040100"/>
              <wp:effectExtent l="0" t="0" r="0" b="0"/>
              <wp:wrapNone/>
              <wp:docPr id="1" name="WordPictureWatermark61255280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334750" cy="160401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22FDDB0" id="WordPictureWatermark612552800" o:spid="_x0000_s1026" style="position:absolute;margin-left:0;margin-top:0;width:892.5pt;height:126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" o:allowincell="f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F141" w14:textId="77777777" w:rsidR="00C354C2" w:rsidRDefault="00C354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sz w:val="20"/>
        <w:szCs w:val="20"/>
      </w:rPr>
    </w:pPr>
  </w:p>
  <w:p w14:paraId="0E5F2E59" w14:textId="77777777" w:rsidR="00C354C2" w:rsidRDefault="00833E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1F448C2A" wp14:editId="23C1FCE7">
          <wp:extent cx="6664186" cy="808280"/>
          <wp:effectExtent l="0" t="0" r="0" b="0"/>
          <wp:docPr id="11" name="Grafický objek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rafický objekt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1027" cy="841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F67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0C74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AC02F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0AEA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5603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140A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D049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94E2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F8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466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10FB6"/>
    <w:multiLevelType w:val="hybridMultilevel"/>
    <w:tmpl w:val="F8FC78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C68DC"/>
    <w:multiLevelType w:val="multilevel"/>
    <w:tmpl w:val="D69258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2" w15:restartNumberingAfterBreak="0">
    <w:nsid w:val="13530998"/>
    <w:multiLevelType w:val="hybridMultilevel"/>
    <w:tmpl w:val="579A0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87027"/>
    <w:multiLevelType w:val="hybridMultilevel"/>
    <w:tmpl w:val="06ECC7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C5D5A"/>
    <w:multiLevelType w:val="hybridMultilevel"/>
    <w:tmpl w:val="21622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65B79"/>
    <w:multiLevelType w:val="multilevel"/>
    <w:tmpl w:val="1F148B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0892237"/>
    <w:multiLevelType w:val="hybridMultilevel"/>
    <w:tmpl w:val="B288BDCA"/>
    <w:lvl w:ilvl="0" w:tplc="B9B00F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4295A"/>
    <w:multiLevelType w:val="hybridMultilevel"/>
    <w:tmpl w:val="9D4CDD0A"/>
    <w:lvl w:ilvl="0" w:tplc="6688EC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74F37"/>
    <w:multiLevelType w:val="hybridMultilevel"/>
    <w:tmpl w:val="787A7FA4"/>
    <w:lvl w:ilvl="0" w:tplc="ABBCFACE">
      <w:start w:val="1"/>
      <w:numFmt w:val="bullet"/>
      <w:lvlText w:val="•"/>
      <w:lvlJc w:val="left"/>
      <w:pPr>
        <w:ind w:left="704" w:hanging="420"/>
      </w:pPr>
      <w:rPr>
        <w:rFonts w:ascii="Arial" w:eastAsia="Open San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1C1E8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62B2754"/>
    <w:multiLevelType w:val="hybridMultilevel"/>
    <w:tmpl w:val="14AC7DD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69739599">
    <w:abstractNumId w:val="4"/>
  </w:num>
  <w:num w:numId="2" w16cid:durableId="1837259790">
    <w:abstractNumId w:val="5"/>
  </w:num>
  <w:num w:numId="3" w16cid:durableId="1602445682">
    <w:abstractNumId w:val="6"/>
  </w:num>
  <w:num w:numId="4" w16cid:durableId="404495490">
    <w:abstractNumId w:val="7"/>
  </w:num>
  <w:num w:numId="5" w16cid:durableId="86536709">
    <w:abstractNumId w:val="9"/>
  </w:num>
  <w:num w:numId="6" w16cid:durableId="1417287704">
    <w:abstractNumId w:val="0"/>
  </w:num>
  <w:num w:numId="7" w16cid:durableId="841895251">
    <w:abstractNumId w:val="1"/>
  </w:num>
  <w:num w:numId="8" w16cid:durableId="410275472">
    <w:abstractNumId w:val="2"/>
  </w:num>
  <w:num w:numId="9" w16cid:durableId="1494949917">
    <w:abstractNumId w:val="3"/>
  </w:num>
  <w:num w:numId="10" w16cid:durableId="1633366422">
    <w:abstractNumId w:val="8"/>
  </w:num>
  <w:num w:numId="11" w16cid:durableId="738597077">
    <w:abstractNumId w:val="11"/>
  </w:num>
  <w:num w:numId="12" w16cid:durableId="1719478194">
    <w:abstractNumId w:val="13"/>
  </w:num>
  <w:num w:numId="13" w16cid:durableId="1809279622">
    <w:abstractNumId w:val="12"/>
  </w:num>
  <w:num w:numId="14" w16cid:durableId="9791167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8117693">
    <w:abstractNumId w:val="14"/>
  </w:num>
  <w:num w:numId="16" w16cid:durableId="1059591661">
    <w:abstractNumId w:val="10"/>
  </w:num>
  <w:num w:numId="17" w16cid:durableId="1414811659">
    <w:abstractNumId w:val="16"/>
  </w:num>
  <w:num w:numId="18" w16cid:durableId="1569341576">
    <w:abstractNumId w:val="15"/>
  </w:num>
  <w:num w:numId="19" w16cid:durableId="2064792708">
    <w:abstractNumId w:val="17"/>
  </w:num>
  <w:num w:numId="20" w16cid:durableId="1570270522">
    <w:abstractNumId w:val="20"/>
  </w:num>
  <w:num w:numId="21" w16cid:durableId="1212351653">
    <w:abstractNumId w:val="18"/>
  </w:num>
  <w:num w:numId="22" w16cid:durableId="1059743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ctiveWritingStyle w:appName="MSWord" w:lang="cs-CZ" w:vendorID="64" w:dllVersion="4096" w:nlCheck="1" w:checkStyle="0"/>
  <w:activeWritingStyle w:appName="MSWord" w:lang="cs-CZ" w:vendorID="64" w:dllVersion="0" w:nlCheck="1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34D"/>
    <w:rsid w:val="00010051"/>
    <w:rsid w:val="0001683A"/>
    <w:rsid w:val="00017BBA"/>
    <w:rsid w:val="000623A0"/>
    <w:rsid w:val="000668A6"/>
    <w:rsid w:val="0007011B"/>
    <w:rsid w:val="000A7CE3"/>
    <w:rsid w:val="000B0E53"/>
    <w:rsid w:val="000B2001"/>
    <w:rsid w:val="000B4FE9"/>
    <w:rsid w:val="000B79DB"/>
    <w:rsid w:val="000C1646"/>
    <w:rsid w:val="000C618B"/>
    <w:rsid w:val="000D1105"/>
    <w:rsid w:val="000D65FC"/>
    <w:rsid w:val="000E3392"/>
    <w:rsid w:val="000E3D9B"/>
    <w:rsid w:val="000E71B2"/>
    <w:rsid w:val="000F59AD"/>
    <w:rsid w:val="00104F08"/>
    <w:rsid w:val="00141870"/>
    <w:rsid w:val="00142519"/>
    <w:rsid w:val="00145142"/>
    <w:rsid w:val="001530F3"/>
    <w:rsid w:val="001839C4"/>
    <w:rsid w:val="001A3461"/>
    <w:rsid w:val="001A64CF"/>
    <w:rsid w:val="001C611D"/>
    <w:rsid w:val="001D5CB6"/>
    <w:rsid w:val="001E15DA"/>
    <w:rsid w:val="001E4217"/>
    <w:rsid w:val="002106A2"/>
    <w:rsid w:val="00240E11"/>
    <w:rsid w:val="0025766F"/>
    <w:rsid w:val="00261BE8"/>
    <w:rsid w:val="002B30BD"/>
    <w:rsid w:val="002B5BA8"/>
    <w:rsid w:val="002C7C40"/>
    <w:rsid w:val="00301691"/>
    <w:rsid w:val="00303A46"/>
    <w:rsid w:val="00324171"/>
    <w:rsid w:val="003415D5"/>
    <w:rsid w:val="00343D22"/>
    <w:rsid w:val="00353F3C"/>
    <w:rsid w:val="003713FC"/>
    <w:rsid w:val="00385092"/>
    <w:rsid w:val="003914A5"/>
    <w:rsid w:val="003A634D"/>
    <w:rsid w:val="003D24B8"/>
    <w:rsid w:val="003E11AB"/>
    <w:rsid w:val="003E218D"/>
    <w:rsid w:val="003E52C6"/>
    <w:rsid w:val="003F4647"/>
    <w:rsid w:val="00400EDA"/>
    <w:rsid w:val="00405AC3"/>
    <w:rsid w:val="00406461"/>
    <w:rsid w:val="004171EF"/>
    <w:rsid w:val="0042174A"/>
    <w:rsid w:val="004238EE"/>
    <w:rsid w:val="004374B5"/>
    <w:rsid w:val="00462097"/>
    <w:rsid w:val="004720B5"/>
    <w:rsid w:val="00492CE1"/>
    <w:rsid w:val="004A0D7F"/>
    <w:rsid w:val="004B549A"/>
    <w:rsid w:val="004C6486"/>
    <w:rsid w:val="004E6738"/>
    <w:rsid w:val="00565F90"/>
    <w:rsid w:val="005704D0"/>
    <w:rsid w:val="005842C8"/>
    <w:rsid w:val="00586E1A"/>
    <w:rsid w:val="00591EB5"/>
    <w:rsid w:val="005A3B66"/>
    <w:rsid w:val="005A505D"/>
    <w:rsid w:val="005A555B"/>
    <w:rsid w:val="005C034D"/>
    <w:rsid w:val="005C6E7C"/>
    <w:rsid w:val="005E1AA6"/>
    <w:rsid w:val="005F4339"/>
    <w:rsid w:val="00612985"/>
    <w:rsid w:val="00646F2B"/>
    <w:rsid w:val="00647C56"/>
    <w:rsid w:val="00663CEA"/>
    <w:rsid w:val="00670623"/>
    <w:rsid w:val="00672B1B"/>
    <w:rsid w:val="006D11F5"/>
    <w:rsid w:val="006D1E11"/>
    <w:rsid w:val="006E6DE0"/>
    <w:rsid w:val="006F180A"/>
    <w:rsid w:val="006F5BD9"/>
    <w:rsid w:val="00715269"/>
    <w:rsid w:val="00726C42"/>
    <w:rsid w:val="007310FD"/>
    <w:rsid w:val="00746050"/>
    <w:rsid w:val="00751EC8"/>
    <w:rsid w:val="00754DEC"/>
    <w:rsid w:val="00770A9B"/>
    <w:rsid w:val="00787751"/>
    <w:rsid w:val="007A287D"/>
    <w:rsid w:val="007E638F"/>
    <w:rsid w:val="007F1E35"/>
    <w:rsid w:val="00833E30"/>
    <w:rsid w:val="008554ED"/>
    <w:rsid w:val="00855E2C"/>
    <w:rsid w:val="008624FB"/>
    <w:rsid w:val="00870533"/>
    <w:rsid w:val="00875ECB"/>
    <w:rsid w:val="008A04E3"/>
    <w:rsid w:val="008D7FC2"/>
    <w:rsid w:val="008F1C5C"/>
    <w:rsid w:val="008F1DED"/>
    <w:rsid w:val="00912C82"/>
    <w:rsid w:val="009231DB"/>
    <w:rsid w:val="00926761"/>
    <w:rsid w:val="00950AD4"/>
    <w:rsid w:val="009819F1"/>
    <w:rsid w:val="009A5324"/>
    <w:rsid w:val="009A548C"/>
    <w:rsid w:val="009F404A"/>
    <w:rsid w:val="00A27135"/>
    <w:rsid w:val="00A367DA"/>
    <w:rsid w:val="00A6191C"/>
    <w:rsid w:val="00A6281F"/>
    <w:rsid w:val="00A74BB2"/>
    <w:rsid w:val="00A8338D"/>
    <w:rsid w:val="00AA0AE2"/>
    <w:rsid w:val="00AE4516"/>
    <w:rsid w:val="00AF4E4A"/>
    <w:rsid w:val="00B01065"/>
    <w:rsid w:val="00B01446"/>
    <w:rsid w:val="00B01B38"/>
    <w:rsid w:val="00B26EA2"/>
    <w:rsid w:val="00B329E1"/>
    <w:rsid w:val="00B4655C"/>
    <w:rsid w:val="00B50B59"/>
    <w:rsid w:val="00B66600"/>
    <w:rsid w:val="00B703A3"/>
    <w:rsid w:val="00BD4D42"/>
    <w:rsid w:val="00BD7F12"/>
    <w:rsid w:val="00BF416D"/>
    <w:rsid w:val="00BF7A1B"/>
    <w:rsid w:val="00C232A6"/>
    <w:rsid w:val="00C235E3"/>
    <w:rsid w:val="00C256DC"/>
    <w:rsid w:val="00C354C2"/>
    <w:rsid w:val="00C718BF"/>
    <w:rsid w:val="00C770E9"/>
    <w:rsid w:val="00CA32DA"/>
    <w:rsid w:val="00CA7CC2"/>
    <w:rsid w:val="00CB3A77"/>
    <w:rsid w:val="00CC6EB2"/>
    <w:rsid w:val="00CC7F9C"/>
    <w:rsid w:val="00CF419C"/>
    <w:rsid w:val="00D22308"/>
    <w:rsid w:val="00D274FF"/>
    <w:rsid w:val="00D347A9"/>
    <w:rsid w:val="00D45509"/>
    <w:rsid w:val="00D62AE0"/>
    <w:rsid w:val="00D64397"/>
    <w:rsid w:val="00D66384"/>
    <w:rsid w:val="00D74D04"/>
    <w:rsid w:val="00DA7082"/>
    <w:rsid w:val="00DB2D34"/>
    <w:rsid w:val="00DE4E38"/>
    <w:rsid w:val="00E0144B"/>
    <w:rsid w:val="00E106C8"/>
    <w:rsid w:val="00E21EBF"/>
    <w:rsid w:val="00E512D3"/>
    <w:rsid w:val="00E620DD"/>
    <w:rsid w:val="00E804A8"/>
    <w:rsid w:val="00E9418F"/>
    <w:rsid w:val="00EA1B88"/>
    <w:rsid w:val="00EE1180"/>
    <w:rsid w:val="00EE27F8"/>
    <w:rsid w:val="00EE41DD"/>
    <w:rsid w:val="00EE58CE"/>
    <w:rsid w:val="00F01323"/>
    <w:rsid w:val="00F04883"/>
    <w:rsid w:val="00F405FB"/>
    <w:rsid w:val="00F629B4"/>
    <w:rsid w:val="00F72CDA"/>
    <w:rsid w:val="00F74706"/>
    <w:rsid w:val="00F779FF"/>
    <w:rsid w:val="00F83522"/>
    <w:rsid w:val="00F96FBE"/>
    <w:rsid w:val="00FA4F35"/>
    <w:rsid w:val="00FB2CFA"/>
    <w:rsid w:val="00FB5E33"/>
    <w:rsid w:val="00FB7A16"/>
    <w:rsid w:val="00FD21F8"/>
    <w:rsid w:val="00FF2C6C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7C1C2"/>
  <w15:docId w15:val="{6A9592B2-7087-43CC-B818-CF78C624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Open Sans" w:hAnsi="Arial" w:cs="Open Sans"/>
        <w:sz w:val="22"/>
        <w:szCs w:val="22"/>
        <w:lang w:val="cs-CZ" w:eastAsia="cs-CZ" w:bidi="ar-SA"/>
      </w:rPr>
    </w:rPrDefault>
    <w:pPrDefault>
      <w:pPr>
        <w:spacing w:line="2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017BBA"/>
  </w:style>
  <w:style w:type="paragraph" w:styleId="Nadpis1">
    <w:name w:val="heading 1"/>
    <w:basedOn w:val="Normln"/>
    <w:next w:val="Normln"/>
    <w:uiPriority w:val="9"/>
    <w:qFormat/>
    <w:rsid w:val="00017BBA"/>
    <w:pPr>
      <w:numPr>
        <w:numId w:val="22"/>
      </w:numPr>
      <w:spacing w:line="400" w:lineRule="auto"/>
      <w:outlineLvl w:val="0"/>
    </w:pPr>
    <w:rPr>
      <w:b/>
      <w:color w:val="CE3736"/>
      <w:sz w:val="36"/>
      <w:szCs w:val="36"/>
    </w:rPr>
  </w:style>
  <w:style w:type="paragraph" w:styleId="Nadpis2">
    <w:name w:val="heading 2"/>
    <w:basedOn w:val="Normln"/>
    <w:next w:val="Normln"/>
    <w:uiPriority w:val="9"/>
    <w:unhideWhenUsed/>
    <w:qFormat/>
    <w:rsid w:val="00017BBA"/>
    <w:pPr>
      <w:numPr>
        <w:ilvl w:val="1"/>
        <w:numId w:val="22"/>
      </w:numPr>
      <w:outlineLvl w:val="1"/>
    </w:pPr>
    <w:rPr>
      <w:b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rsid w:val="00017BBA"/>
    <w:pPr>
      <w:numPr>
        <w:ilvl w:val="2"/>
        <w:numId w:val="22"/>
      </w:numPr>
      <w:outlineLvl w:val="2"/>
    </w:pPr>
    <w:rPr>
      <w:b/>
      <w:color w:val="CE3736"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rsid w:val="00017BBA"/>
    <w:pPr>
      <w:keepNext/>
      <w:keepLines/>
      <w:numPr>
        <w:ilvl w:val="3"/>
        <w:numId w:val="22"/>
      </w:numPr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22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22"/>
      </w:numPr>
      <w:spacing w:before="200" w:after="40"/>
      <w:outlineLvl w:val="5"/>
    </w:pPr>
    <w:rPr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C7C40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C7C40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C7C40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Název dokumentu"/>
    <w:basedOn w:val="Normln"/>
    <w:next w:val="Normln"/>
    <w:uiPriority w:val="10"/>
    <w:qFormat/>
    <w:rsid w:val="00B50B59"/>
    <w:pPr>
      <w:keepNext/>
      <w:keepLines/>
      <w:spacing w:before="480" w:after="120"/>
      <w:ind w:right="-144"/>
      <w:jc w:val="right"/>
    </w:pPr>
    <w:rPr>
      <w:b/>
      <w:color w:val="CE373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1A64C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64CF"/>
  </w:style>
  <w:style w:type="paragraph" w:styleId="Zpat">
    <w:name w:val="footer"/>
    <w:basedOn w:val="Normln"/>
    <w:link w:val="ZpatChar"/>
    <w:uiPriority w:val="99"/>
    <w:unhideWhenUsed/>
    <w:rsid w:val="001A64C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64CF"/>
  </w:style>
  <w:style w:type="paragraph" w:styleId="Bezmezer">
    <w:name w:val="No Spacing"/>
    <w:uiPriority w:val="1"/>
    <w:rsid w:val="004C6486"/>
    <w:pPr>
      <w:spacing w:line="240" w:lineRule="auto"/>
    </w:pPr>
  </w:style>
  <w:style w:type="paragraph" w:styleId="Odstavecseseznamem">
    <w:name w:val="List Paragraph"/>
    <w:basedOn w:val="Normln"/>
    <w:uiPriority w:val="34"/>
    <w:qFormat/>
    <w:rsid w:val="00142519"/>
    <w:pPr>
      <w:ind w:left="720"/>
      <w:contextualSpacing/>
    </w:pPr>
  </w:style>
  <w:style w:type="character" w:styleId="slostrnky">
    <w:name w:val="page number"/>
    <w:basedOn w:val="Standardnpsmoodstavce"/>
    <w:uiPriority w:val="99"/>
    <w:semiHidden/>
    <w:unhideWhenUsed/>
    <w:rsid w:val="005C6E7C"/>
  </w:style>
  <w:style w:type="paragraph" w:styleId="Podnadpis">
    <w:name w:val="Subtitle"/>
    <w:basedOn w:val="Normln"/>
    <w:next w:val="Normln"/>
    <w:link w:val="PodnadpisChar"/>
    <w:autoRedefine/>
    <w:uiPriority w:val="11"/>
    <w:qFormat/>
    <w:rsid w:val="00BD7F12"/>
    <w:rPr>
      <w:b/>
      <w:bCs/>
      <w:sz w:val="44"/>
      <w:szCs w:val="44"/>
    </w:rPr>
  </w:style>
  <w:style w:type="character" w:styleId="Zdraznnjemn">
    <w:name w:val="Subtle Emphasis"/>
    <w:basedOn w:val="Standardnpsmoodstavce"/>
    <w:uiPriority w:val="19"/>
    <w:rsid w:val="004374B5"/>
    <w:rPr>
      <w:i/>
      <w:iCs/>
      <w:color w:val="404040" w:themeColor="text1" w:themeTint="BF"/>
    </w:rPr>
  </w:style>
  <w:style w:type="character" w:customStyle="1" w:styleId="PodnadpisChar">
    <w:name w:val="Podnadpis Char"/>
    <w:basedOn w:val="Standardnpsmoodstavce"/>
    <w:link w:val="Podnadpis"/>
    <w:uiPriority w:val="11"/>
    <w:rsid w:val="00BD7F12"/>
    <w:rPr>
      <w:b/>
      <w:bCs/>
      <w:sz w:val="44"/>
      <w:szCs w:val="4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D7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D7FC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Standardnpsmoodstavce"/>
    <w:rsid w:val="008D7FC2"/>
  </w:style>
  <w:style w:type="paragraph" w:styleId="Textbubliny">
    <w:name w:val="Balloon Text"/>
    <w:basedOn w:val="Normln"/>
    <w:link w:val="TextbublinyChar"/>
    <w:uiPriority w:val="99"/>
    <w:semiHidden/>
    <w:unhideWhenUsed/>
    <w:rsid w:val="005C03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34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914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914A5"/>
    <w:pPr>
      <w:spacing w:line="240" w:lineRule="auto"/>
    </w:pPr>
    <w:rPr>
      <w:rFonts w:eastAsia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14A5"/>
    <w:rPr>
      <w:rFonts w:eastAsia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3914A5"/>
    <w:pPr>
      <w:spacing w:line="240" w:lineRule="auto"/>
    </w:pPr>
    <w:rPr>
      <w:rFonts w:eastAsia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914A5"/>
    <w:rPr>
      <w:rFonts w:eastAsia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914A5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3914A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14A5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C6C"/>
    <w:rPr>
      <w:rFonts w:eastAsia="Open Sans" w:cs="Open Sans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C6C"/>
    <w:rPr>
      <w:rFonts w:eastAsia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E9418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01683A"/>
    <w:pPr>
      <w:spacing w:line="240" w:lineRule="auto"/>
    </w:pPr>
  </w:style>
  <w:style w:type="character" w:customStyle="1" w:styleId="Nadpis7Char">
    <w:name w:val="Nadpis 7 Char"/>
    <w:basedOn w:val="Standardnpsmoodstavce"/>
    <w:link w:val="Nadpis7"/>
    <w:uiPriority w:val="9"/>
    <w:semiHidden/>
    <w:rsid w:val="002C7C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C7C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C7C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-fair.org/fair-principles/" TargetMode="External"/><Relationship Id="rId13" Type="http://schemas.openxmlformats.org/officeDocument/2006/relationships/hyperlink" Target="https://data.consilium.europa.eu/doc/document/ST-9616-2023-INIT/cs/pdf" TargetMode="External"/><Relationship Id="rId18" Type="http://schemas.openxmlformats.org/officeDocument/2006/relationships/hyperlink" Target="https://www.eosc.cz/media/3517655/eosc_architektura-implementace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?uri=CELEX:32019L1024" TargetMode="External"/><Relationship Id="rId17" Type="http://schemas.openxmlformats.org/officeDocument/2006/relationships/hyperlink" Target="https://www.techlib.cz/cs/84666-czech-academic-and-research-discovery-services-card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techlib.cz/cs/84703-narodni-centrum-pro-informacni-podporu-vyzkumu-vyvoje-a-inovaci" TargetMode="External"/><Relationship Id="rId20" Type="http://schemas.openxmlformats.org/officeDocument/2006/relationships/hyperlink" Target="https://www.eosc.cz/o-nas/narodni-podpora-pro-eosc/nr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PDF/?uri=CELEX:32018H0790&amp;from=EN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czechelib.cz/cs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unesdoc.unesco.org/ark:/48223/pf0000379949" TargetMode="External"/><Relationship Id="rId19" Type="http://schemas.openxmlformats.org/officeDocument/2006/relationships/hyperlink" Target="https://www.muni.cz/vyzkum/projekty/708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48813/yt6w-6h15" TargetMode="External"/><Relationship Id="rId14" Type="http://schemas.openxmlformats.org/officeDocument/2006/relationships/hyperlink" Target="https://vyzkum.gov.cz/FrontClanek.aspx?idsekce=913172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hlib.cz/cs/84666-czech-academic-and-research-discovery-services-cards" TargetMode="External"/><Relationship Id="rId3" Type="http://schemas.openxmlformats.org/officeDocument/2006/relationships/hyperlink" Target="https://www.techlib.cz/cs/84666-czech-academic-and-research-discovery-services-cards" TargetMode="External"/><Relationship Id="rId7" Type="http://schemas.openxmlformats.org/officeDocument/2006/relationships/hyperlink" Target="https://ds-wizard.org" TargetMode="External"/><Relationship Id="rId12" Type="http://schemas.openxmlformats.org/officeDocument/2006/relationships/hyperlink" Target="https://www.coalition-s.org" TargetMode="External"/><Relationship Id="rId2" Type="http://schemas.openxmlformats.org/officeDocument/2006/relationships/hyperlink" Target="https://www.eosc.cz" TargetMode="External"/><Relationship Id="rId1" Type="http://schemas.openxmlformats.org/officeDocument/2006/relationships/hyperlink" Target="https://www.isvavai.cz/dokumenty/definice_druhu_vysledku.pdf" TargetMode="External"/><Relationship Id="rId6" Type="http://schemas.openxmlformats.org/officeDocument/2006/relationships/hyperlink" Target="https://doi.org/10.48813/sstg-4g21" TargetMode="External"/><Relationship Id="rId11" Type="http://schemas.openxmlformats.org/officeDocument/2006/relationships/hyperlink" Target="https://ec.europa.eu/info/funding-tenders/opportunities/docs/2021-2027/common/guidance/aga_en.pdf" TargetMode="External"/><Relationship Id="rId5" Type="http://schemas.openxmlformats.org/officeDocument/2006/relationships/hyperlink" Target="https://openscience.cuni.cz/OSCI-229.html" TargetMode="External"/><Relationship Id="rId10" Type="http://schemas.openxmlformats.org/officeDocument/2006/relationships/hyperlink" Target="https://ec.europa.eu/info/funding-tenders/opportunities/docs/2021-2027/common/agr-contr/general-mga_horizon-euratom_en.pdf" TargetMode="External"/><Relationship Id="rId4" Type="http://schemas.openxmlformats.org/officeDocument/2006/relationships/hyperlink" Target="https://www.eosc.cz/o-nas/narodni-podpora-pro-eosc/nrp" TargetMode="External"/><Relationship Id="rId9" Type="http://schemas.openxmlformats.org/officeDocument/2006/relationships/hyperlink" Target="https://ec.europa.eu/info/funding-tenders/opportunities/docs/2021-2027/horizon/guidance/programme-guide_horizon_en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TKAB~1\AppData\Local\Temp\Rar$DIa9784.20151\2023_NCIP_obecna_sablona_dokumenty_final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6BC7BC-5304-4F6F-A869-37223A10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2023_NCIP_obecna_sablona_dokumenty_final_CZ.dotx</Template>
  <TotalTime>1</TotalTime>
  <Pages>7</Pages>
  <Words>2349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Jitka Balcarová</dc:creator>
  <cp:lastModifiedBy>Kapucián Aleš</cp:lastModifiedBy>
  <cp:revision>3</cp:revision>
  <cp:lastPrinted>2024-11-20T16:58:00Z</cp:lastPrinted>
  <dcterms:created xsi:type="dcterms:W3CDTF">2024-12-15T19:29:00Z</dcterms:created>
  <dcterms:modified xsi:type="dcterms:W3CDTF">2024-12-18T09:12:00Z</dcterms:modified>
</cp:coreProperties>
</file>