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EB128" w14:textId="6AB9676B" w:rsidR="0050596C" w:rsidRPr="00974AA5" w:rsidRDefault="0050596C" w:rsidP="00706262">
      <w:pPr>
        <w:pBdr>
          <w:bottom w:val="single" w:sz="6" w:space="1" w:color="auto"/>
        </w:pBdr>
        <w:spacing w:after="240"/>
        <w:jc w:val="both"/>
        <w:rPr>
          <w:rFonts w:ascii="Arial" w:hAnsi="Arial" w:cs="Arial"/>
          <w:b/>
          <w:color w:val="0070C0"/>
          <w:sz w:val="28"/>
          <w:szCs w:val="28"/>
        </w:rPr>
      </w:pPr>
      <w:r w:rsidRPr="00974AA5">
        <w:rPr>
          <w:rFonts w:ascii="Arial" w:hAnsi="Arial" w:cs="Arial"/>
          <w:b/>
          <w:color w:val="0070C0"/>
          <w:sz w:val="28"/>
          <w:szCs w:val="28"/>
        </w:rPr>
        <w:t xml:space="preserve">Stanovisko Rady pro výzkum, vývoj a inovace k „Návrhu skupiny grantových projektů Grantové projekty </w:t>
      </w:r>
      <w:proofErr w:type="spellStart"/>
      <w:r w:rsidRPr="00974AA5">
        <w:rPr>
          <w:rFonts w:ascii="Arial" w:hAnsi="Arial" w:cs="Arial"/>
          <w:b/>
          <w:color w:val="0070C0"/>
          <w:sz w:val="28"/>
          <w:szCs w:val="28"/>
        </w:rPr>
        <w:t>Proof</w:t>
      </w:r>
      <w:proofErr w:type="spellEnd"/>
      <w:r w:rsidRPr="00974AA5">
        <w:rPr>
          <w:rFonts w:ascii="Arial" w:hAnsi="Arial" w:cs="Arial"/>
          <w:b/>
          <w:color w:val="0070C0"/>
          <w:sz w:val="28"/>
          <w:szCs w:val="28"/>
        </w:rPr>
        <w:t xml:space="preserve"> </w:t>
      </w:r>
      <w:proofErr w:type="spellStart"/>
      <w:r w:rsidRPr="00974AA5">
        <w:rPr>
          <w:rFonts w:ascii="Arial" w:hAnsi="Arial" w:cs="Arial"/>
          <w:b/>
          <w:color w:val="0070C0"/>
          <w:sz w:val="28"/>
          <w:szCs w:val="28"/>
        </w:rPr>
        <w:t>of</w:t>
      </w:r>
      <w:proofErr w:type="spellEnd"/>
      <w:r w:rsidRPr="00974AA5">
        <w:rPr>
          <w:rFonts w:ascii="Arial" w:hAnsi="Arial" w:cs="Arial"/>
          <w:b/>
          <w:color w:val="0070C0"/>
          <w:sz w:val="28"/>
          <w:szCs w:val="28"/>
        </w:rPr>
        <w:t xml:space="preserve"> </w:t>
      </w:r>
      <w:proofErr w:type="spellStart"/>
      <w:r w:rsidRPr="00974AA5">
        <w:rPr>
          <w:rFonts w:ascii="Arial" w:hAnsi="Arial" w:cs="Arial"/>
          <w:b/>
          <w:color w:val="0070C0"/>
          <w:sz w:val="28"/>
          <w:szCs w:val="28"/>
        </w:rPr>
        <w:t>Concept</w:t>
      </w:r>
      <w:proofErr w:type="spellEnd"/>
      <w:r w:rsidRPr="00974AA5">
        <w:rPr>
          <w:rFonts w:ascii="Arial" w:hAnsi="Arial" w:cs="Arial"/>
          <w:b/>
          <w:color w:val="0070C0"/>
          <w:sz w:val="28"/>
          <w:szCs w:val="28"/>
        </w:rPr>
        <w:t xml:space="preserve">“ Grantové agentury České republiky </w:t>
      </w:r>
    </w:p>
    <w:p w14:paraId="5DCA82F6" w14:textId="77777777" w:rsidR="00137723" w:rsidRPr="00974AA5" w:rsidRDefault="00137723" w:rsidP="00706262">
      <w:pPr>
        <w:pStyle w:val="Default"/>
        <w:jc w:val="center"/>
        <w:rPr>
          <w:rFonts w:ascii="Arial" w:hAnsi="Arial" w:cs="Arial"/>
          <w:b/>
          <w:color w:val="0070C0"/>
          <w:sz w:val="28"/>
          <w:szCs w:val="28"/>
        </w:rPr>
      </w:pPr>
    </w:p>
    <w:p w14:paraId="39C641FF" w14:textId="319D3823" w:rsidR="00D723D5" w:rsidRPr="00C31AF9" w:rsidRDefault="00D56170" w:rsidP="00706262">
      <w:pPr>
        <w:pStyle w:val="Odstavecseseznamem"/>
        <w:numPr>
          <w:ilvl w:val="0"/>
          <w:numId w:val="1"/>
        </w:numPr>
        <w:spacing w:after="120"/>
        <w:ind w:left="726"/>
        <w:contextualSpacing w:val="0"/>
        <w:jc w:val="both"/>
        <w:rPr>
          <w:rFonts w:ascii="Arial" w:hAnsi="Arial" w:cs="Arial"/>
          <w:b/>
          <w:color w:val="0070C0"/>
          <w:sz w:val="22"/>
          <w:szCs w:val="22"/>
        </w:rPr>
      </w:pPr>
      <w:bookmarkStart w:id="0" w:name="_GoBack"/>
      <w:r w:rsidRPr="00C31AF9">
        <w:rPr>
          <w:rFonts w:ascii="Arial" w:hAnsi="Arial" w:cs="Arial"/>
          <w:b/>
          <w:color w:val="0070C0"/>
          <w:sz w:val="22"/>
          <w:szCs w:val="22"/>
        </w:rPr>
        <w:t>Způsob předložení a projednání návrhu</w:t>
      </w:r>
    </w:p>
    <w:bookmarkEnd w:id="0"/>
    <w:p w14:paraId="23FE78DA" w14:textId="77777777" w:rsidR="0050596C" w:rsidRPr="00C31AF9" w:rsidRDefault="0050596C" w:rsidP="00706262">
      <w:pPr>
        <w:pStyle w:val="Odstavecseseznamem"/>
        <w:numPr>
          <w:ilvl w:val="0"/>
          <w:numId w:val="16"/>
        </w:numPr>
        <w:spacing w:after="120"/>
        <w:ind w:left="1083" w:hanging="357"/>
        <w:contextualSpacing w:val="0"/>
        <w:jc w:val="both"/>
        <w:rPr>
          <w:rFonts w:ascii="Arial" w:eastAsiaTheme="minorHAnsi" w:hAnsi="Arial" w:cs="Arial"/>
          <w:sz w:val="22"/>
          <w:szCs w:val="22"/>
          <w:lang w:eastAsia="en-US"/>
        </w:rPr>
      </w:pPr>
      <w:r w:rsidRPr="00C31AF9">
        <w:rPr>
          <w:rFonts w:ascii="Arial" w:eastAsiaTheme="minorHAnsi" w:hAnsi="Arial" w:cs="Arial"/>
          <w:sz w:val="22"/>
          <w:szCs w:val="22"/>
          <w:lang w:eastAsia="en-US"/>
        </w:rPr>
        <w:t xml:space="preserve">Předseda Grantové agentury České republiky (dále jen „GA ČR“) doc. RNDr. Petr </w:t>
      </w:r>
      <w:proofErr w:type="spellStart"/>
      <w:r w:rsidRPr="00C31AF9">
        <w:rPr>
          <w:rFonts w:ascii="Arial" w:eastAsiaTheme="minorHAnsi" w:hAnsi="Arial" w:cs="Arial"/>
          <w:sz w:val="22"/>
          <w:szCs w:val="22"/>
          <w:lang w:eastAsia="en-US"/>
        </w:rPr>
        <w:t>Baldrian</w:t>
      </w:r>
      <w:proofErr w:type="spellEnd"/>
      <w:r w:rsidRPr="00C31AF9">
        <w:rPr>
          <w:rFonts w:ascii="Arial" w:eastAsiaTheme="minorHAnsi" w:hAnsi="Arial" w:cs="Arial"/>
          <w:sz w:val="22"/>
          <w:szCs w:val="22"/>
          <w:lang w:eastAsia="en-US"/>
        </w:rPr>
        <w:t xml:space="preserve">, Ph.D. zaslal dopisem ze dne 6. ledna 2025 ministru pro vědu, výzkum a inovace Návrh skupiny grantových projektů Grantové projekty </w:t>
      </w:r>
      <w:proofErr w:type="spellStart"/>
      <w:r w:rsidRPr="00C31AF9">
        <w:rPr>
          <w:rFonts w:ascii="Arial" w:eastAsiaTheme="minorHAnsi" w:hAnsi="Arial" w:cs="Arial"/>
          <w:sz w:val="22"/>
          <w:szCs w:val="22"/>
          <w:lang w:eastAsia="en-US"/>
        </w:rPr>
        <w:t>Proof</w:t>
      </w:r>
      <w:proofErr w:type="spellEnd"/>
      <w:r w:rsidRPr="00C31AF9">
        <w:rPr>
          <w:rFonts w:ascii="Arial" w:eastAsiaTheme="minorHAnsi" w:hAnsi="Arial" w:cs="Arial"/>
          <w:sz w:val="22"/>
          <w:szCs w:val="22"/>
          <w:lang w:eastAsia="en-US"/>
        </w:rPr>
        <w:t xml:space="preserve"> </w:t>
      </w:r>
      <w:proofErr w:type="spellStart"/>
      <w:r w:rsidRPr="00C31AF9">
        <w:rPr>
          <w:rFonts w:ascii="Arial" w:eastAsiaTheme="minorHAnsi" w:hAnsi="Arial" w:cs="Arial"/>
          <w:sz w:val="22"/>
          <w:szCs w:val="22"/>
          <w:lang w:eastAsia="en-US"/>
        </w:rPr>
        <w:t>of</w:t>
      </w:r>
      <w:proofErr w:type="spellEnd"/>
      <w:r w:rsidRPr="00C31AF9">
        <w:rPr>
          <w:rFonts w:ascii="Arial" w:eastAsiaTheme="minorHAnsi" w:hAnsi="Arial" w:cs="Arial"/>
          <w:sz w:val="22"/>
          <w:szCs w:val="22"/>
          <w:lang w:eastAsia="en-US"/>
        </w:rPr>
        <w:t xml:space="preserve"> </w:t>
      </w:r>
      <w:proofErr w:type="spellStart"/>
      <w:r w:rsidRPr="00C31AF9">
        <w:rPr>
          <w:rFonts w:ascii="Arial" w:eastAsiaTheme="minorHAnsi" w:hAnsi="Arial" w:cs="Arial"/>
          <w:sz w:val="22"/>
          <w:szCs w:val="22"/>
          <w:lang w:eastAsia="en-US"/>
        </w:rPr>
        <w:t>Concept</w:t>
      </w:r>
      <w:proofErr w:type="spellEnd"/>
      <w:r w:rsidRPr="00C31AF9">
        <w:rPr>
          <w:rFonts w:ascii="Arial" w:eastAsiaTheme="minorHAnsi" w:hAnsi="Arial" w:cs="Arial"/>
          <w:sz w:val="22"/>
          <w:szCs w:val="22"/>
          <w:lang w:eastAsia="en-US"/>
        </w:rPr>
        <w:t xml:space="preserve"> (dále jen „</w:t>
      </w:r>
      <w:proofErr w:type="spellStart"/>
      <w:r w:rsidRPr="00C31AF9">
        <w:rPr>
          <w:rFonts w:ascii="Arial" w:eastAsiaTheme="minorHAnsi" w:hAnsi="Arial" w:cs="Arial"/>
          <w:sz w:val="22"/>
          <w:szCs w:val="22"/>
          <w:lang w:eastAsia="en-US"/>
        </w:rPr>
        <w:t>PoC</w:t>
      </w:r>
      <w:proofErr w:type="spellEnd"/>
      <w:r w:rsidRPr="00C31AF9">
        <w:rPr>
          <w:rFonts w:ascii="Arial" w:eastAsiaTheme="minorHAnsi" w:hAnsi="Arial" w:cs="Arial"/>
          <w:sz w:val="22"/>
          <w:szCs w:val="22"/>
          <w:lang w:eastAsia="en-US"/>
        </w:rPr>
        <w:t>“), včetně doprovodné dokumentace, a požádal o jeho předložení na zasedání Rady pro výzkum, vývoj a inovace (dále jen „Rada“).</w:t>
      </w:r>
    </w:p>
    <w:p w14:paraId="746F0E1F" w14:textId="0D637417" w:rsidR="0050596C" w:rsidRPr="00C31AF9" w:rsidRDefault="0050596C" w:rsidP="00706262">
      <w:pPr>
        <w:pStyle w:val="Odstavecseseznamem"/>
        <w:numPr>
          <w:ilvl w:val="0"/>
          <w:numId w:val="16"/>
        </w:numPr>
        <w:spacing w:after="120"/>
        <w:ind w:left="1083" w:hanging="357"/>
        <w:contextualSpacing w:val="0"/>
        <w:jc w:val="both"/>
        <w:rPr>
          <w:rFonts w:ascii="Arial" w:eastAsiaTheme="minorHAnsi" w:hAnsi="Arial" w:cs="Arial"/>
          <w:sz w:val="22"/>
          <w:szCs w:val="22"/>
          <w:lang w:eastAsia="en-US"/>
        </w:rPr>
      </w:pPr>
      <w:r w:rsidRPr="00C31AF9">
        <w:rPr>
          <w:rFonts w:ascii="Arial" w:eastAsiaTheme="minorHAnsi" w:hAnsi="Arial" w:cs="Arial"/>
          <w:sz w:val="22"/>
          <w:szCs w:val="22"/>
          <w:lang w:eastAsia="en-US"/>
        </w:rPr>
        <w:t>Návrh skupiny grantových projektů je předkládán ke stanovisku Radě podle § 5 odst. 2 zákona č. 130/2002 Sb., o podpoře výzkumu, e</w:t>
      </w:r>
      <w:r w:rsidR="00443619">
        <w:rPr>
          <w:rFonts w:ascii="Arial" w:eastAsiaTheme="minorHAnsi" w:hAnsi="Arial" w:cs="Arial"/>
          <w:sz w:val="22"/>
          <w:szCs w:val="22"/>
          <w:lang w:eastAsia="en-US"/>
        </w:rPr>
        <w:t>xperimentálního vývoje a </w:t>
      </w:r>
      <w:r w:rsidRPr="00C31AF9">
        <w:rPr>
          <w:rFonts w:ascii="Arial" w:eastAsiaTheme="minorHAnsi" w:hAnsi="Arial" w:cs="Arial"/>
          <w:sz w:val="22"/>
          <w:szCs w:val="22"/>
          <w:lang w:eastAsia="en-US"/>
        </w:rPr>
        <w:t>inovací z veřejných prostředků a o změně některých souvisejících zákonů (zákon o podpoře výzkumu, experimentálního vývoje a inovací), ve znění pozdějších předpisů.</w:t>
      </w:r>
    </w:p>
    <w:p w14:paraId="3AD17DC6" w14:textId="637DADAD" w:rsidR="005F33CA" w:rsidRPr="00C31AF9" w:rsidRDefault="0050596C" w:rsidP="00706262">
      <w:pPr>
        <w:pStyle w:val="Odstavecseseznamem"/>
        <w:numPr>
          <w:ilvl w:val="0"/>
          <w:numId w:val="16"/>
        </w:numPr>
        <w:spacing w:after="120"/>
        <w:ind w:left="1083" w:hanging="357"/>
        <w:contextualSpacing w:val="0"/>
        <w:jc w:val="both"/>
        <w:rPr>
          <w:rFonts w:ascii="Arial" w:hAnsi="Arial" w:cs="Arial"/>
          <w:color w:val="0070C0"/>
          <w:sz w:val="22"/>
          <w:szCs w:val="22"/>
        </w:rPr>
      </w:pPr>
      <w:r w:rsidRPr="00C31AF9">
        <w:rPr>
          <w:rFonts w:ascii="Arial" w:eastAsiaTheme="minorHAnsi" w:hAnsi="Arial" w:cs="Arial"/>
          <w:sz w:val="22"/>
          <w:szCs w:val="22"/>
          <w:lang w:eastAsia="en-US"/>
        </w:rPr>
        <w:t>Návrh byl projednán na 409. zasedání Rady dne 28. února 2025.</w:t>
      </w:r>
      <w:r w:rsidR="002F2081" w:rsidRPr="00C31AF9">
        <w:rPr>
          <w:rFonts w:ascii="Arial" w:eastAsiaTheme="minorHAnsi" w:hAnsi="Arial" w:cs="Arial"/>
          <w:sz w:val="22"/>
          <w:szCs w:val="22"/>
          <w:lang w:eastAsia="en-US"/>
        </w:rPr>
        <w:t xml:space="preserve"> </w:t>
      </w:r>
    </w:p>
    <w:p w14:paraId="294608B8" w14:textId="04226A42" w:rsidR="00D56170" w:rsidRPr="00C31AF9" w:rsidRDefault="00765BA0" w:rsidP="00706262">
      <w:pPr>
        <w:pStyle w:val="Odstavecseseznamem"/>
        <w:numPr>
          <w:ilvl w:val="0"/>
          <w:numId w:val="1"/>
        </w:numPr>
        <w:spacing w:after="120"/>
        <w:contextualSpacing w:val="0"/>
        <w:jc w:val="both"/>
        <w:rPr>
          <w:rFonts w:ascii="Arial" w:hAnsi="Arial" w:cs="Arial"/>
          <w:b/>
          <w:color w:val="0070C0"/>
          <w:sz w:val="22"/>
          <w:szCs w:val="22"/>
        </w:rPr>
      </w:pPr>
      <w:r w:rsidRPr="00C31AF9">
        <w:rPr>
          <w:rFonts w:ascii="Arial" w:hAnsi="Arial" w:cs="Arial"/>
          <w:b/>
          <w:color w:val="0070C0"/>
          <w:sz w:val="22"/>
          <w:szCs w:val="22"/>
        </w:rPr>
        <w:t xml:space="preserve">K hodnocení </w:t>
      </w:r>
      <w:r w:rsidR="00D56170" w:rsidRPr="00C31AF9">
        <w:rPr>
          <w:rFonts w:ascii="Arial" w:hAnsi="Arial" w:cs="Arial"/>
          <w:b/>
          <w:color w:val="0070C0"/>
          <w:sz w:val="22"/>
          <w:szCs w:val="22"/>
        </w:rPr>
        <w:t xml:space="preserve">návrhu </w:t>
      </w:r>
      <w:r w:rsidR="007C6750" w:rsidRPr="00C31AF9">
        <w:rPr>
          <w:rFonts w:ascii="Arial" w:hAnsi="Arial" w:cs="Arial"/>
          <w:b/>
          <w:color w:val="0070C0"/>
          <w:sz w:val="22"/>
          <w:szCs w:val="22"/>
        </w:rPr>
        <w:t>P</w:t>
      </w:r>
      <w:r w:rsidR="00D56170" w:rsidRPr="00C31AF9">
        <w:rPr>
          <w:rFonts w:ascii="Arial" w:hAnsi="Arial" w:cs="Arial"/>
          <w:b/>
          <w:color w:val="0070C0"/>
          <w:sz w:val="22"/>
          <w:szCs w:val="22"/>
        </w:rPr>
        <w:t>rogramu</w:t>
      </w:r>
      <w:r w:rsidRPr="00C31AF9">
        <w:rPr>
          <w:rFonts w:ascii="Arial" w:hAnsi="Arial" w:cs="Arial"/>
          <w:b/>
          <w:color w:val="0070C0"/>
          <w:sz w:val="22"/>
          <w:szCs w:val="22"/>
        </w:rPr>
        <w:t xml:space="preserve"> Radou</w:t>
      </w:r>
    </w:p>
    <w:p w14:paraId="2B78D80A" w14:textId="77777777" w:rsidR="0050596C" w:rsidRPr="00C31AF9" w:rsidRDefault="0050596C" w:rsidP="00706262">
      <w:pPr>
        <w:pStyle w:val="Zkladntext2"/>
        <w:spacing w:after="120"/>
        <w:ind w:left="708"/>
        <w:jc w:val="both"/>
        <w:rPr>
          <w:rFonts w:ascii="Arial" w:hAnsi="Arial" w:cs="Arial"/>
          <w:sz w:val="22"/>
          <w:szCs w:val="22"/>
        </w:rPr>
      </w:pPr>
      <w:r w:rsidRPr="00C31AF9">
        <w:rPr>
          <w:rFonts w:ascii="Arial" w:hAnsi="Arial" w:cs="Arial"/>
          <w:sz w:val="22"/>
          <w:szCs w:val="22"/>
        </w:rPr>
        <w:t>Rada posoudila návrh skupiny grantových projektů podle následujících dokumentů:</w:t>
      </w:r>
    </w:p>
    <w:p w14:paraId="5604C9B7" w14:textId="1E6EF5F7" w:rsidR="0050596C" w:rsidRPr="00C31AF9" w:rsidRDefault="0050596C" w:rsidP="00706262">
      <w:pPr>
        <w:pStyle w:val="Zkladntext2"/>
        <w:numPr>
          <w:ilvl w:val="0"/>
          <w:numId w:val="17"/>
        </w:numPr>
        <w:spacing w:after="120"/>
        <w:jc w:val="both"/>
        <w:rPr>
          <w:rFonts w:ascii="Arial" w:hAnsi="Arial" w:cs="Arial"/>
          <w:sz w:val="22"/>
          <w:szCs w:val="22"/>
        </w:rPr>
      </w:pPr>
      <w:r w:rsidRPr="00C31AF9">
        <w:rPr>
          <w:rFonts w:ascii="Arial" w:hAnsi="Arial" w:cs="Arial"/>
          <w:sz w:val="22"/>
          <w:szCs w:val="22"/>
        </w:rPr>
        <w:t>zákona č. 130/2002 Sb., o podpoře výzkumu, expe</w:t>
      </w:r>
      <w:r w:rsidR="00443619">
        <w:rPr>
          <w:rFonts w:ascii="Arial" w:hAnsi="Arial" w:cs="Arial"/>
          <w:sz w:val="22"/>
          <w:szCs w:val="22"/>
        </w:rPr>
        <w:t>rimentálního vývoje a inovací z </w:t>
      </w:r>
      <w:r w:rsidRPr="00C31AF9">
        <w:rPr>
          <w:rFonts w:ascii="Arial" w:hAnsi="Arial" w:cs="Arial"/>
          <w:sz w:val="22"/>
          <w:szCs w:val="22"/>
        </w:rPr>
        <w:t xml:space="preserve">veřejných prostředků a o změně některých zákonů (zákon o podpoře výzkumu, experimentálního vývoje a inovací), ve znění pozdějších předpisů, </w:t>
      </w:r>
    </w:p>
    <w:p w14:paraId="10BB5E04" w14:textId="59B2E7CA" w:rsidR="0050596C" w:rsidRPr="00C31AF9" w:rsidRDefault="0050596C" w:rsidP="00706262">
      <w:pPr>
        <w:pStyle w:val="Zkladntext2"/>
        <w:numPr>
          <w:ilvl w:val="0"/>
          <w:numId w:val="17"/>
        </w:numPr>
        <w:spacing w:after="120"/>
        <w:jc w:val="both"/>
        <w:rPr>
          <w:rFonts w:ascii="Arial" w:hAnsi="Arial" w:cs="Arial"/>
          <w:sz w:val="22"/>
          <w:szCs w:val="22"/>
        </w:rPr>
      </w:pPr>
      <w:r w:rsidRPr="00C31AF9">
        <w:rPr>
          <w:rFonts w:ascii="Arial" w:hAnsi="Arial" w:cs="Arial"/>
          <w:sz w:val="22"/>
          <w:szCs w:val="22"/>
        </w:rPr>
        <w:t>Metodiky hodnocení výzkumných organizací a hodnocení programů účelové podpory výzkumu, vývoje a inovací schválené usnesením vlády ze dne 8. února 2017 č. 107 (dále jen „Metodika M17+“),</w:t>
      </w:r>
    </w:p>
    <w:p w14:paraId="7F128A3A" w14:textId="3DF4A5B0" w:rsidR="0050596C" w:rsidRPr="00C31AF9" w:rsidRDefault="0050596C" w:rsidP="00706262">
      <w:pPr>
        <w:pStyle w:val="Zkladntext2"/>
        <w:numPr>
          <w:ilvl w:val="0"/>
          <w:numId w:val="17"/>
        </w:numPr>
        <w:spacing w:after="120"/>
        <w:jc w:val="both"/>
        <w:rPr>
          <w:rFonts w:ascii="Arial" w:hAnsi="Arial" w:cs="Arial"/>
          <w:sz w:val="22"/>
          <w:szCs w:val="22"/>
        </w:rPr>
      </w:pPr>
      <w:r w:rsidRPr="00C31AF9">
        <w:rPr>
          <w:rFonts w:ascii="Arial" w:hAnsi="Arial" w:cs="Arial"/>
          <w:sz w:val="22"/>
          <w:szCs w:val="22"/>
        </w:rPr>
        <w:t xml:space="preserve">Základních principů přípravy a hodnocení programů a skupin grantových projektů výzkumu, vývoje a inovací (příloha k usnesení </w:t>
      </w:r>
      <w:r w:rsidR="00443619">
        <w:rPr>
          <w:rFonts w:ascii="Arial" w:hAnsi="Arial" w:cs="Arial"/>
          <w:sz w:val="22"/>
          <w:szCs w:val="22"/>
        </w:rPr>
        <w:t>vlády ze dne 13. května 2015 č. </w:t>
      </w:r>
      <w:r w:rsidRPr="00C31AF9">
        <w:rPr>
          <w:rFonts w:ascii="Arial" w:hAnsi="Arial" w:cs="Arial"/>
          <w:sz w:val="22"/>
          <w:szCs w:val="22"/>
        </w:rPr>
        <w:t>351), (dále jen „Principy“).</w:t>
      </w:r>
    </w:p>
    <w:p w14:paraId="054DDDEB" w14:textId="3E94F943" w:rsidR="0050596C" w:rsidRPr="00C31AF9" w:rsidRDefault="0050596C" w:rsidP="00706262">
      <w:pPr>
        <w:pStyle w:val="Zkladntext2"/>
        <w:numPr>
          <w:ilvl w:val="0"/>
          <w:numId w:val="17"/>
        </w:numPr>
        <w:spacing w:after="120"/>
        <w:jc w:val="both"/>
        <w:rPr>
          <w:rFonts w:ascii="Arial" w:hAnsi="Arial" w:cs="Arial"/>
          <w:sz w:val="22"/>
          <w:szCs w:val="22"/>
        </w:rPr>
      </w:pPr>
      <w:r w:rsidRPr="00C31AF9">
        <w:rPr>
          <w:rFonts w:ascii="Arial" w:hAnsi="Arial" w:cs="Arial"/>
          <w:sz w:val="22"/>
          <w:szCs w:val="22"/>
        </w:rPr>
        <w:t>Národní politiky výzkumu, vývoje a inovací České republiky 2021+, schválené usnesením vlády ze dne 20. července 2020 č. 759 (dále jen „NP VaVaI 2021+“),</w:t>
      </w:r>
    </w:p>
    <w:p w14:paraId="174723D1" w14:textId="742B5F3F" w:rsidR="0050596C" w:rsidRPr="00C31AF9" w:rsidRDefault="0050596C" w:rsidP="00706262">
      <w:pPr>
        <w:pStyle w:val="Zkladntext2"/>
        <w:numPr>
          <w:ilvl w:val="0"/>
          <w:numId w:val="17"/>
        </w:numPr>
        <w:spacing w:after="120"/>
        <w:jc w:val="both"/>
        <w:rPr>
          <w:rFonts w:ascii="Arial" w:hAnsi="Arial" w:cs="Arial"/>
          <w:sz w:val="22"/>
          <w:szCs w:val="22"/>
        </w:rPr>
      </w:pPr>
      <w:r w:rsidRPr="00C31AF9">
        <w:rPr>
          <w:rFonts w:ascii="Arial" w:hAnsi="Arial" w:cs="Arial"/>
          <w:sz w:val="22"/>
          <w:szCs w:val="22"/>
        </w:rPr>
        <w:t>Národních priorit orientovaného výzkumu, experimentálního vývoje a inovací schválených usnesením vlády ze dne 19. července 2012 č. 552,</w:t>
      </w:r>
    </w:p>
    <w:p w14:paraId="287069D0" w14:textId="4A6708C5" w:rsidR="00DF7F81" w:rsidRPr="00C31AF9" w:rsidRDefault="0050596C" w:rsidP="00706262">
      <w:pPr>
        <w:pStyle w:val="Zkladntext2"/>
        <w:numPr>
          <w:ilvl w:val="0"/>
          <w:numId w:val="17"/>
        </w:numPr>
        <w:spacing w:after="120"/>
        <w:jc w:val="both"/>
        <w:rPr>
          <w:rFonts w:ascii="Arial" w:hAnsi="Arial" w:cs="Arial"/>
          <w:sz w:val="22"/>
          <w:szCs w:val="22"/>
        </w:rPr>
      </w:pPr>
      <w:r w:rsidRPr="00C31AF9">
        <w:rPr>
          <w:rFonts w:ascii="Arial" w:hAnsi="Arial" w:cs="Arial"/>
          <w:sz w:val="22"/>
          <w:szCs w:val="22"/>
        </w:rPr>
        <w:t>Nařízení Komise (EU) č. 651/2014 ze dne 17. čer</w:t>
      </w:r>
      <w:r w:rsidR="00443619">
        <w:rPr>
          <w:rFonts w:ascii="Arial" w:hAnsi="Arial" w:cs="Arial"/>
          <w:sz w:val="22"/>
          <w:szCs w:val="22"/>
        </w:rPr>
        <w:t>vna 2014, kterým se v souladu s </w:t>
      </w:r>
      <w:r w:rsidRPr="00C31AF9">
        <w:rPr>
          <w:rFonts w:ascii="Arial" w:hAnsi="Arial" w:cs="Arial"/>
          <w:sz w:val="22"/>
          <w:szCs w:val="22"/>
        </w:rPr>
        <w:t xml:space="preserve">články 107 a 108 Smlouvy prohlašují určité kategorie podpory za </w:t>
      </w:r>
      <w:r w:rsidR="00443619">
        <w:rPr>
          <w:rFonts w:ascii="Arial" w:hAnsi="Arial" w:cs="Arial"/>
          <w:sz w:val="22"/>
          <w:szCs w:val="22"/>
        </w:rPr>
        <w:t>slučitelné s </w:t>
      </w:r>
      <w:r w:rsidRPr="00C31AF9">
        <w:rPr>
          <w:rFonts w:ascii="Arial" w:hAnsi="Arial" w:cs="Arial"/>
          <w:sz w:val="22"/>
          <w:szCs w:val="22"/>
        </w:rPr>
        <w:t>vnitřním trhem – L 187/1 (dále jen „Nařízení Komise (EU)“) a Sdělením Komise – Rámec pro státní podporu výzkumu, vývoje a inovací - 2014/C 198/01 (dále jen „Rámec“).</w:t>
      </w:r>
    </w:p>
    <w:p w14:paraId="0DE18232" w14:textId="716D3268" w:rsidR="00341788" w:rsidRPr="00C31AF9" w:rsidRDefault="00D56170" w:rsidP="00706262">
      <w:pPr>
        <w:pStyle w:val="Odstavecseseznamem"/>
        <w:keepNext/>
        <w:numPr>
          <w:ilvl w:val="0"/>
          <w:numId w:val="1"/>
        </w:numPr>
        <w:spacing w:after="120"/>
        <w:contextualSpacing w:val="0"/>
        <w:jc w:val="both"/>
        <w:rPr>
          <w:rFonts w:ascii="Arial" w:hAnsi="Arial" w:cs="Arial"/>
          <w:b/>
          <w:color w:val="0070C0"/>
          <w:sz w:val="22"/>
          <w:szCs w:val="22"/>
        </w:rPr>
      </w:pPr>
      <w:r w:rsidRPr="00C31AF9">
        <w:rPr>
          <w:rFonts w:ascii="Arial" w:hAnsi="Arial" w:cs="Arial"/>
          <w:b/>
          <w:color w:val="0070C0"/>
          <w:sz w:val="22"/>
          <w:szCs w:val="22"/>
        </w:rPr>
        <w:t xml:space="preserve">Soulad se zákonem </w:t>
      </w:r>
      <w:r w:rsidR="0050596C" w:rsidRPr="00C31AF9">
        <w:rPr>
          <w:rFonts w:ascii="Arial" w:hAnsi="Arial" w:cs="Arial"/>
          <w:b/>
          <w:color w:val="0070C0"/>
          <w:sz w:val="22"/>
          <w:szCs w:val="22"/>
        </w:rPr>
        <w:t>o podpoře výzkumu, experimentálního vývoje a inovací</w:t>
      </w:r>
    </w:p>
    <w:p w14:paraId="18FC7BEF" w14:textId="625CFDC2"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Rada hodnotí splnění požadavků na obsah nové skupiny gra</w:t>
      </w:r>
      <w:r w:rsidR="00443619">
        <w:rPr>
          <w:rFonts w:ascii="Arial" w:hAnsi="Arial" w:cs="Arial"/>
          <w:sz w:val="22"/>
          <w:szCs w:val="22"/>
        </w:rPr>
        <w:t>ntových projektů, stanovených § </w:t>
      </w:r>
      <w:r w:rsidRPr="00C31AF9">
        <w:rPr>
          <w:rFonts w:ascii="Arial" w:hAnsi="Arial" w:cs="Arial"/>
          <w:sz w:val="22"/>
          <w:szCs w:val="22"/>
        </w:rPr>
        <w:t>5 odst. 2 zákona č. 130/2002 Sb., o podpoře výzkumu, experimentálního vývoje a inovací takto:</w:t>
      </w:r>
    </w:p>
    <w:p w14:paraId="292B376C" w14:textId="77777777" w:rsidR="0050596C" w:rsidRPr="00C31AF9" w:rsidRDefault="0050596C" w:rsidP="00706262">
      <w:pPr>
        <w:pStyle w:val="Zkladntext2"/>
        <w:numPr>
          <w:ilvl w:val="0"/>
          <w:numId w:val="18"/>
        </w:numPr>
        <w:spacing w:after="120"/>
        <w:jc w:val="both"/>
        <w:rPr>
          <w:rFonts w:ascii="Arial" w:hAnsi="Arial" w:cs="Arial"/>
          <w:b/>
          <w:sz w:val="22"/>
          <w:szCs w:val="22"/>
          <w:u w:val="single"/>
        </w:rPr>
      </w:pPr>
      <w:r w:rsidRPr="00C31AF9">
        <w:rPr>
          <w:rFonts w:ascii="Arial" w:hAnsi="Arial" w:cs="Arial"/>
          <w:b/>
          <w:sz w:val="22"/>
          <w:szCs w:val="22"/>
          <w:u w:val="single"/>
        </w:rPr>
        <w:t xml:space="preserve">Identifikační údaje a doba skupiny grantových projektů </w:t>
      </w:r>
    </w:p>
    <w:p w14:paraId="79F9FB87"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u w:val="single"/>
        </w:rPr>
        <w:t>Název skupiny grantových projektů:</w:t>
      </w:r>
      <w:r w:rsidRPr="00C31AF9">
        <w:rPr>
          <w:rFonts w:ascii="Arial" w:hAnsi="Arial" w:cs="Arial"/>
          <w:sz w:val="22"/>
          <w:szCs w:val="22"/>
        </w:rPr>
        <w:t xml:space="preserve"> Grantové projekty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w:t>
      </w:r>
    </w:p>
    <w:p w14:paraId="06336D52" w14:textId="77777777" w:rsidR="0050596C" w:rsidRPr="00C31AF9" w:rsidRDefault="0050596C" w:rsidP="00706262">
      <w:pPr>
        <w:pStyle w:val="Zkladntext2"/>
        <w:spacing w:after="120"/>
        <w:jc w:val="both"/>
        <w:rPr>
          <w:rFonts w:ascii="Arial" w:hAnsi="Arial" w:cs="Arial"/>
          <w:i/>
          <w:sz w:val="22"/>
          <w:szCs w:val="22"/>
        </w:rPr>
      </w:pPr>
      <w:r w:rsidRPr="00C31AF9">
        <w:rPr>
          <w:rFonts w:ascii="Arial" w:hAnsi="Arial" w:cs="Arial"/>
          <w:sz w:val="22"/>
          <w:szCs w:val="22"/>
          <w:u w:val="single"/>
        </w:rPr>
        <w:t>Identifikační kód skupiny grantových projektů</w:t>
      </w:r>
      <w:r w:rsidRPr="00C31AF9">
        <w:rPr>
          <w:rFonts w:ascii="Arial" w:hAnsi="Arial" w:cs="Arial"/>
          <w:sz w:val="22"/>
          <w:szCs w:val="22"/>
        </w:rPr>
        <w:t>: GG</w:t>
      </w:r>
    </w:p>
    <w:p w14:paraId="7DF59F41"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u w:val="single"/>
        </w:rPr>
        <w:lastRenderedPageBreak/>
        <w:t xml:space="preserve">Doba trvání skupiny grantových projektů: </w:t>
      </w:r>
      <w:r w:rsidRPr="00C31AF9">
        <w:rPr>
          <w:rFonts w:ascii="Arial" w:hAnsi="Arial" w:cs="Arial"/>
          <w:sz w:val="22"/>
          <w:szCs w:val="22"/>
        </w:rPr>
        <w:t>Podpora začne být poskytována nejdříve od roku 2026, a to pro projekty vybrané v rámci soutěže vyhlášené v roce 2025.  V případě dostatku finančních prostředků (účelových i institucionálních) se předpokládá vyhlášení veřejné soutěže pro tuto skupinu grantových projektů každý rok. Poslední vyhlášení veřejných soutěží se předpokládá v roce 2035 pro projekty s počátkem řešení v roce 2036 s tím, že v roce 2034 bude předložen návrh na prodloužení skupiny grantových projektů spolu s vyhodnocením dosavadního průběhu podpory. Doba řešení projektu v této skupině grantových projektů je stanovena na 12 až 18 měsíců podle návrhu uchazeče.</w:t>
      </w:r>
    </w:p>
    <w:p w14:paraId="52EB70DB" w14:textId="77777777" w:rsidR="0050596C" w:rsidRPr="00C31AF9" w:rsidRDefault="0050596C" w:rsidP="00706262">
      <w:pPr>
        <w:pStyle w:val="Zkladntext2"/>
        <w:numPr>
          <w:ilvl w:val="0"/>
          <w:numId w:val="18"/>
        </w:numPr>
        <w:spacing w:after="120"/>
        <w:jc w:val="both"/>
        <w:rPr>
          <w:rFonts w:ascii="Arial" w:hAnsi="Arial" w:cs="Arial"/>
          <w:b/>
          <w:sz w:val="22"/>
          <w:szCs w:val="22"/>
          <w:u w:val="single"/>
        </w:rPr>
      </w:pPr>
      <w:r w:rsidRPr="00C31AF9">
        <w:rPr>
          <w:rFonts w:ascii="Arial" w:hAnsi="Arial" w:cs="Arial"/>
          <w:b/>
          <w:sz w:val="22"/>
          <w:szCs w:val="22"/>
          <w:u w:val="single"/>
        </w:rPr>
        <w:t>celkové výdaje na uskutečnění programu, z toho výdaje z veřejných prostředků s uvedením výdajů státního rozpočtu, a jejich členění v jednotlivých letech:</w:t>
      </w:r>
    </w:p>
    <w:p w14:paraId="2D555F4C" w14:textId="52FC9ED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Celkové výdaje na novou skupinu grantových projektů se pře</w:t>
      </w:r>
      <w:r w:rsidR="00443619">
        <w:rPr>
          <w:rFonts w:ascii="Arial" w:hAnsi="Arial" w:cs="Arial"/>
          <w:sz w:val="22"/>
          <w:szCs w:val="22"/>
        </w:rPr>
        <w:t>dpokládají v objemu cca 80 mil. </w:t>
      </w:r>
      <w:r w:rsidRPr="00C31AF9">
        <w:rPr>
          <w:rFonts w:ascii="Arial" w:hAnsi="Arial" w:cs="Arial"/>
          <w:sz w:val="22"/>
          <w:szCs w:val="22"/>
        </w:rPr>
        <w:t xml:space="preserve">Kč v prvním roce financování projektů. V případě, že by zákonem stanovené výdaje nebyly schváleny v této výši, tak by GA ČR Veřejnou soutěž vyhlásila pouze do výše schválených prostředků. </w:t>
      </w:r>
    </w:p>
    <w:p w14:paraId="3F35A301"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 xml:space="preserve">Předpokládanou průměrnou výši celkových výdajů v jednotlivých letech přehledně znázorňuje Tabulka 1 (v mil. Kč). Podíl výdajů státního rozpočtu na celkových výdajích je u projektů základního výzkumu v souladu se Zákonem a Rámcem až 100 %.  Prostředky na tuto skupinu grantových projektů budou poskytovány ve schválené výši.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0596C" w:rsidRPr="00C31AF9" w14:paraId="19B830C2" w14:textId="77777777" w:rsidTr="00C63ED6">
        <w:trPr>
          <w:trHeight w:val="1530"/>
        </w:trPr>
        <w:tc>
          <w:tcPr>
            <w:tcW w:w="10333" w:type="dxa"/>
            <w:tcBorders>
              <w:top w:val="nil"/>
              <w:left w:val="nil"/>
              <w:bottom w:val="nil"/>
              <w:right w:val="nil"/>
            </w:tcBorders>
            <w:shd w:val="clear" w:color="auto" w:fill="auto"/>
          </w:tcPr>
          <w:p w14:paraId="07BB2047" w14:textId="77777777" w:rsidR="0050596C" w:rsidRPr="00C31AF9" w:rsidRDefault="0050596C" w:rsidP="00706262">
            <w:pPr>
              <w:pStyle w:val="Zkladntext2"/>
              <w:jc w:val="both"/>
              <w:rPr>
                <w:rFonts w:ascii="Arial" w:hAnsi="Arial" w:cs="Arial"/>
                <w:b/>
                <w:sz w:val="22"/>
                <w:szCs w:val="22"/>
              </w:rPr>
            </w:pPr>
            <w:r w:rsidRPr="00C31AF9">
              <w:rPr>
                <w:rFonts w:ascii="Arial" w:hAnsi="Arial" w:cs="Arial"/>
                <w:b/>
                <w:sz w:val="22"/>
                <w:szCs w:val="22"/>
              </w:rPr>
              <w:t>Tabulka 1: Plánované alokace finančních prostředků v jednotlivých letech</w:t>
            </w:r>
          </w:p>
          <w:tbl>
            <w:tblPr>
              <w:tblW w:w="0" w:type="auto"/>
              <w:jc w:val="center"/>
              <w:tblLook w:val="06A0" w:firstRow="1" w:lastRow="0" w:firstColumn="1" w:lastColumn="0" w:noHBand="1" w:noVBand="1"/>
            </w:tblPr>
            <w:tblGrid>
              <w:gridCol w:w="3319"/>
              <w:gridCol w:w="859"/>
              <w:gridCol w:w="859"/>
              <w:gridCol w:w="859"/>
              <w:gridCol w:w="859"/>
              <w:gridCol w:w="902"/>
              <w:gridCol w:w="893"/>
            </w:tblGrid>
            <w:tr w:rsidR="0050596C" w:rsidRPr="00C31AF9" w14:paraId="0335B62A" w14:textId="77777777" w:rsidTr="00C63ED6">
              <w:trPr>
                <w:trHeight w:val="397"/>
                <w:jc w:val="center"/>
              </w:trPr>
              <w:tc>
                <w:tcPr>
                  <w:tcW w:w="8550" w:type="dxa"/>
                  <w:gridSpan w:val="7"/>
                  <w:tcBorders>
                    <w:top w:val="single" w:sz="8" w:space="0" w:color="auto"/>
                    <w:left w:val="single" w:sz="8" w:space="0" w:color="auto"/>
                    <w:bottom w:val="single" w:sz="8" w:space="0" w:color="auto"/>
                    <w:right w:val="single" w:sz="8" w:space="0" w:color="000000" w:themeColor="text1"/>
                  </w:tcBorders>
                  <w:shd w:val="clear" w:color="auto" w:fill="BFBFBF" w:themeFill="background1" w:themeFillShade="BF"/>
                  <w:tcMar>
                    <w:top w:w="15" w:type="dxa"/>
                    <w:left w:w="15" w:type="dxa"/>
                    <w:right w:w="15" w:type="dxa"/>
                  </w:tcMar>
                  <w:vAlign w:val="center"/>
                </w:tcPr>
                <w:p w14:paraId="30D1FF23" w14:textId="77777777" w:rsidR="0050596C" w:rsidRPr="00C31AF9" w:rsidRDefault="0050596C" w:rsidP="00706262">
                  <w:pPr>
                    <w:pStyle w:val="Zkladntext2"/>
                    <w:jc w:val="center"/>
                    <w:rPr>
                      <w:rFonts w:ascii="Arial" w:hAnsi="Arial" w:cs="Arial"/>
                      <w:b/>
                      <w:bCs/>
                      <w:sz w:val="22"/>
                      <w:szCs w:val="22"/>
                    </w:rPr>
                  </w:pPr>
                  <w:r w:rsidRPr="00C31AF9">
                    <w:rPr>
                      <w:rFonts w:ascii="Arial" w:hAnsi="Arial" w:cs="Arial"/>
                      <w:b/>
                      <w:bCs/>
                      <w:sz w:val="22"/>
                      <w:szCs w:val="22"/>
                    </w:rPr>
                    <w:t xml:space="preserve">Předpokládané roční výdaje projektů </w:t>
                  </w:r>
                  <w:proofErr w:type="spellStart"/>
                  <w:r w:rsidRPr="00C31AF9">
                    <w:rPr>
                      <w:rFonts w:ascii="Arial" w:hAnsi="Arial" w:cs="Arial"/>
                      <w:b/>
                      <w:bCs/>
                      <w:sz w:val="22"/>
                      <w:szCs w:val="22"/>
                    </w:rPr>
                    <w:t>Proof</w:t>
                  </w:r>
                  <w:proofErr w:type="spellEnd"/>
                  <w:r w:rsidRPr="00C31AF9">
                    <w:rPr>
                      <w:rFonts w:ascii="Arial" w:hAnsi="Arial" w:cs="Arial"/>
                      <w:b/>
                      <w:bCs/>
                      <w:sz w:val="22"/>
                      <w:szCs w:val="22"/>
                    </w:rPr>
                    <w:t xml:space="preserve"> </w:t>
                  </w:r>
                  <w:proofErr w:type="spellStart"/>
                  <w:r w:rsidRPr="00C31AF9">
                    <w:rPr>
                      <w:rFonts w:ascii="Arial" w:hAnsi="Arial" w:cs="Arial"/>
                      <w:b/>
                      <w:bCs/>
                      <w:sz w:val="22"/>
                      <w:szCs w:val="22"/>
                    </w:rPr>
                    <w:t>of</w:t>
                  </w:r>
                  <w:proofErr w:type="spellEnd"/>
                  <w:r w:rsidRPr="00C31AF9">
                    <w:rPr>
                      <w:rFonts w:ascii="Arial" w:hAnsi="Arial" w:cs="Arial"/>
                      <w:b/>
                      <w:bCs/>
                      <w:sz w:val="22"/>
                      <w:szCs w:val="22"/>
                    </w:rPr>
                    <w:t xml:space="preserve"> </w:t>
                  </w:r>
                  <w:proofErr w:type="spellStart"/>
                  <w:r w:rsidRPr="00C31AF9">
                    <w:rPr>
                      <w:rFonts w:ascii="Arial" w:hAnsi="Arial" w:cs="Arial"/>
                      <w:b/>
                      <w:bCs/>
                      <w:sz w:val="22"/>
                      <w:szCs w:val="22"/>
                    </w:rPr>
                    <w:t>Concept</w:t>
                  </w:r>
                  <w:proofErr w:type="spellEnd"/>
                  <w:r w:rsidRPr="00C31AF9">
                    <w:rPr>
                      <w:rFonts w:ascii="Arial" w:hAnsi="Arial" w:cs="Arial"/>
                      <w:b/>
                      <w:bCs/>
                      <w:sz w:val="22"/>
                      <w:szCs w:val="22"/>
                    </w:rPr>
                    <w:t xml:space="preserve"> v mil. Kč</w:t>
                  </w:r>
                </w:p>
              </w:tc>
            </w:tr>
            <w:tr w:rsidR="0050596C" w:rsidRPr="00C31AF9" w14:paraId="27F52390"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000000" w:themeColor="text1"/>
                  </w:tcBorders>
                  <w:tcMar>
                    <w:top w:w="15" w:type="dxa"/>
                    <w:left w:w="15" w:type="dxa"/>
                    <w:right w:w="15" w:type="dxa"/>
                  </w:tcMar>
                  <w:vAlign w:val="center"/>
                </w:tcPr>
                <w:p w14:paraId="3E9A1192" w14:textId="77777777" w:rsidR="0050596C" w:rsidRPr="00C31AF9" w:rsidRDefault="0050596C" w:rsidP="00706262">
                  <w:pPr>
                    <w:pStyle w:val="Zkladntext2"/>
                    <w:jc w:val="both"/>
                    <w:rPr>
                      <w:rFonts w:ascii="Arial" w:hAnsi="Arial" w:cs="Arial"/>
                      <w:b/>
                      <w:bCs/>
                      <w:sz w:val="22"/>
                      <w:szCs w:val="22"/>
                    </w:rPr>
                  </w:pPr>
                  <w:r w:rsidRPr="00C31AF9">
                    <w:rPr>
                      <w:rFonts w:ascii="Arial" w:hAnsi="Arial" w:cs="Arial"/>
                      <w:b/>
                      <w:bCs/>
                      <w:sz w:val="22"/>
                      <w:szCs w:val="22"/>
                    </w:rPr>
                    <w:t>Roky zahájení řešení projektů</w:t>
                  </w:r>
                </w:p>
              </w:tc>
              <w:tc>
                <w:tcPr>
                  <w:tcW w:w="859" w:type="dxa"/>
                  <w:tcBorders>
                    <w:top w:val="nil"/>
                    <w:left w:val="single" w:sz="8" w:space="0" w:color="auto"/>
                    <w:bottom w:val="single" w:sz="8" w:space="0" w:color="auto"/>
                    <w:right w:val="single" w:sz="8" w:space="0" w:color="auto"/>
                  </w:tcBorders>
                  <w:tcMar>
                    <w:top w:w="15" w:type="dxa"/>
                    <w:left w:w="15" w:type="dxa"/>
                    <w:right w:w="15" w:type="dxa"/>
                  </w:tcMar>
                  <w:vAlign w:val="center"/>
                </w:tcPr>
                <w:p w14:paraId="37A0DD3E" w14:textId="77777777" w:rsidR="0050596C" w:rsidRPr="00C31AF9" w:rsidRDefault="0050596C" w:rsidP="00706262">
                  <w:pPr>
                    <w:pStyle w:val="Zkladntext2"/>
                    <w:jc w:val="center"/>
                    <w:rPr>
                      <w:rFonts w:ascii="Arial" w:hAnsi="Arial" w:cs="Arial"/>
                      <w:b/>
                      <w:bCs/>
                      <w:sz w:val="22"/>
                      <w:szCs w:val="22"/>
                    </w:rPr>
                  </w:pPr>
                  <w:r w:rsidRPr="00C31AF9">
                    <w:rPr>
                      <w:rFonts w:ascii="Arial" w:hAnsi="Arial" w:cs="Arial"/>
                      <w:b/>
                      <w:bCs/>
                      <w:sz w:val="22"/>
                      <w:szCs w:val="22"/>
                    </w:rPr>
                    <w:t>2026</w:t>
                  </w:r>
                </w:p>
              </w:tc>
              <w:tc>
                <w:tcPr>
                  <w:tcW w:w="859" w:type="dxa"/>
                  <w:tcBorders>
                    <w:top w:val="nil"/>
                    <w:left w:val="single" w:sz="8" w:space="0" w:color="auto"/>
                    <w:bottom w:val="single" w:sz="8" w:space="0" w:color="auto"/>
                    <w:right w:val="single" w:sz="8" w:space="0" w:color="auto"/>
                  </w:tcBorders>
                  <w:tcMar>
                    <w:top w:w="15" w:type="dxa"/>
                    <w:left w:w="15" w:type="dxa"/>
                    <w:right w:w="15" w:type="dxa"/>
                  </w:tcMar>
                  <w:vAlign w:val="center"/>
                </w:tcPr>
                <w:p w14:paraId="31545DC7" w14:textId="77777777" w:rsidR="0050596C" w:rsidRPr="00C31AF9" w:rsidRDefault="0050596C" w:rsidP="00706262">
                  <w:pPr>
                    <w:pStyle w:val="Zkladntext2"/>
                    <w:jc w:val="center"/>
                    <w:rPr>
                      <w:rFonts w:ascii="Arial" w:hAnsi="Arial" w:cs="Arial"/>
                      <w:b/>
                      <w:bCs/>
                      <w:sz w:val="22"/>
                      <w:szCs w:val="22"/>
                    </w:rPr>
                  </w:pPr>
                  <w:r w:rsidRPr="00C31AF9">
                    <w:rPr>
                      <w:rFonts w:ascii="Arial" w:hAnsi="Arial" w:cs="Arial"/>
                      <w:b/>
                      <w:bCs/>
                      <w:sz w:val="22"/>
                      <w:szCs w:val="22"/>
                    </w:rPr>
                    <w:t>2027</w:t>
                  </w:r>
                </w:p>
              </w:tc>
              <w:tc>
                <w:tcPr>
                  <w:tcW w:w="859" w:type="dxa"/>
                  <w:tcBorders>
                    <w:top w:val="nil"/>
                    <w:left w:val="single" w:sz="8" w:space="0" w:color="auto"/>
                    <w:bottom w:val="single" w:sz="8" w:space="0" w:color="auto"/>
                    <w:right w:val="single" w:sz="8" w:space="0" w:color="auto"/>
                  </w:tcBorders>
                  <w:tcMar>
                    <w:top w:w="15" w:type="dxa"/>
                    <w:left w:w="15" w:type="dxa"/>
                    <w:right w:w="15" w:type="dxa"/>
                  </w:tcMar>
                  <w:vAlign w:val="center"/>
                </w:tcPr>
                <w:p w14:paraId="0C9E755C" w14:textId="77777777" w:rsidR="0050596C" w:rsidRPr="00C31AF9" w:rsidRDefault="0050596C" w:rsidP="00706262">
                  <w:pPr>
                    <w:pStyle w:val="Zkladntext2"/>
                    <w:jc w:val="center"/>
                    <w:rPr>
                      <w:rFonts w:ascii="Arial" w:hAnsi="Arial" w:cs="Arial"/>
                      <w:b/>
                      <w:bCs/>
                      <w:sz w:val="22"/>
                      <w:szCs w:val="22"/>
                    </w:rPr>
                  </w:pPr>
                  <w:r w:rsidRPr="00C31AF9">
                    <w:rPr>
                      <w:rFonts w:ascii="Arial" w:hAnsi="Arial" w:cs="Arial"/>
                      <w:b/>
                      <w:bCs/>
                      <w:sz w:val="22"/>
                      <w:szCs w:val="22"/>
                    </w:rPr>
                    <w:t>2028</w:t>
                  </w:r>
                </w:p>
              </w:tc>
              <w:tc>
                <w:tcPr>
                  <w:tcW w:w="859" w:type="dxa"/>
                  <w:tcBorders>
                    <w:top w:val="nil"/>
                    <w:left w:val="single" w:sz="8" w:space="0" w:color="auto"/>
                    <w:bottom w:val="single" w:sz="8" w:space="0" w:color="auto"/>
                    <w:right w:val="single" w:sz="8" w:space="0" w:color="auto"/>
                  </w:tcBorders>
                  <w:tcMar>
                    <w:top w:w="15" w:type="dxa"/>
                    <w:left w:w="15" w:type="dxa"/>
                    <w:right w:w="15" w:type="dxa"/>
                  </w:tcMar>
                  <w:vAlign w:val="center"/>
                </w:tcPr>
                <w:p w14:paraId="36090AA3" w14:textId="77777777" w:rsidR="0050596C" w:rsidRPr="00C31AF9" w:rsidRDefault="0050596C" w:rsidP="00706262">
                  <w:pPr>
                    <w:pStyle w:val="Zkladntext2"/>
                    <w:jc w:val="center"/>
                    <w:rPr>
                      <w:rFonts w:ascii="Arial" w:hAnsi="Arial" w:cs="Arial"/>
                      <w:b/>
                      <w:bCs/>
                      <w:sz w:val="22"/>
                      <w:szCs w:val="22"/>
                    </w:rPr>
                  </w:pPr>
                  <w:r w:rsidRPr="00C31AF9">
                    <w:rPr>
                      <w:rFonts w:ascii="Arial" w:hAnsi="Arial" w:cs="Arial"/>
                      <w:b/>
                      <w:bCs/>
                      <w:sz w:val="22"/>
                      <w:szCs w:val="22"/>
                    </w:rPr>
                    <w:t>2029</w:t>
                  </w:r>
                </w:p>
              </w:tc>
              <w:tc>
                <w:tcPr>
                  <w:tcW w:w="902" w:type="dxa"/>
                  <w:tcBorders>
                    <w:top w:val="nil"/>
                    <w:left w:val="single" w:sz="8" w:space="0" w:color="auto"/>
                    <w:bottom w:val="single" w:sz="8" w:space="0" w:color="auto"/>
                    <w:right w:val="single" w:sz="8" w:space="0" w:color="auto"/>
                  </w:tcBorders>
                  <w:tcMar>
                    <w:top w:w="15" w:type="dxa"/>
                    <w:left w:w="15" w:type="dxa"/>
                    <w:right w:w="15" w:type="dxa"/>
                  </w:tcMar>
                  <w:vAlign w:val="center"/>
                </w:tcPr>
                <w:p w14:paraId="13E9DC3F" w14:textId="77777777" w:rsidR="0050596C" w:rsidRPr="00C31AF9" w:rsidRDefault="0050596C" w:rsidP="00706262">
                  <w:pPr>
                    <w:pStyle w:val="Zkladntext2"/>
                    <w:jc w:val="center"/>
                    <w:rPr>
                      <w:rFonts w:ascii="Arial" w:hAnsi="Arial" w:cs="Arial"/>
                      <w:b/>
                      <w:bCs/>
                      <w:sz w:val="22"/>
                      <w:szCs w:val="22"/>
                    </w:rPr>
                  </w:pPr>
                  <w:r w:rsidRPr="00C31AF9">
                    <w:rPr>
                      <w:rFonts w:ascii="Arial" w:hAnsi="Arial" w:cs="Arial"/>
                      <w:b/>
                      <w:bCs/>
                      <w:sz w:val="22"/>
                      <w:szCs w:val="22"/>
                    </w:rPr>
                    <w:t>2030</w:t>
                  </w:r>
                </w:p>
              </w:tc>
              <w:tc>
                <w:tcPr>
                  <w:tcW w:w="893" w:type="dxa"/>
                  <w:tcBorders>
                    <w:top w:val="nil"/>
                    <w:left w:val="single" w:sz="8" w:space="0" w:color="auto"/>
                    <w:bottom w:val="single" w:sz="8" w:space="0" w:color="auto"/>
                    <w:right w:val="single" w:sz="8" w:space="0" w:color="000000" w:themeColor="text1"/>
                  </w:tcBorders>
                  <w:tcMar>
                    <w:top w:w="15" w:type="dxa"/>
                    <w:left w:w="15" w:type="dxa"/>
                    <w:right w:w="15" w:type="dxa"/>
                  </w:tcMar>
                  <w:vAlign w:val="center"/>
                </w:tcPr>
                <w:p w14:paraId="0DB305E0" w14:textId="77777777" w:rsidR="0050596C" w:rsidRPr="00C31AF9" w:rsidRDefault="0050596C" w:rsidP="00706262">
                  <w:pPr>
                    <w:pStyle w:val="Zkladntext2"/>
                    <w:jc w:val="center"/>
                    <w:rPr>
                      <w:rFonts w:ascii="Arial" w:hAnsi="Arial" w:cs="Arial"/>
                      <w:b/>
                      <w:bCs/>
                      <w:sz w:val="22"/>
                      <w:szCs w:val="22"/>
                    </w:rPr>
                  </w:pPr>
                  <w:r w:rsidRPr="00C31AF9">
                    <w:rPr>
                      <w:rFonts w:ascii="Arial" w:hAnsi="Arial" w:cs="Arial"/>
                      <w:b/>
                      <w:bCs/>
                      <w:sz w:val="22"/>
                      <w:szCs w:val="22"/>
                    </w:rPr>
                    <w:t>…</w:t>
                  </w:r>
                </w:p>
              </w:tc>
            </w:tr>
            <w:tr w:rsidR="0050596C" w:rsidRPr="00C31AF9" w14:paraId="2545FD22"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2622634" w14:textId="77777777" w:rsidR="0050596C" w:rsidRPr="00C31AF9" w:rsidRDefault="0050596C" w:rsidP="00706262">
                  <w:pPr>
                    <w:pStyle w:val="Zkladntext2"/>
                    <w:jc w:val="both"/>
                    <w:rPr>
                      <w:rFonts w:ascii="Arial" w:hAnsi="Arial" w:cs="Arial"/>
                      <w:b/>
                      <w:bCs/>
                      <w:sz w:val="22"/>
                      <w:szCs w:val="22"/>
                    </w:rPr>
                  </w:pPr>
                  <w:proofErr w:type="spellStart"/>
                  <w:r w:rsidRPr="00C31AF9">
                    <w:rPr>
                      <w:rFonts w:ascii="Arial" w:hAnsi="Arial" w:cs="Arial"/>
                      <w:b/>
                      <w:bCs/>
                      <w:sz w:val="22"/>
                      <w:szCs w:val="22"/>
                    </w:rPr>
                    <w:t>PoC</w:t>
                  </w:r>
                  <w:proofErr w:type="spellEnd"/>
                  <w:r w:rsidRPr="00C31AF9">
                    <w:rPr>
                      <w:rFonts w:ascii="Arial" w:hAnsi="Arial" w:cs="Arial"/>
                      <w:b/>
                      <w:bCs/>
                      <w:sz w:val="22"/>
                      <w:szCs w:val="22"/>
                    </w:rPr>
                    <w:t xml:space="preserve"> 2026</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A605908"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80</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D444DF8"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06FE732"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0053807"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90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34331FB"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9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3E14CA3"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r>
            <w:tr w:rsidR="0050596C" w:rsidRPr="00C31AF9" w14:paraId="500ED8B0"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90CB4D5" w14:textId="77777777" w:rsidR="0050596C" w:rsidRPr="00C31AF9" w:rsidRDefault="0050596C" w:rsidP="00706262">
                  <w:pPr>
                    <w:pStyle w:val="Zkladntext2"/>
                    <w:jc w:val="both"/>
                    <w:rPr>
                      <w:rFonts w:ascii="Arial" w:hAnsi="Arial" w:cs="Arial"/>
                      <w:b/>
                      <w:bCs/>
                      <w:sz w:val="22"/>
                      <w:szCs w:val="22"/>
                    </w:rPr>
                  </w:pPr>
                  <w:proofErr w:type="spellStart"/>
                  <w:r w:rsidRPr="00C31AF9">
                    <w:rPr>
                      <w:rFonts w:ascii="Arial" w:hAnsi="Arial" w:cs="Arial"/>
                      <w:b/>
                      <w:bCs/>
                      <w:sz w:val="22"/>
                      <w:szCs w:val="22"/>
                    </w:rPr>
                    <w:t>PoC</w:t>
                  </w:r>
                  <w:proofErr w:type="spellEnd"/>
                  <w:r w:rsidRPr="00C31AF9">
                    <w:rPr>
                      <w:rFonts w:ascii="Arial" w:hAnsi="Arial" w:cs="Arial"/>
                      <w:b/>
                      <w:bCs/>
                      <w:sz w:val="22"/>
                      <w:szCs w:val="22"/>
                    </w:rPr>
                    <w:t xml:space="preserve"> 2027</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781FAB0"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07B0B53"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81</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B6E63BD"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4F53BC8"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90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F030D58"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9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323D0D2"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r>
            <w:tr w:rsidR="0050596C" w:rsidRPr="00C31AF9" w14:paraId="74F2B8A6"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49BADF4" w14:textId="77777777" w:rsidR="0050596C" w:rsidRPr="00C31AF9" w:rsidRDefault="0050596C" w:rsidP="00706262">
                  <w:pPr>
                    <w:pStyle w:val="Zkladntext2"/>
                    <w:jc w:val="both"/>
                    <w:rPr>
                      <w:rFonts w:ascii="Arial" w:hAnsi="Arial" w:cs="Arial"/>
                      <w:b/>
                      <w:bCs/>
                      <w:sz w:val="22"/>
                      <w:szCs w:val="22"/>
                    </w:rPr>
                  </w:pPr>
                  <w:proofErr w:type="spellStart"/>
                  <w:r w:rsidRPr="00C31AF9">
                    <w:rPr>
                      <w:rFonts w:ascii="Arial" w:hAnsi="Arial" w:cs="Arial"/>
                      <w:b/>
                      <w:bCs/>
                      <w:sz w:val="22"/>
                      <w:szCs w:val="22"/>
                    </w:rPr>
                    <w:t>PoC</w:t>
                  </w:r>
                  <w:proofErr w:type="spellEnd"/>
                  <w:r w:rsidRPr="00C31AF9">
                    <w:rPr>
                      <w:rFonts w:ascii="Arial" w:hAnsi="Arial" w:cs="Arial"/>
                      <w:b/>
                      <w:bCs/>
                      <w:sz w:val="22"/>
                      <w:szCs w:val="22"/>
                    </w:rPr>
                    <w:t xml:space="preserve"> 2028</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36D578F"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4C4F4B2"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2EC3226"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82</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A4C9B58" w14:textId="77777777" w:rsidR="0050596C" w:rsidRPr="00C31AF9" w:rsidRDefault="0050596C" w:rsidP="00706262">
                  <w:pPr>
                    <w:pStyle w:val="Zkladntext2"/>
                    <w:jc w:val="center"/>
                    <w:rPr>
                      <w:rFonts w:ascii="Arial" w:hAnsi="Arial" w:cs="Arial"/>
                      <w:sz w:val="22"/>
                      <w:szCs w:val="22"/>
                    </w:rPr>
                  </w:pPr>
                </w:p>
              </w:tc>
              <w:tc>
                <w:tcPr>
                  <w:tcW w:w="90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7F05A02"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9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AB9CCCD"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r>
            <w:tr w:rsidR="0050596C" w:rsidRPr="00C31AF9" w14:paraId="29A1C4FD"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EA2B2E4" w14:textId="77777777" w:rsidR="0050596C" w:rsidRPr="00C31AF9" w:rsidRDefault="0050596C" w:rsidP="00706262">
                  <w:pPr>
                    <w:pStyle w:val="Zkladntext2"/>
                    <w:jc w:val="both"/>
                    <w:rPr>
                      <w:rFonts w:ascii="Arial" w:hAnsi="Arial" w:cs="Arial"/>
                      <w:b/>
                      <w:bCs/>
                      <w:sz w:val="22"/>
                      <w:szCs w:val="22"/>
                    </w:rPr>
                  </w:pPr>
                  <w:proofErr w:type="spellStart"/>
                  <w:r w:rsidRPr="00C31AF9">
                    <w:rPr>
                      <w:rFonts w:ascii="Arial" w:hAnsi="Arial" w:cs="Arial"/>
                      <w:b/>
                      <w:bCs/>
                      <w:sz w:val="22"/>
                      <w:szCs w:val="22"/>
                    </w:rPr>
                    <w:t>PoC</w:t>
                  </w:r>
                  <w:proofErr w:type="spellEnd"/>
                  <w:r w:rsidRPr="00C31AF9">
                    <w:rPr>
                      <w:rFonts w:ascii="Arial" w:hAnsi="Arial" w:cs="Arial"/>
                      <w:b/>
                      <w:bCs/>
                      <w:sz w:val="22"/>
                      <w:szCs w:val="22"/>
                    </w:rPr>
                    <w:t xml:space="preserve"> 2029</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2B58E99"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A2C5F24"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34AE6EF"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B8A2628"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83</w:t>
                  </w:r>
                </w:p>
              </w:tc>
              <w:tc>
                <w:tcPr>
                  <w:tcW w:w="90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DE6A35F"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9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416615B"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r>
            <w:tr w:rsidR="0050596C" w:rsidRPr="00C31AF9" w14:paraId="22459827"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E0EEB16" w14:textId="77777777" w:rsidR="0050596C" w:rsidRPr="00C31AF9" w:rsidRDefault="0050596C" w:rsidP="00706262">
                  <w:pPr>
                    <w:pStyle w:val="Zkladntext2"/>
                    <w:jc w:val="both"/>
                    <w:rPr>
                      <w:rFonts w:ascii="Arial" w:hAnsi="Arial" w:cs="Arial"/>
                      <w:b/>
                      <w:bCs/>
                      <w:sz w:val="22"/>
                      <w:szCs w:val="22"/>
                    </w:rPr>
                  </w:pPr>
                  <w:proofErr w:type="spellStart"/>
                  <w:r w:rsidRPr="00C31AF9">
                    <w:rPr>
                      <w:rFonts w:ascii="Arial" w:hAnsi="Arial" w:cs="Arial"/>
                      <w:b/>
                      <w:bCs/>
                      <w:sz w:val="22"/>
                      <w:szCs w:val="22"/>
                    </w:rPr>
                    <w:t>PoC</w:t>
                  </w:r>
                  <w:proofErr w:type="spellEnd"/>
                  <w:r w:rsidRPr="00C31AF9">
                    <w:rPr>
                      <w:rFonts w:ascii="Arial" w:hAnsi="Arial" w:cs="Arial"/>
                      <w:b/>
                      <w:bCs/>
                      <w:sz w:val="22"/>
                      <w:szCs w:val="22"/>
                    </w:rPr>
                    <w:t xml:space="preserve"> 2030</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D5D8847"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841EB1A"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3E52015"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80CA516"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90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8262691"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84</w:t>
                  </w:r>
                </w:p>
              </w:tc>
              <w:tc>
                <w:tcPr>
                  <w:tcW w:w="89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AA25FE4"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r>
            <w:tr w:rsidR="0050596C" w:rsidRPr="00C31AF9" w14:paraId="78D23631"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2EAE057" w14:textId="77777777" w:rsidR="0050596C" w:rsidRPr="00C31AF9" w:rsidRDefault="0050596C" w:rsidP="00706262">
                  <w:pPr>
                    <w:pStyle w:val="Zkladntext2"/>
                    <w:jc w:val="both"/>
                    <w:rPr>
                      <w:rFonts w:ascii="Arial" w:hAnsi="Arial" w:cs="Arial"/>
                      <w:b/>
                      <w:bCs/>
                      <w:sz w:val="22"/>
                      <w:szCs w:val="22"/>
                    </w:rPr>
                  </w:pPr>
                  <w:r w:rsidRPr="00C31AF9">
                    <w:rPr>
                      <w:rFonts w:ascii="Arial" w:hAnsi="Arial" w:cs="Arial"/>
                      <w:b/>
                      <w:bCs/>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7AD5114"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F0C668C"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9C6F37C"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077A1CF"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90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88739CD"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c>
                <w:tcPr>
                  <w:tcW w:w="89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6C11868"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r>
            <w:tr w:rsidR="0050596C" w:rsidRPr="00C31AF9" w14:paraId="56211918" w14:textId="77777777" w:rsidTr="00693EF7">
              <w:trPr>
                <w:trHeight w:val="397"/>
                <w:jc w:val="center"/>
              </w:trPr>
              <w:tc>
                <w:tcPr>
                  <w:tcW w:w="331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375E73E" w14:textId="77777777" w:rsidR="0050596C" w:rsidRPr="00C31AF9" w:rsidRDefault="0050596C" w:rsidP="00706262">
                  <w:pPr>
                    <w:pStyle w:val="Zkladntext2"/>
                    <w:jc w:val="both"/>
                    <w:rPr>
                      <w:rFonts w:ascii="Arial" w:hAnsi="Arial" w:cs="Arial"/>
                      <w:b/>
                      <w:bCs/>
                      <w:sz w:val="22"/>
                      <w:szCs w:val="22"/>
                      <w:u w:val="single"/>
                    </w:rPr>
                  </w:pPr>
                  <w:r w:rsidRPr="00C31AF9">
                    <w:rPr>
                      <w:rFonts w:ascii="Arial" w:hAnsi="Arial" w:cs="Arial"/>
                      <w:b/>
                      <w:bCs/>
                      <w:sz w:val="22"/>
                      <w:szCs w:val="22"/>
                      <w:u w:val="single"/>
                    </w:rPr>
                    <w:t>Celkem včetně inflace</w:t>
                  </w:r>
                  <w:r w:rsidRPr="00C31AF9">
                    <w:rPr>
                      <w:rFonts w:ascii="Arial" w:hAnsi="Arial" w:cs="Arial"/>
                      <w:b/>
                      <w:bCs/>
                      <w:sz w:val="22"/>
                      <w:szCs w:val="22"/>
                    </w:rPr>
                    <w:footnoteReference w:id="1"/>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D350FA9"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80</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7A6B3F2"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81</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151ED75"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82</w:t>
                  </w:r>
                </w:p>
              </w:tc>
              <w:tc>
                <w:tcPr>
                  <w:tcW w:w="859"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F0F713A"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83</w:t>
                  </w:r>
                </w:p>
              </w:tc>
              <w:tc>
                <w:tcPr>
                  <w:tcW w:w="90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E77A219"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84</w:t>
                  </w:r>
                </w:p>
              </w:tc>
              <w:tc>
                <w:tcPr>
                  <w:tcW w:w="89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E9285B9" w14:textId="77777777" w:rsidR="0050596C" w:rsidRPr="00C31AF9" w:rsidRDefault="0050596C" w:rsidP="00706262">
                  <w:pPr>
                    <w:pStyle w:val="Zkladntext2"/>
                    <w:jc w:val="center"/>
                    <w:rPr>
                      <w:rFonts w:ascii="Arial" w:hAnsi="Arial" w:cs="Arial"/>
                      <w:sz w:val="22"/>
                      <w:szCs w:val="22"/>
                    </w:rPr>
                  </w:pPr>
                  <w:r w:rsidRPr="00C31AF9">
                    <w:rPr>
                      <w:rFonts w:ascii="Arial" w:hAnsi="Arial" w:cs="Arial"/>
                      <w:sz w:val="22"/>
                      <w:szCs w:val="22"/>
                    </w:rPr>
                    <w:t>…</w:t>
                  </w:r>
                </w:p>
              </w:tc>
            </w:tr>
          </w:tbl>
          <w:p w14:paraId="4ECC968B" w14:textId="77777777" w:rsidR="0050596C" w:rsidRPr="00C31AF9" w:rsidRDefault="0050596C" w:rsidP="00706262">
            <w:pPr>
              <w:pStyle w:val="Zkladntext2"/>
              <w:spacing w:after="120"/>
              <w:jc w:val="both"/>
              <w:rPr>
                <w:rFonts w:ascii="Arial" w:hAnsi="Arial" w:cs="Arial"/>
                <w:sz w:val="22"/>
                <w:szCs w:val="22"/>
              </w:rPr>
            </w:pPr>
          </w:p>
        </w:tc>
      </w:tr>
    </w:tbl>
    <w:p w14:paraId="4A334949" w14:textId="77777777" w:rsidR="0050596C" w:rsidRPr="00C31AF9" w:rsidRDefault="0050596C" w:rsidP="00706262">
      <w:pPr>
        <w:pStyle w:val="Zkladntext2"/>
        <w:spacing w:after="120"/>
        <w:rPr>
          <w:rFonts w:ascii="Arial" w:hAnsi="Arial" w:cs="Arial"/>
          <w:sz w:val="22"/>
          <w:szCs w:val="22"/>
        </w:rPr>
      </w:pPr>
    </w:p>
    <w:p w14:paraId="2C8F41F3"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Na jeden rok řešení jsou navrhovány účelové výdaje ve výši 80 mil. Kč, které vychází z předpokladu udělení cca 26-27 projektů každý rok a očekávané průměrné výdaje na jeden projekt ve výši 3 mil. Kč. Maximální výše výdajů navrhované skupiny grantových projektů v prvním roce činí 80 mil. Kč. Čerpání rozpočtu na projekty s dobou řešení delší než 1 rok bude řešeno např. formou tvorby nároků z nespotřebovaných výdajů na tuto skupinu grantových projektů vytvořených v prvním roce řešení víceletého projektu.</w:t>
      </w:r>
    </w:p>
    <w:p w14:paraId="0658BDAF" w14:textId="1F130108" w:rsidR="0050596C" w:rsidRDefault="0050596C" w:rsidP="00706262">
      <w:pPr>
        <w:pStyle w:val="Zkladntext2"/>
        <w:spacing w:after="120"/>
        <w:jc w:val="both"/>
        <w:rPr>
          <w:rFonts w:ascii="Arial" w:hAnsi="Arial" w:cs="Arial"/>
          <w:sz w:val="22"/>
          <w:szCs w:val="22"/>
        </w:rPr>
      </w:pPr>
      <w:r w:rsidRPr="00C31AF9">
        <w:rPr>
          <w:rFonts w:ascii="Arial" w:hAnsi="Arial" w:cs="Arial"/>
          <w:sz w:val="22"/>
          <w:szCs w:val="22"/>
        </w:rPr>
        <w:t xml:space="preserve">Odhad absorpční kapacity je založen na zkušenostech zahraničních agentur s programy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přičemž zohledňuje i projekty GA ČR s aplikačním potenciálem a rozsáhlý průzkum provedený GA ČR.</w:t>
      </w:r>
    </w:p>
    <w:p w14:paraId="371B585D" w14:textId="497252DB" w:rsidR="006E3E32" w:rsidRDefault="006E3E32" w:rsidP="00706262">
      <w:pPr>
        <w:pStyle w:val="Zkladntext2"/>
        <w:spacing w:after="120"/>
        <w:jc w:val="both"/>
        <w:rPr>
          <w:rFonts w:ascii="Arial" w:hAnsi="Arial" w:cs="Arial"/>
          <w:sz w:val="22"/>
          <w:szCs w:val="22"/>
        </w:rPr>
      </w:pPr>
    </w:p>
    <w:p w14:paraId="41E177F2" w14:textId="77777777" w:rsidR="006E3E32" w:rsidRPr="00C31AF9" w:rsidRDefault="006E3E32" w:rsidP="00706262">
      <w:pPr>
        <w:pStyle w:val="Zkladntext2"/>
        <w:spacing w:after="120"/>
        <w:jc w:val="both"/>
        <w:rPr>
          <w:rFonts w:ascii="Arial" w:hAnsi="Arial" w:cs="Arial"/>
          <w:sz w:val="22"/>
          <w:szCs w:val="22"/>
        </w:rPr>
      </w:pPr>
    </w:p>
    <w:tbl>
      <w:tblPr>
        <w:tblW w:w="9480" w:type="dxa"/>
        <w:tblCellMar>
          <w:left w:w="70" w:type="dxa"/>
          <w:right w:w="70" w:type="dxa"/>
        </w:tblCellMar>
        <w:tblLook w:val="04A0" w:firstRow="1" w:lastRow="0" w:firstColumn="1" w:lastColumn="0" w:noHBand="0" w:noVBand="1"/>
      </w:tblPr>
      <w:tblGrid>
        <w:gridCol w:w="4901"/>
        <w:gridCol w:w="763"/>
        <w:gridCol w:w="763"/>
        <w:gridCol w:w="763"/>
        <w:gridCol w:w="763"/>
        <w:gridCol w:w="763"/>
        <w:gridCol w:w="764"/>
      </w:tblGrid>
      <w:tr w:rsidR="0050596C" w:rsidRPr="00C31AF9" w14:paraId="414B85C2" w14:textId="77777777" w:rsidTr="00C63ED6">
        <w:trPr>
          <w:trHeight w:val="397"/>
        </w:trPr>
        <w:tc>
          <w:tcPr>
            <w:tcW w:w="9480" w:type="dxa"/>
            <w:gridSpan w:val="7"/>
            <w:tcBorders>
              <w:top w:val="single" w:sz="8" w:space="0" w:color="auto"/>
              <w:left w:val="single" w:sz="8" w:space="0" w:color="auto"/>
              <w:bottom w:val="single" w:sz="8" w:space="0" w:color="auto"/>
              <w:right w:val="single" w:sz="8" w:space="0" w:color="000000" w:themeColor="text1"/>
            </w:tcBorders>
            <w:shd w:val="clear" w:color="auto" w:fill="BFBFBF" w:themeFill="background1" w:themeFillShade="BF"/>
            <w:vAlign w:val="center"/>
            <w:hideMark/>
          </w:tcPr>
          <w:p w14:paraId="1571941B"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lastRenderedPageBreak/>
              <w:t>Předpokládaná absorpční kapacita v letech 2026–2030</w:t>
            </w:r>
          </w:p>
        </w:tc>
      </w:tr>
      <w:tr w:rsidR="0050596C" w:rsidRPr="00C31AF9" w14:paraId="5B496408" w14:textId="77777777" w:rsidTr="00C63ED6">
        <w:trPr>
          <w:trHeight w:val="397"/>
        </w:trPr>
        <w:tc>
          <w:tcPr>
            <w:tcW w:w="4901" w:type="dxa"/>
            <w:tcBorders>
              <w:top w:val="nil"/>
              <w:left w:val="single" w:sz="8" w:space="0" w:color="auto"/>
              <w:bottom w:val="single" w:sz="8" w:space="0" w:color="auto"/>
              <w:right w:val="single" w:sz="8" w:space="0" w:color="auto"/>
            </w:tcBorders>
            <w:shd w:val="clear" w:color="auto" w:fill="auto"/>
            <w:vAlign w:val="center"/>
            <w:hideMark/>
          </w:tcPr>
          <w:p w14:paraId="095734ED"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Roky zahájení řešení projektů</w:t>
            </w:r>
          </w:p>
        </w:tc>
        <w:tc>
          <w:tcPr>
            <w:tcW w:w="763" w:type="dxa"/>
            <w:tcBorders>
              <w:top w:val="nil"/>
              <w:left w:val="nil"/>
              <w:bottom w:val="single" w:sz="8" w:space="0" w:color="auto"/>
              <w:right w:val="single" w:sz="8" w:space="0" w:color="auto"/>
            </w:tcBorders>
            <w:shd w:val="clear" w:color="auto" w:fill="auto"/>
            <w:noWrap/>
            <w:vAlign w:val="center"/>
            <w:hideMark/>
          </w:tcPr>
          <w:p w14:paraId="71962C94"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2026</w:t>
            </w:r>
          </w:p>
        </w:tc>
        <w:tc>
          <w:tcPr>
            <w:tcW w:w="763" w:type="dxa"/>
            <w:tcBorders>
              <w:top w:val="nil"/>
              <w:left w:val="nil"/>
              <w:bottom w:val="single" w:sz="8" w:space="0" w:color="auto"/>
              <w:right w:val="single" w:sz="8" w:space="0" w:color="auto"/>
            </w:tcBorders>
            <w:shd w:val="clear" w:color="auto" w:fill="auto"/>
            <w:noWrap/>
            <w:vAlign w:val="center"/>
            <w:hideMark/>
          </w:tcPr>
          <w:p w14:paraId="29392AB8"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2027</w:t>
            </w:r>
          </w:p>
        </w:tc>
        <w:tc>
          <w:tcPr>
            <w:tcW w:w="763" w:type="dxa"/>
            <w:tcBorders>
              <w:top w:val="nil"/>
              <w:left w:val="nil"/>
              <w:bottom w:val="single" w:sz="8" w:space="0" w:color="auto"/>
              <w:right w:val="single" w:sz="8" w:space="0" w:color="auto"/>
            </w:tcBorders>
            <w:shd w:val="clear" w:color="auto" w:fill="auto"/>
            <w:noWrap/>
            <w:vAlign w:val="center"/>
            <w:hideMark/>
          </w:tcPr>
          <w:p w14:paraId="11289F8D"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2028</w:t>
            </w:r>
          </w:p>
        </w:tc>
        <w:tc>
          <w:tcPr>
            <w:tcW w:w="763" w:type="dxa"/>
            <w:tcBorders>
              <w:top w:val="nil"/>
              <w:left w:val="nil"/>
              <w:bottom w:val="single" w:sz="8" w:space="0" w:color="auto"/>
              <w:right w:val="single" w:sz="8" w:space="0" w:color="auto"/>
            </w:tcBorders>
            <w:shd w:val="clear" w:color="auto" w:fill="auto"/>
            <w:noWrap/>
            <w:vAlign w:val="center"/>
            <w:hideMark/>
          </w:tcPr>
          <w:p w14:paraId="5E7D9B5E"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2029</w:t>
            </w:r>
          </w:p>
        </w:tc>
        <w:tc>
          <w:tcPr>
            <w:tcW w:w="763" w:type="dxa"/>
            <w:tcBorders>
              <w:top w:val="nil"/>
              <w:left w:val="nil"/>
              <w:bottom w:val="single" w:sz="8" w:space="0" w:color="auto"/>
              <w:right w:val="single" w:sz="8" w:space="0" w:color="auto"/>
            </w:tcBorders>
            <w:shd w:val="clear" w:color="auto" w:fill="auto"/>
            <w:noWrap/>
            <w:vAlign w:val="center"/>
            <w:hideMark/>
          </w:tcPr>
          <w:p w14:paraId="13BE595E"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2030</w:t>
            </w:r>
          </w:p>
        </w:tc>
        <w:tc>
          <w:tcPr>
            <w:tcW w:w="764" w:type="dxa"/>
            <w:tcBorders>
              <w:top w:val="nil"/>
              <w:left w:val="nil"/>
              <w:bottom w:val="single" w:sz="8" w:space="0" w:color="auto"/>
              <w:right w:val="single" w:sz="8" w:space="0" w:color="auto"/>
            </w:tcBorders>
            <w:shd w:val="clear" w:color="auto" w:fill="auto"/>
            <w:vAlign w:val="center"/>
            <w:hideMark/>
          </w:tcPr>
          <w:p w14:paraId="08771410"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w:t>
            </w:r>
          </w:p>
        </w:tc>
      </w:tr>
      <w:tr w:rsidR="0050596C" w:rsidRPr="00C31AF9" w14:paraId="43D5A8B5" w14:textId="77777777" w:rsidTr="00C63ED6">
        <w:trPr>
          <w:trHeight w:val="397"/>
        </w:trPr>
        <w:tc>
          <w:tcPr>
            <w:tcW w:w="4901" w:type="dxa"/>
            <w:tcBorders>
              <w:top w:val="nil"/>
              <w:left w:val="single" w:sz="8" w:space="0" w:color="auto"/>
              <w:bottom w:val="single" w:sz="8" w:space="0" w:color="auto"/>
              <w:right w:val="single" w:sz="8" w:space="0" w:color="auto"/>
            </w:tcBorders>
            <w:shd w:val="clear" w:color="auto" w:fill="auto"/>
            <w:vAlign w:val="center"/>
            <w:hideMark/>
          </w:tcPr>
          <w:p w14:paraId="298F65EB"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Průměrné náklady na 1 projekt v mil. Kč</w:t>
            </w:r>
          </w:p>
        </w:tc>
        <w:tc>
          <w:tcPr>
            <w:tcW w:w="763" w:type="dxa"/>
            <w:tcBorders>
              <w:top w:val="nil"/>
              <w:left w:val="nil"/>
              <w:bottom w:val="single" w:sz="8" w:space="0" w:color="auto"/>
              <w:right w:val="single" w:sz="8" w:space="0" w:color="auto"/>
            </w:tcBorders>
            <w:shd w:val="clear" w:color="auto" w:fill="auto"/>
            <w:noWrap/>
            <w:vAlign w:val="center"/>
            <w:hideMark/>
          </w:tcPr>
          <w:p w14:paraId="7D45A822"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3</w:t>
            </w:r>
          </w:p>
        </w:tc>
        <w:tc>
          <w:tcPr>
            <w:tcW w:w="763" w:type="dxa"/>
            <w:tcBorders>
              <w:top w:val="nil"/>
              <w:left w:val="nil"/>
              <w:bottom w:val="single" w:sz="8" w:space="0" w:color="auto"/>
              <w:right w:val="single" w:sz="8" w:space="0" w:color="auto"/>
            </w:tcBorders>
            <w:shd w:val="clear" w:color="auto" w:fill="auto"/>
            <w:noWrap/>
            <w:vAlign w:val="center"/>
            <w:hideMark/>
          </w:tcPr>
          <w:p w14:paraId="7450104B"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3</w:t>
            </w:r>
          </w:p>
        </w:tc>
        <w:tc>
          <w:tcPr>
            <w:tcW w:w="763" w:type="dxa"/>
            <w:tcBorders>
              <w:top w:val="nil"/>
              <w:left w:val="nil"/>
              <w:bottom w:val="single" w:sz="8" w:space="0" w:color="auto"/>
              <w:right w:val="single" w:sz="8" w:space="0" w:color="auto"/>
            </w:tcBorders>
            <w:shd w:val="clear" w:color="auto" w:fill="auto"/>
            <w:noWrap/>
            <w:vAlign w:val="center"/>
            <w:hideMark/>
          </w:tcPr>
          <w:p w14:paraId="3E8DF579"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3</w:t>
            </w:r>
          </w:p>
        </w:tc>
        <w:tc>
          <w:tcPr>
            <w:tcW w:w="763" w:type="dxa"/>
            <w:tcBorders>
              <w:top w:val="nil"/>
              <w:left w:val="nil"/>
              <w:bottom w:val="single" w:sz="8" w:space="0" w:color="auto"/>
              <w:right w:val="single" w:sz="8" w:space="0" w:color="auto"/>
            </w:tcBorders>
            <w:shd w:val="clear" w:color="auto" w:fill="auto"/>
            <w:noWrap/>
            <w:vAlign w:val="center"/>
            <w:hideMark/>
          </w:tcPr>
          <w:p w14:paraId="670EEFE8"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3</w:t>
            </w:r>
          </w:p>
        </w:tc>
        <w:tc>
          <w:tcPr>
            <w:tcW w:w="763" w:type="dxa"/>
            <w:tcBorders>
              <w:top w:val="nil"/>
              <w:left w:val="nil"/>
              <w:bottom w:val="single" w:sz="8" w:space="0" w:color="auto"/>
              <w:right w:val="single" w:sz="8" w:space="0" w:color="auto"/>
            </w:tcBorders>
            <w:shd w:val="clear" w:color="auto" w:fill="auto"/>
            <w:noWrap/>
            <w:vAlign w:val="center"/>
            <w:hideMark/>
          </w:tcPr>
          <w:p w14:paraId="43168607"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3</w:t>
            </w:r>
          </w:p>
        </w:tc>
        <w:tc>
          <w:tcPr>
            <w:tcW w:w="764" w:type="dxa"/>
            <w:tcBorders>
              <w:top w:val="nil"/>
              <w:left w:val="nil"/>
              <w:bottom w:val="single" w:sz="8" w:space="0" w:color="auto"/>
              <w:right w:val="single" w:sz="8" w:space="0" w:color="auto"/>
            </w:tcBorders>
            <w:shd w:val="clear" w:color="auto" w:fill="auto"/>
            <w:vAlign w:val="center"/>
            <w:hideMark/>
          </w:tcPr>
          <w:p w14:paraId="52207FDA"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w:t>
            </w:r>
          </w:p>
        </w:tc>
      </w:tr>
      <w:tr w:rsidR="0050596C" w:rsidRPr="00C31AF9" w14:paraId="4B62A414" w14:textId="77777777" w:rsidTr="00C63ED6">
        <w:trPr>
          <w:trHeight w:val="397"/>
        </w:trPr>
        <w:tc>
          <w:tcPr>
            <w:tcW w:w="4901" w:type="dxa"/>
            <w:tcBorders>
              <w:top w:val="nil"/>
              <w:left w:val="single" w:sz="8" w:space="0" w:color="auto"/>
              <w:bottom w:val="single" w:sz="8" w:space="0" w:color="auto"/>
              <w:right w:val="single" w:sz="8" w:space="0" w:color="auto"/>
            </w:tcBorders>
            <w:shd w:val="clear" w:color="auto" w:fill="auto"/>
            <w:vAlign w:val="center"/>
            <w:hideMark/>
          </w:tcPr>
          <w:p w14:paraId="76B611C6" w14:textId="77777777" w:rsidR="0050596C" w:rsidRPr="00C31AF9" w:rsidRDefault="0050596C" w:rsidP="00706262">
            <w:pPr>
              <w:pStyle w:val="Zkladntext2"/>
              <w:spacing w:after="120"/>
              <w:jc w:val="both"/>
              <w:rPr>
                <w:rFonts w:ascii="Arial" w:hAnsi="Arial" w:cs="Arial"/>
                <w:b/>
                <w:bCs/>
                <w:sz w:val="22"/>
                <w:szCs w:val="22"/>
              </w:rPr>
            </w:pPr>
            <w:r w:rsidRPr="00C31AF9">
              <w:rPr>
                <w:rFonts w:ascii="Arial" w:hAnsi="Arial" w:cs="Arial"/>
                <w:b/>
                <w:sz w:val="22"/>
                <w:szCs w:val="22"/>
              </w:rPr>
              <w:t>Počet nově financovaných projektů</w:t>
            </w:r>
          </w:p>
        </w:tc>
        <w:tc>
          <w:tcPr>
            <w:tcW w:w="763" w:type="dxa"/>
            <w:tcBorders>
              <w:top w:val="nil"/>
              <w:left w:val="nil"/>
              <w:bottom w:val="single" w:sz="8" w:space="0" w:color="auto"/>
              <w:right w:val="single" w:sz="8" w:space="0" w:color="auto"/>
            </w:tcBorders>
            <w:shd w:val="clear" w:color="auto" w:fill="auto"/>
            <w:noWrap/>
            <w:vAlign w:val="center"/>
            <w:hideMark/>
          </w:tcPr>
          <w:p w14:paraId="41D4D9F5"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26</w:t>
            </w:r>
          </w:p>
        </w:tc>
        <w:tc>
          <w:tcPr>
            <w:tcW w:w="763" w:type="dxa"/>
            <w:tcBorders>
              <w:top w:val="nil"/>
              <w:left w:val="nil"/>
              <w:bottom w:val="single" w:sz="8" w:space="0" w:color="auto"/>
              <w:right w:val="single" w:sz="8" w:space="0" w:color="auto"/>
            </w:tcBorders>
            <w:shd w:val="clear" w:color="auto" w:fill="auto"/>
            <w:noWrap/>
            <w:vAlign w:val="center"/>
            <w:hideMark/>
          </w:tcPr>
          <w:p w14:paraId="1DBA5DC1"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26</w:t>
            </w:r>
          </w:p>
        </w:tc>
        <w:tc>
          <w:tcPr>
            <w:tcW w:w="763" w:type="dxa"/>
            <w:tcBorders>
              <w:top w:val="nil"/>
              <w:left w:val="nil"/>
              <w:bottom w:val="single" w:sz="8" w:space="0" w:color="auto"/>
              <w:right w:val="single" w:sz="8" w:space="0" w:color="auto"/>
            </w:tcBorders>
            <w:shd w:val="clear" w:color="auto" w:fill="auto"/>
            <w:noWrap/>
            <w:vAlign w:val="center"/>
            <w:hideMark/>
          </w:tcPr>
          <w:p w14:paraId="11AB6F1C"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26</w:t>
            </w:r>
          </w:p>
        </w:tc>
        <w:tc>
          <w:tcPr>
            <w:tcW w:w="763" w:type="dxa"/>
            <w:tcBorders>
              <w:top w:val="nil"/>
              <w:left w:val="nil"/>
              <w:bottom w:val="single" w:sz="8" w:space="0" w:color="auto"/>
              <w:right w:val="single" w:sz="8" w:space="0" w:color="auto"/>
            </w:tcBorders>
            <w:shd w:val="clear" w:color="auto" w:fill="auto"/>
            <w:noWrap/>
            <w:vAlign w:val="center"/>
            <w:hideMark/>
          </w:tcPr>
          <w:p w14:paraId="78D24F46"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26</w:t>
            </w:r>
          </w:p>
        </w:tc>
        <w:tc>
          <w:tcPr>
            <w:tcW w:w="763" w:type="dxa"/>
            <w:tcBorders>
              <w:top w:val="nil"/>
              <w:left w:val="nil"/>
              <w:bottom w:val="single" w:sz="8" w:space="0" w:color="auto"/>
              <w:right w:val="single" w:sz="8" w:space="0" w:color="auto"/>
            </w:tcBorders>
            <w:shd w:val="clear" w:color="auto" w:fill="auto"/>
            <w:noWrap/>
            <w:vAlign w:val="center"/>
            <w:hideMark/>
          </w:tcPr>
          <w:p w14:paraId="373822EC"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26</w:t>
            </w:r>
          </w:p>
        </w:tc>
        <w:tc>
          <w:tcPr>
            <w:tcW w:w="764" w:type="dxa"/>
            <w:tcBorders>
              <w:top w:val="nil"/>
              <w:left w:val="nil"/>
              <w:bottom w:val="single" w:sz="8" w:space="0" w:color="auto"/>
              <w:right w:val="single" w:sz="8" w:space="0" w:color="auto"/>
            </w:tcBorders>
            <w:shd w:val="clear" w:color="auto" w:fill="auto"/>
            <w:vAlign w:val="center"/>
            <w:hideMark/>
          </w:tcPr>
          <w:p w14:paraId="7FA08030"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w:t>
            </w:r>
          </w:p>
        </w:tc>
      </w:tr>
    </w:tbl>
    <w:p w14:paraId="223D69CF" w14:textId="77777777" w:rsidR="0050596C" w:rsidRPr="00C31AF9" w:rsidRDefault="0050596C" w:rsidP="00706262">
      <w:pPr>
        <w:pStyle w:val="Zkladntext2"/>
        <w:spacing w:after="120"/>
        <w:rPr>
          <w:rFonts w:ascii="Arial" w:hAnsi="Arial" w:cs="Arial"/>
          <w:b/>
          <w:sz w:val="22"/>
          <w:szCs w:val="22"/>
        </w:rPr>
      </w:pPr>
    </w:p>
    <w:p w14:paraId="1EC0AC35" w14:textId="77777777" w:rsidR="0050596C" w:rsidRPr="00C31AF9" w:rsidRDefault="0050596C" w:rsidP="00706262">
      <w:pPr>
        <w:pStyle w:val="Zkladntext2"/>
        <w:numPr>
          <w:ilvl w:val="0"/>
          <w:numId w:val="18"/>
        </w:numPr>
        <w:jc w:val="both"/>
        <w:rPr>
          <w:rFonts w:ascii="Arial" w:hAnsi="Arial" w:cs="Arial"/>
          <w:b/>
          <w:sz w:val="22"/>
          <w:szCs w:val="22"/>
        </w:rPr>
      </w:pPr>
      <w:r w:rsidRPr="00C31AF9">
        <w:rPr>
          <w:rFonts w:ascii="Arial" w:hAnsi="Arial" w:cs="Arial"/>
          <w:b/>
          <w:sz w:val="22"/>
          <w:szCs w:val="22"/>
          <w:u w:val="single"/>
        </w:rPr>
        <w:t>Vymezení způsobilých nákladů</w:t>
      </w:r>
    </w:p>
    <w:p w14:paraId="609B3A81"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Podpora bude poskytována na uznané náklady projektu, které jsou poskytovatelem níže vymezeny v souladu s § 2 odst. 2 písm. n) Zákona a v souladu s čl. 7 a 25 Nařízení a které budou příjemcem vynaloženy na činnosti úzce časově i věcně související s řešením daného projektu. Způsobilými náklady budou náklady zdůvodněné, účetně prokazatelné a z návrhu musí vyplývat jejich nezbytnost pro řešení grantového projektu. Uznanými náklady budou v souladu s § 2 odst. 2 písm. n) Zákona takové způsobilé náklady nebo výdaje, které poskytovatel schválí a které budou zdůvodněné.</w:t>
      </w:r>
    </w:p>
    <w:p w14:paraId="3E204B1E"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 xml:space="preserve">Vymezení způsobilých nákladů ve skupině grantových projektů </w:t>
      </w:r>
      <w:proofErr w:type="spellStart"/>
      <w:r w:rsidRPr="00C31AF9">
        <w:rPr>
          <w:rFonts w:ascii="Arial" w:hAnsi="Arial" w:cs="Arial"/>
          <w:sz w:val="22"/>
          <w:szCs w:val="22"/>
        </w:rPr>
        <w:t>PoC</w:t>
      </w:r>
      <w:proofErr w:type="spellEnd"/>
      <w:r w:rsidRPr="00C31AF9">
        <w:rPr>
          <w:rFonts w:ascii="Arial" w:hAnsi="Arial" w:cs="Arial"/>
          <w:sz w:val="22"/>
          <w:szCs w:val="22"/>
        </w:rPr>
        <w:t>:</w:t>
      </w:r>
    </w:p>
    <w:p w14:paraId="77EE9915" w14:textId="77777777" w:rsidR="0050596C" w:rsidRPr="00C31AF9" w:rsidRDefault="0050596C" w:rsidP="00706262">
      <w:pPr>
        <w:pStyle w:val="Zkladntext2"/>
        <w:numPr>
          <w:ilvl w:val="0"/>
          <w:numId w:val="19"/>
        </w:numPr>
        <w:spacing w:after="120"/>
        <w:ind w:left="993" w:hanging="283"/>
        <w:jc w:val="both"/>
        <w:rPr>
          <w:rFonts w:ascii="Arial" w:hAnsi="Arial" w:cs="Arial"/>
          <w:sz w:val="22"/>
          <w:szCs w:val="22"/>
        </w:rPr>
      </w:pPr>
      <w:r w:rsidRPr="00C31AF9">
        <w:rPr>
          <w:rFonts w:ascii="Arial" w:hAnsi="Arial" w:cs="Arial"/>
          <w:sz w:val="22"/>
          <w:szCs w:val="22"/>
        </w:rPr>
        <w:t xml:space="preserve">osobní náklady nebo výdaje, v rozsahu nezbytném pro účely řešení projektu (maximální výše úvazku řešitele/řešitelky je 0,2); </w:t>
      </w:r>
    </w:p>
    <w:p w14:paraId="1773BD02" w14:textId="77777777" w:rsidR="0050596C" w:rsidRPr="00C31AF9" w:rsidRDefault="0050596C" w:rsidP="00706262">
      <w:pPr>
        <w:pStyle w:val="Zkladntext2"/>
        <w:numPr>
          <w:ilvl w:val="0"/>
          <w:numId w:val="19"/>
        </w:numPr>
        <w:spacing w:after="120"/>
        <w:ind w:left="993" w:hanging="283"/>
        <w:jc w:val="both"/>
        <w:rPr>
          <w:rFonts w:ascii="Arial" w:hAnsi="Arial" w:cs="Arial"/>
          <w:sz w:val="22"/>
          <w:szCs w:val="22"/>
        </w:rPr>
      </w:pPr>
      <w:r w:rsidRPr="00C31AF9">
        <w:rPr>
          <w:rFonts w:ascii="Arial" w:hAnsi="Arial" w:cs="Arial"/>
          <w:sz w:val="22"/>
          <w:szCs w:val="22"/>
        </w:rPr>
        <w:t xml:space="preserve">další provozní náklady nebo výdaje; </w:t>
      </w:r>
    </w:p>
    <w:p w14:paraId="4E26AB4D" w14:textId="77777777" w:rsidR="0050596C" w:rsidRPr="00C31AF9" w:rsidRDefault="0050596C" w:rsidP="00706262">
      <w:pPr>
        <w:pStyle w:val="Zkladntext2"/>
        <w:numPr>
          <w:ilvl w:val="0"/>
          <w:numId w:val="19"/>
        </w:numPr>
        <w:spacing w:after="120"/>
        <w:ind w:left="993" w:hanging="283"/>
        <w:jc w:val="both"/>
        <w:rPr>
          <w:rFonts w:ascii="Arial" w:hAnsi="Arial" w:cs="Arial"/>
          <w:sz w:val="22"/>
          <w:szCs w:val="22"/>
        </w:rPr>
      </w:pPr>
      <w:r w:rsidRPr="00C31AF9">
        <w:rPr>
          <w:rFonts w:ascii="Arial" w:hAnsi="Arial" w:cs="Arial"/>
          <w:sz w:val="22"/>
          <w:szCs w:val="22"/>
        </w:rPr>
        <w:t xml:space="preserve">náklady nebo výdaje na služby (například: zpracování analýzy trhu, zpracování byznys plánu, zajištění ochrany duševního vlastnictví, ověření v poloprovozu atd., cestovné, pokud je to pro projekt relevantní (účast na konferencích a workshopech není relevantní));  </w:t>
      </w:r>
    </w:p>
    <w:p w14:paraId="3C867DF1" w14:textId="4C9D3CDA" w:rsidR="0050596C" w:rsidRPr="00C31AF9" w:rsidRDefault="0050596C" w:rsidP="00706262">
      <w:pPr>
        <w:pStyle w:val="Zkladntext2"/>
        <w:numPr>
          <w:ilvl w:val="0"/>
          <w:numId w:val="19"/>
        </w:numPr>
        <w:spacing w:after="120"/>
        <w:ind w:left="993" w:hanging="283"/>
        <w:jc w:val="both"/>
        <w:rPr>
          <w:rFonts w:ascii="Arial" w:hAnsi="Arial" w:cs="Arial"/>
          <w:sz w:val="22"/>
          <w:szCs w:val="22"/>
        </w:rPr>
      </w:pPr>
      <w:r w:rsidRPr="00C31AF9">
        <w:rPr>
          <w:rFonts w:ascii="Arial" w:hAnsi="Arial" w:cs="Arial"/>
          <w:sz w:val="22"/>
          <w:szCs w:val="22"/>
        </w:rPr>
        <w:t>doplňkové náklady nebo výdaje vzniklé v pří</w:t>
      </w:r>
      <w:r w:rsidR="00443619">
        <w:rPr>
          <w:rFonts w:ascii="Arial" w:hAnsi="Arial" w:cs="Arial"/>
          <w:sz w:val="22"/>
          <w:szCs w:val="22"/>
        </w:rPr>
        <w:t>mé časové a věcné souvislosti s </w:t>
      </w:r>
      <w:r w:rsidRPr="00C31AF9">
        <w:rPr>
          <w:rFonts w:ascii="Arial" w:hAnsi="Arial" w:cs="Arial"/>
          <w:sz w:val="22"/>
          <w:szCs w:val="22"/>
        </w:rPr>
        <w:t>řešením projektu a jejichž vynaložení přispělo k realizaci projektu, jejichž celková výše nepřesáhne 25 % součtu nákladů nebo výdajů projektu podle odstavce 1., 2. a 3. tohoto článku (v rámci doplňkových nákladů je</w:t>
      </w:r>
      <w:r w:rsidR="00443619">
        <w:rPr>
          <w:rFonts w:ascii="Arial" w:hAnsi="Arial" w:cs="Arial"/>
          <w:sz w:val="22"/>
          <w:szCs w:val="22"/>
        </w:rPr>
        <w:t xml:space="preserve"> možné hradit náklady na péči o </w:t>
      </w:r>
      <w:r w:rsidRPr="00C31AF9">
        <w:rPr>
          <w:rFonts w:ascii="Arial" w:hAnsi="Arial" w:cs="Arial"/>
          <w:sz w:val="22"/>
          <w:szCs w:val="22"/>
        </w:rPr>
        <w:t>dítě, popřípadě další osoby blízké závislé na péči, osob podílejících se na řešení projektu).</w:t>
      </w:r>
    </w:p>
    <w:p w14:paraId="0E9A5FA5" w14:textId="77777777" w:rsidR="0050596C" w:rsidRPr="00C31AF9" w:rsidRDefault="0050596C" w:rsidP="00706262">
      <w:pPr>
        <w:pStyle w:val="Zkladntext2"/>
        <w:numPr>
          <w:ilvl w:val="0"/>
          <w:numId w:val="18"/>
        </w:numPr>
        <w:spacing w:after="120"/>
        <w:jc w:val="both"/>
        <w:rPr>
          <w:rFonts w:ascii="Arial" w:hAnsi="Arial" w:cs="Arial"/>
          <w:b/>
          <w:sz w:val="22"/>
          <w:szCs w:val="22"/>
        </w:rPr>
      </w:pPr>
      <w:r w:rsidRPr="00C31AF9">
        <w:rPr>
          <w:rFonts w:ascii="Arial" w:hAnsi="Arial" w:cs="Arial"/>
          <w:b/>
          <w:sz w:val="22"/>
          <w:szCs w:val="22"/>
          <w:u w:val="single"/>
        </w:rPr>
        <w:t>Specifikace cílů Programu, jejich odůvodnění a způsob dosažení, přínosy a očekávané výsledky, srovnání se současným stavem v České republice a zahraničí</w:t>
      </w:r>
    </w:p>
    <w:p w14:paraId="5353EF4B" w14:textId="77777777" w:rsidR="0050596C" w:rsidRPr="00C31AF9" w:rsidRDefault="0050596C" w:rsidP="00706262">
      <w:pPr>
        <w:pStyle w:val="Zkladntext2"/>
        <w:spacing w:after="120"/>
        <w:jc w:val="both"/>
        <w:rPr>
          <w:rFonts w:ascii="Arial" w:hAnsi="Arial" w:cs="Arial"/>
          <w:b/>
          <w:sz w:val="22"/>
          <w:szCs w:val="22"/>
          <w:u w:val="single"/>
        </w:rPr>
      </w:pPr>
      <w:r w:rsidRPr="00C31AF9">
        <w:rPr>
          <w:rFonts w:ascii="Arial" w:hAnsi="Arial" w:cs="Arial"/>
          <w:b/>
          <w:sz w:val="22"/>
          <w:szCs w:val="22"/>
          <w:u w:val="single"/>
        </w:rPr>
        <w:t xml:space="preserve">Cíle Programu </w:t>
      </w:r>
    </w:p>
    <w:p w14:paraId="560FEC7B" w14:textId="19A1465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 xml:space="preserve">Skupina grantových projektů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w:t>
      </w:r>
      <w:r w:rsidR="00F91BE2">
        <w:rPr>
          <w:rFonts w:ascii="Arial" w:hAnsi="Arial" w:cs="Arial"/>
          <w:sz w:val="22"/>
          <w:szCs w:val="22"/>
        </w:rPr>
        <w:t>má být</w:t>
      </w:r>
      <w:r w:rsidR="00F91BE2" w:rsidRPr="00C31AF9">
        <w:rPr>
          <w:rFonts w:ascii="Arial" w:hAnsi="Arial" w:cs="Arial"/>
          <w:sz w:val="22"/>
          <w:szCs w:val="22"/>
        </w:rPr>
        <w:t xml:space="preserve"> </w:t>
      </w:r>
      <w:r w:rsidRPr="00C31AF9">
        <w:rPr>
          <w:rFonts w:ascii="Arial" w:hAnsi="Arial" w:cs="Arial"/>
          <w:sz w:val="22"/>
          <w:szCs w:val="22"/>
        </w:rPr>
        <w:t>základním kamenem pro podporu inovací a přenos vědeckých poznatků z excelentního základn</w:t>
      </w:r>
      <w:r w:rsidR="00443619">
        <w:rPr>
          <w:rFonts w:ascii="Arial" w:hAnsi="Arial" w:cs="Arial"/>
          <w:sz w:val="22"/>
          <w:szCs w:val="22"/>
        </w:rPr>
        <w:t>ího výzkumu k dalšímu využití a </w:t>
      </w:r>
      <w:r w:rsidRPr="00C31AF9">
        <w:rPr>
          <w:rFonts w:ascii="Arial" w:hAnsi="Arial" w:cs="Arial"/>
          <w:sz w:val="22"/>
          <w:szCs w:val="22"/>
        </w:rPr>
        <w:t>rozvoji. Budou podporovány projekty, které přímo navazují na řešení konkrétních výzkumných projektů financovaných GA ČR.</w:t>
      </w:r>
    </w:p>
    <w:p w14:paraId="3BF01B87"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Mezi cíle této skupiny grantových projektů patří:</w:t>
      </w:r>
    </w:p>
    <w:p w14:paraId="055CD2A7"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Využití komerčního či společenského potenciálu inovací vzniklých v průběhu řešení projektů GA ČR.</w:t>
      </w:r>
    </w:p>
    <w:p w14:paraId="550A0484"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Usnadnění transferu znalostí vzniklých při řešení projektů excelentního základního výzkumu.</w:t>
      </w:r>
    </w:p>
    <w:p w14:paraId="7C5C3077"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Usnadnění propojení základního a aplikovaného výzkumu.</w:t>
      </w:r>
    </w:p>
    <w:p w14:paraId="77BC3060"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Zefektivnění financování české vědy tím, že poskytne cestu k využití podpořených výsledků, včetně komercializace.</w:t>
      </w:r>
    </w:p>
    <w:p w14:paraId="0998C97D"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lastRenderedPageBreak/>
        <w:t>Odstranění překážky, kdy myšlenka s vysokým inovačním potenciálem kvůli vysoké míře nejistoty jejího uplatnění nemá šanci získat soukromého investora anebo přímé uplatnění.</w:t>
      </w:r>
    </w:p>
    <w:p w14:paraId="45768891"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Přispění k rozvoji nových produktů, technologií a služeb, které mohou mít značný hospodářský a společenský vliv.</w:t>
      </w:r>
    </w:p>
    <w:p w14:paraId="6F61F971"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Zvýšení šance řešitelů a řešitelek projektů, resp. příjemců na budoucí získání finanční podpory a investic ze soukromého sektoru.</w:t>
      </w:r>
    </w:p>
    <w:p w14:paraId="1CAB4AEE"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Obohacení grantového ekosystému ČR o stabilní druh podpory vedoucí od základního výzkumu k inovacím.</w:t>
      </w:r>
    </w:p>
    <w:p w14:paraId="72664F12" w14:textId="77777777" w:rsidR="0050596C" w:rsidRPr="00C31AF9" w:rsidRDefault="0050596C" w:rsidP="00706262">
      <w:pPr>
        <w:pStyle w:val="Zkladntext2"/>
        <w:numPr>
          <w:ilvl w:val="0"/>
          <w:numId w:val="27"/>
        </w:numPr>
        <w:spacing w:after="120"/>
        <w:jc w:val="both"/>
        <w:rPr>
          <w:rFonts w:ascii="Arial" w:hAnsi="Arial" w:cs="Arial"/>
          <w:sz w:val="22"/>
          <w:szCs w:val="22"/>
        </w:rPr>
      </w:pPr>
      <w:r w:rsidRPr="00C31AF9">
        <w:rPr>
          <w:rFonts w:ascii="Arial" w:hAnsi="Arial" w:cs="Arial"/>
          <w:sz w:val="22"/>
          <w:szCs w:val="22"/>
        </w:rPr>
        <w:t>Podpoření větší otevřenosti vědců a vědkyň základního výzkumu k uplatnění svých poznatků v praxi díky podpoře získání zkušeností v této oblasti.</w:t>
      </w:r>
    </w:p>
    <w:p w14:paraId="59F451BC"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Cílem jednotlivých projektů bude ověřit praktickou životaschopnost a proveditelnost nápadů a konceptů vzešlých z projektů základního výzkumu a potenciál jejich implementace ve formě inovací. Může se jednat o inovace jak technické (výrobky, technologie), tak inovace společenské). Předpokládá se dosažení úrovně technologické, resp. společenské připravenosti (TRL/SRL) na úrovni alespoň TRL 3 v případě komerčních inovací, resp. SRL 3 v případě sociálních inovací. Součástí projektů je i zpracování plánu potenciální komercializace tak, aby byly atraktivní například pro soukromého investora.</w:t>
      </w:r>
    </w:p>
    <w:p w14:paraId="275D6B00" w14:textId="77777777" w:rsidR="0050596C" w:rsidRPr="00C31AF9" w:rsidRDefault="0050596C" w:rsidP="00706262">
      <w:pPr>
        <w:pStyle w:val="Zkladntext2"/>
        <w:spacing w:after="120"/>
        <w:jc w:val="both"/>
        <w:rPr>
          <w:rFonts w:ascii="Arial" w:hAnsi="Arial" w:cs="Arial"/>
          <w:b/>
          <w:sz w:val="22"/>
          <w:szCs w:val="22"/>
          <w:u w:val="single"/>
        </w:rPr>
      </w:pPr>
      <w:r w:rsidRPr="00C31AF9">
        <w:rPr>
          <w:rFonts w:ascii="Arial" w:hAnsi="Arial" w:cs="Arial"/>
          <w:b/>
          <w:sz w:val="22"/>
          <w:szCs w:val="22"/>
          <w:u w:val="single"/>
        </w:rPr>
        <w:t>Kritéria a splnění cílů Programu</w:t>
      </w:r>
    </w:p>
    <w:p w14:paraId="45DE9F23"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V souladu se Základními principy přípravy a hodnocení programů a skupin grantových projektů výzkumu, vývoje a inovací budou sledovány tyto indikátory:</w:t>
      </w:r>
    </w:p>
    <w:p w14:paraId="088BEE24" w14:textId="77777777" w:rsidR="0050596C" w:rsidRPr="00C31AF9" w:rsidRDefault="0050596C" w:rsidP="00706262">
      <w:pPr>
        <w:pStyle w:val="Zkladntext2"/>
        <w:numPr>
          <w:ilvl w:val="0"/>
          <w:numId w:val="25"/>
        </w:numPr>
        <w:spacing w:after="120"/>
        <w:jc w:val="both"/>
        <w:rPr>
          <w:rFonts w:ascii="Arial" w:hAnsi="Arial" w:cs="Arial"/>
          <w:sz w:val="22"/>
          <w:szCs w:val="22"/>
        </w:rPr>
      </w:pPr>
      <w:r w:rsidRPr="00C31AF9">
        <w:rPr>
          <w:rFonts w:ascii="Arial" w:hAnsi="Arial" w:cs="Arial"/>
          <w:sz w:val="22"/>
          <w:szCs w:val="22"/>
        </w:rPr>
        <w:t>inovační přínos – přechod myšlenky základního výzkumu do aplikovaného (pokračování projektů v aplikačním výzkumu – výzvách pro aplikovaný výzkum);</w:t>
      </w:r>
    </w:p>
    <w:p w14:paraId="7B3B882F" w14:textId="77777777" w:rsidR="0050596C" w:rsidRPr="00C31AF9" w:rsidRDefault="0050596C" w:rsidP="00706262">
      <w:pPr>
        <w:pStyle w:val="Zkladntext2"/>
        <w:numPr>
          <w:ilvl w:val="0"/>
          <w:numId w:val="25"/>
        </w:numPr>
        <w:spacing w:after="120"/>
        <w:jc w:val="both"/>
        <w:rPr>
          <w:rFonts w:ascii="Arial" w:hAnsi="Arial" w:cs="Arial"/>
          <w:sz w:val="22"/>
          <w:szCs w:val="22"/>
        </w:rPr>
      </w:pPr>
      <w:r w:rsidRPr="00C31AF9">
        <w:rPr>
          <w:rFonts w:ascii="Arial" w:hAnsi="Arial" w:cs="Arial"/>
          <w:sz w:val="22"/>
          <w:szCs w:val="22"/>
        </w:rPr>
        <w:t xml:space="preserve">přínos pro komerční sféru a společnost – dopad dosažených výsledků – např. úspěšné zavedení inovace do praxe, patenty či licenční platformy, vznik </w:t>
      </w:r>
      <w:proofErr w:type="spellStart"/>
      <w:r w:rsidRPr="00C31AF9">
        <w:rPr>
          <w:rFonts w:ascii="Arial" w:hAnsi="Arial" w:cs="Arial"/>
          <w:sz w:val="22"/>
          <w:szCs w:val="22"/>
        </w:rPr>
        <w:t>startupů</w:t>
      </w:r>
      <w:proofErr w:type="spellEnd"/>
      <w:r w:rsidRPr="00C31AF9">
        <w:rPr>
          <w:rFonts w:ascii="Arial" w:hAnsi="Arial" w:cs="Arial"/>
          <w:sz w:val="22"/>
          <w:szCs w:val="22"/>
        </w:rPr>
        <w:t xml:space="preserve"> a aplikace inovace v praxi;</w:t>
      </w:r>
    </w:p>
    <w:p w14:paraId="35E45A40" w14:textId="77777777" w:rsidR="0050596C" w:rsidRPr="00C31AF9" w:rsidRDefault="0050596C" w:rsidP="00706262">
      <w:pPr>
        <w:pStyle w:val="Zkladntext2"/>
        <w:numPr>
          <w:ilvl w:val="0"/>
          <w:numId w:val="25"/>
        </w:numPr>
        <w:spacing w:after="120"/>
        <w:jc w:val="both"/>
        <w:rPr>
          <w:rFonts w:ascii="Arial" w:hAnsi="Arial" w:cs="Arial"/>
          <w:sz w:val="22"/>
          <w:szCs w:val="22"/>
        </w:rPr>
      </w:pPr>
      <w:r w:rsidRPr="00C31AF9">
        <w:rPr>
          <w:rFonts w:ascii="Arial" w:hAnsi="Arial" w:cs="Arial"/>
          <w:sz w:val="22"/>
          <w:szCs w:val="22"/>
        </w:rPr>
        <w:t xml:space="preserve">kvalita dosažených výsledků definovaných v souladu s Metodikou 2017+; </w:t>
      </w:r>
    </w:p>
    <w:p w14:paraId="146727BD" w14:textId="77777777" w:rsidR="0050596C" w:rsidRPr="00C31AF9" w:rsidRDefault="0050596C" w:rsidP="00706262">
      <w:pPr>
        <w:pStyle w:val="Zkladntext2"/>
        <w:numPr>
          <w:ilvl w:val="0"/>
          <w:numId w:val="25"/>
        </w:numPr>
        <w:spacing w:after="120"/>
        <w:jc w:val="both"/>
        <w:rPr>
          <w:rFonts w:ascii="Arial" w:hAnsi="Arial" w:cs="Arial"/>
          <w:sz w:val="22"/>
          <w:szCs w:val="22"/>
        </w:rPr>
      </w:pPr>
      <w:r w:rsidRPr="00C31AF9">
        <w:rPr>
          <w:rFonts w:ascii="Arial" w:hAnsi="Arial" w:cs="Arial"/>
          <w:sz w:val="22"/>
          <w:szCs w:val="22"/>
        </w:rPr>
        <w:t>čerpání finančních prostředků a efektivita jejich využití.</w:t>
      </w:r>
    </w:p>
    <w:p w14:paraId="546C3302"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Dále bude vyhodnocován poměr mužů a žen v roli řešitelů/řešitelek projektů a vliv na plnění cílů priorit orientovaného VaVaI.</w:t>
      </w:r>
    </w:p>
    <w:p w14:paraId="55EDBA27" w14:textId="293E081F"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 xml:space="preserve">Po pěti letech od ukončení řešení prvních projektů </w:t>
      </w:r>
      <w:r w:rsidR="00F91BE2">
        <w:rPr>
          <w:rFonts w:ascii="Arial" w:hAnsi="Arial" w:cs="Arial"/>
          <w:sz w:val="22"/>
          <w:szCs w:val="22"/>
        </w:rPr>
        <w:t>má být</w:t>
      </w:r>
      <w:r w:rsidR="00F91BE2" w:rsidRPr="00C31AF9">
        <w:rPr>
          <w:rFonts w:ascii="Arial" w:hAnsi="Arial" w:cs="Arial"/>
          <w:sz w:val="22"/>
          <w:szCs w:val="22"/>
        </w:rPr>
        <w:t xml:space="preserve"> </w:t>
      </w:r>
      <w:r w:rsidRPr="00C31AF9">
        <w:rPr>
          <w:rFonts w:ascii="Arial" w:hAnsi="Arial" w:cs="Arial"/>
          <w:sz w:val="22"/>
          <w:szCs w:val="22"/>
        </w:rPr>
        <w:t xml:space="preserve">proveden první monitoring nastavených indikátorů </w:t>
      </w:r>
      <w:proofErr w:type="spellStart"/>
      <w:r w:rsidRPr="00C31AF9">
        <w:rPr>
          <w:rFonts w:ascii="Arial" w:hAnsi="Arial" w:cs="Arial"/>
          <w:sz w:val="22"/>
          <w:szCs w:val="22"/>
        </w:rPr>
        <w:t>PoC</w:t>
      </w:r>
      <w:proofErr w:type="spellEnd"/>
      <w:r w:rsidRPr="00C31AF9">
        <w:rPr>
          <w:rFonts w:ascii="Arial" w:hAnsi="Arial" w:cs="Arial"/>
          <w:sz w:val="22"/>
          <w:szCs w:val="22"/>
        </w:rPr>
        <w:t xml:space="preserve">, následně </w:t>
      </w:r>
      <w:r w:rsidR="00F91BE2">
        <w:rPr>
          <w:rFonts w:ascii="Arial" w:hAnsi="Arial" w:cs="Arial"/>
          <w:sz w:val="22"/>
          <w:szCs w:val="22"/>
        </w:rPr>
        <w:t>mají být</w:t>
      </w:r>
      <w:r w:rsidR="00F91BE2" w:rsidRPr="00C31AF9">
        <w:rPr>
          <w:rFonts w:ascii="Arial" w:hAnsi="Arial" w:cs="Arial"/>
          <w:sz w:val="22"/>
          <w:szCs w:val="22"/>
        </w:rPr>
        <w:t xml:space="preserve"> </w:t>
      </w:r>
      <w:r w:rsidRPr="00C31AF9">
        <w:rPr>
          <w:rFonts w:ascii="Arial" w:hAnsi="Arial" w:cs="Arial"/>
          <w:sz w:val="22"/>
          <w:szCs w:val="22"/>
        </w:rPr>
        <w:t xml:space="preserve">průběžná vyhodnocení vypracovávána v tříletých intervalech. </w:t>
      </w:r>
    </w:p>
    <w:p w14:paraId="1C0B4FA0" w14:textId="77777777" w:rsidR="0050596C" w:rsidRPr="00C31AF9" w:rsidRDefault="0050596C" w:rsidP="00706262">
      <w:pPr>
        <w:pStyle w:val="Zkladntext2"/>
        <w:spacing w:after="120"/>
        <w:jc w:val="both"/>
        <w:rPr>
          <w:rFonts w:ascii="Arial" w:hAnsi="Arial" w:cs="Arial"/>
          <w:sz w:val="22"/>
          <w:szCs w:val="22"/>
        </w:rPr>
      </w:pPr>
      <w:r w:rsidRPr="00C31AF9">
        <w:rPr>
          <w:rFonts w:ascii="Arial" w:hAnsi="Arial" w:cs="Arial"/>
          <w:sz w:val="22"/>
          <w:szCs w:val="22"/>
        </w:rPr>
        <w:t xml:space="preserve">V souladu s povahou výsledků v základním výzkumu a vzhledem k povaze projektů </w:t>
      </w:r>
      <w:proofErr w:type="spellStart"/>
      <w:r w:rsidRPr="00C31AF9">
        <w:rPr>
          <w:rFonts w:ascii="Arial" w:hAnsi="Arial" w:cs="Arial"/>
          <w:sz w:val="22"/>
          <w:szCs w:val="22"/>
        </w:rPr>
        <w:t>PoC</w:t>
      </w:r>
      <w:proofErr w:type="spellEnd"/>
      <w:r w:rsidRPr="00C31AF9">
        <w:rPr>
          <w:rFonts w:ascii="Arial" w:hAnsi="Arial" w:cs="Arial"/>
          <w:sz w:val="22"/>
          <w:szCs w:val="22"/>
        </w:rPr>
        <w:t xml:space="preserve"> bude za splnění cílů skupiny grantových projektů považováno úspěšné ukončení (tj. projekt bude klasifikován jako „splněn“) 60 % řešených projektů. </w:t>
      </w:r>
    </w:p>
    <w:p w14:paraId="78FA5E5A" w14:textId="77777777" w:rsidR="0050596C" w:rsidRPr="00C31AF9" w:rsidRDefault="0050596C" w:rsidP="00706262">
      <w:pPr>
        <w:pStyle w:val="Zkladntext2"/>
        <w:spacing w:after="120"/>
        <w:jc w:val="both"/>
        <w:rPr>
          <w:rFonts w:ascii="Arial" w:hAnsi="Arial" w:cs="Arial"/>
          <w:bCs/>
          <w:sz w:val="22"/>
          <w:szCs w:val="22"/>
        </w:rPr>
      </w:pPr>
      <w:r w:rsidRPr="00C31AF9">
        <w:rPr>
          <w:rFonts w:ascii="Arial" w:hAnsi="Arial" w:cs="Arial"/>
          <w:bCs/>
          <w:sz w:val="22"/>
          <w:szCs w:val="22"/>
        </w:rPr>
        <w:t>Na základě posouzení, do jaké míry byly naplňovány výše popsané hlavní a dílčí cíle této skupiny grantových projektů, budou navrženy případné změny nebo úpravy této skupiny grantových projektů, a to buď formou úpravy zadávací dokumentace, nebo změnou tohoto vládního materiálu.</w:t>
      </w:r>
    </w:p>
    <w:p w14:paraId="514105EC" w14:textId="6C2F25BC" w:rsidR="00C31AF9" w:rsidRPr="00C31AF9" w:rsidRDefault="00C31AF9" w:rsidP="00706262">
      <w:pPr>
        <w:pStyle w:val="Odstavecseseznamem"/>
        <w:numPr>
          <w:ilvl w:val="0"/>
          <w:numId w:val="1"/>
        </w:numPr>
        <w:spacing w:after="120"/>
        <w:contextualSpacing w:val="0"/>
        <w:rPr>
          <w:rFonts w:ascii="Arial" w:hAnsi="Arial" w:cs="Arial"/>
          <w:b/>
          <w:color w:val="0070C0"/>
          <w:sz w:val="22"/>
          <w:szCs w:val="22"/>
        </w:rPr>
      </w:pPr>
      <w:r w:rsidRPr="00C31AF9">
        <w:rPr>
          <w:rFonts w:ascii="Arial" w:hAnsi="Arial" w:cs="Arial"/>
          <w:b/>
          <w:color w:val="0070C0"/>
          <w:sz w:val="22"/>
          <w:szCs w:val="22"/>
        </w:rPr>
        <w:t>Obecná kritéria hodnocení návrhů projektů:</w:t>
      </w:r>
    </w:p>
    <w:p w14:paraId="608AC757" w14:textId="77777777" w:rsidR="00C31AF9" w:rsidRPr="00C31AF9" w:rsidRDefault="00C31AF9" w:rsidP="00706262">
      <w:pPr>
        <w:spacing w:after="120"/>
        <w:jc w:val="both"/>
        <w:rPr>
          <w:rFonts w:ascii="Arial" w:hAnsi="Arial" w:cs="Arial"/>
          <w:sz w:val="22"/>
          <w:szCs w:val="22"/>
        </w:rPr>
      </w:pPr>
      <w:r w:rsidRPr="00C31AF9">
        <w:rPr>
          <w:rFonts w:ascii="Arial" w:hAnsi="Arial" w:cs="Arial"/>
          <w:sz w:val="22"/>
          <w:szCs w:val="22"/>
        </w:rPr>
        <w:t xml:space="preserve">Projekty </w:t>
      </w:r>
      <w:proofErr w:type="spellStart"/>
      <w:r w:rsidRPr="00C31AF9">
        <w:rPr>
          <w:rFonts w:ascii="Arial" w:hAnsi="Arial" w:cs="Arial"/>
          <w:sz w:val="22"/>
          <w:szCs w:val="22"/>
        </w:rPr>
        <w:t>PoC</w:t>
      </w:r>
      <w:proofErr w:type="spellEnd"/>
      <w:r w:rsidRPr="00C31AF9">
        <w:rPr>
          <w:rFonts w:ascii="Arial" w:hAnsi="Arial" w:cs="Arial"/>
          <w:sz w:val="22"/>
          <w:szCs w:val="22"/>
        </w:rPr>
        <w:t xml:space="preserve"> se hodnotí na základě </w:t>
      </w:r>
      <w:r w:rsidRPr="00C31AF9">
        <w:rPr>
          <w:rFonts w:ascii="Arial" w:hAnsi="Arial" w:cs="Arial"/>
          <w:b/>
          <w:bCs/>
          <w:sz w:val="22"/>
          <w:szCs w:val="22"/>
        </w:rPr>
        <w:t>kritéria kvality</w:t>
      </w:r>
      <w:r w:rsidRPr="00C31AF9">
        <w:rPr>
          <w:rFonts w:ascii="Arial" w:hAnsi="Arial" w:cs="Arial"/>
          <w:sz w:val="22"/>
          <w:szCs w:val="22"/>
        </w:rPr>
        <w:t xml:space="preserve">, které se skládá z následujících tří oblastí: </w:t>
      </w:r>
    </w:p>
    <w:p w14:paraId="098555A5" w14:textId="77777777" w:rsidR="00C31AF9" w:rsidRPr="00C31AF9" w:rsidRDefault="00C31AF9" w:rsidP="00706262">
      <w:pPr>
        <w:pStyle w:val="Odstavecseseznamem"/>
        <w:numPr>
          <w:ilvl w:val="0"/>
          <w:numId w:val="37"/>
        </w:numPr>
        <w:suppressAutoHyphens/>
        <w:autoSpaceDN w:val="0"/>
        <w:spacing w:after="120" w:line="257" w:lineRule="auto"/>
        <w:ind w:left="425" w:hanging="357"/>
        <w:contextualSpacing w:val="0"/>
        <w:jc w:val="both"/>
        <w:rPr>
          <w:rFonts w:ascii="Arial" w:hAnsi="Arial" w:cs="Arial"/>
          <w:sz w:val="22"/>
          <w:szCs w:val="22"/>
        </w:rPr>
      </w:pPr>
      <w:r w:rsidRPr="00C31AF9">
        <w:rPr>
          <w:rFonts w:ascii="Arial" w:hAnsi="Arial" w:cs="Arial"/>
          <w:b/>
          <w:bCs/>
          <w:sz w:val="22"/>
          <w:szCs w:val="22"/>
        </w:rPr>
        <w:t>Inovační potenciál</w:t>
      </w:r>
      <w:r w:rsidRPr="00C31AF9">
        <w:rPr>
          <w:rFonts w:ascii="Arial" w:hAnsi="Arial" w:cs="Arial"/>
          <w:sz w:val="22"/>
          <w:szCs w:val="22"/>
        </w:rPr>
        <w:t xml:space="preserve">: Návrh má potenciál posunout výsledek základního výzkumu směrem ke komerční nebo sociální inovaci. Výsledkem je inovativní řešení, které je významně </w:t>
      </w:r>
      <w:r w:rsidRPr="00C31AF9">
        <w:rPr>
          <w:rFonts w:ascii="Arial" w:hAnsi="Arial" w:cs="Arial"/>
          <w:sz w:val="22"/>
          <w:szCs w:val="22"/>
        </w:rPr>
        <w:lastRenderedPageBreak/>
        <w:t>efektivnější než stávající řešení. Hodnotí se míra originality a přínos návrhu, stejně jako jeho potenciál k významnému zlepšení v dané oblasti.</w:t>
      </w:r>
    </w:p>
    <w:p w14:paraId="5B335708" w14:textId="77777777" w:rsidR="00C31AF9" w:rsidRPr="00C31AF9" w:rsidRDefault="00C31AF9" w:rsidP="00706262">
      <w:pPr>
        <w:pStyle w:val="Odstavecseseznamem"/>
        <w:numPr>
          <w:ilvl w:val="0"/>
          <w:numId w:val="37"/>
        </w:numPr>
        <w:suppressAutoHyphens/>
        <w:autoSpaceDN w:val="0"/>
        <w:spacing w:after="120" w:line="257" w:lineRule="auto"/>
        <w:ind w:left="425" w:hanging="357"/>
        <w:contextualSpacing w:val="0"/>
        <w:jc w:val="both"/>
        <w:rPr>
          <w:rFonts w:ascii="Arial" w:hAnsi="Arial" w:cs="Arial"/>
          <w:sz w:val="22"/>
          <w:szCs w:val="22"/>
        </w:rPr>
      </w:pPr>
      <w:r w:rsidRPr="00C31AF9">
        <w:rPr>
          <w:rFonts w:ascii="Arial" w:hAnsi="Arial" w:cs="Arial"/>
          <w:b/>
          <w:bCs/>
          <w:sz w:val="22"/>
          <w:szCs w:val="22"/>
        </w:rPr>
        <w:t>Přístup a metodika</w:t>
      </w:r>
      <w:r w:rsidRPr="00C31AF9">
        <w:rPr>
          <w:rFonts w:ascii="Arial" w:hAnsi="Arial" w:cs="Arial"/>
          <w:sz w:val="22"/>
          <w:szCs w:val="22"/>
        </w:rPr>
        <w:t xml:space="preserve">: Vhodnost navrženého postupu pro dosažení cíle projektu. Navrhované činnosti jsou v návrhu projektu dostatečně přesně popsány a zdůvodněny, jsou proveditelné a účelně přibližují konkrétní poznatek základního výzkumu k inovaci. </w:t>
      </w:r>
    </w:p>
    <w:p w14:paraId="5B9EC1AB" w14:textId="77777777" w:rsidR="00C31AF9" w:rsidRPr="00C31AF9" w:rsidRDefault="00C31AF9" w:rsidP="00706262">
      <w:pPr>
        <w:pStyle w:val="Odstavecseseznamem"/>
        <w:numPr>
          <w:ilvl w:val="0"/>
          <w:numId w:val="37"/>
        </w:numPr>
        <w:suppressAutoHyphens/>
        <w:autoSpaceDN w:val="0"/>
        <w:spacing w:after="120" w:line="257" w:lineRule="auto"/>
        <w:ind w:left="425" w:hanging="357"/>
        <w:contextualSpacing w:val="0"/>
        <w:jc w:val="both"/>
        <w:rPr>
          <w:rFonts w:ascii="Arial" w:hAnsi="Arial" w:cs="Arial"/>
          <w:sz w:val="22"/>
          <w:szCs w:val="22"/>
        </w:rPr>
      </w:pPr>
      <w:r w:rsidRPr="00C31AF9">
        <w:rPr>
          <w:rFonts w:ascii="Arial" w:hAnsi="Arial" w:cs="Arial"/>
          <w:b/>
          <w:bCs/>
          <w:sz w:val="22"/>
          <w:szCs w:val="22"/>
        </w:rPr>
        <w:t>Navrhovatel/navrhovatelka – strategické vedení a projektové řízení</w:t>
      </w:r>
      <w:r w:rsidRPr="00C31AF9">
        <w:rPr>
          <w:rFonts w:ascii="Arial" w:hAnsi="Arial" w:cs="Arial"/>
          <w:sz w:val="22"/>
          <w:szCs w:val="22"/>
        </w:rPr>
        <w:t xml:space="preserve">: Hodnotí se potenciál navrhovatele/navrhovatelky úspěšně dosáhnout cíle projektu včetně případných zkušeností v oblasti vývoje a transferu technologie či inovace. </w:t>
      </w:r>
    </w:p>
    <w:p w14:paraId="45C1B66A" w14:textId="3F25D9E1" w:rsidR="00DC7A71" w:rsidRPr="00C31AF9" w:rsidRDefault="00C31AF9" w:rsidP="00DC7A71">
      <w:pPr>
        <w:spacing w:after="120"/>
        <w:jc w:val="both"/>
        <w:rPr>
          <w:rFonts w:ascii="Arial" w:hAnsi="Arial" w:cs="Arial"/>
          <w:sz w:val="22"/>
          <w:szCs w:val="22"/>
        </w:rPr>
      </w:pPr>
      <w:r w:rsidRPr="00C31AF9">
        <w:rPr>
          <w:rFonts w:ascii="Arial" w:hAnsi="Arial" w:cs="Arial"/>
          <w:sz w:val="22"/>
          <w:szCs w:val="22"/>
        </w:rPr>
        <w:t xml:space="preserve">Konkrétní postup hodnocení návrhů bude stanoven v zadávací dokumentaci pro projekty </w:t>
      </w:r>
      <w:proofErr w:type="spellStart"/>
      <w:r w:rsidRPr="00C31AF9">
        <w:rPr>
          <w:rFonts w:ascii="Arial" w:hAnsi="Arial" w:cs="Arial"/>
          <w:sz w:val="22"/>
          <w:szCs w:val="22"/>
        </w:rPr>
        <w:t>PoC</w:t>
      </w:r>
      <w:proofErr w:type="spellEnd"/>
      <w:r w:rsidRPr="00C31AF9">
        <w:rPr>
          <w:rFonts w:ascii="Arial" w:hAnsi="Arial" w:cs="Arial"/>
          <w:sz w:val="22"/>
          <w:szCs w:val="22"/>
        </w:rPr>
        <w:t xml:space="preserve">. </w:t>
      </w:r>
    </w:p>
    <w:p w14:paraId="47F20866" w14:textId="77777777" w:rsidR="00DC7A71" w:rsidRPr="00DC7A71" w:rsidRDefault="00DC7A71" w:rsidP="00DC7A71">
      <w:pPr>
        <w:pStyle w:val="Odstavecseseznamem"/>
        <w:numPr>
          <w:ilvl w:val="0"/>
          <w:numId w:val="1"/>
        </w:numPr>
        <w:spacing w:after="120"/>
        <w:contextualSpacing w:val="0"/>
        <w:rPr>
          <w:rFonts w:ascii="Arial" w:hAnsi="Arial" w:cs="Arial"/>
          <w:b/>
          <w:color w:val="0070C0"/>
          <w:sz w:val="22"/>
          <w:szCs w:val="22"/>
        </w:rPr>
      </w:pPr>
      <w:r w:rsidRPr="00DC7A71">
        <w:rPr>
          <w:rFonts w:ascii="Arial" w:hAnsi="Arial" w:cs="Arial"/>
          <w:b/>
          <w:color w:val="0070C0"/>
          <w:sz w:val="22"/>
          <w:szCs w:val="22"/>
        </w:rPr>
        <w:t>Kritéria splnění cílů skupiny grantových projektů:</w:t>
      </w:r>
    </w:p>
    <w:p w14:paraId="310CF01D" w14:textId="77777777" w:rsidR="00DC7A71" w:rsidRPr="00DC7A71" w:rsidRDefault="00DC7A71" w:rsidP="00DC7A71">
      <w:pPr>
        <w:spacing w:after="120"/>
        <w:jc w:val="both"/>
        <w:rPr>
          <w:rFonts w:ascii="Arial" w:hAnsi="Arial" w:cs="Arial"/>
          <w:sz w:val="22"/>
          <w:szCs w:val="22"/>
        </w:rPr>
      </w:pPr>
      <w:r w:rsidRPr="00DC7A71">
        <w:rPr>
          <w:rFonts w:ascii="Arial" w:hAnsi="Arial" w:cs="Arial"/>
          <w:sz w:val="22"/>
          <w:szCs w:val="22"/>
        </w:rPr>
        <w:t>V souladu se Základními principy přípravy a hodnocení programů a skupin grantových projektů výzkumu, vývoje a inovací budou sledovány tyto indikátory:</w:t>
      </w:r>
    </w:p>
    <w:p w14:paraId="58646106" w14:textId="77777777" w:rsidR="00DC7A71" w:rsidRPr="00DC7A71" w:rsidRDefault="00DC7A71" w:rsidP="00DC7A71">
      <w:pPr>
        <w:numPr>
          <w:ilvl w:val="0"/>
          <w:numId w:val="22"/>
        </w:numPr>
        <w:spacing w:after="120"/>
        <w:jc w:val="both"/>
        <w:rPr>
          <w:rFonts w:ascii="Arial" w:hAnsi="Arial" w:cs="Arial"/>
          <w:sz w:val="22"/>
          <w:szCs w:val="22"/>
        </w:rPr>
      </w:pPr>
      <w:r w:rsidRPr="00DC7A71">
        <w:rPr>
          <w:rFonts w:ascii="Arial" w:hAnsi="Arial" w:cs="Arial"/>
          <w:sz w:val="22"/>
          <w:szCs w:val="22"/>
        </w:rPr>
        <w:t>inovační přínos – přechod myšlenky základního výzkumu do aplikovaného (pokračování projektů v aplikačním výzkumu – výzvách pro aplikovaný výzkum);</w:t>
      </w:r>
    </w:p>
    <w:p w14:paraId="1DEB10E1" w14:textId="77777777" w:rsidR="00DC7A71" w:rsidRPr="00DC7A71" w:rsidRDefault="00DC7A71" w:rsidP="00DC7A71">
      <w:pPr>
        <w:numPr>
          <w:ilvl w:val="0"/>
          <w:numId w:val="22"/>
        </w:numPr>
        <w:spacing w:after="120"/>
        <w:jc w:val="both"/>
        <w:rPr>
          <w:rFonts w:ascii="Arial" w:hAnsi="Arial" w:cs="Arial"/>
          <w:sz w:val="22"/>
          <w:szCs w:val="22"/>
        </w:rPr>
      </w:pPr>
      <w:r w:rsidRPr="00DC7A71">
        <w:rPr>
          <w:rFonts w:ascii="Arial" w:hAnsi="Arial" w:cs="Arial"/>
          <w:sz w:val="22"/>
          <w:szCs w:val="22"/>
        </w:rPr>
        <w:t xml:space="preserve">přínos pro komerční sféru a společnost – dopad dosažených výsledků – např. úspěšné zavedení inovace do praxe, patenty či licenční platformy, vznik </w:t>
      </w:r>
      <w:proofErr w:type="spellStart"/>
      <w:r w:rsidRPr="00DC7A71">
        <w:rPr>
          <w:rFonts w:ascii="Arial" w:hAnsi="Arial" w:cs="Arial"/>
          <w:sz w:val="22"/>
          <w:szCs w:val="22"/>
        </w:rPr>
        <w:t>startupů</w:t>
      </w:r>
      <w:proofErr w:type="spellEnd"/>
      <w:r w:rsidRPr="00DC7A71">
        <w:rPr>
          <w:rFonts w:ascii="Arial" w:hAnsi="Arial" w:cs="Arial"/>
          <w:sz w:val="22"/>
          <w:szCs w:val="22"/>
        </w:rPr>
        <w:t xml:space="preserve"> a aplikace inovace v praxi;</w:t>
      </w:r>
    </w:p>
    <w:p w14:paraId="5DF33837" w14:textId="77777777" w:rsidR="00DC7A71" w:rsidRPr="00DC7A71" w:rsidRDefault="00DC7A71" w:rsidP="00DC7A71">
      <w:pPr>
        <w:numPr>
          <w:ilvl w:val="0"/>
          <w:numId w:val="22"/>
        </w:numPr>
        <w:spacing w:after="120"/>
        <w:jc w:val="both"/>
        <w:rPr>
          <w:rFonts w:ascii="Arial" w:hAnsi="Arial" w:cs="Arial"/>
          <w:sz w:val="22"/>
          <w:szCs w:val="22"/>
        </w:rPr>
      </w:pPr>
      <w:r w:rsidRPr="00DC7A71">
        <w:rPr>
          <w:rFonts w:ascii="Arial" w:hAnsi="Arial" w:cs="Arial"/>
          <w:sz w:val="22"/>
          <w:szCs w:val="22"/>
        </w:rPr>
        <w:t xml:space="preserve">kvalita dosažených výsledků definovaných v souladu s Metodikou 2017+; </w:t>
      </w:r>
    </w:p>
    <w:p w14:paraId="56C083D3" w14:textId="77777777" w:rsidR="00DC7A71" w:rsidRPr="00DC7A71" w:rsidRDefault="00DC7A71" w:rsidP="00DC7A71">
      <w:pPr>
        <w:numPr>
          <w:ilvl w:val="0"/>
          <w:numId w:val="22"/>
        </w:numPr>
        <w:spacing w:after="120"/>
        <w:jc w:val="both"/>
        <w:rPr>
          <w:rFonts w:ascii="Arial" w:hAnsi="Arial" w:cs="Arial"/>
          <w:sz w:val="22"/>
          <w:szCs w:val="22"/>
        </w:rPr>
      </w:pPr>
      <w:r w:rsidRPr="00DC7A71">
        <w:rPr>
          <w:rFonts w:ascii="Arial" w:hAnsi="Arial" w:cs="Arial"/>
          <w:sz w:val="22"/>
          <w:szCs w:val="22"/>
        </w:rPr>
        <w:t>čerpání finančních prostředků a efektivita jejich využití.</w:t>
      </w:r>
    </w:p>
    <w:p w14:paraId="1098D391" w14:textId="77777777" w:rsidR="00DC7A71" w:rsidRPr="00DC7A71" w:rsidRDefault="00DC7A71" w:rsidP="00DC7A71">
      <w:pPr>
        <w:spacing w:after="120"/>
        <w:jc w:val="both"/>
        <w:rPr>
          <w:rFonts w:ascii="Arial" w:hAnsi="Arial" w:cs="Arial"/>
          <w:sz w:val="22"/>
          <w:szCs w:val="22"/>
        </w:rPr>
      </w:pPr>
      <w:r w:rsidRPr="00DC7A71">
        <w:rPr>
          <w:rFonts w:ascii="Arial" w:hAnsi="Arial" w:cs="Arial"/>
          <w:sz w:val="22"/>
          <w:szCs w:val="22"/>
        </w:rPr>
        <w:t>Dále bude vyhodnocován poměr mužů a žen v roli řešitelů/řešitelek projektů a vliv na plnění cílů priorit orientovaného VaVaI.</w:t>
      </w:r>
    </w:p>
    <w:p w14:paraId="51F920D7" w14:textId="2C9A9C5F" w:rsidR="00DC7A71" w:rsidRPr="00DC7A71" w:rsidRDefault="00DC7A71" w:rsidP="00DC7A71">
      <w:pPr>
        <w:spacing w:after="120"/>
        <w:jc w:val="both"/>
        <w:rPr>
          <w:rFonts w:ascii="Arial" w:hAnsi="Arial" w:cs="Arial"/>
          <w:sz w:val="22"/>
          <w:szCs w:val="22"/>
        </w:rPr>
      </w:pPr>
      <w:r w:rsidRPr="00DC7A71">
        <w:rPr>
          <w:rFonts w:ascii="Arial" w:hAnsi="Arial" w:cs="Arial"/>
          <w:sz w:val="22"/>
          <w:szCs w:val="22"/>
        </w:rPr>
        <w:t xml:space="preserve">Po pěti letech od ukončení řešení prvních projektů </w:t>
      </w:r>
      <w:r w:rsidR="00F91BE2">
        <w:rPr>
          <w:rFonts w:ascii="Arial" w:hAnsi="Arial" w:cs="Arial"/>
          <w:sz w:val="22"/>
          <w:szCs w:val="22"/>
        </w:rPr>
        <w:t xml:space="preserve">je navrhováno </w:t>
      </w:r>
      <w:r w:rsidRPr="00DC7A71">
        <w:rPr>
          <w:rFonts w:ascii="Arial" w:hAnsi="Arial" w:cs="Arial"/>
          <w:sz w:val="22"/>
          <w:szCs w:val="22"/>
        </w:rPr>
        <w:t>proveden</w:t>
      </w:r>
      <w:r w:rsidR="00F91BE2">
        <w:rPr>
          <w:rFonts w:ascii="Arial" w:hAnsi="Arial" w:cs="Arial"/>
          <w:sz w:val="22"/>
          <w:szCs w:val="22"/>
        </w:rPr>
        <w:t>í</w:t>
      </w:r>
      <w:r w:rsidRPr="00DC7A71">
        <w:rPr>
          <w:rFonts w:ascii="Arial" w:hAnsi="Arial" w:cs="Arial"/>
          <w:sz w:val="22"/>
          <w:szCs w:val="22"/>
        </w:rPr>
        <w:t xml:space="preserve"> první</w:t>
      </w:r>
      <w:r w:rsidR="00F91BE2">
        <w:rPr>
          <w:rFonts w:ascii="Arial" w:hAnsi="Arial" w:cs="Arial"/>
          <w:sz w:val="22"/>
          <w:szCs w:val="22"/>
        </w:rPr>
        <w:t>ho</w:t>
      </w:r>
      <w:r w:rsidRPr="00DC7A71">
        <w:rPr>
          <w:rFonts w:ascii="Arial" w:hAnsi="Arial" w:cs="Arial"/>
          <w:sz w:val="22"/>
          <w:szCs w:val="22"/>
        </w:rPr>
        <w:t xml:space="preserve"> monitoring</w:t>
      </w:r>
      <w:r w:rsidR="00F91BE2">
        <w:rPr>
          <w:rFonts w:ascii="Arial" w:hAnsi="Arial" w:cs="Arial"/>
          <w:sz w:val="22"/>
          <w:szCs w:val="22"/>
        </w:rPr>
        <w:t>u</w:t>
      </w:r>
      <w:r w:rsidRPr="00DC7A71">
        <w:rPr>
          <w:rFonts w:ascii="Arial" w:hAnsi="Arial" w:cs="Arial"/>
          <w:sz w:val="22"/>
          <w:szCs w:val="22"/>
        </w:rPr>
        <w:t xml:space="preserve"> nastavených indikátorů </w:t>
      </w:r>
      <w:proofErr w:type="spellStart"/>
      <w:r w:rsidRPr="00DC7A71">
        <w:rPr>
          <w:rFonts w:ascii="Arial" w:hAnsi="Arial" w:cs="Arial"/>
          <w:sz w:val="22"/>
          <w:szCs w:val="22"/>
        </w:rPr>
        <w:t>PoC</w:t>
      </w:r>
      <w:proofErr w:type="spellEnd"/>
      <w:r w:rsidRPr="00DC7A71">
        <w:rPr>
          <w:rFonts w:ascii="Arial" w:hAnsi="Arial" w:cs="Arial"/>
          <w:sz w:val="22"/>
          <w:szCs w:val="22"/>
        </w:rPr>
        <w:t xml:space="preserve">, následně </w:t>
      </w:r>
      <w:r w:rsidR="00F91BE2">
        <w:rPr>
          <w:rFonts w:ascii="Arial" w:hAnsi="Arial" w:cs="Arial"/>
          <w:sz w:val="22"/>
          <w:szCs w:val="22"/>
        </w:rPr>
        <w:t>mají být</w:t>
      </w:r>
      <w:r w:rsidR="00F91BE2" w:rsidRPr="00DC7A71">
        <w:rPr>
          <w:rFonts w:ascii="Arial" w:hAnsi="Arial" w:cs="Arial"/>
          <w:sz w:val="22"/>
          <w:szCs w:val="22"/>
        </w:rPr>
        <w:t xml:space="preserve"> </w:t>
      </w:r>
      <w:r w:rsidRPr="00DC7A71">
        <w:rPr>
          <w:rFonts w:ascii="Arial" w:hAnsi="Arial" w:cs="Arial"/>
          <w:sz w:val="22"/>
          <w:szCs w:val="22"/>
        </w:rPr>
        <w:t xml:space="preserve">průběžná vyhodnocení vypracovávána v tříletých intervalech. V případě, že se ukáže, že tato skupina grantových projektů dosahuje deklarovaných cílů, bude možné tuto skupinu grantových projektů opakovaně prodloužit. </w:t>
      </w:r>
    </w:p>
    <w:p w14:paraId="5D6DB6AA" w14:textId="77777777" w:rsidR="00DC7A71" w:rsidRPr="00DC7A71" w:rsidRDefault="00DC7A71" w:rsidP="00DC7A71">
      <w:pPr>
        <w:spacing w:after="120"/>
        <w:jc w:val="both"/>
        <w:rPr>
          <w:rFonts w:ascii="Arial" w:hAnsi="Arial" w:cs="Arial"/>
          <w:sz w:val="22"/>
          <w:szCs w:val="22"/>
        </w:rPr>
      </w:pPr>
      <w:r w:rsidRPr="00DC7A71">
        <w:rPr>
          <w:rFonts w:ascii="Arial" w:hAnsi="Arial" w:cs="Arial"/>
          <w:sz w:val="22"/>
          <w:szCs w:val="22"/>
        </w:rPr>
        <w:t xml:space="preserve">V souladu s povahou výsledků v základním výzkumu a vzhledem k povaze projektů </w:t>
      </w:r>
      <w:proofErr w:type="spellStart"/>
      <w:r w:rsidRPr="00DC7A71">
        <w:rPr>
          <w:rFonts w:ascii="Arial" w:hAnsi="Arial" w:cs="Arial"/>
          <w:sz w:val="22"/>
          <w:szCs w:val="22"/>
        </w:rPr>
        <w:t>PoC</w:t>
      </w:r>
      <w:proofErr w:type="spellEnd"/>
      <w:r w:rsidRPr="00DC7A71">
        <w:rPr>
          <w:rFonts w:ascii="Arial" w:hAnsi="Arial" w:cs="Arial"/>
          <w:sz w:val="22"/>
          <w:szCs w:val="22"/>
        </w:rPr>
        <w:t xml:space="preserve"> bude za splnění cílů skupiny grantových projektů považováno úspěšné ukončení (tj. projekt bude klasifikován jako „splněn“) 60 % řešených projektů. </w:t>
      </w:r>
    </w:p>
    <w:p w14:paraId="55057A70" w14:textId="7814D71D" w:rsidR="00DC7A71" w:rsidRPr="00DC7A71" w:rsidRDefault="00DC7A71" w:rsidP="00DC7A71">
      <w:pPr>
        <w:spacing w:after="120"/>
        <w:jc w:val="both"/>
        <w:rPr>
          <w:rFonts w:ascii="Arial" w:hAnsi="Arial" w:cs="Arial"/>
          <w:bCs/>
          <w:sz w:val="22"/>
          <w:szCs w:val="22"/>
        </w:rPr>
      </w:pPr>
      <w:r w:rsidRPr="00DC7A71">
        <w:rPr>
          <w:rFonts w:ascii="Arial" w:hAnsi="Arial" w:cs="Arial"/>
          <w:bCs/>
          <w:sz w:val="22"/>
          <w:szCs w:val="22"/>
        </w:rPr>
        <w:t>Na základě posouzení, do jaké míry byly naplňovány výše popsané hlavní a dílčí cíle této skupiny grantových projektů, budou navrženy případné změny nebo úpravy této skupiny grantových projektů, a to buď formou úpravy zadávací dokumentace</w:t>
      </w:r>
      <w:r>
        <w:rPr>
          <w:rFonts w:ascii="Arial" w:hAnsi="Arial" w:cs="Arial"/>
          <w:bCs/>
          <w:sz w:val="22"/>
          <w:szCs w:val="22"/>
        </w:rPr>
        <w:t>,</w:t>
      </w:r>
      <w:r w:rsidRPr="00DC7A71">
        <w:rPr>
          <w:rFonts w:ascii="Arial" w:hAnsi="Arial" w:cs="Arial"/>
          <w:bCs/>
          <w:sz w:val="22"/>
          <w:szCs w:val="22"/>
        </w:rPr>
        <w:t xml:space="preserve"> nebo změnou tohoto vládního materiálu.</w:t>
      </w:r>
    </w:p>
    <w:p w14:paraId="1E0C0E0E" w14:textId="0100F20B" w:rsidR="00D5686F" w:rsidRPr="00C31AF9" w:rsidRDefault="00DC7A71" w:rsidP="00706262">
      <w:pPr>
        <w:pStyle w:val="Odstavecseseznamem"/>
        <w:numPr>
          <w:ilvl w:val="0"/>
          <w:numId w:val="1"/>
        </w:numPr>
        <w:spacing w:after="120"/>
        <w:contextualSpacing w:val="0"/>
        <w:jc w:val="both"/>
        <w:rPr>
          <w:rFonts w:ascii="Arial" w:hAnsi="Arial" w:cs="Arial"/>
          <w:b/>
          <w:color w:val="0070C0"/>
          <w:sz w:val="22"/>
          <w:szCs w:val="22"/>
        </w:rPr>
      </w:pPr>
      <w:r>
        <w:rPr>
          <w:rFonts w:ascii="Arial" w:hAnsi="Arial" w:cs="Arial"/>
          <w:b/>
          <w:color w:val="0070C0"/>
          <w:sz w:val="22"/>
          <w:szCs w:val="22"/>
        </w:rPr>
        <w:t>S</w:t>
      </w:r>
      <w:r w:rsidR="00D5686F" w:rsidRPr="00C31AF9">
        <w:rPr>
          <w:rFonts w:ascii="Arial" w:hAnsi="Arial" w:cs="Arial"/>
          <w:b/>
          <w:color w:val="0070C0"/>
          <w:sz w:val="22"/>
          <w:szCs w:val="22"/>
        </w:rPr>
        <w:t>oulad s pravidly pro veřejnou podporu</w:t>
      </w:r>
    </w:p>
    <w:p w14:paraId="699EECC7" w14:textId="77777777" w:rsidR="000222E5" w:rsidRPr="00C31AF9" w:rsidRDefault="000222E5" w:rsidP="00706262">
      <w:pPr>
        <w:autoSpaceDE w:val="0"/>
        <w:autoSpaceDN w:val="0"/>
        <w:adjustRightInd w:val="0"/>
        <w:spacing w:after="120"/>
        <w:jc w:val="both"/>
        <w:rPr>
          <w:rFonts w:ascii="Arial" w:hAnsi="Arial" w:cs="Arial"/>
          <w:sz w:val="22"/>
          <w:szCs w:val="22"/>
        </w:rPr>
      </w:pPr>
      <w:r w:rsidRPr="00C31AF9">
        <w:rPr>
          <w:rFonts w:ascii="Arial" w:hAnsi="Arial" w:cs="Arial"/>
          <w:sz w:val="22"/>
          <w:szCs w:val="22"/>
        </w:rPr>
        <w:t xml:space="preserve">Skupina grantových projektů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bude realizována podle:</w:t>
      </w:r>
    </w:p>
    <w:p w14:paraId="10EE6D3B" w14:textId="0837FFA1" w:rsidR="000222E5" w:rsidRPr="00C31AF9" w:rsidRDefault="000222E5" w:rsidP="00706262">
      <w:pPr>
        <w:pStyle w:val="Odstavecseseznamem"/>
        <w:numPr>
          <w:ilvl w:val="0"/>
          <w:numId w:val="24"/>
        </w:numPr>
        <w:autoSpaceDE w:val="0"/>
        <w:autoSpaceDN w:val="0"/>
        <w:adjustRightInd w:val="0"/>
        <w:spacing w:after="120"/>
        <w:contextualSpacing w:val="0"/>
        <w:jc w:val="both"/>
        <w:rPr>
          <w:rFonts w:ascii="Arial" w:hAnsi="Arial" w:cs="Arial"/>
          <w:sz w:val="22"/>
          <w:szCs w:val="22"/>
        </w:rPr>
      </w:pPr>
      <w:r w:rsidRPr="00C31AF9">
        <w:rPr>
          <w:rFonts w:ascii="Arial" w:hAnsi="Arial" w:cs="Arial"/>
          <w:sz w:val="22"/>
          <w:szCs w:val="22"/>
        </w:rPr>
        <w:t>nařízení Komise (EU) č. 651/2014 ze dne 17. čer</w:t>
      </w:r>
      <w:r w:rsidR="00443619">
        <w:rPr>
          <w:rFonts w:ascii="Arial" w:hAnsi="Arial" w:cs="Arial"/>
          <w:sz w:val="22"/>
          <w:szCs w:val="22"/>
        </w:rPr>
        <w:t>vna 2014, kterým se v souladu s </w:t>
      </w:r>
      <w:r w:rsidRPr="00C31AF9">
        <w:rPr>
          <w:rFonts w:ascii="Arial" w:hAnsi="Arial" w:cs="Arial"/>
          <w:sz w:val="22"/>
          <w:szCs w:val="22"/>
        </w:rPr>
        <w:t>články 107 a 108 Smlouvy prohlašují určité kategorie podpory za slučitelné s vnitřním trhem, Úřední věstník EU L 187 ze dne 26. června 2014, v platném znění (dále jen „Nařízení“);</w:t>
      </w:r>
    </w:p>
    <w:p w14:paraId="25E1293B" w14:textId="2784FA07" w:rsidR="000222E5" w:rsidRPr="00C31AF9" w:rsidRDefault="000222E5" w:rsidP="00706262">
      <w:pPr>
        <w:pStyle w:val="Odstavecseseznamem"/>
        <w:numPr>
          <w:ilvl w:val="0"/>
          <w:numId w:val="24"/>
        </w:numPr>
        <w:autoSpaceDE w:val="0"/>
        <w:autoSpaceDN w:val="0"/>
        <w:adjustRightInd w:val="0"/>
        <w:spacing w:after="120"/>
        <w:contextualSpacing w:val="0"/>
        <w:jc w:val="both"/>
        <w:rPr>
          <w:rFonts w:ascii="Arial" w:hAnsi="Arial" w:cs="Arial"/>
          <w:sz w:val="22"/>
          <w:szCs w:val="22"/>
        </w:rPr>
      </w:pPr>
      <w:r w:rsidRPr="00C31AF9">
        <w:rPr>
          <w:rFonts w:ascii="Arial" w:hAnsi="Arial" w:cs="Arial"/>
          <w:sz w:val="22"/>
          <w:szCs w:val="22"/>
        </w:rPr>
        <w:t>zákona č. 130/2002 Sb., o podpoře výzkumu, expe</w:t>
      </w:r>
      <w:r w:rsidR="00443619">
        <w:rPr>
          <w:rFonts w:ascii="Arial" w:hAnsi="Arial" w:cs="Arial"/>
          <w:sz w:val="22"/>
          <w:szCs w:val="22"/>
        </w:rPr>
        <w:t>rimentálního vývoje a inovací z </w:t>
      </w:r>
      <w:r w:rsidRPr="00C31AF9">
        <w:rPr>
          <w:rFonts w:ascii="Arial" w:hAnsi="Arial" w:cs="Arial"/>
          <w:sz w:val="22"/>
          <w:szCs w:val="22"/>
        </w:rPr>
        <w:t>veřejných prostředků a o změně některých souvisejících zákonů (zákon o podpoře výzkumu, experimentálního vývoje a inovací), ve znění pozdějších předpisů (dále jen „Zákon“);</w:t>
      </w:r>
    </w:p>
    <w:p w14:paraId="49F78A22" w14:textId="77777777" w:rsidR="000222E5" w:rsidRPr="00C31AF9" w:rsidRDefault="000222E5" w:rsidP="00706262">
      <w:pPr>
        <w:pStyle w:val="Odstavecseseznamem"/>
        <w:numPr>
          <w:ilvl w:val="0"/>
          <w:numId w:val="24"/>
        </w:numPr>
        <w:autoSpaceDE w:val="0"/>
        <w:autoSpaceDN w:val="0"/>
        <w:adjustRightInd w:val="0"/>
        <w:spacing w:after="120"/>
        <w:contextualSpacing w:val="0"/>
        <w:jc w:val="both"/>
        <w:rPr>
          <w:rFonts w:ascii="Arial" w:hAnsi="Arial" w:cs="Arial"/>
          <w:sz w:val="22"/>
          <w:szCs w:val="22"/>
        </w:rPr>
      </w:pPr>
      <w:r w:rsidRPr="00C31AF9">
        <w:rPr>
          <w:rFonts w:ascii="Arial" w:hAnsi="Arial" w:cs="Arial"/>
          <w:sz w:val="22"/>
          <w:szCs w:val="22"/>
        </w:rPr>
        <w:lastRenderedPageBreak/>
        <w:t>sdělení Komise – Rámec pro státní podporu výzkumu, vývoje a inovací 2022/C 414/01 ze dne 28. října 2022 (dále jen „Rámec“); a</w:t>
      </w:r>
    </w:p>
    <w:p w14:paraId="387B220E" w14:textId="77777777" w:rsidR="000222E5" w:rsidRPr="00C31AF9" w:rsidRDefault="000222E5" w:rsidP="00706262">
      <w:pPr>
        <w:pStyle w:val="Odstavecseseznamem"/>
        <w:numPr>
          <w:ilvl w:val="0"/>
          <w:numId w:val="24"/>
        </w:numPr>
        <w:autoSpaceDE w:val="0"/>
        <w:autoSpaceDN w:val="0"/>
        <w:adjustRightInd w:val="0"/>
        <w:spacing w:after="120"/>
        <w:contextualSpacing w:val="0"/>
        <w:jc w:val="both"/>
        <w:rPr>
          <w:rFonts w:ascii="Arial" w:hAnsi="Arial" w:cs="Arial"/>
          <w:sz w:val="22"/>
          <w:szCs w:val="22"/>
        </w:rPr>
      </w:pPr>
      <w:r w:rsidRPr="00C31AF9">
        <w:rPr>
          <w:rFonts w:ascii="Arial" w:hAnsi="Arial" w:cs="Arial"/>
          <w:sz w:val="22"/>
          <w:szCs w:val="22"/>
        </w:rPr>
        <w:t>ostatních souvisejících předpisů.</w:t>
      </w:r>
    </w:p>
    <w:p w14:paraId="66D6358C" w14:textId="47258903" w:rsidR="000222E5" w:rsidRPr="00C31AF9" w:rsidRDefault="000222E5" w:rsidP="00706262">
      <w:pPr>
        <w:autoSpaceDE w:val="0"/>
        <w:autoSpaceDN w:val="0"/>
        <w:adjustRightInd w:val="0"/>
        <w:spacing w:after="120"/>
        <w:jc w:val="both"/>
        <w:rPr>
          <w:rFonts w:ascii="Arial" w:hAnsi="Arial" w:cs="Arial"/>
          <w:sz w:val="22"/>
          <w:szCs w:val="22"/>
        </w:rPr>
      </w:pPr>
      <w:r w:rsidRPr="00C31AF9">
        <w:rPr>
          <w:rFonts w:ascii="Arial" w:hAnsi="Arial" w:cs="Arial"/>
          <w:sz w:val="22"/>
          <w:szCs w:val="22"/>
        </w:rPr>
        <w:t xml:space="preserve">Skupina grantových projektů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je vyňata z oznamovací povinnosti podle článku 108 odst. 3 Smlouvy o fungování EU, neboť splňuje podmínky kapitoly I. a článku 25 Nařízení.</w:t>
      </w:r>
    </w:p>
    <w:p w14:paraId="67232EB7" w14:textId="09C429FC" w:rsidR="008F5A81" w:rsidRPr="00C31AF9" w:rsidRDefault="008F5A81" w:rsidP="00706262">
      <w:pPr>
        <w:pStyle w:val="Odstavecseseznamem"/>
        <w:numPr>
          <w:ilvl w:val="0"/>
          <w:numId w:val="1"/>
        </w:numPr>
        <w:spacing w:after="120"/>
        <w:contextualSpacing w:val="0"/>
        <w:jc w:val="both"/>
        <w:rPr>
          <w:rFonts w:ascii="Arial" w:hAnsi="Arial" w:cs="Arial"/>
          <w:b/>
          <w:color w:val="0070C0"/>
          <w:sz w:val="22"/>
          <w:szCs w:val="22"/>
        </w:rPr>
      </w:pPr>
      <w:r w:rsidRPr="00C31AF9">
        <w:rPr>
          <w:rFonts w:ascii="Arial" w:hAnsi="Arial" w:cs="Arial"/>
          <w:b/>
          <w:color w:val="0070C0"/>
          <w:sz w:val="22"/>
          <w:szCs w:val="22"/>
        </w:rPr>
        <w:t>Srovnání se současným stavem v České republice a v zahraničí</w:t>
      </w:r>
    </w:p>
    <w:p w14:paraId="118166CA" w14:textId="77777777" w:rsidR="008F5A81" w:rsidRPr="00C31AF9" w:rsidRDefault="008F5A81" w:rsidP="00706262">
      <w:pPr>
        <w:spacing w:after="120"/>
        <w:jc w:val="both"/>
        <w:rPr>
          <w:rFonts w:ascii="Arial" w:hAnsi="Arial" w:cs="Arial"/>
          <w:b/>
          <w:sz w:val="22"/>
          <w:szCs w:val="22"/>
          <w:u w:val="single"/>
        </w:rPr>
      </w:pPr>
      <w:r w:rsidRPr="00C31AF9">
        <w:rPr>
          <w:rFonts w:ascii="Arial" w:hAnsi="Arial" w:cs="Arial"/>
          <w:b/>
          <w:sz w:val="22"/>
          <w:szCs w:val="22"/>
          <w:u w:val="single"/>
        </w:rPr>
        <w:t>Srovnání se současným stavem v České republice a v zahraničí</w:t>
      </w:r>
    </w:p>
    <w:p w14:paraId="2C510117" w14:textId="4D581126" w:rsidR="008F5A81" w:rsidRPr="00A85B51" w:rsidRDefault="008F5A81" w:rsidP="00706262">
      <w:pPr>
        <w:spacing w:after="120"/>
        <w:jc w:val="both"/>
        <w:rPr>
          <w:rFonts w:ascii="Arial" w:hAnsi="Arial" w:cs="Arial"/>
          <w:sz w:val="22"/>
          <w:szCs w:val="22"/>
        </w:rPr>
      </w:pPr>
      <w:r w:rsidRPr="00C31AF9">
        <w:rPr>
          <w:rFonts w:ascii="Arial" w:hAnsi="Arial" w:cs="Arial"/>
          <w:sz w:val="22"/>
          <w:szCs w:val="22"/>
        </w:rPr>
        <w:t xml:space="preserve">Soutěže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vypisují i vysoce prestižní Evropská výzkumná rada (ERC) a další evropské agentury zaměřené na podporu základního </w:t>
      </w:r>
      <w:r w:rsidR="00443619">
        <w:rPr>
          <w:rFonts w:ascii="Arial" w:hAnsi="Arial" w:cs="Arial"/>
          <w:sz w:val="22"/>
          <w:szCs w:val="22"/>
        </w:rPr>
        <w:t xml:space="preserve">výzkumu. Právě program </w:t>
      </w:r>
      <w:proofErr w:type="spellStart"/>
      <w:r w:rsidR="00443619">
        <w:rPr>
          <w:rFonts w:ascii="Arial" w:hAnsi="Arial" w:cs="Arial"/>
          <w:sz w:val="22"/>
          <w:szCs w:val="22"/>
        </w:rPr>
        <w:t>Proof</w:t>
      </w:r>
      <w:proofErr w:type="spellEnd"/>
      <w:r w:rsidR="00443619">
        <w:rPr>
          <w:rFonts w:ascii="Arial" w:hAnsi="Arial" w:cs="Arial"/>
          <w:sz w:val="22"/>
          <w:szCs w:val="22"/>
        </w:rPr>
        <w:t xml:space="preserve"> </w:t>
      </w:r>
      <w:proofErr w:type="spellStart"/>
      <w:r w:rsidR="00443619">
        <w:rPr>
          <w:rFonts w:ascii="Arial" w:hAnsi="Arial" w:cs="Arial"/>
          <w:sz w:val="22"/>
          <w:szCs w:val="22"/>
        </w:rPr>
        <w:t>of</w:t>
      </w:r>
      <w:proofErr w:type="spellEnd"/>
      <w:r w:rsidR="00443619">
        <w:rPr>
          <w:rFonts w:ascii="Arial" w:hAnsi="Arial" w:cs="Arial"/>
          <w:sz w:val="22"/>
          <w:szCs w:val="22"/>
        </w:rPr>
        <w:t>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od ERC se stal hlavní inspirací pro skupinu </w:t>
      </w:r>
      <w:proofErr w:type="spellStart"/>
      <w:r w:rsidRPr="00C31AF9">
        <w:rPr>
          <w:rFonts w:ascii="Arial" w:hAnsi="Arial" w:cs="Arial"/>
          <w:sz w:val="22"/>
          <w:szCs w:val="22"/>
        </w:rPr>
        <w:t>PoC</w:t>
      </w:r>
      <w:proofErr w:type="spellEnd"/>
      <w:r w:rsidRPr="00C31AF9">
        <w:rPr>
          <w:rFonts w:ascii="Arial" w:hAnsi="Arial" w:cs="Arial"/>
          <w:sz w:val="22"/>
          <w:szCs w:val="22"/>
        </w:rPr>
        <w:t xml:space="preserve"> GA ČR – během přípravy této skupiny docházelo i ke konzultacím se zástupci ERC. Řada prvků je tak obdobná jako u ERC (např. doba řešení, nutnost návaznosti na předchozí projekt, očekáváný rozpočet projektů a jejich výstupy).</w:t>
      </w:r>
    </w:p>
    <w:p w14:paraId="70897227" w14:textId="77777777" w:rsidR="008F5A81" w:rsidRPr="00C31AF9" w:rsidRDefault="008F5A81" w:rsidP="00706262">
      <w:pPr>
        <w:spacing w:after="120"/>
        <w:jc w:val="both"/>
        <w:rPr>
          <w:rFonts w:ascii="Arial" w:hAnsi="Arial" w:cs="Arial"/>
          <w:sz w:val="22"/>
          <w:szCs w:val="22"/>
        </w:rPr>
      </w:pPr>
      <w:r w:rsidRPr="00C31AF9">
        <w:rPr>
          <w:rFonts w:ascii="Arial" w:hAnsi="Arial" w:cs="Arial"/>
          <w:sz w:val="22"/>
          <w:szCs w:val="22"/>
        </w:rPr>
        <w:t>Mezi další příklady podobných programů zahraničních agentur financujících výhradně základní výzkum patří program TANGO od polské agentury NCN, nebo program BRIDGE od Švýcarské národní vědecké nadace (SNSF).</w:t>
      </w:r>
    </w:p>
    <w:p w14:paraId="63ED36C1" w14:textId="77777777" w:rsidR="008F5A81" w:rsidRPr="00C31AF9" w:rsidRDefault="008F5A81" w:rsidP="00706262">
      <w:pPr>
        <w:spacing w:after="120"/>
        <w:jc w:val="both"/>
        <w:rPr>
          <w:rFonts w:ascii="Arial" w:hAnsi="Arial" w:cs="Arial"/>
          <w:sz w:val="22"/>
          <w:szCs w:val="22"/>
        </w:rPr>
      </w:pPr>
      <w:r w:rsidRPr="00C31AF9">
        <w:rPr>
          <w:rFonts w:ascii="Arial" w:hAnsi="Arial" w:cs="Arial"/>
          <w:sz w:val="22"/>
          <w:szCs w:val="22"/>
        </w:rPr>
        <w:t xml:space="preserve">Programy </w:t>
      </w:r>
      <w:proofErr w:type="spellStart"/>
      <w:r w:rsidRPr="00C31AF9">
        <w:rPr>
          <w:rFonts w:ascii="Arial" w:hAnsi="Arial" w:cs="Arial"/>
          <w:sz w:val="22"/>
          <w:szCs w:val="22"/>
        </w:rPr>
        <w:t>PoC</w:t>
      </w:r>
      <w:proofErr w:type="spellEnd"/>
      <w:r w:rsidRPr="00C31AF9">
        <w:rPr>
          <w:rFonts w:ascii="Arial" w:hAnsi="Arial" w:cs="Arial"/>
          <w:sz w:val="22"/>
          <w:szCs w:val="22"/>
        </w:rPr>
        <w:t xml:space="preserve"> mají zásadní význam pro evropský inovační ekosystém, protože pomáhají překonat tzv. „údolí smrti“ mezi výzkumem a komerčním využitím, tedy tu fázi vývoje inovace, která je spojena s vysokou nejistotou a je tudíž neatraktivní pro podporu ze strany potenciálních budoucích uživatelů. Tím přispívají k ekonomickému růstu a zvyšují konkurenceschopnost.</w:t>
      </w:r>
    </w:p>
    <w:p w14:paraId="1E5A7C3B" w14:textId="77777777" w:rsidR="008F5A81" w:rsidRPr="00C31AF9" w:rsidRDefault="008F5A81" w:rsidP="00706262">
      <w:pPr>
        <w:spacing w:after="120"/>
        <w:jc w:val="both"/>
        <w:rPr>
          <w:rFonts w:ascii="Arial" w:hAnsi="Arial" w:cs="Arial"/>
          <w:sz w:val="22"/>
          <w:szCs w:val="22"/>
        </w:rPr>
      </w:pPr>
      <w:r w:rsidRPr="00C31AF9">
        <w:rPr>
          <w:rFonts w:ascii="Arial" w:hAnsi="Arial" w:cs="Arial"/>
          <w:sz w:val="22"/>
          <w:szCs w:val="22"/>
        </w:rPr>
        <w:t>V rámci České republiky již existují obdobné iniciativy, jejichž cílem je také podpoření využití výsledků v praxi, patří mezi ně například:</w:t>
      </w:r>
    </w:p>
    <w:p w14:paraId="105CAF6A" w14:textId="6B0E16AF" w:rsidR="008F5A81" w:rsidRPr="00C31AF9" w:rsidRDefault="008F5A81" w:rsidP="00706262">
      <w:pPr>
        <w:numPr>
          <w:ilvl w:val="0"/>
          <w:numId w:val="28"/>
        </w:numPr>
        <w:spacing w:after="120"/>
        <w:jc w:val="both"/>
        <w:rPr>
          <w:rFonts w:ascii="Arial" w:hAnsi="Arial" w:cs="Arial"/>
          <w:sz w:val="22"/>
          <w:szCs w:val="22"/>
        </w:rPr>
      </w:pPr>
      <w:r w:rsidRPr="00C31AF9">
        <w:rPr>
          <w:rFonts w:ascii="Arial" w:hAnsi="Arial" w:cs="Arial"/>
          <w:sz w:val="22"/>
          <w:szCs w:val="22"/>
        </w:rPr>
        <w:t>Podpora aktivit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od TA ČR.</w:t>
      </w:r>
    </w:p>
    <w:p w14:paraId="4EC23007" w14:textId="29294538" w:rsidR="008F5A81" w:rsidRPr="00C31AF9" w:rsidRDefault="008F5A81" w:rsidP="00706262">
      <w:pPr>
        <w:numPr>
          <w:ilvl w:val="0"/>
          <w:numId w:val="28"/>
        </w:numPr>
        <w:spacing w:after="120"/>
        <w:jc w:val="both"/>
        <w:rPr>
          <w:rFonts w:ascii="Arial" w:hAnsi="Arial" w:cs="Arial"/>
          <w:sz w:val="22"/>
          <w:szCs w:val="22"/>
        </w:rPr>
      </w:pPr>
      <w:r w:rsidRPr="00C31AF9">
        <w:rPr>
          <w:rFonts w:ascii="Arial" w:hAnsi="Arial" w:cs="Arial"/>
          <w:sz w:val="22"/>
          <w:szCs w:val="22"/>
        </w:rPr>
        <w:t xml:space="preserve">Program rozvoje aplikací a komercializace (PRAK) AV ČR. </w:t>
      </w:r>
    </w:p>
    <w:p w14:paraId="0AB95111" w14:textId="44DC8388" w:rsidR="008F5A81" w:rsidRPr="00C31AF9" w:rsidRDefault="008F5A81" w:rsidP="00706262">
      <w:pPr>
        <w:numPr>
          <w:ilvl w:val="0"/>
          <w:numId w:val="28"/>
        </w:numPr>
        <w:spacing w:after="120"/>
        <w:jc w:val="both"/>
        <w:rPr>
          <w:rFonts w:ascii="Arial" w:hAnsi="Arial" w:cs="Arial"/>
          <w:sz w:val="22"/>
          <w:szCs w:val="22"/>
        </w:rPr>
      </w:pPr>
      <w:r w:rsidRPr="00C31AF9">
        <w:rPr>
          <w:rFonts w:ascii="Arial" w:hAnsi="Arial" w:cs="Arial"/>
          <w:sz w:val="22"/>
          <w:szCs w:val="22"/>
        </w:rPr>
        <w:t xml:space="preserve">Centra transferu technologií – z výzvy číslo 3.3 OP </w:t>
      </w:r>
      <w:proofErr w:type="spellStart"/>
      <w:r w:rsidRPr="00C31AF9">
        <w:rPr>
          <w:rFonts w:ascii="Arial" w:hAnsi="Arial" w:cs="Arial"/>
          <w:sz w:val="22"/>
          <w:szCs w:val="22"/>
        </w:rPr>
        <w:t>VaVpI</w:t>
      </w:r>
      <w:proofErr w:type="spellEnd"/>
      <w:r w:rsidRPr="00C31AF9">
        <w:rPr>
          <w:rFonts w:ascii="Arial" w:hAnsi="Arial" w:cs="Arial"/>
          <w:sz w:val="22"/>
          <w:szCs w:val="22"/>
        </w:rPr>
        <w:t xml:space="preserve"> vzniklo celkem devatenáct center zaměřených na trans</w:t>
      </w:r>
      <w:r w:rsidR="00443619">
        <w:rPr>
          <w:rFonts w:ascii="Arial" w:hAnsi="Arial" w:cs="Arial"/>
          <w:sz w:val="22"/>
          <w:szCs w:val="22"/>
        </w:rPr>
        <w:t>fer znalostí, z toho dvanáct na </w:t>
      </w:r>
      <w:r w:rsidRPr="00C31AF9">
        <w:rPr>
          <w:rFonts w:ascii="Arial" w:hAnsi="Arial" w:cs="Arial"/>
          <w:sz w:val="22"/>
          <w:szCs w:val="22"/>
        </w:rPr>
        <w:t xml:space="preserve">veřejných vysokých školách (ČVUT, JU, MENDELU, MU, TUL, UK, UP, </w:t>
      </w:r>
      <w:proofErr w:type="spellStart"/>
      <w:r w:rsidRPr="00C31AF9">
        <w:rPr>
          <w:rFonts w:ascii="Arial" w:hAnsi="Arial" w:cs="Arial"/>
          <w:sz w:val="22"/>
          <w:szCs w:val="22"/>
        </w:rPr>
        <w:t>UPa</w:t>
      </w:r>
      <w:proofErr w:type="spellEnd"/>
      <w:r w:rsidRPr="00C31AF9">
        <w:rPr>
          <w:rFonts w:ascii="Arial" w:hAnsi="Arial" w:cs="Arial"/>
          <w:sz w:val="22"/>
          <w:szCs w:val="22"/>
        </w:rPr>
        <w:t>, UTB, VŠB-TUO, VUT, ZČU), dvě ve fakultních nemocnicích (FN HK, FNUSA), tři na ústavech AV ČR (FZÚ, ÚACH, ÚEB), dvě v soukromých organizacích (COMTES FHT, CVŘ).</w:t>
      </w:r>
    </w:p>
    <w:p w14:paraId="0267A876" w14:textId="538FDB0D" w:rsidR="008F5A81" w:rsidRPr="00C31AF9" w:rsidRDefault="008F5A81" w:rsidP="00706262">
      <w:pPr>
        <w:numPr>
          <w:ilvl w:val="0"/>
          <w:numId w:val="28"/>
        </w:numPr>
        <w:spacing w:after="120"/>
        <w:jc w:val="both"/>
        <w:rPr>
          <w:rFonts w:ascii="Arial" w:hAnsi="Arial" w:cs="Arial"/>
          <w:sz w:val="22"/>
          <w:szCs w:val="22"/>
        </w:rPr>
      </w:pPr>
      <w:r w:rsidRPr="00C31AF9">
        <w:rPr>
          <w:rFonts w:ascii="Arial" w:hAnsi="Arial" w:cs="Arial"/>
          <w:sz w:val="22"/>
          <w:szCs w:val="22"/>
        </w:rPr>
        <w:t xml:space="preserve">Program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od Agentury pro podnikání a inovace v rámci MPO.</w:t>
      </w:r>
    </w:p>
    <w:p w14:paraId="5DB65B95" w14:textId="18E5BA02" w:rsidR="008F5A81" w:rsidRDefault="008F5A81" w:rsidP="00706262">
      <w:pPr>
        <w:numPr>
          <w:ilvl w:val="0"/>
          <w:numId w:val="28"/>
        </w:numPr>
        <w:spacing w:after="120"/>
        <w:jc w:val="both"/>
        <w:rPr>
          <w:rFonts w:ascii="Arial" w:hAnsi="Arial" w:cs="Arial"/>
          <w:sz w:val="22"/>
          <w:szCs w:val="22"/>
        </w:rPr>
      </w:pPr>
      <w:r w:rsidRPr="00C31AF9">
        <w:rPr>
          <w:rFonts w:ascii="Arial" w:hAnsi="Arial" w:cs="Arial"/>
          <w:sz w:val="22"/>
          <w:szCs w:val="22"/>
        </w:rPr>
        <w:t xml:space="preserve">Operační program Jan Amos Komenský (OP JAK) spravovaný MŠMT podporuje projekty zaměřené na zlepšení kvality výzkumu, vývoje a vzdělávání v České republice. V rámci své Priority 1 zahrnuje také posílení spolupráce výzkumných organizací s aplikační sférou a další </w:t>
      </w:r>
      <w:proofErr w:type="spellStart"/>
      <w:r w:rsidRPr="00C31AF9">
        <w:rPr>
          <w:rFonts w:ascii="Arial" w:hAnsi="Arial" w:cs="Arial"/>
          <w:sz w:val="22"/>
          <w:szCs w:val="22"/>
        </w:rPr>
        <w:t>pro</w:t>
      </w:r>
      <w:r w:rsidR="00443619">
        <w:rPr>
          <w:rFonts w:ascii="Arial" w:hAnsi="Arial" w:cs="Arial"/>
          <w:sz w:val="22"/>
          <w:szCs w:val="22"/>
        </w:rPr>
        <w:t>of</w:t>
      </w:r>
      <w:proofErr w:type="spellEnd"/>
      <w:r w:rsidR="00443619">
        <w:rPr>
          <w:rFonts w:ascii="Arial" w:hAnsi="Arial" w:cs="Arial"/>
          <w:sz w:val="22"/>
          <w:szCs w:val="22"/>
        </w:rPr>
        <w:t xml:space="preserve"> </w:t>
      </w:r>
      <w:proofErr w:type="spellStart"/>
      <w:r w:rsidR="00443619">
        <w:rPr>
          <w:rFonts w:ascii="Arial" w:hAnsi="Arial" w:cs="Arial"/>
          <w:sz w:val="22"/>
          <w:szCs w:val="22"/>
        </w:rPr>
        <w:t>of</w:t>
      </w:r>
      <w:proofErr w:type="spellEnd"/>
      <w:r w:rsidR="00443619">
        <w:rPr>
          <w:rFonts w:ascii="Arial" w:hAnsi="Arial" w:cs="Arial"/>
          <w:sz w:val="22"/>
          <w:szCs w:val="22"/>
        </w:rPr>
        <w:t xml:space="preserve"> </w:t>
      </w:r>
      <w:proofErr w:type="spellStart"/>
      <w:r w:rsidR="00443619">
        <w:rPr>
          <w:rFonts w:ascii="Arial" w:hAnsi="Arial" w:cs="Arial"/>
          <w:sz w:val="22"/>
          <w:szCs w:val="22"/>
        </w:rPr>
        <w:t>concept</w:t>
      </w:r>
      <w:proofErr w:type="spellEnd"/>
      <w:r w:rsidR="00443619">
        <w:rPr>
          <w:rFonts w:ascii="Arial" w:hAnsi="Arial" w:cs="Arial"/>
          <w:sz w:val="22"/>
          <w:szCs w:val="22"/>
        </w:rPr>
        <w:t xml:space="preserve"> aktivity, které </w:t>
      </w:r>
      <w:r w:rsidRPr="00C31AF9">
        <w:rPr>
          <w:rFonts w:ascii="Arial" w:hAnsi="Arial" w:cs="Arial"/>
          <w:sz w:val="22"/>
          <w:szCs w:val="22"/>
        </w:rPr>
        <w:t>pomáhají ověřit praktickou realizova</w:t>
      </w:r>
      <w:r w:rsidR="00443619">
        <w:rPr>
          <w:rFonts w:ascii="Arial" w:hAnsi="Arial" w:cs="Arial"/>
          <w:sz w:val="22"/>
          <w:szCs w:val="22"/>
        </w:rPr>
        <w:t>telnost výsledků výzkumu. Tento </w:t>
      </w:r>
      <w:r w:rsidRPr="00C31AF9">
        <w:rPr>
          <w:rFonts w:ascii="Arial" w:hAnsi="Arial" w:cs="Arial"/>
          <w:sz w:val="22"/>
          <w:szCs w:val="22"/>
        </w:rPr>
        <w:t>program je však časově omezený na programové období 2021–2027.</w:t>
      </w:r>
    </w:p>
    <w:p w14:paraId="260CBA9A" w14:textId="2ED7926A" w:rsidR="006E3E32" w:rsidRDefault="006E3E32" w:rsidP="006E3E32">
      <w:pPr>
        <w:spacing w:after="120"/>
        <w:jc w:val="both"/>
        <w:rPr>
          <w:rFonts w:ascii="Arial" w:hAnsi="Arial" w:cs="Arial"/>
          <w:sz w:val="22"/>
          <w:szCs w:val="22"/>
        </w:rPr>
      </w:pPr>
    </w:p>
    <w:p w14:paraId="1F18AE13" w14:textId="3DDC259A" w:rsidR="006E3E32" w:rsidRDefault="006E3E32" w:rsidP="006E3E32">
      <w:pPr>
        <w:spacing w:after="120"/>
        <w:jc w:val="both"/>
        <w:rPr>
          <w:rFonts w:ascii="Arial" w:hAnsi="Arial" w:cs="Arial"/>
          <w:sz w:val="22"/>
          <w:szCs w:val="22"/>
        </w:rPr>
      </w:pPr>
    </w:p>
    <w:p w14:paraId="419B54BF" w14:textId="4B31A01F" w:rsidR="006E3E32" w:rsidRDefault="006E3E32" w:rsidP="006E3E32">
      <w:pPr>
        <w:spacing w:after="120"/>
        <w:jc w:val="both"/>
        <w:rPr>
          <w:rFonts w:ascii="Arial" w:hAnsi="Arial" w:cs="Arial"/>
          <w:sz w:val="22"/>
          <w:szCs w:val="22"/>
        </w:rPr>
      </w:pPr>
    </w:p>
    <w:p w14:paraId="49D8B32E" w14:textId="2A9B3FA9" w:rsidR="006E3E32" w:rsidRDefault="006E3E32" w:rsidP="006E3E32">
      <w:pPr>
        <w:spacing w:after="120"/>
        <w:jc w:val="both"/>
        <w:rPr>
          <w:rFonts w:ascii="Arial" w:hAnsi="Arial" w:cs="Arial"/>
          <w:sz w:val="22"/>
          <w:szCs w:val="22"/>
        </w:rPr>
      </w:pPr>
    </w:p>
    <w:p w14:paraId="20E5FBEE" w14:textId="2A735B35" w:rsidR="006E3E32" w:rsidRDefault="006E3E32" w:rsidP="006E3E32">
      <w:pPr>
        <w:spacing w:after="120"/>
        <w:jc w:val="both"/>
        <w:rPr>
          <w:rFonts w:ascii="Arial" w:hAnsi="Arial" w:cs="Arial"/>
          <w:sz w:val="22"/>
          <w:szCs w:val="22"/>
        </w:rPr>
      </w:pPr>
    </w:p>
    <w:p w14:paraId="267EBF7F" w14:textId="77777777" w:rsidR="006E3E32" w:rsidRPr="00C31AF9" w:rsidRDefault="006E3E32" w:rsidP="006E3E32">
      <w:pPr>
        <w:spacing w:after="120"/>
        <w:jc w:val="both"/>
        <w:rPr>
          <w:rFonts w:ascii="Arial" w:hAnsi="Arial" w:cs="Arial"/>
          <w:sz w:val="22"/>
          <w:szCs w:val="22"/>
        </w:rPr>
      </w:pPr>
    </w:p>
    <w:p w14:paraId="3BF8556C" w14:textId="77777777" w:rsidR="002E46FE" w:rsidRPr="00E87111" w:rsidRDefault="002E46FE" w:rsidP="00E87111">
      <w:pPr>
        <w:spacing w:after="120"/>
        <w:rPr>
          <w:rFonts w:ascii="Arial" w:hAnsi="Arial" w:cs="Arial"/>
          <w:sz w:val="22"/>
          <w:szCs w:val="22"/>
        </w:rPr>
      </w:pPr>
      <w:r w:rsidRPr="00E87111">
        <w:rPr>
          <w:rFonts w:ascii="Arial" w:hAnsi="Arial" w:cs="Arial"/>
          <w:b/>
          <w:sz w:val="22"/>
          <w:szCs w:val="22"/>
        </w:rPr>
        <w:lastRenderedPageBreak/>
        <w:t>Srovnání výstupů GA ČR a TA ČR</w:t>
      </w:r>
      <w:r w:rsidRPr="00E87111">
        <w:rPr>
          <w:rFonts w:ascii="Arial" w:hAnsi="Arial" w:cs="Arial"/>
          <w:sz w:val="22"/>
          <w:szCs w:val="22"/>
        </w:rPr>
        <w:t>:</w:t>
      </w:r>
    </w:p>
    <w:tbl>
      <w:tblPr>
        <w:tblStyle w:val="Svtlmkatabulky"/>
        <w:tblW w:w="0" w:type="auto"/>
        <w:tblLook w:val="04A0" w:firstRow="1" w:lastRow="0" w:firstColumn="1" w:lastColumn="0" w:noHBand="0" w:noVBand="1"/>
      </w:tblPr>
      <w:tblGrid>
        <w:gridCol w:w="2302"/>
        <w:gridCol w:w="3481"/>
        <w:gridCol w:w="3279"/>
      </w:tblGrid>
      <w:tr w:rsidR="002E46FE" w:rsidRPr="00C31AF9" w14:paraId="6A02FD7D" w14:textId="77777777" w:rsidTr="00A4580E">
        <w:trPr>
          <w:trHeight w:val="397"/>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1F2C4" w14:textId="77777777" w:rsidR="002E46FE" w:rsidRPr="00C31AF9" w:rsidRDefault="002E46FE" w:rsidP="00A4580E">
            <w:pPr>
              <w:jc w:val="center"/>
              <w:rPr>
                <w:rFonts w:ascii="Arial" w:hAnsi="Arial" w:cs="Arial"/>
                <w:b/>
                <w:bCs/>
                <w:sz w:val="22"/>
                <w:szCs w:val="22"/>
              </w:rPr>
            </w:pPr>
            <w:r w:rsidRPr="00C31AF9">
              <w:rPr>
                <w:rFonts w:ascii="Arial" w:hAnsi="Arial" w:cs="Arial"/>
                <w:b/>
                <w:bCs/>
                <w:sz w:val="22"/>
                <w:szCs w:val="22"/>
              </w:rPr>
              <w:t>Aspekt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FB1D93" w14:textId="77777777" w:rsidR="002E46FE" w:rsidRPr="00C31AF9" w:rsidRDefault="002E46FE" w:rsidP="00A4580E">
            <w:pPr>
              <w:jc w:val="center"/>
              <w:rPr>
                <w:rFonts w:ascii="Arial" w:hAnsi="Arial" w:cs="Arial"/>
                <w:b/>
                <w:bCs/>
                <w:sz w:val="22"/>
                <w:szCs w:val="22"/>
              </w:rPr>
            </w:pPr>
            <w:r w:rsidRPr="00C31AF9">
              <w:rPr>
                <w:rFonts w:ascii="Arial" w:hAnsi="Arial" w:cs="Arial"/>
                <w:b/>
                <w:bCs/>
                <w:sz w:val="22"/>
                <w:szCs w:val="22"/>
              </w:rPr>
              <w:t xml:space="preserve">GA ČR (včetně </w:t>
            </w:r>
            <w:proofErr w:type="spellStart"/>
            <w:r w:rsidRPr="00C31AF9">
              <w:rPr>
                <w:rFonts w:ascii="Arial" w:hAnsi="Arial" w:cs="Arial"/>
                <w:b/>
                <w:bCs/>
                <w:sz w:val="22"/>
                <w:szCs w:val="22"/>
              </w:rPr>
              <w:t>PoC</w:t>
            </w:r>
            <w:proofErr w:type="spellEnd"/>
            <w:r w:rsidRPr="00C31AF9">
              <w:rPr>
                <w:rFonts w:ascii="Arial" w:hAnsi="Arial" w:cs="Arial"/>
                <w:b/>
                <w:bCs/>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AA581B" w14:textId="77777777" w:rsidR="002E46FE" w:rsidRPr="00C31AF9" w:rsidRDefault="002E46FE" w:rsidP="00A4580E">
            <w:pPr>
              <w:jc w:val="center"/>
              <w:rPr>
                <w:rFonts w:ascii="Arial" w:hAnsi="Arial" w:cs="Arial"/>
                <w:b/>
                <w:bCs/>
                <w:sz w:val="22"/>
                <w:szCs w:val="22"/>
              </w:rPr>
            </w:pPr>
            <w:r w:rsidRPr="00C31AF9">
              <w:rPr>
                <w:rFonts w:ascii="Arial" w:hAnsi="Arial" w:cs="Arial"/>
                <w:b/>
                <w:bCs/>
                <w:sz w:val="22"/>
                <w:szCs w:val="22"/>
              </w:rPr>
              <w:t>TA ČR</w:t>
            </w:r>
          </w:p>
        </w:tc>
      </w:tr>
      <w:tr w:rsidR="002E46FE" w:rsidRPr="00C31AF9" w14:paraId="6C9E990B" w14:textId="77777777" w:rsidTr="00A4580E">
        <w:trPr>
          <w:trHeight w:val="397"/>
        </w:trPr>
        <w:tc>
          <w:tcPr>
            <w:tcW w:w="0" w:type="auto"/>
            <w:tcBorders>
              <w:top w:val="single" w:sz="4" w:space="0" w:color="auto"/>
              <w:left w:val="single" w:sz="4" w:space="0" w:color="auto"/>
              <w:bottom w:val="single" w:sz="4" w:space="0" w:color="auto"/>
              <w:right w:val="single" w:sz="4" w:space="0" w:color="auto"/>
            </w:tcBorders>
            <w:vAlign w:val="center"/>
            <w:hideMark/>
          </w:tcPr>
          <w:p w14:paraId="0FC3A404" w14:textId="77777777" w:rsidR="002E46FE" w:rsidRPr="00C31AF9" w:rsidRDefault="002E46FE" w:rsidP="00A4580E">
            <w:pPr>
              <w:rPr>
                <w:rFonts w:ascii="Arial" w:hAnsi="Arial" w:cs="Arial"/>
                <w:sz w:val="22"/>
                <w:szCs w:val="22"/>
              </w:rPr>
            </w:pPr>
            <w:r w:rsidRPr="00C31AF9">
              <w:rPr>
                <w:rFonts w:ascii="Arial" w:hAnsi="Arial" w:cs="Arial"/>
                <w:b/>
                <w:bCs/>
                <w:sz w:val="22"/>
                <w:szCs w:val="22"/>
              </w:rPr>
              <w:t>Hlavní zaměření</w:t>
            </w:r>
          </w:p>
        </w:tc>
        <w:tc>
          <w:tcPr>
            <w:tcW w:w="0" w:type="auto"/>
            <w:tcBorders>
              <w:top w:val="single" w:sz="4" w:space="0" w:color="auto"/>
              <w:left w:val="single" w:sz="4" w:space="0" w:color="auto"/>
              <w:bottom w:val="single" w:sz="4" w:space="0" w:color="auto"/>
              <w:right w:val="single" w:sz="4" w:space="0" w:color="auto"/>
            </w:tcBorders>
            <w:vAlign w:val="center"/>
            <w:hideMark/>
          </w:tcPr>
          <w:p w14:paraId="5F77EDBD"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Základní výzkum, koncepty, rané validace</w:t>
            </w:r>
          </w:p>
        </w:tc>
        <w:tc>
          <w:tcPr>
            <w:tcW w:w="0" w:type="auto"/>
            <w:tcBorders>
              <w:top w:val="single" w:sz="4" w:space="0" w:color="auto"/>
              <w:left w:val="single" w:sz="4" w:space="0" w:color="auto"/>
              <w:bottom w:val="single" w:sz="4" w:space="0" w:color="auto"/>
              <w:right w:val="single" w:sz="4" w:space="0" w:color="auto"/>
            </w:tcBorders>
            <w:vAlign w:val="center"/>
            <w:hideMark/>
          </w:tcPr>
          <w:p w14:paraId="16E86605"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Aplikovaný výzkum, vývoj a komercializace</w:t>
            </w:r>
          </w:p>
        </w:tc>
      </w:tr>
      <w:tr w:rsidR="002E46FE" w:rsidRPr="00C31AF9" w14:paraId="0E1223CB" w14:textId="77777777" w:rsidTr="00A4580E">
        <w:trPr>
          <w:trHeight w:val="397"/>
        </w:trPr>
        <w:tc>
          <w:tcPr>
            <w:tcW w:w="0" w:type="auto"/>
            <w:tcBorders>
              <w:top w:val="single" w:sz="4" w:space="0" w:color="auto"/>
              <w:left w:val="single" w:sz="4" w:space="0" w:color="auto"/>
              <w:bottom w:val="single" w:sz="4" w:space="0" w:color="auto"/>
              <w:right w:val="single" w:sz="4" w:space="0" w:color="auto"/>
            </w:tcBorders>
            <w:vAlign w:val="center"/>
            <w:hideMark/>
          </w:tcPr>
          <w:p w14:paraId="1B6222ED" w14:textId="77777777" w:rsidR="002E46FE" w:rsidRPr="00C31AF9" w:rsidRDefault="002E46FE" w:rsidP="00A4580E">
            <w:pPr>
              <w:rPr>
                <w:rFonts w:ascii="Arial" w:hAnsi="Arial" w:cs="Arial"/>
                <w:sz w:val="22"/>
                <w:szCs w:val="22"/>
              </w:rPr>
            </w:pPr>
            <w:r w:rsidRPr="00C31AF9">
              <w:rPr>
                <w:rFonts w:ascii="Arial" w:hAnsi="Arial" w:cs="Arial"/>
                <w:b/>
                <w:bCs/>
                <w:sz w:val="22"/>
                <w:szCs w:val="22"/>
              </w:rPr>
              <w:t>Povinné výstupy</w:t>
            </w:r>
          </w:p>
        </w:tc>
        <w:tc>
          <w:tcPr>
            <w:tcW w:w="0" w:type="auto"/>
            <w:tcBorders>
              <w:top w:val="single" w:sz="4" w:space="0" w:color="auto"/>
              <w:left w:val="single" w:sz="4" w:space="0" w:color="auto"/>
              <w:bottom w:val="single" w:sz="4" w:space="0" w:color="auto"/>
              <w:right w:val="single" w:sz="4" w:space="0" w:color="auto"/>
            </w:tcBorders>
            <w:vAlign w:val="center"/>
            <w:hideMark/>
          </w:tcPr>
          <w:p w14:paraId="1EE28F2E"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Publikace, studie proveditelnosti</w:t>
            </w:r>
          </w:p>
        </w:tc>
        <w:tc>
          <w:tcPr>
            <w:tcW w:w="0" w:type="auto"/>
            <w:tcBorders>
              <w:top w:val="single" w:sz="4" w:space="0" w:color="auto"/>
              <w:left w:val="single" w:sz="4" w:space="0" w:color="auto"/>
              <w:bottom w:val="single" w:sz="4" w:space="0" w:color="auto"/>
              <w:right w:val="single" w:sz="4" w:space="0" w:color="auto"/>
            </w:tcBorders>
            <w:vAlign w:val="center"/>
            <w:hideMark/>
          </w:tcPr>
          <w:p w14:paraId="749B8A36"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Funkční vzorky, prototypy, patenty</w:t>
            </w:r>
          </w:p>
        </w:tc>
      </w:tr>
      <w:tr w:rsidR="002E46FE" w:rsidRPr="00C31AF9" w14:paraId="2C4DFAF0" w14:textId="77777777" w:rsidTr="00A4580E">
        <w:trPr>
          <w:trHeight w:val="397"/>
        </w:trPr>
        <w:tc>
          <w:tcPr>
            <w:tcW w:w="0" w:type="auto"/>
            <w:tcBorders>
              <w:top w:val="single" w:sz="4" w:space="0" w:color="auto"/>
              <w:left w:val="single" w:sz="4" w:space="0" w:color="auto"/>
              <w:bottom w:val="single" w:sz="4" w:space="0" w:color="auto"/>
              <w:right w:val="single" w:sz="4" w:space="0" w:color="auto"/>
            </w:tcBorders>
            <w:vAlign w:val="center"/>
            <w:hideMark/>
          </w:tcPr>
          <w:p w14:paraId="68F3E50E" w14:textId="77777777" w:rsidR="002E46FE" w:rsidRPr="00C31AF9" w:rsidRDefault="002E46FE" w:rsidP="00A4580E">
            <w:pPr>
              <w:rPr>
                <w:rFonts w:ascii="Arial" w:hAnsi="Arial" w:cs="Arial"/>
                <w:sz w:val="22"/>
                <w:szCs w:val="22"/>
              </w:rPr>
            </w:pPr>
            <w:r w:rsidRPr="00C31AF9">
              <w:rPr>
                <w:rFonts w:ascii="Arial" w:hAnsi="Arial" w:cs="Arial"/>
                <w:b/>
                <w:bCs/>
                <w:sz w:val="22"/>
                <w:szCs w:val="22"/>
              </w:rPr>
              <w:t>Další výstupy</w:t>
            </w:r>
          </w:p>
        </w:tc>
        <w:tc>
          <w:tcPr>
            <w:tcW w:w="0" w:type="auto"/>
            <w:tcBorders>
              <w:top w:val="single" w:sz="4" w:space="0" w:color="auto"/>
              <w:left w:val="single" w:sz="4" w:space="0" w:color="auto"/>
              <w:bottom w:val="single" w:sz="4" w:space="0" w:color="auto"/>
              <w:right w:val="single" w:sz="4" w:space="0" w:color="auto"/>
            </w:tcBorders>
            <w:vAlign w:val="center"/>
            <w:hideMark/>
          </w:tcPr>
          <w:p w14:paraId="6FA740C5"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Funkční vzorky (</w:t>
            </w:r>
            <w:proofErr w:type="spellStart"/>
            <w:r w:rsidRPr="00C31AF9">
              <w:rPr>
                <w:rFonts w:ascii="Arial" w:hAnsi="Arial" w:cs="Arial"/>
                <w:sz w:val="22"/>
                <w:szCs w:val="22"/>
              </w:rPr>
              <w:t>PoC</w:t>
            </w:r>
            <w:proofErr w:type="spellEnd"/>
            <w:r w:rsidRPr="00C31AF9">
              <w:rPr>
                <w:rFonts w:ascii="Arial" w:hAnsi="Arial" w:cs="Arial"/>
                <w:sz w:val="22"/>
                <w:szCs w:val="22"/>
              </w:rPr>
              <w:t>), analýzy, metodiky</w:t>
            </w:r>
          </w:p>
        </w:tc>
        <w:tc>
          <w:tcPr>
            <w:tcW w:w="0" w:type="auto"/>
            <w:tcBorders>
              <w:top w:val="single" w:sz="4" w:space="0" w:color="auto"/>
              <w:left w:val="single" w:sz="4" w:space="0" w:color="auto"/>
              <w:bottom w:val="single" w:sz="4" w:space="0" w:color="auto"/>
              <w:right w:val="single" w:sz="4" w:space="0" w:color="auto"/>
            </w:tcBorders>
            <w:vAlign w:val="center"/>
            <w:hideMark/>
          </w:tcPr>
          <w:p w14:paraId="7E6CBAFA"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Ověřené technologie, poloprovozy</w:t>
            </w:r>
          </w:p>
        </w:tc>
      </w:tr>
      <w:tr w:rsidR="002E46FE" w:rsidRPr="00C31AF9" w14:paraId="0A993D6E" w14:textId="77777777" w:rsidTr="00A4580E">
        <w:trPr>
          <w:trHeight w:val="397"/>
        </w:trPr>
        <w:tc>
          <w:tcPr>
            <w:tcW w:w="0" w:type="auto"/>
            <w:tcBorders>
              <w:top w:val="single" w:sz="4" w:space="0" w:color="auto"/>
              <w:left w:val="single" w:sz="4" w:space="0" w:color="auto"/>
              <w:bottom w:val="single" w:sz="4" w:space="0" w:color="auto"/>
              <w:right w:val="single" w:sz="4" w:space="0" w:color="auto"/>
            </w:tcBorders>
            <w:vAlign w:val="center"/>
            <w:hideMark/>
          </w:tcPr>
          <w:p w14:paraId="46A0953D" w14:textId="77777777" w:rsidR="002E46FE" w:rsidRPr="00C31AF9" w:rsidRDefault="002E46FE" w:rsidP="00A4580E">
            <w:pPr>
              <w:rPr>
                <w:rFonts w:ascii="Arial" w:hAnsi="Arial" w:cs="Arial"/>
                <w:sz w:val="22"/>
                <w:szCs w:val="22"/>
              </w:rPr>
            </w:pPr>
            <w:r w:rsidRPr="00C31AF9">
              <w:rPr>
                <w:rFonts w:ascii="Arial" w:hAnsi="Arial" w:cs="Arial"/>
                <w:b/>
                <w:bCs/>
                <w:sz w:val="22"/>
                <w:szCs w:val="22"/>
              </w:rPr>
              <w:t>TRL/SRL úroveň</w:t>
            </w:r>
          </w:p>
        </w:tc>
        <w:tc>
          <w:tcPr>
            <w:tcW w:w="0" w:type="auto"/>
            <w:tcBorders>
              <w:top w:val="single" w:sz="4" w:space="0" w:color="auto"/>
              <w:left w:val="single" w:sz="4" w:space="0" w:color="auto"/>
              <w:bottom w:val="single" w:sz="4" w:space="0" w:color="auto"/>
              <w:right w:val="single" w:sz="4" w:space="0" w:color="auto"/>
            </w:tcBorders>
            <w:vAlign w:val="center"/>
            <w:hideMark/>
          </w:tcPr>
          <w:p w14:paraId="198A2D03"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 xml:space="preserve">1–3 (max. TRL 4 u </w:t>
            </w:r>
            <w:proofErr w:type="spellStart"/>
            <w:r w:rsidRPr="00C31AF9">
              <w:rPr>
                <w:rFonts w:ascii="Arial" w:hAnsi="Arial" w:cs="Arial"/>
                <w:sz w:val="22"/>
                <w:szCs w:val="22"/>
              </w:rPr>
              <w:t>PoC</w:t>
            </w:r>
            <w:proofErr w:type="spellEnd"/>
            <w:r w:rsidRPr="00C31AF9">
              <w:rPr>
                <w:rFonts w:ascii="Arial" w:hAnsi="Arial" w:cs="Arial"/>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4ED9C7C"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5–9</w:t>
            </w:r>
          </w:p>
        </w:tc>
      </w:tr>
      <w:tr w:rsidR="002E46FE" w:rsidRPr="00C31AF9" w14:paraId="66A86C21" w14:textId="77777777" w:rsidTr="00A4580E">
        <w:trPr>
          <w:trHeight w:val="397"/>
        </w:trPr>
        <w:tc>
          <w:tcPr>
            <w:tcW w:w="0" w:type="auto"/>
            <w:tcBorders>
              <w:top w:val="single" w:sz="4" w:space="0" w:color="auto"/>
              <w:left w:val="single" w:sz="4" w:space="0" w:color="auto"/>
              <w:bottom w:val="single" w:sz="4" w:space="0" w:color="auto"/>
              <w:right w:val="single" w:sz="4" w:space="0" w:color="auto"/>
            </w:tcBorders>
            <w:vAlign w:val="center"/>
            <w:hideMark/>
          </w:tcPr>
          <w:p w14:paraId="33D66C85" w14:textId="77777777" w:rsidR="002E46FE" w:rsidRPr="00C31AF9" w:rsidRDefault="002E46FE" w:rsidP="00A4580E">
            <w:pPr>
              <w:rPr>
                <w:rFonts w:ascii="Arial" w:hAnsi="Arial" w:cs="Arial"/>
                <w:sz w:val="22"/>
                <w:szCs w:val="22"/>
              </w:rPr>
            </w:pPr>
            <w:r w:rsidRPr="00C31AF9">
              <w:rPr>
                <w:rFonts w:ascii="Arial" w:hAnsi="Arial" w:cs="Arial"/>
                <w:b/>
                <w:bCs/>
                <w:sz w:val="22"/>
                <w:szCs w:val="22"/>
              </w:rPr>
              <w:t>Důraz na komercializaci</w:t>
            </w:r>
          </w:p>
        </w:tc>
        <w:tc>
          <w:tcPr>
            <w:tcW w:w="0" w:type="auto"/>
            <w:tcBorders>
              <w:top w:val="single" w:sz="4" w:space="0" w:color="auto"/>
              <w:left w:val="single" w:sz="4" w:space="0" w:color="auto"/>
              <w:bottom w:val="single" w:sz="4" w:space="0" w:color="auto"/>
              <w:right w:val="single" w:sz="4" w:space="0" w:color="auto"/>
            </w:tcBorders>
            <w:vAlign w:val="center"/>
            <w:hideMark/>
          </w:tcPr>
          <w:p w14:paraId="440DEFB3"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Sekundární (</w:t>
            </w:r>
            <w:proofErr w:type="spellStart"/>
            <w:r w:rsidRPr="00C31AF9">
              <w:rPr>
                <w:rFonts w:ascii="Arial" w:hAnsi="Arial" w:cs="Arial"/>
                <w:sz w:val="22"/>
                <w:szCs w:val="22"/>
              </w:rPr>
              <w:t>PoC</w:t>
            </w:r>
            <w:proofErr w:type="spellEnd"/>
            <w:r w:rsidRPr="00C31AF9">
              <w:rPr>
                <w:rFonts w:ascii="Arial" w:hAnsi="Arial" w:cs="Arial"/>
                <w:sz w:val="22"/>
                <w:szCs w:val="22"/>
              </w:rPr>
              <w:t xml:space="preserve"> připravuje na komercializaci)</w:t>
            </w:r>
          </w:p>
        </w:tc>
        <w:tc>
          <w:tcPr>
            <w:tcW w:w="0" w:type="auto"/>
            <w:tcBorders>
              <w:top w:val="single" w:sz="4" w:space="0" w:color="auto"/>
              <w:left w:val="single" w:sz="4" w:space="0" w:color="auto"/>
              <w:bottom w:val="single" w:sz="4" w:space="0" w:color="auto"/>
              <w:right w:val="single" w:sz="4" w:space="0" w:color="auto"/>
            </w:tcBorders>
            <w:vAlign w:val="center"/>
            <w:hideMark/>
          </w:tcPr>
          <w:p w14:paraId="65B18782" w14:textId="77777777" w:rsidR="002E46FE" w:rsidRPr="00C31AF9" w:rsidRDefault="002E46FE" w:rsidP="00A4580E">
            <w:pPr>
              <w:jc w:val="center"/>
              <w:rPr>
                <w:rFonts w:ascii="Arial" w:hAnsi="Arial" w:cs="Arial"/>
                <w:sz w:val="22"/>
                <w:szCs w:val="22"/>
              </w:rPr>
            </w:pPr>
            <w:r w:rsidRPr="00C31AF9">
              <w:rPr>
                <w:rFonts w:ascii="Arial" w:hAnsi="Arial" w:cs="Arial"/>
                <w:sz w:val="22"/>
                <w:szCs w:val="22"/>
              </w:rPr>
              <w:t>Primární (cílem je aplikace na trhu)</w:t>
            </w:r>
          </w:p>
        </w:tc>
      </w:tr>
    </w:tbl>
    <w:p w14:paraId="66490906" w14:textId="112A5C44" w:rsidR="002E46FE" w:rsidRPr="002E46FE" w:rsidRDefault="002E46FE" w:rsidP="00EE4FE2">
      <w:pPr>
        <w:pStyle w:val="Odstavecseseznamem"/>
        <w:numPr>
          <w:ilvl w:val="0"/>
          <w:numId w:val="28"/>
        </w:numPr>
        <w:spacing w:before="120" w:after="120"/>
        <w:ind w:left="567"/>
        <w:jc w:val="both"/>
        <w:rPr>
          <w:rFonts w:ascii="Arial" w:hAnsi="Arial" w:cs="Arial"/>
          <w:sz w:val="22"/>
          <w:szCs w:val="22"/>
        </w:rPr>
      </w:pPr>
      <w:r w:rsidRPr="002E46FE">
        <w:rPr>
          <w:rFonts w:ascii="Arial" w:hAnsi="Arial" w:cs="Arial"/>
          <w:sz w:val="22"/>
          <w:szCs w:val="22"/>
        </w:rPr>
        <w:t xml:space="preserve">Hlavní rozdíly ve výstupech projektů podporovaných </w:t>
      </w:r>
      <w:r w:rsidRPr="002E46FE">
        <w:rPr>
          <w:rFonts w:ascii="Arial" w:hAnsi="Arial" w:cs="Arial"/>
          <w:b/>
          <w:bCs/>
          <w:sz w:val="22"/>
          <w:szCs w:val="22"/>
        </w:rPr>
        <w:t>Grantovou agenturou ČR</w:t>
      </w:r>
      <w:r w:rsidR="006E3E32">
        <w:rPr>
          <w:rFonts w:ascii="Arial" w:hAnsi="Arial" w:cs="Arial"/>
          <w:b/>
          <w:bCs/>
          <w:sz w:val="22"/>
          <w:szCs w:val="22"/>
        </w:rPr>
        <w:t xml:space="preserve"> </w:t>
      </w:r>
      <w:r w:rsidR="00EE4FE2">
        <w:rPr>
          <w:rFonts w:ascii="Arial" w:hAnsi="Arial" w:cs="Arial"/>
          <w:sz w:val="22"/>
          <w:szCs w:val="22"/>
        </w:rPr>
        <w:t>a </w:t>
      </w:r>
      <w:r w:rsidRPr="002E46FE">
        <w:rPr>
          <w:rFonts w:ascii="Arial" w:hAnsi="Arial" w:cs="Arial"/>
          <w:b/>
          <w:bCs/>
          <w:sz w:val="22"/>
          <w:szCs w:val="22"/>
        </w:rPr>
        <w:t>Technologickou agenturou ČR</w:t>
      </w:r>
      <w:r w:rsidRPr="002E46FE">
        <w:rPr>
          <w:rFonts w:ascii="Arial" w:hAnsi="Arial" w:cs="Arial"/>
          <w:sz w:val="22"/>
          <w:szCs w:val="22"/>
        </w:rPr>
        <w:t xml:space="preserve"> spočívají v zaměření výzkumu a ve stupni připravenosti výsledků pro jejich praktické využití. Tyto</w:t>
      </w:r>
      <w:r w:rsidR="00EE4FE2">
        <w:rPr>
          <w:rFonts w:ascii="Arial" w:hAnsi="Arial" w:cs="Arial"/>
          <w:sz w:val="22"/>
          <w:szCs w:val="22"/>
        </w:rPr>
        <w:t xml:space="preserve"> rozdíly jsou dány orientací GA </w:t>
      </w:r>
      <w:r w:rsidRPr="002E46FE">
        <w:rPr>
          <w:rFonts w:ascii="Arial" w:hAnsi="Arial" w:cs="Arial"/>
          <w:sz w:val="22"/>
          <w:szCs w:val="22"/>
        </w:rPr>
        <w:t xml:space="preserve">ČR na základní výzkum (včetně rané fáze </w:t>
      </w:r>
      <w:proofErr w:type="spellStart"/>
      <w:r w:rsidRPr="002E46FE">
        <w:rPr>
          <w:rFonts w:ascii="Arial" w:hAnsi="Arial" w:cs="Arial"/>
          <w:sz w:val="22"/>
          <w:szCs w:val="22"/>
        </w:rPr>
        <w:t>Proof</w:t>
      </w:r>
      <w:proofErr w:type="spellEnd"/>
      <w:r w:rsidRPr="002E46FE">
        <w:rPr>
          <w:rFonts w:ascii="Arial" w:hAnsi="Arial" w:cs="Arial"/>
          <w:sz w:val="22"/>
          <w:szCs w:val="22"/>
        </w:rPr>
        <w:t xml:space="preserve"> </w:t>
      </w:r>
      <w:proofErr w:type="spellStart"/>
      <w:r w:rsidRPr="002E46FE">
        <w:rPr>
          <w:rFonts w:ascii="Arial" w:hAnsi="Arial" w:cs="Arial"/>
          <w:sz w:val="22"/>
          <w:szCs w:val="22"/>
        </w:rPr>
        <w:t>of</w:t>
      </w:r>
      <w:proofErr w:type="spellEnd"/>
      <w:r w:rsidRPr="002E46FE">
        <w:rPr>
          <w:rFonts w:ascii="Arial" w:hAnsi="Arial" w:cs="Arial"/>
          <w:sz w:val="22"/>
          <w:szCs w:val="22"/>
        </w:rPr>
        <w:t xml:space="preserve"> </w:t>
      </w:r>
      <w:proofErr w:type="spellStart"/>
      <w:r w:rsidRPr="002E46FE">
        <w:rPr>
          <w:rFonts w:ascii="Arial" w:hAnsi="Arial" w:cs="Arial"/>
          <w:sz w:val="22"/>
          <w:szCs w:val="22"/>
        </w:rPr>
        <w:t>Concept</w:t>
      </w:r>
      <w:proofErr w:type="spellEnd"/>
      <w:r w:rsidRPr="002E46FE">
        <w:rPr>
          <w:rFonts w:ascii="Arial" w:hAnsi="Arial" w:cs="Arial"/>
          <w:sz w:val="22"/>
          <w:szCs w:val="22"/>
        </w:rPr>
        <w:t>) a TA ČR na aplikovaný výzkum a vývoj.</w:t>
      </w:r>
    </w:p>
    <w:p w14:paraId="45C7CF38" w14:textId="77777777" w:rsidR="008F5A81" w:rsidRPr="00C31AF9" w:rsidRDefault="008F5A81" w:rsidP="00706262">
      <w:pPr>
        <w:spacing w:after="120"/>
        <w:jc w:val="both"/>
        <w:rPr>
          <w:rFonts w:ascii="Arial" w:hAnsi="Arial" w:cs="Arial"/>
          <w:sz w:val="22"/>
          <w:szCs w:val="22"/>
        </w:rPr>
      </w:pPr>
      <w:proofErr w:type="spellStart"/>
      <w:r w:rsidRPr="00C31AF9">
        <w:rPr>
          <w:rFonts w:ascii="Arial" w:hAnsi="Arial" w:cs="Arial"/>
          <w:sz w:val="22"/>
          <w:szCs w:val="22"/>
        </w:rPr>
        <w:t>PoC</w:t>
      </w:r>
      <w:proofErr w:type="spellEnd"/>
      <w:r w:rsidRPr="00C31AF9">
        <w:rPr>
          <w:rFonts w:ascii="Arial" w:hAnsi="Arial" w:cs="Arial"/>
          <w:sz w:val="22"/>
          <w:szCs w:val="22"/>
        </w:rPr>
        <w:t xml:space="preserve"> projekty mají významný potenciál podpořit inovace a komercializaci myšlenek vzniklých v rámci řešení projektů financovaných GA ČR. Tyto projekty mají klíčovou roli v procesu přechodu od konkrétních projektů základního výzkumu směrem k inovacím. Hlavním cílem </w:t>
      </w:r>
      <w:proofErr w:type="spellStart"/>
      <w:r w:rsidRPr="00C31AF9">
        <w:rPr>
          <w:rFonts w:ascii="Arial" w:hAnsi="Arial" w:cs="Arial"/>
          <w:sz w:val="22"/>
          <w:szCs w:val="22"/>
        </w:rPr>
        <w:t>PoC</w:t>
      </w:r>
      <w:proofErr w:type="spellEnd"/>
      <w:r w:rsidRPr="00C31AF9">
        <w:rPr>
          <w:rFonts w:ascii="Arial" w:hAnsi="Arial" w:cs="Arial"/>
          <w:sz w:val="22"/>
          <w:szCs w:val="22"/>
        </w:rPr>
        <w:t xml:space="preserve"> projektů je ověřit proveditelnost nových nápadů a konceptů a připravit je do takové fáze připravenosti, aby byly atraktivní pro další finanční podporu, včetně soukromých investorů. </w:t>
      </w:r>
    </w:p>
    <w:p w14:paraId="266D8BEA" w14:textId="3176236A" w:rsidR="006639B6" w:rsidRPr="00C31AF9" w:rsidRDefault="006639B6" w:rsidP="00706262">
      <w:pPr>
        <w:pStyle w:val="Odstavecseseznamem"/>
        <w:numPr>
          <w:ilvl w:val="0"/>
          <w:numId w:val="1"/>
        </w:numPr>
        <w:spacing w:after="120"/>
        <w:contextualSpacing w:val="0"/>
        <w:rPr>
          <w:rFonts w:ascii="Arial" w:hAnsi="Arial" w:cs="Arial"/>
          <w:b/>
          <w:color w:val="0070C0"/>
          <w:sz w:val="22"/>
          <w:szCs w:val="22"/>
        </w:rPr>
      </w:pPr>
      <w:r w:rsidRPr="00C31AF9">
        <w:rPr>
          <w:rFonts w:ascii="Arial" w:hAnsi="Arial" w:cs="Arial"/>
          <w:b/>
          <w:color w:val="0070C0"/>
          <w:sz w:val="22"/>
          <w:szCs w:val="22"/>
        </w:rPr>
        <w:t>Motivační účinek a očekávané dopady a definice rizik:</w:t>
      </w:r>
    </w:p>
    <w:p w14:paraId="7D4DD6E5" w14:textId="77777777" w:rsidR="006639B6" w:rsidRPr="00C31AF9" w:rsidRDefault="006639B6" w:rsidP="00706262">
      <w:pPr>
        <w:spacing w:after="120"/>
        <w:jc w:val="both"/>
        <w:rPr>
          <w:rFonts w:ascii="Arial" w:hAnsi="Arial" w:cs="Arial"/>
          <w:sz w:val="22"/>
          <w:szCs w:val="22"/>
        </w:rPr>
      </w:pPr>
      <w:r w:rsidRPr="00C31AF9">
        <w:rPr>
          <w:rFonts w:ascii="Arial" w:hAnsi="Arial" w:cs="Arial"/>
          <w:sz w:val="22"/>
          <w:szCs w:val="22"/>
        </w:rPr>
        <w:t xml:space="preserve">Za největší překážkou na cestě od základního výzkumu k inovacím považují výzkumníci a výzkumnice absenci vhodných aplikačních partnerů (např. podniků či institucí apod., které využijí výstupy projektu), kteří by byli ochotni nést vysoké finanční riziko, které je spojeno s počáteční fází vývoje inovace. Skupina grantových projektů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přinese možnost tuto překážku odstranit tím, že podpoří cestu od originální myšlenky, vzniklé v rámci řešení projektu základního výzkumu GA ČR, do podoby, která již bude pro aplikační partnery atraktivní. </w:t>
      </w:r>
    </w:p>
    <w:p w14:paraId="2E3A189C" w14:textId="77777777" w:rsidR="006639B6" w:rsidRPr="00C31AF9" w:rsidRDefault="006639B6" w:rsidP="00706262">
      <w:pPr>
        <w:spacing w:after="120"/>
        <w:jc w:val="both"/>
        <w:rPr>
          <w:rFonts w:ascii="Arial" w:hAnsi="Arial" w:cs="Arial"/>
          <w:sz w:val="22"/>
          <w:szCs w:val="22"/>
        </w:rPr>
      </w:pPr>
      <w:r w:rsidRPr="00C31AF9">
        <w:rPr>
          <w:rFonts w:ascii="Arial" w:hAnsi="Arial" w:cs="Arial"/>
          <w:sz w:val="22"/>
          <w:szCs w:val="22"/>
        </w:rPr>
        <w:t xml:space="preserve">Granty </w:t>
      </w:r>
      <w:proofErr w:type="spellStart"/>
      <w:r w:rsidRPr="00C31AF9">
        <w:rPr>
          <w:rFonts w:ascii="Arial" w:hAnsi="Arial" w:cs="Arial"/>
          <w:sz w:val="22"/>
          <w:szCs w:val="22"/>
        </w:rPr>
        <w:t>Proof</w:t>
      </w:r>
      <w:proofErr w:type="spellEnd"/>
      <w:r w:rsidRPr="00C31AF9">
        <w:rPr>
          <w:rFonts w:ascii="Arial" w:hAnsi="Arial" w:cs="Arial"/>
          <w:sz w:val="22"/>
          <w:szCs w:val="22"/>
        </w:rPr>
        <w:t xml:space="preserve"> </w:t>
      </w:r>
      <w:proofErr w:type="spellStart"/>
      <w:r w:rsidRPr="00C31AF9">
        <w:rPr>
          <w:rFonts w:ascii="Arial" w:hAnsi="Arial" w:cs="Arial"/>
          <w:sz w:val="22"/>
          <w:szCs w:val="22"/>
        </w:rPr>
        <w:t>of</w:t>
      </w:r>
      <w:proofErr w:type="spellEnd"/>
      <w:r w:rsidRPr="00C31AF9">
        <w:rPr>
          <w:rFonts w:ascii="Arial" w:hAnsi="Arial" w:cs="Arial"/>
          <w:sz w:val="22"/>
          <w:szCs w:val="22"/>
        </w:rPr>
        <w:t xml:space="preserve"> </w:t>
      </w:r>
      <w:proofErr w:type="spellStart"/>
      <w:r w:rsidRPr="00C31AF9">
        <w:rPr>
          <w:rFonts w:ascii="Arial" w:hAnsi="Arial" w:cs="Arial"/>
          <w:sz w:val="22"/>
          <w:szCs w:val="22"/>
        </w:rPr>
        <w:t>Concept</w:t>
      </w:r>
      <w:proofErr w:type="spellEnd"/>
      <w:r w:rsidRPr="00C31AF9">
        <w:rPr>
          <w:rFonts w:ascii="Arial" w:hAnsi="Arial" w:cs="Arial"/>
          <w:sz w:val="22"/>
          <w:szCs w:val="22"/>
        </w:rPr>
        <w:t xml:space="preserve"> (</w:t>
      </w:r>
      <w:proofErr w:type="spellStart"/>
      <w:r w:rsidRPr="00C31AF9">
        <w:rPr>
          <w:rFonts w:ascii="Arial" w:hAnsi="Arial" w:cs="Arial"/>
          <w:sz w:val="22"/>
          <w:szCs w:val="22"/>
        </w:rPr>
        <w:t>PoC</w:t>
      </w:r>
      <w:proofErr w:type="spellEnd"/>
      <w:r w:rsidRPr="00C31AF9">
        <w:rPr>
          <w:rFonts w:ascii="Arial" w:hAnsi="Arial" w:cs="Arial"/>
          <w:sz w:val="22"/>
          <w:szCs w:val="22"/>
        </w:rPr>
        <w:t xml:space="preserve">) tak řeší zásadní výzvy při přechodu z excelentního základního výzkumu k inovacím v České republice a vytvářejí podmínky pro valorizaci výsledků vzniklých v rámci projektů financovaných GA ČR. </w:t>
      </w:r>
    </w:p>
    <w:p w14:paraId="6FFDD477" w14:textId="77777777" w:rsidR="006639B6" w:rsidRPr="00C31AF9" w:rsidRDefault="006639B6" w:rsidP="00706262">
      <w:pPr>
        <w:spacing w:after="120"/>
        <w:jc w:val="both"/>
        <w:rPr>
          <w:rFonts w:ascii="Arial" w:hAnsi="Arial" w:cs="Arial"/>
          <w:sz w:val="22"/>
          <w:szCs w:val="22"/>
        </w:rPr>
      </w:pPr>
      <w:r w:rsidRPr="00C31AF9">
        <w:rPr>
          <w:rFonts w:ascii="Arial" w:hAnsi="Arial" w:cs="Arial"/>
          <w:sz w:val="22"/>
          <w:szCs w:val="22"/>
        </w:rPr>
        <w:t xml:space="preserve">V dlouhodobém horizontu se očekává, že projekty </w:t>
      </w:r>
      <w:proofErr w:type="spellStart"/>
      <w:r w:rsidRPr="00C31AF9">
        <w:rPr>
          <w:rFonts w:ascii="Arial" w:hAnsi="Arial" w:cs="Arial"/>
          <w:sz w:val="22"/>
          <w:szCs w:val="22"/>
        </w:rPr>
        <w:t>PoC</w:t>
      </w:r>
      <w:proofErr w:type="spellEnd"/>
      <w:r w:rsidRPr="00C31AF9">
        <w:rPr>
          <w:rFonts w:ascii="Arial" w:hAnsi="Arial" w:cs="Arial"/>
          <w:sz w:val="22"/>
          <w:szCs w:val="22"/>
        </w:rPr>
        <w:t xml:space="preserve"> motivují k větším soukromým investicím do výzkumu, k rozvoji nových produktů, technologií a služeb (a s tím spojenému hospodářskému a společenskému rozvoji) i k větší připravenosti vědců a vědkyň rozvíjet myšlenky pocházející ze základního výzkumu do aplikované podoby.</w:t>
      </w:r>
    </w:p>
    <w:p w14:paraId="77CCCD4B" w14:textId="77777777" w:rsidR="006639B6" w:rsidRPr="00C31AF9" w:rsidRDefault="006639B6" w:rsidP="00706262">
      <w:pPr>
        <w:spacing w:after="120"/>
        <w:jc w:val="both"/>
        <w:rPr>
          <w:rFonts w:ascii="Arial" w:hAnsi="Arial" w:cs="Arial"/>
          <w:sz w:val="22"/>
          <w:szCs w:val="22"/>
        </w:rPr>
      </w:pPr>
      <w:r w:rsidRPr="00C31AF9">
        <w:rPr>
          <w:rFonts w:ascii="Arial" w:hAnsi="Arial" w:cs="Arial"/>
          <w:sz w:val="22"/>
          <w:szCs w:val="22"/>
        </w:rPr>
        <w:t>Za potenciální riziko realizace navrhované skupiny grantových projektů lze považovat:</w:t>
      </w:r>
    </w:p>
    <w:p w14:paraId="06EC9E07" w14:textId="77777777" w:rsidR="006639B6" w:rsidRPr="00C31AF9" w:rsidRDefault="006639B6" w:rsidP="00706262">
      <w:pPr>
        <w:numPr>
          <w:ilvl w:val="0"/>
          <w:numId w:val="35"/>
        </w:numPr>
        <w:spacing w:after="120"/>
        <w:jc w:val="both"/>
        <w:rPr>
          <w:rFonts w:ascii="Arial" w:hAnsi="Arial" w:cs="Arial"/>
          <w:iCs/>
          <w:sz w:val="22"/>
          <w:szCs w:val="22"/>
        </w:rPr>
      </w:pPr>
      <w:r w:rsidRPr="00C31AF9">
        <w:rPr>
          <w:rFonts w:ascii="Arial" w:hAnsi="Arial" w:cs="Arial"/>
          <w:sz w:val="22"/>
          <w:szCs w:val="22"/>
        </w:rPr>
        <w:t>neplánované</w:t>
      </w:r>
      <w:r w:rsidRPr="00C31AF9">
        <w:rPr>
          <w:rFonts w:ascii="Arial" w:hAnsi="Arial" w:cs="Arial"/>
          <w:iCs/>
          <w:sz w:val="22"/>
          <w:szCs w:val="22"/>
        </w:rPr>
        <w:t xml:space="preserve"> snížení alokace finančních prostředků ze státního rozpočtu;</w:t>
      </w:r>
    </w:p>
    <w:p w14:paraId="3E7715AF" w14:textId="77777777" w:rsidR="006639B6" w:rsidRPr="00C31AF9" w:rsidRDefault="006639B6" w:rsidP="00706262">
      <w:pPr>
        <w:numPr>
          <w:ilvl w:val="0"/>
          <w:numId w:val="34"/>
        </w:numPr>
        <w:spacing w:after="120"/>
        <w:jc w:val="both"/>
        <w:rPr>
          <w:rFonts w:ascii="Arial" w:hAnsi="Arial" w:cs="Arial"/>
          <w:sz w:val="22"/>
          <w:szCs w:val="22"/>
        </w:rPr>
      </w:pPr>
      <w:r w:rsidRPr="00C31AF9">
        <w:rPr>
          <w:rFonts w:ascii="Arial" w:hAnsi="Arial" w:cs="Arial"/>
          <w:sz w:val="22"/>
          <w:szCs w:val="22"/>
        </w:rPr>
        <w:t xml:space="preserve">nerealizovatelnost původní myšlenky u příliš vysokého počtu podpořených projektů </w:t>
      </w:r>
      <w:proofErr w:type="spellStart"/>
      <w:r w:rsidRPr="00C31AF9">
        <w:rPr>
          <w:rFonts w:ascii="Arial" w:hAnsi="Arial" w:cs="Arial"/>
          <w:sz w:val="22"/>
          <w:szCs w:val="22"/>
        </w:rPr>
        <w:t>PoC</w:t>
      </w:r>
      <w:proofErr w:type="spellEnd"/>
      <w:r w:rsidRPr="00C31AF9">
        <w:rPr>
          <w:rFonts w:ascii="Arial" w:hAnsi="Arial" w:cs="Arial"/>
          <w:sz w:val="22"/>
          <w:szCs w:val="22"/>
        </w:rPr>
        <w:t>.</w:t>
      </w:r>
    </w:p>
    <w:p w14:paraId="7987BBAE" w14:textId="1A8804A0" w:rsidR="006639B6" w:rsidRDefault="006639B6" w:rsidP="00706262">
      <w:pPr>
        <w:spacing w:after="120"/>
        <w:jc w:val="both"/>
        <w:rPr>
          <w:rFonts w:ascii="Arial" w:hAnsi="Arial" w:cs="Arial"/>
          <w:sz w:val="22"/>
          <w:szCs w:val="22"/>
        </w:rPr>
      </w:pPr>
      <w:r w:rsidRPr="00C31AF9">
        <w:rPr>
          <w:rFonts w:ascii="Arial" w:hAnsi="Arial" w:cs="Arial"/>
          <w:sz w:val="22"/>
          <w:szCs w:val="22"/>
        </w:rPr>
        <w:t>Případné riziko duplicitního financování v rámci projektů eliminuje GA ČR stanovením přísných podmínek, formulovaných v zadávacích dokumentacích, jež duplicitní financování projektů zakazují a nepřipouští, přičemž splnění těchto podmínek je sledováno na všech úrovních hodnoticího procesu.</w:t>
      </w:r>
    </w:p>
    <w:p w14:paraId="6F263275" w14:textId="3EF0CD4A" w:rsidR="006E3E32" w:rsidRDefault="006E3E32" w:rsidP="00706262">
      <w:pPr>
        <w:spacing w:after="120"/>
        <w:jc w:val="both"/>
        <w:rPr>
          <w:rFonts w:ascii="Arial" w:hAnsi="Arial" w:cs="Arial"/>
          <w:sz w:val="22"/>
          <w:szCs w:val="22"/>
        </w:rPr>
      </w:pPr>
    </w:p>
    <w:p w14:paraId="370066E0" w14:textId="77777777" w:rsidR="006E3E32" w:rsidRPr="00C31AF9" w:rsidRDefault="006E3E32" w:rsidP="00706262">
      <w:pPr>
        <w:spacing w:after="120"/>
        <w:jc w:val="both"/>
        <w:rPr>
          <w:rFonts w:ascii="Arial" w:hAnsi="Arial" w:cs="Arial"/>
          <w:sz w:val="22"/>
          <w:szCs w:val="22"/>
        </w:rPr>
      </w:pPr>
    </w:p>
    <w:p w14:paraId="15BC3044" w14:textId="5FE47ECC" w:rsidR="00D56170" w:rsidRPr="00C31AF9" w:rsidRDefault="004E6839" w:rsidP="00706262">
      <w:pPr>
        <w:pStyle w:val="Odstavecseseznamem"/>
        <w:numPr>
          <w:ilvl w:val="0"/>
          <w:numId w:val="1"/>
        </w:numPr>
        <w:spacing w:after="120"/>
        <w:contextualSpacing w:val="0"/>
        <w:jc w:val="both"/>
        <w:rPr>
          <w:rFonts w:ascii="Arial" w:hAnsi="Arial" w:cs="Arial"/>
          <w:b/>
          <w:color w:val="0070C0"/>
          <w:sz w:val="22"/>
          <w:szCs w:val="22"/>
        </w:rPr>
      </w:pPr>
      <w:r w:rsidRPr="00C31AF9">
        <w:rPr>
          <w:rFonts w:ascii="Arial" w:hAnsi="Arial" w:cs="Arial"/>
          <w:b/>
          <w:color w:val="0070C0"/>
          <w:sz w:val="22"/>
          <w:szCs w:val="22"/>
        </w:rPr>
        <w:lastRenderedPageBreak/>
        <w:t>S</w:t>
      </w:r>
      <w:r w:rsidR="00D56170" w:rsidRPr="00C31AF9">
        <w:rPr>
          <w:rFonts w:ascii="Arial" w:hAnsi="Arial" w:cs="Arial"/>
          <w:b/>
          <w:color w:val="0070C0"/>
          <w:sz w:val="22"/>
          <w:szCs w:val="22"/>
        </w:rPr>
        <w:t>ouhrnné a věcné zhodnocení materiálu Radou</w:t>
      </w:r>
    </w:p>
    <w:p w14:paraId="3D30C424" w14:textId="527F2A6C" w:rsidR="004E6839" w:rsidRPr="00C31AF9" w:rsidRDefault="00534BFE" w:rsidP="00706262">
      <w:pPr>
        <w:autoSpaceDE w:val="0"/>
        <w:autoSpaceDN w:val="0"/>
        <w:adjustRightInd w:val="0"/>
        <w:spacing w:after="120"/>
        <w:jc w:val="both"/>
        <w:rPr>
          <w:rFonts w:ascii="Arial" w:eastAsiaTheme="minorHAnsi" w:hAnsi="Arial" w:cs="Arial"/>
          <w:sz w:val="22"/>
          <w:szCs w:val="22"/>
          <w:lang w:eastAsia="en-US"/>
        </w:rPr>
      </w:pPr>
      <w:r w:rsidRPr="00C31AF9">
        <w:rPr>
          <w:rFonts w:ascii="Arial" w:eastAsiaTheme="minorHAnsi" w:hAnsi="Arial" w:cs="Arial"/>
          <w:sz w:val="22"/>
          <w:szCs w:val="22"/>
          <w:lang w:eastAsia="en-US"/>
        </w:rPr>
        <w:t xml:space="preserve">Nová skupina grantových projektů Grantové projekty </w:t>
      </w:r>
      <w:proofErr w:type="spellStart"/>
      <w:r w:rsidR="00443619">
        <w:rPr>
          <w:rFonts w:ascii="Arial" w:eastAsiaTheme="minorHAnsi" w:hAnsi="Arial" w:cs="Arial"/>
          <w:sz w:val="22"/>
          <w:szCs w:val="22"/>
          <w:lang w:eastAsia="en-US"/>
        </w:rPr>
        <w:t>PoC</w:t>
      </w:r>
      <w:proofErr w:type="spellEnd"/>
      <w:r w:rsidR="00443619">
        <w:rPr>
          <w:rFonts w:ascii="Arial" w:eastAsiaTheme="minorHAnsi" w:hAnsi="Arial" w:cs="Arial"/>
          <w:sz w:val="22"/>
          <w:szCs w:val="22"/>
          <w:lang w:eastAsia="en-US"/>
        </w:rPr>
        <w:t xml:space="preserve"> vychází z programu </w:t>
      </w:r>
      <w:proofErr w:type="spellStart"/>
      <w:r w:rsidR="00443619">
        <w:rPr>
          <w:rFonts w:ascii="Arial" w:eastAsiaTheme="minorHAnsi" w:hAnsi="Arial" w:cs="Arial"/>
          <w:sz w:val="22"/>
          <w:szCs w:val="22"/>
          <w:lang w:eastAsia="en-US"/>
        </w:rPr>
        <w:t>Proof</w:t>
      </w:r>
      <w:proofErr w:type="spellEnd"/>
      <w:r w:rsidR="00443619">
        <w:rPr>
          <w:rFonts w:ascii="Arial" w:eastAsiaTheme="minorHAnsi" w:hAnsi="Arial" w:cs="Arial"/>
          <w:sz w:val="22"/>
          <w:szCs w:val="22"/>
          <w:lang w:eastAsia="en-US"/>
        </w:rPr>
        <w:t xml:space="preserve"> </w:t>
      </w:r>
      <w:proofErr w:type="spellStart"/>
      <w:r w:rsidR="00443619">
        <w:rPr>
          <w:rFonts w:ascii="Arial" w:eastAsiaTheme="minorHAnsi" w:hAnsi="Arial" w:cs="Arial"/>
          <w:sz w:val="22"/>
          <w:szCs w:val="22"/>
          <w:lang w:eastAsia="en-US"/>
        </w:rPr>
        <w:t>of</w:t>
      </w:r>
      <w:proofErr w:type="spellEnd"/>
      <w:r w:rsidR="00443619">
        <w:rPr>
          <w:rFonts w:ascii="Arial" w:eastAsiaTheme="minorHAnsi" w:hAnsi="Arial" w:cs="Arial"/>
          <w:sz w:val="22"/>
          <w:szCs w:val="22"/>
          <w:lang w:eastAsia="en-US"/>
        </w:rPr>
        <w:t> </w:t>
      </w:r>
      <w:proofErr w:type="spellStart"/>
      <w:r w:rsidRPr="00C31AF9">
        <w:rPr>
          <w:rFonts w:ascii="Arial" w:eastAsiaTheme="minorHAnsi" w:hAnsi="Arial" w:cs="Arial"/>
          <w:sz w:val="22"/>
          <w:szCs w:val="22"/>
          <w:lang w:eastAsia="en-US"/>
        </w:rPr>
        <w:t>Concept</w:t>
      </w:r>
      <w:proofErr w:type="spellEnd"/>
      <w:r w:rsidRPr="00C31AF9">
        <w:rPr>
          <w:rFonts w:ascii="Arial" w:eastAsiaTheme="minorHAnsi" w:hAnsi="Arial" w:cs="Arial"/>
          <w:sz w:val="22"/>
          <w:szCs w:val="22"/>
          <w:lang w:eastAsia="en-US"/>
        </w:rPr>
        <w:t xml:space="preserve"> prestižní</w:t>
      </w:r>
      <w:r w:rsidRPr="00C31AF9">
        <w:rPr>
          <w:rFonts w:ascii="Arial" w:hAnsi="Arial" w:cs="Arial"/>
          <w:sz w:val="22"/>
          <w:szCs w:val="22"/>
        </w:rPr>
        <w:t xml:space="preserve"> </w:t>
      </w:r>
      <w:r w:rsidRPr="00C31AF9">
        <w:rPr>
          <w:rFonts w:ascii="Arial" w:eastAsiaTheme="minorHAnsi" w:hAnsi="Arial" w:cs="Arial"/>
          <w:sz w:val="22"/>
          <w:szCs w:val="22"/>
          <w:lang w:eastAsia="en-US"/>
        </w:rPr>
        <w:t xml:space="preserve">Evropské výzkumné rady (ERC) a je tedy </w:t>
      </w:r>
      <w:r w:rsidRPr="006E3E32">
        <w:rPr>
          <w:rFonts w:ascii="Arial" w:eastAsiaTheme="minorHAnsi" w:hAnsi="Arial" w:cs="Arial"/>
          <w:sz w:val="22"/>
          <w:szCs w:val="22"/>
          <w:lang w:eastAsia="en-US"/>
        </w:rPr>
        <w:t xml:space="preserve">tvořena </w:t>
      </w:r>
      <w:r w:rsidR="002E46FE" w:rsidRPr="006E3E32">
        <w:rPr>
          <w:rFonts w:ascii="Arial" w:eastAsiaTheme="minorHAnsi" w:hAnsi="Arial" w:cs="Arial"/>
          <w:sz w:val="22"/>
          <w:szCs w:val="22"/>
          <w:lang w:eastAsia="en-US"/>
        </w:rPr>
        <w:t>s ohledem na</w:t>
      </w:r>
      <w:r w:rsidR="00C71F43">
        <w:rPr>
          <w:rFonts w:ascii="Arial" w:eastAsiaTheme="minorHAnsi" w:hAnsi="Arial" w:cs="Arial"/>
          <w:sz w:val="22"/>
          <w:szCs w:val="22"/>
          <w:lang w:eastAsia="en-US"/>
        </w:rPr>
        <w:t> </w:t>
      </w:r>
      <w:r w:rsidRPr="006E3E32">
        <w:rPr>
          <w:rFonts w:ascii="Arial" w:eastAsiaTheme="minorHAnsi" w:hAnsi="Arial" w:cs="Arial"/>
          <w:sz w:val="22"/>
          <w:szCs w:val="22"/>
          <w:lang w:eastAsia="en-US"/>
        </w:rPr>
        <w:t>zahraniční dobrou prax</w:t>
      </w:r>
      <w:r w:rsidR="002E46FE" w:rsidRPr="006E3E32">
        <w:rPr>
          <w:rFonts w:ascii="Arial" w:eastAsiaTheme="minorHAnsi" w:hAnsi="Arial" w:cs="Arial"/>
          <w:sz w:val="22"/>
          <w:szCs w:val="22"/>
          <w:lang w:eastAsia="en-US"/>
        </w:rPr>
        <w:t>i</w:t>
      </w:r>
      <w:r w:rsidRPr="006E3E32">
        <w:rPr>
          <w:rFonts w:ascii="Arial" w:eastAsiaTheme="minorHAnsi" w:hAnsi="Arial" w:cs="Arial"/>
          <w:sz w:val="22"/>
          <w:szCs w:val="22"/>
          <w:lang w:eastAsia="en-US"/>
        </w:rPr>
        <w:t>. Hlavním přínosem</w:t>
      </w:r>
      <w:r w:rsidRPr="006E3E32">
        <w:rPr>
          <w:rFonts w:ascii="Arial" w:hAnsi="Arial" w:cs="Arial"/>
          <w:sz w:val="22"/>
          <w:szCs w:val="22"/>
        </w:rPr>
        <w:t xml:space="preserve"> </w:t>
      </w:r>
      <w:r w:rsidRPr="006E3E32">
        <w:rPr>
          <w:rFonts w:ascii="Arial" w:eastAsiaTheme="minorHAnsi" w:hAnsi="Arial" w:cs="Arial"/>
          <w:sz w:val="22"/>
          <w:szCs w:val="22"/>
          <w:lang w:eastAsia="en-US"/>
        </w:rPr>
        <w:t xml:space="preserve">Grantových projektů </w:t>
      </w:r>
      <w:proofErr w:type="spellStart"/>
      <w:r w:rsidRPr="006E3E32">
        <w:rPr>
          <w:rFonts w:ascii="Arial" w:eastAsiaTheme="minorHAnsi" w:hAnsi="Arial" w:cs="Arial"/>
          <w:sz w:val="22"/>
          <w:szCs w:val="22"/>
          <w:lang w:eastAsia="en-US"/>
        </w:rPr>
        <w:t>PoC</w:t>
      </w:r>
      <w:proofErr w:type="spellEnd"/>
      <w:r w:rsidRPr="006E3E32">
        <w:rPr>
          <w:rFonts w:ascii="Arial" w:eastAsiaTheme="minorHAnsi" w:hAnsi="Arial" w:cs="Arial"/>
          <w:sz w:val="22"/>
          <w:szCs w:val="22"/>
          <w:lang w:eastAsia="en-US"/>
        </w:rPr>
        <w:t xml:space="preserve"> je vytvoření</w:t>
      </w:r>
      <w:r w:rsidRPr="00C31AF9">
        <w:rPr>
          <w:rFonts w:ascii="Arial" w:eastAsiaTheme="minorHAnsi" w:hAnsi="Arial" w:cs="Arial"/>
          <w:sz w:val="22"/>
          <w:szCs w:val="22"/>
          <w:lang w:eastAsia="en-US"/>
        </w:rPr>
        <w:t xml:space="preserve"> nástroje pro podporu inovací a transferu znalostí z excelentního základního výzkumu, který je komplementární k řad</w:t>
      </w:r>
      <w:r w:rsidR="003B2280">
        <w:rPr>
          <w:rFonts w:ascii="Arial" w:eastAsiaTheme="minorHAnsi" w:hAnsi="Arial" w:cs="Arial"/>
          <w:sz w:val="22"/>
          <w:szCs w:val="22"/>
          <w:lang w:eastAsia="en-US"/>
        </w:rPr>
        <w:t>ě</w:t>
      </w:r>
      <w:r w:rsidRPr="00C31AF9">
        <w:rPr>
          <w:rFonts w:ascii="Arial" w:eastAsiaTheme="minorHAnsi" w:hAnsi="Arial" w:cs="Arial"/>
          <w:sz w:val="22"/>
          <w:szCs w:val="22"/>
          <w:lang w:eastAsia="en-US"/>
        </w:rPr>
        <w:t xml:space="preserve"> opatření realizovaných v oblasti podpory inovací a transferu znalostí v aplikovaném výzkumu a systému výzkumu, vývoje a inovací jako celku. Z hlediska úrovně technologické, resp. společenské připravenosti (TRL/SRL) je cíleno na </w:t>
      </w:r>
      <w:r w:rsidR="00443619">
        <w:rPr>
          <w:rFonts w:ascii="Arial" w:eastAsiaTheme="minorHAnsi" w:hAnsi="Arial" w:cs="Arial"/>
          <w:sz w:val="22"/>
          <w:szCs w:val="22"/>
          <w:lang w:eastAsia="en-US"/>
        </w:rPr>
        <w:t>dosažení alespoň úrovně TRL 3 v </w:t>
      </w:r>
      <w:r w:rsidRPr="00C31AF9">
        <w:rPr>
          <w:rFonts w:ascii="Arial" w:eastAsiaTheme="minorHAnsi" w:hAnsi="Arial" w:cs="Arial"/>
          <w:sz w:val="22"/>
          <w:szCs w:val="22"/>
          <w:lang w:eastAsia="en-US"/>
        </w:rPr>
        <w:t xml:space="preserve">případě komerčních inovací, resp. SRL 3 v případě sociálních inovací. Grantové projekty </w:t>
      </w:r>
      <w:proofErr w:type="spellStart"/>
      <w:r w:rsidRPr="00C31AF9">
        <w:rPr>
          <w:rFonts w:ascii="Arial" w:eastAsiaTheme="minorHAnsi" w:hAnsi="Arial" w:cs="Arial"/>
          <w:sz w:val="22"/>
          <w:szCs w:val="22"/>
          <w:lang w:eastAsia="en-US"/>
        </w:rPr>
        <w:t>PoC</w:t>
      </w:r>
      <w:proofErr w:type="spellEnd"/>
      <w:r w:rsidRPr="00C31AF9">
        <w:rPr>
          <w:rFonts w:ascii="Arial" w:eastAsiaTheme="minorHAnsi" w:hAnsi="Arial" w:cs="Arial"/>
          <w:sz w:val="22"/>
          <w:szCs w:val="22"/>
          <w:lang w:eastAsia="en-US"/>
        </w:rPr>
        <w:t xml:space="preserve"> </w:t>
      </w:r>
      <w:r w:rsidR="00FB0793" w:rsidRPr="00C31AF9">
        <w:rPr>
          <w:rFonts w:ascii="Arial" w:eastAsiaTheme="minorHAnsi" w:hAnsi="Arial" w:cs="Arial"/>
          <w:sz w:val="22"/>
          <w:szCs w:val="22"/>
          <w:lang w:eastAsia="en-US"/>
        </w:rPr>
        <w:t>tak zohledňují ekonomický i společenský přínos výsledků základního výzkumu a m</w:t>
      </w:r>
      <w:r w:rsidRPr="00C31AF9">
        <w:rPr>
          <w:rFonts w:ascii="Arial" w:eastAsiaTheme="minorHAnsi" w:hAnsi="Arial" w:cs="Arial"/>
          <w:sz w:val="22"/>
          <w:szCs w:val="22"/>
          <w:lang w:eastAsia="en-US"/>
        </w:rPr>
        <w:t xml:space="preserve">ěly </w:t>
      </w:r>
      <w:r w:rsidR="00FB0793" w:rsidRPr="00C31AF9">
        <w:rPr>
          <w:rFonts w:ascii="Arial" w:eastAsiaTheme="minorHAnsi" w:hAnsi="Arial" w:cs="Arial"/>
          <w:sz w:val="22"/>
          <w:szCs w:val="22"/>
          <w:lang w:eastAsia="en-US"/>
        </w:rPr>
        <w:t xml:space="preserve">by </w:t>
      </w:r>
      <w:r w:rsidRPr="00C31AF9">
        <w:rPr>
          <w:rFonts w:ascii="Arial" w:eastAsiaTheme="minorHAnsi" w:hAnsi="Arial" w:cs="Arial"/>
          <w:sz w:val="22"/>
          <w:szCs w:val="22"/>
          <w:lang w:eastAsia="en-US"/>
        </w:rPr>
        <w:t>sloužit k ověření realizovatelnosti</w:t>
      </w:r>
      <w:r w:rsidR="00FB0793" w:rsidRPr="00C31AF9">
        <w:rPr>
          <w:rFonts w:ascii="Arial" w:eastAsiaTheme="minorHAnsi" w:hAnsi="Arial" w:cs="Arial"/>
          <w:sz w:val="22"/>
          <w:szCs w:val="22"/>
          <w:lang w:eastAsia="en-US"/>
        </w:rPr>
        <w:t xml:space="preserve"> těchto</w:t>
      </w:r>
      <w:r w:rsidRPr="00C31AF9">
        <w:rPr>
          <w:rFonts w:ascii="Arial" w:eastAsiaTheme="minorHAnsi" w:hAnsi="Arial" w:cs="Arial"/>
          <w:sz w:val="22"/>
          <w:szCs w:val="22"/>
          <w:lang w:eastAsia="en-US"/>
        </w:rPr>
        <w:t xml:space="preserve"> výsledků a jejich uplatnitelnosti na trhu, včetně usnadnění navazujícího získání další finanční podpory či soukromých investic pro potenciální komercializaci.</w:t>
      </w:r>
      <w:r w:rsidR="00FB0793" w:rsidRPr="00C31AF9">
        <w:rPr>
          <w:rFonts w:ascii="Arial" w:eastAsiaTheme="minorHAnsi" w:hAnsi="Arial" w:cs="Arial"/>
          <w:sz w:val="22"/>
          <w:szCs w:val="22"/>
          <w:lang w:eastAsia="en-US"/>
        </w:rPr>
        <w:t xml:space="preserve"> </w:t>
      </w:r>
      <w:r w:rsidRPr="00C31AF9">
        <w:rPr>
          <w:rFonts w:ascii="Arial" w:eastAsiaTheme="minorHAnsi" w:hAnsi="Arial" w:cs="Arial"/>
          <w:sz w:val="22"/>
          <w:szCs w:val="22"/>
          <w:lang w:eastAsia="en-US"/>
        </w:rPr>
        <w:t xml:space="preserve">Grantové projekty </w:t>
      </w:r>
      <w:proofErr w:type="spellStart"/>
      <w:r w:rsidRPr="00C31AF9">
        <w:rPr>
          <w:rFonts w:ascii="Arial" w:eastAsiaTheme="minorHAnsi" w:hAnsi="Arial" w:cs="Arial"/>
          <w:sz w:val="22"/>
          <w:szCs w:val="22"/>
          <w:lang w:eastAsia="en-US"/>
        </w:rPr>
        <w:t>PoC</w:t>
      </w:r>
      <w:proofErr w:type="spellEnd"/>
      <w:r w:rsidRPr="00C31AF9">
        <w:rPr>
          <w:rFonts w:ascii="Arial" w:eastAsiaTheme="minorHAnsi" w:hAnsi="Arial" w:cs="Arial"/>
          <w:sz w:val="22"/>
          <w:szCs w:val="22"/>
          <w:lang w:eastAsia="en-US"/>
        </w:rPr>
        <w:t xml:space="preserve"> nemají</w:t>
      </w:r>
      <w:r w:rsidRPr="00C31AF9">
        <w:rPr>
          <w:rFonts w:ascii="Arial" w:hAnsi="Arial" w:cs="Arial"/>
          <w:sz w:val="22"/>
          <w:szCs w:val="22"/>
        </w:rPr>
        <w:t xml:space="preserve"> </w:t>
      </w:r>
      <w:r w:rsidR="00C71F43">
        <w:rPr>
          <w:rFonts w:ascii="Arial" w:eastAsiaTheme="minorHAnsi" w:hAnsi="Arial" w:cs="Arial"/>
          <w:sz w:val="22"/>
          <w:szCs w:val="22"/>
          <w:lang w:eastAsia="en-US"/>
        </w:rPr>
        <w:t>striktně definované zaměření a </w:t>
      </w:r>
      <w:r w:rsidRPr="00C31AF9">
        <w:rPr>
          <w:rFonts w:ascii="Arial" w:eastAsiaTheme="minorHAnsi" w:hAnsi="Arial" w:cs="Arial"/>
          <w:sz w:val="22"/>
          <w:szCs w:val="22"/>
          <w:lang w:eastAsia="en-US"/>
        </w:rPr>
        <w:t>jsou soustředěny na podporu jednotlivých projektů, výzkumníků nebo výzkumných týmů s důrazem na vědeckou excelenci a potenciál výsledků základního výzkumu pro budoucí aplikace.</w:t>
      </w:r>
      <w:r w:rsidRPr="00C31AF9">
        <w:rPr>
          <w:rFonts w:ascii="Arial" w:hAnsi="Arial" w:cs="Arial"/>
          <w:sz w:val="22"/>
          <w:szCs w:val="22"/>
        </w:rPr>
        <w:t xml:space="preserve"> </w:t>
      </w:r>
    </w:p>
    <w:p w14:paraId="1D78ABD2" w14:textId="7E16E244" w:rsidR="00124D03" w:rsidRPr="00C31AF9" w:rsidRDefault="00520FC1" w:rsidP="00706262">
      <w:pPr>
        <w:autoSpaceDE w:val="0"/>
        <w:autoSpaceDN w:val="0"/>
        <w:adjustRightInd w:val="0"/>
        <w:spacing w:after="120"/>
        <w:jc w:val="both"/>
        <w:rPr>
          <w:rFonts w:ascii="Arial" w:eastAsiaTheme="minorHAnsi" w:hAnsi="Arial" w:cs="Arial"/>
          <w:sz w:val="22"/>
          <w:szCs w:val="22"/>
          <w:lang w:eastAsia="en-US"/>
        </w:rPr>
      </w:pPr>
      <w:r w:rsidRPr="00C31AF9">
        <w:rPr>
          <w:rFonts w:ascii="Arial" w:eastAsiaTheme="minorHAnsi" w:hAnsi="Arial" w:cs="Arial"/>
          <w:bCs/>
          <w:sz w:val="22"/>
          <w:szCs w:val="22"/>
          <w:lang w:eastAsia="en-US"/>
        </w:rPr>
        <w:t xml:space="preserve">Z výše uvedených důvodů by </w:t>
      </w:r>
      <w:r w:rsidR="004E6839" w:rsidRPr="00C31AF9">
        <w:rPr>
          <w:rFonts w:ascii="Arial" w:eastAsiaTheme="minorHAnsi" w:hAnsi="Arial" w:cs="Arial"/>
          <w:bCs/>
          <w:sz w:val="22"/>
          <w:szCs w:val="22"/>
          <w:lang w:eastAsia="en-US"/>
        </w:rPr>
        <w:t xml:space="preserve">Granty </w:t>
      </w:r>
      <w:proofErr w:type="spellStart"/>
      <w:r w:rsidR="004E6839" w:rsidRPr="00C31AF9">
        <w:rPr>
          <w:rFonts w:ascii="Arial" w:eastAsiaTheme="minorHAnsi" w:hAnsi="Arial" w:cs="Arial"/>
          <w:bCs/>
          <w:sz w:val="22"/>
          <w:szCs w:val="22"/>
          <w:lang w:eastAsia="en-US"/>
        </w:rPr>
        <w:t>Proof</w:t>
      </w:r>
      <w:proofErr w:type="spellEnd"/>
      <w:r w:rsidR="004E6839" w:rsidRPr="00C31AF9">
        <w:rPr>
          <w:rFonts w:ascii="Arial" w:eastAsiaTheme="minorHAnsi" w:hAnsi="Arial" w:cs="Arial"/>
          <w:bCs/>
          <w:sz w:val="22"/>
          <w:szCs w:val="22"/>
          <w:lang w:eastAsia="en-US"/>
        </w:rPr>
        <w:t xml:space="preserve"> </w:t>
      </w:r>
      <w:proofErr w:type="spellStart"/>
      <w:r w:rsidR="004E6839" w:rsidRPr="00C31AF9">
        <w:rPr>
          <w:rFonts w:ascii="Arial" w:eastAsiaTheme="minorHAnsi" w:hAnsi="Arial" w:cs="Arial"/>
          <w:bCs/>
          <w:sz w:val="22"/>
          <w:szCs w:val="22"/>
          <w:lang w:eastAsia="en-US"/>
        </w:rPr>
        <w:t>of</w:t>
      </w:r>
      <w:proofErr w:type="spellEnd"/>
      <w:r w:rsidR="004E6839" w:rsidRPr="00C31AF9">
        <w:rPr>
          <w:rFonts w:ascii="Arial" w:eastAsiaTheme="minorHAnsi" w:hAnsi="Arial" w:cs="Arial"/>
          <w:bCs/>
          <w:sz w:val="22"/>
          <w:szCs w:val="22"/>
          <w:lang w:eastAsia="en-US"/>
        </w:rPr>
        <w:t xml:space="preserve"> </w:t>
      </w:r>
      <w:proofErr w:type="spellStart"/>
      <w:r w:rsidR="004E6839" w:rsidRPr="00C31AF9">
        <w:rPr>
          <w:rFonts w:ascii="Arial" w:eastAsiaTheme="minorHAnsi" w:hAnsi="Arial" w:cs="Arial"/>
          <w:bCs/>
          <w:sz w:val="22"/>
          <w:szCs w:val="22"/>
          <w:lang w:eastAsia="en-US"/>
        </w:rPr>
        <w:t>Concept</w:t>
      </w:r>
      <w:proofErr w:type="spellEnd"/>
      <w:r w:rsidR="00974AA5" w:rsidRPr="00C31AF9">
        <w:rPr>
          <w:rFonts w:ascii="Arial" w:eastAsiaTheme="minorHAnsi" w:hAnsi="Arial" w:cs="Arial"/>
          <w:bCs/>
          <w:sz w:val="22"/>
          <w:szCs w:val="22"/>
          <w:lang w:eastAsia="en-US"/>
        </w:rPr>
        <w:t xml:space="preserve"> měly přispět k využití</w:t>
      </w:r>
      <w:r w:rsidR="004E6839" w:rsidRPr="00C31AF9">
        <w:rPr>
          <w:rFonts w:ascii="Arial" w:eastAsiaTheme="minorHAnsi" w:hAnsi="Arial" w:cs="Arial"/>
          <w:bCs/>
          <w:sz w:val="22"/>
          <w:szCs w:val="22"/>
          <w:lang w:eastAsia="en-US"/>
        </w:rPr>
        <w:t xml:space="preserve"> inovač</w:t>
      </w:r>
      <w:r w:rsidR="002714FA" w:rsidRPr="00C31AF9">
        <w:rPr>
          <w:rFonts w:ascii="Arial" w:eastAsiaTheme="minorHAnsi" w:hAnsi="Arial" w:cs="Arial"/>
          <w:bCs/>
          <w:sz w:val="22"/>
          <w:szCs w:val="22"/>
          <w:lang w:eastAsia="en-US"/>
        </w:rPr>
        <w:t xml:space="preserve">ního potenciálu </w:t>
      </w:r>
      <w:r w:rsidR="00FB0793" w:rsidRPr="00C31AF9">
        <w:rPr>
          <w:rFonts w:ascii="Arial" w:eastAsiaTheme="minorHAnsi" w:hAnsi="Arial" w:cs="Arial"/>
          <w:bCs/>
          <w:sz w:val="22"/>
          <w:szCs w:val="22"/>
          <w:lang w:eastAsia="en-US"/>
        </w:rPr>
        <w:t xml:space="preserve">perspektivních vědeckých pracovníků prostřednictvím </w:t>
      </w:r>
      <w:r w:rsidR="00974AA5" w:rsidRPr="00C31AF9">
        <w:rPr>
          <w:rFonts w:ascii="Arial" w:eastAsiaTheme="minorHAnsi" w:hAnsi="Arial" w:cs="Arial"/>
          <w:bCs/>
          <w:sz w:val="22"/>
          <w:szCs w:val="22"/>
          <w:lang w:eastAsia="en-US"/>
        </w:rPr>
        <w:t xml:space="preserve">vysoce kvalitních projektů základního výzkumu </w:t>
      </w:r>
      <w:r w:rsidR="004E6839" w:rsidRPr="00C31AF9">
        <w:rPr>
          <w:rFonts w:ascii="Arial" w:eastAsiaTheme="minorHAnsi" w:hAnsi="Arial" w:cs="Arial"/>
          <w:bCs/>
          <w:sz w:val="22"/>
          <w:szCs w:val="22"/>
          <w:lang w:eastAsia="en-US"/>
        </w:rPr>
        <w:t xml:space="preserve">a zrychlení transferu </w:t>
      </w:r>
      <w:r w:rsidR="002714FA" w:rsidRPr="00C31AF9">
        <w:rPr>
          <w:rFonts w:ascii="Arial" w:eastAsiaTheme="minorHAnsi" w:hAnsi="Arial" w:cs="Arial"/>
          <w:bCs/>
          <w:sz w:val="22"/>
          <w:szCs w:val="22"/>
          <w:lang w:eastAsia="en-US"/>
        </w:rPr>
        <w:t>znalostí z</w:t>
      </w:r>
      <w:r w:rsidR="00974AA5" w:rsidRPr="00C31AF9">
        <w:rPr>
          <w:rFonts w:ascii="Arial" w:eastAsiaTheme="minorHAnsi" w:hAnsi="Arial" w:cs="Arial"/>
          <w:bCs/>
          <w:sz w:val="22"/>
          <w:szCs w:val="22"/>
          <w:lang w:eastAsia="en-US"/>
        </w:rPr>
        <w:t>e základního výzkumu pro</w:t>
      </w:r>
      <w:r w:rsidR="002714FA" w:rsidRPr="00C31AF9">
        <w:rPr>
          <w:rFonts w:ascii="Arial" w:eastAsiaTheme="minorHAnsi" w:hAnsi="Arial" w:cs="Arial"/>
          <w:bCs/>
          <w:sz w:val="22"/>
          <w:szCs w:val="22"/>
          <w:lang w:eastAsia="en-US"/>
        </w:rPr>
        <w:t> vývoj inovativních produktů a služeb.</w:t>
      </w:r>
    </w:p>
    <w:p w14:paraId="0F52C440" w14:textId="1FA22C1F" w:rsidR="00451C82" w:rsidRPr="00C31AF9" w:rsidRDefault="00451C82" w:rsidP="00706262">
      <w:pPr>
        <w:keepNext/>
        <w:numPr>
          <w:ilvl w:val="0"/>
          <w:numId w:val="1"/>
        </w:numPr>
        <w:spacing w:after="120"/>
        <w:rPr>
          <w:rFonts w:ascii="Arial" w:hAnsi="Arial" w:cs="Arial"/>
          <w:b/>
          <w:color w:val="0070C0"/>
          <w:sz w:val="22"/>
          <w:szCs w:val="22"/>
        </w:rPr>
      </w:pPr>
      <w:r w:rsidRPr="00C31AF9">
        <w:rPr>
          <w:rFonts w:ascii="Arial" w:hAnsi="Arial" w:cs="Arial"/>
          <w:b/>
          <w:color w:val="0070C0"/>
          <w:sz w:val="22"/>
          <w:szCs w:val="22"/>
        </w:rPr>
        <w:t>K materiálu předkládanému na jednání vlády</w:t>
      </w:r>
    </w:p>
    <w:p w14:paraId="2B836752" w14:textId="48442287" w:rsidR="00451C82" w:rsidRPr="00C31AF9" w:rsidRDefault="00451C82" w:rsidP="00706262">
      <w:pPr>
        <w:keepNext/>
        <w:spacing w:after="120"/>
        <w:ind w:left="3"/>
        <w:rPr>
          <w:rFonts w:ascii="Arial" w:eastAsiaTheme="minorHAnsi" w:hAnsi="Arial" w:cs="Arial"/>
          <w:bCs/>
          <w:sz w:val="22"/>
          <w:szCs w:val="22"/>
          <w:lang w:eastAsia="en-US"/>
        </w:rPr>
      </w:pPr>
      <w:r w:rsidRPr="00C31AF9">
        <w:rPr>
          <w:rFonts w:ascii="Arial" w:eastAsiaTheme="minorHAnsi" w:hAnsi="Arial" w:cs="Arial"/>
          <w:bCs/>
          <w:sz w:val="22"/>
          <w:szCs w:val="22"/>
          <w:lang w:eastAsia="en-US"/>
        </w:rPr>
        <w:t>Předložený návrh Programu obsahuje všechny náležitosti, které musí být podle Jednacího řádu součástí materiálu předkládaného na jednání vlády.</w:t>
      </w:r>
    </w:p>
    <w:p w14:paraId="01EC6FBC" w14:textId="22B0292C" w:rsidR="004F7B50" w:rsidRPr="00C31AF9" w:rsidRDefault="00451C82" w:rsidP="00706262">
      <w:pPr>
        <w:keepNext/>
        <w:numPr>
          <w:ilvl w:val="0"/>
          <w:numId w:val="1"/>
        </w:numPr>
        <w:spacing w:after="120"/>
        <w:rPr>
          <w:rFonts w:ascii="Arial" w:hAnsi="Arial" w:cs="Arial"/>
          <w:b/>
          <w:color w:val="0070C0"/>
          <w:sz w:val="22"/>
          <w:szCs w:val="22"/>
        </w:rPr>
      </w:pPr>
      <w:r w:rsidRPr="00C31AF9">
        <w:rPr>
          <w:rFonts w:ascii="Arial" w:hAnsi="Arial" w:cs="Arial"/>
          <w:b/>
          <w:color w:val="0070C0"/>
          <w:sz w:val="22"/>
          <w:szCs w:val="22"/>
        </w:rPr>
        <w:t>Vyjádření Komise pro hodnocení výsledků a ukončených programů</w:t>
      </w:r>
    </w:p>
    <w:p w14:paraId="08CC6285" w14:textId="1421D16C" w:rsidR="006F512E" w:rsidRDefault="006F512E" w:rsidP="006F512E">
      <w:pPr>
        <w:spacing w:after="120"/>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Komise pro hodnocení výsledků a ukončených programů (dále jen „KHV“) proj</w:t>
      </w:r>
      <w:r>
        <w:rPr>
          <w:rFonts w:ascii="Arial" w:eastAsiaTheme="minorHAnsi" w:hAnsi="Arial" w:cs="Arial"/>
          <w:bCs/>
          <w:sz w:val="22"/>
          <w:szCs w:val="22"/>
          <w:lang w:eastAsia="en-US"/>
        </w:rPr>
        <w:t>ednala předložený návrh skupiny grantových projektů</w:t>
      </w:r>
      <w:r w:rsidRPr="00305FD8">
        <w:rPr>
          <w:rFonts w:ascii="Arial" w:eastAsiaTheme="minorHAnsi" w:hAnsi="Arial" w:cs="Arial"/>
          <w:bCs/>
          <w:sz w:val="22"/>
          <w:szCs w:val="22"/>
          <w:lang w:eastAsia="en-US"/>
        </w:rPr>
        <w:t xml:space="preserve"> dne </w:t>
      </w:r>
      <w:r>
        <w:rPr>
          <w:rFonts w:ascii="Arial" w:eastAsiaTheme="minorHAnsi" w:hAnsi="Arial" w:cs="Arial"/>
          <w:bCs/>
          <w:sz w:val="22"/>
          <w:szCs w:val="22"/>
          <w:lang w:eastAsia="en-US"/>
        </w:rPr>
        <w:t>10.</w:t>
      </w:r>
      <w:r w:rsidRPr="00305FD8">
        <w:rPr>
          <w:rFonts w:ascii="Arial" w:eastAsiaTheme="minorHAnsi" w:hAnsi="Arial" w:cs="Arial"/>
          <w:bCs/>
          <w:sz w:val="22"/>
          <w:szCs w:val="22"/>
          <w:lang w:eastAsia="en-US"/>
        </w:rPr>
        <w:t xml:space="preserve"> </w:t>
      </w:r>
      <w:r>
        <w:rPr>
          <w:rFonts w:ascii="Arial" w:eastAsiaTheme="minorHAnsi" w:hAnsi="Arial" w:cs="Arial"/>
          <w:bCs/>
          <w:sz w:val="22"/>
          <w:szCs w:val="22"/>
          <w:lang w:eastAsia="en-US"/>
        </w:rPr>
        <w:t>února 2025</w:t>
      </w:r>
      <w:r w:rsidRPr="00305FD8">
        <w:rPr>
          <w:rFonts w:ascii="Arial" w:eastAsiaTheme="minorHAnsi" w:hAnsi="Arial" w:cs="Arial"/>
          <w:bCs/>
          <w:sz w:val="22"/>
          <w:szCs w:val="22"/>
          <w:lang w:eastAsia="en-US"/>
        </w:rPr>
        <w:t xml:space="preserve"> a vydala k němu následující vyjádření:</w:t>
      </w:r>
    </w:p>
    <w:p w14:paraId="3CC338D6" w14:textId="68A573A1" w:rsidR="008E2F44" w:rsidRPr="008E2F44" w:rsidRDefault="008E2F44" w:rsidP="008E2F44">
      <w:pPr>
        <w:keepNext/>
        <w:spacing w:after="120"/>
        <w:ind w:left="3"/>
        <w:jc w:val="both"/>
        <w:rPr>
          <w:rFonts w:ascii="Arial" w:eastAsiaTheme="minorHAnsi" w:hAnsi="Arial" w:cs="Arial"/>
          <w:bCs/>
          <w:sz w:val="22"/>
          <w:szCs w:val="22"/>
          <w:lang w:eastAsia="en-US"/>
        </w:rPr>
      </w:pPr>
      <w:r w:rsidRPr="008E2F44">
        <w:rPr>
          <w:rFonts w:ascii="Arial" w:eastAsiaTheme="minorHAnsi" w:hAnsi="Arial" w:cs="Arial"/>
          <w:bCs/>
          <w:sz w:val="22"/>
          <w:szCs w:val="22"/>
          <w:lang w:eastAsia="en-US"/>
        </w:rPr>
        <w:t xml:space="preserve">Návrh programu </w:t>
      </w:r>
      <w:proofErr w:type="spellStart"/>
      <w:r w:rsidRPr="008E2F44">
        <w:rPr>
          <w:rFonts w:ascii="Arial" w:eastAsiaTheme="minorHAnsi" w:hAnsi="Arial" w:cs="Arial"/>
          <w:bCs/>
          <w:sz w:val="22"/>
          <w:szCs w:val="22"/>
          <w:lang w:eastAsia="en-US"/>
        </w:rPr>
        <w:t>PoC</w:t>
      </w:r>
      <w:proofErr w:type="spellEnd"/>
      <w:r w:rsidRPr="008E2F44">
        <w:rPr>
          <w:rFonts w:ascii="Arial" w:eastAsiaTheme="minorHAnsi" w:hAnsi="Arial" w:cs="Arial"/>
          <w:bCs/>
          <w:sz w:val="22"/>
          <w:szCs w:val="22"/>
          <w:lang w:eastAsia="en-US"/>
        </w:rPr>
        <w:t xml:space="preserve"> vychází z osvědčeného modelu ERC </w:t>
      </w:r>
      <w:proofErr w:type="spellStart"/>
      <w:r w:rsidRPr="008E2F44">
        <w:rPr>
          <w:rFonts w:ascii="Arial" w:eastAsiaTheme="minorHAnsi" w:hAnsi="Arial" w:cs="Arial"/>
          <w:bCs/>
          <w:sz w:val="22"/>
          <w:szCs w:val="22"/>
          <w:lang w:eastAsia="en-US"/>
        </w:rPr>
        <w:t>Proof</w:t>
      </w:r>
      <w:proofErr w:type="spellEnd"/>
      <w:r w:rsidRPr="008E2F44">
        <w:rPr>
          <w:rFonts w:ascii="Arial" w:eastAsiaTheme="minorHAnsi" w:hAnsi="Arial" w:cs="Arial"/>
          <w:bCs/>
          <w:sz w:val="22"/>
          <w:szCs w:val="22"/>
          <w:lang w:eastAsia="en-US"/>
        </w:rPr>
        <w:t xml:space="preserve"> </w:t>
      </w:r>
      <w:proofErr w:type="spellStart"/>
      <w:r w:rsidRPr="008E2F44">
        <w:rPr>
          <w:rFonts w:ascii="Arial" w:eastAsiaTheme="minorHAnsi" w:hAnsi="Arial" w:cs="Arial"/>
          <w:bCs/>
          <w:sz w:val="22"/>
          <w:szCs w:val="22"/>
          <w:lang w:eastAsia="en-US"/>
        </w:rPr>
        <w:t>of</w:t>
      </w:r>
      <w:proofErr w:type="spellEnd"/>
      <w:r w:rsidRPr="008E2F44">
        <w:rPr>
          <w:rFonts w:ascii="Arial" w:eastAsiaTheme="minorHAnsi" w:hAnsi="Arial" w:cs="Arial"/>
          <w:bCs/>
          <w:sz w:val="22"/>
          <w:szCs w:val="22"/>
          <w:lang w:eastAsia="en-US"/>
        </w:rPr>
        <w:t xml:space="preserve"> </w:t>
      </w:r>
      <w:proofErr w:type="spellStart"/>
      <w:r w:rsidRPr="008E2F44">
        <w:rPr>
          <w:rFonts w:ascii="Arial" w:eastAsiaTheme="minorHAnsi" w:hAnsi="Arial" w:cs="Arial"/>
          <w:bCs/>
          <w:sz w:val="22"/>
          <w:szCs w:val="22"/>
          <w:lang w:eastAsia="en-US"/>
        </w:rPr>
        <w:t>Concept</w:t>
      </w:r>
      <w:proofErr w:type="spellEnd"/>
      <w:r w:rsidRPr="008E2F44">
        <w:rPr>
          <w:rFonts w:ascii="Arial" w:eastAsiaTheme="minorHAnsi" w:hAnsi="Arial" w:cs="Arial"/>
          <w:bCs/>
          <w:sz w:val="22"/>
          <w:szCs w:val="22"/>
          <w:lang w:eastAsia="en-US"/>
        </w:rPr>
        <w:t xml:space="preserve"> a vhodně vyplňuje mezeru mezi programy zaměřenými výhradně na základní nebo aplikovaný výzkum. Návrh je podpořen dvěma ex ante analýzami, které jsou kvalitně zpracovány a neshledávají žádné významnější problémy. Z pohledu požadavků na programy účelové podpory lze vytknout zejména:</w:t>
      </w:r>
    </w:p>
    <w:p w14:paraId="286837BF" w14:textId="77777777" w:rsidR="008E2F44" w:rsidRPr="008E2F44" w:rsidRDefault="008E2F44" w:rsidP="008E2F44">
      <w:pPr>
        <w:keepNext/>
        <w:spacing w:after="120"/>
        <w:ind w:left="3"/>
        <w:jc w:val="both"/>
        <w:rPr>
          <w:rFonts w:ascii="Arial" w:eastAsiaTheme="minorHAnsi" w:hAnsi="Arial" w:cs="Arial"/>
          <w:bCs/>
          <w:sz w:val="22"/>
          <w:szCs w:val="22"/>
          <w:lang w:eastAsia="en-US"/>
        </w:rPr>
      </w:pPr>
      <w:r w:rsidRPr="008E2F44">
        <w:rPr>
          <w:rFonts w:ascii="Arial" w:eastAsiaTheme="minorHAnsi" w:hAnsi="Arial" w:cs="Arial"/>
          <w:bCs/>
          <w:sz w:val="22"/>
          <w:szCs w:val="22"/>
          <w:lang w:eastAsia="en-US"/>
        </w:rPr>
        <w:t>•</w:t>
      </w:r>
      <w:r w:rsidRPr="008E2F44">
        <w:rPr>
          <w:rFonts w:ascii="Arial" w:eastAsiaTheme="minorHAnsi" w:hAnsi="Arial" w:cs="Arial"/>
          <w:bCs/>
          <w:sz w:val="22"/>
          <w:szCs w:val="22"/>
          <w:lang w:eastAsia="en-US"/>
        </w:rPr>
        <w:tab/>
        <w:t>Absenci lépe definovaných indikátorů pro hodnocení programu (kapitola 20) a jejich cílových/očekávaných hodnot. Navrhované indikátory jsou spíše obecného charakteru a kvantifikace (tedy dosažení očekávaných hodnot) je problematicky uchopitelné. KHV doporučuje do návrhu přidat vhodné konkrétní a měřitelné či ověřitelné indikátory (kvantitativní či kvalitativní), které budou složit k monitorování skupiny grantových projektů a určení, zda skupina grantových projektů plní své cíle.</w:t>
      </w:r>
    </w:p>
    <w:p w14:paraId="412F513C" w14:textId="6ECB5AC6" w:rsidR="008E2F44" w:rsidRPr="008E2F44" w:rsidRDefault="008E2F44" w:rsidP="008E2F44">
      <w:pPr>
        <w:keepNext/>
        <w:spacing w:after="120"/>
        <w:ind w:left="3"/>
        <w:jc w:val="both"/>
        <w:rPr>
          <w:rFonts w:ascii="Arial" w:eastAsiaTheme="minorHAnsi" w:hAnsi="Arial" w:cs="Arial"/>
          <w:bCs/>
          <w:sz w:val="22"/>
          <w:szCs w:val="22"/>
          <w:lang w:eastAsia="en-US"/>
        </w:rPr>
      </w:pPr>
      <w:r w:rsidRPr="008E2F44">
        <w:rPr>
          <w:rFonts w:ascii="Arial" w:eastAsiaTheme="minorHAnsi" w:hAnsi="Arial" w:cs="Arial"/>
          <w:bCs/>
          <w:sz w:val="22"/>
          <w:szCs w:val="22"/>
          <w:lang w:eastAsia="en-US"/>
        </w:rPr>
        <w:t>•</w:t>
      </w:r>
      <w:r w:rsidRPr="008E2F44">
        <w:rPr>
          <w:rFonts w:ascii="Arial" w:eastAsiaTheme="minorHAnsi" w:hAnsi="Arial" w:cs="Arial"/>
          <w:bCs/>
          <w:sz w:val="22"/>
          <w:szCs w:val="22"/>
          <w:lang w:eastAsia="en-US"/>
        </w:rPr>
        <w:tab/>
        <w:t xml:space="preserve">Návrh v zaslané podobě nespecifikuje metody a datovou základnu, které budou sloužit k hodnocení skupiny grantových projektů. KHV doporučuje, aby návrh podrobněji popsal, jakými přístupy bude skupina grantových projektů evaluována (např. deskriptivní analýza, </w:t>
      </w:r>
      <w:r w:rsidRPr="008E2F44">
        <w:rPr>
          <w:rFonts w:ascii="Arial" w:eastAsiaTheme="minorHAnsi" w:hAnsi="Arial" w:cs="Arial"/>
          <w:bCs/>
          <w:sz w:val="22"/>
          <w:szCs w:val="22"/>
          <w:lang w:eastAsia="en-US"/>
        </w:rPr>
        <w:lastRenderedPageBreak/>
        <w:t xml:space="preserve">dotazníkové šetření, </w:t>
      </w:r>
      <w:proofErr w:type="spellStart"/>
      <w:r w:rsidRPr="008E2F44">
        <w:rPr>
          <w:rFonts w:ascii="Arial" w:eastAsiaTheme="minorHAnsi" w:hAnsi="Arial" w:cs="Arial"/>
          <w:bCs/>
          <w:sz w:val="22"/>
          <w:szCs w:val="22"/>
          <w:lang w:eastAsia="en-US"/>
        </w:rPr>
        <w:t>kontrafaktuální</w:t>
      </w:r>
      <w:proofErr w:type="spellEnd"/>
      <w:r w:rsidRPr="008E2F44">
        <w:rPr>
          <w:rFonts w:ascii="Arial" w:eastAsiaTheme="minorHAnsi" w:hAnsi="Arial" w:cs="Arial"/>
          <w:bCs/>
          <w:sz w:val="22"/>
          <w:szCs w:val="22"/>
          <w:lang w:eastAsia="en-US"/>
        </w:rPr>
        <w:t xml:space="preserve"> </w:t>
      </w:r>
      <w:proofErr w:type="gramStart"/>
      <w:r w:rsidRPr="008E2F44">
        <w:rPr>
          <w:rFonts w:ascii="Arial" w:eastAsiaTheme="minorHAnsi" w:hAnsi="Arial" w:cs="Arial"/>
          <w:bCs/>
          <w:sz w:val="22"/>
          <w:szCs w:val="22"/>
          <w:lang w:eastAsia="en-US"/>
        </w:rPr>
        <w:t>analýza...) a jak</w:t>
      </w:r>
      <w:proofErr w:type="gramEnd"/>
      <w:r w:rsidRPr="008E2F44">
        <w:rPr>
          <w:rFonts w:ascii="Arial" w:eastAsiaTheme="minorHAnsi" w:hAnsi="Arial" w:cs="Arial"/>
          <w:bCs/>
          <w:sz w:val="22"/>
          <w:szCs w:val="22"/>
          <w:lang w:eastAsia="en-US"/>
        </w:rPr>
        <w:t xml:space="preserve"> bude zajištěný sběr dat potřebných pro její hodnocení.</w:t>
      </w:r>
    </w:p>
    <w:p w14:paraId="602A407A" w14:textId="4F4C4323" w:rsidR="007E1F32" w:rsidRPr="00443619" w:rsidRDefault="008E2F44" w:rsidP="008E2F44">
      <w:pPr>
        <w:keepNext/>
        <w:spacing w:after="120"/>
        <w:ind w:left="3"/>
        <w:jc w:val="both"/>
        <w:rPr>
          <w:rFonts w:ascii="Arial" w:eastAsiaTheme="minorHAnsi" w:hAnsi="Arial" w:cs="Arial"/>
          <w:bCs/>
          <w:sz w:val="22"/>
          <w:szCs w:val="22"/>
          <w:lang w:eastAsia="en-US"/>
        </w:rPr>
      </w:pPr>
      <w:r w:rsidRPr="008E2F44">
        <w:rPr>
          <w:rFonts w:ascii="Arial" w:eastAsiaTheme="minorHAnsi" w:hAnsi="Arial" w:cs="Arial"/>
          <w:bCs/>
          <w:sz w:val="22"/>
          <w:szCs w:val="22"/>
          <w:lang w:eastAsia="en-US"/>
        </w:rPr>
        <w:t>•</w:t>
      </w:r>
      <w:r w:rsidRPr="008E2F44">
        <w:rPr>
          <w:rFonts w:ascii="Arial" w:eastAsiaTheme="minorHAnsi" w:hAnsi="Arial" w:cs="Arial"/>
          <w:bCs/>
          <w:sz w:val="22"/>
          <w:szCs w:val="22"/>
          <w:lang w:eastAsia="en-US"/>
        </w:rPr>
        <w:tab/>
        <w:t>Absenci popisu a harmonogramu průběžného a závěrečného hodnocení programu a hodnocení dopadů programu. Průběžné a závěrečné hodnocení je popsáno pouze u projektů (kapitoly 17-19), informace o průběžném hodnocení celého programu chybí.</w:t>
      </w:r>
    </w:p>
    <w:p w14:paraId="1F90C40C" w14:textId="7228471C" w:rsidR="00AA632B" w:rsidRDefault="00D56170" w:rsidP="00706262">
      <w:pPr>
        <w:keepNext/>
        <w:numPr>
          <w:ilvl w:val="0"/>
          <w:numId w:val="1"/>
        </w:numPr>
        <w:spacing w:after="120"/>
        <w:rPr>
          <w:rFonts w:ascii="Arial" w:hAnsi="Arial" w:cs="Arial"/>
          <w:b/>
          <w:color w:val="0070C0"/>
          <w:sz w:val="22"/>
          <w:szCs w:val="22"/>
        </w:rPr>
      </w:pPr>
      <w:r w:rsidRPr="00C31AF9">
        <w:rPr>
          <w:rFonts w:ascii="Arial" w:hAnsi="Arial" w:cs="Arial"/>
          <w:b/>
          <w:color w:val="0070C0"/>
          <w:sz w:val="22"/>
          <w:szCs w:val="22"/>
        </w:rPr>
        <w:t xml:space="preserve">Připomínky </w:t>
      </w:r>
      <w:r w:rsidR="00A400DD" w:rsidRPr="00C31AF9">
        <w:rPr>
          <w:rFonts w:ascii="Arial" w:hAnsi="Arial" w:cs="Arial"/>
          <w:b/>
          <w:color w:val="0070C0"/>
          <w:sz w:val="22"/>
          <w:szCs w:val="22"/>
        </w:rPr>
        <w:t xml:space="preserve">Rady </w:t>
      </w:r>
      <w:r w:rsidRPr="00C31AF9">
        <w:rPr>
          <w:rFonts w:ascii="Arial" w:hAnsi="Arial" w:cs="Arial"/>
          <w:b/>
          <w:color w:val="0070C0"/>
          <w:sz w:val="22"/>
          <w:szCs w:val="22"/>
        </w:rPr>
        <w:t>k</w:t>
      </w:r>
      <w:r w:rsidR="00513865" w:rsidRPr="00C31AF9">
        <w:rPr>
          <w:rFonts w:ascii="Arial" w:hAnsi="Arial" w:cs="Arial"/>
          <w:b/>
          <w:color w:val="0070C0"/>
          <w:sz w:val="22"/>
          <w:szCs w:val="22"/>
        </w:rPr>
        <w:t> návrhu programu</w:t>
      </w:r>
    </w:p>
    <w:p w14:paraId="0E3D01E0" w14:textId="79549095" w:rsidR="004D69BE" w:rsidRDefault="004D670A" w:rsidP="00C21E24">
      <w:pPr>
        <w:keepNext/>
        <w:spacing w:after="120"/>
        <w:jc w:val="both"/>
        <w:rPr>
          <w:rFonts w:ascii="Arial" w:eastAsiaTheme="minorHAnsi" w:hAnsi="Arial" w:cs="Arial"/>
          <w:b/>
          <w:bCs/>
          <w:sz w:val="22"/>
          <w:szCs w:val="22"/>
          <w:lang w:eastAsia="en-US"/>
        </w:rPr>
      </w:pPr>
      <w:r w:rsidRPr="004D670A">
        <w:rPr>
          <w:rFonts w:ascii="Arial" w:eastAsiaTheme="minorHAnsi" w:hAnsi="Arial" w:cs="Arial"/>
          <w:b/>
          <w:bCs/>
          <w:sz w:val="22"/>
          <w:szCs w:val="22"/>
          <w:lang w:eastAsia="en-US"/>
        </w:rPr>
        <w:t>Zásadní připomínky</w:t>
      </w:r>
    </w:p>
    <w:p w14:paraId="3C3BA4B5" w14:textId="11C51618" w:rsidR="004D670A" w:rsidRDefault="0058608D" w:rsidP="00C21E24">
      <w:pPr>
        <w:pStyle w:val="Odstavecseseznamem"/>
        <w:keepNext/>
        <w:numPr>
          <w:ilvl w:val="3"/>
          <w:numId w:val="37"/>
        </w:numPr>
        <w:spacing w:after="120"/>
        <w:ind w:left="284" w:hanging="284"/>
        <w:jc w:val="both"/>
        <w:rPr>
          <w:rFonts w:ascii="Arial" w:eastAsiaTheme="minorHAnsi" w:hAnsi="Arial" w:cs="Arial"/>
          <w:bCs/>
          <w:sz w:val="22"/>
          <w:szCs w:val="22"/>
          <w:lang w:eastAsia="en-US"/>
        </w:rPr>
      </w:pPr>
      <w:r>
        <w:rPr>
          <w:rFonts w:ascii="Arial" w:eastAsiaTheme="minorHAnsi" w:hAnsi="Arial" w:cs="Arial"/>
          <w:bCs/>
          <w:sz w:val="22"/>
          <w:szCs w:val="22"/>
          <w:lang w:eastAsia="en-US"/>
        </w:rPr>
        <w:t>R</w:t>
      </w:r>
      <w:r w:rsidR="00C21E24">
        <w:rPr>
          <w:rFonts w:ascii="Arial" w:eastAsiaTheme="minorHAnsi" w:hAnsi="Arial" w:cs="Arial"/>
          <w:bCs/>
          <w:sz w:val="22"/>
          <w:szCs w:val="22"/>
          <w:lang w:eastAsia="en-US"/>
        </w:rPr>
        <w:t xml:space="preserve">ada žádá o doplnění doby trvání skupiny grantových projektů </w:t>
      </w:r>
      <w:proofErr w:type="spellStart"/>
      <w:r w:rsidR="00C21E24">
        <w:rPr>
          <w:rFonts w:ascii="Arial" w:eastAsiaTheme="minorHAnsi" w:hAnsi="Arial" w:cs="Arial"/>
          <w:bCs/>
          <w:sz w:val="22"/>
          <w:szCs w:val="22"/>
          <w:lang w:eastAsia="en-US"/>
        </w:rPr>
        <w:t>PoC</w:t>
      </w:r>
      <w:proofErr w:type="spellEnd"/>
      <w:r w:rsidR="00C21E24">
        <w:rPr>
          <w:rFonts w:ascii="Arial" w:eastAsiaTheme="minorHAnsi" w:hAnsi="Arial" w:cs="Arial"/>
          <w:bCs/>
          <w:sz w:val="22"/>
          <w:szCs w:val="22"/>
          <w:lang w:eastAsia="en-US"/>
        </w:rPr>
        <w:t>, které není z předloženého materiálu zřejmé. Z popisu doby trvání projektů a vyhlašování veřejných soutěží se lze jen domnívat, že se jedná o roky 2026 až 2038, nicméně toto nenaplňuje požadavky kladené zákonem č. 130/2002 Sb., které jsou uvedeny v §5 odst. 2.</w:t>
      </w:r>
    </w:p>
    <w:p w14:paraId="50ED4BD8" w14:textId="77777777" w:rsidR="00443619" w:rsidRPr="00443619" w:rsidRDefault="00443619" w:rsidP="00443619">
      <w:pPr>
        <w:keepNext/>
        <w:spacing w:after="120"/>
        <w:jc w:val="both"/>
        <w:rPr>
          <w:rFonts w:ascii="Arial" w:eastAsiaTheme="minorHAnsi" w:hAnsi="Arial" w:cs="Arial"/>
          <w:bCs/>
          <w:sz w:val="22"/>
          <w:szCs w:val="22"/>
          <w:lang w:eastAsia="en-US"/>
        </w:rPr>
      </w:pPr>
    </w:p>
    <w:p w14:paraId="626B3965" w14:textId="08A8C754" w:rsidR="00C21E24" w:rsidRDefault="00C21E24" w:rsidP="00C21E24">
      <w:pPr>
        <w:pStyle w:val="Odstavecseseznamem"/>
        <w:keepNext/>
        <w:numPr>
          <w:ilvl w:val="3"/>
          <w:numId w:val="37"/>
        </w:numPr>
        <w:spacing w:after="120"/>
        <w:ind w:left="284" w:hanging="284"/>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Rada žádá o doplnění celkových výdajů za dobu trvání skupiny grantových projektů </w:t>
      </w:r>
      <w:proofErr w:type="spellStart"/>
      <w:r>
        <w:rPr>
          <w:rFonts w:ascii="Arial" w:eastAsiaTheme="minorHAnsi" w:hAnsi="Arial" w:cs="Arial"/>
          <w:bCs/>
          <w:sz w:val="22"/>
          <w:szCs w:val="22"/>
          <w:lang w:eastAsia="en-US"/>
        </w:rPr>
        <w:t>PoC</w:t>
      </w:r>
      <w:proofErr w:type="spellEnd"/>
      <w:r>
        <w:rPr>
          <w:rFonts w:ascii="Arial" w:eastAsiaTheme="minorHAnsi" w:hAnsi="Arial" w:cs="Arial"/>
          <w:bCs/>
          <w:sz w:val="22"/>
          <w:szCs w:val="22"/>
          <w:lang w:eastAsia="en-US"/>
        </w:rPr>
        <w:t>, včetně explicitního uvedení u všech let doby trvání, a to v návaznosti na požadavky kladené zákonem č. 130/2002 Sb., které jsou uvedeny v §5 odst. 2.</w:t>
      </w:r>
    </w:p>
    <w:p w14:paraId="0E2B4646" w14:textId="77777777" w:rsidR="00443619" w:rsidRPr="00443619" w:rsidRDefault="00443619" w:rsidP="00443619">
      <w:pPr>
        <w:pStyle w:val="Odstavecseseznamem"/>
        <w:rPr>
          <w:rFonts w:ascii="Arial" w:eastAsiaTheme="minorHAnsi" w:hAnsi="Arial" w:cs="Arial"/>
          <w:bCs/>
          <w:sz w:val="22"/>
          <w:szCs w:val="22"/>
          <w:lang w:eastAsia="en-US"/>
        </w:rPr>
      </w:pPr>
    </w:p>
    <w:p w14:paraId="4DF38CAC" w14:textId="77777777" w:rsidR="00443619" w:rsidRPr="00443619" w:rsidRDefault="00443619" w:rsidP="00443619">
      <w:pPr>
        <w:keepNext/>
        <w:spacing w:after="120"/>
        <w:jc w:val="both"/>
        <w:rPr>
          <w:rFonts w:ascii="Arial" w:eastAsiaTheme="minorHAnsi" w:hAnsi="Arial" w:cs="Arial"/>
          <w:bCs/>
          <w:sz w:val="22"/>
          <w:szCs w:val="22"/>
          <w:lang w:eastAsia="en-US"/>
        </w:rPr>
      </w:pPr>
    </w:p>
    <w:p w14:paraId="02F6426E" w14:textId="46AEF065" w:rsidR="006472AE" w:rsidRPr="00443619" w:rsidRDefault="00C21E24" w:rsidP="006472AE">
      <w:pPr>
        <w:pStyle w:val="Odstavecseseznamem"/>
        <w:keepNext/>
        <w:numPr>
          <w:ilvl w:val="3"/>
          <w:numId w:val="37"/>
        </w:numPr>
        <w:autoSpaceDE w:val="0"/>
        <w:autoSpaceDN w:val="0"/>
        <w:adjustRightInd w:val="0"/>
        <w:spacing w:after="120"/>
        <w:ind w:left="284" w:hanging="284"/>
        <w:jc w:val="both"/>
        <w:rPr>
          <w:rFonts w:ascii="Arial" w:hAnsi="Arial" w:cs="Arial"/>
          <w:sz w:val="22"/>
          <w:szCs w:val="22"/>
        </w:rPr>
      </w:pPr>
      <w:r w:rsidRPr="006472AE">
        <w:rPr>
          <w:rFonts w:ascii="Arial" w:eastAsiaTheme="minorHAnsi" w:hAnsi="Arial" w:cs="Arial"/>
          <w:bCs/>
          <w:sz w:val="22"/>
          <w:szCs w:val="22"/>
          <w:lang w:eastAsia="en-US"/>
        </w:rPr>
        <w:t>Rada žádá o od</w:t>
      </w:r>
      <w:r w:rsidR="006472AE" w:rsidRPr="006472AE">
        <w:rPr>
          <w:rFonts w:ascii="Arial" w:eastAsiaTheme="minorHAnsi" w:hAnsi="Arial" w:cs="Arial"/>
          <w:bCs/>
          <w:sz w:val="22"/>
          <w:szCs w:val="22"/>
          <w:lang w:eastAsia="en-US"/>
        </w:rPr>
        <w:t>s</w:t>
      </w:r>
      <w:r w:rsidRPr="006472AE">
        <w:rPr>
          <w:rFonts w:ascii="Arial" w:eastAsiaTheme="minorHAnsi" w:hAnsi="Arial" w:cs="Arial"/>
          <w:bCs/>
          <w:sz w:val="22"/>
          <w:szCs w:val="22"/>
          <w:lang w:eastAsia="en-US"/>
        </w:rPr>
        <w:t xml:space="preserve">tranění textu </w:t>
      </w:r>
      <w:r w:rsidR="006472AE" w:rsidRPr="006472AE">
        <w:rPr>
          <w:rFonts w:ascii="Arial" w:eastAsiaTheme="minorHAnsi" w:hAnsi="Arial" w:cs="Arial"/>
          <w:bCs/>
          <w:sz w:val="22"/>
          <w:szCs w:val="22"/>
          <w:lang w:eastAsia="en-US"/>
        </w:rPr>
        <w:t xml:space="preserve">v kapitole 7. </w:t>
      </w:r>
      <w:r w:rsidRPr="006472AE">
        <w:rPr>
          <w:rFonts w:ascii="Arial" w:eastAsiaTheme="minorHAnsi" w:hAnsi="Arial" w:cs="Arial"/>
          <w:bCs/>
          <w:sz w:val="22"/>
          <w:szCs w:val="22"/>
          <w:lang w:eastAsia="en-US"/>
        </w:rPr>
        <w:t>na str. 3</w:t>
      </w:r>
      <w:r w:rsidR="006472AE" w:rsidRPr="006472AE">
        <w:rPr>
          <w:rFonts w:ascii="Arial" w:eastAsiaTheme="minorHAnsi" w:hAnsi="Arial" w:cs="Arial"/>
          <w:bCs/>
          <w:sz w:val="22"/>
          <w:szCs w:val="22"/>
          <w:lang w:eastAsia="en-US"/>
        </w:rPr>
        <w:t xml:space="preserve">: </w:t>
      </w:r>
      <w:r w:rsidR="006472AE" w:rsidRPr="006472AE">
        <w:rPr>
          <w:rFonts w:ascii="Arial" w:eastAsiaTheme="minorHAnsi" w:hAnsi="Arial" w:cs="Arial"/>
          <w:bCs/>
          <w:i/>
          <w:sz w:val="22"/>
          <w:szCs w:val="22"/>
          <w:lang w:eastAsia="en-US"/>
        </w:rPr>
        <w:t>„Zajištění hodnocení a administrace projektů v rámci této skupiny grantových projektů si vyžádá navýšení rozpočtu v oblasti institucionálních prostředků ve výši 8 mil Kč ročně.“</w:t>
      </w:r>
      <w:r w:rsidR="006472AE" w:rsidRPr="006472AE">
        <w:rPr>
          <w:rFonts w:ascii="Arial" w:eastAsiaTheme="minorHAnsi" w:hAnsi="Arial" w:cs="Arial"/>
          <w:bCs/>
          <w:sz w:val="22"/>
          <w:szCs w:val="22"/>
          <w:lang w:eastAsia="en-US"/>
        </w:rPr>
        <w:t>, jelikož je dané otázkou tvorby rozpočtu na VaVaI, nikoli znění programu</w:t>
      </w:r>
      <w:r w:rsidR="006472AE">
        <w:rPr>
          <w:rFonts w:ascii="Arial" w:eastAsiaTheme="minorHAnsi" w:hAnsi="Arial" w:cs="Arial"/>
          <w:bCs/>
          <w:sz w:val="22"/>
          <w:szCs w:val="22"/>
          <w:lang w:eastAsia="en-US"/>
        </w:rPr>
        <w:t>/skupiny grantových projektů</w:t>
      </w:r>
      <w:r w:rsidR="006472AE" w:rsidRPr="006472AE">
        <w:rPr>
          <w:rFonts w:ascii="Arial" w:eastAsiaTheme="minorHAnsi" w:hAnsi="Arial" w:cs="Arial"/>
          <w:bCs/>
          <w:sz w:val="22"/>
          <w:szCs w:val="22"/>
          <w:lang w:eastAsia="en-US"/>
        </w:rPr>
        <w:t xml:space="preserve"> účelové podpory.</w:t>
      </w:r>
    </w:p>
    <w:p w14:paraId="40493B97" w14:textId="77777777" w:rsidR="00443619" w:rsidRPr="00443619" w:rsidRDefault="00443619" w:rsidP="00443619">
      <w:pPr>
        <w:keepNext/>
        <w:autoSpaceDE w:val="0"/>
        <w:autoSpaceDN w:val="0"/>
        <w:adjustRightInd w:val="0"/>
        <w:spacing w:after="120"/>
        <w:jc w:val="both"/>
        <w:rPr>
          <w:rFonts w:ascii="Arial" w:hAnsi="Arial" w:cs="Arial"/>
          <w:sz w:val="22"/>
          <w:szCs w:val="22"/>
        </w:rPr>
      </w:pPr>
    </w:p>
    <w:p w14:paraId="09BDF957" w14:textId="5C6EAE44" w:rsidR="006472AE" w:rsidRPr="00443619" w:rsidRDefault="006472AE" w:rsidP="006472AE">
      <w:pPr>
        <w:pStyle w:val="Odstavecseseznamem"/>
        <w:keepNext/>
        <w:numPr>
          <w:ilvl w:val="3"/>
          <w:numId w:val="37"/>
        </w:numPr>
        <w:autoSpaceDE w:val="0"/>
        <w:autoSpaceDN w:val="0"/>
        <w:adjustRightInd w:val="0"/>
        <w:spacing w:after="120"/>
        <w:ind w:left="284" w:hanging="284"/>
        <w:jc w:val="both"/>
        <w:rPr>
          <w:rFonts w:ascii="Arial" w:hAnsi="Arial" w:cs="Arial"/>
          <w:sz w:val="22"/>
          <w:szCs w:val="22"/>
        </w:rPr>
      </w:pPr>
      <w:r>
        <w:rPr>
          <w:rFonts w:ascii="Arial" w:eastAsiaTheme="minorHAnsi" w:hAnsi="Arial" w:cs="Arial"/>
          <w:bCs/>
          <w:sz w:val="22"/>
          <w:szCs w:val="22"/>
          <w:lang w:eastAsia="en-US"/>
        </w:rPr>
        <w:t xml:space="preserve">Rada žádá o nastavení průběžného monitoringu skupiny grantových projektů </w:t>
      </w:r>
      <w:proofErr w:type="spellStart"/>
      <w:r>
        <w:rPr>
          <w:rFonts w:ascii="Arial" w:eastAsiaTheme="minorHAnsi" w:hAnsi="Arial" w:cs="Arial"/>
          <w:bCs/>
          <w:sz w:val="22"/>
          <w:szCs w:val="22"/>
          <w:lang w:eastAsia="en-US"/>
        </w:rPr>
        <w:t>PoC</w:t>
      </w:r>
      <w:proofErr w:type="spellEnd"/>
      <w:r>
        <w:rPr>
          <w:rFonts w:ascii="Arial" w:eastAsiaTheme="minorHAnsi" w:hAnsi="Arial" w:cs="Arial"/>
          <w:bCs/>
          <w:sz w:val="22"/>
          <w:szCs w:val="22"/>
          <w:lang w:eastAsia="en-US"/>
        </w:rPr>
        <w:t xml:space="preserve">, jelikož návrh uvedený v kapitole 20. na str. 15 je nedostačující, protože z textace vyplývá, že by byl první monitoring proveden až v roce 2033: </w:t>
      </w:r>
      <w:r w:rsidRPr="006472AE">
        <w:rPr>
          <w:rFonts w:ascii="Arial" w:eastAsiaTheme="minorHAnsi" w:hAnsi="Arial" w:cs="Arial"/>
          <w:bCs/>
          <w:i/>
          <w:sz w:val="22"/>
          <w:szCs w:val="22"/>
          <w:lang w:eastAsia="en-US"/>
        </w:rPr>
        <w:t xml:space="preserve">„Po pěti letech od ukončení řešení prvních projektů bude proveden první monitoring nastavených indikátorů </w:t>
      </w:r>
      <w:proofErr w:type="spellStart"/>
      <w:r w:rsidRPr="006472AE">
        <w:rPr>
          <w:rFonts w:ascii="Arial" w:eastAsiaTheme="minorHAnsi" w:hAnsi="Arial" w:cs="Arial"/>
          <w:bCs/>
          <w:i/>
          <w:sz w:val="22"/>
          <w:szCs w:val="22"/>
          <w:lang w:eastAsia="en-US"/>
        </w:rPr>
        <w:t>PoC</w:t>
      </w:r>
      <w:proofErr w:type="spellEnd"/>
      <w:r w:rsidRPr="006472AE">
        <w:rPr>
          <w:rFonts w:ascii="Arial" w:eastAsiaTheme="minorHAnsi" w:hAnsi="Arial" w:cs="Arial"/>
          <w:bCs/>
          <w:i/>
          <w:sz w:val="22"/>
          <w:szCs w:val="22"/>
          <w:lang w:eastAsia="en-US"/>
        </w:rPr>
        <w:t>, následně budou průběžná vyhodnocení vypracovávána v tříletých intervalech.“.</w:t>
      </w:r>
    </w:p>
    <w:p w14:paraId="70BF917E" w14:textId="77777777" w:rsidR="00443619" w:rsidRPr="00443619" w:rsidRDefault="00443619" w:rsidP="00443619">
      <w:pPr>
        <w:pStyle w:val="Odstavecseseznamem"/>
        <w:rPr>
          <w:rFonts w:ascii="Arial" w:hAnsi="Arial" w:cs="Arial"/>
          <w:sz w:val="22"/>
          <w:szCs w:val="22"/>
        </w:rPr>
      </w:pPr>
    </w:p>
    <w:p w14:paraId="1D205DC4" w14:textId="77777777" w:rsidR="00443619" w:rsidRPr="00443619" w:rsidRDefault="00443619" w:rsidP="00443619">
      <w:pPr>
        <w:keepNext/>
        <w:autoSpaceDE w:val="0"/>
        <w:autoSpaceDN w:val="0"/>
        <w:adjustRightInd w:val="0"/>
        <w:spacing w:after="120"/>
        <w:jc w:val="both"/>
        <w:rPr>
          <w:rFonts w:ascii="Arial" w:hAnsi="Arial" w:cs="Arial"/>
          <w:sz w:val="22"/>
          <w:szCs w:val="22"/>
        </w:rPr>
      </w:pPr>
    </w:p>
    <w:p w14:paraId="74517AA2" w14:textId="7ABACD78" w:rsidR="00411749" w:rsidRDefault="00443619" w:rsidP="00443619">
      <w:pPr>
        <w:pStyle w:val="Odstavecseseznamem"/>
        <w:keepNext/>
        <w:numPr>
          <w:ilvl w:val="3"/>
          <w:numId w:val="37"/>
        </w:numPr>
        <w:spacing w:after="120"/>
        <w:ind w:left="284" w:hanging="284"/>
        <w:jc w:val="both"/>
        <w:rPr>
          <w:rFonts w:ascii="Arial" w:eastAsiaTheme="minorHAnsi" w:hAnsi="Arial" w:cs="Arial"/>
          <w:bCs/>
          <w:sz w:val="22"/>
          <w:szCs w:val="22"/>
          <w:lang w:eastAsia="en-US"/>
        </w:rPr>
      </w:pPr>
      <w:r w:rsidRPr="00443619">
        <w:rPr>
          <w:rFonts w:ascii="Arial" w:eastAsiaTheme="minorHAnsi" w:hAnsi="Arial" w:cs="Arial"/>
          <w:bCs/>
          <w:sz w:val="22"/>
          <w:szCs w:val="22"/>
          <w:lang w:eastAsia="en-US"/>
        </w:rPr>
        <w:t>Rada žádá o zdůvodnění, proč v </w:t>
      </w:r>
      <w:r w:rsidR="006639B6" w:rsidRPr="00443619">
        <w:rPr>
          <w:rFonts w:ascii="Arial" w:eastAsiaTheme="minorHAnsi" w:hAnsi="Arial" w:cs="Arial"/>
          <w:bCs/>
          <w:sz w:val="22"/>
          <w:szCs w:val="22"/>
          <w:lang w:eastAsia="en-US"/>
        </w:rPr>
        <w:t>návrhu</w:t>
      </w:r>
      <w:r w:rsidRPr="00443619">
        <w:rPr>
          <w:rFonts w:ascii="Arial" w:eastAsiaTheme="minorHAnsi" w:hAnsi="Arial" w:cs="Arial"/>
          <w:bCs/>
          <w:sz w:val="22"/>
          <w:szCs w:val="22"/>
          <w:lang w:eastAsia="en-US"/>
        </w:rPr>
        <w:t xml:space="preserve"> skupiny g</w:t>
      </w:r>
      <w:r w:rsidR="006639B6" w:rsidRPr="00443619">
        <w:rPr>
          <w:rFonts w:ascii="Arial" w:eastAsiaTheme="minorHAnsi" w:hAnsi="Arial" w:cs="Arial"/>
          <w:bCs/>
          <w:sz w:val="22"/>
          <w:szCs w:val="22"/>
          <w:lang w:eastAsia="en-US"/>
        </w:rPr>
        <w:t xml:space="preserve">rantových projektů </w:t>
      </w:r>
      <w:proofErr w:type="spellStart"/>
      <w:r w:rsidR="006639B6" w:rsidRPr="00443619">
        <w:rPr>
          <w:rFonts w:ascii="Arial" w:eastAsiaTheme="minorHAnsi" w:hAnsi="Arial" w:cs="Arial"/>
          <w:bCs/>
          <w:sz w:val="22"/>
          <w:szCs w:val="22"/>
          <w:lang w:eastAsia="en-US"/>
        </w:rPr>
        <w:t>PoC</w:t>
      </w:r>
      <w:proofErr w:type="spellEnd"/>
      <w:r w:rsidR="006639B6" w:rsidRPr="00443619">
        <w:rPr>
          <w:rFonts w:ascii="Arial" w:eastAsiaTheme="minorHAnsi" w:hAnsi="Arial" w:cs="Arial"/>
          <w:bCs/>
          <w:sz w:val="22"/>
          <w:szCs w:val="22"/>
          <w:lang w:eastAsia="en-US"/>
        </w:rPr>
        <w:t xml:space="preserve"> nebylo zapracována doporučení z ex-ante hodnocení </w:t>
      </w:r>
      <w:r w:rsidRPr="00443619">
        <w:rPr>
          <w:rFonts w:ascii="Arial" w:eastAsiaTheme="minorHAnsi" w:hAnsi="Arial" w:cs="Arial"/>
          <w:bCs/>
          <w:sz w:val="22"/>
          <w:szCs w:val="22"/>
          <w:lang w:eastAsia="en-US"/>
        </w:rPr>
        <w:t xml:space="preserve">– (i) </w:t>
      </w:r>
      <w:r w:rsidR="008719A0" w:rsidRPr="00443619">
        <w:rPr>
          <w:rFonts w:ascii="Arial" w:eastAsiaTheme="minorHAnsi" w:hAnsi="Arial" w:cs="Arial"/>
          <w:bCs/>
          <w:sz w:val="22"/>
          <w:szCs w:val="22"/>
          <w:lang w:eastAsia="en-US"/>
        </w:rPr>
        <w:t xml:space="preserve">výslovně uvést </w:t>
      </w:r>
      <w:r w:rsidR="006639B6" w:rsidRPr="00443619">
        <w:rPr>
          <w:rFonts w:ascii="Arial" w:eastAsiaTheme="minorHAnsi" w:hAnsi="Arial" w:cs="Arial"/>
          <w:bCs/>
          <w:sz w:val="22"/>
          <w:szCs w:val="22"/>
          <w:lang w:eastAsia="en-US"/>
        </w:rPr>
        <w:t>vazby na konkrétní strategické cíle a opatření Národní politiky výzkumu, vývoje a</w:t>
      </w:r>
      <w:r w:rsidRPr="00443619">
        <w:rPr>
          <w:rFonts w:ascii="Arial" w:eastAsiaTheme="minorHAnsi" w:hAnsi="Arial" w:cs="Arial"/>
          <w:bCs/>
          <w:sz w:val="22"/>
          <w:szCs w:val="22"/>
          <w:lang w:eastAsia="en-US"/>
        </w:rPr>
        <w:t xml:space="preserve"> inovací České republiky 2021+; (</w:t>
      </w:r>
      <w:proofErr w:type="spellStart"/>
      <w:r w:rsidRPr="00443619">
        <w:rPr>
          <w:rFonts w:ascii="Arial" w:eastAsiaTheme="minorHAnsi" w:hAnsi="Arial" w:cs="Arial"/>
          <w:bCs/>
          <w:sz w:val="22"/>
          <w:szCs w:val="22"/>
          <w:lang w:eastAsia="en-US"/>
        </w:rPr>
        <w:t>ii</w:t>
      </w:r>
      <w:proofErr w:type="spellEnd"/>
      <w:r w:rsidRPr="00443619">
        <w:rPr>
          <w:rFonts w:ascii="Arial" w:eastAsiaTheme="minorHAnsi" w:hAnsi="Arial" w:cs="Arial"/>
          <w:bCs/>
          <w:sz w:val="22"/>
          <w:szCs w:val="22"/>
          <w:lang w:eastAsia="en-US"/>
        </w:rPr>
        <w:t>)</w:t>
      </w:r>
      <w:r w:rsidR="003C5977" w:rsidRPr="00443619">
        <w:rPr>
          <w:rFonts w:ascii="Arial" w:eastAsiaTheme="minorHAnsi" w:hAnsi="Arial" w:cs="Arial"/>
          <w:bCs/>
          <w:sz w:val="22"/>
          <w:szCs w:val="22"/>
          <w:lang w:eastAsia="en-US"/>
        </w:rPr>
        <w:t xml:space="preserve"> rozšířit hodnotící rámec o kvalitativní ukazatele, které jsou vhodnější pro posouzení společenské hodnoty výsledků projektů. Z hlediska společenských</w:t>
      </w:r>
      <w:r w:rsidR="00365455" w:rsidRPr="00443619">
        <w:rPr>
          <w:rFonts w:ascii="Arial" w:eastAsiaTheme="minorHAnsi" w:hAnsi="Arial" w:cs="Arial"/>
          <w:bCs/>
          <w:sz w:val="22"/>
          <w:szCs w:val="22"/>
          <w:lang w:eastAsia="en-US"/>
        </w:rPr>
        <w:t xml:space="preserve"> inovací je uveden soubor požadovaných výsledků</w:t>
      </w:r>
      <w:r w:rsidR="00EE2269" w:rsidRPr="00443619">
        <w:rPr>
          <w:rFonts w:ascii="Arial" w:eastAsiaTheme="minorHAnsi" w:hAnsi="Arial" w:cs="Arial"/>
          <w:bCs/>
          <w:sz w:val="22"/>
          <w:szCs w:val="22"/>
          <w:lang w:eastAsia="en-US"/>
        </w:rPr>
        <w:t xml:space="preserve"> a</w:t>
      </w:r>
      <w:r w:rsidR="00E21B71" w:rsidRPr="00443619">
        <w:rPr>
          <w:rFonts w:ascii="Arial" w:eastAsiaTheme="minorHAnsi" w:hAnsi="Arial" w:cs="Arial"/>
          <w:bCs/>
          <w:sz w:val="22"/>
          <w:szCs w:val="22"/>
          <w:lang w:eastAsia="en-US"/>
        </w:rPr>
        <w:t xml:space="preserve"> poté kritéria hodnocení </w:t>
      </w:r>
      <w:r w:rsidR="00EE2269" w:rsidRPr="00443619">
        <w:rPr>
          <w:rFonts w:ascii="Arial" w:eastAsiaTheme="minorHAnsi" w:hAnsi="Arial" w:cs="Arial"/>
          <w:bCs/>
          <w:sz w:val="22"/>
          <w:szCs w:val="22"/>
          <w:lang w:eastAsia="en-US"/>
        </w:rPr>
        <w:t xml:space="preserve">– </w:t>
      </w:r>
      <w:r w:rsidR="00E21B71" w:rsidRPr="00443619">
        <w:rPr>
          <w:rFonts w:ascii="Arial" w:eastAsiaTheme="minorHAnsi" w:hAnsi="Arial" w:cs="Arial"/>
          <w:bCs/>
          <w:sz w:val="22"/>
          <w:szCs w:val="22"/>
          <w:lang w:eastAsia="en-US"/>
        </w:rPr>
        <w:t>inovační potenciál, přístup a metodika, strateg</w:t>
      </w:r>
      <w:r w:rsidR="00EE2269" w:rsidRPr="00443619">
        <w:rPr>
          <w:rFonts w:ascii="Arial" w:eastAsiaTheme="minorHAnsi" w:hAnsi="Arial" w:cs="Arial"/>
          <w:bCs/>
          <w:sz w:val="22"/>
          <w:szCs w:val="22"/>
          <w:lang w:eastAsia="en-US"/>
        </w:rPr>
        <w:t xml:space="preserve">ické vedení a projektové řízení. V inovačním potenciálu je pak hodnocena míra originality a přínos návrhu, stejně jako jeho potenciál k významnému zlepšení v dané oblasti. Doporučuje se </w:t>
      </w:r>
      <w:r w:rsidR="001B4219" w:rsidRPr="00443619">
        <w:rPr>
          <w:rFonts w:ascii="Arial" w:eastAsiaTheme="minorHAnsi" w:hAnsi="Arial" w:cs="Arial"/>
          <w:bCs/>
          <w:sz w:val="22"/>
          <w:szCs w:val="22"/>
          <w:lang w:eastAsia="en-US"/>
        </w:rPr>
        <w:t>naznačit</w:t>
      </w:r>
      <w:r w:rsidR="00EE2269" w:rsidRPr="00443619">
        <w:rPr>
          <w:rFonts w:ascii="Arial" w:eastAsiaTheme="minorHAnsi" w:hAnsi="Arial" w:cs="Arial"/>
          <w:bCs/>
          <w:sz w:val="22"/>
          <w:szCs w:val="22"/>
          <w:lang w:eastAsia="en-US"/>
        </w:rPr>
        <w:t xml:space="preserve">, jak bude přistoupeno k hodnocení míry originality, přínosu návrhu a potenciál k významnému zlepšení v dané </w:t>
      </w:r>
      <w:r w:rsidR="00A85B51" w:rsidRPr="00443619">
        <w:rPr>
          <w:rFonts w:ascii="Arial" w:eastAsiaTheme="minorHAnsi" w:hAnsi="Arial" w:cs="Arial"/>
          <w:bCs/>
          <w:sz w:val="22"/>
          <w:szCs w:val="22"/>
          <w:lang w:eastAsia="en-US"/>
        </w:rPr>
        <w:t xml:space="preserve">oblasti či inovační přínos nebo přínos pro společnost v případě kritérií splnění cílů. </w:t>
      </w:r>
    </w:p>
    <w:p w14:paraId="533C455F" w14:textId="32C5BAF6" w:rsidR="004D69BE" w:rsidRPr="00443619" w:rsidRDefault="004D69BE" w:rsidP="00443619">
      <w:pPr>
        <w:autoSpaceDE w:val="0"/>
        <w:autoSpaceDN w:val="0"/>
        <w:adjustRightInd w:val="0"/>
        <w:spacing w:after="120"/>
        <w:jc w:val="both"/>
        <w:rPr>
          <w:rFonts w:ascii="Arial" w:hAnsi="Arial" w:cs="Arial"/>
          <w:sz w:val="22"/>
          <w:szCs w:val="22"/>
        </w:rPr>
      </w:pPr>
    </w:p>
    <w:p w14:paraId="0E569150" w14:textId="4812D932" w:rsidR="004D69BE" w:rsidRDefault="004D69BE" w:rsidP="00443619">
      <w:pPr>
        <w:pStyle w:val="Odstavecseseznamem"/>
        <w:keepNext/>
        <w:numPr>
          <w:ilvl w:val="3"/>
          <w:numId w:val="37"/>
        </w:numPr>
        <w:spacing w:after="120"/>
        <w:ind w:left="284" w:hanging="284"/>
        <w:jc w:val="both"/>
        <w:rPr>
          <w:rFonts w:ascii="Arial" w:eastAsiaTheme="minorHAnsi" w:hAnsi="Arial" w:cs="Arial"/>
          <w:bCs/>
          <w:sz w:val="22"/>
          <w:szCs w:val="22"/>
          <w:lang w:eastAsia="en-US"/>
        </w:rPr>
      </w:pPr>
      <w:r w:rsidRPr="00443619">
        <w:rPr>
          <w:rFonts w:ascii="Arial" w:eastAsiaTheme="minorHAnsi" w:hAnsi="Arial" w:cs="Arial"/>
          <w:bCs/>
          <w:sz w:val="22"/>
          <w:szCs w:val="22"/>
          <w:lang w:eastAsia="en-US"/>
        </w:rPr>
        <w:t xml:space="preserve">K výdajům na skupinu grantových projektů </w:t>
      </w:r>
      <w:r w:rsidR="00E87111" w:rsidRPr="00443619">
        <w:rPr>
          <w:rFonts w:ascii="Arial" w:eastAsiaTheme="minorHAnsi" w:hAnsi="Arial" w:cs="Arial"/>
          <w:bCs/>
          <w:sz w:val="22"/>
          <w:szCs w:val="22"/>
          <w:lang w:eastAsia="en-US"/>
        </w:rPr>
        <w:t xml:space="preserve">uplatňuje Rada následující připomínku. </w:t>
      </w:r>
      <w:r w:rsidRPr="00443619">
        <w:rPr>
          <w:rFonts w:ascii="Arial" w:eastAsiaTheme="minorHAnsi" w:hAnsi="Arial" w:cs="Arial"/>
          <w:bCs/>
          <w:sz w:val="22"/>
          <w:szCs w:val="22"/>
          <w:lang w:eastAsia="en-US"/>
        </w:rPr>
        <w:t>Rada schválila na svém 401. zasedání dne 31. května 2024 „Návrh výdajů státního rozpočtu České republiky na výzkum, vývoj, experimentální vývoj a inovace na rok 2025 se střednědobým výhledem na léta 2026 a 2027 a dlouhod</w:t>
      </w:r>
      <w:r w:rsidR="00443619">
        <w:rPr>
          <w:rFonts w:ascii="Arial" w:eastAsiaTheme="minorHAnsi" w:hAnsi="Arial" w:cs="Arial"/>
          <w:bCs/>
          <w:sz w:val="22"/>
          <w:szCs w:val="22"/>
          <w:lang w:eastAsia="en-US"/>
        </w:rPr>
        <w:t>obým výhledem do roku 2031“, ve </w:t>
      </w:r>
      <w:r w:rsidRPr="00443619">
        <w:rPr>
          <w:rFonts w:ascii="Arial" w:eastAsiaTheme="minorHAnsi" w:hAnsi="Arial" w:cs="Arial"/>
          <w:bCs/>
          <w:sz w:val="22"/>
          <w:szCs w:val="22"/>
          <w:lang w:eastAsia="en-US"/>
        </w:rPr>
        <w:t xml:space="preserve">kterém schválila výdaje na připravovanou skupinu grantových projektů </w:t>
      </w:r>
      <w:proofErr w:type="spellStart"/>
      <w:r w:rsidRPr="00443619">
        <w:rPr>
          <w:rFonts w:ascii="Arial" w:eastAsiaTheme="minorHAnsi" w:hAnsi="Arial" w:cs="Arial"/>
          <w:bCs/>
          <w:sz w:val="22"/>
          <w:szCs w:val="22"/>
          <w:lang w:eastAsia="en-US"/>
        </w:rPr>
        <w:t>Proof</w:t>
      </w:r>
      <w:proofErr w:type="spellEnd"/>
      <w:r w:rsidRPr="00443619">
        <w:rPr>
          <w:rFonts w:ascii="Arial" w:eastAsiaTheme="minorHAnsi" w:hAnsi="Arial" w:cs="Arial"/>
          <w:bCs/>
          <w:sz w:val="22"/>
          <w:szCs w:val="22"/>
          <w:lang w:eastAsia="en-US"/>
        </w:rPr>
        <w:t xml:space="preserve"> </w:t>
      </w:r>
      <w:proofErr w:type="spellStart"/>
      <w:r w:rsidRPr="00443619">
        <w:rPr>
          <w:rFonts w:ascii="Arial" w:eastAsiaTheme="minorHAnsi" w:hAnsi="Arial" w:cs="Arial"/>
          <w:bCs/>
          <w:sz w:val="22"/>
          <w:szCs w:val="22"/>
          <w:lang w:eastAsia="en-US"/>
        </w:rPr>
        <w:t>of</w:t>
      </w:r>
      <w:proofErr w:type="spellEnd"/>
      <w:r w:rsidRPr="00443619">
        <w:rPr>
          <w:rFonts w:ascii="Arial" w:eastAsiaTheme="minorHAnsi" w:hAnsi="Arial" w:cs="Arial"/>
          <w:bCs/>
          <w:sz w:val="22"/>
          <w:szCs w:val="22"/>
          <w:lang w:eastAsia="en-US"/>
        </w:rPr>
        <w:t xml:space="preserve"> </w:t>
      </w:r>
      <w:proofErr w:type="spellStart"/>
      <w:r w:rsidRPr="00443619">
        <w:rPr>
          <w:rFonts w:ascii="Arial" w:eastAsiaTheme="minorHAnsi" w:hAnsi="Arial" w:cs="Arial"/>
          <w:bCs/>
          <w:sz w:val="22"/>
          <w:szCs w:val="22"/>
          <w:lang w:eastAsia="en-US"/>
        </w:rPr>
        <w:t>Concept</w:t>
      </w:r>
      <w:proofErr w:type="spellEnd"/>
      <w:r w:rsidRPr="00443619">
        <w:rPr>
          <w:rFonts w:ascii="Arial" w:eastAsiaTheme="minorHAnsi" w:hAnsi="Arial" w:cs="Arial"/>
          <w:bCs/>
          <w:sz w:val="22"/>
          <w:szCs w:val="22"/>
          <w:lang w:eastAsia="en-US"/>
        </w:rPr>
        <w:t xml:space="preserve"> v letech 2026 a 2027 ve výši navrhované GA ČR, tj. 80 mil. Kč ročně. Vláda ČR však tento návrh pouze vzala na vědomí svým usnesením ze dne 12. června 2024 č. 379. Usnesením </w:t>
      </w:r>
      <w:r w:rsidRPr="00443619">
        <w:rPr>
          <w:rFonts w:ascii="Arial" w:eastAsiaTheme="minorHAnsi" w:hAnsi="Arial" w:cs="Arial"/>
          <w:bCs/>
          <w:sz w:val="22"/>
          <w:szCs w:val="22"/>
          <w:lang w:eastAsia="en-US"/>
        </w:rPr>
        <w:lastRenderedPageBreak/>
        <w:t xml:space="preserve">vlády ze dne 25. září 2025 č. 645, kterým byl schválen návrh zákona o státním rozpočtu ČR na rok 2025 a střednědobý výhled státního rozpočtu ČR na léta 2026 a 2027, a v rámci kterého byl schválen také návrh výdajů na VaVaI na stejné období, však nebyly výdaje navržené Radou na skupinu grantových projektů </w:t>
      </w:r>
      <w:proofErr w:type="spellStart"/>
      <w:r w:rsidRPr="00443619">
        <w:rPr>
          <w:rFonts w:ascii="Arial" w:eastAsiaTheme="minorHAnsi" w:hAnsi="Arial" w:cs="Arial"/>
          <w:bCs/>
          <w:sz w:val="22"/>
          <w:szCs w:val="22"/>
          <w:lang w:eastAsia="en-US"/>
        </w:rPr>
        <w:t>PoC</w:t>
      </w:r>
      <w:proofErr w:type="spellEnd"/>
      <w:r w:rsidRPr="00443619">
        <w:rPr>
          <w:rFonts w:ascii="Arial" w:eastAsiaTheme="minorHAnsi" w:hAnsi="Arial" w:cs="Arial"/>
          <w:bCs/>
          <w:sz w:val="22"/>
          <w:szCs w:val="22"/>
          <w:lang w:eastAsia="en-US"/>
        </w:rPr>
        <w:t xml:space="preserve"> schváleny.</w:t>
      </w:r>
    </w:p>
    <w:p w14:paraId="2A11652F" w14:textId="7ED8F25C" w:rsidR="004D69BE" w:rsidRPr="00443619" w:rsidRDefault="004D69BE" w:rsidP="00443619">
      <w:pPr>
        <w:pStyle w:val="Odstavecseseznamem"/>
        <w:keepNext/>
        <w:spacing w:after="120"/>
        <w:ind w:left="284"/>
        <w:jc w:val="both"/>
        <w:rPr>
          <w:rFonts w:ascii="Arial" w:eastAsiaTheme="minorHAnsi" w:hAnsi="Arial" w:cs="Arial"/>
          <w:bCs/>
          <w:sz w:val="22"/>
          <w:szCs w:val="22"/>
          <w:lang w:eastAsia="en-US"/>
        </w:rPr>
      </w:pPr>
      <w:r w:rsidRPr="00443619">
        <w:rPr>
          <w:rFonts w:ascii="Arial" w:eastAsiaTheme="minorHAnsi" w:hAnsi="Arial" w:cs="Arial"/>
          <w:bCs/>
          <w:sz w:val="22"/>
          <w:szCs w:val="22"/>
          <w:lang w:eastAsia="en-US"/>
        </w:rPr>
        <w:t>S ohledem na tuto skutečnost, aby mohla Rada zahrnout návrh výdajů na uvedenou skupinu grantových projektů do svého návrhu výdajů na VaVaI na období 2026</w:t>
      </w:r>
      <w:r w:rsidR="00443619">
        <w:rPr>
          <w:rFonts w:ascii="Arial" w:eastAsiaTheme="minorHAnsi" w:hAnsi="Arial" w:cs="Arial"/>
          <w:bCs/>
          <w:sz w:val="22"/>
          <w:szCs w:val="22"/>
          <w:lang w:eastAsia="en-US"/>
        </w:rPr>
        <w:t>+, který v </w:t>
      </w:r>
      <w:r w:rsidRPr="00443619">
        <w:rPr>
          <w:rFonts w:ascii="Arial" w:eastAsiaTheme="minorHAnsi" w:hAnsi="Arial" w:cs="Arial"/>
          <w:bCs/>
          <w:sz w:val="22"/>
          <w:szCs w:val="22"/>
          <w:lang w:eastAsia="en-US"/>
        </w:rPr>
        <w:t xml:space="preserve">současné chvíli již začíná připravovat, je nutné, aby byla tato skupina grantových projektů schválena vládou dříve, než bude Rada schvalovat finální návrh výdajů na VaVaI 2026+ pro předložení vládě ČR. Současně Rada upozorňuje, že schválení skupiny grantových projektů </w:t>
      </w:r>
      <w:proofErr w:type="spellStart"/>
      <w:r w:rsidRPr="00443619">
        <w:rPr>
          <w:rFonts w:ascii="Arial" w:eastAsiaTheme="minorHAnsi" w:hAnsi="Arial" w:cs="Arial"/>
          <w:bCs/>
          <w:sz w:val="22"/>
          <w:szCs w:val="22"/>
          <w:lang w:eastAsia="en-US"/>
        </w:rPr>
        <w:t>PoC</w:t>
      </w:r>
      <w:proofErr w:type="spellEnd"/>
      <w:r w:rsidRPr="00443619">
        <w:rPr>
          <w:rFonts w:ascii="Arial" w:eastAsiaTheme="minorHAnsi" w:hAnsi="Arial" w:cs="Arial"/>
          <w:bCs/>
          <w:sz w:val="22"/>
          <w:szCs w:val="22"/>
          <w:lang w:eastAsia="en-US"/>
        </w:rPr>
        <w:t xml:space="preserve"> vládou nezakládá automaticky nárok na její financování ze státního rozpočtu v objemech navržených GA ČR. Financování se bude odvíjet od možností státního rozpočtu.</w:t>
      </w:r>
    </w:p>
    <w:p w14:paraId="23CF8A1A" w14:textId="77777777" w:rsidR="00E87111" w:rsidRDefault="00E87111" w:rsidP="00443619">
      <w:pPr>
        <w:pStyle w:val="Odstavecseseznamem"/>
        <w:autoSpaceDE w:val="0"/>
        <w:autoSpaceDN w:val="0"/>
        <w:adjustRightInd w:val="0"/>
        <w:spacing w:after="120"/>
        <w:ind w:left="1083"/>
        <w:jc w:val="both"/>
        <w:rPr>
          <w:rFonts w:ascii="Arial" w:hAnsi="Arial" w:cs="Arial"/>
          <w:sz w:val="22"/>
          <w:szCs w:val="22"/>
        </w:rPr>
      </w:pPr>
    </w:p>
    <w:p w14:paraId="7989D80B" w14:textId="77777777" w:rsidR="00D56170" w:rsidRPr="00C31AF9" w:rsidRDefault="00D56170" w:rsidP="00706262">
      <w:pPr>
        <w:keepNext/>
        <w:numPr>
          <w:ilvl w:val="0"/>
          <w:numId w:val="1"/>
        </w:numPr>
        <w:spacing w:before="240" w:after="120"/>
        <w:rPr>
          <w:rFonts w:ascii="Arial" w:hAnsi="Arial" w:cs="Arial"/>
          <w:b/>
          <w:color w:val="0070C0"/>
          <w:sz w:val="22"/>
          <w:szCs w:val="22"/>
        </w:rPr>
      </w:pPr>
      <w:r w:rsidRPr="00C31AF9">
        <w:rPr>
          <w:rFonts w:ascii="Arial" w:hAnsi="Arial" w:cs="Arial"/>
          <w:b/>
          <w:color w:val="0070C0"/>
          <w:sz w:val="22"/>
          <w:szCs w:val="22"/>
        </w:rPr>
        <w:t>Závěr</w:t>
      </w:r>
    </w:p>
    <w:p w14:paraId="1A868408" w14:textId="6202C698" w:rsidR="00D56170" w:rsidRPr="00C31AF9" w:rsidRDefault="00451C82" w:rsidP="00706262">
      <w:pPr>
        <w:pStyle w:val="Zkladntext2"/>
        <w:spacing w:after="120"/>
        <w:jc w:val="both"/>
        <w:rPr>
          <w:rFonts w:ascii="Arial" w:hAnsi="Arial" w:cs="Arial"/>
          <w:sz w:val="22"/>
          <w:szCs w:val="22"/>
        </w:rPr>
      </w:pPr>
      <w:bookmarkStart w:id="1" w:name="OLE_LINK1"/>
      <w:r w:rsidRPr="00C31AF9">
        <w:rPr>
          <w:rFonts w:ascii="Arial" w:hAnsi="Arial" w:cs="Arial"/>
          <w:b/>
          <w:sz w:val="22"/>
          <w:szCs w:val="22"/>
        </w:rPr>
        <w:t xml:space="preserve">Rada souhlasí s návrhem </w:t>
      </w:r>
      <w:r w:rsidR="00AA27E3" w:rsidRPr="00C31AF9">
        <w:rPr>
          <w:rFonts w:ascii="Arial" w:hAnsi="Arial" w:cs="Arial"/>
          <w:b/>
          <w:sz w:val="22"/>
          <w:szCs w:val="22"/>
        </w:rPr>
        <w:t xml:space="preserve">Skupiny grantových projektů </w:t>
      </w:r>
      <w:r w:rsidR="00C71F43">
        <w:rPr>
          <w:rFonts w:ascii="Arial" w:hAnsi="Arial" w:cs="Arial"/>
          <w:b/>
          <w:sz w:val="22"/>
          <w:szCs w:val="22"/>
        </w:rPr>
        <w:t xml:space="preserve">Grantové projekty </w:t>
      </w:r>
      <w:proofErr w:type="spellStart"/>
      <w:r w:rsidR="00C71F43">
        <w:rPr>
          <w:rFonts w:ascii="Arial" w:hAnsi="Arial" w:cs="Arial"/>
          <w:b/>
          <w:sz w:val="22"/>
          <w:szCs w:val="22"/>
        </w:rPr>
        <w:t>Proof</w:t>
      </w:r>
      <w:proofErr w:type="spellEnd"/>
      <w:r w:rsidR="00C71F43">
        <w:rPr>
          <w:rFonts w:ascii="Arial" w:hAnsi="Arial" w:cs="Arial"/>
          <w:b/>
          <w:sz w:val="22"/>
          <w:szCs w:val="22"/>
        </w:rPr>
        <w:t xml:space="preserve"> </w:t>
      </w:r>
      <w:proofErr w:type="spellStart"/>
      <w:r w:rsidR="00C71F43">
        <w:rPr>
          <w:rFonts w:ascii="Arial" w:hAnsi="Arial" w:cs="Arial"/>
          <w:b/>
          <w:sz w:val="22"/>
          <w:szCs w:val="22"/>
        </w:rPr>
        <w:t>of</w:t>
      </w:r>
      <w:proofErr w:type="spellEnd"/>
      <w:r w:rsidR="00C71F43">
        <w:rPr>
          <w:rFonts w:ascii="Arial" w:hAnsi="Arial" w:cs="Arial"/>
          <w:b/>
          <w:sz w:val="22"/>
          <w:szCs w:val="22"/>
        </w:rPr>
        <w:t> </w:t>
      </w:r>
      <w:proofErr w:type="spellStart"/>
      <w:r w:rsidR="002714FA" w:rsidRPr="00C31AF9">
        <w:rPr>
          <w:rFonts w:ascii="Arial" w:hAnsi="Arial" w:cs="Arial"/>
          <w:b/>
          <w:sz w:val="22"/>
          <w:szCs w:val="22"/>
        </w:rPr>
        <w:t>Concept</w:t>
      </w:r>
      <w:proofErr w:type="spellEnd"/>
      <w:r w:rsidRPr="00C31AF9">
        <w:rPr>
          <w:rFonts w:ascii="Arial" w:hAnsi="Arial" w:cs="Arial"/>
          <w:b/>
          <w:sz w:val="22"/>
          <w:szCs w:val="22"/>
        </w:rPr>
        <w:t xml:space="preserve"> po za</w:t>
      </w:r>
      <w:r w:rsidR="00756D0F" w:rsidRPr="00C31AF9">
        <w:rPr>
          <w:rFonts w:ascii="Arial" w:hAnsi="Arial" w:cs="Arial"/>
          <w:b/>
          <w:sz w:val="22"/>
          <w:szCs w:val="22"/>
        </w:rPr>
        <w:t>pracování připomínek Rady a KHV a žádá</w:t>
      </w:r>
      <w:r w:rsidR="003F52B1" w:rsidRPr="00C31AF9">
        <w:rPr>
          <w:rFonts w:ascii="Arial" w:hAnsi="Arial" w:cs="Arial"/>
          <w:b/>
          <w:sz w:val="22"/>
          <w:szCs w:val="22"/>
        </w:rPr>
        <w:t xml:space="preserve"> GA</w:t>
      </w:r>
      <w:r w:rsidR="000D7EFD" w:rsidRPr="00C31AF9">
        <w:rPr>
          <w:rFonts w:ascii="Arial" w:hAnsi="Arial" w:cs="Arial"/>
          <w:b/>
          <w:sz w:val="22"/>
          <w:szCs w:val="22"/>
        </w:rPr>
        <w:t> </w:t>
      </w:r>
      <w:r w:rsidR="003F52B1" w:rsidRPr="00C31AF9">
        <w:rPr>
          <w:rFonts w:ascii="Arial" w:hAnsi="Arial" w:cs="Arial"/>
          <w:b/>
          <w:sz w:val="22"/>
          <w:szCs w:val="22"/>
        </w:rPr>
        <w:t>ČR</w:t>
      </w:r>
      <w:r w:rsidR="00756D0F" w:rsidRPr="00C31AF9">
        <w:rPr>
          <w:rFonts w:ascii="Arial" w:hAnsi="Arial" w:cs="Arial"/>
          <w:b/>
          <w:sz w:val="22"/>
          <w:szCs w:val="22"/>
        </w:rPr>
        <w:t xml:space="preserve"> o zaslání vypořádání připomínek Rady a KHV </w:t>
      </w:r>
      <w:r w:rsidR="003F52B1" w:rsidRPr="00C31AF9">
        <w:rPr>
          <w:rFonts w:ascii="Arial" w:hAnsi="Arial" w:cs="Arial"/>
          <w:b/>
          <w:sz w:val="22"/>
          <w:szCs w:val="22"/>
        </w:rPr>
        <w:t xml:space="preserve">před předložením návrhu Skupiny grantových projektů </w:t>
      </w:r>
      <w:r w:rsidR="00FE3889" w:rsidRPr="00C31AF9">
        <w:rPr>
          <w:rFonts w:ascii="Arial" w:hAnsi="Arial" w:cs="Arial"/>
          <w:b/>
          <w:sz w:val="22"/>
          <w:szCs w:val="22"/>
        </w:rPr>
        <w:t xml:space="preserve">Grantové projekty </w:t>
      </w:r>
      <w:proofErr w:type="spellStart"/>
      <w:r w:rsidR="00FE3889" w:rsidRPr="00C31AF9">
        <w:rPr>
          <w:rFonts w:ascii="Arial" w:hAnsi="Arial" w:cs="Arial"/>
          <w:b/>
          <w:sz w:val="22"/>
          <w:szCs w:val="22"/>
        </w:rPr>
        <w:t>Proof</w:t>
      </w:r>
      <w:proofErr w:type="spellEnd"/>
      <w:r w:rsidR="00FE3889" w:rsidRPr="00C31AF9">
        <w:rPr>
          <w:rFonts w:ascii="Arial" w:hAnsi="Arial" w:cs="Arial"/>
          <w:b/>
          <w:sz w:val="22"/>
          <w:szCs w:val="22"/>
        </w:rPr>
        <w:t xml:space="preserve"> </w:t>
      </w:r>
      <w:proofErr w:type="spellStart"/>
      <w:r w:rsidR="00FE3889" w:rsidRPr="00C31AF9">
        <w:rPr>
          <w:rFonts w:ascii="Arial" w:hAnsi="Arial" w:cs="Arial"/>
          <w:b/>
          <w:sz w:val="22"/>
          <w:szCs w:val="22"/>
        </w:rPr>
        <w:t>of</w:t>
      </w:r>
      <w:proofErr w:type="spellEnd"/>
      <w:r w:rsidR="00FE3889" w:rsidRPr="00C31AF9">
        <w:rPr>
          <w:rFonts w:ascii="Arial" w:hAnsi="Arial" w:cs="Arial"/>
          <w:b/>
          <w:sz w:val="22"/>
          <w:szCs w:val="22"/>
        </w:rPr>
        <w:t xml:space="preserve"> </w:t>
      </w:r>
      <w:proofErr w:type="spellStart"/>
      <w:r w:rsidR="00FE3889" w:rsidRPr="00C31AF9">
        <w:rPr>
          <w:rFonts w:ascii="Arial" w:hAnsi="Arial" w:cs="Arial"/>
          <w:b/>
          <w:sz w:val="22"/>
          <w:szCs w:val="22"/>
        </w:rPr>
        <w:t>Concept</w:t>
      </w:r>
      <w:proofErr w:type="spellEnd"/>
      <w:r w:rsidR="00FE3889" w:rsidRPr="00C31AF9">
        <w:rPr>
          <w:rFonts w:ascii="Arial" w:hAnsi="Arial" w:cs="Arial"/>
          <w:b/>
          <w:sz w:val="22"/>
          <w:szCs w:val="22"/>
        </w:rPr>
        <w:t xml:space="preserve"> </w:t>
      </w:r>
      <w:r w:rsidR="00756D0F" w:rsidRPr="00C31AF9">
        <w:rPr>
          <w:rFonts w:ascii="Arial" w:hAnsi="Arial" w:cs="Arial"/>
          <w:b/>
          <w:sz w:val="22"/>
          <w:szCs w:val="22"/>
        </w:rPr>
        <w:t>do meziresortního připomínkového řízení.</w:t>
      </w:r>
    </w:p>
    <w:p w14:paraId="3583E3F9" w14:textId="77777777" w:rsidR="00D56170" w:rsidRPr="00C31AF9" w:rsidRDefault="00D56170" w:rsidP="00706262">
      <w:pPr>
        <w:pStyle w:val="Zkladntext"/>
        <w:jc w:val="both"/>
        <w:rPr>
          <w:rFonts w:ascii="Arial" w:hAnsi="Arial" w:cs="Arial"/>
          <w:color w:val="FF0000"/>
          <w:sz w:val="22"/>
          <w:szCs w:val="22"/>
          <w:highlight w:val="yellow"/>
        </w:rPr>
      </w:pPr>
    </w:p>
    <w:p w14:paraId="1FCDA2B9" w14:textId="77777777" w:rsidR="00D56170" w:rsidRPr="00C31AF9" w:rsidRDefault="00D56170" w:rsidP="00706262">
      <w:pPr>
        <w:pStyle w:val="Zkladntext"/>
        <w:jc w:val="both"/>
        <w:rPr>
          <w:rFonts w:ascii="Arial" w:hAnsi="Arial" w:cs="Arial"/>
          <w:color w:val="FF0000"/>
          <w:sz w:val="22"/>
          <w:szCs w:val="22"/>
          <w:highlight w:val="yellow"/>
        </w:rPr>
      </w:pPr>
    </w:p>
    <w:p w14:paraId="2EE84FD3" w14:textId="68CE9958" w:rsidR="00D56170" w:rsidRPr="00443619" w:rsidRDefault="00D56170" w:rsidP="00706262">
      <w:pPr>
        <w:pStyle w:val="Zkladntext"/>
        <w:jc w:val="both"/>
        <w:rPr>
          <w:rFonts w:ascii="Arial" w:hAnsi="Arial" w:cs="Arial"/>
          <w:sz w:val="22"/>
          <w:szCs w:val="22"/>
        </w:rPr>
      </w:pPr>
      <w:r w:rsidRPr="00443619">
        <w:rPr>
          <w:rFonts w:ascii="Arial" w:hAnsi="Arial" w:cs="Arial"/>
          <w:sz w:val="22"/>
          <w:szCs w:val="22"/>
        </w:rPr>
        <w:t xml:space="preserve">V Praze dne </w:t>
      </w:r>
      <w:r w:rsidR="00443619" w:rsidRPr="00443619">
        <w:rPr>
          <w:rFonts w:ascii="Arial" w:hAnsi="Arial" w:cs="Arial"/>
          <w:sz w:val="22"/>
          <w:szCs w:val="22"/>
        </w:rPr>
        <w:t>28</w:t>
      </w:r>
      <w:r w:rsidR="003B4B10" w:rsidRPr="00443619">
        <w:rPr>
          <w:rFonts w:ascii="Arial" w:hAnsi="Arial" w:cs="Arial"/>
          <w:sz w:val="22"/>
          <w:szCs w:val="22"/>
        </w:rPr>
        <w:t xml:space="preserve">. </w:t>
      </w:r>
      <w:r w:rsidR="002714FA" w:rsidRPr="00443619">
        <w:rPr>
          <w:rFonts w:ascii="Arial" w:hAnsi="Arial" w:cs="Arial"/>
          <w:sz w:val="22"/>
          <w:szCs w:val="22"/>
        </w:rPr>
        <w:t>února</w:t>
      </w:r>
      <w:r w:rsidRPr="00443619">
        <w:rPr>
          <w:rFonts w:ascii="Arial" w:hAnsi="Arial" w:cs="Arial"/>
          <w:sz w:val="22"/>
          <w:szCs w:val="22"/>
        </w:rPr>
        <w:t xml:space="preserve"> 20</w:t>
      </w:r>
      <w:bookmarkEnd w:id="1"/>
      <w:r w:rsidR="007634FA" w:rsidRPr="00443619">
        <w:rPr>
          <w:rFonts w:ascii="Arial" w:hAnsi="Arial" w:cs="Arial"/>
          <w:sz w:val="22"/>
          <w:szCs w:val="22"/>
        </w:rPr>
        <w:t>2</w:t>
      </w:r>
      <w:r w:rsidR="002714FA" w:rsidRPr="00443619">
        <w:rPr>
          <w:rFonts w:ascii="Arial" w:hAnsi="Arial" w:cs="Arial"/>
          <w:sz w:val="22"/>
          <w:szCs w:val="22"/>
        </w:rPr>
        <w:t>5</w:t>
      </w:r>
    </w:p>
    <w:p w14:paraId="214B2978" w14:textId="77777777" w:rsidR="005E4F01" w:rsidRPr="00C31AF9" w:rsidRDefault="005E4F01" w:rsidP="00706262">
      <w:pPr>
        <w:rPr>
          <w:rFonts w:ascii="Arial" w:hAnsi="Arial" w:cs="Arial"/>
          <w:sz w:val="22"/>
          <w:szCs w:val="22"/>
        </w:rPr>
      </w:pPr>
    </w:p>
    <w:sectPr w:rsidR="005E4F01" w:rsidRPr="00C31AF9"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B31F3" w14:textId="77777777" w:rsidR="00DA4AC9" w:rsidRDefault="00DA4AC9" w:rsidP="008F77F6">
      <w:r>
        <w:separator/>
      </w:r>
    </w:p>
  </w:endnote>
  <w:endnote w:type="continuationSeparator" w:id="0">
    <w:p w14:paraId="6E852CB3" w14:textId="77777777" w:rsidR="00DA4AC9" w:rsidRDefault="00DA4AC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352E0635" w:rsidR="008B3A53" w:rsidRPr="00CC370F" w:rsidRDefault="00DA4AC9"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736C59">
          <w:rPr>
            <w:rFonts w:ascii="Arial" w:hAnsi="Arial" w:cs="Arial"/>
            <w:noProof/>
            <w:sz w:val="18"/>
            <w:szCs w:val="18"/>
          </w:rPr>
          <w:t>8</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736C59">
          <w:rPr>
            <w:rFonts w:ascii="Arial" w:hAnsi="Arial" w:cs="Arial"/>
            <w:noProof/>
            <w:sz w:val="18"/>
            <w:szCs w:val="18"/>
          </w:rPr>
          <w:t>10</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26986832" w:rsidR="00D56170" w:rsidRPr="00CC370F" w:rsidRDefault="00DA4AC9"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736C59">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736C59">
          <w:rPr>
            <w:rFonts w:ascii="Arial" w:hAnsi="Arial" w:cs="Arial"/>
            <w:noProof/>
            <w:sz w:val="18"/>
            <w:szCs w:val="18"/>
          </w:rPr>
          <w:t>10</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B3008" w14:textId="77777777" w:rsidR="00DA4AC9" w:rsidRDefault="00DA4AC9" w:rsidP="008F77F6">
      <w:r>
        <w:separator/>
      </w:r>
    </w:p>
  </w:footnote>
  <w:footnote w:type="continuationSeparator" w:id="0">
    <w:p w14:paraId="3B868988" w14:textId="77777777" w:rsidR="00DA4AC9" w:rsidRDefault="00DA4AC9" w:rsidP="008F77F6">
      <w:r>
        <w:continuationSeparator/>
      </w:r>
    </w:p>
  </w:footnote>
  <w:footnote w:id="1">
    <w:p w14:paraId="3802897F" w14:textId="77777777" w:rsidR="0050596C" w:rsidRPr="00E85D28" w:rsidRDefault="0050596C" w:rsidP="0050596C">
      <w:pPr>
        <w:pStyle w:val="Textpoznpodarou"/>
        <w:rPr>
          <w:rFonts w:asciiTheme="minorHAnsi" w:hAnsiTheme="minorHAnsi" w:cstheme="minorHAnsi"/>
        </w:rPr>
      </w:pPr>
      <w:r w:rsidRPr="00E85D28">
        <w:rPr>
          <w:rStyle w:val="Znakapoznpodarou"/>
          <w:rFonts w:asciiTheme="minorHAnsi" w:hAnsiTheme="minorHAnsi" w:cstheme="minorHAnsi"/>
        </w:rPr>
        <w:footnoteRef/>
      </w:r>
      <w:r w:rsidRPr="00E85D28">
        <w:rPr>
          <w:rFonts w:asciiTheme="minorHAnsi" w:hAnsiTheme="minorHAnsi" w:cstheme="minorHAnsi"/>
        </w:rPr>
        <w:t xml:space="preserve"> </w:t>
      </w:r>
      <w:r w:rsidRPr="00E85D28">
        <w:rPr>
          <w:rFonts w:asciiTheme="minorHAnsi" w:eastAsia="Calibri" w:hAnsiTheme="minorHAnsi" w:cstheme="minorHAnsi"/>
        </w:rPr>
        <w:t>Míra inflace je pouze orientační a vychází z predikce ČNB pro rok 2025.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rsidRPr="00EE4FE2"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2532388E" w:rsidR="00292257" w:rsidRPr="00EE4FE2" w:rsidRDefault="00736C59" w:rsidP="00DE0660">
          <w:pPr>
            <w:pStyle w:val="Zhlav"/>
            <w:jc w:val="center"/>
            <w:rPr>
              <w:rFonts w:ascii="Arial" w:hAnsi="Arial" w:cs="Arial"/>
              <w:b/>
              <w:color w:val="0070C0"/>
              <w:sz w:val="28"/>
              <w:szCs w:val="28"/>
            </w:rPr>
          </w:pPr>
          <w:r>
            <w:rPr>
              <w:rFonts w:ascii="Arial" w:hAnsi="Arial" w:cs="Arial"/>
              <w:b/>
              <w:color w:val="0070C0"/>
              <w:sz w:val="28"/>
              <w:szCs w:val="28"/>
            </w:rPr>
            <w:t>409/A1</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D3F"/>
    <w:multiLevelType w:val="hybridMultilevel"/>
    <w:tmpl w:val="FFFFFFFF"/>
    <w:lvl w:ilvl="0" w:tplc="387412EE">
      <w:start w:val="1"/>
      <w:numFmt w:val="bullet"/>
      <w:lvlText w:val=""/>
      <w:lvlJc w:val="left"/>
      <w:pPr>
        <w:ind w:left="720" w:hanging="360"/>
      </w:pPr>
      <w:rPr>
        <w:rFonts w:ascii="Symbol" w:hAnsi="Symbol" w:hint="default"/>
      </w:rPr>
    </w:lvl>
    <w:lvl w:ilvl="1" w:tplc="95903650">
      <w:start w:val="1"/>
      <w:numFmt w:val="bullet"/>
      <w:lvlText w:val="o"/>
      <w:lvlJc w:val="left"/>
      <w:pPr>
        <w:ind w:left="1440" w:hanging="360"/>
      </w:pPr>
      <w:rPr>
        <w:rFonts w:ascii="Courier New" w:hAnsi="Courier New" w:hint="default"/>
      </w:rPr>
    </w:lvl>
    <w:lvl w:ilvl="2" w:tplc="F1BE9D00">
      <w:start w:val="1"/>
      <w:numFmt w:val="bullet"/>
      <w:lvlText w:val=""/>
      <w:lvlJc w:val="left"/>
      <w:pPr>
        <w:ind w:left="2160" w:hanging="360"/>
      </w:pPr>
      <w:rPr>
        <w:rFonts w:ascii="Wingdings" w:hAnsi="Wingdings" w:hint="default"/>
      </w:rPr>
    </w:lvl>
    <w:lvl w:ilvl="3" w:tplc="97F07D1A">
      <w:start w:val="1"/>
      <w:numFmt w:val="bullet"/>
      <w:lvlText w:val=""/>
      <w:lvlJc w:val="left"/>
      <w:pPr>
        <w:ind w:left="2880" w:hanging="360"/>
      </w:pPr>
      <w:rPr>
        <w:rFonts w:ascii="Symbol" w:hAnsi="Symbol" w:hint="default"/>
      </w:rPr>
    </w:lvl>
    <w:lvl w:ilvl="4" w:tplc="F3301B3E">
      <w:start w:val="1"/>
      <w:numFmt w:val="bullet"/>
      <w:lvlText w:val="o"/>
      <w:lvlJc w:val="left"/>
      <w:pPr>
        <w:ind w:left="3600" w:hanging="360"/>
      </w:pPr>
      <w:rPr>
        <w:rFonts w:ascii="Courier New" w:hAnsi="Courier New" w:hint="default"/>
      </w:rPr>
    </w:lvl>
    <w:lvl w:ilvl="5" w:tplc="58F8A728">
      <w:start w:val="1"/>
      <w:numFmt w:val="bullet"/>
      <w:lvlText w:val=""/>
      <w:lvlJc w:val="left"/>
      <w:pPr>
        <w:ind w:left="4320" w:hanging="360"/>
      </w:pPr>
      <w:rPr>
        <w:rFonts w:ascii="Wingdings" w:hAnsi="Wingdings" w:hint="default"/>
      </w:rPr>
    </w:lvl>
    <w:lvl w:ilvl="6" w:tplc="563E065A">
      <w:start w:val="1"/>
      <w:numFmt w:val="bullet"/>
      <w:lvlText w:val=""/>
      <w:lvlJc w:val="left"/>
      <w:pPr>
        <w:ind w:left="5040" w:hanging="360"/>
      </w:pPr>
      <w:rPr>
        <w:rFonts w:ascii="Symbol" w:hAnsi="Symbol" w:hint="default"/>
      </w:rPr>
    </w:lvl>
    <w:lvl w:ilvl="7" w:tplc="159C5948">
      <w:start w:val="1"/>
      <w:numFmt w:val="bullet"/>
      <w:lvlText w:val="o"/>
      <w:lvlJc w:val="left"/>
      <w:pPr>
        <w:ind w:left="5760" w:hanging="360"/>
      </w:pPr>
      <w:rPr>
        <w:rFonts w:ascii="Courier New" w:hAnsi="Courier New" w:hint="default"/>
      </w:rPr>
    </w:lvl>
    <w:lvl w:ilvl="8" w:tplc="85A46334">
      <w:start w:val="1"/>
      <w:numFmt w:val="bullet"/>
      <w:lvlText w:val=""/>
      <w:lvlJc w:val="left"/>
      <w:pPr>
        <w:ind w:left="6480" w:hanging="360"/>
      </w:pPr>
      <w:rPr>
        <w:rFonts w:ascii="Wingdings" w:hAnsi="Wingdings" w:hint="default"/>
      </w:rPr>
    </w:lvl>
  </w:abstractNum>
  <w:abstractNum w:abstractNumId="1" w15:restartNumberingAfterBreak="0">
    <w:nsid w:val="056E7B46"/>
    <w:multiLevelType w:val="hybridMultilevel"/>
    <w:tmpl w:val="16E0E5E2"/>
    <w:lvl w:ilvl="0" w:tplc="127C8EA2">
      <w:start w:val="2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15:restartNumberingAfterBreak="0">
    <w:nsid w:val="0B6672AF"/>
    <w:multiLevelType w:val="hybridMultilevel"/>
    <w:tmpl w:val="CEA2C7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FB492D"/>
    <w:multiLevelType w:val="hybridMultilevel"/>
    <w:tmpl w:val="0126535E"/>
    <w:lvl w:ilvl="0" w:tplc="22604094">
      <w:start w:val="1"/>
      <w:numFmt w:val="bullet"/>
      <w:lvlText w:val=""/>
      <w:lvlJc w:val="left"/>
      <w:pPr>
        <w:ind w:left="1432" w:hanging="360"/>
      </w:pPr>
      <w:rPr>
        <w:rFonts w:ascii="Symbol" w:hAnsi="Symbol" w:hint="default"/>
      </w:rPr>
    </w:lvl>
    <w:lvl w:ilvl="1" w:tplc="FED6147A" w:tentative="1">
      <w:start w:val="1"/>
      <w:numFmt w:val="bullet"/>
      <w:lvlText w:val="o"/>
      <w:lvlJc w:val="left"/>
      <w:pPr>
        <w:ind w:left="2152" w:hanging="360"/>
      </w:pPr>
      <w:rPr>
        <w:rFonts w:ascii="Courier New" w:hAnsi="Courier New" w:cs="Courier New" w:hint="default"/>
      </w:rPr>
    </w:lvl>
    <w:lvl w:ilvl="2" w:tplc="D346C672" w:tentative="1">
      <w:start w:val="1"/>
      <w:numFmt w:val="bullet"/>
      <w:lvlText w:val=""/>
      <w:lvlJc w:val="left"/>
      <w:pPr>
        <w:ind w:left="2872" w:hanging="360"/>
      </w:pPr>
      <w:rPr>
        <w:rFonts w:ascii="Wingdings" w:hAnsi="Wingdings" w:hint="default"/>
      </w:rPr>
    </w:lvl>
    <w:lvl w:ilvl="3" w:tplc="836A07FE" w:tentative="1">
      <w:start w:val="1"/>
      <w:numFmt w:val="bullet"/>
      <w:lvlText w:val=""/>
      <w:lvlJc w:val="left"/>
      <w:pPr>
        <w:ind w:left="3592" w:hanging="360"/>
      </w:pPr>
      <w:rPr>
        <w:rFonts w:ascii="Symbol" w:hAnsi="Symbol" w:hint="default"/>
      </w:rPr>
    </w:lvl>
    <w:lvl w:ilvl="4" w:tplc="19182BE4" w:tentative="1">
      <w:start w:val="1"/>
      <w:numFmt w:val="bullet"/>
      <w:lvlText w:val="o"/>
      <w:lvlJc w:val="left"/>
      <w:pPr>
        <w:ind w:left="4312" w:hanging="360"/>
      </w:pPr>
      <w:rPr>
        <w:rFonts w:ascii="Courier New" w:hAnsi="Courier New" w:cs="Courier New" w:hint="default"/>
      </w:rPr>
    </w:lvl>
    <w:lvl w:ilvl="5" w:tplc="2E4EF3B8" w:tentative="1">
      <w:start w:val="1"/>
      <w:numFmt w:val="bullet"/>
      <w:lvlText w:val=""/>
      <w:lvlJc w:val="left"/>
      <w:pPr>
        <w:ind w:left="5032" w:hanging="360"/>
      </w:pPr>
      <w:rPr>
        <w:rFonts w:ascii="Wingdings" w:hAnsi="Wingdings" w:hint="default"/>
      </w:rPr>
    </w:lvl>
    <w:lvl w:ilvl="6" w:tplc="677EA54C" w:tentative="1">
      <w:start w:val="1"/>
      <w:numFmt w:val="bullet"/>
      <w:lvlText w:val=""/>
      <w:lvlJc w:val="left"/>
      <w:pPr>
        <w:ind w:left="5752" w:hanging="360"/>
      </w:pPr>
      <w:rPr>
        <w:rFonts w:ascii="Symbol" w:hAnsi="Symbol" w:hint="default"/>
      </w:rPr>
    </w:lvl>
    <w:lvl w:ilvl="7" w:tplc="DDF6BCB8" w:tentative="1">
      <w:start w:val="1"/>
      <w:numFmt w:val="bullet"/>
      <w:lvlText w:val="o"/>
      <w:lvlJc w:val="left"/>
      <w:pPr>
        <w:ind w:left="6472" w:hanging="360"/>
      </w:pPr>
      <w:rPr>
        <w:rFonts w:ascii="Courier New" w:hAnsi="Courier New" w:cs="Courier New" w:hint="default"/>
      </w:rPr>
    </w:lvl>
    <w:lvl w:ilvl="8" w:tplc="6A9AEC90" w:tentative="1">
      <w:start w:val="1"/>
      <w:numFmt w:val="bullet"/>
      <w:lvlText w:val=""/>
      <w:lvlJc w:val="left"/>
      <w:pPr>
        <w:ind w:left="7192" w:hanging="360"/>
      </w:pPr>
      <w:rPr>
        <w:rFonts w:ascii="Wingdings" w:hAnsi="Wingdings" w:hint="default"/>
      </w:rPr>
    </w:lvl>
  </w:abstractNum>
  <w:abstractNum w:abstractNumId="5"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CC2B04"/>
    <w:multiLevelType w:val="hybridMultilevel"/>
    <w:tmpl w:val="00D64EAE"/>
    <w:lvl w:ilvl="0" w:tplc="7218A33E">
      <w:start w:val="1"/>
      <w:numFmt w:val="decimal"/>
      <w:lvlText w:val="%1."/>
      <w:lvlJc w:val="left"/>
      <w:pPr>
        <w:ind w:left="2394" w:hanging="570"/>
      </w:pPr>
      <w:rPr>
        <w:rFonts w:ascii="Arial" w:hAnsi="Arial" w:cs="Arial" w:hint="default"/>
      </w:rPr>
    </w:lvl>
    <w:lvl w:ilvl="1" w:tplc="F746DBAC">
      <w:numFmt w:val="bullet"/>
      <w:lvlText w:val="•"/>
      <w:lvlJc w:val="left"/>
      <w:pPr>
        <w:ind w:left="3249" w:hanging="705"/>
      </w:pPr>
      <w:rPr>
        <w:rFonts w:ascii="Arial" w:eastAsia="Times New Roman" w:hAnsi="Arial" w:cs="Arial" w:hint="default"/>
      </w:rPr>
    </w:lvl>
    <w:lvl w:ilvl="2" w:tplc="196A6888" w:tentative="1">
      <w:start w:val="1"/>
      <w:numFmt w:val="lowerRoman"/>
      <w:lvlText w:val="%3."/>
      <w:lvlJc w:val="right"/>
      <w:pPr>
        <w:ind w:left="3624" w:hanging="180"/>
      </w:pPr>
    </w:lvl>
    <w:lvl w:ilvl="3" w:tplc="8B220138" w:tentative="1">
      <w:start w:val="1"/>
      <w:numFmt w:val="decimal"/>
      <w:lvlText w:val="%4."/>
      <w:lvlJc w:val="left"/>
      <w:pPr>
        <w:ind w:left="4344" w:hanging="360"/>
      </w:pPr>
    </w:lvl>
    <w:lvl w:ilvl="4" w:tplc="26AA9924" w:tentative="1">
      <w:start w:val="1"/>
      <w:numFmt w:val="lowerLetter"/>
      <w:lvlText w:val="%5."/>
      <w:lvlJc w:val="left"/>
      <w:pPr>
        <w:ind w:left="5064" w:hanging="360"/>
      </w:pPr>
    </w:lvl>
    <w:lvl w:ilvl="5" w:tplc="79B46406" w:tentative="1">
      <w:start w:val="1"/>
      <w:numFmt w:val="lowerRoman"/>
      <w:lvlText w:val="%6."/>
      <w:lvlJc w:val="right"/>
      <w:pPr>
        <w:ind w:left="5784" w:hanging="180"/>
      </w:pPr>
    </w:lvl>
    <w:lvl w:ilvl="6" w:tplc="AC0CBFA0" w:tentative="1">
      <w:start w:val="1"/>
      <w:numFmt w:val="decimal"/>
      <w:lvlText w:val="%7."/>
      <w:lvlJc w:val="left"/>
      <w:pPr>
        <w:ind w:left="6504" w:hanging="360"/>
      </w:pPr>
    </w:lvl>
    <w:lvl w:ilvl="7" w:tplc="CF462884" w:tentative="1">
      <w:start w:val="1"/>
      <w:numFmt w:val="lowerLetter"/>
      <w:lvlText w:val="%8."/>
      <w:lvlJc w:val="left"/>
      <w:pPr>
        <w:ind w:left="7224" w:hanging="360"/>
      </w:pPr>
    </w:lvl>
    <w:lvl w:ilvl="8" w:tplc="A3160BD0" w:tentative="1">
      <w:start w:val="1"/>
      <w:numFmt w:val="lowerRoman"/>
      <w:lvlText w:val="%9."/>
      <w:lvlJc w:val="right"/>
      <w:pPr>
        <w:ind w:left="7944" w:hanging="180"/>
      </w:pPr>
    </w:lvl>
  </w:abstractNum>
  <w:abstractNum w:abstractNumId="7"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1F6C1B16"/>
    <w:multiLevelType w:val="hybridMultilevel"/>
    <w:tmpl w:val="887A3F3C"/>
    <w:lvl w:ilvl="0" w:tplc="04050001">
      <w:start w:val="1"/>
      <w:numFmt w:val="bullet"/>
      <w:lvlText w:val=""/>
      <w:lvlJc w:val="left"/>
      <w:pPr>
        <w:ind w:left="1086" w:hanging="360"/>
      </w:pPr>
      <w:rPr>
        <w:rFonts w:ascii="Symbol" w:hAnsi="Symbol" w:hint="default"/>
      </w:rPr>
    </w:lvl>
    <w:lvl w:ilvl="1" w:tplc="04050003" w:tentative="1">
      <w:start w:val="1"/>
      <w:numFmt w:val="bullet"/>
      <w:lvlText w:val="o"/>
      <w:lvlJc w:val="left"/>
      <w:pPr>
        <w:ind w:left="1806" w:hanging="360"/>
      </w:pPr>
      <w:rPr>
        <w:rFonts w:ascii="Courier New" w:hAnsi="Courier New" w:cs="Courier New" w:hint="default"/>
      </w:rPr>
    </w:lvl>
    <w:lvl w:ilvl="2" w:tplc="04050005" w:tentative="1">
      <w:start w:val="1"/>
      <w:numFmt w:val="bullet"/>
      <w:lvlText w:val=""/>
      <w:lvlJc w:val="left"/>
      <w:pPr>
        <w:ind w:left="2526" w:hanging="360"/>
      </w:pPr>
      <w:rPr>
        <w:rFonts w:ascii="Wingdings" w:hAnsi="Wingdings" w:hint="default"/>
      </w:rPr>
    </w:lvl>
    <w:lvl w:ilvl="3" w:tplc="04050001" w:tentative="1">
      <w:start w:val="1"/>
      <w:numFmt w:val="bullet"/>
      <w:lvlText w:val=""/>
      <w:lvlJc w:val="left"/>
      <w:pPr>
        <w:ind w:left="3246" w:hanging="360"/>
      </w:pPr>
      <w:rPr>
        <w:rFonts w:ascii="Symbol" w:hAnsi="Symbol" w:hint="default"/>
      </w:rPr>
    </w:lvl>
    <w:lvl w:ilvl="4" w:tplc="04050003" w:tentative="1">
      <w:start w:val="1"/>
      <w:numFmt w:val="bullet"/>
      <w:lvlText w:val="o"/>
      <w:lvlJc w:val="left"/>
      <w:pPr>
        <w:ind w:left="3966" w:hanging="360"/>
      </w:pPr>
      <w:rPr>
        <w:rFonts w:ascii="Courier New" w:hAnsi="Courier New" w:cs="Courier New" w:hint="default"/>
      </w:rPr>
    </w:lvl>
    <w:lvl w:ilvl="5" w:tplc="04050005" w:tentative="1">
      <w:start w:val="1"/>
      <w:numFmt w:val="bullet"/>
      <w:lvlText w:val=""/>
      <w:lvlJc w:val="left"/>
      <w:pPr>
        <w:ind w:left="4686" w:hanging="360"/>
      </w:pPr>
      <w:rPr>
        <w:rFonts w:ascii="Wingdings" w:hAnsi="Wingdings" w:hint="default"/>
      </w:rPr>
    </w:lvl>
    <w:lvl w:ilvl="6" w:tplc="04050001" w:tentative="1">
      <w:start w:val="1"/>
      <w:numFmt w:val="bullet"/>
      <w:lvlText w:val=""/>
      <w:lvlJc w:val="left"/>
      <w:pPr>
        <w:ind w:left="5406" w:hanging="360"/>
      </w:pPr>
      <w:rPr>
        <w:rFonts w:ascii="Symbol" w:hAnsi="Symbol" w:hint="default"/>
      </w:rPr>
    </w:lvl>
    <w:lvl w:ilvl="7" w:tplc="04050003" w:tentative="1">
      <w:start w:val="1"/>
      <w:numFmt w:val="bullet"/>
      <w:lvlText w:val="o"/>
      <w:lvlJc w:val="left"/>
      <w:pPr>
        <w:ind w:left="6126" w:hanging="360"/>
      </w:pPr>
      <w:rPr>
        <w:rFonts w:ascii="Courier New" w:hAnsi="Courier New" w:cs="Courier New" w:hint="default"/>
      </w:rPr>
    </w:lvl>
    <w:lvl w:ilvl="8" w:tplc="04050005" w:tentative="1">
      <w:start w:val="1"/>
      <w:numFmt w:val="bullet"/>
      <w:lvlText w:val=""/>
      <w:lvlJc w:val="left"/>
      <w:pPr>
        <w:ind w:left="6846" w:hanging="360"/>
      </w:pPr>
      <w:rPr>
        <w:rFonts w:ascii="Wingdings" w:hAnsi="Wingdings" w:hint="default"/>
      </w:rPr>
    </w:lvl>
  </w:abstractNum>
  <w:abstractNum w:abstractNumId="9" w15:restartNumberingAfterBreak="0">
    <w:nsid w:val="21A5714F"/>
    <w:multiLevelType w:val="hybridMultilevel"/>
    <w:tmpl w:val="FFFFFFFF"/>
    <w:lvl w:ilvl="0" w:tplc="00760638">
      <w:start w:val="1"/>
      <w:numFmt w:val="bullet"/>
      <w:lvlText w:val=""/>
      <w:lvlJc w:val="left"/>
      <w:pPr>
        <w:ind w:left="720" w:hanging="360"/>
      </w:pPr>
      <w:rPr>
        <w:rFonts w:ascii="Symbol" w:hAnsi="Symbol" w:hint="default"/>
      </w:rPr>
    </w:lvl>
    <w:lvl w:ilvl="1" w:tplc="E48459DC">
      <w:start w:val="1"/>
      <w:numFmt w:val="bullet"/>
      <w:lvlText w:val="o"/>
      <w:lvlJc w:val="left"/>
      <w:pPr>
        <w:ind w:left="1440" w:hanging="360"/>
      </w:pPr>
      <w:rPr>
        <w:rFonts w:ascii="Courier New" w:hAnsi="Courier New" w:hint="default"/>
      </w:rPr>
    </w:lvl>
    <w:lvl w:ilvl="2" w:tplc="C536310E">
      <w:start w:val="1"/>
      <w:numFmt w:val="bullet"/>
      <w:lvlText w:val=""/>
      <w:lvlJc w:val="left"/>
      <w:pPr>
        <w:ind w:left="2160" w:hanging="360"/>
      </w:pPr>
      <w:rPr>
        <w:rFonts w:ascii="Wingdings" w:hAnsi="Wingdings" w:hint="default"/>
      </w:rPr>
    </w:lvl>
    <w:lvl w:ilvl="3" w:tplc="39362E78">
      <w:start w:val="1"/>
      <w:numFmt w:val="bullet"/>
      <w:lvlText w:val=""/>
      <w:lvlJc w:val="left"/>
      <w:pPr>
        <w:ind w:left="2880" w:hanging="360"/>
      </w:pPr>
      <w:rPr>
        <w:rFonts w:ascii="Symbol" w:hAnsi="Symbol" w:hint="default"/>
      </w:rPr>
    </w:lvl>
    <w:lvl w:ilvl="4" w:tplc="125A72D6">
      <w:start w:val="1"/>
      <w:numFmt w:val="bullet"/>
      <w:lvlText w:val="o"/>
      <w:lvlJc w:val="left"/>
      <w:pPr>
        <w:ind w:left="3600" w:hanging="360"/>
      </w:pPr>
      <w:rPr>
        <w:rFonts w:ascii="Courier New" w:hAnsi="Courier New" w:hint="default"/>
      </w:rPr>
    </w:lvl>
    <w:lvl w:ilvl="5" w:tplc="0EE2386A">
      <w:start w:val="1"/>
      <w:numFmt w:val="bullet"/>
      <w:lvlText w:val=""/>
      <w:lvlJc w:val="left"/>
      <w:pPr>
        <w:ind w:left="4320" w:hanging="360"/>
      </w:pPr>
      <w:rPr>
        <w:rFonts w:ascii="Wingdings" w:hAnsi="Wingdings" w:hint="default"/>
      </w:rPr>
    </w:lvl>
    <w:lvl w:ilvl="6" w:tplc="B6CA1234">
      <w:start w:val="1"/>
      <w:numFmt w:val="bullet"/>
      <w:lvlText w:val=""/>
      <w:lvlJc w:val="left"/>
      <w:pPr>
        <w:ind w:left="5040" w:hanging="360"/>
      </w:pPr>
      <w:rPr>
        <w:rFonts w:ascii="Symbol" w:hAnsi="Symbol" w:hint="default"/>
      </w:rPr>
    </w:lvl>
    <w:lvl w:ilvl="7" w:tplc="B3BE288C">
      <w:start w:val="1"/>
      <w:numFmt w:val="bullet"/>
      <w:lvlText w:val="o"/>
      <w:lvlJc w:val="left"/>
      <w:pPr>
        <w:ind w:left="5760" w:hanging="360"/>
      </w:pPr>
      <w:rPr>
        <w:rFonts w:ascii="Courier New" w:hAnsi="Courier New" w:hint="default"/>
      </w:rPr>
    </w:lvl>
    <w:lvl w:ilvl="8" w:tplc="CBEEE35A">
      <w:start w:val="1"/>
      <w:numFmt w:val="bullet"/>
      <w:lvlText w:val=""/>
      <w:lvlJc w:val="left"/>
      <w:pPr>
        <w:ind w:left="6480" w:hanging="360"/>
      </w:pPr>
      <w:rPr>
        <w:rFonts w:ascii="Wingdings" w:hAnsi="Wingdings" w:hint="default"/>
      </w:rPr>
    </w:lvl>
  </w:abstractNum>
  <w:abstractNum w:abstractNumId="10"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2"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7E74C2E"/>
    <w:multiLevelType w:val="hybridMultilevel"/>
    <w:tmpl w:val="664A91F8"/>
    <w:lvl w:ilvl="0" w:tplc="A9FE1FA2">
      <w:start w:val="1"/>
      <w:numFmt w:val="bullet"/>
      <w:lvlText w:val="-"/>
      <w:lvlJc w:val="left"/>
      <w:pPr>
        <w:ind w:left="720" w:hanging="360"/>
      </w:pPr>
      <w:rPr>
        <w:rFonts w:ascii="Calibri" w:hAnsi="Calibri" w:hint="default"/>
      </w:rPr>
    </w:lvl>
    <w:lvl w:ilvl="1" w:tplc="127C8EA2">
      <w:start w:val="24"/>
      <w:numFmt w:val="bullet"/>
      <w:lvlText w:val="-"/>
      <w:lvlJc w:val="left"/>
      <w:pPr>
        <w:ind w:left="1440" w:hanging="360"/>
      </w:pPr>
      <w:rPr>
        <w:rFonts w:ascii="Arial" w:eastAsia="Times New Roman" w:hAnsi="Arial" w:cs="Arial" w:hint="default"/>
      </w:rPr>
    </w:lvl>
    <w:lvl w:ilvl="2" w:tplc="DF9E6D7A" w:tentative="1">
      <w:start w:val="1"/>
      <w:numFmt w:val="bullet"/>
      <w:lvlText w:val=""/>
      <w:lvlJc w:val="left"/>
      <w:pPr>
        <w:ind w:left="2160" w:hanging="360"/>
      </w:pPr>
      <w:rPr>
        <w:rFonts w:ascii="Wingdings" w:hAnsi="Wingdings" w:hint="default"/>
      </w:rPr>
    </w:lvl>
    <w:lvl w:ilvl="3" w:tplc="725A76B0" w:tentative="1">
      <w:start w:val="1"/>
      <w:numFmt w:val="bullet"/>
      <w:lvlText w:val=""/>
      <w:lvlJc w:val="left"/>
      <w:pPr>
        <w:ind w:left="2880" w:hanging="360"/>
      </w:pPr>
      <w:rPr>
        <w:rFonts w:ascii="Symbol" w:hAnsi="Symbol" w:hint="default"/>
      </w:rPr>
    </w:lvl>
    <w:lvl w:ilvl="4" w:tplc="D27C79BA" w:tentative="1">
      <w:start w:val="1"/>
      <w:numFmt w:val="bullet"/>
      <w:lvlText w:val="o"/>
      <w:lvlJc w:val="left"/>
      <w:pPr>
        <w:ind w:left="3600" w:hanging="360"/>
      </w:pPr>
      <w:rPr>
        <w:rFonts w:ascii="Courier New" w:hAnsi="Courier New" w:cs="Courier New" w:hint="default"/>
      </w:rPr>
    </w:lvl>
    <w:lvl w:ilvl="5" w:tplc="5AAC0C86" w:tentative="1">
      <w:start w:val="1"/>
      <w:numFmt w:val="bullet"/>
      <w:lvlText w:val=""/>
      <w:lvlJc w:val="left"/>
      <w:pPr>
        <w:ind w:left="4320" w:hanging="360"/>
      </w:pPr>
      <w:rPr>
        <w:rFonts w:ascii="Wingdings" w:hAnsi="Wingdings" w:hint="default"/>
      </w:rPr>
    </w:lvl>
    <w:lvl w:ilvl="6" w:tplc="BE6005BA" w:tentative="1">
      <w:start w:val="1"/>
      <w:numFmt w:val="bullet"/>
      <w:lvlText w:val=""/>
      <w:lvlJc w:val="left"/>
      <w:pPr>
        <w:ind w:left="5040" w:hanging="360"/>
      </w:pPr>
      <w:rPr>
        <w:rFonts w:ascii="Symbol" w:hAnsi="Symbol" w:hint="default"/>
      </w:rPr>
    </w:lvl>
    <w:lvl w:ilvl="7" w:tplc="108654C6" w:tentative="1">
      <w:start w:val="1"/>
      <w:numFmt w:val="bullet"/>
      <w:lvlText w:val="o"/>
      <w:lvlJc w:val="left"/>
      <w:pPr>
        <w:ind w:left="5760" w:hanging="360"/>
      </w:pPr>
      <w:rPr>
        <w:rFonts w:ascii="Courier New" w:hAnsi="Courier New" w:cs="Courier New" w:hint="default"/>
      </w:rPr>
    </w:lvl>
    <w:lvl w:ilvl="8" w:tplc="98009F38" w:tentative="1">
      <w:start w:val="1"/>
      <w:numFmt w:val="bullet"/>
      <w:lvlText w:val=""/>
      <w:lvlJc w:val="left"/>
      <w:pPr>
        <w:ind w:left="6480" w:hanging="360"/>
      </w:pPr>
      <w:rPr>
        <w:rFonts w:ascii="Wingdings" w:hAnsi="Wingdings" w:hint="default"/>
      </w:rPr>
    </w:lvl>
  </w:abstractNum>
  <w:abstractNum w:abstractNumId="14"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1F05BA"/>
    <w:multiLevelType w:val="hybridMultilevel"/>
    <w:tmpl w:val="C9ECFDE8"/>
    <w:lvl w:ilvl="0" w:tplc="127C8EA2">
      <w:start w:val="24"/>
      <w:numFmt w:val="bullet"/>
      <w:lvlText w:val="-"/>
      <w:lvlJc w:val="left"/>
      <w:pPr>
        <w:ind w:left="720" w:hanging="360"/>
      </w:pPr>
      <w:rPr>
        <w:rFonts w:ascii="Arial" w:eastAsia="Times New Roman" w:hAnsi="Arial" w:cs="Arial" w:hint="default"/>
      </w:rPr>
    </w:lvl>
    <w:lvl w:ilvl="1" w:tplc="95903650">
      <w:start w:val="1"/>
      <w:numFmt w:val="bullet"/>
      <w:lvlText w:val="o"/>
      <w:lvlJc w:val="left"/>
      <w:pPr>
        <w:ind w:left="1440" w:hanging="360"/>
      </w:pPr>
      <w:rPr>
        <w:rFonts w:ascii="Courier New" w:hAnsi="Courier New" w:hint="default"/>
      </w:rPr>
    </w:lvl>
    <w:lvl w:ilvl="2" w:tplc="F1BE9D00">
      <w:start w:val="1"/>
      <w:numFmt w:val="bullet"/>
      <w:lvlText w:val=""/>
      <w:lvlJc w:val="left"/>
      <w:pPr>
        <w:ind w:left="2160" w:hanging="360"/>
      </w:pPr>
      <w:rPr>
        <w:rFonts w:ascii="Wingdings" w:hAnsi="Wingdings" w:hint="default"/>
      </w:rPr>
    </w:lvl>
    <w:lvl w:ilvl="3" w:tplc="97F07D1A">
      <w:start w:val="1"/>
      <w:numFmt w:val="bullet"/>
      <w:lvlText w:val=""/>
      <w:lvlJc w:val="left"/>
      <w:pPr>
        <w:ind w:left="2880" w:hanging="360"/>
      </w:pPr>
      <w:rPr>
        <w:rFonts w:ascii="Symbol" w:hAnsi="Symbol" w:hint="default"/>
      </w:rPr>
    </w:lvl>
    <w:lvl w:ilvl="4" w:tplc="F3301B3E">
      <w:start w:val="1"/>
      <w:numFmt w:val="bullet"/>
      <w:lvlText w:val="o"/>
      <w:lvlJc w:val="left"/>
      <w:pPr>
        <w:ind w:left="3600" w:hanging="360"/>
      </w:pPr>
      <w:rPr>
        <w:rFonts w:ascii="Courier New" w:hAnsi="Courier New" w:hint="default"/>
      </w:rPr>
    </w:lvl>
    <w:lvl w:ilvl="5" w:tplc="58F8A728">
      <w:start w:val="1"/>
      <w:numFmt w:val="bullet"/>
      <w:lvlText w:val=""/>
      <w:lvlJc w:val="left"/>
      <w:pPr>
        <w:ind w:left="4320" w:hanging="360"/>
      </w:pPr>
      <w:rPr>
        <w:rFonts w:ascii="Wingdings" w:hAnsi="Wingdings" w:hint="default"/>
      </w:rPr>
    </w:lvl>
    <w:lvl w:ilvl="6" w:tplc="563E065A">
      <w:start w:val="1"/>
      <w:numFmt w:val="bullet"/>
      <w:lvlText w:val=""/>
      <w:lvlJc w:val="left"/>
      <w:pPr>
        <w:ind w:left="5040" w:hanging="360"/>
      </w:pPr>
      <w:rPr>
        <w:rFonts w:ascii="Symbol" w:hAnsi="Symbol" w:hint="default"/>
      </w:rPr>
    </w:lvl>
    <w:lvl w:ilvl="7" w:tplc="159C5948">
      <w:start w:val="1"/>
      <w:numFmt w:val="bullet"/>
      <w:lvlText w:val="o"/>
      <w:lvlJc w:val="left"/>
      <w:pPr>
        <w:ind w:left="5760" w:hanging="360"/>
      </w:pPr>
      <w:rPr>
        <w:rFonts w:ascii="Courier New" w:hAnsi="Courier New" w:hint="default"/>
      </w:rPr>
    </w:lvl>
    <w:lvl w:ilvl="8" w:tplc="85A46334">
      <w:start w:val="1"/>
      <w:numFmt w:val="bullet"/>
      <w:lvlText w:val=""/>
      <w:lvlJc w:val="left"/>
      <w:pPr>
        <w:ind w:left="6480" w:hanging="360"/>
      </w:pPr>
      <w:rPr>
        <w:rFonts w:ascii="Wingdings" w:hAnsi="Wingdings" w:hint="default"/>
      </w:rPr>
    </w:lvl>
  </w:abstractNum>
  <w:abstractNum w:abstractNumId="17" w15:restartNumberingAfterBreak="0">
    <w:nsid w:val="459F3734"/>
    <w:multiLevelType w:val="hybridMultilevel"/>
    <w:tmpl w:val="2C8A349E"/>
    <w:lvl w:ilvl="0" w:tplc="40904AA6">
      <w:start w:val="1"/>
      <w:numFmt w:val="bullet"/>
      <w:lvlText w:val="o"/>
      <w:lvlJc w:val="left"/>
      <w:pPr>
        <w:ind w:left="1440" w:hanging="360"/>
      </w:pPr>
      <w:rPr>
        <w:rFonts w:ascii="Courier New" w:hAnsi="Courier New" w:cs="Courier New" w:hint="default"/>
      </w:rPr>
    </w:lvl>
    <w:lvl w:ilvl="1" w:tplc="382669BE" w:tentative="1">
      <w:start w:val="1"/>
      <w:numFmt w:val="bullet"/>
      <w:lvlText w:val="o"/>
      <w:lvlJc w:val="left"/>
      <w:pPr>
        <w:ind w:left="2160" w:hanging="360"/>
      </w:pPr>
      <w:rPr>
        <w:rFonts w:ascii="Courier New" w:hAnsi="Courier New" w:cs="Courier New" w:hint="default"/>
      </w:rPr>
    </w:lvl>
    <w:lvl w:ilvl="2" w:tplc="3F98191E" w:tentative="1">
      <w:start w:val="1"/>
      <w:numFmt w:val="bullet"/>
      <w:lvlText w:val=""/>
      <w:lvlJc w:val="left"/>
      <w:pPr>
        <w:ind w:left="2880" w:hanging="360"/>
      </w:pPr>
      <w:rPr>
        <w:rFonts w:ascii="Wingdings" w:hAnsi="Wingdings" w:hint="default"/>
      </w:rPr>
    </w:lvl>
    <w:lvl w:ilvl="3" w:tplc="EA1AAFAA" w:tentative="1">
      <w:start w:val="1"/>
      <w:numFmt w:val="bullet"/>
      <w:lvlText w:val=""/>
      <w:lvlJc w:val="left"/>
      <w:pPr>
        <w:ind w:left="3600" w:hanging="360"/>
      </w:pPr>
      <w:rPr>
        <w:rFonts w:ascii="Symbol" w:hAnsi="Symbol" w:hint="default"/>
      </w:rPr>
    </w:lvl>
    <w:lvl w:ilvl="4" w:tplc="8300FD6A" w:tentative="1">
      <w:start w:val="1"/>
      <w:numFmt w:val="bullet"/>
      <w:lvlText w:val="o"/>
      <w:lvlJc w:val="left"/>
      <w:pPr>
        <w:ind w:left="4320" w:hanging="360"/>
      </w:pPr>
      <w:rPr>
        <w:rFonts w:ascii="Courier New" w:hAnsi="Courier New" w:cs="Courier New" w:hint="default"/>
      </w:rPr>
    </w:lvl>
    <w:lvl w:ilvl="5" w:tplc="698450BA" w:tentative="1">
      <w:start w:val="1"/>
      <w:numFmt w:val="bullet"/>
      <w:lvlText w:val=""/>
      <w:lvlJc w:val="left"/>
      <w:pPr>
        <w:ind w:left="5040" w:hanging="360"/>
      </w:pPr>
      <w:rPr>
        <w:rFonts w:ascii="Wingdings" w:hAnsi="Wingdings" w:hint="default"/>
      </w:rPr>
    </w:lvl>
    <w:lvl w:ilvl="6" w:tplc="66BA488E" w:tentative="1">
      <w:start w:val="1"/>
      <w:numFmt w:val="bullet"/>
      <w:lvlText w:val=""/>
      <w:lvlJc w:val="left"/>
      <w:pPr>
        <w:ind w:left="5760" w:hanging="360"/>
      </w:pPr>
      <w:rPr>
        <w:rFonts w:ascii="Symbol" w:hAnsi="Symbol" w:hint="default"/>
      </w:rPr>
    </w:lvl>
    <w:lvl w:ilvl="7" w:tplc="CF800A8C" w:tentative="1">
      <w:start w:val="1"/>
      <w:numFmt w:val="bullet"/>
      <w:lvlText w:val="o"/>
      <w:lvlJc w:val="left"/>
      <w:pPr>
        <w:ind w:left="6480" w:hanging="360"/>
      </w:pPr>
      <w:rPr>
        <w:rFonts w:ascii="Courier New" w:hAnsi="Courier New" w:cs="Courier New" w:hint="default"/>
      </w:rPr>
    </w:lvl>
    <w:lvl w:ilvl="8" w:tplc="EFBCA086" w:tentative="1">
      <w:start w:val="1"/>
      <w:numFmt w:val="bullet"/>
      <w:lvlText w:val=""/>
      <w:lvlJc w:val="left"/>
      <w:pPr>
        <w:ind w:left="7200" w:hanging="360"/>
      </w:pPr>
      <w:rPr>
        <w:rFonts w:ascii="Wingdings" w:hAnsi="Wingdings" w:hint="default"/>
      </w:rPr>
    </w:lvl>
  </w:abstractNum>
  <w:abstractNum w:abstractNumId="18" w15:restartNumberingAfterBreak="0">
    <w:nsid w:val="48035368"/>
    <w:multiLevelType w:val="hybridMultilevel"/>
    <w:tmpl w:val="2A9CFA8A"/>
    <w:lvl w:ilvl="0" w:tplc="127C8EA2">
      <w:start w:val="2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4DFE6128"/>
    <w:multiLevelType w:val="hybridMultilevel"/>
    <w:tmpl w:val="2BDA9A36"/>
    <w:lvl w:ilvl="0" w:tplc="127C8EA2">
      <w:start w:val="24"/>
      <w:numFmt w:val="bullet"/>
      <w:lvlText w:val="-"/>
      <w:lvlJc w:val="left"/>
      <w:pPr>
        <w:ind w:left="1086" w:hanging="360"/>
      </w:pPr>
      <w:rPr>
        <w:rFonts w:ascii="Arial" w:eastAsia="Times New Roman" w:hAnsi="Arial" w:cs="Arial" w:hint="default"/>
      </w:rPr>
    </w:lvl>
    <w:lvl w:ilvl="1" w:tplc="04050003" w:tentative="1">
      <w:start w:val="1"/>
      <w:numFmt w:val="bullet"/>
      <w:lvlText w:val="o"/>
      <w:lvlJc w:val="left"/>
      <w:pPr>
        <w:ind w:left="1806" w:hanging="360"/>
      </w:pPr>
      <w:rPr>
        <w:rFonts w:ascii="Courier New" w:hAnsi="Courier New" w:cs="Courier New" w:hint="default"/>
      </w:rPr>
    </w:lvl>
    <w:lvl w:ilvl="2" w:tplc="04050005" w:tentative="1">
      <w:start w:val="1"/>
      <w:numFmt w:val="bullet"/>
      <w:lvlText w:val=""/>
      <w:lvlJc w:val="left"/>
      <w:pPr>
        <w:ind w:left="2526" w:hanging="360"/>
      </w:pPr>
      <w:rPr>
        <w:rFonts w:ascii="Wingdings" w:hAnsi="Wingdings" w:hint="default"/>
      </w:rPr>
    </w:lvl>
    <w:lvl w:ilvl="3" w:tplc="04050001" w:tentative="1">
      <w:start w:val="1"/>
      <w:numFmt w:val="bullet"/>
      <w:lvlText w:val=""/>
      <w:lvlJc w:val="left"/>
      <w:pPr>
        <w:ind w:left="3246" w:hanging="360"/>
      </w:pPr>
      <w:rPr>
        <w:rFonts w:ascii="Symbol" w:hAnsi="Symbol" w:hint="default"/>
      </w:rPr>
    </w:lvl>
    <w:lvl w:ilvl="4" w:tplc="04050003" w:tentative="1">
      <w:start w:val="1"/>
      <w:numFmt w:val="bullet"/>
      <w:lvlText w:val="o"/>
      <w:lvlJc w:val="left"/>
      <w:pPr>
        <w:ind w:left="3966" w:hanging="360"/>
      </w:pPr>
      <w:rPr>
        <w:rFonts w:ascii="Courier New" w:hAnsi="Courier New" w:cs="Courier New" w:hint="default"/>
      </w:rPr>
    </w:lvl>
    <w:lvl w:ilvl="5" w:tplc="04050005" w:tentative="1">
      <w:start w:val="1"/>
      <w:numFmt w:val="bullet"/>
      <w:lvlText w:val=""/>
      <w:lvlJc w:val="left"/>
      <w:pPr>
        <w:ind w:left="4686" w:hanging="360"/>
      </w:pPr>
      <w:rPr>
        <w:rFonts w:ascii="Wingdings" w:hAnsi="Wingdings" w:hint="default"/>
      </w:rPr>
    </w:lvl>
    <w:lvl w:ilvl="6" w:tplc="04050001" w:tentative="1">
      <w:start w:val="1"/>
      <w:numFmt w:val="bullet"/>
      <w:lvlText w:val=""/>
      <w:lvlJc w:val="left"/>
      <w:pPr>
        <w:ind w:left="5406" w:hanging="360"/>
      </w:pPr>
      <w:rPr>
        <w:rFonts w:ascii="Symbol" w:hAnsi="Symbol" w:hint="default"/>
      </w:rPr>
    </w:lvl>
    <w:lvl w:ilvl="7" w:tplc="04050003" w:tentative="1">
      <w:start w:val="1"/>
      <w:numFmt w:val="bullet"/>
      <w:lvlText w:val="o"/>
      <w:lvlJc w:val="left"/>
      <w:pPr>
        <w:ind w:left="6126" w:hanging="360"/>
      </w:pPr>
      <w:rPr>
        <w:rFonts w:ascii="Courier New" w:hAnsi="Courier New" w:cs="Courier New" w:hint="default"/>
      </w:rPr>
    </w:lvl>
    <w:lvl w:ilvl="8" w:tplc="04050005" w:tentative="1">
      <w:start w:val="1"/>
      <w:numFmt w:val="bullet"/>
      <w:lvlText w:val=""/>
      <w:lvlJc w:val="left"/>
      <w:pPr>
        <w:ind w:left="6846" w:hanging="360"/>
      </w:pPr>
      <w:rPr>
        <w:rFonts w:ascii="Wingdings" w:hAnsi="Wingdings" w:hint="default"/>
      </w:rPr>
    </w:lvl>
  </w:abstractNum>
  <w:abstractNum w:abstractNumId="20" w15:restartNumberingAfterBreak="0">
    <w:nsid w:val="4EAB414B"/>
    <w:multiLevelType w:val="hybridMultilevel"/>
    <w:tmpl w:val="FFECCE80"/>
    <w:lvl w:ilvl="0" w:tplc="A76A2D04">
      <w:start w:val="1"/>
      <w:numFmt w:val="bullet"/>
      <w:lvlText w:val=""/>
      <w:lvlJc w:val="left"/>
      <w:pPr>
        <w:ind w:left="780" w:hanging="360"/>
      </w:pPr>
      <w:rPr>
        <w:rFonts w:ascii="Symbol" w:hAnsi="Symbol" w:hint="default"/>
      </w:rPr>
    </w:lvl>
    <w:lvl w:ilvl="1" w:tplc="6FB6FFCC" w:tentative="1">
      <w:start w:val="1"/>
      <w:numFmt w:val="bullet"/>
      <w:lvlText w:val="o"/>
      <w:lvlJc w:val="left"/>
      <w:pPr>
        <w:ind w:left="1500" w:hanging="360"/>
      </w:pPr>
      <w:rPr>
        <w:rFonts w:ascii="Courier New" w:hAnsi="Courier New" w:cs="Courier New" w:hint="default"/>
      </w:rPr>
    </w:lvl>
    <w:lvl w:ilvl="2" w:tplc="E08E3C5E" w:tentative="1">
      <w:start w:val="1"/>
      <w:numFmt w:val="bullet"/>
      <w:lvlText w:val=""/>
      <w:lvlJc w:val="left"/>
      <w:pPr>
        <w:ind w:left="2220" w:hanging="360"/>
      </w:pPr>
      <w:rPr>
        <w:rFonts w:ascii="Wingdings" w:hAnsi="Wingdings" w:hint="default"/>
      </w:rPr>
    </w:lvl>
    <w:lvl w:ilvl="3" w:tplc="712656CC" w:tentative="1">
      <w:start w:val="1"/>
      <w:numFmt w:val="bullet"/>
      <w:lvlText w:val=""/>
      <w:lvlJc w:val="left"/>
      <w:pPr>
        <w:ind w:left="2940" w:hanging="360"/>
      </w:pPr>
      <w:rPr>
        <w:rFonts w:ascii="Symbol" w:hAnsi="Symbol" w:hint="default"/>
      </w:rPr>
    </w:lvl>
    <w:lvl w:ilvl="4" w:tplc="445A9640" w:tentative="1">
      <w:start w:val="1"/>
      <w:numFmt w:val="bullet"/>
      <w:lvlText w:val="o"/>
      <w:lvlJc w:val="left"/>
      <w:pPr>
        <w:ind w:left="3660" w:hanging="360"/>
      </w:pPr>
      <w:rPr>
        <w:rFonts w:ascii="Courier New" w:hAnsi="Courier New" w:cs="Courier New" w:hint="default"/>
      </w:rPr>
    </w:lvl>
    <w:lvl w:ilvl="5" w:tplc="A99AE29A" w:tentative="1">
      <w:start w:val="1"/>
      <w:numFmt w:val="bullet"/>
      <w:lvlText w:val=""/>
      <w:lvlJc w:val="left"/>
      <w:pPr>
        <w:ind w:left="4380" w:hanging="360"/>
      </w:pPr>
      <w:rPr>
        <w:rFonts w:ascii="Wingdings" w:hAnsi="Wingdings" w:hint="default"/>
      </w:rPr>
    </w:lvl>
    <w:lvl w:ilvl="6" w:tplc="B440AB5C" w:tentative="1">
      <w:start w:val="1"/>
      <w:numFmt w:val="bullet"/>
      <w:lvlText w:val=""/>
      <w:lvlJc w:val="left"/>
      <w:pPr>
        <w:ind w:left="5100" w:hanging="360"/>
      </w:pPr>
      <w:rPr>
        <w:rFonts w:ascii="Symbol" w:hAnsi="Symbol" w:hint="default"/>
      </w:rPr>
    </w:lvl>
    <w:lvl w:ilvl="7" w:tplc="9578B7D2" w:tentative="1">
      <w:start w:val="1"/>
      <w:numFmt w:val="bullet"/>
      <w:lvlText w:val="o"/>
      <w:lvlJc w:val="left"/>
      <w:pPr>
        <w:ind w:left="5820" w:hanging="360"/>
      </w:pPr>
      <w:rPr>
        <w:rFonts w:ascii="Courier New" w:hAnsi="Courier New" w:cs="Courier New" w:hint="default"/>
      </w:rPr>
    </w:lvl>
    <w:lvl w:ilvl="8" w:tplc="7110DFEC" w:tentative="1">
      <w:start w:val="1"/>
      <w:numFmt w:val="bullet"/>
      <w:lvlText w:val=""/>
      <w:lvlJc w:val="left"/>
      <w:pPr>
        <w:ind w:left="6540" w:hanging="360"/>
      </w:pPr>
      <w:rPr>
        <w:rFonts w:ascii="Wingdings" w:hAnsi="Wingdings" w:hint="default"/>
      </w:rPr>
    </w:lvl>
  </w:abstractNum>
  <w:abstractNum w:abstractNumId="21"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6F372B"/>
    <w:multiLevelType w:val="hybridMultilevel"/>
    <w:tmpl w:val="71009AA4"/>
    <w:lvl w:ilvl="0" w:tplc="A9FE1FA2">
      <w:start w:val="1"/>
      <w:numFmt w:val="bullet"/>
      <w:lvlText w:val="-"/>
      <w:lvlJc w:val="left"/>
      <w:pPr>
        <w:ind w:left="720" w:hanging="360"/>
      </w:pPr>
      <w:rPr>
        <w:rFonts w:ascii="Calibri" w:hAnsi="Calibri" w:hint="default"/>
      </w:rPr>
    </w:lvl>
    <w:lvl w:ilvl="1" w:tplc="EE9098DC">
      <w:start w:val="1"/>
      <w:numFmt w:val="bullet"/>
      <w:lvlText w:val=""/>
      <w:lvlJc w:val="left"/>
      <w:pPr>
        <w:ind w:left="1440" w:hanging="360"/>
      </w:pPr>
      <w:rPr>
        <w:rFonts w:ascii="Symbol" w:hAnsi="Symbol" w:hint="default"/>
      </w:rPr>
    </w:lvl>
    <w:lvl w:ilvl="2" w:tplc="DF9E6D7A" w:tentative="1">
      <w:start w:val="1"/>
      <w:numFmt w:val="bullet"/>
      <w:lvlText w:val=""/>
      <w:lvlJc w:val="left"/>
      <w:pPr>
        <w:ind w:left="2160" w:hanging="360"/>
      </w:pPr>
      <w:rPr>
        <w:rFonts w:ascii="Wingdings" w:hAnsi="Wingdings" w:hint="default"/>
      </w:rPr>
    </w:lvl>
    <w:lvl w:ilvl="3" w:tplc="725A76B0" w:tentative="1">
      <w:start w:val="1"/>
      <w:numFmt w:val="bullet"/>
      <w:lvlText w:val=""/>
      <w:lvlJc w:val="left"/>
      <w:pPr>
        <w:ind w:left="2880" w:hanging="360"/>
      </w:pPr>
      <w:rPr>
        <w:rFonts w:ascii="Symbol" w:hAnsi="Symbol" w:hint="default"/>
      </w:rPr>
    </w:lvl>
    <w:lvl w:ilvl="4" w:tplc="D27C79BA" w:tentative="1">
      <w:start w:val="1"/>
      <w:numFmt w:val="bullet"/>
      <w:lvlText w:val="o"/>
      <w:lvlJc w:val="left"/>
      <w:pPr>
        <w:ind w:left="3600" w:hanging="360"/>
      </w:pPr>
      <w:rPr>
        <w:rFonts w:ascii="Courier New" w:hAnsi="Courier New" w:cs="Courier New" w:hint="default"/>
      </w:rPr>
    </w:lvl>
    <w:lvl w:ilvl="5" w:tplc="5AAC0C86" w:tentative="1">
      <w:start w:val="1"/>
      <w:numFmt w:val="bullet"/>
      <w:lvlText w:val=""/>
      <w:lvlJc w:val="left"/>
      <w:pPr>
        <w:ind w:left="4320" w:hanging="360"/>
      </w:pPr>
      <w:rPr>
        <w:rFonts w:ascii="Wingdings" w:hAnsi="Wingdings" w:hint="default"/>
      </w:rPr>
    </w:lvl>
    <w:lvl w:ilvl="6" w:tplc="BE6005BA" w:tentative="1">
      <w:start w:val="1"/>
      <w:numFmt w:val="bullet"/>
      <w:lvlText w:val=""/>
      <w:lvlJc w:val="left"/>
      <w:pPr>
        <w:ind w:left="5040" w:hanging="360"/>
      </w:pPr>
      <w:rPr>
        <w:rFonts w:ascii="Symbol" w:hAnsi="Symbol" w:hint="default"/>
      </w:rPr>
    </w:lvl>
    <w:lvl w:ilvl="7" w:tplc="108654C6" w:tentative="1">
      <w:start w:val="1"/>
      <w:numFmt w:val="bullet"/>
      <w:lvlText w:val="o"/>
      <w:lvlJc w:val="left"/>
      <w:pPr>
        <w:ind w:left="5760" w:hanging="360"/>
      </w:pPr>
      <w:rPr>
        <w:rFonts w:ascii="Courier New" w:hAnsi="Courier New" w:cs="Courier New" w:hint="default"/>
      </w:rPr>
    </w:lvl>
    <w:lvl w:ilvl="8" w:tplc="98009F38" w:tentative="1">
      <w:start w:val="1"/>
      <w:numFmt w:val="bullet"/>
      <w:lvlText w:val=""/>
      <w:lvlJc w:val="left"/>
      <w:pPr>
        <w:ind w:left="6480" w:hanging="360"/>
      </w:pPr>
      <w:rPr>
        <w:rFonts w:ascii="Wingdings" w:hAnsi="Wingdings" w:hint="default"/>
      </w:rPr>
    </w:lvl>
  </w:abstractNum>
  <w:abstractNum w:abstractNumId="23" w15:restartNumberingAfterBreak="0">
    <w:nsid w:val="5E064F81"/>
    <w:multiLevelType w:val="multilevel"/>
    <w:tmpl w:val="A78E7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5" w15:restartNumberingAfterBreak="0">
    <w:nsid w:val="605D1D20"/>
    <w:multiLevelType w:val="hybridMultilevel"/>
    <w:tmpl w:val="3132C8D6"/>
    <w:lvl w:ilvl="0" w:tplc="127C8EA2">
      <w:start w:val="24"/>
      <w:numFmt w:val="bullet"/>
      <w:lvlText w:val="-"/>
      <w:lvlJc w:val="left"/>
      <w:pPr>
        <w:ind w:left="720" w:hanging="360"/>
      </w:pPr>
      <w:rPr>
        <w:rFonts w:ascii="Arial" w:eastAsia="Times New Roman" w:hAnsi="Arial" w:cs="Arial" w:hint="default"/>
      </w:rPr>
    </w:lvl>
    <w:lvl w:ilvl="1" w:tplc="BFE2F16C" w:tentative="1">
      <w:start w:val="1"/>
      <w:numFmt w:val="bullet"/>
      <w:lvlText w:val="o"/>
      <w:lvlJc w:val="left"/>
      <w:pPr>
        <w:ind w:left="1440" w:hanging="360"/>
      </w:pPr>
      <w:rPr>
        <w:rFonts w:ascii="Courier New" w:hAnsi="Courier New" w:cs="Courier New" w:hint="default"/>
      </w:rPr>
    </w:lvl>
    <w:lvl w:ilvl="2" w:tplc="621E88BA" w:tentative="1">
      <w:start w:val="1"/>
      <w:numFmt w:val="bullet"/>
      <w:lvlText w:val=""/>
      <w:lvlJc w:val="left"/>
      <w:pPr>
        <w:ind w:left="2160" w:hanging="360"/>
      </w:pPr>
      <w:rPr>
        <w:rFonts w:ascii="Wingdings" w:hAnsi="Wingdings" w:hint="default"/>
      </w:rPr>
    </w:lvl>
    <w:lvl w:ilvl="3" w:tplc="CC30E0E8" w:tentative="1">
      <w:start w:val="1"/>
      <w:numFmt w:val="bullet"/>
      <w:lvlText w:val=""/>
      <w:lvlJc w:val="left"/>
      <w:pPr>
        <w:ind w:left="2880" w:hanging="360"/>
      </w:pPr>
      <w:rPr>
        <w:rFonts w:ascii="Symbol" w:hAnsi="Symbol" w:hint="default"/>
      </w:rPr>
    </w:lvl>
    <w:lvl w:ilvl="4" w:tplc="D7C643C4" w:tentative="1">
      <w:start w:val="1"/>
      <w:numFmt w:val="bullet"/>
      <w:lvlText w:val="o"/>
      <w:lvlJc w:val="left"/>
      <w:pPr>
        <w:ind w:left="3600" w:hanging="360"/>
      </w:pPr>
      <w:rPr>
        <w:rFonts w:ascii="Courier New" w:hAnsi="Courier New" w:cs="Courier New" w:hint="default"/>
      </w:rPr>
    </w:lvl>
    <w:lvl w:ilvl="5" w:tplc="331064DE" w:tentative="1">
      <w:start w:val="1"/>
      <w:numFmt w:val="bullet"/>
      <w:lvlText w:val=""/>
      <w:lvlJc w:val="left"/>
      <w:pPr>
        <w:ind w:left="4320" w:hanging="360"/>
      </w:pPr>
      <w:rPr>
        <w:rFonts w:ascii="Wingdings" w:hAnsi="Wingdings" w:hint="default"/>
      </w:rPr>
    </w:lvl>
    <w:lvl w:ilvl="6" w:tplc="31AE48F0" w:tentative="1">
      <w:start w:val="1"/>
      <w:numFmt w:val="bullet"/>
      <w:lvlText w:val=""/>
      <w:lvlJc w:val="left"/>
      <w:pPr>
        <w:ind w:left="5040" w:hanging="360"/>
      </w:pPr>
      <w:rPr>
        <w:rFonts w:ascii="Symbol" w:hAnsi="Symbol" w:hint="default"/>
      </w:rPr>
    </w:lvl>
    <w:lvl w:ilvl="7" w:tplc="7772E7EC" w:tentative="1">
      <w:start w:val="1"/>
      <w:numFmt w:val="bullet"/>
      <w:lvlText w:val="o"/>
      <w:lvlJc w:val="left"/>
      <w:pPr>
        <w:ind w:left="5760" w:hanging="360"/>
      </w:pPr>
      <w:rPr>
        <w:rFonts w:ascii="Courier New" w:hAnsi="Courier New" w:cs="Courier New" w:hint="default"/>
      </w:rPr>
    </w:lvl>
    <w:lvl w:ilvl="8" w:tplc="E7F07194" w:tentative="1">
      <w:start w:val="1"/>
      <w:numFmt w:val="bullet"/>
      <w:lvlText w:val=""/>
      <w:lvlJc w:val="left"/>
      <w:pPr>
        <w:ind w:left="6480" w:hanging="360"/>
      </w:pPr>
      <w:rPr>
        <w:rFonts w:ascii="Wingdings" w:hAnsi="Wingdings" w:hint="default"/>
      </w:rPr>
    </w:lvl>
  </w:abstractNum>
  <w:abstractNum w:abstractNumId="26" w15:restartNumberingAfterBreak="0">
    <w:nsid w:val="631D0FF4"/>
    <w:multiLevelType w:val="hybridMultilevel"/>
    <w:tmpl w:val="0E925ED0"/>
    <w:lvl w:ilvl="0" w:tplc="AC26A4E8">
      <w:start w:val="1"/>
      <w:numFmt w:val="bullet"/>
      <w:lvlText w:val=""/>
      <w:lvlJc w:val="left"/>
      <w:pPr>
        <w:ind w:left="720" w:hanging="360"/>
      </w:pPr>
      <w:rPr>
        <w:rFonts w:ascii="Symbol" w:hAnsi="Symbol" w:hint="default"/>
      </w:rPr>
    </w:lvl>
    <w:lvl w:ilvl="1" w:tplc="BFE2F16C" w:tentative="1">
      <w:start w:val="1"/>
      <w:numFmt w:val="bullet"/>
      <w:lvlText w:val="o"/>
      <w:lvlJc w:val="left"/>
      <w:pPr>
        <w:ind w:left="1440" w:hanging="360"/>
      </w:pPr>
      <w:rPr>
        <w:rFonts w:ascii="Courier New" w:hAnsi="Courier New" w:cs="Courier New" w:hint="default"/>
      </w:rPr>
    </w:lvl>
    <w:lvl w:ilvl="2" w:tplc="621E88BA" w:tentative="1">
      <w:start w:val="1"/>
      <w:numFmt w:val="bullet"/>
      <w:lvlText w:val=""/>
      <w:lvlJc w:val="left"/>
      <w:pPr>
        <w:ind w:left="2160" w:hanging="360"/>
      </w:pPr>
      <w:rPr>
        <w:rFonts w:ascii="Wingdings" w:hAnsi="Wingdings" w:hint="default"/>
      </w:rPr>
    </w:lvl>
    <w:lvl w:ilvl="3" w:tplc="CC30E0E8" w:tentative="1">
      <w:start w:val="1"/>
      <w:numFmt w:val="bullet"/>
      <w:lvlText w:val=""/>
      <w:lvlJc w:val="left"/>
      <w:pPr>
        <w:ind w:left="2880" w:hanging="360"/>
      </w:pPr>
      <w:rPr>
        <w:rFonts w:ascii="Symbol" w:hAnsi="Symbol" w:hint="default"/>
      </w:rPr>
    </w:lvl>
    <w:lvl w:ilvl="4" w:tplc="D7C643C4" w:tentative="1">
      <w:start w:val="1"/>
      <w:numFmt w:val="bullet"/>
      <w:lvlText w:val="o"/>
      <w:lvlJc w:val="left"/>
      <w:pPr>
        <w:ind w:left="3600" w:hanging="360"/>
      </w:pPr>
      <w:rPr>
        <w:rFonts w:ascii="Courier New" w:hAnsi="Courier New" w:cs="Courier New" w:hint="default"/>
      </w:rPr>
    </w:lvl>
    <w:lvl w:ilvl="5" w:tplc="331064DE" w:tentative="1">
      <w:start w:val="1"/>
      <w:numFmt w:val="bullet"/>
      <w:lvlText w:val=""/>
      <w:lvlJc w:val="left"/>
      <w:pPr>
        <w:ind w:left="4320" w:hanging="360"/>
      </w:pPr>
      <w:rPr>
        <w:rFonts w:ascii="Wingdings" w:hAnsi="Wingdings" w:hint="default"/>
      </w:rPr>
    </w:lvl>
    <w:lvl w:ilvl="6" w:tplc="31AE48F0" w:tentative="1">
      <w:start w:val="1"/>
      <w:numFmt w:val="bullet"/>
      <w:lvlText w:val=""/>
      <w:lvlJc w:val="left"/>
      <w:pPr>
        <w:ind w:left="5040" w:hanging="360"/>
      </w:pPr>
      <w:rPr>
        <w:rFonts w:ascii="Symbol" w:hAnsi="Symbol" w:hint="default"/>
      </w:rPr>
    </w:lvl>
    <w:lvl w:ilvl="7" w:tplc="7772E7EC" w:tentative="1">
      <w:start w:val="1"/>
      <w:numFmt w:val="bullet"/>
      <w:lvlText w:val="o"/>
      <w:lvlJc w:val="left"/>
      <w:pPr>
        <w:ind w:left="5760" w:hanging="360"/>
      </w:pPr>
      <w:rPr>
        <w:rFonts w:ascii="Courier New" w:hAnsi="Courier New" w:cs="Courier New" w:hint="default"/>
      </w:rPr>
    </w:lvl>
    <w:lvl w:ilvl="8" w:tplc="E7F07194" w:tentative="1">
      <w:start w:val="1"/>
      <w:numFmt w:val="bullet"/>
      <w:lvlText w:val=""/>
      <w:lvlJc w:val="left"/>
      <w:pPr>
        <w:ind w:left="6480" w:hanging="360"/>
      </w:pPr>
      <w:rPr>
        <w:rFonts w:ascii="Wingdings" w:hAnsi="Wingdings" w:hint="default"/>
      </w:rPr>
    </w:lvl>
  </w:abstractNum>
  <w:abstractNum w:abstractNumId="27" w15:restartNumberingAfterBreak="0">
    <w:nsid w:val="658B4933"/>
    <w:multiLevelType w:val="hybridMultilevel"/>
    <w:tmpl w:val="0862185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1B1C7ED2">
      <w:numFmt w:val="bullet"/>
      <w:lvlText w:val=""/>
      <w:lvlJc w:val="left"/>
      <w:pPr>
        <w:ind w:left="2328" w:hanging="705"/>
      </w:pPr>
      <w:rPr>
        <w:rFonts w:ascii="Symbol" w:eastAsia="Times New Roman" w:hAnsi="Symbol" w:cs="Arial" w:hint="default"/>
      </w:r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8" w15:restartNumberingAfterBreak="0">
    <w:nsid w:val="6B7A7395"/>
    <w:multiLevelType w:val="hybridMultilevel"/>
    <w:tmpl w:val="DEB0AB72"/>
    <w:lvl w:ilvl="0" w:tplc="4CD4C6DC">
      <w:start w:val="1"/>
      <w:numFmt w:val="bullet"/>
      <w:lvlText w:val=""/>
      <w:lvlJc w:val="left"/>
      <w:pPr>
        <w:ind w:left="1429" w:hanging="360"/>
      </w:pPr>
      <w:rPr>
        <w:rFonts w:ascii="Symbol" w:hAnsi="Symbol" w:hint="default"/>
      </w:rPr>
    </w:lvl>
    <w:lvl w:ilvl="1" w:tplc="7F685420" w:tentative="1">
      <w:start w:val="1"/>
      <w:numFmt w:val="bullet"/>
      <w:lvlText w:val="o"/>
      <w:lvlJc w:val="left"/>
      <w:pPr>
        <w:ind w:left="2149" w:hanging="360"/>
      </w:pPr>
      <w:rPr>
        <w:rFonts w:ascii="Courier New" w:hAnsi="Courier New" w:cs="Courier New" w:hint="default"/>
      </w:rPr>
    </w:lvl>
    <w:lvl w:ilvl="2" w:tplc="D81A206E" w:tentative="1">
      <w:start w:val="1"/>
      <w:numFmt w:val="bullet"/>
      <w:lvlText w:val=""/>
      <w:lvlJc w:val="left"/>
      <w:pPr>
        <w:ind w:left="2869" w:hanging="360"/>
      </w:pPr>
      <w:rPr>
        <w:rFonts w:ascii="Wingdings" w:hAnsi="Wingdings" w:hint="default"/>
      </w:rPr>
    </w:lvl>
    <w:lvl w:ilvl="3" w:tplc="729667EA" w:tentative="1">
      <w:start w:val="1"/>
      <w:numFmt w:val="bullet"/>
      <w:lvlText w:val=""/>
      <w:lvlJc w:val="left"/>
      <w:pPr>
        <w:ind w:left="3589" w:hanging="360"/>
      </w:pPr>
      <w:rPr>
        <w:rFonts w:ascii="Symbol" w:hAnsi="Symbol" w:hint="default"/>
      </w:rPr>
    </w:lvl>
    <w:lvl w:ilvl="4" w:tplc="030A05A0" w:tentative="1">
      <w:start w:val="1"/>
      <w:numFmt w:val="bullet"/>
      <w:lvlText w:val="o"/>
      <w:lvlJc w:val="left"/>
      <w:pPr>
        <w:ind w:left="4309" w:hanging="360"/>
      </w:pPr>
      <w:rPr>
        <w:rFonts w:ascii="Courier New" w:hAnsi="Courier New" w:cs="Courier New" w:hint="default"/>
      </w:rPr>
    </w:lvl>
    <w:lvl w:ilvl="5" w:tplc="4DC046D2" w:tentative="1">
      <w:start w:val="1"/>
      <w:numFmt w:val="bullet"/>
      <w:lvlText w:val=""/>
      <w:lvlJc w:val="left"/>
      <w:pPr>
        <w:ind w:left="5029" w:hanging="360"/>
      </w:pPr>
      <w:rPr>
        <w:rFonts w:ascii="Wingdings" w:hAnsi="Wingdings" w:hint="default"/>
      </w:rPr>
    </w:lvl>
    <w:lvl w:ilvl="6" w:tplc="514C5D34" w:tentative="1">
      <w:start w:val="1"/>
      <w:numFmt w:val="bullet"/>
      <w:lvlText w:val=""/>
      <w:lvlJc w:val="left"/>
      <w:pPr>
        <w:ind w:left="5749" w:hanging="360"/>
      </w:pPr>
      <w:rPr>
        <w:rFonts w:ascii="Symbol" w:hAnsi="Symbol" w:hint="default"/>
      </w:rPr>
    </w:lvl>
    <w:lvl w:ilvl="7" w:tplc="E9C6F782" w:tentative="1">
      <w:start w:val="1"/>
      <w:numFmt w:val="bullet"/>
      <w:lvlText w:val="o"/>
      <w:lvlJc w:val="left"/>
      <w:pPr>
        <w:ind w:left="6469" w:hanging="360"/>
      </w:pPr>
      <w:rPr>
        <w:rFonts w:ascii="Courier New" w:hAnsi="Courier New" w:cs="Courier New" w:hint="default"/>
      </w:rPr>
    </w:lvl>
    <w:lvl w:ilvl="8" w:tplc="C62AF5A0" w:tentative="1">
      <w:start w:val="1"/>
      <w:numFmt w:val="bullet"/>
      <w:lvlText w:val=""/>
      <w:lvlJc w:val="left"/>
      <w:pPr>
        <w:ind w:left="7189" w:hanging="360"/>
      </w:pPr>
      <w:rPr>
        <w:rFonts w:ascii="Wingdings" w:hAnsi="Wingdings" w:hint="default"/>
      </w:rPr>
    </w:lvl>
  </w:abstractNum>
  <w:abstractNum w:abstractNumId="29" w15:restartNumberingAfterBreak="0">
    <w:nsid w:val="7081A5B0"/>
    <w:multiLevelType w:val="hybridMultilevel"/>
    <w:tmpl w:val="FFFFFFFF"/>
    <w:lvl w:ilvl="0" w:tplc="D84C9D9E">
      <w:start w:val="1"/>
      <w:numFmt w:val="bullet"/>
      <w:lvlText w:val=""/>
      <w:lvlJc w:val="left"/>
      <w:pPr>
        <w:ind w:left="720" w:hanging="360"/>
      </w:pPr>
      <w:rPr>
        <w:rFonts w:ascii="Symbol" w:hAnsi="Symbol" w:hint="default"/>
      </w:rPr>
    </w:lvl>
    <w:lvl w:ilvl="1" w:tplc="3A760904">
      <w:start w:val="1"/>
      <w:numFmt w:val="bullet"/>
      <w:lvlText w:val="o"/>
      <w:lvlJc w:val="left"/>
      <w:pPr>
        <w:ind w:left="1440" w:hanging="360"/>
      </w:pPr>
      <w:rPr>
        <w:rFonts w:ascii="Courier New" w:hAnsi="Courier New" w:hint="default"/>
      </w:rPr>
    </w:lvl>
    <w:lvl w:ilvl="2" w:tplc="3AE23F3E">
      <w:start w:val="1"/>
      <w:numFmt w:val="bullet"/>
      <w:lvlText w:val=""/>
      <w:lvlJc w:val="left"/>
      <w:pPr>
        <w:ind w:left="2160" w:hanging="360"/>
      </w:pPr>
      <w:rPr>
        <w:rFonts w:ascii="Wingdings" w:hAnsi="Wingdings" w:hint="default"/>
      </w:rPr>
    </w:lvl>
    <w:lvl w:ilvl="3" w:tplc="B5702602">
      <w:start w:val="1"/>
      <w:numFmt w:val="bullet"/>
      <w:lvlText w:val=""/>
      <w:lvlJc w:val="left"/>
      <w:pPr>
        <w:ind w:left="2880" w:hanging="360"/>
      </w:pPr>
      <w:rPr>
        <w:rFonts w:ascii="Symbol" w:hAnsi="Symbol" w:hint="default"/>
      </w:rPr>
    </w:lvl>
    <w:lvl w:ilvl="4" w:tplc="5F70A71A">
      <w:start w:val="1"/>
      <w:numFmt w:val="bullet"/>
      <w:lvlText w:val="o"/>
      <w:lvlJc w:val="left"/>
      <w:pPr>
        <w:ind w:left="3600" w:hanging="360"/>
      </w:pPr>
      <w:rPr>
        <w:rFonts w:ascii="Courier New" w:hAnsi="Courier New" w:hint="default"/>
      </w:rPr>
    </w:lvl>
    <w:lvl w:ilvl="5" w:tplc="32E273AE">
      <w:start w:val="1"/>
      <w:numFmt w:val="bullet"/>
      <w:lvlText w:val=""/>
      <w:lvlJc w:val="left"/>
      <w:pPr>
        <w:ind w:left="4320" w:hanging="360"/>
      </w:pPr>
      <w:rPr>
        <w:rFonts w:ascii="Wingdings" w:hAnsi="Wingdings" w:hint="default"/>
      </w:rPr>
    </w:lvl>
    <w:lvl w:ilvl="6" w:tplc="5F8AB54C">
      <w:start w:val="1"/>
      <w:numFmt w:val="bullet"/>
      <w:lvlText w:val=""/>
      <w:lvlJc w:val="left"/>
      <w:pPr>
        <w:ind w:left="5040" w:hanging="360"/>
      </w:pPr>
      <w:rPr>
        <w:rFonts w:ascii="Symbol" w:hAnsi="Symbol" w:hint="default"/>
      </w:rPr>
    </w:lvl>
    <w:lvl w:ilvl="7" w:tplc="BD88BCC0">
      <w:start w:val="1"/>
      <w:numFmt w:val="bullet"/>
      <w:lvlText w:val="o"/>
      <w:lvlJc w:val="left"/>
      <w:pPr>
        <w:ind w:left="5760" w:hanging="360"/>
      </w:pPr>
      <w:rPr>
        <w:rFonts w:ascii="Courier New" w:hAnsi="Courier New" w:hint="default"/>
      </w:rPr>
    </w:lvl>
    <w:lvl w:ilvl="8" w:tplc="A426D4BE">
      <w:start w:val="1"/>
      <w:numFmt w:val="bullet"/>
      <w:lvlText w:val=""/>
      <w:lvlJc w:val="left"/>
      <w:pPr>
        <w:ind w:left="6480" w:hanging="360"/>
      </w:pPr>
      <w:rPr>
        <w:rFonts w:ascii="Wingdings" w:hAnsi="Wingdings" w:hint="default"/>
      </w:rPr>
    </w:lvl>
  </w:abstractNum>
  <w:abstractNum w:abstractNumId="30" w15:restartNumberingAfterBreak="0">
    <w:nsid w:val="732934CC"/>
    <w:multiLevelType w:val="hybridMultilevel"/>
    <w:tmpl w:val="301E5D8E"/>
    <w:lvl w:ilvl="0" w:tplc="E73EFA90">
      <w:start w:val="1"/>
      <w:numFmt w:val="decimal"/>
      <w:lvlText w:val="%1."/>
      <w:lvlJc w:val="left"/>
      <w:pPr>
        <w:ind w:left="360" w:hanging="360"/>
      </w:pPr>
      <w:rPr>
        <w:i w:val="0"/>
      </w:rPr>
    </w:lvl>
    <w:lvl w:ilvl="1" w:tplc="326A803A" w:tentative="1">
      <w:start w:val="1"/>
      <w:numFmt w:val="lowerLetter"/>
      <w:lvlText w:val="%2."/>
      <w:lvlJc w:val="left"/>
      <w:pPr>
        <w:ind w:left="1080" w:hanging="360"/>
      </w:pPr>
    </w:lvl>
    <w:lvl w:ilvl="2" w:tplc="96801268" w:tentative="1">
      <w:start w:val="1"/>
      <w:numFmt w:val="lowerRoman"/>
      <w:lvlText w:val="%3."/>
      <w:lvlJc w:val="right"/>
      <w:pPr>
        <w:ind w:left="1800" w:hanging="180"/>
      </w:pPr>
    </w:lvl>
    <w:lvl w:ilvl="3" w:tplc="5C3CE174" w:tentative="1">
      <w:start w:val="1"/>
      <w:numFmt w:val="decimal"/>
      <w:lvlText w:val="%4."/>
      <w:lvlJc w:val="left"/>
      <w:pPr>
        <w:ind w:left="2520" w:hanging="360"/>
      </w:pPr>
    </w:lvl>
    <w:lvl w:ilvl="4" w:tplc="B75A8094" w:tentative="1">
      <w:start w:val="1"/>
      <w:numFmt w:val="lowerLetter"/>
      <w:lvlText w:val="%5."/>
      <w:lvlJc w:val="left"/>
      <w:pPr>
        <w:ind w:left="3240" w:hanging="360"/>
      </w:pPr>
    </w:lvl>
    <w:lvl w:ilvl="5" w:tplc="23501388" w:tentative="1">
      <w:start w:val="1"/>
      <w:numFmt w:val="lowerRoman"/>
      <w:lvlText w:val="%6."/>
      <w:lvlJc w:val="right"/>
      <w:pPr>
        <w:ind w:left="3960" w:hanging="180"/>
      </w:pPr>
    </w:lvl>
    <w:lvl w:ilvl="6" w:tplc="A4CE10F8" w:tentative="1">
      <w:start w:val="1"/>
      <w:numFmt w:val="decimal"/>
      <w:lvlText w:val="%7."/>
      <w:lvlJc w:val="left"/>
      <w:pPr>
        <w:ind w:left="4680" w:hanging="360"/>
      </w:pPr>
    </w:lvl>
    <w:lvl w:ilvl="7" w:tplc="6EFC56F6" w:tentative="1">
      <w:start w:val="1"/>
      <w:numFmt w:val="lowerLetter"/>
      <w:lvlText w:val="%8."/>
      <w:lvlJc w:val="left"/>
      <w:pPr>
        <w:ind w:left="5400" w:hanging="360"/>
      </w:pPr>
    </w:lvl>
    <w:lvl w:ilvl="8" w:tplc="7EAE71CA" w:tentative="1">
      <w:start w:val="1"/>
      <w:numFmt w:val="lowerRoman"/>
      <w:lvlText w:val="%9."/>
      <w:lvlJc w:val="right"/>
      <w:pPr>
        <w:ind w:left="6120" w:hanging="180"/>
      </w:pPr>
    </w:lvl>
  </w:abstractNum>
  <w:abstractNum w:abstractNumId="31" w15:restartNumberingAfterBreak="0">
    <w:nsid w:val="78BF128A"/>
    <w:multiLevelType w:val="hybridMultilevel"/>
    <w:tmpl w:val="DAE2ADA8"/>
    <w:lvl w:ilvl="0" w:tplc="2C3A1FCE">
      <w:start w:val="1"/>
      <w:numFmt w:val="bullet"/>
      <w:lvlText w:val=""/>
      <w:lvlJc w:val="left"/>
      <w:pPr>
        <w:ind w:left="780" w:hanging="360"/>
      </w:pPr>
      <w:rPr>
        <w:rFonts w:ascii="Symbol" w:hAnsi="Symbol" w:hint="default"/>
      </w:rPr>
    </w:lvl>
    <w:lvl w:ilvl="1" w:tplc="A14EB120" w:tentative="1">
      <w:start w:val="1"/>
      <w:numFmt w:val="bullet"/>
      <w:lvlText w:val="o"/>
      <w:lvlJc w:val="left"/>
      <w:pPr>
        <w:ind w:left="1500" w:hanging="360"/>
      </w:pPr>
      <w:rPr>
        <w:rFonts w:ascii="Courier New" w:hAnsi="Courier New" w:cs="Courier New" w:hint="default"/>
      </w:rPr>
    </w:lvl>
    <w:lvl w:ilvl="2" w:tplc="A8569838" w:tentative="1">
      <w:start w:val="1"/>
      <w:numFmt w:val="bullet"/>
      <w:lvlText w:val=""/>
      <w:lvlJc w:val="left"/>
      <w:pPr>
        <w:ind w:left="2220" w:hanging="360"/>
      </w:pPr>
      <w:rPr>
        <w:rFonts w:ascii="Wingdings" w:hAnsi="Wingdings" w:hint="default"/>
      </w:rPr>
    </w:lvl>
    <w:lvl w:ilvl="3" w:tplc="041C15E0" w:tentative="1">
      <w:start w:val="1"/>
      <w:numFmt w:val="bullet"/>
      <w:lvlText w:val=""/>
      <w:lvlJc w:val="left"/>
      <w:pPr>
        <w:ind w:left="2940" w:hanging="360"/>
      </w:pPr>
      <w:rPr>
        <w:rFonts w:ascii="Symbol" w:hAnsi="Symbol" w:hint="default"/>
      </w:rPr>
    </w:lvl>
    <w:lvl w:ilvl="4" w:tplc="A510EBC2" w:tentative="1">
      <w:start w:val="1"/>
      <w:numFmt w:val="bullet"/>
      <w:lvlText w:val="o"/>
      <w:lvlJc w:val="left"/>
      <w:pPr>
        <w:ind w:left="3660" w:hanging="360"/>
      </w:pPr>
      <w:rPr>
        <w:rFonts w:ascii="Courier New" w:hAnsi="Courier New" w:cs="Courier New" w:hint="default"/>
      </w:rPr>
    </w:lvl>
    <w:lvl w:ilvl="5" w:tplc="358806AE" w:tentative="1">
      <w:start w:val="1"/>
      <w:numFmt w:val="bullet"/>
      <w:lvlText w:val=""/>
      <w:lvlJc w:val="left"/>
      <w:pPr>
        <w:ind w:left="4380" w:hanging="360"/>
      </w:pPr>
      <w:rPr>
        <w:rFonts w:ascii="Wingdings" w:hAnsi="Wingdings" w:hint="default"/>
      </w:rPr>
    </w:lvl>
    <w:lvl w:ilvl="6" w:tplc="C338E646" w:tentative="1">
      <w:start w:val="1"/>
      <w:numFmt w:val="bullet"/>
      <w:lvlText w:val=""/>
      <w:lvlJc w:val="left"/>
      <w:pPr>
        <w:ind w:left="5100" w:hanging="360"/>
      </w:pPr>
      <w:rPr>
        <w:rFonts w:ascii="Symbol" w:hAnsi="Symbol" w:hint="default"/>
      </w:rPr>
    </w:lvl>
    <w:lvl w:ilvl="7" w:tplc="9516FF16" w:tentative="1">
      <w:start w:val="1"/>
      <w:numFmt w:val="bullet"/>
      <w:lvlText w:val="o"/>
      <w:lvlJc w:val="left"/>
      <w:pPr>
        <w:ind w:left="5820" w:hanging="360"/>
      </w:pPr>
      <w:rPr>
        <w:rFonts w:ascii="Courier New" w:hAnsi="Courier New" w:cs="Courier New" w:hint="default"/>
      </w:rPr>
    </w:lvl>
    <w:lvl w:ilvl="8" w:tplc="A39AB49A" w:tentative="1">
      <w:start w:val="1"/>
      <w:numFmt w:val="bullet"/>
      <w:lvlText w:val=""/>
      <w:lvlJc w:val="left"/>
      <w:pPr>
        <w:ind w:left="6540" w:hanging="360"/>
      </w:pPr>
      <w:rPr>
        <w:rFonts w:ascii="Wingdings" w:hAnsi="Wingdings" w:hint="default"/>
      </w:rPr>
    </w:lvl>
  </w:abstractNum>
  <w:abstractNum w:abstractNumId="32"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C23ECE"/>
    <w:multiLevelType w:val="multilevel"/>
    <w:tmpl w:val="381AA2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5"/>
  </w:num>
  <w:num w:numId="4">
    <w:abstractNumId w:val="2"/>
  </w:num>
  <w:num w:numId="5">
    <w:abstractNumId w:val="10"/>
  </w:num>
  <w:num w:numId="6">
    <w:abstractNumId w:val="5"/>
  </w:num>
  <w:num w:numId="7">
    <w:abstractNumId w:val="21"/>
  </w:num>
  <w:num w:numId="8">
    <w:abstractNumId w:val="33"/>
  </w:num>
  <w:num w:numId="9">
    <w:abstractNumId w:val="12"/>
  </w:num>
  <w:num w:numId="10">
    <w:abstractNumId w:val="24"/>
  </w:num>
  <w:num w:numId="11">
    <w:abstractNumId w:val="32"/>
  </w:num>
  <w:num w:numId="12">
    <w:abstractNumId w:val="7"/>
  </w:num>
  <w:num w:numId="13">
    <w:abstractNumId w:val="11"/>
  </w:num>
  <w:num w:numId="14">
    <w:abstractNumId w:val="14"/>
  </w:num>
  <w:num w:numId="15">
    <w:abstractNumId w:val="8"/>
  </w:num>
  <w:num w:numId="16">
    <w:abstractNumId w:val="19"/>
  </w:num>
  <w:num w:numId="17">
    <w:abstractNumId w:val="18"/>
  </w:num>
  <w:num w:numId="18">
    <w:abstractNumId w:val="34"/>
  </w:num>
  <w:num w:numId="19">
    <w:abstractNumId w:val="6"/>
  </w:num>
  <w:num w:numId="20">
    <w:abstractNumId w:val="22"/>
  </w:num>
  <w:num w:numId="21">
    <w:abstractNumId w:val="0"/>
  </w:num>
  <w:num w:numId="22">
    <w:abstractNumId w:val="26"/>
  </w:num>
  <w:num w:numId="23">
    <w:abstractNumId w:val="3"/>
  </w:num>
  <w:num w:numId="24">
    <w:abstractNumId w:val="1"/>
  </w:num>
  <w:num w:numId="25">
    <w:abstractNumId w:val="25"/>
  </w:num>
  <w:num w:numId="26">
    <w:abstractNumId w:val="13"/>
  </w:num>
  <w:num w:numId="27">
    <w:abstractNumId w:val="16"/>
  </w:num>
  <w:num w:numId="28">
    <w:abstractNumId w:val="28"/>
  </w:num>
  <w:num w:numId="29">
    <w:abstractNumId w:val="4"/>
  </w:num>
  <w:num w:numId="30">
    <w:abstractNumId w:val="29"/>
  </w:num>
  <w:num w:numId="31">
    <w:abstractNumId w:val="35"/>
  </w:num>
  <w:num w:numId="32">
    <w:abstractNumId w:val="17"/>
  </w:num>
  <w:num w:numId="33">
    <w:abstractNumId w:val="30"/>
  </w:num>
  <w:num w:numId="34">
    <w:abstractNumId w:val="20"/>
  </w:num>
  <w:num w:numId="35">
    <w:abstractNumId w:val="31"/>
  </w:num>
  <w:num w:numId="36">
    <w:abstractNumId w:val="9"/>
  </w:num>
  <w:num w:numId="3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2E5"/>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02D"/>
    <w:rsid w:val="00054107"/>
    <w:rsid w:val="00055E92"/>
    <w:rsid w:val="00056AE5"/>
    <w:rsid w:val="00057085"/>
    <w:rsid w:val="00057983"/>
    <w:rsid w:val="000619CD"/>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6FF5"/>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D7EFD"/>
    <w:rsid w:val="000E2ABD"/>
    <w:rsid w:val="000E2DE2"/>
    <w:rsid w:val="000E775B"/>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4D03"/>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6D3A"/>
    <w:rsid w:val="00187072"/>
    <w:rsid w:val="00187B65"/>
    <w:rsid w:val="00187FD9"/>
    <w:rsid w:val="00190FDE"/>
    <w:rsid w:val="00196263"/>
    <w:rsid w:val="001A0A6A"/>
    <w:rsid w:val="001A0E6F"/>
    <w:rsid w:val="001A385B"/>
    <w:rsid w:val="001B2AB5"/>
    <w:rsid w:val="001B2C32"/>
    <w:rsid w:val="001B4219"/>
    <w:rsid w:val="001B4AE4"/>
    <w:rsid w:val="001B5A4D"/>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4E5B"/>
    <w:rsid w:val="00265A36"/>
    <w:rsid w:val="00265C93"/>
    <w:rsid w:val="00267BED"/>
    <w:rsid w:val="002714FA"/>
    <w:rsid w:val="00272598"/>
    <w:rsid w:val="002735E0"/>
    <w:rsid w:val="00277193"/>
    <w:rsid w:val="002807F8"/>
    <w:rsid w:val="002820FB"/>
    <w:rsid w:val="002845E9"/>
    <w:rsid w:val="0029015F"/>
    <w:rsid w:val="00292257"/>
    <w:rsid w:val="00292D9F"/>
    <w:rsid w:val="002936AE"/>
    <w:rsid w:val="00294522"/>
    <w:rsid w:val="0029560D"/>
    <w:rsid w:val="00295695"/>
    <w:rsid w:val="0029614C"/>
    <w:rsid w:val="00296A9F"/>
    <w:rsid w:val="002A315B"/>
    <w:rsid w:val="002A3AEC"/>
    <w:rsid w:val="002A40D7"/>
    <w:rsid w:val="002B4879"/>
    <w:rsid w:val="002B7654"/>
    <w:rsid w:val="002C019A"/>
    <w:rsid w:val="002C05DA"/>
    <w:rsid w:val="002C19CB"/>
    <w:rsid w:val="002C3341"/>
    <w:rsid w:val="002C3B04"/>
    <w:rsid w:val="002C4087"/>
    <w:rsid w:val="002C6DE1"/>
    <w:rsid w:val="002D018B"/>
    <w:rsid w:val="002D0AB2"/>
    <w:rsid w:val="002D0E86"/>
    <w:rsid w:val="002D0FBB"/>
    <w:rsid w:val="002D1D2E"/>
    <w:rsid w:val="002D3A36"/>
    <w:rsid w:val="002D4844"/>
    <w:rsid w:val="002D4F83"/>
    <w:rsid w:val="002D5080"/>
    <w:rsid w:val="002D52DF"/>
    <w:rsid w:val="002D5F7F"/>
    <w:rsid w:val="002D6E00"/>
    <w:rsid w:val="002D7E27"/>
    <w:rsid w:val="002E2591"/>
    <w:rsid w:val="002E3DF9"/>
    <w:rsid w:val="002E46FE"/>
    <w:rsid w:val="002E70A0"/>
    <w:rsid w:val="002F2081"/>
    <w:rsid w:val="002F3BC4"/>
    <w:rsid w:val="002F530A"/>
    <w:rsid w:val="002F5D47"/>
    <w:rsid w:val="002F6A80"/>
    <w:rsid w:val="002F6F8A"/>
    <w:rsid w:val="002F70B2"/>
    <w:rsid w:val="00301405"/>
    <w:rsid w:val="00304B9F"/>
    <w:rsid w:val="00311735"/>
    <w:rsid w:val="003121C0"/>
    <w:rsid w:val="00312655"/>
    <w:rsid w:val="00315D81"/>
    <w:rsid w:val="00316A4E"/>
    <w:rsid w:val="00316FC8"/>
    <w:rsid w:val="003179DD"/>
    <w:rsid w:val="00322103"/>
    <w:rsid w:val="00323BCF"/>
    <w:rsid w:val="003254BD"/>
    <w:rsid w:val="00327391"/>
    <w:rsid w:val="003277E9"/>
    <w:rsid w:val="00327F1A"/>
    <w:rsid w:val="00330034"/>
    <w:rsid w:val="00330CA0"/>
    <w:rsid w:val="00330D60"/>
    <w:rsid w:val="00333174"/>
    <w:rsid w:val="00337A87"/>
    <w:rsid w:val="00341398"/>
    <w:rsid w:val="00341788"/>
    <w:rsid w:val="00343A36"/>
    <w:rsid w:val="00343E8B"/>
    <w:rsid w:val="00346043"/>
    <w:rsid w:val="00346CFC"/>
    <w:rsid w:val="00346D34"/>
    <w:rsid w:val="00352F44"/>
    <w:rsid w:val="003557FD"/>
    <w:rsid w:val="0035612D"/>
    <w:rsid w:val="00356D9D"/>
    <w:rsid w:val="00356F11"/>
    <w:rsid w:val="00357E5E"/>
    <w:rsid w:val="00360293"/>
    <w:rsid w:val="00363304"/>
    <w:rsid w:val="00364CC3"/>
    <w:rsid w:val="00365455"/>
    <w:rsid w:val="0037016F"/>
    <w:rsid w:val="003704AE"/>
    <w:rsid w:val="00371688"/>
    <w:rsid w:val="00371B1C"/>
    <w:rsid w:val="003723F0"/>
    <w:rsid w:val="0037371B"/>
    <w:rsid w:val="00373F4A"/>
    <w:rsid w:val="003773A9"/>
    <w:rsid w:val="003776FE"/>
    <w:rsid w:val="003861FB"/>
    <w:rsid w:val="00387B05"/>
    <w:rsid w:val="0039336F"/>
    <w:rsid w:val="00394153"/>
    <w:rsid w:val="00394907"/>
    <w:rsid w:val="00394A60"/>
    <w:rsid w:val="00394B19"/>
    <w:rsid w:val="0039784B"/>
    <w:rsid w:val="00397E39"/>
    <w:rsid w:val="003A2D00"/>
    <w:rsid w:val="003A3070"/>
    <w:rsid w:val="003A3519"/>
    <w:rsid w:val="003B2280"/>
    <w:rsid w:val="003B2937"/>
    <w:rsid w:val="003B4B10"/>
    <w:rsid w:val="003B6AB8"/>
    <w:rsid w:val="003B6FA5"/>
    <w:rsid w:val="003C2A8E"/>
    <w:rsid w:val="003C5977"/>
    <w:rsid w:val="003C6A3A"/>
    <w:rsid w:val="003D331F"/>
    <w:rsid w:val="003D4AC4"/>
    <w:rsid w:val="003D789A"/>
    <w:rsid w:val="003E23D7"/>
    <w:rsid w:val="003E29D1"/>
    <w:rsid w:val="003E3468"/>
    <w:rsid w:val="003E4654"/>
    <w:rsid w:val="003E5E28"/>
    <w:rsid w:val="003E64BF"/>
    <w:rsid w:val="003E6D5C"/>
    <w:rsid w:val="003E7490"/>
    <w:rsid w:val="003F1ED0"/>
    <w:rsid w:val="003F1FC8"/>
    <w:rsid w:val="003F52B1"/>
    <w:rsid w:val="003F5856"/>
    <w:rsid w:val="003F75E8"/>
    <w:rsid w:val="0040106A"/>
    <w:rsid w:val="00401486"/>
    <w:rsid w:val="00401B18"/>
    <w:rsid w:val="00401DF3"/>
    <w:rsid w:val="00401F7D"/>
    <w:rsid w:val="004066A6"/>
    <w:rsid w:val="00411749"/>
    <w:rsid w:val="0041225D"/>
    <w:rsid w:val="0041678A"/>
    <w:rsid w:val="00417874"/>
    <w:rsid w:val="00417978"/>
    <w:rsid w:val="00420DA7"/>
    <w:rsid w:val="004225FE"/>
    <w:rsid w:val="00423A12"/>
    <w:rsid w:val="0042600A"/>
    <w:rsid w:val="00427151"/>
    <w:rsid w:val="004348D9"/>
    <w:rsid w:val="00441023"/>
    <w:rsid w:val="00441B95"/>
    <w:rsid w:val="0044233D"/>
    <w:rsid w:val="00443619"/>
    <w:rsid w:val="00450C4F"/>
    <w:rsid w:val="00451C82"/>
    <w:rsid w:val="004556AE"/>
    <w:rsid w:val="004571D0"/>
    <w:rsid w:val="00462DFB"/>
    <w:rsid w:val="004636DD"/>
    <w:rsid w:val="00465972"/>
    <w:rsid w:val="0046659E"/>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2D41"/>
    <w:rsid w:val="004938DB"/>
    <w:rsid w:val="004A0728"/>
    <w:rsid w:val="004A1DA6"/>
    <w:rsid w:val="004A2EA2"/>
    <w:rsid w:val="004A31B5"/>
    <w:rsid w:val="004A4BBD"/>
    <w:rsid w:val="004B01E2"/>
    <w:rsid w:val="004B2C2B"/>
    <w:rsid w:val="004B333D"/>
    <w:rsid w:val="004B398E"/>
    <w:rsid w:val="004B446B"/>
    <w:rsid w:val="004C0DD8"/>
    <w:rsid w:val="004C3729"/>
    <w:rsid w:val="004C4485"/>
    <w:rsid w:val="004D4FB8"/>
    <w:rsid w:val="004D5EDD"/>
    <w:rsid w:val="004D6655"/>
    <w:rsid w:val="004D670A"/>
    <w:rsid w:val="004D69BE"/>
    <w:rsid w:val="004E0690"/>
    <w:rsid w:val="004E1EBF"/>
    <w:rsid w:val="004E6839"/>
    <w:rsid w:val="004F3897"/>
    <w:rsid w:val="004F4C1C"/>
    <w:rsid w:val="004F556C"/>
    <w:rsid w:val="004F5E61"/>
    <w:rsid w:val="004F70A7"/>
    <w:rsid w:val="004F7B50"/>
    <w:rsid w:val="005007BB"/>
    <w:rsid w:val="0050093F"/>
    <w:rsid w:val="00502882"/>
    <w:rsid w:val="0050596C"/>
    <w:rsid w:val="00506DBD"/>
    <w:rsid w:val="00510445"/>
    <w:rsid w:val="00510F08"/>
    <w:rsid w:val="0051163E"/>
    <w:rsid w:val="005132DA"/>
    <w:rsid w:val="00513865"/>
    <w:rsid w:val="0051425F"/>
    <w:rsid w:val="00515CDD"/>
    <w:rsid w:val="00520728"/>
    <w:rsid w:val="00520AC1"/>
    <w:rsid w:val="00520FC1"/>
    <w:rsid w:val="0052136C"/>
    <w:rsid w:val="00521430"/>
    <w:rsid w:val="00522D1F"/>
    <w:rsid w:val="00534BFE"/>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584F"/>
    <w:rsid w:val="0058608D"/>
    <w:rsid w:val="005862F8"/>
    <w:rsid w:val="0058713F"/>
    <w:rsid w:val="005902B3"/>
    <w:rsid w:val="00595DC1"/>
    <w:rsid w:val="005963DB"/>
    <w:rsid w:val="00597898"/>
    <w:rsid w:val="005A7F32"/>
    <w:rsid w:val="005B3E64"/>
    <w:rsid w:val="005B4135"/>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2AE"/>
    <w:rsid w:val="006475AA"/>
    <w:rsid w:val="00656490"/>
    <w:rsid w:val="006576B5"/>
    <w:rsid w:val="00657701"/>
    <w:rsid w:val="00657AB6"/>
    <w:rsid w:val="0066162B"/>
    <w:rsid w:val="0066287F"/>
    <w:rsid w:val="006633FD"/>
    <w:rsid w:val="006639B6"/>
    <w:rsid w:val="006652E4"/>
    <w:rsid w:val="006704DB"/>
    <w:rsid w:val="00670584"/>
    <w:rsid w:val="006722D8"/>
    <w:rsid w:val="00672354"/>
    <w:rsid w:val="00672ACB"/>
    <w:rsid w:val="00672F31"/>
    <w:rsid w:val="00674BCD"/>
    <w:rsid w:val="00682907"/>
    <w:rsid w:val="0068373C"/>
    <w:rsid w:val="0068387D"/>
    <w:rsid w:val="00686636"/>
    <w:rsid w:val="006914E8"/>
    <w:rsid w:val="00691CE7"/>
    <w:rsid w:val="00692D78"/>
    <w:rsid w:val="00693042"/>
    <w:rsid w:val="00693EF7"/>
    <w:rsid w:val="006A031E"/>
    <w:rsid w:val="006A0620"/>
    <w:rsid w:val="006A2592"/>
    <w:rsid w:val="006A2AA1"/>
    <w:rsid w:val="006A63AE"/>
    <w:rsid w:val="006B070A"/>
    <w:rsid w:val="006B6A20"/>
    <w:rsid w:val="006C225B"/>
    <w:rsid w:val="006C45C1"/>
    <w:rsid w:val="006D10A5"/>
    <w:rsid w:val="006D17F4"/>
    <w:rsid w:val="006D2D24"/>
    <w:rsid w:val="006D300E"/>
    <w:rsid w:val="006D3CD8"/>
    <w:rsid w:val="006D54D8"/>
    <w:rsid w:val="006D54FD"/>
    <w:rsid w:val="006D5846"/>
    <w:rsid w:val="006E3E32"/>
    <w:rsid w:val="006E3F48"/>
    <w:rsid w:val="006F2FEA"/>
    <w:rsid w:val="006F512E"/>
    <w:rsid w:val="006F55B4"/>
    <w:rsid w:val="006F5854"/>
    <w:rsid w:val="006F5A46"/>
    <w:rsid w:val="007007AD"/>
    <w:rsid w:val="007013F9"/>
    <w:rsid w:val="007054A9"/>
    <w:rsid w:val="00705651"/>
    <w:rsid w:val="00706262"/>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36C59"/>
    <w:rsid w:val="00740289"/>
    <w:rsid w:val="007407BD"/>
    <w:rsid w:val="00743EB6"/>
    <w:rsid w:val="00743FAD"/>
    <w:rsid w:val="0074400F"/>
    <w:rsid w:val="00745526"/>
    <w:rsid w:val="00746499"/>
    <w:rsid w:val="00747426"/>
    <w:rsid w:val="00752226"/>
    <w:rsid w:val="007551A8"/>
    <w:rsid w:val="007563E2"/>
    <w:rsid w:val="00756D0F"/>
    <w:rsid w:val="007601A5"/>
    <w:rsid w:val="0076209A"/>
    <w:rsid w:val="007634FA"/>
    <w:rsid w:val="00765BA0"/>
    <w:rsid w:val="00765DD0"/>
    <w:rsid w:val="00767640"/>
    <w:rsid w:val="0077340C"/>
    <w:rsid w:val="00773803"/>
    <w:rsid w:val="00774201"/>
    <w:rsid w:val="00780BE2"/>
    <w:rsid w:val="00780E3B"/>
    <w:rsid w:val="00780F66"/>
    <w:rsid w:val="00787137"/>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669"/>
    <w:rsid w:val="007D7DAE"/>
    <w:rsid w:val="007E0AD0"/>
    <w:rsid w:val="007E0E3E"/>
    <w:rsid w:val="007E1F32"/>
    <w:rsid w:val="007E44B6"/>
    <w:rsid w:val="007E4690"/>
    <w:rsid w:val="007E55F2"/>
    <w:rsid w:val="007E5E41"/>
    <w:rsid w:val="007E66C5"/>
    <w:rsid w:val="007E7867"/>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531B"/>
    <w:rsid w:val="008374EA"/>
    <w:rsid w:val="008416B2"/>
    <w:rsid w:val="00847D0C"/>
    <w:rsid w:val="00850700"/>
    <w:rsid w:val="00850745"/>
    <w:rsid w:val="008512A8"/>
    <w:rsid w:val="0085232E"/>
    <w:rsid w:val="00852594"/>
    <w:rsid w:val="00852719"/>
    <w:rsid w:val="0085388D"/>
    <w:rsid w:val="00854494"/>
    <w:rsid w:val="00856391"/>
    <w:rsid w:val="00856ADE"/>
    <w:rsid w:val="0085744F"/>
    <w:rsid w:val="008615D2"/>
    <w:rsid w:val="0086317A"/>
    <w:rsid w:val="00863B12"/>
    <w:rsid w:val="008649CF"/>
    <w:rsid w:val="0086630C"/>
    <w:rsid w:val="008719A0"/>
    <w:rsid w:val="00871C75"/>
    <w:rsid w:val="00871D5D"/>
    <w:rsid w:val="00872589"/>
    <w:rsid w:val="00873BBE"/>
    <w:rsid w:val="0087519D"/>
    <w:rsid w:val="008768AB"/>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4A5"/>
    <w:rsid w:val="008D7E37"/>
    <w:rsid w:val="008E100B"/>
    <w:rsid w:val="008E2F44"/>
    <w:rsid w:val="008E43F2"/>
    <w:rsid w:val="008E4ED5"/>
    <w:rsid w:val="008E567D"/>
    <w:rsid w:val="008E6175"/>
    <w:rsid w:val="008F261E"/>
    <w:rsid w:val="008F5A81"/>
    <w:rsid w:val="008F77F6"/>
    <w:rsid w:val="00900034"/>
    <w:rsid w:val="00901EB7"/>
    <w:rsid w:val="0090372F"/>
    <w:rsid w:val="00903F50"/>
    <w:rsid w:val="009101BA"/>
    <w:rsid w:val="009131E2"/>
    <w:rsid w:val="00914F0E"/>
    <w:rsid w:val="0091589E"/>
    <w:rsid w:val="00917ED0"/>
    <w:rsid w:val="00920952"/>
    <w:rsid w:val="00920D4A"/>
    <w:rsid w:val="0092187D"/>
    <w:rsid w:val="00923F26"/>
    <w:rsid w:val="00926863"/>
    <w:rsid w:val="0093089A"/>
    <w:rsid w:val="009328D9"/>
    <w:rsid w:val="00934BD4"/>
    <w:rsid w:val="00941EA3"/>
    <w:rsid w:val="00942429"/>
    <w:rsid w:val="0094295B"/>
    <w:rsid w:val="0094416A"/>
    <w:rsid w:val="00951C38"/>
    <w:rsid w:val="00952624"/>
    <w:rsid w:val="0095446E"/>
    <w:rsid w:val="009547B3"/>
    <w:rsid w:val="00956725"/>
    <w:rsid w:val="00956941"/>
    <w:rsid w:val="0095734A"/>
    <w:rsid w:val="009577A5"/>
    <w:rsid w:val="00957916"/>
    <w:rsid w:val="00961D67"/>
    <w:rsid w:val="009655EA"/>
    <w:rsid w:val="00965CAD"/>
    <w:rsid w:val="00965DE7"/>
    <w:rsid w:val="00966853"/>
    <w:rsid w:val="00974428"/>
    <w:rsid w:val="00974AA5"/>
    <w:rsid w:val="009758E5"/>
    <w:rsid w:val="00975A4A"/>
    <w:rsid w:val="009776E9"/>
    <w:rsid w:val="00980F34"/>
    <w:rsid w:val="00981FB9"/>
    <w:rsid w:val="00982849"/>
    <w:rsid w:val="00982EE7"/>
    <w:rsid w:val="009842E4"/>
    <w:rsid w:val="00984BCF"/>
    <w:rsid w:val="009850CE"/>
    <w:rsid w:val="00985346"/>
    <w:rsid w:val="00986B9D"/>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5C10"/>
    <w:rsid w:val="009C6650"/>
    <w:rsid w:val="009D15D9"/>
    <w:rsid w:val="009D1BE0"/>
    <w:rsid w:val="009D1DC8"/>
    <w:rsid w:val="009D3FC8"/>
    <w:rsid w:val="009D414A"/>
    <w:rsid w:val="009D4C0A"/>
    <w:rsid w:val="009D66AA"/>
    <w:rsid w:val="009D7BC6"/>
    <w:rsid w:val="009E6E0B"/>
    <w:rsid w:val="009E777A"/>
    <w:rsid w:val="009E787E"/>
    <w:rsid w:val="009F5211"/>
    <w:rsid w:val="009F6828"/>
    <w:rsid w:val="00A00F56"/>
    <w:rsid w:val="00A04286"/>
    <w:rsid w:val="00A053C4"/>
    <w:rsid w:val="00A07E2A"/>
    <w:rsid w:val="00A07E44"/>
    <w:rsid w:val="00A12489"/>
    <w:rsid w:val="00A13DD5"/>
    <w:rsid w:val="00A14D35"/>
    <w:rsid w:val="00A16460"/>
    <w:rsid w:val="00A16E9E"/>
    <w:rsid w:val="00A22273"/>
    <w:rsid w:val="00A244F6"/>
    <w:rsid w:val="00A30498"/>
    <w:rsid w:val="00A3090E"/>
    <w:rsid w:val="00A31635"/>
    <w:rsid w:val="00A35C53"/>
    <w:rsid w:val="00A400DD"/>
    <w:rsid w:val="00A40E47"/>
    <w:rsid w:val="00A454B4"/>
    <w:rsid w:val="00A46558"/>
    <w:rsid w:val="00A47B0E"/>
    <w:rsid w:val="00A509CE"/>
    <w:rsid w:val="00A52DCD"/>
    <w:rsid w:val="00A53EFE"/>
    <w:rsid w:val="00A62454"/>
    <w:rsid w:val="00A6280A"/>
    <w:rsid w:val="00A62839"/>
    <w:rsid w:val="00A63C68"/>
    <w:rsid w:val="00A66127"/>
    <w:rsid w:val="00A674A7"/>
    <w:rsid w:val="00A707D6"/>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5B51"/>
    <w:rsid w:val="00A87468"/>
    <w:rsid w:val="00A903BD"/>
    <w:rsid w:val="00A923AA"/>
    <w:rsid w:val="00A926BD"/>
    <w:rsid w:val="00A93B08"/>
    <w:rsid w:val="00A9480D"/>
    <w:rsid w:val="00A95AEF"/>
    <w:rsid w:val="00A95F6C"/>
    <w:rsid w:val="00A97358"/>
    <w:rsid w:val="00AA092A"/>
    <w:rsid w:val="00AA1306"/>
    <w:rsid w:val="00AA27E3"/>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5972"/>
    <w:rsid w:val="00AD608D"/>
    <w:rsid w:val="00AE28CA"/>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35E9"/>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543"/>
    <w:rsid w:val="00B8682E"/>
    <w:rsid w:val="00B8788B"/>
    <w:rsid w:val="00B91917"/>
    <w:rsid w:val="00B92BC6"/>
    <w:rsid w:val="00B93517"/>
    <w:rsid w:val="00B93C97"/>
    <w:rsid w:val="00B94122"/>
    <w:rsid w:val="00B96008"/>
    <w:rsid w:val="00B9623D"/>
    <w:rsid w:val="00BA0B46"/>
    <w:rsid w:val="00BA1D20"/>
    <w:rsid w:val="00BA2396"/>
    <w:rsid w:val="00BA3359"/>
    <w:rsid w:val="00BA3705"/>
    <w:rsid w:val="00BA43F2"/>
    <w:rsid w:val="00BA441F"/>
    <w:rsid w:val="00BA7304"/>
    <w:rsid w:val="00BB2D38"/>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1E24"/>
    <w:rsid w:val="00C22212"/>
    <w:rsid w:val="00C25B36"/>
    <w:rsid w:val="00C27C25"/>
    <w:rsid w:val="00C31178"/>
    <w:rsid w:val="00C317AB"/>
    <w:rsid w:val="00C31AF9"/>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2E25"/>
    <w:rsid w:val="00C54500"/>
    <w:rsid w:val="00C56F9A"/>
    <w:rsid w:val="00C61FF9"/>
    <w:rsid w:val="00C626BA"/>
    <w:rsid w:val="00C62FF2"/>
    <w:rsid w:val="00C632D7"/>
    <w:rsid w:val="00C63ED6"/>
    <w:rsid w:val="00C646E3"/>
    <w:rsid w:val="00C650A4"/>
    <w:rsid w:val="00C65412"/>
    <w:rsid w:val="00C65670"/>
    <w:rsid w:val="00C71F43"/>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615D1"/>
    <w:rsid w:val="00D62011"/>
    <w:rsid w:val="00D632DE"/>
    <w:rsid w:val="00D64B3A"/>
    <w:rsid w:val="00D65334"/>
    <w:rsid w:val="00D711E5"/>
    <w:rsid w:val="00D723D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AC9"/>
    <w:rsid w:val="00DA4BDC"/>
    <w:rsid w:val="00DA6781"/>
    <w:rsid w:val="00DB249F"/>
    <w:rsid w:val="00DB2D65"/>
    <w:rsid w:val="00DB3322"/>
    <w:rsid w:val="00DB3701"/>
    <w:rsid w:val="00DB3DFA"/>
    <w:rsid w:val="00DB68B8"/>
    <w:rsid w:val="00DB6E68"/>
    <w:rsid w:val="00DC0689"/>
    <w:rsid w:val="00DC1DA2"/>
    <w:rsid w:val="00DC32EC"/>
    <w:rsid w:val="00DC37F8"/>
    <w:rsid w:val="00DC5FE9"/>
    <w:rsid w:val="00DC649F"/>
    <w:rsid w:val="00DC7A71"/>
    <w:rsid w:val="00DD02B0"/>
    <w:rsid w:val="00DD0586"/>
    <w:rsid w:val="00DD0A15"/>
    <w:rsid w:val="00DD26A9"/>
    <w:rsid w:val="00DD3CE0"/>
    <w:rsid w:val="00DD4BCE"/>
    <w:rsid w:val="00DD658C"/>
    <w:rsid w:val="00DD6D20"/>
    <w:rsid w:val="00DE0660"/>
    <w:rsid w:val="00DE0EBD"/>
    <w:rsid w:val="00DE22D0"/>
    <w:rsid w:val="00DE2F29"/>
    <w:rsid w:val="00DE3989"/>
    <w:rsid w:val="00DE449B"/>
    <w:rsid w:val="00DE55E7"/>
    <w:rsid w:val="00DE61CE"/>
    <w:rsid w:val="00DF2D10"/>
    <w:rsid w:val="00DF4E40"/>
    <w:rsid w:val="00DF7708"/>
    <w:rsid w:val="00DF7F81"/>
    <w:rsid w:val="00E02D21"/>
    <w:rsid w:val="00E033E0"/>
    <w:rsid w:val="00E04019"/>
    <w:rsid w:val="00E046B1"/>
    <w:rsid w:val="00E047DF"/>
    <w:rsid w:val="00E04F9B"/>
    <w:rsid w:val="00E062EB"/>
    <w:rsid w:val="00E12B15"/>
    <w:rsid w:val="00E14892"/>
    <w:rsid w:val="00E150A3"/>
    <w:rsid w:val="00E20B11"/>
    <w:rsid w:val="00E21B71"/>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87111"/>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86C"/>
    <w:rsid w:val="00ED2AAD"/>
    <w:rsid w:val="00ED4F7E"/>
    <w:rsid w:val="00ED6B77"/>
    <w:rsid w:val="00EE1B5C"/>
    <w:rsid w:val="00EE2269"/>
    <w:rsid w:val="00EE4FE2"/>
    <w:rsid w:val="00EF0396"/>
    <w:rsid w:val="00EF378F"/>
    <w:rsid w:val="00EF432F"/>
    <w:rsid w:val="00F0128E"/>
    <w:rsid w:val="00F021B4"/>
    <w:rsid w:val="00F02379"/>
    <w:rsid w:val="00F0322E"/>
    <w:rsid w:val="00F04601"/>
    <w:rsid w:val="00F05AAC"/>
    <w:rsid w:val="00F1028B"/>
    <w:rsid w:val="00F10DE4"/>
    <w:rsid w:val="00F133AD"/>
    <w:rsid w:val="00F15401"/>
    <w:rsid w:val="00F20310"/>
    <w:rsid w:val="00F21CA9"/>
    <w:rsid w:val="00F22B09"/>
    <w:rsid w:val="00F23E2A"/>
    <w:rsid w:val="00F246CC"/>
    <w:rsid w:val="00F26965"/>
    <w:rsid w:val="00F306C5"/>
    <w:rsid w:val="00F310C7"/>
    <w:rsid w:val="00F312A4"/>
    <w:rsid w:val="00F34B69"/>
    <w:rsid w:val="00F34FCE"/>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8724C"/>
    <w:rsid w:val="00F90345"/>
    <w:rsid w:val="00F91BE2"/>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0793"/>
    <w:rsid w:val="00FB1855"/>
    <w:rsid w:val="00FB3DD3"/>
    <w:rsid w:val="00FB4178"/>
    <w:rsid w:val="00FB6313"/>
    <w:rsid w:val="00FB64CF"/>
    <w:rsid w:val="00FC4A50"/>
    <w:rsid w:val="00FD0117"/>
    <w:rsid w:val="00FD0309"/>
    <w:rsid w:val="00FD0FB2"/>
    <w:rsid w:val="00FD1690"/>
    <w:rsid w:val="00FD1798"/>
    <w:rsid w:val="00FD181A"/>
    <w:rsid w:val="00FE2DE3"/>
    <w:rsid w:val="00FE34B4"/>
    <w:rsid w:val="00FE3889"/>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DC8B4"/>
  <w15:docId w15:val="{3B1F4C90-CD85-471E-84DA-86A3E215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basedOn w:val="Normln"/>
    <w:link w:val="TextkomenteChar"/>
    <w:uiPriority w:val="99"/>
    <w:unhideWhenUsed/>
    <w:rsid w:val="00CC6206"/>
    <w:rPr>
      <w:sz w:val="20"/>
      <w:szCs w:val="20"/>
    </w:rPr>
  </w:style>
  <w:style w:type="character" w:customStyle="1" w:styleId="TextkomenteChar">
    <w:name w:val="Text komentáře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 w:type="table" w:styleId="Svtlmkatabulky">
    <w:name w:val="Grid Table Light"/>
    <w:basedOn w:val="Normlntabulka"/>
    <w:uiPriority w:val="40"/>
    <w:rsid w:val="008F5A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61398671">
          <w:marLeft w:val="0"/>
          <w:marRight w:val="0"/>
          <w:marTop w:val="0"/>
          <w:marBottom w:val="0"/>
          <w:divBdr>
            <w:top w:val="none" w:sz="0" w:space="0" w:color="auto"/>
            <w:left w:val="none" w:sz="0" w:space="0" w:color="auto"/>
            <w:bottom w:val="none" w:sz="0" w:space="0" w:color="auto"/>
            <w:right w:val="none" w:sz="0" w:space="0" w:color="auto"/>
          </w:divBdr>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AF1D3-0E9B-4178-8B0A-CAC805803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3911</Words>
  <Characters>23077</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Luboš Sychra</dc:creator>
  <cp:keywords/>
  <dc:description/>
  <cp:lastModifiedBy>Adelt Milan</cp:lastModifiedBy>
  <cp:revision>7</cp:revision>
  <cp:lastPrinted>2021-02-03T12:53:00Z</cp:lastPrinted>
  <dcterms:created xsi:type="dcterms:W3CDTF">2025-02-07T10:55:00Z</dcterms:created>
  <dcterms:modified xsi:type="dcterms:W3CDTF">2025-02-11T11:40:00Z</dcterms:modified>
</cp:coreProperties>
</file>