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54472" w14:textId="77777777" w:rsidR="000779AD" w:rsidRDefault="000779AD"/>
    <w:p w14:paraId="360678E0" w14:textId="77777777" w:rsidR="006700BE" w:rsidRDefault="006700BE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20"/>
        <w:gridCol w:w="3716"/>
        <w:gridCol w:w="651"/>
        <w:gridCol w:w="706"/>
        <w:gridCol w:w="619"/>
        <w:gridCol w:w="683"/>
        <w:gridCol w:w="641"/>
      </w:tblGrid>
      <w:tr w:rsidR="007E0AF9" w:rsidRPr="00DB5CDA" w14:paraId="56A891E0" w14:textId="77777777" w:rsidTr="007920B3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257F8AC0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</w:rPr>
            </w:pPr>
          </w:p>
          <w:p w14:paraId="28FAC08B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</w:rPr>
            </w:pPr>
            <w:proofErr w:type="spellStart"/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  <w:proofErr w:type="spellEnd"/>
          </w:p>
          <w:p w14:paraId="36B95157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7E723CF6" w14:textId="77777777" w:rsidR="007E0AF9" w:rsidRPr="00DB5CDA" w:rsidRDefault="007E0AF9" w:rsidP="007920B3">
            <w:pPr>
              <w:rPr>
                <w:rFonts w:ascii="Arial" w:hAnsi="Arial" w:cs="Arial"/>
                <w:b/>
              </w:rPr>
            </w:pPr>
          </w:p>
          <w:p w14:paraId="7F9998B5" w14:textId="34039390" w:rsidR="007E0AF9" w:rsidRPr="00DB5CDA" w:rsidRDefault="007E0AF9" w:rsidP="007920B3">
            <w:pPr>
              <w:rPr>
                <w:rFonts w:ascii="Arial" w:hAnsi="Arial" w:cs="Arial"/>
                <w:b/>
              </w:rPr>
            </w:pPr>
            <w:r w:rsidRPr="00DB52D7">
              <w:rPr>
                <w:rFonts w:ascii="Arial" w:hAnsi="Arial" w:cs="Arial"/>
                <w:b/>
              </w:rPr>
              <w:t>Fakultní nemocnice Hradec Králové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428454F6" w14:textId="6A43B3D2" w:rsidR="007E0AF9" w:rsidRPr="00DB5CDA" w:rsidRDefault="00273CA5" w:rsidP="007920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BC28EC" w14:textId="44A49952" w:rsidR="007E0AF9" w:rsidRPr="00DB5CDA" w:rsidRDefault="00273CA5" w:rsidP="00792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7AD17A" w14:textId="584DBFF6" w:rsidR="007E0AF9" w:rsidRPr="00DB5CDA" w:rsidRDefault="00273CA5" w:rsidP="00792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33D2A" w14:textId="184B2137" w:rsidR="007E0AF9" w:rsidRPr="00DB5CDA" w:rsidRDefault="00273CA5" w:rsidP="00792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0E5A3D" w14:textId="2FC84FF6" w:rsidR="007E0AF9" w:rsidRPr="00DB5CDA" w:rsidRDefault="00273CA5" w:rsidP="00792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7E0AF9" w:rsidRPr="00DB5CDA" w14:paraId="30C099B3" w14:textId="77777777" w:rsidTr="007920B3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1BF135AA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0FA474D5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3322BA17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49CC5C" w14:textId="0E0656FD" w:rsidR="007E0AF9" w:rsidRPr="00DB5CDA" w:rsidRDefault="004A3A41" w:rsidP="007920B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31D49D" w14:textId="32B058C0" w:rsidR="007E0AF9" w:rsidRPr="00DB5CDA" w:rsidRDefault="00273CA5" w:rsidP="007920B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B67A27" w14:textId="32499A10" w:rsidR="007E0AF9" w:rsidRPr="00DB5CDA" w:rsidRDefault="00273CA5" w:rsidP="007920B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791252" w14:textId="4CA82942" w:rsidR="007E0AF9" w:rsidRPr="00DB5CDA" w:rsidRDefault="00273CA5" w:rsidP="007920B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</w:tr>
      <w:tr w:rsidR="007E0AF9" w:rsidRPr="001F0B21" w14:paraId="2CFE0E23" w14:textId="77777777" w:rsidTr="007920B3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D52D8F" w14:textId="77777777" w:rsidR="007E0AF9" w:rsidRDefault="007E0AF9" w:rsidP="007920B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41B65D" w14:textId="5D94307C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20708C">
              <w:rPr>
                <w:rFonts w:ascii="Arial" w:hAnsi="Arial" w:cs="Arial"/>
                <w:b/>
                <w:szCs w:val="22"/>
              </w:rPr>
              <w:t xml:space="preserve">za M1-M5 je </w:t>
            </w:r>
            <w:r w:rsidR="004A3A41">
              <w:rPr>
                <w:rFonts w:ascii="Arial" w:hAnsi="Arial" w:cs="Arial"/>
                <w:b/>
                <w:szCs w:val="22"/>
              </w:rPr>
              <w:t>A</w:t>
            </w: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FE11D0" w14:textId="526F4859" w:rsidR="007E0AF9" w:rsidRPr="001F0B21" w:rsidRDefault="00273CA5" w:rsidP="007920B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 w:rsidR="009F7F2A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- </w:t>
            </w:r>
            <w:r w:rsidR="004A3A41">
              <w:rPr>
                <w:rFonts w:ascii="Arial" w:hAnsi="Arial" w:cs="Arial"/>
                <w:b/>
                <w:color w:val="000000" w:themeColor="text1"/>
                <w:szCs w:val="22"/>
              </w:rPr>
              <w:t>A</w:t>
            </w:r>
            <w:proofErr w:type="gramEnd"/>
          </w:p>
        </w:tc>
      </w:tr>
      <w:tr w:rsidR="007E0AF9" w:rsidRPr="007B44E4" w14:paraId="337B93F7" w14:textId="77777777" w:rsidTr="007920B3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7129AF" w14:textId="77777777" w:rsidR="007E0AF9" w:rsidRDefault="007E0AF9" w:rsidP="007920B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558F7A9" w14:textId="77777777" w:rsidR="007E0AF9" w:rsidRDefault="007E0AF9" w:rsidP="007920B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1220D78" w14:textId="77777777" w:rsidR="007E0AF9" w:rsidRDefault="007E0AF9" w:rsidP="007920B3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A</w:t>
            </w:r>
          </w:p>
          <w:p w14:paraId="426BB732" w14:textId="77777777" w:rsidR="007E0AF9" w:rsidRDefault="007E0AF9" w:rsidP="007920B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95FC3B8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179292" w14:textId="6FFE4571" w:rsidR="00855E7A" w:rsidRDefault="00855E7A" w:rsidP="004A3A41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F319B">
              <w:rPr>
                <w:rFonts w:ascii="Arial" w:hAnsi="Arial" w:cs="Arial"/>
                <w:color w:val="000000" w:themeColor="text1"/>
              </w:rPr>
              <w:t>FNHK je velice aktivní v oblasti aplikovaného výzkumu a je třeba ocenit především projekty charakteru nekomerčních klinických hodnocení časných fází, projekt TAČR TARIMAD nebo rozvojový projekt PERSONMED podpořený MŠM</w:t>
            </w:r>
            <w:r>
              <w:rPr>
                <w:rFonts w:ascii="Arial" w:hAnsi="Arial" w:cs="Arial"/>
                <w:color w:val="000000" w:themeColor="text1"/>
              </w:rPr>
              <w:t xml:space="preserve">T, dále rozšířili o projekty aplikovaného výzkumu </w:t>
            </w:r>
            <w:r w:rsidRPr="00C51BFA">
              <w:rPr>
                <w:rFonts w:ascii="Arial" w:hAnsi="Arial" w:cs="Arial"/>
                <w:color w:val="000000" w:themeColor="text1"/>
              </w:rPr>
              <w:t xml:space="preserve">Duálně účinné </w:t>
            </w:r>
            <w:proofErr w:type="spellStart"/>
            <w:r w:rsidRPr="00C51BFA">
              <w:rPr>
                <w:rFonts w:ascii="Arial" w:hAnsi="Arial" w:cs="Arial"/>
                <w:color w:val="000000" w:themeColor="text1"/>
              </w:rPr>
              <w:t>potenciátory</w:t>
            </w:r>
            <w:proofErr w:type="spellEnd"/>
            <w:r w:rsidRPr="00C51BFA">
              <w:rPr>
                <w:rFonts w:ascii="Arial" w:hAnsi="Arial" w:cs="Arial"/>
                <w:color w:val="000000" w:themeColor="text1"/>
              </w:rPr>
              <w:t xml:space="preserve"> kognice pro paliativní léčbu Alzheimerovy choroby</w:t>
            </w:r>
            <w:r>
              <w:rPr>
                <w:rFonts w:ascii="Arial" w:hAnsi="Arial" w:cs="Arial"/>
                <w:color w:val="000000" w:themeColor="text1"/>
              </w:rPr>
              <w:t xml:space="preserve"> a </w:t>
            </w:r>
            <w:r w:rsidRPr="00C51BFA">
              <w:rPr>
                <w:rFonts w:ascii="Arial" w:hAnsi="Arial" w:cs="Arial"/>
                <w:color w:val="000000" w:themeColor="text1"/>
              </w:rPr>
              <w:t xml:space="preserve">Stanovení potenciálních </w:t>
            </w:r>
            <w:proofErr w:type="spellStart"/>
            <w:r w:rsidRPr="00C51BFA">
              <w:rPr>
                <w:rFonts w:ascii="Arial" w:hAnsi="Arial" w:cs="Arial"/>
                <w:color w:val="000000" w:themeColor="text1"/>
              </w:rPr>
              <w:t>prognostických</w:t>
            </w:r>
            <w:proofErr w:type="spellEnd"/>
            <w:r w:rsidRPr="00C51BFA">
              <w:rPr>
                <w:rFonts w:ascii="Arial" w:hAnsi="Arial" w:cs="Arial"/>
                <w:color w:val="000000" w:themeColor="text1"/>
              </w:rPr>
              <w:t xml:space="preserve"> laboratorních markerů u pacientů s COVID-19</w:t>
            </w:r>
            <w:r>
              <w:rPr>
                <w:rFonts w:ascii="Arial" w:hAnsi="Arial" w:cs="Arial"/>
                <w:color w:val="000000" w:themeColor="text1"/>
              </w:rPr>
              <w:t>, které byly v minulém roce dokončeny a jejich výsledky byly poskytovateli podpory hodnoceny jako vynikající. Významného posunu bylo dosaženo v oblasti výsledků s ekonomickým dopadem, kde jsou v průběžné zprávě uvedeny tři patenty a dvě patentové přihlášky s </w:t>
            </w:r>
            <w:r w:rsidRPr="007F319B">
              <w:rPr>
                <w:rFonts w:ascii="Arial" w:hAnsi="Arial" w:cs="Arial"/>
                <w:color w:val="000000" w:themeColor="text1"/>
              </w:rPr>
              <w:t>velice kvalitně zpracovan</w:t>
            </w:r>
            <w:r>
              <w:rPr>
                <w:rFonts w:ascii="Arial" w:hAnsi="Arial" w:cs="Arial"/>
                <w:color w:val="000000" w:themeColor="text1"/>
              </w:rPr>
              <w:t xml:space="preserve">ým </w:t>
            </w:r>
            <w:r w:rsidRPr="007F319B">
              <w:rPr>
                <w:rFonts w:ascii="Arial" w:hAnsi="Arial" w:cs="Arial"/>
                <w:color w:val="000000" w:themeColor="text1"/>
              </w:rPr>
              <w:t>vyhodnocení</w:t>
            </w:r>
            <w:r>
              <w:rPr>
                <w:rFonts w:ascii="Arial" w:hAnsi="Arial" w:cs="Arial"/>
                <w:color w:val="000000" w:themeColor="text1"/>
              </w:rPr>
              <w:t>m</w:t>
            </w:r>
            <w:r w:rsidRPr="007F319B">
              <w:rPr>
                <w:rFonts w:ascii="Arial" w:hAnsi="Arial" w:cs="Arial"/>
                <w:color w:val="000000" w:themeColor="text1"/>
              </w:rPr>
              <w:t xml:space="preserve"> jejich možného ekonomického dopadu. Co se týká výsledků se společenským dopadem uvádí VO</w:t>
            </w:r>
            <w:r>
              <w:rPr>
                <w:rFonts w:ascii="Arial" w:hAnsi="Arial" w:cs="Arial"/>
                <w:color w:val="000000" w:themeColor="text1"/>
              </w:rPr>
              <w:t xml:space="preserve"> licencovaný </w:t>
            </w:r>
            <w:r w:rsidRPr="007F319B">
              <w:rPr>
                <w:rFonts w:ascii="Arial" w:hAnsi="Arial" w:cs="Arial"/>
                <w:color w:val="000000" w:themeColor="text1"/>
              </w:rPr>
              <w:t>funkční vzorek (</w:t>
            </w:r>
            <w:proofErr w:type="spellStart"/>
            <w:r w:rsidRPr="007F319B">
              <w:rPr>
                <w:rFonts w:ascii="Arial" w:hAnsi="Arial" w:cs="Arial"/>
                <w:color w:val="000000" w:themeColor="text1"/>
              </w:rPr>
              <w:t>hlavokrční</w:t>
            </w:r>
            <w:proofErr w:type="spellEnd"/>
            <w:r w:rsidRPr="007F319B">
              <w:rPr>
                <w:rFonts w:ascii="Arial" w:hAnsi="Arial" w:cs="Arial"/>
                <w:color w:val="000000" w:themeColor="text1"/>
              </w:rPr>
              <w:t xml:space="preserve"> ortéza), </w:t>
            </w:r>
            <w:r>
              <w:rPr>
                <w:rFonts w:ascii="Arial" w:hAnsi="Arial" w:cs="Arial"/>
                <w:color w:val="000000" w:themeColor="text1"/>
              </w:rPr>
              <w:t xml:space="preserve">a výsledky typu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Jimp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 odborná kniha. Ve všech případech, je ale </w:t>
            </w:r>
            <w:r w:rsidRPr="007F319B">
              <w:rPr>
                <w:rFonts w:ascii="Arial" w:hAnsi="Arial" w:cs="Arial"/>
                <w:color w:val="000000" w:themeColor="text1"/>
              </w:rPr>
              <w:t>velice kvalitně vyhodnocen společenský dopad</w:t>
            </w:r>
            <w:r>
              <w:rPr>
                <w:rFonts w:ascii="Arial" w:hAnsi="Arial" w:cs="Arial"/>
                <w:color w:val="000000" w:themeColor="text1"/>
              </w:rPr>
              <w:t xml:space="preserve"> výsledků</w:t>
            </w:r>
            <w:r w:rsidRPr="007F319B">
              <w:rPr>
                <w:rFonts w:ascii="Arial" w:hAnsi="Arial" w:cs="Arial"/>
                <w:color w:val="000000" w:themeColor="text1"/>
              </w:rPr>
              <w:t xml:space="preserve">. Významná ocenění jsou dominantně tuzemská, </w:t>
            </w:r>
            <w:r>
              <w:rPr>
                <w:rFonts w:ascii="Arial" w:hAnsi="Arial" w:cs="Arial"/>
                <w:color w:val="000000" w:themeColor="text1"/>
              </w:rPr>
              <w:t xml:space="preserve">jedni zahraniční (prof. Kacerovský), </w:t>
            </w:r>
            <w:r w:rsidRPr="007F319B">
              <w:rPr>
                <w:rFonts w:ascii="Arial" w:hAnsi="Arial" w:cs="Arial"/>
                <w:color w:val="000000" w:themeColor="text1"/>
              </w:rPr>
              <w:t xml:space="preserve">ale </w:t>
            </w:r>
            <w:r>
              <w:rPr>
                <w:rFonts w:ascii="Arial" w:hAnsi="Arial" w:cs="Arial"/>
                <w:color w:val="000000" w:themeColor="text1"/>
              </w:rPr>
              <w:t xml:space="preserve">je potřeba zmínit, že všechny jsou z roku 2023 a jedná se dominantně o ocenění odborných společností. </w:t>
            </w:r>
            <w:r w:rsidRPr="007F319B">
              <w:rPr>
                <w:rFonts w:ascii="Arial" w:hAnsi="Arial" w:cs="Arial"/>
                <w:color w:val="000000" w:themeColor="text1"/>
              </w:rPr>
              <w:t xml:space="preserve">Pozitivně je třeba hodnotit aktivní zapojení pracovníků VO do činnosti AZV ČR. </w:t>
            </w:r>
            <w:r w:rsidRPr="007F319B">
              <w:rPr>
                <w:rFonts w:ascii="Arial" w:hAnsi="Arial" w:cs="Arial"/>
                <w:color w:val="000000" w:themeColor="text1"/>
                <w:lang w:eastAsia="en-GB"/>
              </w:rPr>
              <w:t xml:space="preserve">Rozsah a kvalita aplikovaného výzkumu a také společenské a ekonomické dopady výsledků výzkumu </w:t>
            </w:r>
            <w:r w:rsidR="009B309A">
              <w:rPr>
                <w:rFonts w:ascii="Arial" w:hAnsi="Arial" w:cs="Arial"/>
                <w:color w:val="000000" w:themeColor="text1"/>
                <w:lang w:eastAsia="en-GB"/>
              </w:rPr>
              <w:t xml:space="preserve">byly i v roce 2023 </w:t>
            </w:r>
            <w:r w:rsidRPr="007F319B">
              <w:rPr>
                <w:rFonts w:ascii="Arial" w:hAnsi="Arial" w:cs="Arial"/>
                <w:color w:val="000000" w:themeColor="text1"/>
                <w:lang w:eastAsia="en-GB"/>
              </w:rPr>
              <w:t xml:space="preserve">na </w:t>
            </w:r>
            <w:r>
              <w:rPr>
                <w:rFonts w:ascii="Arial" w:hAnsi="Arial" w:cs="Arial"/>
                <w:color w:val="000000" w:themeColor="text1"/>
                <w:lang w:eastAsia="en-GB"/>
              </w:rPr>
              <w:t>vynikající</w:t>
            </w:r>
            <w:r w:rsidRPr="007F319B">
              <w:rPr>
                <w:rFonts w:ascii="Arial" w:hAnsi="Arial" w:cs="Arial"/>
                <w:color w:val="000000" w:themeColor="text1"/>
                <w:lang w:eastAsia="en-GB"/>
              </w:rPr>
              <w:t xml:space="preserve"> úrovni (A) a VO</w:t>
            </w:r>
            <w:r>
              <w:rPr>
                <w:rFonts w:ascii="Arial" w:hAnsi="Arial" w:cs="Arial"/>
                <w:color w:val="000000" w:themeColor="text1"/>
                <w:lang w:eastAsia="en-GB"/>
              </w:rPr>
              <w:t xml:space="preserve"> </w:t>
            </w:r>
            <w:r w:rsidRPr="007F319B">
              <w:rPr>
                <w:rFonts w:ascii="Arial" w:hAnsi="Arial" w:cs="Arial"/>
                <w:color w:val="000000" w:themeColor="text1"/>
                <w:lang w:eastAsia="en-GB"/>
              </w:rPr>
              <w:t>s nimi umí pracovat způsobem, který naznačuje možnost dalšího rozvoje i v budoucnosti.</w:t>
            </w:r>
          </w:p>
          <w:p w14:paraId="72407EF4" w14:textId="45CD8FEF" w:rsidR="007F319B" w:rsidRDefault="007F319B" w:rsidP="007F319B">
            <w:pPr>
              <w:pBdr>
                <w:bottom w:val="single" w:sz="6" w:space="1" w:color="auto"/>
              </w:pBdr>
              <w:rPr>
                <w:rFonts w:ascii="Arial" w:hAnsi="Arial" w:cs="Arial"/>
                <w:color w:val="000000" w:themeColor="text1"/>
                <w:lang w:eastAsia="en-GB"/>
              </w:rPr>
            </w:pPr>
            <w:r w:rsidRPr="007F319B">
              <w:rPr>
                <w:rFonts w:ascii="Arial" w:hAnsi="Arial" w:cs="Arial"/>
                <w:color w:val="000000" w:themeColor="text1"/>
                <w:lang w:eastAsia="en-GB"/>
              </w:rPr>
              <w:t xml:space="preserve"> </w:t>
            </w:r>
          </w:p>
          <w:p w14:paraId="36B0BD6D" w14:textId="77777777" w:rsidR="007F319B" w:rsidRPr="007F319B" w:rsidRDefault="007F319B" w:rsidP="007F319B">
            <w:pPr>
              <w:rPr>
                <w:rFonts w:ascii="Arial" w:hAnsi="Arial" w:cs="Arial"/>
                <w:color w:val="000000" w:themeColor="text1"/>
              </w:rPr>
            </w:pPr>
          </w:p>
          <w:p w14:paraId="29E4396B" w14:textId="146B44F1" w:rsidR="007E0AF9" w:rsidRPr="007B44E4" w:rsidRDefault="007E0AF9" w:rsidP="007920B3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7E0AF9" w:rsidRPr="001F0B21" w14:paraId="6DA9314B" w14:textId="77777777" w:rsidTr="007920B3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E83942" w14:textId="77777777" w:rsidR="007E0AF9" w:rsidRDefault="007E0AF9" w:rsidP="007920B3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Viabilita</w:t>
            </w:r>
            <w:proofErr w:type="spellEnd"/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  <w:p w14:paraId="35E95A3D" w14:textId="77777777" w:rsidR="007E0AF9" w:rsidRDefault="007E0AF9" w:rsidP="007920B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437B804" w14:textId="77777777" w:rsidR="007E0AF9" w:rsidRDefault="007E0AF9" w:rsidP="007920B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9B53D5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953E95" w14:textId="77777777" w:rsidR="000F1C15" w:rsidRPr="00D60B19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 w:rsidRPr="00D60B19">
              <w:rPr>
                <w:rFonts w:ascii="Arial" w:hAnsi="Arial" w:cs="Arial"/>
                <w:szCs w:val="22"/>
              </w:rPr>
              <w:t xml:space="preserve">Provozní zabezpečení </w:t>
            </w:r>
            <w:proofErr w:type="spellStart"/>
            <w:r w:rsidRPr="00D60B19">
              <w:rPr>
                <w:rFonts w:ascii="Arial" w:hAnsi="Arial" w:cs="Arial"/>
                <w:szCs w:val="22"/>
              </w:rPr>
              <w:t>VaV</w:t>
            </w:r>
            <w:r>
              <w:rPr>
                <w:rFonts w:ascii="Arial" w:hAnsi="Arial" w:cs="Arial"/>
                <w:szCs w:val="22"/>
              </w:rPr>
              <w:t>aI</w:t>
            </w:r>
            <w:proofErr w:type="spellEnd"/>
            <w:r w:rsidRPr="00D60B19">
              <w:rPr>
                <w:rFonts w:ascii="Arial" w:hAnsi="Arial" w:cs="Arial"/>
                <w:szCs w:val="22"/>
              </w:rPr>
              <w:t xml:space="preserve"> zajišťuje Úsek pro vědu, výzkum a výuku, který zahrnuje Oddělení podpory výzkumu, Centrum transferu biomedicínských technologií a Oddělení klinických studií. Samostatným výzkumným pracovištěm je Centrum biomedicínského výzkumu. Speciálně je třeba ocenit existenci Centra transferu biomedicínských technologií (CTBT), které většina VO </w:t>
            </w:r>
            <w:proofErr w:type="spellStart"/>
            <w:r w:rsidRPr="00D60B19">
              <w:rPr>
                <w:rFonts w:ascii="Arial" w:hAnsi="Arial" w:cs="Arial"/>
                <w:szCs w:val="22"/>
              </w:rPr>
              <w:t>MZd</w:t>
            </w:r>
            <w:proofErr w:type="spellEnd"/>
            <w:r w:rsidRPr="00D60B19">
              <w:rPr>
                <w:rFonts w:ascii="Arial" w:hAnsi="Arial" w:cs="Arial"/>
                <w:szCs w:val="22"/>
              </w:rPr>
              <w:t xml:space="preserve"> doposud </w:t>
            </w:r>
            <w:r>
              <w:rPr>
                <w:rFonts w:ascii="Arial" w:hAnsi="Arial" w:cs="Arial"/>
                <w:szCs w:val="22"/>
              </w:rPr>
              <w:t>nezřizuje</w:t>
            </w:r>
            <w:r w:rsidRPr="00D60B19">
              <w:rPr>
                <w:rFonts w:ascii="Arial" w:hAnsi="Arial" w:cs="Arial"/>
                <w:szCs w:val="22"/>
              </w:rPr>
              <w:t>.</w:t>
            </w:r>
          </w:p>
          <w:p w14:paraId="198E8BF5" w14:textId="77777777" w:rsidR="000F1C15" w:rsidRPr="00D60B19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 w:rsidRPr="00D60B19">
              <w:rPr>
                <w:rFonts w:ascii="Arial" w:hAnsi="Arial" w:cs="Arial"/>
                <w:szCs w:val="22"/>
              </w:rPr>
              <w:t xml:space="preserve">Koncepci výzkumu ve Fakultní nemocnici Hradec Králové určuje Komise pro vědu a výzkum (dále jen Komise), která je poradním orgánem ředitele Fakultní nemocnice Hradec Králové (FN HK). </w:t>
            </w:r>
            <w:proofErr w:type="gramStart"/>
            <w:r w:rsidRPr="00D60B19">
              <w:rPr>
                <w:rFonts w:ascii="Arial" w:hAnsi="Arial" w:cs="Arial"/>
                <w:szCs w:val="22"/>
              </w:rPr>
              <w:t>Tvoří</w:t>
            </w:r>
            <w:proofErr w:type="gramEnd"/>
            <w:r w:rsidRPr="00D60B19">
              <w:rPr>
                <w:rFonts w:ascii="Arial" w:hAnsi="Arial" w:cs="Arial"/>
                <w:szCs w:val="22"/>
              </w:rPr>
              <w:t xml:space="preserve"> ji předseda, a ostatní členové jmenovaní ředitelem. Dalšími pracovišti dotvářejícími výzkumnou infrastrukturu jsou: Lékařská knihovna, která spravuje </w:t>
            </w:r>
            <w:proofErr w:type="spellStart"/>
            <w:r w:rsidRPr="00D60B19">
              <w:rPr>
                <w:rFonts w:ascii="Arial" w:hAnsi="Arial" w:cs="Arial"/>
                <w:szCs w:val="22"/>
              </w:rPr>
              <w:t>bibliometrickou</w:t>
            </w:r>
            <w:proofErr w:type="spellEnd"/>
            <w:r w:rsidRPr="00D60B19">
              <w:rPr>
                <w:rFonts w:ascii="Arial" w:hAnsi="Arial" w:cs="Arial"/>
                <w:szCs w:val="22"/>
              </w:rPr>
              <w:t xml:space="preserve"> evidenci výzkumných výsledků a podporuje hodnocení výzkumu, </w:t>
            </w:r>
            <w:proofErr w:type="spellStart"/>
            <w:r w:rsidRPr="00D60B19">
              <w:rPr>
                <w:rFonts w:ascii="Arial" w:hAnsi="Arial" w:cs="Arial"/>
                <w:szCs w:val="22"/>
              </w:rPr>
              <w:t>biobanky</w:t>
            </w:r>
            <w:proofErr w:type="spellEnd"/>
            <w:r w:rsidRPr="00D60B19">
              <w:rPr>
                <w:rFonts w:ascii="Arial" w:hAnsi="Arial" w:cs="Arial"/>
                <w:szCs w:val="22"/>
              </w:rPr>
              <w:t xml:space="preserve">: </w:t>
            </w:r>
            <w:r>
              <w:rPr>
                <w:rFonts w:ascii="Arial" w:hAnsi="Arial" w:cs="Arial"/>
                <w:szCs w:val="22"/>
              </w:rPr>
              <w:t>v</w:t>
            </w:r>
            <w:r w:rsidRPr="00D60B19">
              <w:rPr>
                <w:rFonts w:ascii="Arial" w:hAnsi="Arial" w:cs="Arial"/>
                <w:szCs w:val="22"/>
              </w:rPr>
              <w:t xml:space="preserve"> nemocnici je zaveden proces </w:t>
            </w:r>
            <w:proofErr w:type="spellStart"/>
            <w:r w:rsidRPr="00D60B19">
              <w:rPr>
                <w:rFonts w:ascii="Arial" w:hAnsi="Arial" w:cs="Arial"/>
                <w:szCs w:val="22"/>
              </w:rPr>
              <w:t>biobankování</w:t>
            </w:r>
            <w:proofErr w:type="spellEnd"/>
            <w:r w:rsidRPr="00D60B19">
              <w:rPr>
                <w:rFonts w:ascii="Arial" w:hAnsi="Arial" w:cs="Arial"/>
                <w:szCs w:val="22"/>
              </w:rPr>
              <w:t xml:space="preserve"> na dvou pracovištích, </w:t>
            </w:r>
            <w:r>
              <w:rPr>
                <w:rFonts w:ascii="Arial" w:hAnsi="Arial" w:cs="Arial"/>
                <w:szCs w:val="22"/>
              </w:rPr>
              <w:t xml:space="preserve">a také </w:t>
            </w:r>
            <w:r w:rsidRPr="00D60B19">
              <w:rPr>
                <w:rFonts w:ascii="Arial" w:hAnsi="Arial" w:cs="Arial"/>
                <w:szCs w:val="22"/>
              </w:rPr>
              <w:t>etická komise.</w:t>
            </w:r>
          </w:p>
          <w:p w14:paraId="0C9C07D4" w14:textId="4FC4FDD7" w:rsidR="000F1C15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 w:rsidRPr="00D60B19">
              <w:rPr>
                <w:rFonts w:ascii="Arial" w:hAnsi="Arial" w:cs="Arial"/>
                <w:szCs w:val="22"/>
              </w:rPr>
              <w:t xml:space="preserve">Příjmy z účelové podpory byly v hodnocením období </w:t>
            </w:r>
            <w:r>
              <w:rPr>
                <w:rFonts w:ascii="Arial" w:hAnsi="Arial" w:cs="Arial"/>
                <w:szCs w:val="22"/>
              </w:rPr>
              <w:t>10</w:t>
            </w:r>
            <w:r w:rsidRPr="00D60B19">
              <w:rPr>
                <w:rFonts w:ascii="Arial" w:hAnsi="Arial" w:cs="Arial"/>
                <w:szCs w:val="22"/>
              </w:rPr>
              <w:t xml:space="preserve">% ze zahraničních, </w:t>
            </w:r>
            <w:r>
              <w:rPr>
                <w:rFonts w:ascii="Arial" w:hAnsi="Arial" w:cs="Arial"/>
                <w:szCs w:val="22"/>
              </w:rPr>
              <w:t>39</w:t>
            </w:r>
            <w:r w:rsidRPr="00D60B19">
              <w:rPr>
                <w:rFonts w:ascii="Arial" w:hAnsi="Arial" w:cs="Arial"/>
                <w:szCs w:val="22"/>
              </w:rPr>
              <w:t xml:space="preserve">% z tuzemských, DKRVO činila celkem </w:t>
            </w:r>
            <w:r>
              <w:rPr>
                <w:rFonts w:ascii="Arial" w:hAnsi="Arial" w:cs="Arial"/>
                <w:szCs w:val="22"/>
              </w:rPr>
              <w:t>49</w:t>
            </w:r>
            <w:r w:rsidRPr="00D60B19">
              <w:rPr>
                <w:rFonts w:ascii="Arial" w:hAnsi="Arial" w:cs="Arial"/>
                <w:szCs w:val="22"/>
              </w:rPr>
              <w:t>% tedy přibližně v poměru 50:50 (</w:t>
            </w:r>
            <w:proofErr w:type="spellStart"/>
            <w:proofErr w:type="gramStart"/>
            <w:r w:rsidRPr="00D60B19">
              <w:rPr>
                <w:rFonts w:ascii="Arial" w:hAnsi="Arial" w:cs="Arial"/>
                <w:szCs w:val="22"/>
              </w:rPr>
              <w:t>účelová:institucionální</w:t>
            </w:r>
            <w:proofErr w:type="spellEnd"/>
            <w:proofErr w:type="gramEnd"/>
            <w:r w:rsidRPr="00D60B19">
              <w:rPr>
                <w:rFonts w:ascii="Arial" w:hAnsi="Arial" w:cs="Arial"/>
                <w:szCs w:val="22"/>
              </w:rPr>
              <w:t xml:space="preserve">). Prostředky DKRVO jsou distribuovány přibližně v následující struktuře: </w:t>
            </w:r>
            <w:r>
              <w:rPr>
                <w:rFonts w:ascii="Arial" w:hAnsi="Arial" w:cs="Arial"/>
                <w:szCs w:val="22"/>
              </w:rPr>
              <w:t>45</w:t>
            </w:r>
            <w:r w:rsidRPr="00D60B19">
              <w:rPr>
                <w:rFonts w:ascii="Arial" w:hAnsi="Arial" w:cs="Arial"/>
                <w:szCs w:val="22"/>
              </w:rPr>
              <w:t xml:space="preserve">% personální náklady, kolem </w:t>
            </w:r>
            <w:r>
              <w:rPr>
                <w:rFonts w:ascii="Arial" w:hAnsi="Arial" w:cs="Arial"/>
                <w:szCs w:val="22"/>
              </w:rPr>
              <w:t>20</w:t>
            </w:r>
            <w:r w:rsidR="004A3A41">
              <w:rPr>
                <w:rFonts w:ascii="Arial" w:hAnsi="Arial" w:cs="Arial"/>
                <w:szCs w:val="22"/>
              </w:rPr>
              <w:t xml:space="preserve"> </w:t>
            </w:r>
            <w:r w:rsidRPr="00D60B19">
              <w:rPr>
                <w:rFonts w:ascii="Arial" w:hAnsi="Arial" w:cs="Arial"/>
                <w:szCs w:val="22"/>
              </w:rPr>
              <w:t xml:space="preserve">% spotřební materiál a </w:t>
            </w:r>
            <w:r>
              <w:rPr>
                <w:rFonts w:ascii="Arial" w:hAnsi="Arial" w:cs="Arial"/>
                <w:szCs w:val="22"/>
              </w:rPr>
              <w:t>20</w:t>
            </w:r>
            <w:r w:rsidR="004A3A41">
              <w:rPr>
                <w:rFonts w:ascii="Arial" w:hAnsi="Arial" w:cs="Arial"/>
                <w:szCs w:val="22"/>
              </w:rPr>
              <w:t xml:space="preserve"> </w:t>
            </w:r>
            <w:r w:rsidRPr="00D60B19">
              <w:rPr>
                <w:rFonts w:ascii="Arial" w:hAnsi="Arial" w:cs="Arial"/>
                <w:szCs w:val="22"/>
              </w:rPr>
              <w:t xml:space="preserve">% do rozvoje </w:t>
            </w:r>
            <w:r w:rsidRPr="00D60B19">
              <w:rPr>
                <w:rFonts w:ascii="Arial" w:hAnsi="Arial" w:cs="Arial"/>
                <w:szCs w:val="22"/>
              </w:rPr>
              <w:lastRenderedPageBreak/>
              <w:t xml:space="preserve">infrastruktury. Dále je součástí rozpočtu DKRVO motivační systém odměn za výsledky výzkumu a technická režie kalkulovaná ve výši </w:t>
            </w:r>
            <w:r w:rsidR="004A3A41">
              <w:rPr>
                <w:rFonts w:ascii="Arial" w:hAnsi="Arial" w:cs="Arial"/>
                <w:szCs w:val="22"/>
              </w:rPr>
              <w:br/>
            </w:r>
            <w:r w:rsidRPr="00D60B19">
              <w:rPr>
                <w:rFonts w:ascii="Arial" w:hAnsi="Arial" w:cs="Arial"/>
                <w:szCs w:val="22"/>
              </w:rPr>
              <w:t>15</w:t>
            </w:r>
            <w:r w:rsidR="004A3A41">
              <w:rPr>
                <w:rFonts w:ascii="Arial" w:hAnsi="Arial" w:cs="Arial"/>
                <w:szCs w:val="22"/>
              </w:rPr>
              <w:t xml:space="preserve"> </w:t>
            </w:r>
            <w:r w:rsidRPr="00D60B19">
              <w:rPr>
                <w:rFonts w:ascii="Arial" w:hAnsi="Arial" w:cs="Arial"/>
                <w:szCs w:val="22"/>
              </w:rPr>
              <w:t>%.</w:t>
            </w:r>
          </w:p>
          <w:p w14:paraId="58E510FA" w14:textId="77777777" w:rsidR="000F1C15" w:rsidRPr="00D60B19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Z hlediska investice do infrastruktury byla klíčová investice pořízení </w:t>
            </w:r>
            <w:r w:rsidRPr="00820A9D">
              <w:rPr>
                <w:rFonts w:ascii="Arial" w:hAnsi="Arial" w:cs="Arial"/>
                <w:szCs w:val="22"/>
              </w:rPr>
              <w:t>vysokorozlišovací</w:t>
            </w:r>
            <w:r>
              <w:rPr>
                <w:rFonts w:ascii="Arial" w:hAnsi="Arial" w:cs="Arial"/>
                <w:szCs w:val="22"/>
              </w:rPr>
              <w:t>ho</w:t>
            </w:r>
            <w:r w:rsidRPr="00820A9D">
              <w:rPr>
                <w:rFonts w:ascii="Arial" w:hAnsi="Arial" w:cs="Arial"/>
                <w:szCs w:val="22"/>
              </w:rPr>
              <w:t xml:space="preserve"> hmotnostní</w:t>
            </w:r>
            <w:r>
              <w:rPr>
                <w:rFonts w:ascii="Arial" w:hAnsi="Arial" w:cs="Arial"/>
                <w:szCs w:val="22"/>
              </w:rPr>
              <w:t>ho</w:t>
            </w:r>
            <w:r w:rsidRPr="00820A9D">
              <w:rPr>
                <w:rFonts w:ascii="Arial" w:hAnsi="Arial" w:cs="Arial"/>
                <w:szCs w:val="22"/>
              </w:rPr>
              <w:t xml:space="preserve"> spektrometr</w:t>
            </w:r>
            <w:r>
              <w:rPr>
                <w:rFonts w:ascii="Arial" w:hAnsi="Arial" w:cs="Arial"/>
                <w:szCs w:val="22"/>
              </w:rPr>
              <w:t>u</w:t>
            </w:r>
            <w:r w:rsidRPr="00820A9D">
              <w:rPr>
                <w:rFonts w:ascii="Arial" w:hAnsi="Arial" w:cs="Arial"/>
                <w:szCs w:val="22"/>
              </w:rPr>
              <w:t xml:space="preserve"> (MS)</w:t>
            </w:r>
            <w:r>
              <w:rPr>
                <w:rFonts w:ascii="Arial" w:hAnsi="Arial" w:cs="Arial"/>
                <w:szCs w:val="22"/>
              </w:rPr>
              <w:t xml:space="preserve"> (11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mil.Kč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>)</w:t>
            </w:r>
            <w:r w:rsidRPr="00820A9D">
              <w:rPr>
                <w:rFonts w:ascii="Arial" w:hAnsi="Arial" w:cs="Arial"/>
                <w:szCs w:val="22"/>
              </w:rPr>
              <w:t xml:space="preserve">, který bude ve spojením se stávajícím vybavením využíván na pracovišti Centra biomedicínského výzkumu jak pro analýzu biologických vzorků od pacientů, tak pro analytické metody v rámci vývoje nových léčiv a v neposlední řadě také </w:t>
            </w:r>
            <w:proofErr w:type="spellStart"/>
            <w:r w:rsidRPr="00820A9D">
              <w:rPr>
                <w:rFonts w:ascii="Arial" w:hAnsi="Arial" w:cs="Arial"/>
                <w:szCs w:val="22"/>
              </w:rPr>
              <w:t>proteomickou</w:t>
            </w:r>
            <w:proofErr w:type="spellEnd"/>
            <w:r w:rsidRPr="00820A9D">
              <w:rPr>
                <w:rFonts w:ascii="Arial" w:hAnsi="Arial" w:cs="Arial"/>
                <w:szCs w:val="22"/>
              </w:rPr>
              <w:t xml:space="preserve"> skupinou při vývoji nových diagnostických metod.</w:t>
            </w:r>
          </w:p>
          <w:p w14:paraId="66C9332A" w14:textId="77777777" w:rsidR="000F1C15" w:rsidRPr="00D60B19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 w:rsidRPr="00D60B19">
              <w:rPr>
                <w:rFonts w:ascii="Arial" w:hAnsi="Arial" w:cs="Arial"/>
                <w:szCs w:val="22"/>
              </w:rPr>
              <w:t xml:space="preserve">FN HK podporuje výzkumníky v projektovém přístupu k řešení výzkumných úkolů. Vyhlašováním interních soutěží financovaných z DKRVO umožňuje pilotní realizace výzkumu „nanečisto" a motivuje tak k přípravě rozsáhlejších vědeckých studií, které se mohou ucházet o účelovou podporu, ať z grantových agentur v ČR, tak z prostředků evropské podpory výzkumu a dalších dotačních programů. Kromě prostředků na realizaci programového financování a budování výzkumné infrastruktury a její údržbu jsou prostředky DKRVO využívány ke stabilizaci výzkumných tymů a jejich doplňkovému financování. </w:t>
            </w:r>
          </w:p>
          <w:p w14:paraId="4FBCC51F" w14:textId="77777777" w:rsidR="000F1C15" w:rsidRPr="00D60B19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 w:rsidRPr="00D60B19">
              <w:rPr>
                <w:rFonts w:ascii="Arial" w:hAnsi="Arial" w:cs="Arial"/>
                <w:szCs w:val="22"/>
              </w:rPr>
              <w:t>Personální politika FN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D60B19">
              <w:rPr>
                <w:rFonts w:ascii="Arial" w:hAnsi="Arial" w:cs="Arial"/>
                <w:szCs w:val="22"/>
              </w:rPr>
              <w:t>HK je založena na principech rovného přístupu ke všem zaměstnancům bez rozdílu pohlaví, věku, rasy, národnosti nebo náboženského vyznání v souladu s cíli Strategie pro rovnost žen a mužů Evropské komise a Strategie rovnosti žen a mužů Úřadu vlády České republiky. VO má GEP zveřejněný v roce 2023, v</w:t>
            </w:r>
            <w:r>
              <w:rPr>
                <w:rFonts w:ascii="Arial" w:hAnsi="Arial" w:cs="Arial"/>
                <w:szCs w:val="22"/>
              </w:rPr>
              <w:t> roce 2025</w:t>
            </w:r>
            <w:r w:rsidRPr="00D60B19">
              <w:rPr>
                <w:rFonts w:ascii="Arial" w:hAnsi="Arial" w:cs="Arial"/>
                <w:szCs w:val="22"/>
              </w:rPr>
              <w:t xml:space="preserve"> plánuje usilovat o certifikaci HR </w:t>
            </w:r>
            <w:proofErr w:type="spellStart"/>
            <w:r w:rsidRPr="00D60B19">
              <w:rPr>
                <w:rFonts w:ascii="Arial" w:hAnsi="Arial" w:cs="Arial"/>
                <w:szCs w:val="22"/>
              </w:rPr>
              <w:t>Award</w:t>
            </w:r>
            <w:proofErr w:type="spellEnd"/>
            <w:r w:rsidRPr="00D60B19">
              <w:rPr>
                <w:rFonts w:ascii="Arial" w:hAnsi="Arial" w:cs="Arial"/>
                <w:szCs w:val="22"/>
              </w:rPr>
              <w:t xml:space="preserve">, tj. HR Excellence in </w:t>
            </w:r>
            <w:proofErr w:type="spellStart"/>
            <w:r w:rsidRPr="00D60B19">
              <w:rPr>
                <w:rFonts w:ascii="Arial" w:hAnsi="Arial" w:cs="Arial"/>
                <w:szCs w:val="22"/>
              </w:rPr>
              <w:t>Research</w:t>
            </w:r>
            <w:proofErr w:type="spellEnd"/>
            <w:r w:rsidRPr="00D60B19">
              <w:rPr>
                <w:rFonts w:ascii="Arial" w:hAnsi="Arial" w:cs="Arial"/>
                <w:szCs w:val="22"/>
              </w:rPr>
              <w:t xml:space="preserve">. Má jasně nastavený systém nakládání </w:t>
            </w:r>
            <w:r>
              <w:rPr>
                <w:rFonts w:ascii="Arial" w:hAnsi="Arial" w:cs="Arial"/>
                <w:szCs w:val="22"/>
              </w:rPr>
              <w:t>s</w:t>
            </w:r>
            <w:r w:rsidRPr="00D60B19">
              <w:rPr>
                <w:rFonts w:ascii="Arial" w:hAnsi="Arial" w:cs="Arial"/>
                <w:szCs w:val="22"/>
              </w:rPr>
              <w:t> výsledky výzkumné činnosti včetně odměňování jejich tvůrců.</w:t>
            </w:r>
          </w:p>
          <w:p w14:paraId="17E32190" w14:textId="77777777" w:rsidR="000F1C15" w:rsidRPr="00D60B19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 w:rsidRPr="00D60B19">
              <w:rPr>
                <w:rFonts w:ascii="Arial" w:hAnsi="Arial" w:cs="Arial"/>
                <w:szCs w:val="22"/>
              </w:rPr>
              <w:t>Výzkumná infrastruktura FN HK odpovídá potřebám jednotlivých výzkumných tymů a je průběžně obnovována. VO je velice aktivní a úspěšná v získávání rozvojových projektů MŠMT, TAČR apod., které umožňují infrastrukturní rozvoj. Pokud bude v této činnosti pokračovat</w:t>
            </w:r>
            <w:r>
              <w:rPr>
                <w:rFonts w:ascii="Arial" w:hAnsi="Arial" w:cs="Arial"/>
                <w:szCs w:val="22"/>
              </w:rPr>
              <w:t>,</w:t>
            </w:r>
            <w:r w:rsidRPr="00D60B19">
              <w:rPr>
                <w:rFonts w:ascii="Arial" w:hAnsi="Arial" w:cs="Arial"/>
                <w:szCs w:val="22"/>
              </w:rPr>
              <w:t xml:space="preserve"> kvalita infrastrukturního zázemí potřebného pro moderní biomedicínský výzkum by měla být zajištěna. </w:t>
            </w:r>
          </w:p>
          <w:p w14:paraId="7F8B48FB" w14:textId="77777777" w:rsidR="000F1C15" w:rsidRPr="00D60B19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 w:rsidRPr="00D60B19">
              <w:rPr>
                <w:rFonts w:ascii="Arial" w:hAnsi="Arial" w:cs="Arial"/>
                <w:szCs w:val="22"/>
              </w:rPr>
              <w:t>Spolupráce s českými i zahraničními partnery je dostatečná a je řádně doložena společnými projekty včetně jasného vymezení role VO v těchto projektech.</w:t>
            </w:r>
            <w:r>
              <w:rPr>
                <w:rFonts w:ascii="Arial" w:hAnsi="Arial" w:cs="Arial"/>
                <w:szCs w:val="22"/>
              </w:rPr>
              <w:t xml:space="preserve"> VO byla v roce 2023 velice úspěšná v získávání projektu s partnery z oblasti aplikovaného výzkumu, ať už s akademického (projekt OP JAK Špičkový výzkum) nebo privátního sektoru (</w:t>
            </w:r>
            <w:proofErr w:type="spellStart"/>
            <w:r>
              <w:rPr>
                <w:rFonts w:ascii="Arial" w:hAnsi="Arial" w:cs="Arial"/>
                <w:szCs w:val="22"/>
              </w:rPr>
              <w:t>Generi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Biotech, </w:t>
            </w:r>
            <w:proofErr w:type="spellStart"/>
            <w:r>
              <w:rPr>
                <w:rFonts w:ascii="Arial" w:hAnsi="Arial" w:cs="Arial"/>
                <w:szCs w:val="22"/>
              </w:rPr>
              <w:t>ArdeaPharma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2"/>
              </w:rPr>
              <w:t>BioInova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2"/>
              </w:rPr>
              <w:t>Mebster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HGT </w:t>
            </w:r>
            <w:proofErr w:type="spellStart"/>
            <w:r>
              <w:rPr>
                <w:rFonts w:ascii="Arial" w:hAnsi="Arial" w:cs="Arial"/>
                <w:szCs w:val="22"/>
              </w:rPr>
              <w:t>Medical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2"/>
              </w:rPr>
              <w:t>Anume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2"/>
              </w:rPr>
              <w:t>Bochemie</w:t>
            </w:r>
            <w:proofErr w:type="spellEnd"/>
            <w:r>
              <w:rPr>
                <w:rFonts w:ascii="Arial" w:hAnsi="Arial" w:cs="Arial"/>
                <w:szCs w:val="22"/>
              </w:rPr>
              <w:t>), se kterými mi dlouhodobě ustanovenou spolupráci umožňující efektivní transfer poznatků.</w:t>
            </w:r>
          </w:p>
          <w:p w14:paraId="1D7BC3D1" w14:textId="77777777" w:rsidR="000F1C15" w:rsidRPr="007E23D4" w:rsidRDefault="000F1C15" w:rsidP="004A3A4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D60B19">
              <w:rPr>
                <w:rFonts w:ascii="Arial" w:hAnsi="Arial" w:cs="Arial"/>
                <w:szCs w:val="22"/>
              </w:rPr>
              <w:t xml:space="preserve">VO realizovala v hodnocením období </w:t>
            </w:r>
            <w:r>
              <w:rPr>
                <w:rFonts w:ascii="Arial" w:hAnsi="Arial" w:cs="Arial"/>
                <w:szCs w:val="22"/>
              </w:rPr>
              <w:t xml:space="preserve">řadu </w:t>
            </w:r>
            <w:r w:rsidRPr="00D60B19">
              <w:rPr>
                <w:rFonts w:ascii="Arial" w:hAnsi="Arial" w:cs="Arial"/>
                <w:szCs w:val="22"/>
              </w:rPr>
              <w:t xml:space="preserve">komerčních KHLP, uvádí rovněž seznam nekomerčních KH, kde měla být dle požadovaného zadání VO zadavatelem. </w:t>
            </w:r>
            <w:r w:rsidRPr="007E23D4">
              <w:rPr>
                <w:rFonts w:ascii="Arial" w:hAnsi="Arial" w:cs="Arial"/>
                <w:color w:val="000000" w:themeColor="text1"/>
                <w:szCs w:val="22"/>
              </w:rPr>
              <w:t>Za dobrou praxi lze jednoznačně považovat část zisků z této činnosti alokovat na podporu KHLP s nekomerčním zadavatelem, VO se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v průběžné zprávě</w:t>
            </w:r>
            <w:r w:rsidRPr="007E23D4">
              <w:rPr>
                <w:rFonts w:ascii="Arial" w:hAnsi="Arial" w:cs="Arial"/>
                <w:color w:val="000000" w:themeColor="text1"/>
                <w:szCs w:val="22"/>
              </w:rPr>
              <w:t xml:space="preserve"> zavazuje v případě potřeby tohoto principu využít. </w:t>
            </w:r>
          </w:p>
          <w:p w14:paraId="3013DB5B" w14:textId="534B140B" w:rsidR="000F1C15" w:rsidRPr="00D60B19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Historicky byla m</w:t>
            </w:r>
            <w:r w:rsidRPr="007E23D4">
              <w:rPr>
                <w:rFonts w:ascii="Arial" w:hAnsi="Arial" w:cs="Arial"/>
                <w:szCs w:val="22"/>
              </w:rPr>
              <w:t>obilita výzkumných pracovníků, ať již ve smyslu příjezdů nebo výjezdů byla spíše omezená, ale jak VO uvádí, v hodnocením období bylo jistě poznamenáno</w:t>
            </w:r>
            <w:r w:rsidRPr="00D60B19">
              <w:rPr>
                <w:rFonts w:ascii="Arial" w:hAnsi="Arial" w:cs="Arial"/>
                <w:szCs w:val="22"/>
              </w:rPr>
              <w:t xml:space="preserve"> pandemickou situaci. </w:t>
            </w:r>
            <w:r>
              <w:rPr>
                <w:rFonts w:ascii="Arial" w:hAnsi="Arial" w:cs="Arial"/>
                <w:szCs w:val="22"/>
              </w:rPr>
              <w:t>V roce 2023 provedla VO řadu systémových opatření s cílem navýšení mobility výzkumných pracovníků a dosáhla zde úspěchu. P</w:t>
            </w:r>
            <w:r w:rsidRPr="00626E41">
              <w:rPr>
                <w:rFonts w:ascii="Arial" w:hAnsi="Arial" w:cs="Arial"/>
                <w:szCs w:val="22"/>
              </w:rPr>
              <w:t xml:space="preserve">odařilo </w:t>
            </w:r>
            <w:r>
              <w:rPr>
                <w:rFonts w:ascii="Arial" w:hAnsi="Arial" w:cs="Arial"/>
                <w:szCs w:val="22"/>
              </w:rPr>
              <w:t xml:space="preserve">se </w:t>
            </w:r>
            <w:r w:rsidRPr="00626E41">
              <w:rPr>
                <w:rFonts w:ascii="Arial" w:hAnsi="Arial" w:cs="Arial"/>
                <w:szCs w:val="22"/>
              </w:rPr>
              <w:t xml:space="preserve">realizovat v porovnání s předchozími obdobími větší </w:t>
            </w:r>
            <w:proofErr w:type="spellStart"/>
            <w:r w:rsidRPr="00626E41">
              <w:rPr>
                <w:rFonts w:ascii="Arial" w:hAnsi="Arial" w:cs="Arial"/>
                <w:szCs w:val="22"/>
              </w:rPr>
              <w:t>početvýzkumných</w:t>
            </w:r>
            <w:proofErr w:type="spellEnd"/>
            <w:r w:rsidRPr="00626E41">
              <w:rPr>
                <w:rFonts w:ascii="Arial" w:hAnsi="Arial" w:cs="Arial"/>
                <w:szCs w:val="22"/>
              </w:rPr>
              <w:t xml:space="preserve"> mobilit, a to i příjezdových s velkým metodickým impaktem. </w:t>
            </w:r>
          </w:p>
          <w:p w14:paraId="04D2EEE8" w14:textId="77777777" w:rsidR="000F1C15" w:rsidRPr="00D60B19" w:rsidRDefault="000F1C15" w:rsidP="004A3A41">
            <w:pPr>
              <w:jc w:val="both"/>
              <w:rPr>
                <w:rFonts w:ascii="Arial" w:hAnsi="Arial" w:cs="Arial"/>
                <w:szCs w:val="22"/>
              </w:rPr>
            </w:pPr>
            <w:r w:rsidRPr="00D60B19">
              <w:rPr>
                <w:rFonts w:ascii="Arial" w:hAnsi="Arial" w:cs="Arial"/>
                <w:szCs w:val="22"/>
              </w:rPr>
              <w:lastRenderedPageBreak/>
              <w:t>Systém transferu znalostí je ve FN HK ošetřen směrnicí a dále samostatným dokumentem s názvem Koncepce využívání výsledků výzkumu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r w:rsidRPr="00D60B19">
              <w:rPr>
                <w:rFonts w:ascii="Arial" w:hAnsi="Arial" w:cs="Arial"/>
                <w:szCs w:val="22"/>
              </w:rPr>
              <w:t>VO pro tuto oblast zřizuje také Radu pro komercializaci.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D60B19">
              <w:rPr>
                <w:rFonts w:ascii="Arial" w:hAnsi="Arial" w:cs="Arial"/>
                <w:szCs w:val="22"/>
              </w:rPr>
              <w:t>Celkově lze hodnotit, že aktivity FN HK jsou v této oblasti strukturované a dosahují nadprůměrné kvality.</w:t>
            </w:r>
          </w:p>
          <w:p w14:paraId="2B23DA47" w14:textId="77777777" w:rsidR="000F1C15" w:rsidRPr="00D60B19" w:rsidRDefault="000F1C15" w:rsidP="004A3A41">
            <w:pPr>
              <w:pStyle w:val="Zkladntext1"/>
              <w:spacing w:after="0" w:line="240" w:lineRule="auto"/>
              <w:jc w:val="both"/>
              <w:rPr>
                <w:rFonts w:ascii="Arial" w:hAnsi="Arial" w:cs="Arial"/>
              </w:rPr>
            </w:pPr>
            <w:r w:rsidRPr="00D60B19">
              <w:rPr>
                <w:rFonts w:ascii="Arial" w:hAnsi="Arial" w:cs="Arial"/>
              </w:rPr>
              <w:t>Problematika správné vědecké praxe a etiky vědecké práce je VO řešena na velice dobré úrovni, přičemž zřizuje pro tuto oblast příslušné orgány. FN HK implementuje v rámci svých základních dokumentů Etický kodex</w:t>
            </w:r>
            <w:r>
              <w:rPr>
                <w:rFonts w:ascii="Arial" w:hAnsi="Arial" w:cs="Arial"/>
              </w:rPr>
              <w:t xml:space="preserve">, </w:t>
            </w:r>
            <w:r w:rsidRPr="00D60B19">
              <w:rPr>
                <w:rFonts w:ascii="Arial" w:hAnsi="Arial" w:cs="Arial"/>
              </w:rPr>
              <w:t>který stanovuje základní etický rámec vědecké a výzkumné práce</w:t>
            </w:r>
          </w:p>
          <w:p w14:paraId="6823D592" w14:textId="19799EC7" w:rsidR="007E0AF9" w:rsidRDefault="000F1C15" w:rsidP="004A3A41">
            <w:pPr>
              <w:pStyle w:val="Zhlav"/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Přestože </w:t>
            </w:r>
            <w:r w:rsidRPr="00D60B19">
              <w:rPr>
                <w:rFonts w:ascii="Arial" w:hAnsi="Arial" w:cs="Arial"/>
                <w:szCs w:val="22"/>
              </w:rPr>
              <w:t xml:space="preserve">FN HK </w:t>
            </w:r>
            <w:r>
              <w:rPr>
                <w:rFonts w:ascii="Arial" w:hAnsi="Arial" w:cs="Arial"/>
                <w:szCs w:val="22"/>
              </w:rPr>
              <w:t xml:space="preserve">byla i historicky </w:t>
            </w:r>
            <w:r w:rsidRPr="00D60B19">
              <w:rPr>
                <w:rFonts w:ascii="Arial" w:hAnsi="Arial" w:cs="Arial"/>
                <w:szCs w:val="22"/>
              </w:rPr>
              <w:t>velice aktivní v oblasti diseminace výsledků vlastní výzkumné činnosti a také jejich popularizace, až cestou vlastních webových stránek, sociálních sítí, tiskovin FN HK, případně účasti na konferencích či spolupráci s portály jako jsou transfera.cz nebo vedavyzkum.cz</w:t>
            </w:r>
            <w:r>
              <w:rPr>
                <w:rFonts w:ascii="Arial" w:hAnsi="Arial" w:cs="Arial"/>
                <w:szCs w:val="22"/>
              </w:rPr>
              <w:t>, dosáhla i v této oblasti VO v roce 2023 dalšího významného rozvoje.</w:t>
            </w:r>
            <w:r w:rsidRPr="00D60B19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Celkově je </w:t>
            </w:r>
            <w:proofErr w:type="spellStart"/>
            <w:r>
              <w:rPr>
                <w:rFonts w:ascii="Arial" w:hAnsi="Arial" w:cs="Arial"/>
                <w:szCs w:val="22"/>
              </w:rPr>
              <w:t>viabilita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VO hodnocena jako vynikající (A).</w:t>
            </w:r>
          </w:p>
          <w:p w14:paraId="7504FBAB" w14:textId="77777777" w:rsidR="000F1C15" w:rsidRDefault="000F1C15" w:rsidP="004A3A41">
            <w:pPr>
              <w:pStyle w:val="Zhlav"/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</w:p>
          <w:p w14:paraId="79EBFF2C" w14:textId="32D3547E" w:rsidR="007F319B" w:rsidRPr="001F0B21" w:rsidRDefault="007F319B" w:rsidP="004A3A41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7E0AF9" w:rsidRPr="001F0B21" w14:paraId="7438D288" w14:textId="77777777" w:rsidTr="007920B3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D50342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lastRenderedPageBreak/>
              <w:t>Modul 5 Strategie a koncepce A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CC6ABE" w14:textId="442D3983" w:rsidR="007F319B" w:rsidRPr="007F319B" w:rsidRDefault="009C4BA3" w:rsidP="004A3A41">
            <w:pPr>
              <w:jc w:val="both"/>
              <w:rPr>
                <w:rFonts w:ascii="Arial" w:hAnsi="Arial" w:cs="Arial"/>
              </w:rPr>
            </w:pPr>
            <w:r w:rsidRPr="007F319B">
              <w:rPr>
                <w:rFonts w:ascii="Arial" w:hAnsi="Arial" w:cs="Arial"/>
              </w:rPr>
              <w:t xml:space="preserve">VO má z hlediska výzkumné činnosti jasně a velice kvalitně definovanou misi, vizi a hlavní cíle pro budoucí období. Pro tyto cíle jsou definovány hlavní nástroje pro jejich dosažení a také indikátory umožňující vyhodnotit jejich naplnění. </w:t>
            </w:r>
            <w:r>
              <w:rPr>
                <w:rFonts w:ascii="Arial" w:hAnsi="Arial" w:cs="Arial"/>
              </w:rPr>
              <w:t xml:space="preserve">VO za rok 2023 velice přehledným způsobem vyhodnotila dosažené indikátory pro jednotlivé nástroje pro plnění cílů Koncepce, a lze konstatovat, že s velice dobým výsledkem. </w:t>
            </w:r>
            <w:r w:rsidRPr="007F319B">
              <w:rPr>
                <w:rFonts w:ascii="Arial" w:hAnsi="Arial" w:cs="Arial"/>
              </w:rPr>
              <w:t xml:space="preserve">Návaznost aktivit VO na národní a EU strategické dokumenty je definována velice dobře a potvrzuje plný soulad </w:t>
            </w:r>
            <w:proofErr w:type="spellStart"/>
            <w:r w:rsidRPr="007F319B">
              <w:rPr>
                <w:rFonts w:ascii="Arial" w:hAnsi="Arial" w:cs="Arial"/>
              </w:rPr>
              <w:t>VaVaI</w:t>
            </w:r>
            <w:proofErr w:type="spellEnd"/>
            <w:r w:rsidRPr="007F319B">
              <w:rPr>
                <w:rFonts w:ascii="Arial" w:hAnsi="Arial" w:cs="Arial"/>
              </w:rPr>
              <w:t xml:space="preserve"> činností VO s těmito strategiemi.</w:t>
            </w:r>
            <w:r>
              <w:rPr>
                <w:rFonts w:ascii="Arial" w:hAnsi="Arial" w:cs="Arial"/>
              </w:rPr>
              <w:t xml:space="preserve"> Strategie a koncepce VO je i za rok 2023 hodnocena jako vynikající (A).</w:t>
            </w:r>
          </w:p>
          <w:p w14:paraId="1CEABBF1" w14:textId="2E0D358F" w:rsidR="007E0AF9" w:rsidRPr="001F0B21" w:rsidRDefault="007E0AF9" w:rsidP="007920B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7E0AF9" w:rsidRPr="001F0B21" w14:paraId="39B7B5B1" w14:textId="77777777" w:rsidTr="007920B3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F19E45" w14:textId="77777777" w:rsidR="007E0AF9" w:rsidRPr="00DB5CDA" w:rsidRDefault="007E0AF9" w:rsidP="007920B3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51A870" w14:textId="77777777" w:rsidR="007E0AF9" w:rsidRPr="001F0B21" w:rsidRDefault="007E0AF9" w:rsidP="007920B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7E0AF9" w:rsidRPr="001F0B21" w14:paraId="40ACB673" w14:textId="77777777" w:rsidTr="007920B3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C21B72" w14:textId="77777777" w:rsidR="007E0AF9" w:rsidRPr="00DB5CDA" w:rsidRDefault="007E0AF9" w:rsidP="007920B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A3BD94" w14:textId="77777777" w:rsidR="007E0AF9" w:rsidRPr="001F0B21" w:rsidRDefault="007E0AF9" w:rsidP="007920B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59D67E4" w14:textId="77777777" w:rsidR="006700BE" w:rsidRDefault="006700BE"/>
    <w:p w14:paraId="6E094C41" w14:textId="77777777" w:rsidR="0006300B" w:rsidRDefault="0006300B" w:rsidP="0006300B"/>
    <w:sectPr w:rsidR="00063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6300B"/>
    <w:rsid w:val="000779AD"/>
    <w:rsid w:val="000F1C15"/>
    <w:rsid w:val="0020708C"/>
    <w:rsid w:val="0022408B"/>
    <w:rsid w:val="00273CA5"/>
    <w:rsid w:val="00314051"/>
    <w:rsid w:val="00316A7E"/>
    <w:rsid w:val="0034701A"/>
    <w:rsid w:val="004829A8"/>
    <w:rsid w:val="004A3A41"/>
    <w:rsid w:val="004C4C60"/>
    <w:rsid w:val="004C5745"/>
    <w:rsid w:val="006700BE"/>
    <w:rsid w:val="00753DFA"/>
    <w:rsid w:val="00796777"/>
    <w:rsid w:val="007E0AF9"/>
    <w:rsid w:val="007F319B"/>
    <w:rsid w:val="00855E7A"/>
    <w:rsid w:val="00933746"/>
    <w:rsid w:val="009B309A"/>
    <w:rsid w:val="009C4BA3"/>
    <w:rsid w:val="009F7F2A"/>
    <w:rsid w:val="00B73609"/>
    <w:rsid w:val="00CB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F31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unhideWhenUsed/>
    <w:rsid w:val="0006300B"/>
    <w:pPr>
      <w:spacing w:before="100" w:beforeAutospacing="1" w:after="100" w:afterAutospacing="1"/>
    </w:pPr>
    <w:rPr>
      <w:sz w:val="24"/>
      <w:szCs w:val="24"/>
    </w:rPr>
  </w:style>
  <w:style w:type="character" w:customStyle="1" w:styleId="Zkladntext">
    <w:name w:val="Základní text_"/>
    <w:basedOn w:val="Standardnpsmoodstavce"/>
    <w:link w:val="Zkladntext1"/>
    <w:rsid w:val="0006300B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06300B"/>
    <w:pPr>
      <w:widowControl w:val="0"/>
      <w:spacing w:after="320" w:line="271" w:lineRule="auto"/>
    </w:pPr>
    <w:rPr>
      <w:rFonts w:ascii="Calibri" w:eastAsia="Calibri" w:hAnsi="Calibri" w:cs="Calibri"/>
      <w:kern w:val="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F319B"/>
    <w:rPr>
      <w:rFonts w:asciiTheme="majorHAnsi" w:eastAsiaTheme="majorEastAsia" w:hAnsiTheme="majorHAnsi" w:cstheme="majorBidi"/>
      <w:color w:val="2F5496" w:themeColor="accent1" w:themeShade="BF"/>
      <w:sz w:val="32"/>
      <w:szCs w:val="32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1143</Words>
  <Characters>6746</Characters>
  <Application>Microsoft Office Word</Application>
  <DocSecurity>0</DocSecurity>
  <Lines>56</Lines>
  <Paragraphs>15</Paragraphs>
  <ScaleCrop>false</ScaleCrop>
  <Company>Office365 deploy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16</cp:revision>
  <dcterms:created xsi:type="dcterms:W3CDTF">2024-03-16T18:32:00Z</dcterms:created>
  <dcterms:modified xsi:type="dcterms:W3CDTF">2025-01-02T10:22:00Z</dcterms:modified>
</cp:coreProperties>
</file>