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0445" w14:textId="77777777" w:rsidR="0070676A" w:rsidRPr="009A669C" w:rsidRDefault="0070676A" w:rsidP="00C1157A">
      <w:pPr>
        <w:spacing w:after="240"/>
        <w:jc w:val="center"/>
        <w:rPr>
          <w:b/>
          <w:sz w:val="22"/>
          <w:szCs w:val="22"/>
        </w:rPr>
      </w:pPr>
      <w:r w:rsidRPr="009A669C">
        <w:rPr>
          <w:b/>
          <w:caps/>
          <w:sz w:val="22"/>
          <w:szCs w:val="22"/>
        </w:rPr>
        <w:t>Připomínky k materiálu s názvem</w:t>
      </w:r>
      <w:r w:rsidRPr="009A669C">
        <w:rPr>
          <w:b/>
          <w:sz w:val="22"/>
          <w:szCs w:val="22"/>
        </w:rPr>
        <w:t>:</w:t>
      </w:r>
    </w:p>
    <w:p w14:paraId="3C5EB59E" w14:textId="55B30D26" w:rsidR="00356562" w:rsidRPr="00356562" w:rsidRDefault="00356562" w:rsidP="00C1157A">
      <w:pPr>
        <w:spacing w:after="360"/>
        <w:jc w:val="center"/>
        <w:rPr>
          <w:b/>
          <w:sz w:val="22"/>
          <w:szCs w:val="22"/>
        </w:rPr>
      </w:pPr>
      <w:r w:rsidRPr="00356562">
        <w:rPr>
          <w:b/>
          <w:sz w:val="22"/>
          <w:szCs w:val="22"/>
        </w:rPr>
        <w:t>Strategický rámec politiky soudržnosti 2028+ v České republice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62"/>
        <w:gridCol w:w="7027"/>
        <w:gridCol w:w="330"/>
      </w:tblGrid>
      <w:tr w:rsidR="00CF39EE" w:rsidRPr="00504F79" w14:paraId="2A923E96" w14:textId="77777777" w:rsidTr="00504F79"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0DD3650" w14:textId="77777777" w:rsidR="00CF39EE" w:rsidRPr="00504F79" w:rsidRDefault="00CF39EE" w:rsidP="00C1157A">
            <w:pPr>
              <w:rPr>
                <w:b/>
                <w:bCs/>
                <w:sz w:val="22"/>
                <w:szCs w:val="22"/>
              </w:rPr>
            </w:pPr>
            <w:r w:rsidRPr="00504F79">
              <w:rPr>
                <w:b/>
                <w:bCs/>
                <w:sz w:val="22"/>
                <w:szCs w:val="22"/>
              </w:rPr>
              <w:t>Resort</w:t>
            </w:r>
          </w:p>
        </w:tc>
        <w:tc>
          <w:tcPr>
            <w:tcW w:w="399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1796E89" w14:textId="77777777" w:rsidR="00CF39EE" w:rsidRPr="00504F79" w:rsidRDefault="00CF39EE" w:rsidP="007E1384">
            <w:pPr>
              <w:rPr>
                <w:b/>
                <w:bCs/>
                <w:sz w:val="22"/>
                <w:szCs w:val="22"/>
              </w:rPr>
            </w:pPr>
            <w:r w:rsidRPr="00504F79">
              <w:rPr>
                <w:b/>
                <w:bCs/>
                <w:sz w:val="22"/>
                <w:szCs w:val="22"/>
              </w:rPr>
              <w:t>Připomínky</w:t>
            </w:r>
          </w:p>
        </w:tc>
      </w:tr>
      <w:tr w:rsidR="00CF39EE" w:rsidRPr="00504F79" w14:paraId="632FA1BE" w14:textId="77777777" w:rsidTr="00504F79">
        <w:trPr>
          <w:trHeight w:val="317"/>
        </w:trPr>
        <w:tc>
          <w:tcPr>
            <w:tcW w:w="1010" w:type="pct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4777B88A" w14:textId="55C6F471" w:rsidR="00CF39EE" w:rsidRPr="00504F79" w:rsidRDefault="00C1157A" w:rsidP="00E506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ÚV</w:t>
            </w:r>
            <w:r w:rsidR="006A0C2A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ČR -</w:t>
            </w:r>
            <w:r w:rsidR="008430CB">
              <w:rPr>
                <w:sz w:val="22"/>
                <w:szCs w:val="22"/>
              </w:rPr>
              <w:t xml:space="preserve"> </w:t>
            </w:r>
            <w:r w:rsidR="004328A1">
              <w:rPr>
                <w:sz w:val="22"/>
                <w:szCs w:val="22"/>
              </w:rPr>
              <w:t>RVV</w:t>
            </w:r>
            <w:proofErr w:type="gramEnd"/>
          </w:p>
        </w:tc>
        <w:tc>
          <w:tcPr>
            <w:tcW w:w="381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F3F3F3"/>
            </w:tcBorders>
            <w:shd w:val="clear" w:color="auto" w:fill="auto"/>
          </w:tcPr>
          <w:p w14:paraId="56EF6661" w14:textId="77777777" w:rsidR="00CF39EE" w:rsidRPr="00504F79" w:rsidRDefault="00CF39EE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04F79">
              <w:rPr>
                <w:b/>
                <w:sz w:val="22"/>
                <w:szCs w:val="22"/>
              </w:rPr>
              <w:t>Úvod</w:t>
            </w:r>
          </w:p>
          <w:p w14:paraId="39376A1C" w14:textId="6C0849B3" w:rsidR="00CF39EE" w:rsidRPr="00504F79" w:rsidRDefault="00660725" w:rsidP="00504F79">
            <w:pPr>
              <w:jc w:val="both"/>
              <w:rPr>
                <w:sz w:val="22"/>
                <w:szCs w:val="22"/>
              </w:rPr>
            </w:pPr>
            <w:r w:rsidRPr="00660725">
              <w:rPr>
                <w:bCs/>
                <w:sz w:val="22"/>
                <w:szCs w:val="22"/>
              </w:rPr>
              <w:t>K materiálu uplatňujeme níže specifikované připomínky.</w:t>
            </w:r>
          </w:p>
        </w:tc>
        <w:tc>
          <w:tcPr>
            <w:tcW w:w="179" w:type="pct"/>
            <w:tcBorders>
              <w:top w:val="single" w:sz="8" w:space="0" w:color="auto"/>
              <w:left w:val="single" w:sz="4" w:space="0" w:color="F3F3F3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EE89F8" w14:textId="77777777" w:rsidR="00CF39EE" w:rsidRPr="00504F79" w:rsidRDefault="00CF39EE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CF39EE" w:rsidRPr="00504F79" w14:paraId="2157233B" w14:textId="77777777" w:rsidTr="00504F79">
        <w:trPr>
          <w:trHeight w:val="892"/>
        </w:trPr>
        <w:tc>
          <w:tcPr>
            <w:tcW w:w="1010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355CEE22" w14:textId="77777777" w:rsidR="00CF39EE" w:rsidRPr="00504F79" w:rsidRDefault="00CF39EE" w:rsidP="007E1384">
            <w:pPr>
              <w:rPr>
                <w:sz w:val="22"/>
                <w:szCs w:val="22"/>
              </w:rPr>
            </w:pP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3F3F3"/>
            </w:tcBorders>
            <w:shd w:val="clear" w:color="auto" w:fill="auto"/>
          </w:tcPr>
          <w:p w14:paraId="2C22D312" w14:textId="6D083E71" w:rsidR="00660725" w:rsidRPr="00356562" w:rsidRDefault="00CF39EE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356562">
              <w:rPr>
                <w:b/>
                <w:sz w:val="22"/>
                <w:szCs w:val="22"/>
              </w:rPr>
              <w:t>Zásadní připomínka:</w:t>
            </w:r>
          </w:p>
          <w:p w14:paraId="7048B12F" w14:textId="6CBE6BD2" w:rsidR="00660725" w:rsidRPr="00695335" w:rsidRDefault="00660725" w:rsidP="00660725">
            <w:pPr>
              <w:widowControl w:val="0"/>
              <w:numPr>
                <w:ilvl w:val="0"/>
                <w:numId w:val="14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sz w:val="22"/>
                <w:szCs w:val="22"/>
              </w:rPr>
            </w:pPr>
            <w:r w:rsidRPr="00660725">
              <w:rPr>
                <w:b/>
                <w:bCs/>
                <w:sz w:val="22"/>
                <w:szCs w:val="22"/>
              </w:rPr>
              <w:t xml:space="preserve">K tematické prioritě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5. 2 Vzdělávání &amp; Výzkum a Inovace &amp; eGovernment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a kyberbezpečnost &amp; Podnikání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&amp; Digitalizace,</w:t>
            </w:r>
            <w:r w:rsidRPr="00660725">
              <w:rPr>
                <w:b/>
                <w:bCs/>
                <w:sz w:val="22"/>
                <w:szCs w:val="22"/>
              </w:rPr>
              <w:t xml:space="preserve"> tabulce Výzkum a inovace &amp; eGovernment a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660725">
              <w:rPr>
                <w:b/>
                <w:bCs/>
                <w:sz w:val="22"/>
                <w:szCs w:val="22"/>
              </w:rPr>
              <w:t>kyberbezpečnost</w:t>
            </w:r>
            <w:r w:rsidR="00BA7260">
              <w:rPr>
                <w:b/>
                <w:bCs/>
                <w:sz w:val="22"/>
                <w:szCs w:val="22"/>
              </w:rPr>
              <w:t xml:space="preserve">, řešenému problému </w:t>
            </w:r>
            <w:r w:rsidR="00BA7260" w:rsidRPr="00BA7260">
              <w:rPr>
                <w:b/>
                <w:bCs/>
                <w:sz w:val="22"/>
                <w:szCs w:val="22"/>
              </w:rPr>
              <w:t>ČR jako průměrný inovátor v rámci EU</w:t>
            </w:r>
          </w:p>
          <w:p w14:paraId="6275BD8D" w14:textId="228A619A" w:rsidR="00766261" w:rsidRDefault="00660725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ČR </w:t>
            </w:r>
            <w:r w:rsidR="00D05084">
              <w:rPr>
                <w:color w:val="000000"/>
                <w:sz w:val="22"/>
                <w:szCs w:val="22"/>
              </w:rPr>
              <w:t xml:space="preserve">je </w:t>
            </w:r>
            <w:r>
              <w:rPr>
                <w:color w:val="000000"/>
                <w:sz w:val="22"/>
                <w:szCs w:val="22"/>
              </w:rPr>
              <w:t>označena za průměrného inovátora. D</w:t>
            </w:r>
            <w:r w:rsidR="00356562" w:rsidRPr="00356562">
              <w:rPr>
                <w:color w:val="000000"/>
                <w:sz w:val="22"/>
                <w:szCs w:val="22"/>
              </w:rPr>
              <w:t xml:space="preserve">le aktuálního hodnocení </w:t>
            </w:r>
            <w:proofErr w:type="spellStart"/>
            <w:r w:rsidR="00356562" w:rsidRPr="00356562">
              <w:rPr>
                <w:color w:val="000000"/>
                <w:sz w:val="22"/>
                <w:szCs w:val="22"/>
              </w:rPr>
              <w:t>European</w:t>
            </w:r>
            <w:proofErr w:type="spellEnd"/>
            <w:r w:rsidR="00356562" w:rsidRPr="00356562">
              <w:rPr>
                <w:color w:val="000000"/>
                <w:sz w:val="22"/>
                <w:szCs w:val="22"/>
              </w:rPr>
              <w:t xml:space="preserve"> Innovation </w:t>
            </w:r>
            <w:proofErr w:type="spellStart"/>
            <w:r w:rsidR="00356562" w:rsidRPr="00356562">
              <w:rPr>
                <w:color w:val="000000"/>
                <w:sz w:val="22"/>
                <w:szCs w:val="22"/>
              </w:rPr>
              <w:t>Scoreboard</w:t>
            </w:r>
            <w:proofErr w:type="spellEnd"/>
            <w:r w:rsidR="00356562" w:rsidRPr="00356562">
              <w:rPr>
                <w:color w:val="000000"/>
                <w:sz w:val="22"/>
                <w:szCs w:val="22"/>
              </w:rPr>
              <w:t xml:space="preserve"> (EIS 2024)</w:t>
            </w:r>
            <w:r w:rsidR="00BA7260">
              <w:rPr>
                <w:color w:val="000000"/>
                <w:sz w:val="22"/>
                <w:szCs w:val="22"/>
              </w:rPr>
              <w:t xml:space="preserve"> </w:t>
            </w:r>
            <w:r w:rsidR="0026011B">
              <w:rPr>
                <w:color w:val="000000"/>
                <w:sz w:val="22"/>
                <w:szCs w:val="22"/>
              </w:rPr>
              <w:t xml:space="preserve">však </w:t>
            </w:r>
            <w:r w:rsidR="00BA7260">
              <w:rPr>
                <w:color w:val="000000"/>
                <w:sz w:val="22"/>
                <w:szCs w:val="22"/>
              </w:rPr>
              <w:t xml:space="preserve">nese označení </w:t>
            </w:r>
            <w:r w:rsidR="00356562" w:rsidRPr="00356562">
              <w:rPr>
                <w:color w:val="000000"/>
                <w:sz w:val="22"/>
                <w:szCs w:val="22"/>
              </w:rPr>
              <w:t>mírn</w:t>
            </w:r>
            <w:r w:rsidR="00BA7260">
              <w:rPr>
                <w:color w:val="000000"/>
                <w:sz w:val="22"/>
                <w:szCs w:val="22"/>
              </w:rPr>
              <w:t>ý</w:t>
            </w:r>
            <w:r w:rsidR="00356562" w:rsidRPr="00356562">
              <w:rPr>
                <w:color w:val="000000"/>
                <w:sz w:val="22"/>
                <w:szCs w:val="22"/>
              </w:rPr>
              <w:t xml:space="preserve"> inovátor (</w:t>
            </w:r>
            <w:proofErr w:type="spellStart"/>
            <w:r w:rsidR="00356562" w:rsidRPr="00356562">
              <w:rPr>
                <w:color w:val="000000"/>
                <w:sz w:val="22"/>
                <w:szCs w:val="22"/>
              </w:rPr>
              <w:t>Moderate</w:t>
            </w:r>
            <w:proofErr w:type="spellEnd"/>
            <w:r w:rsidR="00356562" w:rsidRPr="0035656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56562" w:rsidRPr="00356562">
              <w:rPr>
                <w:color w:val="000000"/>
                <w:sz w:val="22"/>
                <w:szCs w:val="22"/>
              </w:rPr>
              <w:t>Innovator</w:t>
            </w:r>
            <w:proofErr w:type="spellEnd"/>
            <w:r w:rsidR="00356562" w:rsidRPr="00356562">
              <w:rPr>
                <w:color w:val="000000"/>
                <w:sz w:val="22"/>
                <w:szCs w:val="22"/>
              </w:rPr>
              <w:t xml:space="preserve">). </w:t>
            </w:r>
            <w:r w:rsidR="00766261">
              <w:rPr>
                <w:color w:val="000000"/>
                <w:sz w:val="22"/>
                <w:szCs w:val="22"/>
              </w:rPr>
              <w:t>Požadujeme použít</w:t>
            </w:r>
            <w:r w:rsidR="00356562" w:rsidRPr="00356562">
              <w:rPr>
                <w:color w:val="000000"/>
                <w:sz w:val="22"/>
                <w:szCs w:val="22"/>
              </w:rPr>
              <w:t xml:space="preserve"> právě toto referenční označení, které přesně odpovídá pozici ČR v rámci EU. </w:t>
            </w:r>
          </w:p>
          <w:p w14:paraId="3FEE881F" w14:textId="516CCA05" w:rsidR="00766261" w:rsidRPr="00766261" w:rsidRDefault="00766261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766261">
              <w:rPr>
                <w:color w:val="000000"/>
                <w:sz w:val="22"/>
                <w:szCs w:val="22"/>
                <w:u w:val="single"/>
              </w:rPr>
              <w:t>Zdůvodnění:</w:t>
            </w:r>
          </w:p>
          <w:p w14:paraId="787DBFAD" w14:textId="59F5A602" w:rsidR="00660725" w:rsidRDefault="00356562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 w:rsidRPr="00356562">
              <w:rPr>
                <w:color w:val="000000"/>
                <w:sz w:val="22"/>
                <w:szCs w:val="22"/>
              </w:rPr>
              <w:t>Přívlastky jako „průměrný“ či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356562">
              <w:rPr>
                <w:color w:val="000000"/>
                <w:sz w:val="22"/>
                <w:szCs w:val="22"/>
              </w:rPr>
              <w:t>„podprůměrný“ neodpovídají komplexitě pozice ČR, kdy z přísně nominálního hlediska se</w:t>
            </w:r>
            <w:r w:rsidR="00BA7260">
              <w:rPr>
                <w:color w:val="000000"/>
                <w:sz w:val="22"/>
                <w:szCs w:val="22"/>
              </w:rPr>
              <w:t> </w:t>
            </w:r>
            <w:r w:rsidRPr="00356562">
              <w:rPr>
                <w:color w:val="000000"/>
                <w:sz w:val="22"/>
                <w:szCs w:val="22"/>
              </w:rPr>
              <w:t>nachází pod průměrem EU, ale v rámci skupiny mírných inovátorů a z pohledu míry zvýšení inovační výkonnosti k nadprůměru. Označení „průměrný inovátor“ není přesné, a tudíž správné.</w:t>
            </w:r>
          </w:p>
          <w:p w14:paraId="40AA3631" w14:textId="7EF6C188" w:rsidR="00BF4F65" w:rsidRPr="00BF4F65" w:rsidRDefault="00BF4F65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F4F65">
              <w:rPr>
                <w:b/>
                <w:bCs/>
                <w:color w:val="000000"/>
                <w:sz w:val="22"/>
                <w:szCs w:val="22"/>
              </w:rPr>
              <w:t>Tato připomínka je zásadní.</w:t>
            </w:r>
          </w:p>
          <w:p w14:paraId="17E5F94F" w14:textId="77777777" w:rsidR="00766261" w:rsidRDefault="00766261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  <w:p w14:paraId="77346CB7" w14:textId="525775C8" w:rsidR="00F068D3" w:rsidRPr="00F068D3" w:rsidRDefault="00F068D3" w:rsidP="00766261">
            <w:pPr>
              <w:widowControl w:val="0"/>
              <w:numPr>
                <w:ilvl w:val="0"/>
                <w:numId w:val="14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60725">
              <w:rPr>
                <w:b/>
                <w:bCs/>
                <w:sz w:val="22"/>
                <w:szCs w:val="22"/>
              </w:rPr>
              <w:t xml:space="preserve">K tematické prioritě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5. 2 Vzdělávání &amp; Výzkum a Inovace &amp; eGovernment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a kyberbezpečnost &amp; Podnikání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&amp; Digitalizace,</w:t>
            </w:r>
            <w:r w:rsidRPr="00660725">
              <w:rPr>
                <w:b/>
                <w:bCs/>
                <w:sz w:val="22"/>
                <w:szCs w:val="22"/>
              </w:rPr>
              <w:t xml:space="preserve"> tabulce Výzkum a inovace &amp; eGovernment a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660725">
              <w:rPr>
                <w:b/>
                <w:bCs/>
                <w:sz w:val="22"/>
                <w:szCs w:val="22"/>
              </w:rPr>
              <w:t>kyberbezpečnost</w:t>
            </w:r>
            <w:r>
              <w:rPr>
                <w:b/>
                <w:bCs/>
                <w:sz w:val="22"/>
                <w:szCs w:val="22"/>
              </w:rPr>
              <w:t>, prioritním nástrojům řešení problému</w:t>
            </w:r>
          </w:p>
          <w:p w14:paraId="46E0352D" w14:textId="4FA89B84" w:rsidR="00F068D3" w:rsidRDefault="001F09C1" w:rsidP="00F068D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Žádáme</w:t>
            </w:r>
            <w:r w:rsidR="00F068D3" w:rsidRPr="00F068D3">
              <w:rPr>
                <w:color w:val="000000"/>
                <w:sz w:val="22"/>
                <w:szCs w:val="22"/>
              </w:rPr>
              <w:t xml:space="preserve"> o doplnění Evropských partnerství </w:t>
            </w:r>
            <w:r w:rsidRPr="001F09C1">
              <w:rPr>
                <w:color w:val="000000"/>
                <w:sz w:val="22"/>
                <w:szCs w:val="22"/>
              </w:rPr>
              <w:t>mezi klíčové nástroje pro řešení daného problému. Současný návrh sice správně zdůrazňuje význam misí, nicméně postrádá explicitní zahrnutí partnerství.</w:t>
            </w:r>
          </w:p>
          <w:p w14:paraId="120F5690" w14:textId="5783A0A6" w:rsidR="00F068D3" w:rsidRPr="00F068D3" w:rsidRDefault="00F068D3" w:rsidP="00F068D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F068D3">
              <w:rPr>
                <w:color w:val="000000"/>
                <w:sz w:val="22"/>
                <w:szCs w:val="22"/>
                <w:u w:val="single"/>
              </w:rPr>
              <w:t>Zdůvodnění:</w:t>
            </w:r>
          </w:p>
          <w:p w14:paraId="0751CD90" w14:textId="77777777" w:rsidR="006B6900" w:rsidRDefault="001F09C1" w:rsidP="006B6900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F09C1">
              <w:rPr>
                <w:color w:val="000000"/>
                <w:sz w:val="22"/>
                <w:szCs w:val="22"/>
              </w:rPr>
              <w:t>Střednědobé hodnocení programu Horizont Evropa (2021-2024)</w:t>
            </w:r>
            <w:r>
              <w:rPr>
                <w:rStyle w:val="Znakapoznpodarou"/>
                <w:color w:val="000000"/>
                <w:sz w:val="22"/>
                <w:szCs w:val="22"/>
              </w:rPr>
              <w:footnoteReference w:id="1"/>
            </w:r>
            <w:r w:rsidRPr="001F09C1">
              <w:rPr>
                <w:color w:val="000000"/>
                <w:sz w:val="22"/>
                <w:szCs w:val="22"/>
              </w:rPr>
              <w:t xml:space="preserve"> poukazuje na všeobecné pozitivní vnímání nových nástrojů programu, mezi něž patří jak mise, tak partnerství. Z hodnocení dále vyplývá, že partnerství dokáž</w:t>
            </w:r>
            <w:r w:rsidR="00FF49D3">
              <w:rPr>
                <w:color w:val="000000"/>
                <w:sz w:val="22"/>
                <w:szCs w:val="22"/>
              </w:rPr>
              <w:t>ou</w:t>
            </w:r>
            <w:r w:rsidRPr="001F09C1">
              <w:rPr>
                <w:color w:val="000000"/>
                <w:sz w:val="22"/>
                <w:szCs w:val="22"/>
              </w:rPr>
              <w:t xml:space="preserve"> mobilizovat významně větší objem společných investic než ostatní části programu. Vzhledem k tomuto potenciálu se domníváme, že by partnerství měla hrát klíčovou roli i v budoucnu.</w:t>
            </w:r>
            <w:r w:rsidR="006B6900" w:rsidRPr="00BF4F6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049DE218" w14:textId="47865403" w:rsidR="006B6900" w:rsidRDefault="006B6900" w:rsidP="006B6900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F4F65">
              <w:rPr>
                <w:b/>
                <w:bCs/>
                <w:color w:val="000000"/>
                <w:sz w:val="22"/>
                <w:szCs w:val="22"/>
              </w:rPr>
              <w:t>Tato připomínka je zásadní.</w:t>
            </w:r>
          </w:p>
          <w:p w14:paraId="116D4FA7" w14:textId="77777777" w:rsidR="003B45E4" w:rsidRDefault="003B45E4" w:rsidP="006B6900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2C3DBFB6" w14:textId="77777777" w:rsidR="003B45E4" w:rsidRPr="00F068D3" w:rsidRDefault="003B45E4" w:rsidP="003B45E4">
            <w:pPr>
              <w:widowControl w:val="0"/>
              <w:numPr>
                <w:ilvl w:val="0"/>
                <w:numId w:val="14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60725">
              <w:rPr>
                <w:b/>
                <w:bCs/>
                <w:sz w:val="22"/>
                <w:szCs w:val="22"/>
              </w:rPr>
              <w:t xml:space="preserve">K tematické prioritě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5. 2 Vzdělávání &amp; Výzkum a Inovace &amp; eGovernment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a kyberbezpečnost &amp; Podnikání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&amp; Digitalizace,</w:t>
            </w:r>
            <w:r w:rsidRPr="00660725">
              <w:rPr>
                <w:b/>
                <w:bCs/>
                <w:sz w:val="22"/>
                <w:szCs w:val="22"/>
              </w:rPr>
              <w:t xml:space="preserve"> tabulce Výzkum a inovace &amp; eGovernment a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660725">
              <w:rPr>
                <w:b/>
                <w:bCs/>
                <w:sz w:val="22"/>
                <w:szCs w:val="22"/>
              </w:rPr>
              <w:t>kyberbezpečnost</w:t>
            </w:r>
            <w:r>
              <w:rPr>
                <w:b/>
                <w:bCs/>
                <w:sz w:val="22"/>
                <w:szCs w:val="22"/>
              </w:rPr>
              <w:t>, prioritním nástrojům řešení problému</w:t>
            </w:r>
          </w:p>
          <w:p w14:paraId="0A5B4559" w14:textId="5D9DA19A" w:rsidR="005901D2" w:rsidRDefault="003B45E4" w:rsidP="005901D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Žádáme o doplnění konceptu synergií s dalšími nástroji, zejména přímo řízenými program</w:t>
            </w:r>
            <w:r w:rsidR="007F09FD">
              <w:rPr>
                <w:color w:val="000000"/>
                <w:sz w:val="22"/>
                <w:szCs w:val="22"/>
              </w:rPr>
              <w:t>y</w:t>
            </w:r>
            <w:r>
              <w:rPr>
                <w:color w:val="000000"/>
                <w:sz w:val="22"/>
                <w:szCs w:val="22"/>
              </w:rPr>
              <w:t xml:space="preserve"> EU. </w:t>
            </w:r>
          </w:p>
          <w:p w14:paraId="53FF34CF" w14:textId="28ADBF36" w:rsidR="003B45E4" w:rsidRDefault="00A670A0" w:rsidP="005901D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 w:rsidRPr="008E4712">
              <w:rPr>
                <w:color w:val="000000"/>
                <w:sz w:val="22"/>
                <w:szCs w:val="22"/>
                <w:u w:val="single"/>
              </w:rPr>
              <w:lastRenderedPageBreak/>
              <w:t>Zdůvodnění</w:t>
            </w:r>
            <w:r>
              <w:rPr>
                <w:color w:val="000000"/>
                <w:sz w:val="22"/>
                <w:szCs w:val="22"/>
              </w:rPr>
              <w:t>: Prostřednictvím s</w:t>
            </w:r>
            <w:r w:rsidR="003B45E4">
              <w:rPr>
                <w:color w:val="000000"/>
                <w:sz w:val="22"/>
                <w:szCs w:val="22"/>
              </w:rPr>
              <w:t>ynergi</w:t>
            </w:r>
            <w:r>
              <w:rPr>
                <w:color w:val="000000"/>
                <w:sz w:val="22"/>
                <w:szCs w:val="22"/>
              </w:rPr>
              <w:t>í by mělo být zajištěno p</w:t>
            </w:r>
            <w:r w:rsidR="003B45E4" w:rsidRPr="003B45E4">
              <w:rPr>
                <w:color w:val="000000"/>
                <w:sz w:val="22"/>
                <w:szCs w:val="22"/>
              </w:rPr>
              <w:t>ropojení financování z různých zdrojů pro vyšší efektivitu a dopad</w:t>
            </w:r>
            <w:r w:rsidR="00A34CCB">
              <w:rPr>
                <w:color w:val="000000"/>
                <w:sz w:val="22"/>
                <w:szCs w:val="22"/>
              </w:rPr>
              <w:t xml:space="preserve"> a</w:t>
            </w:r>
            <w:r w:rsidR="003B45E4">
              <w:rPr>
                <w:color w:val="000000"/>
                <w:sz w:val="22"/>
                <w:szCs w:val="22"/>
              </w:rPr>
              <w:t xml:space="preserve"> </w:t>
            </w:r>
            <w:r w:rsidR="00787045">
              <w:rPr>
                <w:color w:val="000000"/>
                <w:sz w:val="22"/>
                <w:szCs w:val="22"/>
              </w:rPr>
              <w:t xml:space="preserve">dále </w:t>
            </w:r>
            <w:r>
              <w:rPr>
                <w:color w:val="000000"/>
                <w:sz w:val="22"/>
                <w:szCs w:val="22"/>
              </w:rPr>
              <w:t>p</w:t>
            </w:r>
            <w:r w:rsidR="003B45E4" w:rsidRPr="003B45E4">
              <w:rPr>
                <w:color w:val="000000"/>
                <w:sz w:val="22"/>
                <w:szCs w:val="22"/>
              </w:rPr>
              <w:t>odpora větší integrace méně rozvinutých a okrajových regionů</w:t>
            </w:r>
            <w:r w:rsidR="00A34CCB">
              <w:rPr>
                <w:color w:val="000000"/>
                <w:sz w:val="22"/>
                <w:szCs w:val="22"/>
              </w:rPr>
              <w:t xml:space="preserve">. Synergie </w:t>
            </w:r>
            <w:r w:rsidR="00787045">
              <w:rPr>
                <w:color w:val="000000"/>
                <w:sz w:val="22"/>
                <w:szCs w:val="22"/>
              </w:rPr>
              <w:t xml:space="preserve">mezi nástroji </w:t>
            </w:r>
            <w:r w:rsidR="00A34CCB">
              <w:rPr>
                <w:color w:val="000000"/>
                <w:sz w:val="22"/>
                <w:szCs w:val="22"/>
              </w:rPr>
              <w:t>dále napomáhají m</w:t>
            </w:r>
            <w:r w:rsidRPr="00A670A0">
              <w:rPr>
                <w:color w:val="000000"/>
                <w:sz w:val="22"/>
                <w:szCs w:val="22"/>
              </w:rPr>
              <w:t>aximalizac</w:t>
            </w:r>
            <w:r w:rsidR="00A34CCB">
              <w:rPr>
                <w:color w:val="000000"/>
                <w:sz w:val="22"/>
                <w:szCs w:val="22"/>
              </w:rPr>
              <w:t>i</w:t>
            </w:r>
            <w:r w:rsidRPr="00A670A0">
              <w:rPr>
                <w:color w:val="000000"/>
                <w:sz w:val="22"/>
                <w:szCs w:val="22"/>
              </w:rPr>
              <w:t xml:space="preserve"> výše, kvality a dopadu investic do výzkumu a inovací</w:t>
            </w:r>
            <w:r w:rsidR="003B45E4" w:rsidRPr="003B45E4">
              <w:rPr>
                <w:color w:val="000000"/>
                <w:sz w:val="22"/>
                <w:szCs w:val="22"/>
              </w:rPr>
              <w:t xml:space="preserve"> jako způsob dosažení excelence ve VaVaI</w:t>
            </w:r>
            <w:r w:rsidR="003B45E4">
              <w:rPr>
                <w:color w:val="000000"/>
                <w:sz w:val="22"/>
                <w:szCs w:val="22"/>
              </w:rPr>
              <w:t xml:space="preserve">, </w:t>
            </w:r>
            <w:r w:rsidR="00D52FD4">
              <w:rPr>
                <w:color w:val="000000"/>
                <w:sz w:val="22"/>
                <w:szCs w:val="22"/>
              </w:rPr>
              <w:t>Koncept s</w:t>
            </w:r>
            <w:r w:rsidR="003B45E4">
              <w:rPr>
                <w:color w:val="000000"/>
                <w:sz w:val="22"/>
                <w:szCs w:val="22"/>
              </w:rPr>
              <w:t>ynergi</w:t>
            </w:r>
            <w:r w:rsidR="00D52FD4">
              <w:rPr>
                <w:color w:val="000000"/>
                <w:sz w:val="22"/>
                <w:szCs w:val="22"/>
              </w:rPr>
              <w:t>í</w:t>
            </w:r>
            <w:r w:rsidR="003B45E4">
              <w:rPr>
                <w:color w:val="000000"/>
                <w:sz w:val="22"/>
                <w:szCs w:val="22"/>
              </w:rPr>
              <w:t xml:space="preserve"> </w:t>
            </w:r>
            <w:r w:rsidR="00787045">
              <w:rPr>
                <w:color w:val="000000"/>
                <w:sz w:val="22"/>
                <w:szCs w:val="22"/>
              </w:rPr>
              <w:t>j</w:t>
            </w:r>
            <w:r w:rsidR="00D52FD4">
              <w:rPr>
                <w:color w:val="000000"/>
                <w:sz w:val="22"/>
                <w:szCs w:val="22"/>
              </w:rPr>
              <w:t>e</w:t>
            </w:r>
            <w:r w:rsidR="00787045">
              <w:rPr>
                <w:color w:val="000000"/>
                <w:sz w:val="22"/>
                <w:szCs w:val="22"/>
              </w:rPr>
              <w:t xml:space="preserve"> formulován </w:t>
            </w:r>
            <w:r w:rsidR="003B45E4">
              <w:rPr>
                <w:color w:val="000000"/>
                <w:sz w:val="22"/>
                <w:szCs w:val="22"/>
              </w:rPr>
              <w:t xml:space="preserve">jako prioritní téma </w:t>
            </w:r>
            <w:r w:rsidR="00787045">
              <w:rPr>
                <w:color w:val="000000"/>
                <w:sz w:val="22"/>
                <w:szCs w:val="22"/>
              </w:rPr>
              <w:t xml:space="preserve">při </w:t>
            </w:r>
            <w:r w:rsidR="003B45E4">
              <w:rPr>
                <w:color w:val="000000"/>
                <w:sz w:val="22"/>
                <w:szCs w:val="22"/>
              </w:rPr>
              <w:t>přípravě FP10</w:t>
            </w:r>
            <w:r w:rsidR="007870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87045" w:rsidRPr="00787045">
              <w:rPr>
                <w:color w:val="000000"/>
                <w:sz w:val="22"/>
                <w:szCs w:val="22"/>
              </w:rPr>
              <w:t>Lettova</w:t>
            </w:r>
            <w:proofErr w:type="spellEnd"/>
            <w:r w:rsidR="00787045" w:rsidRPr="00787045">
              <w:rPr>
                <w:color w:val="000000"/>
                <w:sz w:val="22"/>
                <w:szCs w:val="22"/>
              </w:rPr>
              <w:t xml:space="preserve"> zpráva (duben 2024)</w:t>
            </w:r>
            <w:r w:rsidR="0078704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87045" w:rsidRPr="00787045">
              <w:rPr>
                <w:color w:val="000000"/>
                <w:sz w:val="22"/>
                <w:szCs w:val="22"/>
              </w:rPr>
              <w:t>Draghiho</w:t>
            </w:r>
            <w:proofErr w:type="spellEnd"/>
            <w:r w:rsidR="00787045" w:rsidRPr="00787045">
              <w:rPr>
                <w:color w:val="000000"/>
                <w:sz w:val="22"/>
                <w:szCs w:val="22"/>
              </w:rPr>
              <w:t xml:space="preserve"> zpráva (září 2024)</w:t>
            </w:r>
            <w:r w:rsidR="003B45E4">
              <w:rPr>
                <w:color w:val="000000"/>
                <w:sz w:val="22"/>
                <w:szCs w:val="22"/>
              </w:rPr>
              <w:t>,</w:t>
            </w:r>
            <w:r w:rsidR="0078704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87045" w:rsidRPr="00787045">
              <w:rPr>
                <w:color w:val="000000"/>
                <w:sz w:val="22"/>
                <w:szCs w:val="22"/>
              </w:rPr>
              <w:t>Heitorova</w:t>
            </w:r>
            <w:proofErr w:type="spellEnd"/>
            <w:r w:rsidR="00787045" w:rsidRPr="00787045">
              <w:rPr>
                <w:color w:val="000000"/>
                <w:sz w:val="22"/>
                <w:szCs w:val="22"/>
              </w:rPr>
              <w:t xml:space="preserve"> zpráva „</w:t>
            </w:r>
            <w:proofErr w:type="spellStart"/>
            <w:r w:rsidR="00787045" w:rsidRPr="00787045">
              <w:rPr>
                <w:color w:val="000000"/>
                <w:sz w:val="22"/>
                <w:szCs w:val="22"/>
              </w:rPr>
              <w:t>Aligh</w:t>
            </w:r>
            <w:proofErr w:type="spellEnd"/>
            <w:r w:rsidR="00787045" w:rsidRPr="0078704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87045" w:rsidRPr="00787045">
              <w:rPr>
                <w:color w:val="000000"/>
                <w:sz w:val="22"/>
                <w:szCs w:val="22"/>
              </w:rPr>
              <w:t>Act</w:t>
            </w:r>
            <w:proofErr w:type="spellEnd"/>
            <w:r w:rsidR="00787045" w:rsidRPr="00787045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787045" w:rsidRPr="00787045">
              <w:rPr>
                <w:color w:val="000000"/>
                <w:sz w:val="22"/>
                <w:szCs w:val="22"/>
              </w:rPr>
              <w:t>Accelerate</w:t>
            </w:r>
            <w:proofErr w:type="spellEnd"/>
            <w:r w:rsidR="00787045" w:rsidRPr="00787045">
              <w:rPr>
                <w:color w:val="000000"/>
                <w:sz w:val="22"/>
                <w:szCs w:val="22"/>
              </w:rPr>
              <w:t>“ (říjen 2024)</w:t>
            </w:r>
            <w:r w:rsidR="00787045">
              <w:rPr>
                <w:color w:val="000000"/>
                <w:sz w:val="22"/>
                <w:szCs w:val="22"/>
              </w:rPr>
              <w:t xml:space="preserve"> s požadavkem pevného zakotvení</w:t>
            </w:r>
            <w:r w:rsidR="003B45E4">
              <w:rPr>
                <w:color w:val="000000"/>
                <w:sz w:val="22"/>
                <w:szCs w:val="22"/>
              </w:rPr>
              <w:t xml:space="preserve"> </w:t>
            </w:r>
            <w:r w:rsidR="00787045">
              <w:rPr>
                <w:color w:val="000000"/>
                <w:sz w:val="22"/>
                <w:szCs w:val="22"/>
              </w:rPr>
              <w:t>s</w:t>
            </w:r>
            <w:r w:rsidR="003B45E4" w:rsidRPr="003B45E4">
              <w:rPr>
                <w:color w:val="000000"/>
                <w:sz w:val="22"/>
                <w:szCs w:val="22"/>
              </w:rPr>
              <w:t>ynergi</w:t>
            </w:r>
            <w:r w:rsidR="00787045">
              <w:rPr>
                <w:color w:val="000000"/>
                <w:sz w:val="22"/>
                <w:szCs w:val="22"/>
              </w:rPr>
              <w:t>í</w:t>
            </w:r>
            <w:r w:rsidR="003B45E4" w:rsidRPr="003B45E4">
              <w:rPr>
                <w:color w:val="000000"/>
                <w:sz w:val="22"/>
                <w:szCs w:val="22"/>
              </w:rPr>
              <w:t xml:space="preserve"> v legislativním rámci FP10, fondech politiky soudržnosti a dalších</w:t>
            </w:r>
            <w:r w:rsidR="005901D2">
              <w:rPr>
                <w:color w:val="000000"/>
                <w:sz w:val="22"/>
                <w:szCs w:val="22"/>
              </w:rPr>
              <w:t xml:space="preserve"> p</w:t>
            </w:r>
            <w:r w:rsidR="003B45E4" w:rsidRPr="003B45E4">
              <w:rPr>
                <w:color w:val="000000"/>
                <w:sz w:val="22"/>
                <w:szCs w:val="22"/>
              </w:rPr>
              <w:t>rogramech</w:t>
            </w:r>
            <w:r w:rsidR="00787045">
              <w:rPr>
                <w:color w:val="000000"/>
                <w:sz w:val="22"/>
                <w:szCs w:val="22"/>
              </w:rPr>
              <w:t>. Za ČR byla p</w:t>
            </w:r>
            <w:r w:rsidR="005901D2">
              <w:rPr>
                <w:color w:val="000000"/>
                <w:sz w:val="22"/>
                <w:szCs w:val="22"/>
              </w:rPr>
              <w:t>odpora synergií formulována v rámci Národní p</w:t>
            </w:r>
            <w:r w:rsidR="003B45E4">
              <w:rPr>
                <w:color w:val="000000"/>
                <w:sz w:val="22"/>
                <w:szCs w:val="22"/>
              </w:rPr>
              <w:t xml:space="preserve">ozice </w:t>
            </w:r>
            <w:r w:rsidR="005901D2" w:rsidRPr="005901D2">
              <w:rPr>
                <w:color w:val="000000"/>
                <w:sz w:val="22"/>
                <w:szCs w:val="22"/>
              </w:rPr>
              <w:t>k 10. rámcovému programu EU pro výzkum a inovace (FP10)</w:t>
            </w:r>
            <w:r w:rsidR="00615FB7">
              <w:rPr>
                <w:color w:val="000000"/>
                <w:sz w:val="22"/>
                <w:szCs w:val="22"/>
              </w:rPr>
              <w:t>.</w:t>
            </w:r>
          </w:p>
          <w:p w14:paraId="63EAE3E6" w14:textId="49CCE5FB" w:rsidR="00615FB7" w:rsidRPr="008E4712" w:rsidRDefault="00615FB7" w:rsidP="00615FB7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F4F65">
              <w:rPr>
                <w:b/>
                <w:bCs/>
                <w:color w:val="000000"/>
                <w:sz w:val="22"/>
                <w:szCs w:val="22"/>
              </w:rPr>
              <w:t>Tato připomínka je zásadní.</w:t>
            </w:r>
          </w:p>
          <w:p w14:paraId="6ED3F3BD" w14:textId="77777777" w:rsidR="00615FB7" w:rsidRPr="008E4712" w:rsidRDefault="00615FB7" w:rsidP="005901D2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  <w:p w14:paraId="612B1602" w14:textId="77777777" w:rsidR="00615FB7" w:rsidRPr="00F068D3" w:rsidRDefault="00615FB7" w:rsidP="00615FB7">
            <w:pPr>
              <w:widowControl w:val="0"/>
              <w:numPr>
                <w:ilvl w:val="0"/>
                <w:numId w:val="14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660725">
              <w:rPr>
                <w:b/>
                <w:bCs/>
                <w:sz w:val="22"/>
                <w:szCs w:val="22"/>
              </w:rPr>
              <w:t xml:space="preserve">K tematické prioritě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5. 2 Vzdělávání &amp; Výzkum a Inovace &amp; eGovernment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a kyberbezpečnost &amp; Podnikání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60725">
              <w:rPr>
                <w:b/>
                <w:bCs/>
                <w:color w:val="000000"/>
                <w:sz w:val="22"/>
                <w:szCs w:val="22"/>
              </w:rPr>
              <w:t>&amp; Digitalizace,</w:t>
            </w:r>
            <w:r w:rsidRPr="00660725">
              <w:rPr>
                <w:b/>
                <w:bCs/>
                <w:sz w:val="22"/>
                <w:szCs w:val="22"/>
              </w:rPr>
              <w:t xml:space="preserve"> tabulce Výzkum a inovace &amp; eGovernment a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Pr="00660725">
              <w:rPr>
                <w:b/>
                <w:bCs/>
                <w:sz w:val="22"/>
                <w:szCs w:val="22"/>
              </w:rPr>
              <w:t>kyberbezpečnost</w:t>
            </w:r>
            <w:r>
              <w:rPr>
                <w:b/>
                <w:bCs/>
                <w:sz w:val="22"/>
                <w:szCs w:val="22"/>
              </w:rPr>
              <w:t>, prioritním nástrojům řešení problému</w:t>
            </w:r>
          </w:p>
          <w:p w14:paraId="7C9E4DA4" w14:textId="76A488F4" w:rsidR="00F068D3" w:rsidRDefault="00615FB7" w:rsidP="00F068D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Žádáme o doplnění podpory efektivního a kvalitního řízení VO</w:t>
            </w:r>
            <w:r w:rsidR="005C2E30">
              <w:rPr>
                <w:color w:val="000000"/>
                <w:sz w:val="22"/>
                <w:szCs w:val="22"/>
              </w:rPr>
              <w:t xml:space="preserve"> a systému VaVaI</w:t>
            </w:r>
            <w:r>
              <w:rPr>
                <w:color w:val="000000"/>
                <w:sz w:val="22"/>
                <w:szCs w:val="22"/>
              </w:rPr>
              <w:t>.</w:t>
            </w:r>
          </w:p>
          <w:p w14:paraId="51D3BFC6" w14:textId="5FD6F38D" w:rsidR="00615FB7" w:rsidRDefault="00615FB7" w:rsidP="00F068D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 w:rsidRPr="008E4712">
              <w:rPr>
                <w:color w:val="000000"/>
                <w:sz w:val="22"/>
                <w:szCs w:val="22"/>
                <w:u w:val="single"/>
              </w:rPr>
              <w:t>Zdůvodnění:</w:t>
            </w:r>
            <w:r>
              <w:rPr>
                <w:color w:val="000000"/>
                <w:sz w:val="22"/>
                <w:szCs w:val="22"/>
              </w:rPr>
              <w:t xml:space="preserve"> Absence efektivního řízení, které zajistí podmínky pro kvalitní, bezpečný a otevřený výzkum (např. otevřená vědy, bezpečnost a odolnost ve výzkumu) a podmínky pro efektivní transfer znalostí a technologií, </w:t>
            </w:r>
            <w:r w:rsidR="005C2E30">
              <w:rPr>
                <w:color w:val="000000"/>
                <w:sz w:val="22"/>
                <w:szCs w:val="22"/>
              </w:rPr>
              <w:t xml:space="preserve">může vést k nedostatečnému dopadu intervencí, které </w:t>
            </w:r>
            <w:r w:rsidR="009A3238">
              <w:rPr>
                <w:color w:val="000000"/>
                <w:sz w:val="22"/>
                <w:szCs w:val="22"/>
              </w:rPr>
              <w:t xml:space="preserve">tak </w:t>
            </w:r>
            <w:r w:rsidR="005C2E30">
              <w:rPr>
                <w:color w:val="000000"/>
                <w:sz w:val="22"/>
                <w:szCs w:val="22"/>
              </w:rPr>
              <w:t xml:space="preserve">nebudou řádně ukotveny v systému řízení </w:t>
            </w:r>
            <w:r w:rsidR="004C4998">
              <w:rPr>
                <w:color w:val="000000"/>
                <w:sz w:val="22"/>
                <w:szCs w:val="22"/>
              </w:rPr>
              <w:t xml:space="preserve">VO a </w:t>
            </w:r>
            <w:r w:rsidR="005C2E30">
              <w:rPr>
                <w:color w:val="000000"/>
                <w:sz w:val="22"/>
                <w:szCs w:val="22"/>
              </w:rPr>
              <w:t>VaVaI</w:t>
            </w:r>
            <w:r w:rsidR="004C4998">
              <w:rPr>
                <w:color w:val="000000"/>
                <w:sz w:val="22"/>
                <w:szCs w:val="22"/>
              </w:rPr>
              <w:t xml:space="preserve"> a případné investice </w:t>
            </w:r>
            <w:r w:rsidR="009A3238">
              <w:rPr>
                <w:color w:val="000000"/>
                <w:sz w:val="22"/>
                <w:szCs w:val="22"/>
              </w:rPr>
              <w:t>tím nebud</w:t>
            </w:r>
            <w:r w:rsidR="00D52FD4">
              <w:rPr>
                <w:color w:val="000000"/>
                <w:sz w:val="22"/>
                <w:szCs w:val="22"/>
              </w:rPr>
              <w:t>ou</w:t>
            </w:r>
            <w:r w:rsidR="009A3238">
              <w:rPr>
                <w:color w:val="000000"/>
                <w:sz w:val="22"/>
                <w:szCs w:val="22"/>
              </w:rPr>
              <w:t xml:space="preserve"> </w:t>
            </w:r>
            <w:r w:rsidR="00B7016E">
              <w:rPr>
                <w:color w:val="000000"/>
                <w:sz w:val="22"/>
                <w:szCs w:val="22"/>
              </w:rPr>
              <w:t>odpovídajícím způsobem</w:t>
            </w:r>
            <w:r w:rsidR="009A3238">
              <w:rPr>
                <w:color w:val="000000"/>
                <w:sz w:val="22"/>
                <w:szCs w:val="22"/>
              </w:rPr>
              <w:t xml:space="preserve"> </w:t>
            </w:r>
            <w:r w:rsidR="00D52FD4">
              <w:rPr>
                <w:color w:val="000000"/>
                <w:sz w:val="22"/>
                <w:szCs w:val="22"/>
              </w:rPr>
              <w:t>využity</w:t>
            </w:r>
            <w:r w:rsidR="009A3238">
              <w:rPr>
                <w:color w:val="000000"/>
                <w:sz w:val="22"/>
                <w:szCs w:val="22"/>
              </w:rPr>
              <w:t>. Na neefektivitu a fragmentac</w:t>
            </w:r>
            <w:r w:rsidR="00D52FD4">
              <w:rPr>
                <w:color w:val="000000"/>
                <w:sz w:val="22"/>
                <w:szCs w:val="22"/>
              </w:rPr>
              <w:t>i</w:t>
            </w:r>
            <w:r w:rsidR="009A3238">
              <w:rPr>
                <w:color w:val="000000"/>
                <w:sz w:val="22"/>
                <w:szCs w:val="22"/>
              </w:rPr>
              <w:t xml:space="preserve"> řízení VO a VaVaI dlouhodobě upozorňují mj. mezinárodní audity, kontrolní zprávy a další analýzy.</w:t>
            </w:r>
          </w:p>
          <w:p w14:paraId="30B590B7" w14:textId="77777777" w:rsidR="004C4998" w:rsidRPr="00A40507" w:rsidRDefault="004C4998" w:rsidP="004C4998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F4F65">
              <w:rPr>
                <w:b/>
                <w:bCs/>
                <w:color w:val="000000"/>
                <w:sz w:val="22"/>
                <w:szCs w:val="22"/>
              </w:rPr>
              <w:t>Tato připomínka je zásadní.</w:t>
            </w:r>
          </w:p>
          <w:p w14:paraId="7587F3BC" w14:textId="77777777" w:rsidR="00615FB7" w:rsidRPr="008E4712" w:rsidRDefault="00615FB7" w:rsidP="00F068D3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  <w:p w14:paraId="0BCC20E0" w14:textId="52A0A05A" w:rsidR="00766261" w:rsidRPr="00766261" w:rsidRDefault="00766261" w:rsidP="00766261">
            <w:pPr>
              <w:widowControl w:val="0"/>
              <w:numPr>
                <w:ilvl w:val="0"/>
                <w:numId w:val="14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66261">
              <w:rPr>
                <w:b/>
                <w:bCs/>
                <w:color w:val="000000"/>
                <w:sz w:val="22"/>
                <w:szCs w:val="22"/>
              </w:rPr>
              <w:t>K předkládací zprávě</w:t>
            </w:r>
            <w:r w:rsidR="006A0C2A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="002E4FD8">
              <w:rPr>
                <w:b/>
                <w:bCs/>
                <w:color w:val="000000"/>
                <w:sz w:val="22"/>
                <w:szCs w:val="22"/>
              </w:rPr>
              <w:t xml:space="preserve"> str. 2, čtvrtému odstavci</w:t>
            </w:r>
          </w:p>
          <w:p w14:paraId="6ECC9ADE" w14:textId="2E68C2E5" w:rsidR="002E4FD8" w:rsidRDefault="00766261" w:rsidP="00766261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 w:rsidRPr="00766261">
              <w:rPr>
                <w:sz w:val="22"/>
                <w:szCs w:val="22"/>
              </w:rPr>
              <w:t>V závěru předkládací zprávy je uvedeno, že „vzhledem ke své povaze nemá předkládaný materiál dopady na výdaje z veřejných rozpočtů“</w:t>
            </w:r>
            <w:r w:rsidR="002E4FD8">
              <w:rPr>
                <w:sz w:val="22"/>
                <w:szCs w:val="22"/>
              </w:rPr>
              <w:t>. Požadujeme text přeformulovat.</w:t>
            </w:r>
            <w:r w:rsidR="006A0C2A" w:rsidRPr="00766261">
              <w:rPr>
                <w:sz w:val="22"/>
                <w:szCs w:val="22"/>
              </w:rPr>
              <w:t xml:space="preserve"> </w:t>
            </w:r>
            <w:r w:rsidR="006A0C2A">
              <w:rPr>
                <w:sz w:val="22"/>
                <w:szCs w:val="22"/>
              </w:rPr>
              <w:t>P</w:t>
            </w:r>
            <w:r w:rsidR="006A0C2A" w:rsidRPr="00766261">
              <w:rPr>
                <w:sz w:val="22"/>
                <w:szCs w:val="22"/>
              </w:rPr>
              <w:t>ovažujeme za nepřijatelné tvrzení o absenci dopadu materiálu na veřejné rozpočty</w:t>
            </w:r>
            <w:r w:rsidR="006A0C2A">
              <w:rPr>
                <w:sz w:val="22"/>
                <w:szCs w:val="22"/>
              </w:rPr>
              <w:t xml:space="preserve"> z níže uvedených důvodů</w:t>
            </w:r>
            <w:r w:rsidR="006A0C2A" w:rsidRPr="00766261">
              <w:rPr>
                <w:sz w:val="22"/>
                <w:szCs w:val="22"/>
              </w:rPr>
              <w:t>.</w:t>
            </w:r>
          </w:p>
          <w:p w14:paraId="6D3F0689" w14:textId="77777777" w:rsidR="002E4FD8" w:rsidRPr="002E4FD8" w:rsidRDefault="002E4FD8" w:rsidP="00766261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  <w:u w:val="single"/>
              </w:rPr>
            </w:pPr>
            <w:r w:rsidRPr="002E4FD8">
              <w:rPr>
                <w:sz w:val="22"/>
                <w:szCs w:val="22"/>
                <w:u w:val="single"/>
              </w:rPr>
              <w:t>Zdůvodnění:</w:t>
            </w:r>
          </w:p>
          <w:p w14:paraId="519C797D" w14:textId="01D62C88" w:rsidR="00766261" w:rsidRDefault="00766261" w:rsidP="00766261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 w:rsidRPr="00766261">
              <w:rPr>
                <w:sz w:val="22"/>
                <w:szCs w:val="22"/>
              </w:rPr>
              <w:t>Strategický rámec mimo jiné určuje, jak budou v příštím programovém období po roce 2027 využívány evropské fondy a jakou míru kofinancování a předfinancování z veřejných domácích zdrojů, tj. ze státního rozpočtu, bude třeba zajistit. Mnohé programy hrazené z Evropských strukturálních a investičních fondů (např. OP JAK) neumožňují financování do výše 100 % způsobilých nákladů, část těchto nákladů musí být kofinancována z národních zdrojů, což se přímo promítá do výdajové části státního rozpočtu. Často je nutné výdaje předfinancovat ve formě záloh, neboť finanční podpora z fondů EU může být vyplacena až zpětně po doložení výstupů či zajistit překlenovací financování v době přechodu mezi víceletými finančními rámci.</w:t>
            </w:r>
          </w:p>
          <w:p w14:paraId="28733A10" w14:textId="0E558557" w:rsidR="00B65743" w:rsidRDefault="00BF4F65" w:rsidP="00A42809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F4F65">
              <w:rPr>
                <w:b/>
                <w:bCs/>
                <w:color w:val="000000"/>
                <w:sz w:val="22"/>
                <w:szCs w:val="22"/>
              </w:rPr>
              <w:t>Tato připomínka je zásadní.</w:t>
            </w:r>
          </w:p>
          <w:p w14:paraId="082B97C2" w14:textId="77777777" w:rsidR="001C7CB5" w:rsidRDefault="001C7CB5" w:rsidP="00A42809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6D9B6A75" w14:textId="77777777" w:rsidR="001C7CB5" w:rsidRDefault="001C7CB5" w:rsidP="00A42809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6153B986" w14:textId="77777777" w:rsidR="001C7CB5" w:rsidRPr="00766261" w:rsidRDefault="001C7CB5" w:rsidP="001C7CB5">
            <w:pPr>
              <w:widowControl w:val="0"/>
              <w:numPr>
                <w:ilvl w:val="0"/>
                <w:numId w:val="14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766261">
              <w:rPr>
                <w:b/>
                <w:bCs/>
                <w:color w:val="000000"/>
                <w:sz w:val="22"/>
                <w:szCs w:val="22"/>
              </w:rPr>
              <w:lastRenderedPageBreak/>
              <w:t>K</w:t>
            </w:r>
            <w:r>
              <w:rPr>
                <w:b/>
                <w:bCs/>
                <w:color w:val="000000"/>
                <w:sz w:val="22"/>
                <w:szCs w:val="22"/>
              </w:rPr>
              <w:t>e způsobu předložení materiálu</w:t>
            </w:r>
          </w:p>
          <w:p w14:paraId="64013B32" w14:textId="77777777" w:rsidR="001C7CB5" w:rsidRDefault="001C7CB5" w:rsidP="001C7CB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Žádáme, aby bylo naplňováno ustanovení zákona č. 130/2002 Sb</w:t>
            </w:r>
            <w:r w:rsidRPr="0076626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,</w:t>
            </w:r>
            <w:r>
              <w:t xml:space="preserve"> </w:t>
            </w:r>
            <w:r w:rsidRPr="00F7364A">
              <w:rPr>
                <w:sz w:val="22"/>
                <w:szCs w:val="22"/>
              </w:rPr>
              <w:t>o podpoře výzkumu a vývoje z veřejných prostředků a o změně některých souvisejících zákonů (zákon o podpoře výzkumu a vývoje)</w:t>
            </w:r>
            <w:r>
              <w:rPr>
                <w:sz w:val="22"/>
                <w:szCs w:val="22"/>
              </w:rPr>
              <w:t xml:space="preserve">, konkrétně § 35 odst. 2 písm. i), a to s ohledem na charakter předkládaného materiálu. Dané ustanovení zákona č. 130/2002 Sb. je nezbytné respektovat zejména při předložení finálního </w:t>
            </w:r>
            <w:r w:rsidRPr="00182288">
              <w:rPr>
                <w:i/>
                <w:iCs/>
                <w:sz w:val="22"/>
                <w:szCs w:val="22"/>
              </w:rPr>
              <w:t>Strategického rámce</w:t>
            </w:r>
            <w:r w:rsidRPr="00182288">
              <w:rPr>
                <w:i/>
                <w:iCs/>
              </w:rPr>
              <w:t xml:space="preserve"> </w:t>
            </w:r>
            <w:r w:rsidRPr="00182288">
              <w:rPr>
                <w:i/>
                <w:iCs/>
                <w:sz w:val="22"/>
                <w:szCs w:val="22"/>
              </w:rPr>
              <w:t>politiky soudržnosti 2028+ v ČR</w:t>
            </w:r>
            <w:r>
              <w:rPr>
                <w:sz w:val="22"/>
                <w:szCs w:val="22"/>
              </w:rPr>
              <w:t xml:space="preserve"> vládě.</w:t>
            </w:r>
          </w:p>
          <w:p w14:paraId="1E48CE20" w14:textId="77777777" w:rsidR="001C7CB5" w:rsidRPr="002E4FD8" w:rsidRDefault="001C7CB5" w:rsidP="001C7CB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  <w:u w:val="single"/>
              </w:rPr>
            </w:pPr>
            <w:r w:rsidRPr="002E4FD8">
              <w:rPr>
                <w:sz w:val="22"/>
                <w:szCs w:val="22"/>
                <w:u w:val="single"/>
              </w:rPr>
              <w:t>Zdůvodnění:</w:t>
            </w:r>
          </w:p>
          <w:p w14:paraId="6A1856BF" w14:textId="77777777" w:rsidR="001C7CB5" w:rsidRDefault="001C7CB5" w:rsidP="001C7CB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Zákon č. 130/2002 Sb. ukládá Radě pro výzkum, vývoj a inovace v § 35 odst. 2 písm. i) následovné: </w:t>
            </w:r>
            <w:r w:rsidRPr="00A73E17">
              <w:rPr>
                <w:i/>
                <w:iCs/>
                <w:sz w:val="22"/>
                <w:szCs w:val="22"/>
              </w:rPr>
              <w:t>„(2) Rada pro výzkum, vývoj a inovace plní úkoly podle tohoto zákona a zabezpečuje zejména…</w:t>
            </w:r>
            <w:r w:rsidRPr="00A73E17">
              <w:rPr>
                <w:i/>
                <w:iCs/>
              </w:rPr>
              <w:t xml:space="preserve"> </w:t>
            </w:r>
            <w:r w:rsidRPr="00A73E17">
              <w:rPr>
                <w:i/>
                <w:iCs/>
                <w:sz w:val="22"/>
                <w:szCs w:val="22"/>
              </w:rPr>
              <w:t xml:space="preserve">i) zpracování stanovisek k materiálům předkládaným vládě za oblast výzkumu, vývoje a </w:t>
            </w:r>
            <w:proofErr w:type="gramStart"/>
            <w:r w:rsidRPr="00A73E17">
              <w:rPr>
                <w:i/>
                <w:iCs/>
                <w:sz w:val="22"/>
                <w:szCs w:val="22"/>
              </w:rPr>
              <w:t>inovací,…</w:t>
            </w:r>
            <w:proofErr w:type="gramEnd"/>
            <w:r w:rsidRPr="00A73E17">
              <w:rPr>
                <w:i/>
                <w:iCs/>
                <w:sz w:val="22"/>
                <w:szCs w:val="22"/>
              </w:rPr>
              <w:t>“</w:t>
            </w:r>
            <w:r>
              <w:rPr>
                <w:sz w:val="22"/>
                <w:szCs w:val="22"/>
              </w:rPr>
              <w:t xml:space="preserve">. Je tedy nezbytné, aby materiály, které odpovídají výše uvedenému, byly předkládány Radě pro výzkum, vývoj a inovace ke stanovisku před jejich předložením na jednání vlády. </w:t>
            </w:r>
          </w:p>
          <w:p w14:paraId="42C4D546" w14:textId="77777777" w:rsidR="001C7CB5" w:rsidRDefault="001C7CB5" w:rsidP="001C7CB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F4F65">
              <w:rPr>
                <w:b/>
                <w:bCs/>
                <w:color w:val="000000"/>
                <w:sz w:val="22"/>
                <w:szCs w:val="22"/>
              </w:rPr>
              <w:t>Tato připomínka je zásadní.</w:t>
            </w:r>
          </w:p>
          <w:p w14:paraId="275E2239" w14:textId="77777777" w:rsidR="001C7CB5" w:rsidRPr="00B65743" w:rsidRDefault="001C7CB5" w:rsidP="00A42809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  <w:p w14:paraId="20AFCE33" w14:textId="23AF73AC" w:rsidR="00766261" w:rsidRPr="00695335" w:rsidRDefault="00766261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F3F3F3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8646CF" w14:textId="77777777" w:rsidR="00CF39EE" w:rsidRPr="00504F79" w:rsidRDefault="00CF39EE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CF39EE" w:rsidRPr="00504F79" w14:paraId="12EBB7E9" w14:textId="77777777" w:rsidTr="00504F79">
        <w:trPr>
          <w:trHeight w:val="975"/>
        </w:trPr>
        <w:tc>
          <w:tcPr>
            <w:tcW w:w="1010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26EF5278" w14:textId="77777777" w:rsidR="00CF39EE" w:rsidRPr="00504F79" w:rsidRDefault="00CF39EE" w:rsidP="007E1384">
            <w:pPr>
              <w:rPr>
                <w:sz w:val="22"/>
                <w:szCs w:val="22"/>
              </w:rPr>
            </w:pP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3F3F3"/>
            </w:tcBorders>
            <w:shd w:val="clear" w:color="auto" w:fill="auto"/>
          </w:tcPr>
          <w:p w14:paraId="149CC766" w14:textId="70505EFF" w:rsidR="00660725" w:rsidRPr="00504F79" w:rsidRDefault="00660725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Doporučující </w:t>
            </w:r>
            <w:r w:rsidRPr="00504F79">
              <w:rPr>
                <w:b/>
                <w:sz w:val="22"/>
                <w:szCs w:val="22"/>
              </w:rPr>
              <w:t>připomín</w:t>
            </w:r>
            <w:r>
              <w:rPr>
                <w:b/>
                <w:sz w:val="22"/>
                <w:szCs w:val="22"/>
              </w:rPr>
              <w:t>ky</w:t>
            </w:r>
            <w:r w:rsidR="00CF39EE" w:rsidRPr="00504F79">
              <w:rPr>
                <w:b/>
                <w:sz w:val="22"/>
                <w:szCs w:val="22"/>
              </w:rPr>
              <w:t>:</w:t>
            </w:r>
          </w:p>
          <w:p w14:paraId="4EF9639B" w14:textId="1798FFCB" w:rsidR="00BA7260" w:rsidRDefault="00BA7260" w:rsidP="00695335">
            <w:pPr>
              <w:widowControl w:val="0"/>
              <w:numPr>
                <w:ilvl w:val="0"/>
                <w:numId w:val="15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sz w:val="22"/>
                <w:szCs w:val="22"/>
              </w:rPr>
            </w:pPr>
            <w:r w:rsidRPr="00BA7260">
              <w:rPr>
                <w:b/>
                <w:bCs/>
                <w:sz w:val="22"/>
                <w:szCs w:val="22"/>
              </w:rPr>
              <w:t xml:space="preserve">K tematické prioritě </w:t>
            </w:r>
            <w:r w:rsidRPr="00BA7260">
              <w:rPr>
                <w:b/>
                <w:bCs/>
                <w:color w:val="000000"/>
                <w:sz w:val="22"/>
                <w:szCs w:val="22"/>
              </w:rPr>
              <w:t>5. 2 Vzdělávání &amp; Výzkum a Inovace &amp; eGovernment a kyberbezpečnost &amp; Podnikání &amp; Digitalizace,</w:t>
            </w:r>
            <w:r w:rsidRPr="00BA7260">
              <w:rPr>
                <w:b/>
                <w:bCs/>
                <w:sz w:val="22"/>
                <w:szCs w:val="22"/>
              </w:rPr>
              <w:t xml:space="preserve"> tabulce Výzkum a inovace &amp; eGovernment a kyberbezpečnost</w:t>
            </w:r>
            <w:r>
              <w:rPr>
                <w:b/>
                <w:bCs/>
                <w:sz w:val="22"/>
                <w:szCs w:val="22"/>
              </w:rPr>
              <w:t>, prioritnímu nástroji řešení problému Podpora výzkumu</w:t>
            </w:r>
          </w:p>
          <w:p w14:paraId="0B4A7B17" w14:textId="0E3EAFB8" w:rsidR="00272E3B" w:rsidRDefault="00272E3B" w:rsidP="00272E3B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 w:rsidRPr="00BA7260">
              <w:rPr>
                <w:color w:val="000000"/>
                <w:sz w:val="22"/>
                <w:szCs w:val="22"/>
              </w:rPr>
              <w:t>V první odrážce</w:t>
            </w:r>
            <w:r>
              <w:rPr>
                <w:color w:val="000000"/>
                <w:sz w:val="22"/>
                <w:szCs w:val="22"/>
              </w:rPr>
              <w:t>, popisu cyklu kategorií výzkumu a vývoje, jsou</w:t>
            </w:r>
            <w:r w:rsidRPr="00BA7260">
              <w:rPr>
                <w:color w:val="000000"/>
                <w:sz w:val="22"/>
                <w:szCs w:val="22"/>
              </w:rPr>
              <w:t xml:space="preserve"> uveden</w:t>
            </w:r>
            <w:r>
              <w:rPr>
                <w:color w:val="000000"/>
                <w:sz w:val="22"/>
                <w:szCs w:val="22"/>
              </w:rPr>
              <w:t>y</w:t>
            </w:r>
            <w:r w:rsidRPr="00BA7260">
              <w:rPr>
                <w:color w:val="000000"/>
                <w:sz w:val="22"/>
                <w:szCs w:val="22"/>
              </w:rPr>
              <w:t xml:space="preserve"> kategorie „</w:t>
            </w:r>
            <w:r>
              <w:rPr>
                <w:color w:val="000000"/>
                <w:sz w:val="22"/>
                <w:szCs w:val="22"/>
              </w:rPr>
              <w:t>aplikovaný/</w:t>
            </w:r>
            <w:r w:rsidRPr="00BA7260">
              <w:rPr>
                <w:color w:val="000000"/>
                <w:sz w:val="22"/>
                <w:szCs w:val="22"/>
              </w:rPr>
              <w:t>experimentální výzkum“.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A7260">
              <w:rPr>
                <w:color w:val="000000"/>
                <w:sz w:val="22"/>
                <w:szCs w:val="22"/>
              </w:rPr>
              <w:t>Doporučujeme při popisu cyklu kategorií výzkumu a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A7260">
              <w:rPr>
                <w:color w:val="000000"/>
                <w:sz w:val="22"/>
                <w:szCs w:val="22"/>
              </w:rPr>
              <w:t>vývoje použít ustálen</w:t>
            </w:r>
            <w:r>
              <w:rPr>
                <w:color w:val="000000"/>
                <w:sz w:val="22"/>
                <w:szCs w:val="22"/>
              </w:rPr>
              <w:t>á</w:t>
            </w:r>
            <w:r w:rsidRPr="00BA7260">
              <w:rPr>
                <w:color w:val="000000"/>
                <w:sz w:val="22"/>
                <w:szCs w:val="22"/>
              </w:rPr>
              <w:t xml:space="preserve"> označení „aplikovaný výzkum“ a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BA7260">
              <w:rPr>
                <w:color w:val="000000"/>
                <w:sz w:val="22"/>
                <w:szCs w:val="22"/>
              </w:rPr>
              <w:t>„experimentální vývoj.“</w:t>
            </w:r>
          </w:p>
          <w:p w14:paraId="7B384892" w14:textId="37FF1A3D" w:rsidR="00272E3B" w:rsidRPr="00272E3B" w:rsidRDefault="00272E3B" w:rsidP="00272E3B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  <w:u w:val="single"/>
              </w:rPr>
            </w:pPr>
            <w:r w:rsidRPr="00272E3B">
              <w:rPr>
                <w:color w:val="000000"/>
                <w:sz w:val="22"/>
                <w:szCs w:val="22"/>
                <w:u w:val="single"/>
              </w:rPr>
              <w:t>Zdůvodnění:</w:t>
            </w:r>
          </w:p>
          <w:p w14:paraId="6CA41252" w14:textId="411E0762" w:rsidR="00145725" w:rsidRPr="00BA7260" w:rsidRDefault="008F5B00" w:rsidP="00BA7260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sz w:val="22"/>
                <w:szCs w:val="22"/>
              </w:rPr>
            </w:pPr>
            <w:r w:rsidRPr="00BA7260">
              <w:rPr>
                <w:color w:val="000000"/>
                <w:sz w:val="22"/>
                <w:szCs w:val="22"/>
              </w:rPr>
              <w:t>Dle</w:t>
            </w:r>
            <w:r w:rsidR="00695335">
              <w:rPr>
                <w:color w:val="000000"/>
                <w:sz w:val="22"/>
                <w:szCs w:val="22"/>
              </w:rPr>
              <w:t> </w:t>
            </w:r>
            <w:proofErr w:type="spellStart"/>
            <w:r w:rsidRPr="00BA7260">
              <w:rPr>
                <w:color w:val="000000"/>
                <w:sz w:val="22"/>
                <w:szCs w:val="22"/>
              </w:rPr>
              <w:t>F</w:t>
            </w:r>
            <w:r w:rsidR="00BD3BB6">
              <w:rPr>
                <w:color w:val="000000"/>
                <w:sz w:val="22"/>
                <w:szCs w:val="22"/>
              </w:rPr>
              <w:t>r</w:t>
            </w:r>
            <w:r w:rsidRPr="00BA7260">
              <w:rPr>
                <w:color w:val="000000"/>
                <w:sz w:val="22"/>
                <w:szCs w:val="22"/>
              </w:rPr>
              <w:t>ascati</w:t>
            </w:r>
            <w:proofErr w:type="spellEnd"/>
            <w:r w:rsidRPr="00BA7260">
              <w:rPr>
                <w:color w:val="000000"/>
                <w:sz w:val="22"/>
                <w:szCs w:val="22"/>
              </w:rPr>
              <w:t xml:space="preserve"> Manuálu </w:t>
            </w:r>
            <w:r w:rsidR="009368AF" w:rsidRPr="00BA7260">
              <w:rPr>
                <w:color w:val="000000"/>
                <w:sz w:val="22"/>
                <w:szCs w:val="22"/>
              </w:rPr>
              <w:t xml:space="preserve">(2015) </w:t>
            </w:r>
            <w:r w:rsidRPr="00BA7260">
              <w:rPr>
                <w:color w:val="000000"/>
                <w:sz w:val="22"/>
                <w:szCs w:val="22"/>
              </w:rPr>
              <w:t xml:space="preserve">jsou kategorie výzkumu a vývoje rozčleněny do tří kategorií, a sice </w:t>
            </w:r>
            <w:r w:rsidR="006571E1" w:rsidRPr="00BA7260">
              <w:rPr>
                <w:color w:val="000000"/>
                <w:sz w:val="22"/>
                <w:szCs w:val="22"/>
              </w:rPr>
              <w:t>„</w:t>
            </w:r>
            <w:r w:rsidRPr="00BA7260">
              <w:rPr>
                <w:color w:val="000000"/>
                <w:sz w:val="22"/>
                <w:szCs w:val="22"/>
              </w:rPr>
              <w:t>základní výzkum, aplikovaný výzkum a experimentální vývoj</w:t>
            </w:r>
            <w:r w:rsidR="006571E1" w:rsidRPr="00BA7260">
              <w:rPr>
                <w:color w:val="000000"/>
                <w:sz w:val="22"/>
                <w:szCs w:val="22"/>
              </w:rPr>
              <w:t>“</w:t>
            </w:r>
            <w:r w:rsidRPr="00BA7260">
              <w:rPr>
                <w:color w:val="000000"/>
                <w:sz w:val="22"/>
                <w:szCs w:val="22"/>
              </w:rPr>
              <w:t xml:space="preserve">. </w:t>
            </w:r>
            <w:r w:rsidR="00145725" w:rsidRPr="00BA7260">
              <w:rPr>
                <w:color w:val="000000"/>
                <w:sz w:val="22"/>
                <w:szCs w:val="22"/>
              </w:rPr>
              <w:t>Tato terminologie je použita rovněž v zákoně č. 130/2002 Sb., o</w:t>
            </w:r>
            <w:r w:rsidR="00BA7260">
              <w:rPr>
                <w:color w:val="000000"/>
                <w:sz w:val="22"/>
                <w:szCs w:val="22"/>
              </w:rPr>
              <w:t> </w:t>
            </w:r>
            <w:r w:rsidR="00145725" w:rsidRPr="00BA7260">
              <w:rPr>
                <w:color w:val="000000"/>
                <w:sz w:val="22"/>
                <w:szCs w:val="22"/>
              </w:rPr>
              <w:t>podpoře výzkumu, experimentálního vývoje a inovací z veřejných prostředků a o změně některých souvisejících zákonů (zákon o</w:t>
            </w:r>
            <w:r w:rsidR="00BA7260">
              <w:rPr>
                <w:color w:val="000000"/>
                <w:sz w:val="22"/>
                <w:szCs w:val="22"/>
              </w:rPr>
              <w:t> </w:t>
            </w:r>
            <w:r w:rsidR="00145725" w:rsidRPr="00BA7260">
              <w:rPr>
                <w:color w:val="000000"/>
                <w:sz w:val="22"/>
                <w:szCs w:val="22"/>
              </w:rPr>
              <w:t>podpoře výzkumu, experimentálního vývoje a inovací)</w:t>
            </w:r>
            <w:r w:rsidR="00695335">
              <w:rPr>
                <w:color w:val="000000"/>
                <w:sz w:val="22"/>
                <w:szCs w:val="22"/>
              </w:rPr>
              <w:t>, ve znění pozdějších předpisů.</w:t>
            </w:r>
            <w:r w:rsidR="00145725" w:rsidRPr="00BA7260">
              <w:rPr>
                <w:color w:val="000000"/>
                <w:sz w:val="22"/>
                <w:szCs w:val="22"/>
              </w:rPr>
              <w:t xml:space="preserve"> </w:t>
            </w:r>
          </w:p>
          <w:p w14:paraId="7017BC3B" w14:textId="77777777" w:rsidR="008F5B00" w:rsidRPr="008F5B00" w:rsidRDefault="008F5B00" w:rsidP="008F5B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E58D63" w14:textId="7A01D40A" w:rsidR="00BA7260" w:rsidRPr="00695335" w:rsidRDefault="00BA7260" w:rsidP="00695335">
            <w:pPr>
              <w:widowControl w:val="0"/>
              <w:numPr>
                <w:ilvl w:val="0"/>
                <w:numId w:val="15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sz w:val="22"/>
                <w:szCs w:val="22"/>
              </w:rPr>
            </w:pPr>
            <w:r w:rsidRPr="00BA7260">
              <w:rPr>
                <w:b/>
                <w:bCs/>
                <w:sz w:val="22"/>
                <w:szCs w:val="22"/>
              </w:rPr>
              <w:t xml:space="preserve">K tematické prioritě </w:t>
            </w:r>
            <w:r w:rsidRPr="00BA7260">
              <w:rPr>
                <w:b/>
                <w:bCs/>
                <w:color w:val="000000"/>
                <w:sz w:val="22"/>
                <w:szCs w:val="22"/>
              </w:rPr>
              <w:t>5. 2 Vzdělávání &amp; Výzkum a Inovace &amp; eGovernment a kyberbezpečnost &amp; Podnikání &amp; Digitalizace,</w:t>
            </w:r>
            <w:r w:rsidRPr="00BA7260">
              <w:rPr>
                <w:b/>
                <w:bCs/>
                <w:sz w:val="22"/>
                <w:szCs w:val="22"/>
              </w:rPr>
              <w:t xml:space="preserve"> tabulce Výzkum a inovace &amp; eGovernment a kyberbezpečnost, úvodnímu odstavci</w:t>
            </w:r>
          </w:p>
          <w:p w14:paraId="0D98B928" w14:textId="77777777" w:rsidR="00554876" w:rsidRDefault="00BA7260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Doporučujeme</w:t>
            </w:r>
            <w:r w:rsidR="00614B4B" w:rsidRPr="00BA7260">
              <w:rPr>
                <w:color w:val="000000"/>
                <w:sz w:val="22"/>
                <w:szCs w:val="22"/>
              </w:rPr>
              <w:t xml:space="preserve"> nahradit slovo „</w:t>
            </w:r>
            <w:proofErr w:type="spellStart"/>
            <w:r w:rsidR="00614B4B" w:rsidRPr="00BA7260">
              <w:rPr>
                <w:color w:val="000000"/>
                <w:sz w:val="22"/>
                <w:szCs w:val="22"/>
              </w:rPr>
              <w:t>exponencionálnímu</w:t>
            </w:r>
            <w:proofErr w:type="spellEnd"/>
            <w:r w:rsidR="00614B4B" w:rsidRPr="00BA7260">
              <w:rPr>
                <w:color w:val="000000"/>
                <w:sz w:val="22"/>
                <w:szCs w:val="22"/>
              </w:rPr>
              <w:t>“ slovem „exponenciálnímu“</w:t>
            </w:r>
            <w:r w:rsidR="00162240" w:rsidRPr="00BA7260">
              <w:rPr>
                <w:color w:val="000000"/>
                <w:sz w:val="22"/>
                <w:szCs w:val="22"/>
              </w:rPr>
              <w:t>.</w:t>
            </w:r>
          </w:p>
          <w:p w14:paraId="2B0A11AD" w14:textId="7D512755" w:rsidR="00272E3B" w:rsidRPr="00420E21" w:rsidRDefault="009C798F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  <w:u w:val="single"/>
              </w:rPr>
            </w:pPr>
            <w:r w:rsidRPr="00420E21">
              <w:rPr>
                <w:color w:val="000000"/>
                <w:sz w:val="22"/>
                <w:szCs w:val="22"/>
                <w:u w:val="single"/>
              </w:rPr>
              <w:t>Zdůvodnění:</w:t>
            </w:r>
          </w:p>
          <w:p w14:paraId="2CFFFF1E" w14:textId="073E19FA" w:rsidR="009C798F" w:rsidRDefault="00BF4F65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Jedná se pouze o jazykovou korekturu.</w:t>
            </w:r>
          </w:p>
          <w:p w14:paraId="1BE9CD9F" w14:textId="77777777" w:rsidR="00BF4F65" w:rsidRDefault="00BF4F65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  <w:p w14:paraId="616C067F" w14:textId="13A2F48E" w:rsidR="00BF4F65" w:rsidRDefault="00BF4F65" w:rsidP="00BF4F65">
            <w:pPr>
              <w:widowControl w:val="0"/>
              <w:numPr>
                <w:ilvl w:val="0"/>
                <w:numId w:val="15"/>
              </w:numPr>
              <w:tabs>
                <w:tab w:val="clear" w:pos="780"/>
              </w:tabs>
              <w:autoSpaceDE w:val="0"/>
              <w:autoSpaceDN w:val="0"/>
              <w:adjustRightInd w:val="0"/>
              <w:ind w:left="36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BF4F65">
              <w:rPr>
                <w:b/>
                <w:bCs/>
                <w:sz w:val="22"/>
                <w:szCs w:val="22"/>
              </w:rPr>
              <w:t>K</w:t>
            </w:r>
            <w:r w:rsidRPr="00766261">
              <w:rPr>
                <w:b/>
                <w:bCs/>
                <w:color w:val="000000"/>
                <w:sz w:val="22"/>
                <w:szCs w:val="22"/>
              </w:rPr>
              <w:t> předkládací zprávě</w:t>
            </w:r>
            <w:r>
              <w:rPr>
                <w:b/>
                <w:bCs/>
                <w:color w:val="000000"/>
                <w:sz w:val="22"/>
                <w:szCs w:val="22"/>
              </w:rPr>
              <w:t>, str. 2, čtvrtému odstavci</w:t>
            </w:r>
          </w:p>
          <w:p w14:paraId="4715369B" w14:textId="155B74CD" w:rsidR="00BF4F65" w:rsidRDefault="00BF4F65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  <w:r w:rsidRPr="00BF4F65">
              <w:rPr>
                <w:color w:val="000000"/>
                <w:sz w:val="22"/>
                <w:szCs w:val="22"/>
              </w:rPr>
              <w:t xml:space="preserve">Doporučujeme </w:t>
            </w:r>
            <w:r>
              <w:rPr>
                <w:color w:val="000000"/>
                <w:sz w:val="22"/>
                <w:szCs w:val="22"/>
              </w:rPr>
              <w:t>doplnit odstavec o zhodnocení dopadů ve smyslu ustanovení čl. IV odst. 7 Jednacího řádu vlády.</w:t>
            </w:r>
          </w:p>
          <w:p w14:paraId="5B88C3D2" w14:textId="77777777" w:rsidR="001C7CB5" w:rsidRPr="00BF4F65" w:rsidRDefault="001C7CB5" w:rsidP="00695335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color w:val="000000"/>
                <w:sz w:val="22"/>
                <w:szCs w:val="22"/>
              </w:rPr>
            </w:pPr>
          </w:p>
          <w:p w14:paraId="1C43C9F7" w14:textId="3AAB0C4E" w:rsidR="00272E3B" w:rsidRPr="00695335" w:rsidRDefault="00272E3B" w:rsidP="004328A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F3F3F3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A7C98A" w14:textId="77777777" w:rsidR="00CF39EE" w:rsidRPr="00504F79" w:rsidRDefault="00CF39EE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  <w:tr w:rsidR="00CF39EE" w:rsidRPr="00504F79" w14:paraId="50A5C8A4" w14:textId="77777777" w:rsidTr="00504F79">
        <w:trPr>
          <w:trHeight w:val="317"/>
        </w:trPr>
        <w:tc>
          <w:tcPr>
            <w:tcW w:w="1010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7FB1406" w14:textId="77777777" w:rsidR="00CF39EE" w:rsidRPr="00504F79" w:rsidRDefault="00CF39EE" w:rsidP="007E1384">
            <w:pPr>
              <w:rPr>
                <w:sz w:val="22"/>
                <w:szCs w:val="22"/>
              </w:rPr>
            </w:pPr>
          </w:p>
        </w:tc>
        <w:tc>
          <w:tcPr>
            <w:tcW w:w="381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F3F3F3"/>
            </w:tcBorders>
            <w:shd w:val="clear" w:color="auto" w:fill="auto"/>
          </w:tcPr>
          <w:p w14:paraId="7A1A578E" w14:textId="77777777" w:rsidR="00145725" w:rsidRDefault="00145725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  <w:p w14:paraId="763C14BA" w14:textId="79C44866" w:rsidR="00CF39EE" w:rsidRPr="00504F79" w:rsidRDefault="00CF39EE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04F79">
              <w:rPr>
                <w:b/>
                <w:sz w:val="22"/>
                <w:szCs w:val="22"/>
              </w:rPr>
              <w:t>Závěr</w:t>
            </w:r>
          </w:p>
          <w:p w14:paraId="6E7B8F34" w14:textId="77777777" w:rsidR="00BA7260" w:rsidRDefault="00BA7260" w:rsidP="006607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A463CA0" w14:textId="59B421A5" w:rsidR="00660725" w:rsidRPr="00660725" w:rsidRDefault="00660725" w:rsidP="0066072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0725">
              <w:rPr>
                <w:sz w:val="22"/>
                <w:szCs w:val="22"/>
              </w:rPr>
              <w:t>Doporučujeme zohlednit výše uvedené připomínky.</w:t>
            </w:r>
          </w:p>
          <w:p w14:paraId="4843A178" w14:textId="77777777" w:rsidR="001C7CB5" w:rsidRDefault="001C7CB5" w:rsidP="001C7C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966371" w14:textId="77777777" w:rsidR="001C7CB5" w:rsidRDefault="001C7CB5" w:rsidP="001C7C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60725">
              <w:rPr>
                <w:sz w:val="22"/>
                <w:szCs w:val="22"/>
              </w:rPr>
              <w:t>Kontaktní osobou pro vypořádání připomínek</w:t>
            </w:r>
            <w:r>
              <w:rPr>
                <w:sz w:val="22"/>
                <w:szCs w:val="22"/>
              </w:rPr>
              <w:t xml:space="preserve"> je Mgr. Dana Bilíková, </w:t>
            </w:r>
            <w:r w:rsidRPr="00614B4B">
              <w:rPr>
                <w:sz w:val="22"/>
                <w:szCs w:val="22"/>
              </w:rPr>
              <w:t>224</w:t>
            </w:r>
            <w:r>
              <w:rPr>
                <w:sz w:val="22"/>
                <w:szCs w:val="22"/>
              </w:rPr>
              <w:t> </w:t>
            </w:r>
            <w:r w:rsidRPr="00614B4B">
              <w:rPr>
                <w:sz w:val="22"/>
                <w:szCs w:val="22"/>
              </w:rPr>
              <w:t>003</w:t>
            </w:r>
            <w:r>
              <w:rPr>
                <w:sz w:val="22"/>
                <w:szCs w:val="22"/>
              </w:rPr>
              <w:t> </w:t>
            </w:r>
            <w:r w:rsidRPr="00614B4B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0, dana.bilikova@vlada.gov.cz</w:t>
            </w:r>
          </w:p>
          <w:p w14:paraId="79F408CC" w14:textId="76CD09FB" w:rsidR="00145725" w:rsidRPr="00936D61" w:rsidRDefault="00145725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F3F3F3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02633C" w14:textId="77777777" w:rsidR="00CF39EE" w:rsidRPr="00504F79" w:rsidRDefault="00CF39EE" w:rsidP="00504F7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30F1F3D" w14:textId="341270DE" w:rsidR="0070676A" w:rsidRPr="009A669C" w:rsidRDefault="0070676A" w:rsidP="00C325AE">
      <w:pPr>
        <w:autoSpaceDE w:val="0"/>
        <w:autoSpaceDN w:val="0"/>
        <w:adjustRightInd w:val="0"/>
        <w:spacing w:before="240" w:line="240" w:lineRule="atLeast"/>
        <w:rPr>
          <w:sz w:val="22"/>
          <w:szCs w:val="22"/>
        </w:rPr>
      </w:pPr>
      <w:r w:rsidRPr="009A669C">
        <w:rPr>
          <w:sz w:val="22"/>
          <w:szCs w:val="22"/>
        </w:rPr>
        <w:t>V</w:t>
      </w:r>
      <w:r w:rsidR="00BE77D4" w:rsidRPr="009A669C">
        <w:rPr>
          <w:sz w:val="22"/>
          <w:szCs w:val="22"/>
        </w:rPr>
        <w:t> </w:t>
      </w:r>
      <w:r w:rsidR="00C1157A">
        <w:rPr>
          <w:sz w:val="22"/>
          <w:szCs w:val="22"/>
        </w:rPr>
        <w:t>Praze</w:t>
      </w:r>
      <w:r w:rsidR="00001A0D" w:rsidRPr="009A669C">
        <w:rPr>
          <w:sz w:val="22"/>
          <w:szCs w:val="22"/>
        </w:rPr>
        <w:t xml:space="preserve"> </w:t>
      </w:r>
      <w:r w:rsidR="00CF457C" w:rsidRPr="009A669C">
        <w:rPr>
          <w:sz w:val="22"/>
          <w:szCs w:val="22"/>
        </w:rPr>
        <w:fldChar w:fldCharType="begin"/>
      </w:r>
      <w:r w:rsidR="00CF457C" w:rsidRPr="009A669C">
        <w:rPr>
          <w:sz w:val="22"/>
          <w:szCs w:val="22"/>
        </w:rPr>
        <w:instrText xml:space="preserve"> TIME \@ "d. MMMM yyyy" </w:instrText>
      </w:r>
      <w:r w:rsidR="00CF457C" w:rsidRPr="009A669C">
        <w:rPr>
          <w:sz w:val="22"/>
          <w:szCs w:val="22"/>
        </w:rPr>
        <w:fldChar w:fldCharType="separate"/>
      </w:r>
      <w:r w:rsidR="001C7CB5">
        <w:rPr>
          <w:noProof/>
          <w:sz w:val="22"/>
          <w:szCs w:val="22"/>
        </w:rPr>
        <w:t>27. května 2025</w:t>
      </w:r>
      <w:r w:rsidR="00CF457C" w:rsidRPr="009A669C">
        <w:rPr>
          <w:sz w:val="22"/>
          <w:szCs w:val="22"/>
        </w:rPr>
        <w:fldChar w:fldCharType="end"/>
      </w:r>
    </w:p>
    <w:p w14:paraId="5A398F99" w14:textId="3F3BE94C" w:rsidR="00D67986" w:rsidRPr="00D67986" w:rsidRDefault="0070676A" w:rsidP="00C325AE">
      <w:pPr>
        <w:tabs>
          <w:tab w:val="left" w:pos="5387"/>
        </w:tabs>
        <w:autoSpaceDE w:val="0"/>
        <w:autoSpaceDN w:val="0"/>
        <w:adjustRightInd w:val="0"/>
        <w:spacing w:before="240" w:line="240" w:lineRule="atLeast"/>
        <w:rPr>
          <w:bCs/>
          <w:sz w:val="22"/>
          <w:szCs w:val="22"/>
        </w:rPr>
      </w:pPr>
      <w:r w:rsidRPr="009A669C">
        <w:rPr>
          <w:sz w:val="22"/>
          <w:szCs w:val="22"/>
        </w:rPr>
        <w:t xml:space="preserve">Vypracoval: </w:t>
      </w:r>
      <w:r w:rsidR="008E4712">
        <w:rPr>
          <w:sz w:val="22"/>
          <w:szCs w:val="22"/>
        </w:rPr>
        <w:t>Ing. Petr Lysý</w:t>
      </w:r>
    </w:p>
    <w:sectPr w:rsidR="00D67986" w:rsidRPr="00D67986" w:rsidSect="00D25BE8">
      <w:footerReference w:type="default" r:id="rId11"/>
      <w:pgSz w:w="11906" w:h="16838"/>
      <w:pgMar w:top="1418" w:right="1418" w:bottom="1418" w:left="12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C84639" w14:textId="77777777" w:rsidR="00DB0388" w:rsidRDefault="00DB0388">
      <w:r>
        <w:separator/>
      </w:r>
    </w:p>
  </w:endnote>
  <w:endnote w:type="continuationSeparator" w:id="0">
    <w:p w14:paraId="20C035A1" w14:textId="77777777" w:rsidR="00DB0388" w:rsidRDefault="00DB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BEDA" w14:textId="77777777" w:rsidR="00F92E51" w:rsidRDefault="00F92E51" w:rsidP="001848D8">
    <w:pPr>
      <w:pStyle w:val="Zpat"/>
      <w:framePr w:wrap="around" w:vAnchor="text" w:hAnchor="margin" w:xAlign="right" w:y="1"/>
      <w:ind w:right="360"/>
      <w:rPr>
        <w:rStyle w:val="slostrnky"/>
      </w:rPr>
    </w:pPr>
  </w:p>
  <w:p w14:paraId="01AF6965" w14:textId="77777777" w:rsidR="00F92E51" w:rsidRDefault="00F92E51" w:rsidP="001848D8">
    <w:pPr>
      <w:pStyle w:val="Zpat"/>
      <w:framePr w:wrap="auto" w:vAnchor="text" w:hAnchor="margin" w:xAlign="center" w:y="1"/>
      <w:ind w:right="360"/>
      <w:rPr>
        <w:rStyle w:val="slostrnky"/>
      </w:rPr>
    </w:pPr>
  </w:p>
  <w:p w14:paraId="416B0402" w14:textId="77777777" w:rsidR="00F92E51" w:rsidRDefault="00D25BE8" w:rsidP="00D25BE8">
    <w:pPr>
      <w:pStyle w:val="Zpat"/>
      <w:tabs>
        <w:tab w:val="clear" w:pos="4536"/>
      </w:tabs>
      <w:jc w:val="center"/>
    </w:pPr>
    <w:r w:rsidRPr="00CA4A8C">
      <w:rPr>
        <w:sz w:val="22"/>
        <w:szCs w:val="22"/>
      </w:rPr>
      <w:t xml:space="preserve">Stránka </w:t>
    </w:r>
    <w:r w:rsidRPr="00CA4A8C">
      <w:rPr>
        <w:sz w:val="22"/>
        <w:szCs w:val="22"/>
      </w:rPr>
      <w:fldChar w:fldCharType="begin"/>
    </w:r>
    <w:r w:rsidRPr="00CA4A8C">
      <w:rPr>
        <w:sz w:val="22"/>
        <w:szCs w:val="22"/>
      </w:rPr>
      <w:instrText>PAGE</w:instrText>
    </w:r>
    <w:r w:rsidRPr="00CA4A8C">
      <w:rPr>
        <w:sz w:val="22"/>
        <w:szCs w:val="22"/>
      </w:rPr>
      <w:fldChar w:fldCharType="separate"/>
    </w:r>
    <w:r w:rsidR="0018186E">
      <w:rPr>
        <w:noProof/>
        <w:sz w:val="22"/>
        <w:szCs w:val="22"/>
      </w:rPr>
      <w:t>2</w:t>
    </w:r>
    <w:r w:rsidRPr="00CA4A8C">
      <w:rPr>
        <w:sz w:val="22"/>
        <w:szCs w:val="22"/>
      </w:rPr>
      <w:fldChar w:fldCharType="end"/>
    </w:r>
    <w:r w:rsidRPr="00CA4A8C">
      <w:rPr>
        <w:sz w:val="22"/>
        <w:szCs w:val="22"/>
      </w:rPr>
      <w:t xml:space="preserve"> (celkem </w:t>
    </w:r>
    <w:r w:rsidRPr="00CA4A8C">
      <w:rPr>
        <w:sz w:val="22"/>
        <w:szCs w:val="22"/>
      </w:rPr>
      <w:fldChar w:fldCharType="begin"/>
    </w:r>
    <w:r w:rsidRPr="00CA4A8C">
      <w:rPr>
        <w:sz w:val="22"/>
        <w:szCs w:val="22"/>
      </w:rPr>
      <w:instrText>NUMPAGES</w:instrText>
    </w:r>
    <w:r w:rsidRPr="00CA4A8C">
      <w:rPr>
        <w:sz w:val="22"/>
        <w:szCs w:val="22"/>
      </w:rPr>
      <w:fldChar w:fldCharType="separate"/>
    </w:r>
    <w:r w:rsidR="0018186E">
      <w:rPr>
        <w:noProof/>
        <w:sz w:val="22"/>
        <w:szCs w:val="22"/>
      </w:rPr>
      <w:t>2</w:t>
    </w:r>
    <w:r w:rsidRPr="00CA4A8C">
      <w:rPr>
        <w:sz w:val="22"/>
        <w:szCs w:val="22"/>
      </w:rPr>
      <w:fldChar w:fldCharType="end"/>
    </w:r>
    <w:r w:rsidRPr="00CA4A8C">
      <w:rPr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70519" w14:textId="77777777" w:rsidR="00DB0388" w:rsidRDefault="00DB0388">
      <w:r>
        <w:separator/>
      </w:r>
    </w:p>
  </w:footnote>
  <w:footnote w:type="continuationSeparator" w:id="0">
    <w:p w14:paraId="0C1A2BE4" w14:textId="77777777" w:rsidR="00DB0388" w:rsidRDefault="00DB0388">
      <w:r>
        <w:continuationSeparator/>
      </w:r>
    </w:p>
  </w:footnote>
  <w:footnote w:id="1">
    <w:p w14:paraId="7184A896" w14:textId="77777777" w:rsidR="001F09C1" w:rsidRPr="001F09C1" w:rsidRDefault="001F09C1" w:rsidP="001F09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F09C1">
        <w:rPr>
          <w:sz w:val="18"/>
          <w:szCs w:val="18"/>
        </w:rPr>
        <w:t>https://www.horizontevropa.cz/cs/mohlo-by-vas-zajimat/hodnoceni-ramcovych-programu/mezinarodni-studie-monitoring/informace/yiifnews/3328/horizont-evropa-v-polovine-sve-cesty</w:t>
      </w:r>
    </w:p>
    <w:p w14:paraId="0944767C" w14:textId="77777777" w:rsidR="001F09C1" w:rsidRDefault="001F09C1" w:rsidP="001F09C1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6872"/>
    <w:multiLevelType w:val="hybridMultilevel"/>
    <w:tmpl w:val="26223C6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684282A"/>
    <w:multiLevelType w:val="hybridMultilevel"/>
    <w:tmpl w:val="F9D27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3D61BD"/>
    <w:multiLevelType w:val="hybridMultilevel"/>
    <w:tmpl w:val="F162D3BC"/>
    <w:lvl w:ilvl="0" w:tplc="703AFB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735586"/>
    <w:multiLevelType w:val="hybridMultilevel"/>
    <w:tmpl w:val="6C8823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492DDA"/>
    <w:multiLevelType w:val="hybridMultilevel"/>
    <w:tmpl w:val="8B1C517E"/>
    <w:lvl w:ilvl="0" w:tplc="8CC6231E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D6802"/>
    <w:multiLevelType w:val="hybridMultilevel"/>
    <w:tmpl w:val="907414BA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A567AB0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8C1735"/>
    <w:multiLevelType w:val="hybridMultilevel"/>
    <w:tmpl w:val="FF3E7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BC25A0"/>
    <w:multiLevelType w:val="hybridMultilevel"/>
    <w:tmpl w:val="E9FAB77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6C34A3"/>
    <w:multiLevelType w:val="hybridMultilevel"/>
    <w:tmpl w:val="2D50B66E"/>
    <w:lvl w:ilvl="0" w:tplc="B48498E0">
      <w:start w:val="8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BD85044"/>
    <w:multiLevelType w:val="hybridMultilevel"/>
    <w:tmpl w:val="A54A94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7812CE"/>
    <w:multiLevelType w:val="hybridMultilevel"/>
    <w:tmpl w:val="17927F3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8498E0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A7688C"/>
    <w:multiLevelType w:val="hybridMultilevel"/>
    <w:tmpl w:val="EA3200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AB3370"/>
    <w:multiLevelType w:val="hybridMultilevel"/>
    <w:tmpl w:val="230E3D6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793F39FE"/>
    <w:multiLevelType w:val="hybridMultilevel"/>
    <w:tmpl w:val="14D6AE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7395654">
    <w:abstractNumId w:val="7"/>
  </w:num>
  <w:num w:numId="2" w16cid:durableId="1935699289">
    <w:abstractNumId w:val="4"/>
  </w:num>
  <w:num w:numId="3" w16cid:durableId="746851866">
    <w:abstractNumId w:val="12"/>
  </w:num>
  <w:num w:numId="4" w16cid:durableId="1019046967">
    <w:abstractNumId w:val="1"/>
  </w:num>
  <w:num w:numId="5" w16cid:durableId="1138911131">
    <w:abstractNumId w:val="8"/>
  </w:num>
  <w:num w:numId="6" w16cid:durableId="1784684646">
    <w:abstractNumId w:val="11"/>
  </w:num>
  <w:num w:numId="7" w16cid:durableId="693918765">
    <w:abstractNumId w:val="9"/>
  </w:num>
  <w:num w:numId="8" w16cid:durableId="2019504854">
    <w:abstractNumId w:val="5"/>
  </w:num>
  <w:num w:numId="9" w16cid:durableId="79762986">
    <w:abstractNumId w:val="2"/>
  </w:num>
  <w:num w:numId="10" w16cid:durableId="235021662">
    <w:abstractNumId w:val="6"/>
  </w:num>
  <w:num w:numId="11" w16cid:durableId="787166865">
    <w:abstractNumId w:val="10"/>
  </w:num>
  <w:num w:numId="12" w16cid:durableId="402874352">
    <w:abstractNumId w:val="3"/>
  </w:num>
  <w:num w:numId="13" w16cid:durableId="1438520874">
    <w:abstractNumId w:val="14"/>
  </w:num>
  <w:num w:numId="14" w16cid:durableId="2013290728">
    <w:abstractNumId w:val="0"/>
  </w:num>
  <w:num w:numId="15" w16cid:durableId="1903826848">
    <w:abstractNumId w:val="13"/>
  </w:num>
  <w:num w:numId="16" w16cid:durableId="8524577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55A"/>
    <w:rsid w:val="00000A62"/>
    <w:rsid w:val="00001A0D"/>
    <w:rsid w:val="0001122F"/>
    <w:rsid w:val="0001676C"/>
    <w:rsid w:val="00054470"/>
    <w:rsid w:val="00065B4E"/>
    <w:rsid w:val="0008566B"/>
    <w:rsid w:val="00085FD1"/>
    <w:rsid w:val="000C7F33"/>
    <w:rsid w:val="001060B5"/>
    <w:rsid w:val="00110AAF"/>
    <w:rsid w:val="00131E72"/>
    <w:rsid w:val="00134179"/>
    <w:rsid w:val="00141482"/>
    <w:rsid w:val="00145705"/>
    <w:rsid w:val="00145725"/>
    <w:rsid w:val="0014667B"/>
    <w:rsid w:val="00155A4F"/>
    <w:rsid w:val="00162240"/>
    <w:rsid w:val="00171AB3"/>
    <w:rsid w:val="0018186E"/>
    <w:rsid w:val="001848D8"/>
    <w:rsid w:val="00195697"/>
    <w:rsid w:val="001B2EDE"/>
    <w:rsid w:val="001C6818"/>
    <w:rsid w:val="001C7CB5"/>
    <w:rsid w:val="001F09C1"/>
    <w:rsid w:val="001F480B"/>
    <w:rsid w:val="00205CBF"/>
    <w:rsid w:val="00212ADB"/>
    <w:rsid w:val="002132CD"/>
    <w:rsid w:val="00241C0B"/>
    <w:rsid w:val="00254415"/>
    <w:rsid w:val="0026011B"/>
    <w:rsid w:val="00272E3B"/>
    <w:rsid w:val="00280B78"/>
    <w:rsid w:val="00287369"/>
    <w:rsid w:val="00291F07"/>
    <w:rsid w:val="002A7271"/>
    <w:rsid w:val="002E4FD8"/>
    <w:rsid w:val="002F055A"/>
    <w:rsid w:val="002F6431"/>
    <w:rsid w:val="003056ED"/>
    <w:rsid w:val="00313760"/>
    <w:rsid w:val="00323E1D"/>
    <w:rsid w:val="00356562"/>
    <w:rsid w:val="00361758"/>
    <w:rsid w:val="00362743"/>
    <w:rsid w:val="003709E4"/>
    <w:rsid w:val="003A2DD9"/>
    <w:rsid w:val="003A432B"/>
    <w:rsid w:val="003B45E4"/>
    <w:rsid w:val="003C2B67"/>
    <w:rsid w:val="003D0908"/>
    <w:rsid w:val="003D3072"/>
    <w:rsid w:val="003E63EE"/>
    <w:rsid w:val="0040041F"/>
    <w:rsid w:val="00406325"/>
    <w:rsid w:val="00417825"/>
    <w:rsid w:val="00420190"/>
    <w:rsid w:val="00420E21"/>
    <w:rsid w:val="004328A1"/>
    <w:rsid w:val="00493932"/>
    <w:rsid w:val="004A3B5C"/>
    <w:rsid w:val="004C4998"/>
    <w:rsid w:val="004D712E"/>
    <w:rsid w:val="004F00D3"/>
    <w:rsid w:val="00504F79"/>
    <w:rsid w:val="00506235"/>
    <w:rsid w:val="00512B2A"/>
    <w:rsid w:val="005213A9"/>
    <w:rsid w:val="00522DBE"/>
    <w:rsid w:val="005236A3"/>
    <w:rsid w:val="00535576"/>
    <w:rsid w:val="00536298"/>
    <w:rsid w:val="00554876"/>
    <w:rsid w:val="00556ED7"/>
    <w:rsid w:val="00575D7B"/>
    <w:rsid w:val="005901D2"/>
    <w:rsid w:val="00597FEB"/>
    <w:rsid w:val="005A24E8"/>
    <w:rsid w:val="005A278E"/>
    <w:rsid w:val="005A325F"/>
    <w:rsid w:val="005B1037"/>
    <w:rsid w:val="005C2E30"/>
    <w:rsid w:val="005C4247"/>
    <w:rsid w:val="005C610B"/>
    <w:rsid w:val="005E7888"/>
    <w:rsid w:val="005F77BA"/>
    <w:rsid w:val="006007D2"/>
    <w:rsid w:val="00606A8C"/>
    <w:rsid w:val="00614B4B"/>
    <w:rsid w:val="00615FB7"/>
    <w:rsid w:val="00633AD7"/>
    <w:rsid w:val="006418D9"/>
    <w:rsid w:val="00641AB8"/>
    <w:rsid w:val="00650FEC"/>
    <w:rsid w:val="006571E1"/>
    <w:rsid w:val="00660725"/>
    <w:rsid w:val="00693DF0"/>
    <w:rsid w:val="00695335"/>
    <w:rsid w:val="006A0C2A"/>
    <w:rsid w:val="006B6900"/>
    <w:rsid w:val="006C1189"/>
    <w:rsid w:val="006D6FEC"/>
    <w:rsid w:val="006F05BC"/>
    <w:rsid w:val="006F1E98"/>
    <w:rsid w:val="0070676A"/>
    <w:rsid w:val="00766261"/>
    <w:rsid w:val="00787045"/>
    <w:rsid w:val="007A3FC1"/>
    <w:rsid w:val="007A6855"/>
    <w:rsid w:val="007C2824"/>
    <w:rsid w:val="007C4682"/>
    <w:rsid w:val="007E1384"/>
    <w:rsid w:val="007E66FB"/>
    <w:rsid w:val="007E6DCF"/>
    <w:rsid w:val="007F09FD"/>
    <w:rsid w:val="007F0C8F"/>
    <w:rsid w:val="007F4379"/>
    <w:rsid w:val="00804406"/>
    <w:rsid w:val="0080532C"/>
    <w:rsid w:val="008073FE"/>
    <w:rsid w:val="008275AF"/>
    <w:rsid w:val="00840F57"/>
    <w:rsid w:val="008430CB"/>
    <w:rsid w:val="00854B39"/>
    <w:rsid w:val="00856382"/>
    <w:rsid w:val="00864230"/>
    <w:rsid w:val="008777EA"/>
    <w:rsid w:val="008B6D97"/>
    <w:rsid w:val="008D1D31"/>
    <w:rsid w:val="008E3738"/>
    <w:rsid w:val="008E4712"/>
    <w:rsid w:val="008F5714"/>
    <w:rsid w:val="008F5B00"/>
    <w:rsid w:val="008F7AA8"/>
    <w:rsid w:val="009368AF"/>
    <w:rsid w:val="00936D61"/>
    <w:rsid w:val="00942FA3"/>
    <w:rsid w:val="009471E3"/>
    <w:rsid w:val="00952226"/>
    <w:rsid w:val="00966FD5"/>
    <w:rsid w:val="00976B2C"/>
    <w:rsid w:val="009945AB"/>
    <w:rsid w:val="009A3238"/>
    <w:rsid w:val="009A669C"/>
    <w:rsid w:val="009A704C"/>
    <w:rsid w:val="009B1CD8"/>
    <w:rsid w:val="009B2879"/>
    <w:rsid w:val="009B435F"/>
    <w:rsid w:val="009B66D5"/>
    <w:rsid w:val="009C798F"/>
    <w:rsid w:val="009E1CBD"/>
    <w:rsid w:val="009E44F6"/>
    <w:rsid w:val="009F7751"/>
    <w:rsid w:val="00A013DF"/>
    <w:rsid w:val="00A1699D"/>
    <w:rsid w:val="00A16D4F"/>
    <w:rsid w:val="00A17317"/>
    <w:rsid w:val="00A1761E"/>
    <w:rsid w:val="00A20E68"/>
    <w:rsid w:val="00A30C3C"/>
    <w:rsid w:val="00A34CCB"/>
    <w:rsid w:val="00A42809"/>
    <w:rsid w:val="00A641D2"/>
    <w:rsid w:val="00A670A0"/>
    <w:rsid w:val="00A74747"/>
    <w:rsid w:val="00A964FB"/>
    <w:rsid w:val="00AB7A22"/>
    <w:rsid w:val="00AE5927"/>
    <w:rsid w:val="00B00826"/>
    <w:rsid w:val="00B01C80"/>
    <w:rsid w:val="00B028CF"/>
    <w:rsid w:val="00B03196"/>
    <w:rsid w:val="00B12F6B"/>
    <w:rsid w:val="00B62844"/>
    <w:rsid w:val="00B65743"/>
    <w:rsid w:val="00B7016E"/>
    <w:rsid w:val="00B75488"/>
    <w:rsid w:val="00B754CD"/>
    <w:rsid w:val="00B86E89"/>
    <w:rsid w:val="00BA4C21"/>
    <w:rsid w:val="00BA7260"/>
    <w:rsid w:val="00BA7DC0"/>
    <w:rsid w:val="00BB7D02"/>
    <w:rsid w:val="00BC54F4"/>
    <w:rsid w:val="00BD3BB6"/>
    <w:rsid w:val="00BD5685"/>
    <w:rsid w:val="00BE77D4"/>
    <w:rsid w:val="00BF0C29"/>
    <w:rsid w:val="00BF4F65"/>
    <w:rsid w:val="00BF6B3F"/>
    <w:rsid w:val="00C077D5"/>
    <w:rsid w:val="00C1157A"/>
    <w:rsid w:val="00C15A3C"/>
    <w:rsid w:val="00C31F3B"/>
    <w:rsid w:val="00C325AE"/>
    <w:rsid w:val="00C42801"/>
    <w:rsid w:val="00C57D01"/>
    <w:rsid w:val="00C7306B"/>
    <w:rsid w:val="00CC297A"/>
    <w:rsid w:val="00CF39EE"/>
    <w:rsid w:val="00CF457C"/>
    <w:rsid w:val="00D05084"/>
    <w:rsid w:val="00D24FA5"/>
    <w:rsid w:val="00D25BE8"/>
    <w:rsid w:val="00D52FD4"/>
    <w:rsid w:val="00D53649"/>
    <w:rsid w:val="00D6429E"/>
    <w:rsid w:val="00D67326"/>
    <w:rsid w:val="00D67986"/>
    <w:rsid w:val="00D737BB"/>
    <w:rsid w:val="00D91EBB"/>
    <w:rsid w:val="00D934C7"/>
    <w:rsid w:val="00DB0388"/>
    <w:rsid w:val="00DB7A85"/>
    <w:rsid w:val="00DE5945"/>
    <w:rsid w:val="00DE6B25"/>
    <w:rsid w:val="00DF0A70"/>
    <w:rsid w:val="00DF3F5B"/>
    <w:rsid w:val="00E235D5"/>
    <w:rsid w:val="00E25B11"/>
    <w:rsid w:val="00E35ECB"/>
    <w:rsid w:val="00E47DEE"/>
    <w:rsid w:val="00E50641"/>
    <w:rsid w:val="00E83F22"/>
    <w:rsid w:val="00EA3AAA"/>
    <w:rsid w:val="00EB0F86"/>
    <w:rsid w:val="00EB21CE"/>
    <w:rsid w:val="00EB2F29"/>
    <w:rsid w:val="00EE4076"/>
    <w:rsid w:val="00EF511B"/>
    <w:rsid w:val="00F068D3"/>
    <w:rsid w:val="00F40AA2"/>
    <w:rsid w:val="00F47777"/>
    <w:rsid w:val="00F92E51"/>
    <w:rsid w:val="00FD49B5"/>
    <w:rsid w:val="00FD50DA"/>
    <w:rsid w:val="00FE084B"/>
    <w:rsid w:val="00FE1A7B"/>
    <w:rsid w:val="00FF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BB1505"/>
  <w15:chartTrackingRefBased/>
  <w15:docId w15:val="{ECCFFE29-A3A4-4377-B5DD-429FC3D6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028CF"/>
    <w:rPr>
      <w:sz w:val="16"/>
      <w:szCs w:val="16"/>
    </w:rPr>
  </w:style>
  <w:style w:type="paragraph" w:styleId="Textkomente">
    <w:name w:val="annotation text"/>
    <w:basedOn w:val="Normln"/>
    <w:semiHidden/>
    <w:rsid w:val="00B028C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028CF"/>
    <w:rPr>
      <w:b/>
      <w:bCs/>
    </w:rPr>
  </w:style>
  <w:style w:type="table" w:styleId="Mkatabulky">
    <w:name w:val="Table Grid"/>
    <w:basedOn w:val="Normlntabulka"/>
    <w:rsid w:val="005F77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942FA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2FA3"/>
  </w:style>
  <w:style w:type="paragraph" w:styleId="Zhlav">
    <w:name w:val="header"/>
    <w:basedOn w:val="Normln"/>
    <w:rsid w:val="00942FA3"/>
    <w:pPr>
      <w:tabs>
        <w:tab w:val="center" w:pos="4536"/>
        <w:tab w:val="right" w:pos="9072"/>
      </w:tabs>
    </w:pPr>
  </w:style>
  <w:style w:type="character" w:styleId="Nevyeenzmnka">
    <w:name w:val="Unresolved Mention"/>
    <w:basedOn w:val="Standardnpsmoodstavce"/>
    <w:uiPriority w:val="99"/>
    <w:semiHidden/>
    <w:unhideWhenUsed/>
    <w:rsid w:val="005C424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F09C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F09C1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1F09C1"/>
    <w:rPr>
      <w:vertAlign w:val="superscript"/>
    </w:rPr>
  </w:style>
  <w:style w:type="paragraph" w:styleId="Revize">
    <w:name w:val="Revision"/>
    <w:hidden/>
    <w:uiPriority w:val="99"/>
    <w:semiHidden/>
    <w:rsid w:val="003B45E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2702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8185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3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1894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130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E25A0-6F84-4E93-B6AE-82DD7E0C74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E69EC0-0104-41BE-975F-DB5C31281CE4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ED25956B-933B-4939-912C-4F63BDDAE2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CF5D25-72A5-4956-91BC-5CB37BE42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1058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ÚŘAD VLÁDY ČR</vt:lpstr>
    </vt:vector>
  </TitlesOfParts>
  <Company>UVIS</Company>
  <LinksUpToDate>false</LinksUpToDate>
  <CharactersWithSpaces>7510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ÚŘAD VLÁDY ČR</dc:title>
  <dc:subject/>
  <dc:creator>duben</dc:creator>
  <cp:keywords/>
  <cp:lastModifiedBy>Petr Lysý</cp:lastModifiedBy>
  <cp:revision>3</cp:revision>
  <cp:lastPrinted>2004-04-02T05:53:00Z</cp:lastPrinted>
  <dcterms:created xsi:type="dcterms:W3CDTF">2025-05-20T08:03:00Z</dcterms:created>
  <dcterms:modified xsi:type="dcterms:W3CDTF">2025-05-27T10:25:00Z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