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616" w:rsidRDefault="008D7616" w:rsidP="00E10A8E">
      <w:pPr>
        <w:pStyle w:val="Podtitul"/>
        <w:ind w:right="283"/>
        <w:jc w:val="right"/>
        <w:rPr>
          <w:sz w:val="28"/>
          <w:szCs w:val="28"/>
        </w:rPr>
      </w:pPr>
      <w:bookmarkStart w:id="0" w:name="_GoBack"/>
      <w:bookmarkEnd w:id="0"/>
    </w:p>
    <w:p w:rsidR="00E10A8E" w:rsidRPr="00E10A8E" w:rsidRDefault="00706C05" w:rsidP="00E10A8E">
      <w:pPr>
        <w:pStyle w:val="Podtitul"/>
        <w:ind w:right="283"/>
        <w:jc w:val="right"/>
        <w:rPr>
          <w:sz w:val="28"/>
          <w:szCs w:val="28"/>
        </w:rPr>
      </w:pPr>
      <w:r>
        <w:rPr>
          <w:sz w:val="28"/>
          <w:szCs w:val="28"/>
        </w:rPr>
        <w:t>I</w:t>
      </w:r>
      <w:r w:rsidR="00932DF7">
        <w:rPr>
          <w:sz w:val="28"/>
          <w:szCs w:val="28"/>
        </w:rPr>
        <w:t>I</w:t>
      </w:r>
      <w:r w:rsidR="00E10A8E" w:rsidRPr="00E10A8E">
        <w:rPr>
          <w:sz w:val="28"/>
          <w:szCs w:val="28"/>
        </w:rPr>
        <w:t>.</w:t>
      </w:r>
    </w:p>
    <w:p w:rsidR="0019389C" w:rsidRPr="0089063A" w:rsidRDefault="00754A08" w:rsidP="0019389C">
      <w:pPr>
        <w:pStyle w:val="Podtitul"/>
        <w:spacing w:before="3840"/>
        <w:rPr>
          <w:rFonts w:ascii="Times New Roman" w:eastAsia="Arial Unicode MS" w:hAnsi="Times New Roman" w:cs="Times New Roman"/>
          <w:b w:val="0"/>
          <w:iCs w:val="0"/>
          <w:spacing w:val="0"/>
          <w:sz w:val="22"/>
          <w:szCs w:val="22"/>
        </w:rPr>
      </w:pPr>
      <w:r w:rsidRPr="0089063A">
        <w:rPr>
          <w:sz w:val="52"/>
          <w:szCs w:val="56"/>
        </w:rPr>
        <w:t xml:space="preserve">Informace o </w:t>
      </w:r>
      <w:r w:rsidR="00B265D5" w:rsidRPr="0089063A">
        <w:rPr>
          <w:sz w:val="52"/>
          <w:szCs w:val="56"/>
        </w:rPr>
        <w:t xml:space="preserve">stavu přípravy </w:t>
      </w:r>
      <w:r w:rsidR="00C74597" w:rsidRPr="0089063A">
        <w:rPr>
          <w:sz w:val="52"/>
          <w:szCs w:val="56"/>
        </w:rPr>
        <w:t xml:space="preserve">programů </w:t>
      </w:r>
      <w:r w:rsidR="00B265D5" w:rsidRPr="0089063A">
        <w:rPr>
          <w:sz w:val="52"/>
          <w:szCs w:val="56"/>
        </w:rPr>
        <w:t xml:space="preserve">a řešení předběžných podmínek </w:t>
      </w:r>
      <w:r w:rsidR="00C74597" w:rsidRPr="0089063A">
        <w:rPr>
          <w:sz w:val="52"/>
          <w:szCs w:val="56"/>
        </w:rPr>
        <w:t>pro</w:t>
      </w:r>
      <w:r w:rsidR="0019389C" w:rsidRPr="0089063A">
        <w:rPr>
          <w:sz w:val="52"/>
          <w:szCs w:val="56"/>
        </w:rPr>
        <w:t> </w:t>
      </w:r>
      <w:r w:rsidRPr="0089063A">
        <w:rPr>
          <w:sz w:val="52"/>
          <w:szCs w:val="56"/>
        </w:rPr>
        <w:t xml:space="preserve">programové </w:t>
      </w:r>
      <w:r w:rsidR="0019389C" w:rsidRPr="0089063A">
        <w:rPr>
          <w:sz w:val="52"/>
          <w:szCs w:val="56"/>
        </w:rPr>
        <w:t>období </w:t>
      </w:r>
      <w:r w:rsidRPr="0089063A">
        <w:rPr>
          <w:sz w:val="52"/>
          <w:szCs w:val="56"/>
        </w:rPr>
        <w:t>2014–2020</w:t>
      </w:r>
      <w:r w:rsidR="0019389C" w:rsidRPr="0089063A">
        <w:rPr>
          <w:rFonts w:ascii="Times New Roman" w:eastAsia="Arial Unicode MS" w:hAnsi="Times New Roman" w:cs="Times New Roman"/>
          <w:b w:val="0"/>
          <w:iCs w:val="0"/>
          <w:spacing w:val="0"/>
          <w:sz w:val="22"/>
          <w:szCs w:val="22"/>
        </w:rPr>
        <w:t xml:space="preserve"> </w:t>
      </w:r>
    </w:p>
    <w:p w:rsidR="00C74597" w:rsidRDefault="00C74597" w:rsidP="00C74597"/>
    <w:p w:rsidR="00C74597" w:rsidRPr="00085CC8" w:rsidRDefault="00C74597" w:rsidP="00C74597">
      <w:pPr>
        <w:jc w:val="center"/>
        <w:rPr>
          <w:rFonts w:ascii="Arial" w:eastAsiaTheme="majorEastAsia" w:hAnsi="Arial" w:cs="Arial"/>
          <w:b/>
          <w:iCs/>
          <w:spacing w:val="15"/>
          <w:sz w:val="36"/>
          <w:szCs w:val="56"/>
        </w:rPr>
      </w:pPr>
      <w:r w:rsidRPr="00085CC8">
        <w:rPr>
          <w:rFonts w:ascii="Arial" w:eastAsiaTheme="majorEastAsia" w:hAnsi="Arial" w:cs="Arial"/>
          <w:b/>
          <w:iCs/>
          <w:spacing w:val="15"/>
          <w:sz w:val="36"/>
          <w:szCs w:val="56"/>
        </w:rPr>
        <w:t>Pl</w:t>
      </w:r>
      <w:r w:rsidR="00085CC8" w:rsidRPr="00085CC8">
        <w:rPr>
          <w:rFonts w:ascii="Arial" w:eastAsiaTheme="majorEastAsia" w:hAnsi="Arial" w:cs="Arial"/>
          <w:b/>
          <w:iCs/>
          <w:spacing w:val="15"/>
          <w:sz w:val="36"/>
          <w:szCs w:val="56"/>
        </w:rPr>
        <w:t>nění usnesení vlády č. 182/2014</w:t>
      </w:r>
    </w:p>
    <w:p w:rsidR="009D4DEB" w:rsidRPr="009D4DEB" w:rsidRDefault="008204C8" w:rsidP="003736CE">
      <w:pPr>
        <w:pStyle w:val="Podtitul"/>
        <w:spacing w:before="4920"/>
        <w:rPr>
          <w:sz w:val="28"/>
          <w:szCs w:val="28"/>
        </w:rPr>
      </w:pPr>
      <w:r>
        <w:rPr>
          <w:sz w:val="28"/>
          <w:szCs w:val="28"/>
        </w:rPr>
        <w:t>únor</w:t>
      </w:r>
      <w:r w:rsidR="009445BD">
        <w:rPr>
          <w:sz w:val="28"/>
          <w:szCs w:val="28"/>
        </w:rPr>
        <w:t xml:space="preserve"> </w:t>
      </w:r>
      <w:r w:rsidR="002C74E9">
        <w:rPr>
          <w:sz w:val="28"/>
          <w:szCs w:val="28"/>
        </w:rPr>
        <w:t>2015</w:t>
      </w:r>
    </w:p>
    <w:p w:rsidR="003736CE" w:rsidRDefault="009D4DEB">
      <w:pPr>
        <w:spacing w:before="0" w:line="240" w:lineRule="auto"/>
        <w:jc w:val="left"/>
        <w:rPr>
          <w:rFonts w:ascii="Arial" w:eastAsiaTheme="majorEastAsia" w:hAnsi="Arial" w:cs="Arial"/>
          <w:b/>
          <w:bCs/>
          <w:sz w:val="28"/>
          <w:szCs w:val="28"/>
        </w:rPr>
      </w:pPr>
      <w:r>
        <w:br w:type="page"/>
      </w:r>
    </w:p>
    <w:p w:rsidR="00B265D5" w:rsidRDefault="00E358FF" w:rsidP="00C4586D">
      <w:pPr>
        <w:pStyle w:val="Nadpis1"/>
        <w:numPr>
          <w:ilvl w:val="0"/>
          <w:numId w:val="0"/>
        </w:numPr>
        <w:spacing w:after="0"/>
        <w:ind w:left="425" w:hanging="425"/>
      </w:pPr>
      <w:bookmarkStart w:id="1" w:name="_Toc385492639"/>
      <w:bookmarkStart w:id="2" w:name="_Toc388618011"/>
      <w:bookmarkStart w:id="3" w:name="_Toc391300574"/>
      <w:bookmarkStart w:id="4" w:name="_Toc401148474"/>
      <w:bookmarkStart w:id="5" w:name="_Toc401839048"/>
      <w:bookmarkStart w:id="6" w:name="_Toc401842232"/>
      <w:bookmarkStart w:id="7" w:name="_Toc412816332"/>
      <w:r>
        <w:lastRenderedPageBreak/>
        <w:t>O</w:t>
      </w:r>
      <w:r w:rsidR="000716F1">
        <w:t>bsah</w:t>
      </w:r>
      <w:bookmarkEnd w:id="1"/>
      <w:bookmarkEnd w:id="2"/>
      <w:bookmarkEnd w:id="3"/>
      <w:bookmarkEnd w:id="4"/>
      <w:bookmarkEnd w:id="5"/>
      <w:bookmarkEnd w:id="6"/>
      <w:bookmarkEnd w:id="7"/>
    </w:p>
    <w:bookmarkStart w:id="8" w:name="_Toc401148475" w:displacedByCustomXml="next"/>
    <w:bookmarkStart w:id="9" w:name="_Toc385492638" w:displacedByCustomXml="next"/>
    <w:bookmarkStart w:id="10" w:name="_Toc352675895" w:displacedByCustomXml="next"/>
    <w:sdt>
      <w:sdtPr>
        <w:rPr>
          <w:rFonts w:ascii="Times New Roman" w:eastAsia="Arial Unicode MS" w:hAnsi="Times New Roman" w:cs="Times New Roman"/>
          <w:b w:val="0"/>
          <w:bCs w:val="0"/>
          <w:color w:val="auto"/>
          <w:sz w:val="22"/>
          <w:szCs w:val="22"/>
          <w:lang w:eastAsia="cs-CZ"/>
        </w:rPr>
        <w:id w:val="-1186136570"/>
        <w:docPartObj>
          <w:docPartGallery w:val="Table of Contents"/>
          <w:docPartUnique/>
        </w:docPartObj>
      </w:sdtPr>
      <w:sdtEndPr>
        <w:rPr>
          <w:rFonts w:ascii="Arial" w:hAnsi="Arial" w:cs="Arial"/>
        </w:rPr>
      </w:sdtEndPr>
      <w:sdtContent>
        <w:p w:rsidR="008A3716" w:rsidRPr="008A3716" w:rsidRDefault="008A3716" w:rsidP="008A3716">
          <w:pPr>
            <w:pStyle w:val="Nadpisobsahu"/>
            <w:spacing w:before="0" w:after="0"/>
            <w:rPr>
              <w:sz w:val="2"/>
            </w:rPr>
          </w:pPr>
        </w:p>
        <w:p w:rsidR="00C536AB" w:rsidRPr="00C536AB" w:rsidRDefault="008A3716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</w:rPr>
          </w:pPr>
          <w:r w:rsidRPr="00C536AB">
            <w:rPr>
              <w:rFonts w:ascii="Arial" w:hAnsi="Arial" w:cs="Arial"/>
            </w:rPr>
            <w:fldChar w:fldCharType="begin"/>
          </w:r>
          <w:r w:rsidRPr="00C536AB">
            <w:rPr>
              <w:rFonts w:ascii="Arial" w:hAnsi="Arial" w:cs="Arial"/>
            </w:rPr>
            <w:instrText xml:space="preserve"> TOC \o "1-3" \h \z \u </w:instrText>
          </w:r>
          <w:r w:rsidRPr="00C536AB">
            <w:rPr>
              <w:rFonts w:ascii="Arial" w:hAnsi="Arial" w:cs="Arial"/>
            </w:rPr>
            <w:fldChar w:fldCharType="separate"/>
          </w:r>
          <w:hyperlink w:anchor="_Toc412816333" w:history="1">
            <w:r w:rsidR="00C536AB" w:rsidRPr="00C536AB">
              <w:rPr>
                <w:rStyle w:val="Hypertextovodkaz"/>
                <w:rFonts w:ascii="Arial" w:hAnsi="Arial" w:cs="Arial"/>
                <w:noProof/>
              </w:rPr>
              <w:t>Úvod</w:t>
            </w:r>
            <w:r w:rsidR="00C536AB" w:rsidRPr="00C536AB">
              <w:rPr>
                <w:rFonts w:ascii="Arial" w:hAnsi="Arial" w:cs="Arial"/>
                <w:noProof/>
                <w:webHidden/>
              </w:rPr>
              <w:tab/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begin"/>
            </w:r>
            <w:r w:rsidR="00C536AB" w:rsidRPr="00C536AB">
              <w:rPr>
                <w:rFonts w:ascii="Arial" w:hAnsi="Arial" w:cs="Arial"/>
                <w:noProof/>
                <w:webHidden/>
              </w:rPr>
              <w:instrText xml:space="preserve"> PAGEREF _Toc412816333 \h </w:instrText>
            </w:r>
            <w:r w:rsidR="00C536AB" w:rsidRPr="00C536AB">
              <w:rPr>
                <w:rFonts w:ascii="Arial" w:hAnsi="Arial" w:cs="Arial"/>
                <w:noProof/>
                <w:webHidden/>
              </w:rPr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44E1D">
              <w:rPr>
                <w:rFonts w:ascii="Arial" w:hAnsi="Arial" w:cs="Arial"/>
                <w:noProof/>
                <w:webHidden/>
              </w:rPr>
              <w:t>3</w:t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536AB" w:rsidRPr="00C536AB" w:rsidRDefault="00FA6554">
          <w:pPr>
            <w:pStyle w:val="Obsah1"/>
            <w:tabs>
              <w:tab w:val="left" w:pos="440"/>
              <w:tab w:val="right" w:leader="dot" w:pos="9060"/>
            </w:tabs>
            <w:rPr>
              <w:rFonts w:ascii="Arial" w:eastAsiaTheme="minorEastAsia" w:hAnsi="Arial" w:cs="Arial"/>
              <w:noProof/>
            </w:rPr>
          </w:pPr>
          <w:hyperlink w:anchor="_Toc412816334" w:history="1">
            <w:r w:rsidR="00C536AB" w:rsidRPr="00C536AB">
              <w:rPr>
                <w:rStyle w:val="Hypertextovodkaz"/>
                <w:rFonts w:ascii="Arial" w:hAnsi="Arial" w:cs="Arial"/>
                <w:noProof/>
              </w:rPr>
              <w:t>1.</w:t>
            </w:r>
            <w:r w:rsidR="00C536AB" w:rsidRPr="00C536AB">
              <w:rPr>
                <w:rFonts w:ascii="Arial" w:eastAsiaTheme="minorEastAsia" w:hAnsi="Arial" w:cs="Arial"/>
                <w:noProof/>
              </w:rPr>
              <w:tab/>
            </w:r>
            <w:r w:rsidR="00C536AB" w:rsidRPr="00C536AB">
              <w:rPr>
                <w:rStyle w:val="Hypertextovodkaz"/>
                <w:rFonts w:ascii="Arial" w:hAnsi="Arial" w:cs="Arial"/>
                <w:noProof/>
              </w:rPr>
              <w:t>Stav vyjednávání programů s Evropskou komisí</w:t>
            </w:r>
            <w:r w:rsidR="00C536AB" w:rsidRPr="00C536AB">
              <w:rPr>
                <w:rFonts w:ascii="Arial" w:hAnsi="Arial" w:cs="Arial"/>
                <w:noProof/>
                <w:webHidden/>
              </w:rPr>
              <w:tab/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begin"/>
            </w:r>
            <w:r w:rsidR="00C536AB" w:rsidRPr="00C536AB">
              <w:rPr>
                <w:rFonts w:ascii="Arial" w:hAnsi="Arial" w:cs="Arial"/>
                <w:noProof/>
                <w:webHidden/>
              </w:rPr>
              <w:instrText xml:space="preserve"> PAGEREF _Toc412816334 \h </w:instrText>
            </w:r>
            <w:r w:rsidR="00C536AB" w:rsidRPr="00C536AB">
              <w:rPr>
                <w:rFonts w:ascii="Arial" w:hAnsi="Arial" w:cs="Arial"/>
                <w:noProof/>
                <w:webHidden/>
              </w:rPr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44E1D">
              <w:rPr>
                <w:rFonts w:ascii="Arial" w:hAnsi="Arial" w:cs="Arial"/>
                <w:noProof/>
                <w:webHidden/>
              </w:rPr>
              <w:t>4</w:t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536AB" w:rsidRPr="00C536AB" w:rsidRDefault="00FA6554">
          <w:pPr>
            <w:pStyle w:val="Obsah1"/>
            <w:tabs>
              <w:tab w:val="left" w:pos="440"/>
              <w:tab w:val="right" w:leader="dot" w:pos="9060"/>
            </w:tabs>
            <w:rPr>
              <w:rFonts w:ascii="Arial" w:eastAsiaTheme="minorEastAsia" w:hAnsi="Arial" w:cs="Arial"/>
              <w:noProof/>
            </w:rPr>
          </w:pPr>
          <w:hyperlink w:anchor="_Toc412816335" w:history="1">
            <w:r w:rsidR="00C536AB" w:rsidRPr="00C536AB">
              <w:rPr>
                <w:rStyle w:val="Hypertextovodkaz"/>
                <w:rFonts w:ascii="Arial" w:hAnsi="Arial" w:cs="Arial"/>
                <w:noProof/>
              </w:rPr>
              <w:t>2.</w:t>
            </w:r>
            <w:r w:rsidR="00C536AB" w:rsidRPr="00C536AB">
              <w:rPr>
                <w:rFonts w:ascii="Arial" w:eastAsiaTheme="minorEastAsia" w:hAnsi="Arial" w:cs="Arial"/>
                <w:noProof/>
              </w:rPr>
              <w:tab/>
            </w:r>
            <w:r w:rsidR="00C536AB" w:rsidRPr="00C536AB">
              <w:rPr>
                <w:rStyle w:val="Hypertextovodkaz"/>
                <w:rFonts w:ascii="Arial" w:hAnsi="Arial" w:cs="Arial"/>
                <w:noProof/>
              </w:rPr>
              <w:t>Stav připravenosti ČR na zahájení implementace</w:t>
            </w:r>
            <w:r w:rsidR="00C536AB" w:rsidRPr="00C536AB">
              <w:rPr>
                <w:rFonts w:ascii="Arial" w:hAnsi="Arial" w:cs="Arial"/>
                <w:noProof/>
                <w:webHidden/>
              </w:rPr>
              <w:tab/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begin"/>
            </w:r>
            <w:r w:rsidR="00C536AB" w:rsidRPr="00C536AB">
              <w:rPr>
                <w:rFonts w:ascii="Arial" w:hAnsi="Arial" w:cs="Arial"/>
                <w:noProof/>
                <w:webHidden/>
              </w:rPr>
              <w:instrText xml:space="preserve"> PAGEREF _Toc412816335 \h </w:instrText>
            </w:r>
            <w:r w:rsidR="00C536AB" w:rsidRPr="00C536AB">
              <w:rPr>
                <w:rFonts w:ascii="Arial" w:hAnsi="Arial" w:cs="Arial"/>
                <w:noProof/>
                <w:webHidden/>
              </w:rPr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44E1D">
              <w:rPr>
                <w:rFonts w:ascii="Arial" w:hAnsi="Arial" w:cs="Arial"/>
                <w:noProof/>
                <w:webHidden/>
              </w:rPr>
              <w:t>5</w:t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536AB" w:rsidRPr="00C536AB" w:rsidRDefault="00FA6554">
          <w:pPr>
            <w:pStyle w:val="Obsah1"/>
            <w:tabs>
              <w:tab w:val="left" w:pos="440"/>
              <w:tab w:val="right" w:leader="dot" w:pos="9060"/>
            </w:tabs>
            <w:rPr>
              <w:rFonts w:ascii="Arial" w:eastAsiaTheme="minorEastAsia" w:hAnsi="Arial" w:cs="Arial"/>
              <w:noProof/>
            </w:rPr>
          </w:pPr>
          <w:hyperlink w:anchor="_Toc412816336" w:history="1">
            <w:r w:rsidR="00C536AB" w:rsidRPr="00C536AB">
              <w:rPr>
                <w:rStyle w:val="Hypertextovodkaz"/>
                <w:rFonts w:ascii="Arial" w:hAnsi="Arial" w:cs="Arial"/>
                <w:noProof/>
              </w:rPr>
              <w:t>3.</w:t>
            </w:r>
            <w:r w:rsidR="00C536AB" w:rsidRPr="00C536AB">
              <w:rPr>
                <w:rFonts w:ascii="Arial" w:eastAsiaTheme="minorEastAsia" w:hAnsi="Arial" w:cs="Arial"/>
                <w:noProof/>
              </w:rPr>
              <w:tab/>
            </w:r>
            <w:r w:rsidR="00C536AB" w:rsidRPr="00C536AB">
              <w:rPr>
                <w:rStyle w:val="Hypertextovodkaz"/>
                <w:rFonts w:ascii="Arial" w:hAnsi="Arial" w:cs="Arial"/>
                <w:noProof/>
              </w:rPr>
              <w:t>Předběžné podmínky</w:t>
            </w:r>
            <w:r w:rsidR="00C536AB" w:rsidRPr="00C536AB">
              <w:rPr>
                <w:rFonts w:ascii="Arial" w:hAnsi="Arial" w:cs="Arial"/>
                <w:noProof/>
                <w:webHidden/>
              </w:rPr>
              <w:tab/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begin"/>
            </w:r>
            <w:r w:rsidR="00C536AB" w:rsidRPr="00C536AB">
              <w:rPr>
                <w:rFonts w:ascii="Arial" w:hAnsi="Arial" w:cs="Arial"/>
                <w:noProof/>
                <w:webHidden/>
              </w:rPr>
              <w:instrText xml:space="preserve"> PAGEREF _Toc412816336 \h </w:instrText>
            </w:r>
            <w:r w:rsidR="00C536AB" w:rsidRPr="00C536AB">
              <w:rPr>
                <w:rFonts w:ascii="Arial" w:hAnsi="Arial" w:cs="Arial"/>
                <w:noProof/>
                <w:webHidden/>
              </w:rPr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44E1D">
              <w:rPr>
                <w:rFonts w:ascii="Arial" w:hAnsi="Arial" w:cs="Arial"/>
                <w:noProof/>
                <w:webHidden/>
              </w:rPr>
              <w:t>6</w:t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536AB" w:rsidRPr="00C536AB" w:rsidRDefault="00FA6554">
          <w:pPr>
            <w:pStyle w:val="Obsah1"/>
            <w:tabs>
              <w:tab w:val="left" w:pos="440"/>
              <w:tab w:val="right" w:leader="dot" w:pos="9060"/>
            </w:tabs>
            <w:rPr>
              <w:rFonts w:ascii="Arial" w:eastAsiaTheme="minorEastAsia" w:hAnsi="Arial" w:cs="Arial"/>
              <w:noProof/>
            </w:rPr>
          </w:pPr>
          <w:hyperlink w:anchor="_Toc412816346" w:history="1">
            <w:r w:rsidR="00C536AB" w:rsidRPr="00C536AB">
              <w:rPr>
                <w:rStyle w:val="Hypertextovodkaz"/>
                <w:rFonts w:ascii="Arial" w:hAnsi="Arial" w:cs="Arial"/>
                <w:noProof/>
              </w:rPr>
              <w:t>4.</w:t>
            </w:r>
            <w:r w:rsidR="00C536AB" w:rsidRPr="00C536AB">
              <w:rPr>
                <w:rFonts w:ascii="Arial" w:eastAsiaTheme="minorEastAsia" w:hAnsi="Arial" w:cs="Arial"/>
                <w:noProof/>
              </w:rPr>
              <w:tab/>
            </w:r>
            <w:r w:rsidR="00C536AB" w:rsidRPr="00C536AB">
              <w:rPr>
                <w:rStyle w:val="Hypertextovodkaz"/>
                <w:rFonts w:ascii="Arial" w:hAnsi="Arial" w:cs="Arial"/>
                <w:noProof/>
              </w:rPr>
              <w:t>Další oblasti v rámci přípravy 2014–2020</w:t>
            </w:r>
            <w:r w:rsidR="00C536AB" w:rsidRPr="00C536AB">
              <w:rPr>
                <w:rFonts w:ascii="Arial" w:hAnsi="Arial" w:cs="Arial"/>
                <w:noProof/>
                <w:webHidden/>
              </w:rPr>
              <w:tab/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begin"/>
            </w:r>
            <w:r w:rsidR="00C536AB" w:rsidRPr="00C536AB">
              <w:rPr>
                <w:rFonts w:ascii="Arial" w:hAnsi="Arial" w:cs="Arial"/>
                <w:noProof/>
                <w:webHidden/>
              </w:rPr>
              <w:instrText xml:space="preserve"> PAGEREF _Toc412816346 \h </w:instrText>
            </w:r>
            <w:r w:rsidR="00C536AB" w:rsidRPr="00C536AB">
              <w:rPr>
                <w:rFonts w:ascii="Arial" w:hAnsi="Arial" w:cs="Arial"/>
                <w:noProof/>
                <w:webHidden/>
              </w:rPr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44E1D">
              <w:rPr>
                <w:rFonts w:ascii="Arial" w:hAnsi="Arial" w:cs="Arial"/>
                <w:noProof/>
                <w:webHidden/>
              </w:rPr>
              <w:t>12</w:t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536AB" w:rsidRPr="00C536AB" w:rsidRDefault="00FA6554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</w:rPr>
          </w:pPr>
          <w:hyperlink w:anchor="_Toc412816352" w:history="1">
            <w:r w:rsidR="00C536AB" w:rsidRPr="00C536AB">
              <w:rPr>
                <w:rStyle w:val="Hypertextovodkaz"/>
                <w:rFonts w:ascii="Arial" w:hAnsi="Arial" w:cs="Arial"/>
                <w:noProof/>
              </w:rPr>
              <w:t>Seznam zkratek</w:t>
            </w:r>
            <w:r w:rsidR="00C536AB" w:rsidRPr="00C536AB">
              <w:rPr>
                <w:rFonts w:ascii="Arial" w:hAnsi="Arial" w:cs="Arial"/>
                <w:noProof/>
                <w:webHidden/>
              </w:rPr>
              <w:tab/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begin"/>
            </w:r>
            <w:r w:rsidR="00C536AB" w:rsidRPr="00C536AB">
              <w:rPr>
                <w:rFonts w:ascii="Arial" w:hAnsi="Arial" w:cs="Arial"/>
                <w:noProof/>
                <w:webHidden/>
              </w:rPr>
              <w:instrText xml:space="preserve"> PAGEREF _Toc412816352 \h </w:instrText>
            </w:r>
            <w:r w:rsidR="00C536AB" w:rsidRPr="00C536AB">
              <w:rPr>
                <w:rFonts w:ascii="Arial" w:hAnsi="Arial" w:cs="Arial"/>
                <w:noProof/>
                <w:webHidden/>
              </w:rPr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44E1D">
              <w:rPr>
                <w:rFonts w:ascii="Arial" w:hAnsi="Arial" w:cs="Arial"/>
                <w:noProof/>
                <w:webHidden/>
              </w:rPr>
              <w:t>13</w:t>
            </w:r>
            <w:r w:rsidR="00C536AB" w:rsidRPr="00C536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8A3716" w:rsidRPr="00C536AB" w:rsidRDefault="008A3716" w:rsidP="00C4586D">
          <w:pPr>
            <w:spacing w:after="240"/>
            <w:rPr>
              <w:rFonts w:ascii="Arial" w:hAnsi="Arial" w:cs="Arial"/>
            </w:rPr>
          </w:pPr>
          <w:r w:rsidRPr="00C536AB">
            <w:rPr>
              <w:rFonts w:ascii="Arial" w:hAnsi="Arial" w:cs="Arial"/>
              <w:bCs/>
            </w:rPr>
            <w:fldChar w:fldCharType="end"/>
          </w:r>
        </w:p>
      </w:sdtContent>
    </w:sdt>
    <w:p w:rsidR="008A3716" w:rsidRDefault="008A3716">
      <w:pPr>
        <w:spacing w:before="0" w:line="240" w:lineRule="auto"/>
        <w:jc w:val="left"/>
        <w:rPr>
          <w:rFonts w:ascii="Arial" w:eastAsiaTheme="majorEastAsia" w:hAnsi="Arial" w:cs="Arial"/>
          <w:b/>
          <w:bCs/>
          <w:sz w:val="36"/>
          <w:szCs w:val="32"/>
        </w:rPr>
      </w:pPr>
      <w:r>
        <w:br w:type="page"/>
      </w:r>
    </w:p>
    <w:p w:rsidR="00E358FF" w:rsidRPr="00F815CD" w:rsidRDefault="00E358FF" w:rsidP="0014171B">
      <w:pPr>
        <w:pStyle w:val="Nadpis1"/>
        <w:numPr>
          <w:ilvl w:val="0"/>
          <w:numId w:val="0"/>
        </w:numPr>
        <w:ind w:left="426" w:hanging="426"/>
      </w:pPr>
      <w:bookmarkStart w:id="11" w:name="_Toc412816333"/>
      <w:r w:rsidRPr="003736CE">
        <w:lastRenderedPageBreak/>
        <w:t>Úvod</w:t>
      </w:r>
      <w:bookmarkEnd w:id="10"/>
      <w:bookmarkEnd w:id="9"/>
      <w:bookmarkEnd w:id="8"/>
      <w:bookmarkEnd w:id="11"/>
    </w:p>
    <w:p w:rsidR="00C23A06" w:rsidRDefault="00A65BA8" w:rsidP="00C23A06">
      <w:pPr>
        <w:rPr>
          <w:rFonts w:ascii="Arial" w:hAnsi="Arial" w:cs="Arial"/>
          <w:sz w:val="20"/>
          <w:szCs w:val="24"/>
        </w:rPr>
      </w:pPr>
      <w:r w:rsidRPr="003A6035">
        <w:rPr>
          <w:rFonts w:ascii="Arial" w:hAnsi="Arial" w:cs="Arial"/>
          <w:sz w:val="20"/>
          <w:szCs w:val="24"/>
        </w:rPr>
        <w:t>Ministerstvo pro místní rozvoj -</w:t>
      </w:r>
      <w:r w:rsidR="00E358FF" w:rsidRPr="003A6035">
        <w:rPr>
          <w:rFonts w:ascii="Arial" w:hAnsi="Arial" w:cs="Arial"/>
          <w:sz w:val="20"/>
          <w:szCs w:val="24"/>
        </w:rPr>
        <w:t xml:space="preserve"> Národní orgán pro koordinaci (MMR-NOK) v souvislosti s plněním usnesení vlády ze dne 24. března 2014 č. 182 předkládá vládě </w:t>
      </w:r>
      <w:r w:rsidR="00E358FF" w:rsidRPr="003A6035">
        <w:rPr>
          <w:rFonts w:ascii="Arial" w:hAnsi="Arial" w:cs="Arial"/>
          <w:b/>
          <w:i/>
          <w:sz w:val="20"/>
          <w:szCs w:val="24"/>
        </w:rPr>
        <w:t>„Informaci o stavu přípravy programů a řešení předběžných podmínek pro programové období 2014–2020“</w:t>
      </w:r>
      <w:r w:rsidR="0014171B" w:rsidRPr="003A6035">
        <w:rPr>
          <w:rFonts w:ascii="Arial" w:hAnsi="Arial" w:cs="Arial"/>
          <w:b/>
          <w:i/>
          <w:sz w:val="20"/>
          <w:szCs w:val="24"/>
        </w:rPr>
        <w:t xml:space="preserve"> </w:t>
      </w:r>
      <w:r w:rsidR="0014171B" w:rsidRPr="003A6035">
        <w:rPr>
          <w:rFonts w:ascii="Arial" w:hAnsi="Arial" w:cs="Arial"/>
          <w:b/>
          <w:sz w:val="20"/>
          <w:szCs w:val="24"/>
        </w:rPr>
        <w:t>za</w:t>
      </w:r>
      <w:r w:rsidR="0014171B" w:rsidRPr="003A6035">
        <w:rPr>
          <w:rFonts w:ascii="Arial" w:hAnsi="Arial" w:cs="Arial"/>
          <w:sz w:val="20"/>
          <w:szCs w:val="24"/>
        </w:rPr>
        <w:t xml:space="preserve"> </w:t>
      </w:r>
      <w:r w:rsidR="0014171B" w:rsidRPr="003A6035">
        <w:rPr>
          <w:rFonts w:ascii="Arial" w:hAnsi="Arial" w:cs="Arial"/>
          <w:b/>
          <w:sz w:val="20"/>
          <w:szCs w:val="24"/>
        </w:rPr>
        <w:t xml:space="preserve">měsíc </w:t>
      </w:r>
      <w:r w:rsidR="008204C8">
        <w:rPr>
          <w:rFonts w:ascii="Arial" w:hAnsi="Arial" w:cs="Arial"/>
          <w:b/>
          <w:sz w:val="20"/>
          <w:szCs w:val="24"/>
        </w:rPr>
        <w:t>únor</w:t>
      </w:r>
      <w:r w:rsidR="00243DE3">
        <w:rPr>
          <w:rFonts w:ascii="Arial" w:hAnsi="Arial" w:cs="Arial"/>
          <w:b/>
          <w:sz w:val="20"/>
          <w:szCs w:val="24"/>
        </w:rPr>
        <w:t xml:space="preserve"> 2015</w:t>
      </w:r>
      <w:r w:rsidR="00C23A06" w:rsidRPr="003A6035">
        <w:rPr>
          <w:rFonts w:ascii="Arial" w:hAnsi="Arial" w:cs="Arial"/>
          <w:sz w:val="20"/>
          <w:szCs w:val="24"/>
        </w:rPr>
        <w:t xml:space="preserve">. </w:t>
      </w:r>
    </w:p>
    <w:p w:rsidR="003A6035" w:rsidRDefault="003A6035" w:rsidP="00C77D36">
      <w:pPr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Aktuální informace obsažené v předkládaném materiálu se týkají:</w:t>
      </w:r>
    </w:p>
    <w:p w:rsidR="003A6035" w:rsidRDefault="00C77D36" w:rsidP="00E93E67">
      <w:pPr>
        <w:pStyle w:val="Odstavecseseznamem"/>
        <w:numPr>
          <w:ilvl w:val="0"/>
          <w:numId w:val="5"/>
        </w:numPr>
        <w:ind w:left="777" w:hanging="357"/>
        <w:contextualSpacing w:val="0"/>
        <w:rPr>
          <w:rFonts w:ascii="Arial" w:hAnsi="Arial" w:cs="Arial"/>
          <w:sz w:val="20"/>
          <w:szCs w:val="24"/>
        </w:rPr>
      </w:pPr>
      <w:r w:rsidRPr="003A6035">
        <w:rPr>
          <w:rFonts w:ascii="Arial" w:hAnsi="Arial" w:cs="Arial"/>
          <w:sz w:val="20"/>
          <w:szCs w:val="24"/>
        </w:rPr>
        <w:t xml:space="preserve">stavu </w:t>
      </w:r>
      <w:r w:rsidR="00E93E67">
        <w:rPr>
          <w:rFonts w:ascii="Arial" w:hAnsi="Arial" w:cs="Arial"/>
          <w:sz w:val="20"/>
          <w:szCs w:val="24"/>
        </w:rPr>
        <w:t>vyjednávání</w:t>
      </w:r>
      <w:r w:rsidRPr="003A6035">
        <w:rPr>
          <w:rFonts w:ascii="Arial" w:hAnsi="Arial" w:cs="Arial"/>
          <w:sz w:val="20"/>
          <w:szCs w:val="24"/>
        </w:rPr>
        <w:t xml:space="preserve"> </w:t>
      </w:r>
      <w:r w:rsidR="00B22BD2" w:rsidRPr="003A6035">
        <w:rPr>
          <w:rFonts w:ascii="Arial" w:hAnsi="Arial" w:cs="Arial"/>
          <w:sz w:val="20"/>
          <w:szCs w:val="24"/>
        </w:rPr>
        <w:t>programů pro čerpání prostředků z Evropských strukturálních a</w:t>
      </w:r>
      <w:r w:rsidR="00EC3E99">
        <w:rPr>
          <w:rFonts w:ascii="Arial" w:hAnsi="Arial" w:cs="Arial"/>
          <w:sz w:val="20"/>
          <w:szCs w:val="24"/>
        </w:rPr>
        <w:t> </w:t>
      </w:r>
      <w:r w:rsidR="00B22BD2" w:rsidRPr="003A6035">
        <w:rPr>
          <w:rFonts w:ascii="Arial" w:hAnsi="Arial" w:cs="Arial"/>
          <w:sz w:val="20"/>
          <w:szCs w:val="24"/>
        </w:rPr>
        <w:t>investičních fondů (ESI fondy)</w:t>
      </w:r>
      <w:r w:rsidRPr="003A6035">
        <w:rPr>
          <w:rFonts w:ascii="Arial" w:hAnsi="Arial" w:cs="Arial"/>
          <w:sz w:val="20"/>
          <w:szCs w:val="24"/>
        </w:rPr>
        <w:t xml:space="preserve"> </w:t>
      </w:r>
      <w:r w:rsidR="00B22BD2" w:rsidRPr="003A6035">
        <w:rPr>
          <w:rFonts w:ascii="Arial" w:hAnsi="Arial" w:cs="Arial"/>
          <w:sz w:val="20"/>
          <w:szCs w:val="24"/>
        </w:rPr>
        <w:t>s Evropskou komisí</w:t>
      </w:r>
      <w:r w:rsidR="00CF77AE">
        <w:rPr>
          <w:rFonts w:ascii="Arial" w:hAnsi="Arial" w:cs="Arial"/>
          <w:sz w:val="20"/>
          <w:szCs w:val="24"/>
        </w:rPr>
        <w:t xml:space="preserve"> (EK)</w:t>
      </w:r>
      <w:r w:rsidR="00C251D9">
        <w:rPr>
          <w:rFonts w:ascii="Arial" w:hAnsi="Arial" w:cs="Arial"/>
          <w:sz w:val="20"/>
          <w:szCs w:val="24"/>
        </w:rPr>
        <w:t>,</w:t>
      </w:r>
    </w:p>
    <w:p w:rsidR="00C251D9" w:rsidRDefault="00C77D36" w:rsidP="00E93E67">
      <w:pPr>
        <w:pStyle w:val="Odstavecseseznamem"/>
        <w:numPr>
          <w:ilvl w:val="0"/>
          <w:numId w:val="5"/>
        </w:numPr>
        <w:ind w:left="777" w:hanging="357"/>
        <w:contextualSpacing w:val="0"/>
        <w:rPr>
          <w:rFonts w:ascii="Arial" w:hAnsi="Arial" w:cs="Arial"/>
          <w:sz w:val="20"/>
          <w:szCs w:val="24"/>
        </w:rPr>
      </w:pPr>
      <w:r w:rsidRPr="003A6035">
        <w:rPr>
          <w:rFonts w:ascii="Arial" w:hAnsi="Arial" w:cs="Arial"/>
          <w:sz w:val="20"/>
          <w:szCs w:val="24"/>
        </w:rPr>
        <w:t>stavu plnění rizikových předběžných podmínek a </w:t>
      </w:r>
      <w:r w:rsidR="003A6035">
        <w:rPr>
          <w:rFonts w:ascii="Arial" w:hAnsi="Arial" w:cs="Arial"/>
          <w:sz w:val="20"/>
          <w:szCs w:val="24"/>
        </w:rPr>
        <w:t>kroků</w:t>
      </w:r>
      <w:r w:rsidRPr="003A6035">
        <w:rPr>
          <w:rFonts w:ascii="Arial" w:hAnsi="Arial" w:cs="Arial"/>
          <w:sz w:val="20"/>
          <w:szCs w:val="24"/>
        </w:rPr>
        <w:t xml:space="preserve"> přijímaných k jejich naplnění</w:t>
      </w:r>
    </w:p>
    <w:p w:rsidR="00C77D36" w:rsidRDefault="00C251D9" w:rsidP="00E93E67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 dalších oblastí souvisejících s přípravou programového období 2014–2020</w:t>
      </w:r>
      <w:r w:rsidR="00C77D36" w:rsidRPr="003A6035">
        <w:rPr>
          <w:rFonts w:ascii="Arial" w:hAnsi="Arial" w:cs="Arial"/>
          <w:sz w:val="20"/>
          <w:szCs w:val="24"/>
        </w:rPr>
        <w:t xml:space="preserve">. </w:t>
      </w:r>
    </w:p>
    <w:p w:rsidR="001E0ED3" w:rsidRDefault="003A6035" w:rsidP="001E0ED3">
      <w:pPr>
        <w:rPr>
          <w:rFonts w:ascii="Arial" w:hAnsi="Arial" w:cs="Arial"/>
          <w:sz w:val="20"/>
          <w:szCs w:val="24"/>
        </w:rPr>
      </w:pPr>
      <w:r w:rsidRPr="003A6035">
        <w:rPr>
          <w:rFonts w:ascii="Arial" w:hAnsi="Arial" w:cs="Arial"/>
          <w:sz w:val="20"/>
          <w:szCs w:val="24"/>
        </w:rPr>
        <w:t>Materiál obsahuje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Pr="003A6035">
        <w:rPr>
          <w:rFonts w:ascii="Arial" w:hAnsi="Arial" w:cs="Arial"/>
          <w:sz w:val="20"/>
          <w:szCs w:val="24"/>
        </w:rPr>
        <w:t xml:space="preserve">aktuální informace, které se udály od předložení poslední informace za měsíc </w:t>
      </w:r>
      <w:r w:rsidR="008204C8">
        <w:rPr>
          <w:rFonts w:ascii="Arial" w:hAnsi="Arial" w:cs="Arial"/>
          <w:sz w:val="20"/>
          <w:szCs w:val="24"/>
        </w:rPr>
        <w:t>leden</w:t>
      </w:r>
      <w:r w:rsidRPr="003A6035">
        <w:rPr>
          <w:rFonts w:ascii="Arial" w:hAnsi="Arial" w:cs="Arial"/>
          <w:sz w:val="20"/>
          <w:szCs w:val="24"/>
        </w:rPr>
        <w:t xml:space="preserve"> a</w:t>
      </w:r>
      <w:r w:rsidR="00EC3E99">
        <w:rPr>
          <w:rFonts w:ascii="Arial" w:hAnsi="Arial" w:cs="Arial"/>
          <w:b/>
          <w:sz w:val="20"/>
          <w:szCs w:val="24"/>
        </w:rPr>
        <w:t> </w:t>
      </w:r>
      <w:r w:rsidRPr="00CF77AE">
        <w:rPr>
          <w:rFonts w:ascii="Arial" w:hAnsi="Arial" w:cs="Arial"/>
          <w:b/>
          <w:sz w:val="20"/>
          <w:szCs w:val="24"/>
        </w:rPr>
        <w:t>jsou</w:t>
      </w:r>
      <w:r w:rsidR="008A2EC7" w:rsidRPr="00CF77AE">
        <w:rPr>
          <w:rFonts w:ascii="Arial" w:hAnsi="Arial" w:cs="Arial"/>
          <w:b/>
          <w:sz w:val="20"/>
          <w:szCs w:val="24"/>
        </w:rPr>
        <w:t xml:space="preserve"> </w:t>
      </w:r>
      <w:r w:rsidR="008A2EC7" w:rsidRPr="00CF77AE">
        <w:rPr>
          <w:rFonts w:ascii="Arial" w:hAnsi="Arial" w:cs="Arial"/>
          <w:b/>
          <w:sz w:val="20"/>
          <w:szCs w:val="24"/>
          <w:u w:val="single"/>
        </w:rPr>
        <w:t xml:space="preserve">platné ke </w:t>
      </w:r>
      <w:r w:rsidR="008204C8">
        <w:rPr>
          <w:rFonts w:ascii="Arial" w:hAnsi="Arial" w:cs="Arial"/>
          <w:b/>
          <w:sz w:val="20"/>
          <w:szCs w:val="24"/>
          <w:u w:val="single"/>
        </w:rPr>
        <w:t>dni 28</w:t>
      </w:r>
      <w:r w:rsidR="00ED5250" w:rsidRPr="00ED5250">
        <w:rPr>
          <w:rFonts w:ascii="Arial" w:hAnsi="Arial" w:cs="Arial"/>
          <w:b/>
          <w:sz w:val="20"/>
          <w:szCs w:val="24"/>
          <w:u w:val="single"/>
        </w:rPr>
        <w:t xml:space="preserve">. </w:t>
      </w:r>
      <w:r w:rsidR="008204C8">
        <w:rPr>
          <w:rFonts w:ascii="Arial" w:hAnsi="Arial" w:cs="Arial"/>
          <w:b/>
          <w:sz w:val="20"/>
          <w:szCs w:val="24"/>
          <w:u w:val="single"/>
        </w:rPr>
        <w:t>února</w:t>
      </w:r>
      <w:r w:rsidR="008A2EC7" w:rsidRPr="00ED5250">
        <w:rPr>
          <w:rFonts w:ascii="Arial" w:hAnsi="Arial" w:cs="Arial"/>
          <w:b/>
          <w:sz w:val="20"/>
          <w:szCs w:val="24"/>
          <w:u w:val="single"/>
        </w:rPr>
        <w:t xml:space="preserve"> 201</w:t>
      </w:r>
      <w:r w:rsidR="00243DE3">
        <w:rPr>
          <w:rFonts w:ascii="Arial" w:hAnsi="Arial" w:cs="Arial"/>
          <w:b/>
          <w:sz w:val="20"/>
          <w:szCs w:val="24"/>
          <w:u w:val="single"/>
        </w:rPr>
        <w:t>5</w:t>
      </w:r>
      <w:r w:rsidR="008A2EC7" w:rsidRPr="00ED5250">
        <w:rPr>
          <w:rFonts w:ascii="Arial" w:hAnsi="Arial" w:cs="Arial"/>
          <w:sz w:val="20"/>
          <w:szCs w:val="24"/>
        </w:rPr>
        <w:t>.</w:t>
      </w:r>
    </w:p>
    <w:p w:rsidR="00C16334" w:rsidRDefault="00052307" w:rsidP="00C16334">
      <w:pPr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  <w:szCs w:val="24"/>
        </w:rPr>
        <w:t xml:space="preserve">Dne 19. ledna 2015 se uskutečnilo jednání </w:t>
      </w:r>
      <w:r w:rsidR="009936FC">
        <w:rPr>
          <w:rFonts w:ascii="Arial" w:hAnsi="Arial" w:cs="Arial"/>
          <w:color w:val="000000"/>
          <w:sz w:val="20"/>
          <w:szCs w:val="24"/>
        </w:rPr>
        <w:t>s</w:t>
      </w:r>
      <w:r w:rsidR="00C16334">
        <w:rPr>
          <w:rFonts w:ascii="Arial" w:hAnsi="Arial" w:cs="Arial"/>
          <w:color w:val="000000"/>
          <w:sz w:val="20"/>
          <w:szCs w:val="24"/>
        </w:rPr>
        <w:t xml:space="preserve"> EK, jehož hlavním cílem bylo nalezení společného konsenzu k dosud neuzavřeným oblastem v rámci jednotlivých programů. </w:t>
      </w:r>
      <w:r w:rsidR="00E41AC2">
        <w:rPr>
          <w:rFonts w:ascii="Arial" w:hAnsi="Arial" w:cs="Arial"/>
          <w:color w:val="000000"/>
          <w:sz w:val="20"/>
          <w:szCs w:val="24"/>
        </w:rPr>
        <w:t xml:space="preserve">MMR-NOK informoval o závěrech tohoto jednání </w:t>
      </w:r>
      <w:r w:rsidR="00E41AC2">
        <w:rPr>
          <w:rFonts w:ascii="Arial" w:hAnsi="Arial" w:cs="Arial"/>
          <w:sz w:val="20"/>
          <w:szCs w:val="20"/>
        </w:rPr>
        <w:t>na jednání Výboru pro EU na vládní úrovni (V-VEU) dne 23. února 2015.</w:t>
      </w:r>
      <w:r w:rsidR="00C16334">
        <w:rPr>
          <w:rFonts w:ascii="Arial" w:hAnsi="Arial" w:cs="Arial"/>
          <w:color w:val="000000"/>
          <w:sz w:val="20"/>
          <w:szCs w:val="24"/>
        </w:rPr>
        <w:t xml:space="preserve"> Z  jednání </w:t>
      </w:r>
      <w:r w:rsidR="00E41AC2">
        <w:rPr>
          <w:rFonts w:ascii="Arial" w:hAnsi="Arial" w:cs="Arial"/>
          <w:color w:val="000000"/>
          <w:sz w:val="20"/>
          <w:szCs w:val="24"/>
        </w:rPr>
        <w:t xml:space="preserve">s EK </w:t>
      </w:r>
      <w:r w:rsidR="00C16334">
        <w:rPr>
          <w:rFonts w:ascii="Arial" w:hAnsi="Arial" w:cs="Arial"/>
          <w:color w:val="000000"/>
          <w:sz w:val="20"/>
          <w:szCs w:val="24"/>
        </w:rPr>
        <w:t xml:space="preserve">vyplynulo, že </w:t>
      </w:r>
      <w:r w:rsidR="00C16334" w:rsidRPr="00A322DD">
        <w:rPr>
          <w:rFonts w:ascii="Arial" w:hAnsi="Arial" w:cs="Arial"/>
          <w:b/>
          <w:sz w:val="20"/>
        </w:rPr>
        <w:t xml:space="preserve">většina programů </w:t>
      </w:r>
      <w:r w:rsidR="00C16334">
        <w:rPr>
          <w:rFonts w:ascii="Arial" w:hAnsi="Arial" w:cs="Arial"/>
          <w:b/>
          <w:sz w:val="20"/>
        </w:rPr>
        <w:t xml:space="preserve">již </w:t>
      </w:r>
      <w:r w:rsidR="00C16334" w:rsidRPr="00A322DD">
        <w:rPr>
          <w:rFonts w:ascii="Arial" w:hAnsi="Arial" w:cs="Arial"/>
          <w:b/>
          <w:sz w:val="20"/>
        </w:rPr>
        <w:t>je připravena ke schválení</w:t>
      </w:r>
      <w:r w:rsidR="00C16334">
        <w:rPr>
          <w:rFonts w:ascii="Arial" w:hAnsi="Arial" w:cs="Arial"/>
          <w:sz w:val="20"/>
        </w:rPr>
        <w:t xml:space="preserve">, dolaďují se jen technické formulace, z obsahového hlediska je však jejich vyjednávání u konce. </w:t>
      </w:r>
      <w:r w:rsidR="008C6146">
        <w:rPr>
          <w:rFonts w:ascii="Arial" w:hAnsi="Arial" w:cs="Arial"/>
          <w:sz w:val="20"/>
        </w:rPr>
        <w:t>Snahou</w:t>
      </w:r>
      <w:r w:rsidR="00C16334">
        <w:rPr>
          <w:rFonts w:ascii="Arial" w:hAnsi="Arial" w:cs="Arial"/>
          <w:sz w:val="20"/>
        </w:rPr>
        <w:t xml:space="preserve"> České republiky (ČR) </w:t>
      </w:r>
      <w:r w:rsidR="008C6146">
        <w:rPr>
          <w:rFonts w:ascii="Arial" w:hAnsi="Arial" w:cs="Arial"/>
          <w:sz w:val="20"/>
        </w:rPr>
        <w:t xml:space="preserve">je, </w:t>
      </w:r>
      <w:r w:rsidR="008C6146" w:rsidRPr="00052307">
        <w:rPr>
          <w:rFonts w:ascii="Arial" w:hAnsi="Arial" w:cs="Arial"/>
          <w:color w:val="000000"/>
          <w:sz w:val="20"/>
          <w:szCs w:val="24"/>
        </w:rPr>
        <w:t>aby byly programy schváleny co nejdříve a mohla tak začít implementace v celé šíři aktivit zahrnutých v</w:t>
      </w:r>
      <w:r w:rsidR="008C6146">
        <w:rPr>
          <w:rFonts w:ascii="Arial" w:hAnsi="Arial" w:cs="Arial"/>
          <w:color w:val="000000"/>
          <w:sz w:val="20"/>
          <w:szCs w:val="24"/>
        </w:rPr>
        <w:t> </w:t>
      </w:r>
      <w:r w:rsidR="008C6146" w:rsidRPr="00052307">
        <w:rPr>
          <w:rFonts w:ascii="Arial" w:hAnsi="Arial" w:cs="Arial"/>
          <w:color w:val="000000"/>
          <w:sz w:val="20"/>
          <w:szCs w:val="24"/>
        </w:rPr>
        <w:t>jednotlivých programech.</w:t>
      </w:r>
    </w:p>
    <w:p w:rsidR="00C16334" w:rsidRDefault="005F2810" w:rsidP="00C16334">
      <w:pPr>
        <w:spacing w:after="120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hAnsi="Arial" w:cs="Arial"/>
          <w:sz w:val="20"/>
        </w:rPr>
        <w:t>Vzhledem k zpoždění schvalování programů byla s</w:t>
      </w:r>
      <w:r w:rsidR="00C16334">
        <w:rPr>
          <w:rFonts w:ascii="Arial" w:hAnsi="Arial" w:cs="Arial"/>
          <w:sz w:val="20"/>
        </w:rPr>
        <w:t xml:space="preserve"> cílem brzkého vyhlášení výzev vládou schválena </w:t>
      </w:r>
      <w:r w:rsidR="00C16334" w:rsidRPr="0010673D">
        <w:rPr>
          <w:rFonts w:ascii="Arial" w:hAnsi="Arial" w:cs="Arial"/>
          <w:b/>
          <w:sz w:val="20"/>
        </w:rPr>
        <w:t>kritéria</w:t>
      </w:r>
      <w:r w:rsidR="00C16334" w:rsidRPr="0010673D">
        <w:rPr>
          <w:rFonts w:ascii="Arial" w:hAnsi="Arial" w:cs="Arial"/>
          <w:b/>
          <w:sz w:val="20"/>
          <w:szCs w:val="20"/>
        </w:rPr>
        <w:t xml:space="preserve"> pro zahájení implementace programu</w:t>
      </w:r>
      <w:r w:rsidR="00C16334">
        <w:rPr>
          <w:rFonts w:ascii="Arial" w:hAnsi="Arial" w:cs="Arial"/>
          <w:sz w:val="20"/>
          <w:szCs w:val="20"/>
        </w:rPr>
        <w:t xml:space="preserve">, </w:t>
      </w:r>
      <w:r w:rsidR="00C16334" w:rsidRPr="008370AB">
        <w:rPr>
          <w:rFonts w:ascii="Arial" w:hAnsi="Arial" w:cs="Arial"/>
          <w:sz w:val="20"/>
          <w:szCs w:val="20"/>
        </w:rPr>
        <w:t>resp. vyhlašování v</w:t>
      </w:r>
      <w:r w:rsidR="00C16334">
        <w:rPr>
          <w:rFonts w:ascii="Arial" w:hAnsi="Arial" w:cs="Arial"/>
          <w:sz w:val="20"/>
          <w:szCs w:val="20"/>
        </w:rPr>
        <w:t>ýzev před s</w:t>
      </w:r>
      <w:r w:rsidR="008C6146">
        <w:rPr>
          <w:rFonts w:ascii="Arial" w:hAnsi="Arial" w:cs="Arial"/>
          <w:sz w:val="20"/>
          <w:szCs w:val="20"/>
        </w:rPr>
        <w:t xml:space="preserve">chválením programu ze strany EK, a to zejména s ohledem na zkušenosti z programového období 2007–2013, </w:t>
      </w:r>
      <w:r w:rsidR="008C6146" w:rsidRPr="00052307">
        <w:rPr>
          <w:rFonts w:ascii="Arial" w:hAnsi="Arial" w:cs="Arial"/>
          <w:color w:val="000000"/>
          <w:sz w:val="20"/>
          <w:szCs w:val="24"/>
        </w:rPr>
        <w:t>kdy reálně došlo u některých programů ke ztrátě části alokace v důsledku nesplnění pravidla n+3/2</w:t>
      </w:r>
      <w:r w:rsidR="008C6146">
        <w:rPr>
          <w:rFonts w:ascii="Arial" w:hAnsi="Arial" w:cs="Arial"/>
          <w:color w:val="000000"/>
          <w:sz w:val="20"/>
          <w:szCs w:val="24"/>
        </w:rPr>
        <w:t>, a nové požadavky EK na výkonnost systému.</w:t>
      </w:r>
      <w:r w:rsidR="0010673D">
        <w:rPr>
          <w:rFonts w:ascii="Arial" w:hAnsi="Arial" w:cs="Arial"/>
          <w:color w:val="000000"/>
          <w:sz w:val="20"/>
          <w:szCs w:val="24"/>
        </w:rPr>
        <w:t xml:space="preserve"> I </w:t>
      </w:r>
      <w:r w:rsidR="008C6146">
        <w:rPr>
          <w:rFonts w:ascii="Arial" w:hAnsi="Arial" w:cs="Arial"/>
          <w:color w:val="000000"/>
          <w:sz w:val="20"/>
          <w:szCs w:val="24"/>
        </w:rPr>
        <w:t>přesto je však nezbytné, ze</w:t>
      </w:r>
      <w:r>
        <w:rPr>
          <w:rFonts w:ascii="Arial" w:hAnsi="Arial" w:cs="Arial"/>
          <w:color w:val="000000"/>
          <w:sz w:val="20"/>
          <w:szCs w:val="24"/>
        </w:rPr>
        <w:t>jména pro snížení rizika chyb a </w:t>
      </w:r>
      <w:r w:rsidR="008C6146">
        <w:rPr>
          <w:rFonts w:ascii="Arial" w:hAnsi="Arial" w:cs="Arial"/>
          <w:color w:val="000000"/>
          <w:sz w:val="20"/>
          <w:szCs w:val="24"/>
        </w:rPr>
        <w:t>ztráty prostředků, aby implementace byla co nejdříve zahájena na základě</w:t>
      </w:r>
      <w:r w:rsidR="0010673D">
        <w:rPr>
          <w:rFonts w:ascii="Arial" w:hAnsi="Arial" w:cs="Arial"/>
          <w:color w:val="000000"/>
          <w:sz w:val="20"/>
          <w:szCs w:val="24"/>
        </w:rPr>
        <w:t xml:space="preserve"> finálních verzí</w:t>
      </w:r>
      <w:r w:rsidR="008C6146">
        <w:rPr>
          <w:rFonts w:ascii="Arial" w:hAnsi="Arial" w:cs="Arial"/>
          <w:color w:val="000000"/>
          <w:sz w:val="20"/>
          <w:szCs w:val="24"/>
        </w:rPr>
        <w:t xml:space="preserve"> programových dokumentů dojednaných a schválených ze strany EK.</w:t>
      </w:r>
      <w:r w:rsidR="00136371">
        <w:rPr>
          <w:rFonts w:ascii="Arial" w:hAnsi="Arial" w:cs="Arial"/>
          <w:color w:val="000000"/>
          <w:sz w:val="20"/>
          <w:szCs w:val="24"/>
        </w:rPr>
        <w:t xml:space="preserve"> </w:t>
      </w:r>
    </w:p>
    <w:p w:rsidR="004045B0" w:rsidRPr="0079736E" w:rsidRDefault="00136371" w:rsidP="007973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4"/>
        </w:rPr>
        <w:t xml:space="preserve">Z tohoto důvodu také česká strana apelovala na únorovém jednání na zástupce EK, aby byl proces schvalování </w:t>
      </w:r>
      <w:r w:rsidR="00E41AC2">
        <w:rPr>
          <w:rFonts w:ascii="Arial" w:hAnsi="Arial" w:cs="Arial"/>
          <w:color w:val="000000"/>
          <w:sz w:val="20"/>
          <w:szCs w:val="24"/>
        </w:rPr>
        <w:t xml:space="preserve">programů </w:t>
      </w:r>
      <w:r>
        <w:rPr>
          <w:rFonts w:ascii="Arial" w:hAnsi="Arial" w:cs="Arial"/>
          <w:color w:val="000000"/>
          <w:sz w:val="20"/>
          <w:szCs w:val="24"/>
        </w:rPr>
        <w:t xml:space="preserve">co nejvíce urychlen. V případě některých programů jsou všechny věcné </w:t>
      </w:r>
      <w:r w:rsidR="00E41AC2">
        <w:rPr>
          <w:rFonts w:ascii="Arial" w:hAnsi="Arial" w:cs="Arial"/>
          <w:color w:val="000000"/>
          <w:sz w:val="20"/>
          <w:szCs w:val="24"/>
        </w:rPr>
        <w:t xml:space="preserve">oblasti </w:t>
      </w:r>
      <w:r>
        <w:rPr>
          <w:rFonts w:ascii="Arial" w:hAnsi="Arial" w:cs="Arial"/>
          <w:color w:val="000000"/>
          <w:sz w:val="20"/>
          <w:szCs w:val="24"/>
        </w:rPr>
        <w:t>vyřešeny</w:t>
      </w:r>
      <w:r w:rsidR="0079736E">
        <w:rPr>
          <w:rFonts w:ascii="Arial" w:hAnsi="Arial" w:cs="Arial"/>
          <w:color w:val="000000"/>
          <w:sz w:val="20"/>
          <w:szCs w:val="24"/>
        </w:rPr>
        <w:t xml:space="preserve"> a jejich </w:t>
      </w:r>
      <w:r w:rsidR="0079736E" w:rsidRPr="0010673D">
        <w:rPr>
          <w:rFonts w:ascii="Arial" w:hAnsi="Arial" w:cs="Arial"/>
          <w:b/>
          <w:color w:val="000000"/>
          <w:sz w:val="20"/>
          <w:szCs w:val="24"/>
        </w:rPr>
        <w:t xml:space="preserve">schválení tak </w:t>
      </w:r>
      <w:r w:rsidR="00E41AC2">
        <w:rPr>
          <w:rFonts w:ascii="Arial" w:hAnsi="Arial" w:cs="Arial"/>
          <w:b/>
          <w:color w:val="000000"/>
          <w:sz w:val="20"/>
          <w:szCs w:val="24"/>
        </w:rPr>
        <w:t>brání</w:t>
      </w:r>
      <w:r w:rsidR="00E41AC2" w:rsidRPr="0010673D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79736E" w:rsidRPr="0010673D">
        <w:rPr>
          <w:rFonts w:ascii="Arial" w:hAnsi="Arial" w:cs="Arial"/>
          <w:b/>
          <w:color w:val="000000"/>
          <w:sz w:val="20"/>
          <w:szCs w:val="24"/>
        </w:rPr>
        <w:t>požadavky EK v</w:t>
      </w:r>
      <w:r w:rsidR="007960D5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5F2810">
        <w:rPr>
          <w:rFonts w:ascii="Arial" w:hAnsi="Arial" w:cs="Arial"/>
          <w:b/>
          <w:color w:val="000000"/>
          <w:sz w:val="20"/>
          <w:szCs w:val="24"/>
        </w:rPr>
        <w:t>oblasti</w:t>
      </w:r>
      <w:r w:rsidR="0079736E" w:rsidRPr="0010673D">
        <w:rPr>
          <w:rFonts w:ascii="Arial" w:hAnsi="Arial" w:cs="Arial"/>
          <w:b/>
          <w:color w:val="000000"/>
          <w:sz w:val="20"/>
          <w:szCs w:val="24"/>
        </w:rPr>
        <w:t xml:space="preserve"> předběžných podmínek</w:t>
      </w:r>
      <w:r w:rsidR="0079736E">
        <w:rPr>
          <w:rFonts w:ascii="Arial" w:hAnsi="Arial" w:cs="Arial"/>
          <w:color w:val="000000"/>
          <w:sz w:val="20"/>
          <w:szCs w:val="24"/>
        </w:rPr>
        <w:t>.</w:t>
      </w:r>
      <w:r w:rsidR="0079736E">
        <w:rPr>
          <w:rFonts w:ascii="Arial" w:hAnsi="Arial" w:cs="Arial"/>
          <w:sz w:val="20"/>
          <w:szCs w:val="20"/>
        </w:rPr>
        <w:t xml:space="preserve"> Vý</w:t>
      </w:r>
      <w:r w:rsidR="004045B0" w:rsidRPr="00052307">
        <w:rPr>
          <w:rFonts w:ascii="Arial" w:hAnsi="Arial" w:cs="Arial"/>
          <w:color w:val="000000"/>
          <w:sz w:val="20"/>
          <w:szCs w:val="24"/>
        </w:rPr>
        <w:t xml:space="preserve">klad </w:t>
      </w:r>
      <w:r w:rsidR="0079736E">
        <w:rPr>
          <w:rFonts w:ascii="Arial" w:hAnsi="Arial" w:cs="Arial"/>
          <w:color w:val="000000"/>
          <w:sz w:val="20"/>
          <w:szCs w:val="24"/>
        </w:rPr>
        <w:t>EK je z pohledu MMR-NOK však</w:t>
      </w:r>
      <w:r w:rsidR="004045B0" w:rsidRPr="00052307">
        <w:rPr>
          <w:rFonts w:ascii="Arial" w:hAnsi="Arial" w:cs="Arial"/>
          <w:color w:val="000000"/>
          <w:sz w:val="20"/>
          <w:szCs w:val="24"/>
        </w:rPr>
        <w:t xml:space="preserve"> v některých případech velmi široký a zahrnuje témata, která </w:t>
      </w:r>
      <w:r w:rsidR="00E41AC2">
        <w:rPr>
          <w:rFonts w:ascii="Arial" w:hAnsi="Arial" w:cs="Arial"/>
          <w:color w:val="000000"/>
          <w:sz w:val="20"/>
          <w:szCs w:val="24"/>
        </w:rPr>
        <w:t xml:space="preserve">dle </w:t>
      </w:r>
      <w:r w:rsidR="00AE3505">
        <w:rPr>
          <w:rFonts w:ascii="Arial" w:hAnsi="Arial" w:cs="Arial"/>
          <w:color w:val="000000"/>
          <w:sz w:val="20"/>
          <w:szCs w:val="24"/>
        </w:rPr>
        <w:t xml:space="preserve">názoru </w:t>
      </w:r>
      <w:r w:rsidR="00E41AC2">
        <w:rPr>
          <w:rFonts w:ascii="Arial" w:hAnsi="Arial" w:cs="Arial"/>
          <w:color w:val="000000"/>
          <w:sz w:val="20"/>
          <w:szCs w:val="24"/>
        </w:rPr>
        <w:t>ČR nejsou ve vztahu k  předběžným podmínkám relevantní</w:t>
      </w:r>
      <w:r w:rsidR="004045B0" w:rsidRPr="00052307">
        <w:rPr>
          <w:rFonts w:ascii="Arial" w:hAnsi="Arial" w:cs="Arial"/>
          <w:color w:val="000000"/>
          <w:sz w:val="20"/>
          <w:szCs w:val="24"/>
        </w:rPr>
        <w:t xml:space="preserve">. </w:t>
      </w:r>
    </w:p>
    <w:p w:rsidR="0010673D" w:rsidRDefault="0010673D">
      <w:pPr>
        <w:spacing w:before="0" w:line="240" w:lineRule="auto"/>
        <w:jc w:val="left"/>
        <w:rPr>
          <w:rFonts w:ascii="Arial" w:eastAsiaTheme="majorEastAsia" w:hAnsi="Arial" w:cs="Arial"/>
          <w:b/>
          <w:bCs/>
          <w:sz w:val="36"/>
          <w:szCs w:val="32"/>
        </w:rPr>
      </w:pPr>
      <w:r>
        <w:br w:type="page"/>
      </w:r>
    </w:p>
    <w:p w:rsidR="00951AF4" w:rsidRPr="00951AF4" w:rsidRDefault="004F5242" w:rsidP="0025023E">
      <w:pPr>
        <w:pStyle w:val="Nadpis1"/>
        <w:spacing w:after="120"/>
        <w:ind w:left="425" w:hanging="425"/>
      </w:pPr>
      <w:bookmarkStart w:id="12" w:name="_Toc412816334"/>
      <w:bookmarkStart w:id="13" w:name="_Toc401148476"/>
      <w:r>
        <w:lastRenderedPageBreak/>
        <w:t>Stav v</w:t>
      </w:r>
      <w:r w:rsidR="00910F75">
        <w:t xml:space="preserve">yjednávání </w:t>
      </w:r>
      <w:r w:rsidR="00E94B67" w:rsidRPr="002B7CE4">
        <w:t>programů</w:t>
      </w:r>
      <w:r w:rsidR="00153AA0" w:rsidRPr="002B7CE4">
        <w:t xml:space="preserve"> </w:t>
      </w:r>
      <w:r w:rsidR="00F96229">
        <w:t>s Evropskou komisí</w:t>
      </w:r>
      <w:bookmarkEnd w:id="12"/>
      <w:r w:rsidR="00153AA0" w:rsidRPr="002B7CE4">
        <w:t xml:space="preserve"> </w:t>
      </w:r>
      <w:bookmarkStart w:id="14" w:name="_Toc391300587"/>
      <w:bookmarkEnd w:id="13"/>
    </w:p>
    <w:bookmarkEnd w:id="14"/>
    <w:p w:rsidR="00960C83" w:rsidRDefault="00A209D5" w:rsidP="00960C83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AE3505">
        <w:rPr>
          <w:rFonts w:ascii="Arial" w:hAnsi="Arial" w:cs="Arial"/>
          <w:bCs/>
          <w:sz w:val="20"/>
          <w:szCs w:val="20"/>
        </w:rPr>
        <w:t>V</w:t>
      </w:r>
      <w:r w:rsidR="00960C83" w:rsidRPr="00AE3505">
        <w:rPr>
          <w:rFonts w:ascii="Arial" w:hAnsi="Arial" w:cs="Arial"/>
          <w:bCs/>
          <w:sz w:val="20"/>
          <w:szCs w:val="20"/>
        </w:rPr>
        <w:t xml:space="preserve">zhledem k aktuální situaci ve věci služebního zákona </w:t>
      </w:r>
      <w:r w:rsidRPr="00AE3505">
        <w:rPr>
          <w:rFonts w:ascii="Arial" w:hAnsi="Arial" w:cs="Arial"/>
          <w:bCs/>
          <w:sz w:val="20"/>
          <w:szCs w:val="20"/>
        </w:rPr>
        <w:t xml:space="preserve">nebyl </w:t>
      </w:r>
      <w:r w:rsidR="00960C83" w:rsidRPr="00AE3505">
        <w:rPr>
          <w:rFonts w:ascii="Arial" w:hAnsi="Arial" w:cs="Arial"/>
          <w:bCs/>
          <w:sz w:val="20"/>
          <w:szCs w:val="20"/>
        </w:rPr>
        <w:t>žádný program předložený EK přes SFC na konci roku 2014 přesunut do stavu „připraven k přijetí“ a </w:t>
      </w:r>
      <w:r w:rsidR="00CE62B3" w:rsidRPr="00AE3505">
        <w:rPr>
          <w:rFonts w:ascii="Arial" w:hAnsi="Arial" w:cs="Arial"/>
          <w:bCs/>
          <w:sz w:val="20"/>
          <w:szCs w:val="20"/>
        </w:rPr>
        <w:t xml:space="preserve">nebude </w:t>
      </w:r>
      <w:r w:rsidR="00960C83" w:rsidRPr="00AE3505">
        <w:rPr>
          <w:rFonts w:ascii="Arial" w:hAnsi="Arial" w:cs="Arial"/>
          <w:bCs/>
          <w:sz w:val="20"/>
          <w:szCs w:val="20"/>
        </w:rPr>
        <w:t xml:space="preserve">schválen do března 2015. Tzn., že všechny programy budou dotčeny změnou </w:t>
      </w:r>
      <w:r w:rsidR="006368B4">
        <w:rPr>
          <w:rFonts w:ascii="Arial" w:hAnsi="Arial" w:cs="Arial"/>
          <w:bCs/>
          <w:sz w:val="20"/>
          <w:szCs w:val="20"/>
        </w:rPr>
        <w:t>víceletého finančního rámce</w:t>
      </w:r>
      <w:r w:rsidR="00960C83" w:rsidRPr="00AE3505">
        <w:rPr>
          <w:rStyle w:val="Znakapoznpodarou"/>
          <w:rFonts w:ascii="Arial" w:hAnsi="Arial" w:cs="Arial"/>
          <w:bCs/>
        </w:rPr>
        <w:footnoteReference w:id="2"/>
      </w:r>
      <w:r w:rsidR="00960C83" w:rsidRPr="00AE3505">
        <w:rPr>
          <w:rFonts w:ascii="Arial" w:hAnsi="Arial" w:cs="Arial"/>
          <w:bCs/>
          <w:sz w:val="20"/>
          <w:szCs w:val="20"/>
        </w:rPr>
        <w:t xml:space="preserve">. </w:t>
      </w:r>
      <w:bookmarkStart w:id="15" w:name="_Toc409196591"/>
    </w:p>
    <w:p w:rsidR="00960C83" w:rsidRDefault="00960C83" w:rsidP="00960C83">
      <w:pPr>
        <w:spacing w:after="120"/>
        <w:rPr>
          <w:rFonts w:ascii="Arial" w:hAnsi="Arial" w:cs="Arial"/>
          <w:sz w:val="20"/>
          <w:szCs w:val="20"/>
        </w:rPr>
      </w:pPr>
      <w:r w:rsidRPr="0075245E">
        <w:rPr>
          <w:rFonts w:ascii="Arial" w:hAnsi="Arial" w:cs="Arial"/>
          <w:sz w:val="20"/>
          <w:szCs w:val="20"/>
        </w:rPr>
        <w:t xml:space="preserve">Dne </w:t>
      </w:r>
      <w:r w:rsidRPr="00D745B1">
        <w:rPr>
          <w:rFonts w:ascii="Arial" w:hAnsi="Arial" w:cs="Arial"/>
          <w:b/>
          <w:sz w:val="20"/>
          <w:szCs w:val="20"/>
        </w:rPr>
        <w:t>19. února 2015</w:t>
      </w:r>
      <w:r w:rsidRPr="0075245E">
        <w:rPr>
          <w:rFonts w:ascii="Arial" w:hAnsi="Arial" w:cs="Arial"/>
          <w:sz w:val="20"/>
          <w:szCs w:val="20"/>
        </w:rPr>
        <w:t xml:space="preserve"> se v Praze konalo</w:t>
      </w:r>
      <w:r>
        <w:rPr>
          <w:rFonts w:ascii="Arial" w:hAnsi="Arial" w:cs="Arial"/>
          <w:sz w:val="20"/>
          <w:szCs w:val="20"/>
        </w:rPr>
        <w:t xml:space="preserve"> </w:t>
      </w:r>
      <w:r w:rsidRPr="00D745B1">
        <w:rPr>
          <w:rFonts w:ascii="Arial" w:hAnsi="Arial" w:cs="Arial"/>
          <w:b/>
          <w:sz w:val="20"/>
          <w:szCs w:val="20"/>
        </w:rPr>
        <w:t>jednání s</w:t>
      </w:r>
      <w:r w:rsidR="00446968">
        <w:rPr>
          <w:rFonts w:ascii="Arial" w:hAnsi="Arial" w:cs="Arial"/>
          <w:b/>
          <w:sz w:val="20"/>
          <w:szCs w:val="20"/>
        </w:rPr>
        <w:t> </w:t>
      </w:r>
      <w:r w:rsidRPr="00D745B1">
        <w:rPr>
          <w:rFonts w:ascii="Arial" w:hAnsi="Arial" w:cs="Arial"/>
          <w:b/>
          <w:sz w:val="20"/>
          <w:szCs w:val="20"/>
        </w:rPr>
        <w:t>EK</w:t>
      </w:r>
      <w:r w:rsidR="00446968" w:rsidRPr="00446968">
        <w:rPr>
          <w:rFonts w:ascii="Arial" w:hAnsi="Arial" w:cs="Arial"/>
          <w:sz w:val="20"/>
          <w:szCs w:val="20"/>
        </w:rPr>
        <w:t>,</w:t>
      </w:r>
      <w:r w:rsidRPr="0075245E">
        <w:rPr>
          <w:rFonts w:ascii="Arial" w:hAnsi="Arial" w:cs="Arial"/>
          <w:sz w:val="20"/>
          <w:szCs w:val="20"/>
        </w:rPr>
        <w:t xml:space="preserve"> které bylo zaměře</w:t>
      </w:r>
      <w:r w:rsidR="00CE62B3">
        <w:rPr>
          <w:rFonts w:ascii="Arial" w:hAnsi="Arial" w:cs="Arial"/>
          <w:sz w:val="20"/>
          <w:szCs w:val="20"/>
        </w:rPr>
        <w:t>no na </w:t>
      </w:r>
      <w:r>
        <w:rPr>
          <w:rFonts w:ascii="Arial" w:hAnsi="Arial" w:cs="Arial"/>
          <w:sz w:val="20"/>
          <w:szCs w:val="20"/>
        </w:rPr>
        <w:t>otevřené otázky spojené s </w:t>
      </w:r>
      <w:r w:rsidRPr="0075245E">
        <w:rPr>
          <w:rFonts w:ascii="Arial" w:hAnsi="Arial" w:cs="Arial"/>
          <w:sz w:val="20"/>
          <w:szCs w:val="20"/>
        </w:rPr>
        <w:t>programy</w:t>
      </w:r>
      <w:r w:rsidR="00446968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75245E">
        <w:rPr>
          <w:rFonts w:ascii="Arial" w:hAnsi="Arial" w:cs="Arial"/>
          <w:sz w:val="20"/>
          <w:szCs w:val="20"/>
        </w:rPr>
        <w:t xml:space="preserve"> vyjednávanými pro programové období 2014</w:t>
      </w:r>
      <w:r>
        <w:rPr>
          <w:rFonts w:ascii="Arial" w:hAnsi="Arial" w:cs="Arial"/>
          <w:sz w:val="20"/>
          <w:szCs w:val="20"/>
        </w:rPr>
        <w:t>–</w:t>
      </w:r>
      <w:r w:rsidRPr="0075245E">
        <w:rPr>
          <w:rFonts w:ascii="Arial" w:hAnsi="Arial" w:cs="Arial"/>
          <w:sz w:val="20"/>
          <w:szCs w:val="20"/>
        </w:rPr>
        <w:t>2020.</w:t>
      </w:r>
      <w:r>
        <w:rPr>
          <w:rFonts w:ascii="Arial" w:hAnsi="Arial" w:cs="Arial"/>
          <w:sz w:val="20"/>
          <w:szCs w:val="20"/>
        </w:rPr>
        <w:t xml:space="preserve"> </w:t>
      </w:r>
      <w:r w:rsidR="006368B4">
        <w:rPr>
          <w:rFonts w:ascii="Arial" w:hAnsi="Arial" w:cs="Arial"/>
          <w:sz w:val="20"/>
          <w:szCs w:val="20"/>
        </w:rPr>
        <w:t>O</w:t>
      </w:r>
      <w:r w:rsidR="00A209D5">
        <w:rPr>
          <w:rFonts w:ascii="Arial" w:hAnsi="Arial" w:cs="Arial"/>
          <w:sz w:val="20"/>
          <w:szCs w:val="20"/>
        </w:rPr>
        <w:t xml:space="preserve"> výsledcích jednání s EK </w:t>
      </w:r>
      <w:r w:rsidR="006368B4">
        <w:rPr>
          <w:rFonts w:ascii="Arial" w:hAnsi="Arial" w:cs="Arial"/>
          <w:sz w:val="20"/>
          <w:szCs w:val="20"/>
        </w:rPr>
        <w:t>byl informován V-VEU</w:t>
      </w:r>
      <w:r w:rsidR="00654EB4">
        <w:rPr>
          <w:rFonts w:ascii="Arial" w:hAnsi="Arial" w:cs="Arial"/>
          <w:sz w:val="20"/>
          <w:szCs w:val="20"/>
        </w:rPr>
        <w:t xml:space="preserve"> dne 23. </w:t>
      </w:r>
      <w:r w:rsidR="0008516E">
        <w:rPr>
          <w:rFonts w:ascii="Arial" w:hAnsi="Arial" w:cs="Arial"/>
          <w:sz w:val="20"/>
          <w:szCs w:val="20"/>
        </w:rPr>
        <w:t xml:space="preserve">února 2015. </w:t>
      </w:r>
    </w:p>
    <w:p w:rsidR="00654EB4" w:rsidRDefault="00654EB4" w:rsidP="00AE350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Další p</w:t>
      </w:r>
      <w:r w:rsidRPr="00654EB4">
        <w:rPr>
          <w:rFonts w:ascii="Arial" w:hAnsi="Arial" w:cs="Arial"/>
          <w:b/>
          <w:sz w:val="20"/>
          <w:szCs w:val="20"/>
        </w:rPr>
        <w:t>osun</w:t>
      </w:r>
      <w:r w:rsidR="00A6410F" w:rsidRPr="00AE3505">
        <w:rPr>
          <w:rFonts w:ascii="Arial" w:hAnsi="Arial" w:cs="Arial"/>
          <w:b/>
          <w:sz w:val="20"/>
          <w:szCs w:val="20"/>
        </w:rPr>
        <w:t xml:space="preserve"> v přípravě programů</w:t>
      </w:r>
      <w:r>
        <w:rPr>
          <w:rFonts w:ascii="Arial" w:hAnsi="Arial" w:cs="Arial"/>
          <w:sz w:val="20"/>
          <w:szCs w:val="20"/>
        </w:rPr>
        <w:t>:</w:t>
      </w:r>
      <w:r w:rsidR="00A6410F">
        <w:rPr>
          <w:rFonts w:ascii="Arial" w:hAnsi="Arial" w:cs="Arial"/>
          <w:sz w:val="20"/>
          <w:szCs w:val="20"/>
        </w:rPr>
        <w:t xml:space="preserve"> </w:t>
      </w:r>
    </w:p>
    <w:p w:rsidR="00654EB4" w:rsidRDefault="00A6410F" w:rsidP="00AE3505">
      <w:pPr>
        <w:pStyle w:val="Odstavecseseznamem"/>
        <w:numPr>
          <w:ilvl w:val="0"/>
          <w:numId w:val="36"/>
        </w:numPr>
        <w:spacing w:before="0"/>
        <w:ind w:left="714" w:hanging="357"/>
        <w:rPr>
          <w:rFonts w:ascii="Arial" w:hAnsi="Arial" w:cs="Arial"/>
          <w:sz w:val="20"/>
          <w:szCs w:val="20"/>
        </w:rPr>
      </w:pPr>
      <w:r w:rsidRPr="00AE3505">
        <w:rPr>
          <w:rFonts w:ascii="Arial" w:hAnsi="Arial" w:cs="Arial"/>
          <w:b/>
          <w:sz w:val="20"/>
          <w:szCs w:val="20"/>
        </w:rPr>
        <w:t>OP Zaměstnanost</w:t>
      </w:r>
      <w:r w:rsidRPr="00654EB4">
        <w:rPr>
          <w:rFonts w:ascii="Arial" w:hAnsi="Arial" w:cs="Arial"/>
          <w:sz w:val="20"/>
          <w:szCs w:val="20"/>
        </w:rPr>
        <w:t xml:space="preserve"> byl po dohodě s EK finalizován a dne 20. února 2015 zaslán EK prostřednictvím SFC. </w:t>
      </w:r>
    </w:p>
    <w:p w:rsidR="00654EB4" w:rsidRDefault="00A6410F" w:rsidP="00AE3505">
      <w:pPr>
        <w:pStyle w:val="Odstavecseseznamem"/>
        <w:numPr>
          <w:ilvl w:val="0"/>
          <w:numId w:val="36"/>
        </w:numPr>
        <w:spacing w:before="0"/>
        <w:ind w:left="714" w:hanging="357"/>
        <w:rPr>
          <w:rFonts w:ascii="Arial" w:hAnsi="Arial" w:cs="Arial"/>
          <w:sz w:val="20"/>
          <w:szCs w:val="20"/>
        </w:rPr>
      </w:pPr>
      <w:r w:rsidRPr="00654EB4">
        <w:rPr>
          <w:rFonts w:ascii="Arial" w:hAnsi="Arial" w:cs="Arial"/>
          <w:sz w:val="20"/>
          <w:szCs w:val="20"/>
        </w:rPr>
        <w:t xml:space="preserve">Dne 23. února 2015 vláda ČR projednala materiály předložené ze strany řídicích orgánů </w:t>
      </w:r>
      <w:r w:rsidRPr="00AE3505">
        <w:rPr>
          <w:rFonts w:ascii="Arial" w:hAnsi="Arial" w:cs="Arial"/>
          <w:b/>
          <w:sz w:val="20"/>
          <w:szCs w:val="20"/>
        </w:rPr>
        <w:t>OP Podnikání a inovace pro konkurenceschopnost</w:t>
      </w:r>
      <w:r w:rsidRPr="00654EB4">
        <w:rPr>
          <w:rFonts w:ascii="Arial" w:hAnsi="Arial" w:cs="Arial"/>
          <w:sz w:val="20"/>
          <w:szCs w:val="20"/>
        </w:rPr>
        <w:t xml:space="preserve"> (OP PIK) a </w:t>
      </w:r>
      <w:r w:rsidR="0008516E" w:rsidRPr="0008516E">
        <w:rPr>
          <w:rFonts w:ascii="Arial" w:hAnsi="Arial" w:cs="Arial"/>
          <w:b/>
          <w:sz w:val="20"/>
          <w:szCs w:val="20"/>
        </w:rPr>
        <w:t>OP Výzkum, vývoj a</w:t>
      </w:r>
      <w:r w:rsidR="0008516E">
        <w:rPr>
          <w:rFonts w:ascii="Arial" w:hAnsi="Arial" w:cs="Arial"/>
          <w:b/>
          <w:sz w:val="20"/>
          <w:szCs w:val="20"/>
        </w:rPr>
        <w:t> </w:t>
      </w:r>
      <w:r w:rsidRPr="00AE3505">
        <w:rPr>
          <w:rFonts w:ascii="Arial" w:hAnsi="Arial" w:cs="Arial"/>
          <w:b/>
          <w:sz w:val="20"/>
          <w:szCs w:val="20"/>
        </w:rPr>
        <w:t>vzdělávání</w:t>
      </w:r>
      <w:r w:rsidRPr="00654EB4">
        <w:rPr>
          <w:rFonts w:ascii="Arial" w:hAnsi="Arial" w:cs="Arial"/>
          <w:sz w:val="20"/>
          <w:szCs w:val="20"/>
        </w:rPr>
        <w:t xml:space="preserve"> (OP VVV) o navržených změnách zapojení agentury CzechInvest (v případě OP </w:t>
      </w:r>
      <w:r w:rsidR="00654EB4" w:rsidRPr="00654EB4">
        <w:rPr>
          <w:rFonts w:ascii="Arial" w:hAnsi="Arial" w:cs="Arial"/>
          <w:sz w:val="20"/>
          <w:szCs w:val="20"/>
        </w:rPr>
        <w:t>PIK) a</w:t>
      </w:r>
      <w:r w:rsidR="00654EB4">
        <w:rPr>
          <w:rFonts w:ascii="Arial" w:hAnsi="Arial" w:cs="Arial"/>
          <w:sz w:val="20"/>
          <w:szCs w:val="20"/>
        </w:rPr>
        <w:t> </w:t>
      </w:r>
      <w:r w:rsidRPr="00654EB4">
        <w:rPr>
          <w:rFonts w:ascii="Arial" w:hAnsi="Arial" w:cs="Arial"/>
          <w:sz w:val="20"/>
          <w:szCs w:val="20"/>
        </w:rPr>
        <w:t>Technologické agentury ČR (v případě OP VVV) do implementační struktury.</w:t>
      </w:r>
      <w:r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="00654EB4" w:rsidRPr="00654EB4">
        <w:rPr>
          <w:rFonts w:ascii="Arial" w:hAnsi="Arial" w:cs="Arial"/>
          <w:sz w:val="20"/>
          <w:szCs w:val="20"/>
        </w:rPr>
        <w:t xml:space="preserve"> </w:t>
      </w:r>
      <w:r w:rsidR="00763A81">
        <w:rPr>
          <w:rFonts w:ascii="Arial" w:hAnsi="Arial" w:cs="Arial"/>
          <w:sz w:val="20"/>
          <w:szCs w:val="20"/>
        </w:rPr>
        <w:t xml:space="preserve">OP VVV je v tuto chvíli </w:t>
      </w:r>
      <w:r w:rsidR="00AE3505">
        <w:rPr>
          <w:rFonts w:ascii="Arial" w:hAnsi="Arial" w:cs="Arial"/>
          <w:sz w:val="20"/>
          <w:szCs w:val="20"/>
        </w:rPr>
        <w:t xml:space="preserve">také </w:t>
      </w:r>
      <w:r w:rsidR="00763A81">
        <w:rPr>
          <w:rFonts w:ascii="Arial" w:hAnsi="Arial" w:cs="Arial"/>
          <w:sz w:val="20"/>
          <w:szCs w:val="20"/>
        </w:rPr>
        <w:t xml:space="preserve">finalizován v SFC k odeslání EK. </w:t>
      </w:r>
    </w:p>
    <w:p w:rsidR="00A6410F" w:rsidRPr="00654EB4" w:rsidRDefault="00654EB4" w:rsidP="00AE3505">
      <w:pPr>
        <w:pStyle w:val="Odstavecseseznamem"/>
        <w:numPr>
          <w:ilvl w:val="0"/>
          <w:numId w:val="36"/>
        </w:numPr>
        <w:spacing w:before="0"/>
        <w:ind w:left="714" w:hanging="357"/>
        <w:rPr>
          <w:rFonts w:ascii="Arial" w:hAnsi="Arial" w:cs="Arial"/>
          <w:sz w:val="20"/>
          <w:szCs w:val="20"/>
        </w:rPr>
      </w:pPr>
      <w:r w:rsidRPr="00654EB4">
        <w:rPr>
          <w:rFonts w:ascii="Arial" w:hAnsi="Arial" w:cs="Arial"/>
          <w:sz w:val="20"/>
          <w:szCs w:val="20"/>
        </w:rPr>
        <w:t>Řídicí orgán</w:t>
      </w:r>
      <w:r>
        <w:rPr>
          <w:rFonts w:ascii="Arial" w:hAnsi="Arial" w:cs="Arial"/>
          <w:sz w:val="20"/>
          <w:szCs w:val="20"/>
        </w:rPr>
        <w:t xml:space="preserve"> </w:t>
      </w:r>
      <w:r w:rsidRPr="00AE3505">
        <w:rPr>
          <w:rFonts w:ascii="Arial" w:hAnsi="Arial" w:cs="Arial"/>
          <w:b/>
          <w:sz w:val="20"/>
          <w:szCs w:val="20"/>
        </w:rPr>
        <w:t>OP Doprava</w:t>
      </w:r>
      <w:r>
        <w:rPr>
          <w:rFonts w:ascii="Arial" w:hAnsi="Arial" w:cs="Arial"/>
          <w:sz w:val="20"/>
          <w:szCs w:val="20"/>
        </w:rPr>
        <w:t xml:space="preserve"> zaslal EK podklad ke Strategickým plánům udržitelné městské dopravy, které si EK na jednání 19. února 2015 vyžádala.</w:t>
      </w:r>
    </w:p>
    <w:p w:rsidR="00654EB4" w:rsidRPr="00654EB4" w:rsidRDefault="00654EB4" w:rsidP="00654E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rámci těchto i ostatních programů </w:t>
      </w:r>
      <w:r w:rsidR="0008516E" w:rsidRPr="00AE3505">
        <w:rPr>
          <w:rFonts w:ascii="Arial" w:hAnsi="Arial" w:cs="Arial"/>
          <w:b/>
          <w:sz w:val="20"/>
          <w:szCs w:val="20"/>
        </w:rPr>
        <w:t>pokračují</w:t>
      </w:r>
      <w:r w:rsidRPr="00AE3505">
        <w:rPr>
          <w:rFonts w:ascii="Arial" w:hAnsi="Arial" w:cs="Arial"/>
          <w:b/>
          <w:sz w:val="20"/>
          <w:szCs w:val="20"/>
        </w:rPr>
        <w:t xml:space="preserve"> technická jednání s EK</w:t>
      </w:r>
      <w:r>
        <w:rPr>
          <w:rFonts w:ascii="Arial" w:hAnsi="Arial" w:cs="Arial"/>
          <w:sz w:val="20"/>
          <w:szCs w:val="20"/>
        </w:rPr>
        <w:t xml:space="preserve"> k oblastem</w:t>
      </w:r>
      <w:r w:rsidR="0008516E">
        <w:rPr>
          <w:rFonts w:ascii="Arial" w:hAnsi="Arial" w:cs="Arial"/>
          <w:sz w:val="20"/>
          <w:szCs w:val="20"/>
        </w:rPr>
        <w:t>, které byly na </w:t>
      </w:r>
      <w:r w:rsidRPr="00654EB4">
        <w:rPr>
          <w:rFonts w:ascii="Arial" w:hAnsi="Arial" w:cs="Arial"/>
          <w:sz w:val="20"/>
          <w:szCs w:val="20"/>
        </w:rPr>
        <w:t xml:space="preserve">zmíněném jednání </w:t>
      </w:r>
      <w:r w:rsidR="0008516E">
        <w:rPr>
          <w:rFonts w:ascii="Arial" w:hAnsi="Arial" w:cs="Arial"/>
          <w:sz w:val="20"/>
          <w:szCs w:val="20"/>
        </w:rPr>
        <w:t xml:space="preserve">s EK </w:t>
      </w:r>
      <w:r>
        <w:rPr>
          <w:rFonts w:ascii="Arial" w:hAnsi="Arial" w:cs="Arial"/>
          <w:sz w:val="20"/>
          <w:szCs w:val="20"/>
        </w:rPr>
        <w:t>vymezeny</w:t>
      </w:r>
      <w:r w:rsidRPr="00654EB4">
        <w:rPr>
          <w:rFonts w:ascii="Arial" w:hAnsi="Arial" w:cs="Arial"/>
          <w:sz w:val="20"/>
          <w:szCs w:val="20"/>
        </w:rPr>
        <w:t xml:space="preserve">. Nadále jsou také </w:t>
      </w:r>
      <w:r w:rsidRPr="00AE3505">
        <w:rPr>
          <w:rFonts w:ascii="Arial" w:hAnsi="Arial" w:cs="Arial"/>
          <w:b/>
          <w:sz w:val="20"/>
          <w:szCs w:val="20"/>
        </w:rPr>
        <w:t>projednávány dva programy, které mají dosud otevřené oblasti</w:t>
      </w:r>
      <w:r w:rsidRPr="00654EB4">
        <w:rPr>
          <w:rFonts w:ascii="Arial" w:hAnsi="Arial" w:cs="Arial"/>
          <w:sz w:val="20"/>
          <w:szCs w:val="20"/>
        </w:rPr>
        <w:t>, konkrétně se jedná o OP Praha - pól růstu ČR a OP Technická pomoc.</w:t>
      </w:r>
    </w:p>
    <w:p w:rsidR="00654EB4" w:rsidRDefault="00654EB4" w:rsidP="00654EB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 bylo uvedeno v materiálu předloženém na jednání V-VEU 23. února 2015, EK</w:t>
      </w:r>
      <w:r w:rsidRPr="00671B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jednání 19. února 2015 </w:t>
      </w:r>
      <w:r w:rsidRPr="00671BBA">
        <w:rPr>
          <w:rFonts w:ascii="Arial" w:hAnsi="Arial" w:cs="Arial"/>
          <w:sz w:val="20"/>
          <w:szCs w:val="20"/>
        </w:rPr>
        <w:t>zdůraznila, že je vhodné, aby jí byly programy zasílány oficiálně přes SFC až poté, co</w:t>
      </w:r>
      <w:r w:rsidR="0008516E">
        <w:rPr>
          <w:rFonts w:ascii="Arial" w:hAnsi="Arial" w:cs="Arial"/>
          <w:sz w:val="20"/>
          <w:szCs w:val="20"/>
        </w:rPr>
        <w:t> </w:t>
      </w:r>
      <w:r w:rsidRPr="00671BBA">
        <w:rPr>
          <w:rFonts w:ascii="Arial" w:hAnsi="Arial" w:cs="Arial"/>
          <w:sz w:val="20"/>
          <w:szCs w:val="20"/>
        </w:rPr>
        <w:t>budou všechny problémové oblasti vyjasněny. Programy se tak vyhnou případným problémům v</w:t>
      </w:r>
      <w:r w:rsidR="0008516E">
        <w:rPr>
          <w:rFonts w:ascii="Arial" w:hAnsi="Arial" w:cs="Arial"/>
          <w:sz w:val="20"/>
          <w:szCs w:val="20"/>
        </w:rPr>
        <w:t> </w:t>
      </w:r>
      <w:r w:rsidRPr="00671BBA">
        <w:rPr>
          <w:rFonts w:ascii="Arial" w:hAnsi="Arial" w:cs="Arial"/>
          <w:sz w:val="20"/>
          <w:szCs w:val="20"/>
        </w:rPr>
        <w:t>rámci posuzování programu v</w:t>
      </w:r>
      <w:r>
        <w:rPr>
          <w:rFonts w:ascii="Arial" w:hAnsi="Arial" w:cs="Arial"/>
          <w:sz w:val="20"/>
          <w:szCs w:val="20"/>
        </w:rPr>
        <w:t>e</w:t>
      </w:r>
      <w:r w:rsidRPr="00671B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vnitřním připomínkovém procesu (tzv. </w:t>
      </w:r>
      <w:r w:rsidRPr="00671BBA">
        <w:rPr>
          <w:rFonts w:ascii="Arial" w:hAnsi="Arial" w:cs="Arial"/>
          <w:sz w:val="20"/>
          <w:szCs w:val="20"/>
        </w:rPr>
        <w:t>inter</w:t>
      </w:r>
      <w:r>
        <w:rPr>
          <w:rFonts w:ascii="Arial" w:hAnsi="Arial" w:cs="Arial"/>
          <w:sz w:val="20"/>
          <w:szCs w:val="20"/>
        </w:rPr>
        <w:t>-</w:t>
      </w:r>
      <w:r w:rsidRPr="00671BBA">
        <w:rPr>
          <w:rFonts w:ascii="Arial" w:hAnsi="Arial" w:cs="Arial"/>
          <w:sz w:val="20"/>
          <w:szCs w:val="20"/>
        </w:rPr>
        <w:t xml:space="preserve">service </w:t>
      </w:r>
      <w:r>
        <w:rPr>
          <w:rFonts w:ascii="Arial" w:hAnsi="Arial" w:cs="Arial"/>
          <w:sz w:val="20"/>
          <w:szCs w:val="20"/>
        </w:rPr>
        <w:t>consultation) EK</w:t>
      </w:r>
      <w:r w:rsidRPr="00671BBA">
        <w:rPr>
          <w:rFonts w:ascii="Arial" w:hAnsi="Arial" w:cs="Arial"/>
          <w:sz w:val="20"/>
          <w:szCs w:val="20"/>
        </w:rPr>
        <w:t>.</w:t>
      </w:r>
      <w:r w:rsidRPr="00654EB4">
        <w:rPr>
          <w:rFonts w:ascii="Arial" w:hAnsi="Arial" w:cs="Arial"/>
          <w:sz w:val="20"/>
          <w:szCs w:val="20"/>
        </w:rPr>
        <w:t xml:space="preserve"> </w:t>
      </w:r>
      <w:r w:rsidRPr="00AE3505">
        <w:rPr>
          <w:rFonts w:ascii="Arial" w:hAnsi="Arial" w:cs="Arial"/>
          <w:b/>
          <w:sz w:val="20"/>
          <w:szCs w:val="20"/>
        </w:rPr>
        <w:t>Programy proto budou EK znovu oficiálně zaslány prostřednictvím SFC poté, co EK tento krok odsouhlasí</w:t>
      </w:r>
      <w:r>
        <w:rPr>
          <w:rFonts w:ascii="Arial" w:hAnsi="Arial" w:cs="Arial"/>
          <w:sz w:val="20"/>
          <w:szCs w:val="20"/>
        </w:rPr>
        <w:t xml:space="preserve"> na základě doladění jednotlivých technických záležitostí.</w:t>
      </w:r>
    </w:p>
    <w:p w:rsidR="0008516E" w:rsidRDefault="00654EB4" w:rsidP="00AE350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 se týče </w:t>
      </w:r>
      <w:r w:rsidRPr="00AE3505">
        <w:rPr>
          <w:rFonts w:ascii="Arial" w:hAnsi="Arial" w:cs="Arial"/>
          <w:b/>
          <w:sz w:val="20"/>
          <w:szCs w:val="20"/>
        </w:rPr>
        <w:t>programů, které nebyly předmětem jednání s EK 19. února 2015</w:t>
      </w:r>
      <w:r w:rsidR="0008516E">
        <w:rPr>
          <w:rFonts w:ascii="Arial" w:hAnsi="Arial" w:cs="Arial"/>
          <w:sz w:val="20"/>
          <w:szCs w:val="20"/>
        </w:rPr>
        <w:t>:</w:t>
      </w:r>
    </w:p>
    <w:p w:rsidR="0008516E" w:rsidRDefault="0008516E" w:rsidP="00AE3505">
      <w:pPr>
        <w:pStyle w:val="Odstavecseseznamem"/>
        <w:numPr>
          <w:ilvl w:val="0"/>
          <w:numId w:val="37"/>
        </w:numPr>
        <w:spacing w:before="0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E3505">
        <w:rPr>
          <w:rFonts w:ascii="Arial" w:hAnsi="Arial" w:cs="Arial"/>
          <w:sz w:val="20"/>
          <w:szCs w:val="20"/>
        </w:rPr>
        <w:t xml:space="preserve">láda již byla informována, že </w:t>
      </w:r>
      <w:r w:rsidRPr="00AE3505">
        <w:rPr>
          <w:rFonts w:ascii="Arial" w:hAnsi="Arial" w:cs="Arial"/>
          <w:b/>
          <w:sz w:val="20"/>
          <w:szCs w:val="20"/>
        </w:rPr>
        <w:t>OP Rybářství</w:t>
      </w:r>
      <w:r w:rsidRPr="00AE3505">
        <w:rPr>
          <w:rFonts w:ascii="Arial" w:hAnsi="Arial" w:cs="Arial"/>
          <w:sz w:val="20"/>
          <w:szCs w:val="20"/>
        </w:rPr>
        <w:t xml:space="preserve"> by dokončen, nicméně nemůže být oficiálně schválen do té doby, než bude vyřešena problematika služebního zákona. </w:t>
      </w:r>
    </w:p>
    <w:p w:rsidR="0008516E" w:rsidRDefault="0008516E" w:rsidP="00AE3505">
      <w:pPr>
        <w:pStyle w:val="Odstavecseseznamem"/>
        <w:numPr>
          <w:ilvl w:val="0"/>
          <w:numId w:val="37"/>
        </w:numPr>
        <w:spacing w:before="0"/>
        <w:ind w:left="714" w:hanging="357"/>
        <w:rPr>
          <w:rFonts w:ascii="Arial" w:hAnsi="Arial" w:cs="Arial"/>
          <w:sz w:val="20"/>
          <w:szCs w:val="20"/>
        </w:rPr>
      </w:pPr>
      <w:r w:rsidRPr="00AE3505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AE3505">
        <w:rPr>
          <w:rFonts w:ascii="Arial" w:hAnsi="Arial" w:cs="Arial"/>
          <w:sz w:val="20"/>
          <w:szCs w:val="20"/>
        </w:rPr>
        <w:t>případě</w:t>
      </w:r>
      <w:r>
        <w:rPr>
          <w:rFonts w:ascii="Arial" w:hAnsi="Arial" w:cs="Arial"/>
          <w:sz w:val="20"/>
          <w:szCs w:val="20"/>
        </w:rPr>
        <w:t xml:space="preserve"> </w:t>
      </w:r>
      <w:r w:rsidR="00654EB4" w:rsidRPr="00AE3505">
        <w:rPr>
          <w:rFonts w:ascii="Arial" w:hAnsi="Arial" w:cs="Arial"/>
          <w:b/>
          <w:sz w:val="20"/>
          <w:szCs w:val="20"/>
        </w:rPr>
        <w:t>Programu rozvoje venkova</w:t>
      </w:r>
      <w:r w:rsidRPr="00AE3505">
        <w:rPr>
          <w:rFonts w:ascii="Arial" w:hAnsi="Arial" w:cs="Arial"/>
          <w:sz w:val="20"/>
          <w:szCs w:val="20"/>
        </w:rPr>
        <w:t xml:space="preserve"> nadále pokračují jednání s EK. Proběhla</w:t>
      </w:r>
      <w:r w:rsidR="00654EB4" w:rsidRPr="00AE3505">
        <w:rPr>
          <w:rFonts w:ascii="Arial" w:hAnsi="Arial" w:cs="Arial"/>
          <w:sz w:val="20"/>
          <w:szCs w:val="20"/>
        </w:rPr>
        <w:t xml:space="preserve"> další videokonzultace k plošným opatřením</w:t>
      </w:r>
      <w:r w:rsidRPr="00AE3505">
        <w:rPr>
          <w:rFonts w:ascii="Arial" w:hAnsi="Arial" w:cs="Arial"/>
          <w:sz w:val="20"/>
          <w:szCs w:val="20"/>
        </w:rPr>
        <w:t xml:space="preserve"> dne 18. února 2015, strategické kapitoly a kapitoly horizontálních témat (jako předběžné podmínky, hraniční oblasti, vazba na strategie atd.) byly projednány na jednání 20. února 2015. </w:t>
      </w:r>
      <w:r w:rsidRPr="00AD5459">
        <w:rPr>
          <w:rFonts w:ascii="Arial" w:hAnsi="Arial" w:cs="Arial"/>
          <w:bCs/>
          <w:sz w:val="20"/>
          <w:szCs w:val="20"/>
        </w:rPr>
        <w:t>Předpokládaný termín odeslání programu je v březnu 2015.</w:t>
      </w:r>
    </w:p>
    <w:p w:rsidR="0008516E" w:rsidRPr="00AE3505" w:rsidRDefault="0008516E" w:rsidP="00AE3505">
      <w:pPr>
        <w:pStyle w:val="Odstavecseseznamem"/>
        <w:numPr>
          <w:ilvl w:val="0"/>
          <w:numId w:val="37"/>
        </w:numPr>
        <w:spacing w:before="0"/>
        <w:ind w:left="714" w:hanging="357"/>
        <w:rPr>
          <w:rFonts w:ascii="Arial" w:hAnsi="Arial" w:cs="Arial"/>
          <w:sz w:val="20"/>
          <w:szCs w:val="20"/>
        </w:rPr>
      </w:pPr>
      <w:r w:rsidRPr="00AE3505">
        <w:rPr>
          <w:rFonts w:ascii="Arial" w:hAnsi="Arial" w:cs="Arial"/>
          <w:b/>
          <w:sz w:val="20"/>
          <w:szCs w:val="20"/>
        </w:rPr>
        <w:t>OP Přeshraniční spolupráce Česká republika - Polská republika</w:t>
      </w:r>
      <w:r w:rsidRPr="00AE3505">
        <w:rPr>
          <w:rFonts w:ascii="Arial" w:hAnsi="Arial" w:cs="Arial"/>
          <w:sz w:val="20"/>
          <w:szCs w:val="20"/>
        </w:rPr>
        <w:t xml:space="preserve"> je nyní ve fázi, kdy jsou vypořádávány připomínky EK. Hlavní připomínky EK se týkaly realizace silniční infrastruktury, požadavku na doplnění několika nových výstupových indikátorů a doplnění zásad pro výběr projektů u některých prioritních os. V současnosti probíhá jednání v Polsku, kde má být vypořádání odsouhlaseno v rámci pracovní skupiny pro přípravu programu. Následně bude odesláno neoficiálně EK k vyjádření. </w:t>
      </w:r>
      <w:r w:rsidRPr="00AE3505">
        <w:rPr>
          <w:rFonts w:ascii="Arial" w:hAnsi="Arial" w:cs="Arial"/>
          <w:b/>
          <w:sz w:val="20"/>
          <w:szCs w:val="20"/>
        </w:rPr>
        <w:t>Nejsou indikovány žádné zásadní problematické oblasti</w:t>
      </w:r>
      <w:r w:rsidRPr="00AE3505">
        <w:rPr>
          <w:rFonts w:ascii="Arial" w:hAnsi="Arial" w:cs="Arial"/>
          <w:sz w:val="20"/>
          <w:szCs w:val="20"/>
        </w:rPr>
        <w:t>, které by bránily schválení programu.</w:t>
      </w:r>
    </w:p>
    <w:bookmarkEnd w:id="15"/>
    <w:p w:rsidR="00CE62B3" w:rsidRDefault="00CE62B3" w:rsidP="007960D5">
      <w:pPr>
        <w:keepNext/>
        <w:spacing w:before="0" w:line="240" w:lineRule="auto"/>
        <w:jc w:val="left"/>
      </w:pPr>
      <w:r>
        <w:br w:type="page"/>
      </w:r>
    </w:p>
    <w:p w:rsidR="00D734B0" w:rsidRPr="005C4EAF" w:rsidRDefault="00D734B0" w:rsidP="00D734B0">
      <w:pPr>
        <w:pStyle w:val="Nadpis1"/>
        <w:spacing w:after="120"/>
        <w:ind w:left="425" w:hanging="425"/>
      </w:pPr>
      <w:bookmarkStart w:id="16" w:name="_Toc412816335"/>
      <w:r w:rsidRPr="005C4EAF">
        <w:lastRenderedPageBreak/>
        <w:t>Stav připravenosti ČR na zahájení implementace</w:t>
      </w:r>
      <w:bookmarkEnd w:id="16"/>
    </w:p>
    <w:p w:rsidR="00D734B0" w:rsidRDefault="00D734B0" w:rsidP="00D734B0">
      <w:pPr>
        <w:spacing w:after="120"/>
        <w:rPr>
          <w:rFonts w:ascii="Arial" w:hAnsi="Arial" w:cs="Arial"/>
          <w:sz w:val="20"/>
          <w:szCs w:val="20"/>
        </w:rPr>
      </w:pPr>
      <w:r w:rsidRPr="005C4EAF">
        <w:rPr>
          <w:rFonts w:ascii="Arial" w:hAnsi="Arial" w:cs="Arial"/>
          <w:sz w:val="20"/>
          <w:szCs w:val="20"/>
        </w:rPr>
        <w:t>Vzhledem k současnému stavu přípravy jednotlivých programů</w:t>
      </w:r>
      <w:r w:rsidR="0061299C">
        <w:rPr>
          <w:rFonts w:ascii="Arial" w:hAnsi="Arial" w:cs="Arial"/>
          <w:sz w:val="20"/>
          <w:szCs w:val="20"/>
        </w:rPr>
        <w:t xml:space="preserve"> a</w:t>
      </w:r>
      <w:r w:rsidRPr="005C4EAF">
        <w:rPr>
          <w:rFonts w:ascii="Arial" w:hAnsi="Arial" w:cs="Arial"/>
          <w:sz w:val="20"/>
          <w:szCs w:val="20"/>
        </w:rPr>
        <w:t> významnému zpoždění schvalování programů ze strany EK a k faktu,</w:t>
      </w:r>
      <w:r>
        <w:rPr>
          <w:rFonts w:ascii="Arial" w:hAnsi="Arial" w:cs="Arial"/>
          <w:sz w:val="20"/>
          <w:szCs w:val="20"/>
        </w:rPr>
        <w:t xml:space="preserve"> že výdaje jsou způsobilé od 1. </w:t>
      </w:r>
      <w:r w:rsidRPr="005C4EAF">
        <w:rPr>
          <w:rFonts w:ascii="Arial" w:hAnsi="Arial" w:cs="Arial"/>
          <w:sz w:val="20"/>
          <w:szCs w:val="20"/>
        </w:rPr>
        <w:t xml:space="preserve">ledna 2014 a je tak možné začít implementaci těchto programů </w:t>
      </w:r>
      <w:r>
        <w:rPr>
          <w:rFonts w:ascii="Arial" w:hAnsi="Arial" w:cs="Arial"/>
          <w:sz w:val="20"/>
          <w:szCs w:val="20"/>
        </w:rPr>
        <w:t>ještě před jejich schválením ze </w:t>
      </w:r>
      <w:r w:rsidRPr="005C4EAF">
        <w:rPr>
          <w:rFonts w:ascii="Arial" w:hAnsi="Arial" w:cs="Arial"/>
          <w:sz w:val="20"/>
          <w:szCs w:val="20"/>
        </w:rPr>
        <w:t xml:space="preserve">strany EK, byl </w:t>
      </w:r>
      <w:r>
        <w:rPr>
          <w:rFonts w:ascii="Arial" w:hAnsi="Arial" w:cs="Arial"/>
          <w:sz w:val="20"/>
          <w:szCs w:val="20"/>
        </w:rPr>
        <w:t xml:space="preserve">MMR-NOK </w:t>
      </w:r>
      <w:r w:rsidRPr="005C4EAF">
        <w:rPr>
          <w:rFonts w:ascii="Arial" w:hAnsi="Arial" w:cs="Arial"/>
          <w:sz w:val="20"/>
          <w:szCs w:val="20"/>
        </w:rPr>
        <w:t>ve</w:t>
      </w:r>
      <w:r>
        <w:rPr>
          <w:rFonts w:ascii="Arial" w:hAnsi="Arial" w:cs="Arial"/>
          <w:sz w:val="20"/>
          <w:szCs w:val="20"/>
        </w:rPr>
        <w:t> </w:t>
      </w:r>
      <w:r w:rsidRPr="005C4EAF">
        <w:rPr>
          <w:rFonts w:ascii="Arial" w:hAnsi="Arial" w:cs="Arial"/>
          <w:sz w:val="20"/>
          <w:szCs w:val="20"/>
        </w:rPr>
        <w:t xml:space="preserve">spolupráci s Ministerstvem financí </w:t>
      </w:r>
      <w:r w:rsidR="00031174">
        <w:rPr>
          <w:rFonts w:ascii="Arial" w:hAnsi="Arial" w:cs="Arial"/>
          <w:sz w:val="20"/>
          <w:szCs w:val="20"/>
        </w:rPr>
        <w:t xml:space="preserve">(MF) </w:t>
      </w:r>
      <w:r w:rsidRPr="005C4EAF">
        <w:rPr>
          <w:rFonts w:ascii="Arial" w:hAnsi="Arial" w:cs="Arial"/>
          <w:sz w:val="20"/>
          <w:szCs w:val="20"/>
        </w:rPr>
        <w:t>připraven materiál „</w:t>
      </w:r>
      <w:r>
        <w:rPr>
          <w:rFonts w:ascii="Arial" w:hAnsi="Arial" w:cs="Arial"/>
          <w:b/>
          <w:sz w:val="20"/>
          <w:szCs w:val="20"/>
        </w:rPr>
        <w:t>Kritéria pro </w:t>
      </w:r>
      <w:r w:rsidRPr="005C4EAF">
        <w:rPr>
          <w:rFonts w:ascii="Arial" w:hAnsi="Arial" w:cs="Arial"/>
          <w:b/>
          <w:sz w:val="20"/>
          <w:szCs w:val="20"/>
        </w:rPr>
        <w:t xml:space="preserve">možnost </w:t>
      </w:r>
      <w:r>
        <w:rPr>
          <w:rFonts w:ascii="Arial" w:hAnsi="Arial" w:cs="Arial"/>
          <w:b/>
          <w:sz w:val="20"/>
          <w:szCs w:val="20"/>
        </w:rPr>
        <w:t>zahájení implementace programu -</w:t>
      </w:r>
      <w:r w:rsidRPr="005C4EAF">
        <w:rPr>
          <w:rFonts w:ascii="Arial" w:hAnsi="Arial" w:cs="Arial"/>
          <w:b/>
          <w:sz w:val="20"/>
          <w:szCs w:val="20"/>
        </w:rPr>
        <w:t xml:space="preserve"> resp. vyhlašování výzev před schválením programu Evropskou komisí</w:t>
      </w:r>
      <w:r w:rsidRPr="005C4EAF">
        <w:rPr>
          <w:rFonts w:ascii="Arial" w:hAnsi="Arial" w:cs="Arial"/>
          <w:sz w:val="20"/>
          <w:szCs w:val="20"/>
        </w:rPr>
        <w:t>“</w:t>
      </w:r>
      <w:r w:rsidRPr="005C4EAF">
        <w:rPr>
          <w:sz w:val="20"/>
          <w:szCs w:val="20"/>
        </w:rPr>
        <w:t xml:space="preserve"> </w:t>
      </w:r>
      <w:r w:rsidRPr="005C4EAF">
        <w:rPr>
          <w:rFonts w:ascii="Arial" w:hAnsi="Arial" w:cs="Arial"/>
          <w:sz w:val="20"/>
          <w:szCs w:val="20"/>
        </w:rPr>
        <w:t xml:space="preserve">(Kritéria), který byl schválen </w:t>
      </w:r>
      <w:r>
        <w:rPr>
          <w:rFonts w:ascii="Arial" w:hAnsi="Arial" w:cs="Arial"/>
          <w:sz w:val="20"/>
          <w:szCs w:val="20"/>
        </w:rPr>
        <w:t>usnesením vlády</w:t>
      </w:r>
      <w:r w:rsidRPr="005C4EAF">
        <w:rPr>
          <w:rFonts w:ascii="Arial" w:hAnsi="Arial" w:cs="Arial"/>
          <w:sz w:val="20"/>
          <w:szCs w:val="20"/>
        </w:rPr>
        <w:t xml:space="preserve"> ze dne 12. listopadu 2014 č. 918. </w:t>
      </w:r>
    </w:p>
    <w:p w:rsidR="00D734B0" w:rsidRDefault="00D734B0" w:rsidP="00D734B0">
      <w:pPr>
        <w:spacing w:after="120"/>
        <w:rPr>
          <w:rFonts w:ascii="Arial" w:hAnsi="Arial" w:cs="Arial"/>
          <w:sz w:val="20"/>
          <w:szCs w:val="20"/>
        </w:rPr>
      </w:pPr>
      <w:r w:rsidRPr="005C4EAF">
        <w:rPr>
          <w:rFonts w:ascii="Arial" w:hAnsi="Arial" w:cs="Arial"/>
          <w:sz w:val="20"/>
          <w:szCs w:val="20"/>
        </w:rPr>
        <w:t xml:space="preserve">Tento materiál </w:t>
      </w:r>
      <w:r w:rsidRPr="005C4EAF">
        <w:rPr>
          <w:rFonts w:ascii="Arial" w:hAnsi="Arial" w:cs="Arial"/>
          <w:b/>
          <w:sz w:val="20"/>
          <w:szCs w:val="20"/>
        </w:rPr>
        <w:t>stanovuje minimální kritéria</w:t>
      </w:r>
      <w:r w:rsidRPr="005C4EAF">
        <w:rPr>
          <w:rFonts w:ascii="Arial" w:hAnsi="Arial" w:cs="Arial"/>
          <w:sz w:val="20"/>
          <w:szCs w:val="20"/>
        </w:rPr>
        <w:t xml:space="preserve">, jejichž splnění ze strany řídicích orgánů bude </w:t>
      </w:r>
      <w:r w:rsidRPr="005C4EAF">
        <w:rPr>
          <w:rFonts w:ascii="Arial" w:hAnsi="Arial" w:cs="Arial"/>
          <w:b/>
          <w:sz w:val="20"/>
          <w:szCs w:val="20"/>
        </w:rPr>
        <w:t>dostatečným ujištěním</w:t>
      </w:r>
      <w:r w:rsidRPr="005C4EAF">
        <w:rPr>
          <w:rFonts w:ascii="Arial" w:hAnsi="Arial" w:cs="Arial"/>
          <w:sz w:val="20"/>
          <w:szCs w:val="20"/>
        </w:rPr>
        <w:t xml:space="preserve"> pro systém implementace ESI fondů v ČR, že budou dodrženy základní požadavky stanovené nařízeními, </w:t>
      </w:r>
      <w:r w:rsidRPr="005C4EAF">
        <w:rPr>
          <w:rFonts w:ascii="Arial" w:hAnsi="Arial" w:cs="Arial"/>
          <w:b/>
          <w:sz w:val="20"/>
          <w:szCs w:val="20"/>
        </w:rPr>
        <w:t>nebude ohroženo naplnění cílů programů a Dohody o partnerství a zároveň riziko chybovosti bude sníženo na minimum</w:t>
      </w:r>
      <w:r>
        <w:rPr>
          <w:rFonts w:ascii="Arial" w:hAnsi="Arial" w:cs="Arial"/>
          <w:sz w:val="20"/>
          <w:szCs w:val="20"/>
        </w:rPr>
        <w:t>.</w:t>
      </w:r>
    </w:p>
    <w:p w:rsidR="00D734B0" w:rsidRDefault="00D734B0" w:rsidP="00D734B0">
      <w:pPr>
        <w:spacing w:after="120"/>
        <w:rPr>
          <w:rFonts w:ascii="Arial" w:hAnsi="Arial" w:cs="Arial"/>
          <w:sz w:val="20"/>
          <w:szCs w:val="20"/>
        </w:rPr>
      </w:pPr>
      <w:r w:rsidRPr="005C4EAF">
        <w:rPr>
          <w:rFonts w:ascii="Arial" w:hAnsi="Arial" w:cs="Arial"/>
          <w:sz w:val="20"/>
          <w:szCs w:val="20"/>
        </w:rPr>
        <w:t xml:space="preserve">Na základě </w:t>
      </w:r>
      <w:r w:rsidRPr="005C4EAF">
        <w:rPr>
          <w:rFonts w:ascii="Arial" w:hAnsi="Arial" w:cs="Arial"/>
          <w:b/>
          <w:sz w:val="20"/>
          <w:szCs w:val="20"/>
        </w:rPr>
        <w:t>zkušen</w:t>
      </w:r>
      <w:r>
        <w:rPr>
          <w:rFonts w:ascii="Arial" w:hAnsi="Arial" w:cs="Arial"/>
          <w:b/>
          <w:sz w:val="20"/>
          <w:szCs w:val="20"/>
        </w:rPr>
        <w:t>ostí s programovým obdobím 2007–</w:t>
      </w:r>
      <w:r w:rsidRPr="005C4EAF">
        <w:rPr>
          <w:rFonts w:ascii="Arial" w:hAnsi="Arial" w:cs="Arial"/>
          <w:b/>
          <w:sz w:val="20"/>
          <w:szCs w:val="20"/>
        </w:rPr>
        <w:t>2013</w:t>
      </w:r>
      <w:r w:rsidRPr="005C4EAF">
        <w:rPr>
          <w:rFonts w:ascii="Arial" w:hAnsi="Arial" w:cs="Arial"/>
          <w:sz w:val="20"/>
          <w:szCs w:val="20"/>
        </w:rPr>
        <w:t>, kdy reálně došlo u některých programů ke</w:t>
      </w:r>
      <w:r>
        <w:rPr>
          <w:rFonts w:ascii="Arial" w:hAnsi="Arial" w:cs="Arial"/>
          <w:sz w:val="20"/>
          <w:szCs w:val="20"/>
        </w:rPr>
        <w:t> </w:t>
      </w:r>
      <w:r w:rsidRPr="005C4EAF">
        <w:rPr>
          <w:rFonts w:ascii="Arial" w:hAnsi="Arial" w:cs="Arial"/>
          <w:sz w:val="20"/>
          <w:szCs w:val="20"/>
        </w:rPr>
        <w:t xml:space="preserve">ztrátě části alokace v důsledku nesplnění pravidla n+3/2, </w:t>
      </w:r>
      <w:r>
        <w:rPr>
          <w:rFonts w:ascii="Arial" w:hAnsi="Arial" w:cs="Arial"/>
          <w:b/>
          <w:sz w:val="20"/>
          <w:szCs w:val="20"/>
        </w:rPr>
        <w:t>nových požadavků EK na </w:t>
      </w:r>
      <w:r w:rsidRPr="005C4EAF">
        <w:rPr>
          <w:rFonts w:ascii="Arial" w:hAnsi="Arial" w:cs="Arial"/>
          <w:b/>
          <w:sz w:val="20"/>
          <w:szCs w:val="20"/>
        </w:rPr>
        <w:t>výkonnost systému</w:t>
      </w:r>
      <w:r w:rsidRPr="005C4EAF">
        <w:rPr>
          <w:rFonts w:ascii="Arial" w:hAnsi="Arial" w:cs="Arial"/>
          <w:sz w:val="20"/>
          <w:szCs w:val="20"/>
        </w:rPr>
        <w:t>, považuje MMR</w:t>
      </w:r>
      <w:r>
        <w:rPr>
          <w:rFonts w:ascii="Arial" w:hAnsi="Arial" w:cs="Arial"/>
          <w:sz w:val="20"/>
          <w:szCs w:val="20"/>
        </w:rPr>
        <w:t>-NOK</w:t>
      </w:r>
      <w:r w:rsidRPr="005C4EAF">
        <w:rPr>
          <w:rFonts w:ascii="Arial" w:hAnsi="Arial" w:cs="Arial"/>
          <w:sz w:val="20"/>
          <w:szCs w:val="20"/>
        </w:rPr>
        <w:t xml:space="preserve"> s ohledem na potřebu naplnit cíle programů, resp. Dohody o </w:t>
      </w:r>
      <w:r>
        <w:rPr>
          <w:rFonts w:ascii="Arial" w:hAnsi="Arial" w:cs="Arial"/>
          <w:sz w:val="20"/>
          <w:szCs w:val="20"/>
        </w:rPr>
        <w:t>partnerství za </w:t>
      </w:r>
      <w:r w:rsidRPr="005C4EAF">
        <w:rPr>
          <w:rFonts w:ascii="Arial" w:hAnsi="Arial" w:cs="Arial"/>
          <w:sz w:val="20"/>
          <w:szCs w:val="20"/>
        </w:rPr>
        <w:t>nutné, aby reálná implementac</w:t>
      </w:r>
      <w:r>
        <w:rPr>
          <w:rFonts w:ascii="Arial" w:hAnsi="Arial" w:cs="Arial"/>
          <w:sz w:val="20"/>
          <w:szCs w:val="20"/>
        </w:rPr>
        <w:t xml:space="preserve">e programů byla zahájena včas. </w:t>
      </w:r>
    </w:p>
    <w:p w:rsidR="00D734B0" w:rsidRDefault="00D734B0" w:rsidP="00D734B0">
      <w:pPr>
        <w:spacing w:after="120"/>
        <w:rPr>
          <w:rFonts w:ascii="Arial" w:hAnsi="Arial" w:cs="Arial"/>
          <w:sz w:val="20"/>
          <w:szCs w:val="20"/>
        </w:rPr>
      </w:pPr>
      <w:r w:rsidRPr="005C4EAF">
        <w:rPr>
          <w:rFonts w:ascii="Arial" w:hAnsi="Arial" w:cs="Arial"/>
          <w:sz w:val="20"/>
          <w:szCs w:val="20"/>
        </w:rPr>
        <w:t>Při hodnocení rizik spojených se zahájením implementace programů, re</w:t>
      </w:r>
      <w:r>
        <w:rPr>
          <w:rFonts w:ascii="Arial" w:hAnsi="Arial" w:cs="Arial"/>
          <w:sz w:val="20"/>
          <w:szCs w:val="20"/>
        </w:rPr>
        <w:t>sp. vyhlášením první výzvy před </w:t>
      </w:r>
      <w:r w:rsidRPr="005C4EAF">
        <w:rPr>
          <w:rFonts w:ascii="Arial" w:hAnsi="Arial" w:cs="Arial"/>
          <w:sz w:val="20"/>
          <w:szCs w:val="20"/>
        </w:rPr>
        <w:t>schválením programu ze strany EK, je však nutné přihlédnout na jedné straně k riziku chybovosti, které je spojeno s možným proplácením nezpůsobilých výdajů (případ, kdy budou podporováni příjemci nebo aktivity, které nebudou v souladu s obsahem finální verze programov</w:t>
      </w:r>
      <w:r>
        <w:rPr>
          <w:rFonts w:ascii="Arial" w:hAnsi="Arial" w:cs="Arial"/>
          <w:sz w:val="20"/>
          <w:szCs w:val="20"/>
        </w:rPr>
        <w:t>ého dokumentu), či postupem při </w:t>
      </w:r>
      <w:r w:rsidRPr="005C4EAF">
        <w:rPr>
          <w:rFonts w:ascii="Arial" w:hAnsi="Arial" w:cs="Arial"/>
          <w:sz w:val="20"/>
          <w:szCs w:val="20"/>
        </w:rPr>
        <w:t>realizaci projektu / programu, který nebude plně v souladu s postupy, pravidly daného programu / metodickými pokyny MMR / legislativou (tj. např. v rámci určení orgánů bude ze strany nezávislého auditního subjektu vydán v rámci stanoviska výrok s výhradou či záporný výrok), a na druhé straně k riziku ztráty alokace, ať už z důvodu pozdního zahájení implementace programu či jiným problémům v rámci implementace (např. ned</w:t>
      </w:r>
      <w:r>
        <w:rPr>
          <w:rFonts w:ascii="Arial" w:hAnsi="Arial" w:cs="Arial"/>
          <w:sz w:val="20"/>
          <w:szCs w:val="20"/>
        </w:rPr>
        <w:t xml:space="preserve">ostatečná absorpční kapacita). </w:t>
      </w:r>
    </w:p>
    <w:p w:rsidR="00D734B0" w:rsidRDefault="00D734B0" w:rsidP="00D734B0">
      <w:pPr>
        <w:spacing w:after="120"/>
        <w:rPr>
          <w:rFonts w:ascii="Arial" w:hAnsi="Arial" w:cs="Arial"/>
          <w:sz w:val="20"/>
          <w:szCs w:val="20"/>
        </w:rPr>
      </w:pPr>
      <w:r w:rsidRPr="005C4EAF">
        <w:rPr>
          <w:rFonts w:ascii="Arial" w:hAnsi="Arial" w:cs="Arial"/>
          <w:sz w:val="20"/>
          <w:szCs w:val="20"/>
        </w:rPr>
        <w:t>Nadefi</w:t>
      </w:r>
      <w:r>
        <w:rPr>
          <w:rFonts w:ascii="Arial" w:hAnsi="Arial" w:cs="Arial"/>
          <w:sz w:val="20"/>
          <w:szCs w:val="20"/>
        </w:rPr>
        <w:t>novaná kritéria se vztahují</w:t>
      </w:r>
      <w:r w:rsidRPr="005C4EAF">
        <w:rPr>
          <w:rFonts w:ascii="Arial" w:hAnsi="Arial" w:cs="Arial"/>
          <w:sz w:val="20"/>
          <w:szCs w:val="20"/>
        </w:rPr>
        <w:t xml:space="preserve"> k dílčím fázím přípravy, vyjednávání a schvalování </w:t>
      </w:r>
      <w:r>
        <w:rPr>
          <w:rFonts w:ascii="Arial" w:hAnsi="Arial" w:cs="Arial"/>
          <w:sz w:val="20"/>
          <w:szCs w:val="20"/>
        </w:rPr>
        <w:t>programů</w:t>
      </w:r>
      <w:r w:rsidRPr="005C4EAF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> </w:t>
      </w:r>
      <w:r w:rsidRPr="005C4EAF">
        <w:rPr>
          <w:rFonts w:ascii="Arial" w:hAnsi="Arial" w:cs="Arial"/>
          <w:sz w:val="20"/>
          <w:szCs w:val="20"/>
        </w:rPr>
        <w:t>přípravě prováděcí legislativy na evropské úrovni, oblasti předběžných podmínek, přípravě systému řízení a kontroly vč. r</w:t>
      </w:r>
      <w:r>
        <w:rPr>
          <w:rFonts w:ascii="Arial" w:hAnsi="Arial" w:cs="Arial"/>
          <w:sz w:val="20"/>
          <w:szCs w:val="20"/>
        </w:rPr>
        <w:t>elevantní dokumentace a přípravě</w:t>
      </w:r>
      <w:r w:rsidRPr="005C4EAF">
        <w:rPr>
          <w:rFonts w:ascii="Arial" w:hAnsi="Arial" w:cs="Arial"/>
          <w:sz w:val="20"/>
          <w:szCs w:val="20"/>
        </w:rPr>
        <w:t xml:space="preserve"> dokumentace pro žadatele a příjemce, n</w:t>
      </w:r>
      <w:r>
        <w:rPr>
          <w:rFonts w:ascii="Arial" w:hAnsi="Arial" w:cs="Arial"/>
          <w:sz w:val="20"/>
          <w:szCs w:val="20"/>
        </w:rPr>
        <w:t>astavení systémů pro </w:t>
      </w:r>
      <w:r w:rsidRPr="005C4EAF">
        <w:rPr>
          <w:rFonts w:ascii="Arial" w:hAnsi="Arial" w:cs="Arial"/>
          <w:sz w:val="20"/>
          <w:szCs w:val="20"/>
        </w:rPr>
        <w:t>administraci, upřesnění intervenčních oblastí a zapojení partnerů do procesu plánování implementace.</w:t>
      </w:r>
    </w:p>
    <w:p w:rsidR="00D734B0" w:rsidRDefault="00D734B0" w:rsidP="00D734B0">
      <w:pPr>
        <w:spacing w:after="120"/>
        <w:rPr>
          <w:rFonts w:ascii="Arial" w:hAnsi="Arial" w:cs="Arial"/>
          <w:sz w:val="20"/>
          <w:szCs w:val="20"/>
        </w:rPr>
      </w:pPr>
      <w:r w:rsidRPr="005C4EAF">
        <w:rPr>
          <w:rFonts w:ascii="Arial" w:hAnsi="Arial" w:cs="Arial"/>
          <w:sz w:val="20"/>
          <w:szCs w:val="20"/>
        </w:rPr>
        <w:t xml:space="preserve">Ze strany MMR-NOK byla také připravena šablona k přípravě materiálu na </w:t>
      </w:r>
      <w:r w:rsidR="003F3CD5">
        <w:rPr>
          <w:rFonts w:ascii="Arial" w:hAnsi="Arial" w:cs="Arial"/>
          <w:sz w:val="20"/>
          <w:szCs w:val="20"/>
        </w:rPr>
        <w:t>v</w:t>
      </w:r>
      <w:r w:rsidRPr="005C4EAF">
        <w:rPr>
          <w:rFonts w:ascii="Arial" w:hAnsi="Arial" w:cs="Arial"/>
          <w:sz w:val="20"/>
          <w:szCs w:val="20"/>
        </w:rPr>
        <w:t xml:space="preserve">ládu ČR, která pokrývá všechny oblasti vymezené v Kritériích a sjednocuje formu dokumentu předkládaného řídicími orgány. </w:t>
      </w:r>
    </w:p>
    <w:p w:rsidR="00D734B0" w:rsidRPr="00D734B0" w:rsidRDefault="00D734B0" w:rsidP="00D734B0">
      <w:pPr>
        <w:rPr>
          <w:rFonts w:ascii="Arial" w:hAnsi="Arial" w:cs="Arial"/>
          <w:sz w:val="20"/>
          <w:szCs w:val="20"/>
        </w:rPr>
      </w:pPr>
      <w:r w:rsidRPr="00D734B0">
        <w:rPr>
          <w:rFonts w:ascii="Arial" w:hAnsi="Arial" w:cs="Arial"/>
          <w:sz w:val="20"/>
          <w:szCs w:val="20"/>
        </w:rPr>
        <w:t>V současné době ale již samozřejmě na všech úrovních implementační struktury probíhá příprava na zahájení implementace:</w:t>
      </w:r>
    </w:p>
    <w:p w:rsidR="00D734B0" w:rsidRPr="00D734B0" w:rsidRDefault="00D734B0" w:rsidP="00D734B0">
      <w:pPr>
        <w:pStyle w:val="Odstavecseseznamem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rPr>
          <w:rFonts w:ascii="Arial" w:hAnsi="Arial" w:cs="Arial"/>
          <w:sz w:val="20"/>
          <w:szCs w:val="20"/>
        </w:rPr>
      </w:pPr>
      <w:r w:rsidRPr="00D734B0">
        <w:rPr>
          <w:rFonts w:ascii="Arial" w:hAnsi="Arial" w:cs="Arial"/>
          <w:sz w:val="20"/>
          <w:szCs w:val="20"/>
        </w:rPr>
        <w:t>všechny programy již byly zaslány EK;</w:t>
      </w:r>
    </w:p>
    <w:p w:rsidR="00D734B0" w:rsidRPr="00D734B0" w:rsidRDefault="00D734B0" w:rsidP="00D734B0">
      <w:pPr>
        <w:pStyle w:val="Odstavecseseznamem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rPr>
          <w:rFonts w:ascii="Arial" w:hAnsi="Arial" w:cs="Arial"/>
          <w:sz w:val="20"/>
          <w:szCs w:val="20"/>
        </w:rPr>
      </w:pPr>
      <w:r w:rsidRPr="00D734B0">
        <w:rPr>
          <w:rFonts w:ascii="Arial" w:hAnsi="Arial" w:cs="Arial"/>
          <w:sz w:val="20"/>
          <w:szCs w:val="20"/>
        </w:rPr>
        <w:t>koordinována je oblast předběžných podmínek a jsou přijímány kroky k jejich naplnění;</w:t>
      </w:r>
    </w:p>
    <w:p w:rsidR="00D734B0" w:rsidRPr="00D734B0" w:rsidRDefault="00D734B0" w:rsidP="00D734B0">
      <w:pPr>
        <w:pStyle w:val="Odstavecseseznamem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rPr>
          <w:rFonts w:ascii="Arial" w:hAnsi="Arial" w:cs="Arial"/>
          <w:sz w:val="20"/>
          <w:szCs w:val="20"/>
        </w:rPr>
      </w:pPr>
      <w:r w:rsidRPr="00D734B0">
        <w:rPr>
          <w:rFonts w:ascii="Arial" w:hAnsi="Arial" w:cs="Arial"/>
          <w:sz w:val="20"/>
          <w:szCs w:val="20"/>
        </w:rPr>
        <w:t>řídicí orgány pracují na přípravě operačních manuálů pr</w:t>
      </w:r>
      <w:r>
        <w:rPr>
          <w:rFonts w:ascii="Arial" w:hAnsi="Arial" w:cs="Arial"/>
          <w:sz w:val="20"/>
          <w:szCs w:val="20"/>
        </w:rPr>
        <w:t>ogramů, příruč</w:t>
      </w:r>
      <w:r w:rsidR="003F3CD5">
        <w:rPr>
          <w:rFonts w:ascii="Arial" w:hAnsi="Arial" w:cs="Arial"/>
          <w:sz w:val="20"/>
          <w:szCs w:val="20"/>
        </w:rPr>
        <w:t>ek</w:t>
      </w:r>
      <w:r>
        <w:rPr>
          <w:rFonts w:ascii="Arial" w:hAnsi="Arial" w:cs="Arial"/>
          <w:sz w:val="20"/>
          <w:szCs w:val="20"/>
        </w:rPr>
        <w:t xml:space="preserve"> pro žadatele a </w:t>
      </w:r>
      <w:r w:rsidRPr="00D734B0">
        <w:rPr>
          <w:rFonts w:ascii="Arial" w:hAnsi="Arial" w:cs="Arial"/>
          <w:sz w:val="20"/>
          <w:szCs w:val="20"/>
        </w:rPr>
        <w:t>příjemce, které průběžně zasílají MMR-NOK k posouzení, připravovány jsou také popisy funkcí a postupů zavedených řídicími orgány;</w:t>
      </w:r>
    </w:p>
    <w:p w:rsidR="00D734B0" w:rsidRPr="00D734B0" w:rsidRDefault="00D734B0" w:rsidP="00D734B0">
      <w:pPr>
        <w:pStyle w:val="Odstavecseseznamem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rPr>
          <w:rFonts w:ascii="Arial" w:hAnsi="Arial" w:cs="Arial"/>
          <w:sz w:val="20"/>
          <w:szCs w:val="20"/>
        </w:rPr>
      </w:pPr>
      <w:r w:rsidRPr="00D734B0">
        <w:rPr>
          <w:rFonts w:ascii="Arial" w:hAnsi="Arial" w:cs="Arial"/>
          <w:sz w:val="20"/>
          <w:szCs w:val="20"/>
        </w:rPr>
        <w:t>dopřesňována je implementační struktura programů a připravovány jsou delegační dohody s jednotlivými zprostředkujícími subjekty;</w:t>
      </w:r>
    </w:p>
    <w:p w:rsidR="00D734B0" w:rsidRPr="00D734B0" w:rsidRDefault="00D734B0" w:rsidP="00D734B0">
      <w:pPr>
        <w:pStyle w:val="Odstavecseseznamem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rPr>
          <w:rFonts w:ascii="Arial" w:hAnsi="Arial" w:cs="Arial"/>
          <w:sz w:val="20"/>
          <w:szCs w:val="20"/>
        </w:rPr>
      </w:pPr>
      <w:r w:rsidRPr="00D734B0">
        <w:rPr>
          <w:rFonts w:ascii="Arial" w:hAnsi="Arial" w:cs="Arial"/>
          <w:sz w:val="20"/>
          <w:szCs w:val="20"/>
        </w:rPr>
        <w:t>připraveny a zveřejněny (na webových stránkách www.dotaceEU.cz) jsou indikativní harmonogramy výzev, které se budou dále zpřesňovat i v návaznosti na změny programů v souvislosti s vyjednáváním s EK, uskutečňují se také jednání platforem, na kterých jsou tyto harmonogramy připravovány, a připravována je již samotná dokumentace k plánovaným výzvám;</w:t>
      </w:r>
    </w:p>
    <w:p w:rsidR="00D734B0" w:rsidRPr="00D734B0" w:rsidRDefault="00D734B0" w:rsidP="00D734B0">
      <w:pPr>
        <w:pStyle w:val="Odstavecseseznamem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rPr>
          <w:rFonts w:ascii="Arial" w:hAnsi="Arial" w:cs="Arial"/>
          <w:sz w:val="20"/>
          <w:szCs w:val="20"/>
        </w:rPr>
      </w:pPr>
      <w:r w:rsidRPr="00D734B0">
        <w:rPr>
          <w:rFonts w:ascii="Arial" w:hAnsi="Arial" w:cs="Arial"/>
          <w:sz w:val="20"/>
          <w:szCs w:val="20"/>
        </w:rPr>
        <w:t>konají se první monitorovací výbory a další jsou aktuálně připravovány;</w:t>
      </w:r>
    </w:p>
    <w:p w:rsidR="00D734B0" w:rsidRPr="00D734B0" w:rsidRDefault="00D734B0" w:rsidP="00D734B0">
      <w:pPr>
        <w:pStyle w:val="Odstavecseseznamem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rPr>
          <w:rFonts w:ascii="Arial" w:hAnsi="Arial" w:cs="Arial"/>
          <w:sz w:val="20"/>
          <w:szCs w:val="20"/>
        </w:rPr>
      </w:pPr>
      <w:r w:rsidRPr="00D734B0">
        <w:rPr>
          <w:rFonts w:ascii="Arial" w:hAnsi="Arial" w:cs="Arial"/>
          <w:sz w:val="20"/>
          <w:szCs w:val="20"/>
        </w:rPr>
        <w:t>zpřesňují se pravidla veřejné podpory v jednotlivých programech.</w:t>
      </w:r>
    </w:p>
    <w:p w:rsidR="00C624B2" w:rsidRDefault="00D734B0" w:rsidP="00D734B0">
      <w:pPr>
        <w:spacing w:after="120"/>
        <w:rPr>
          <w:rFonts w:ascii="Arial" w:eastAsiaTheme="majorEastAsia" w:hAnsi="Arial" w:cs="Arial"/>
          <w:b/>
          <w:bCs/>
          <w:sz w:val="36"/>
          <w:szCs w:val="32"/>
        </w:rPr>
      </w:pPr>
      <w:r w:rsidRPr="00D734B0">
        <w:rPr>
          <w:rFonts w:ascii="Arial" w:hAnsi="Arial" w:cs="Arial"/>
          <w:sz w:val="20"/>
          <w:szCs w:val="20"/>
        </w:rPr>
        <w:t>To vše samozřejmě za průběžného vyjednávání a zpřesňování programů ve spolupráci s EK.</w:t>
      </w:r>
      <w:r w:rsidR="00C624B2">
        <w:br w:type="page"/>
      </w:r>
    </w:p>
    <w:p w:rsidR="00E80EED" w:rsidRDefault="00445836" w:rsidP="00CE62B3">
      <w:pPr>
        <w:pStyle w:val="Nadpis1"/>
        <w:spacing w:after="120"/>
        <w:ind w:left="425" w:hanging="425"/>
      </w:pPr>
      <w:bookmarkStart w:id="17" w:name="_Toc401148477"/>
      <w:bookmarkStart w:id="18" w:name="_Toc412816336"/>
      <w:r w:rsidRPr="009C54BD">
        <w:lastRenderedPageBreak/>
        <w:t>Předběžné podmínky</w:t>
      </w:r>
      <w:bookmarkEnd w:id="17"/>
      <w:bookmarkEnd w:id="18"/>
    </w:p>
    <w:p w:rsidR="007029D5" w:rsidRPr="0027522E" w:rsidRDefault="007029D5" w:rsidP="00AE3505">
      <w:pPr>
        <w:pStyle w:val="Nadpis1"/>
        <w:numPr>
          <w:ilvl w:val="0"/>
          <w:numId w:val="0"/>
        </w:numPr>
        <w:spacing w:before="0" w:after="120"/>
        <w:rPr>
          <w:b w:val="0"/>
          <w:sz w:val="20"/>
          <w:szCs w:val="20"/>
        </w:rPr>
      </w:pPr>
      <w:bookmarkStart w:id="19" w:name="_Toc412816337"/>
      <w:bookmarkStart w:id="20" w:name="_Toc401148478"/>
      <w:r w:rsidRPr="0027522E">
        <w:rPr>
          <w:b w:val="0"/>
          <w:sz w:val="20"/>
          <w:szCs w:val="20"/>
        </w:rPr>
        <w:t xml:space="preserve">Podrobné </w:t>
      </w:r>
      <w:r>
        <w:rPr>
          <w:b w:val="0"/>
          <w:sz w:val="20"/>
          <w:szCs w:val="20"/>
        </w:rPr>
        <w:t>informace o plnění předběžných podmínek byly představeny na jednání Rady pro ESI fondy dne 9. února 2015.</w:t>
      </w:r>
    </w:p>
    <w:p w:rsidR="001B5190" w:rsidRPr="00CE62B3" w:rsidRDefault="00D16135" w:rsidP="00CE62B3">
      <w:pPr>
        <w:pStyle w:val="Nadpis1"/>
        <w:numPr>
          <w:ilvl w:val="0"/>
          <w:numId w:val="0"/>
        </w:numPr>
        <w:spacing w:before="0" w:after="40"/>
        <w:rPr>
          <w:sz w:val="20"/>
          <w:szCs w:val="20"/>
        </w:rPr>
      </w:pPr>
      <w:r>
        <w:rPr>
          <w:sz w:val="20"/>
          <w:szCs w:val="20"/>
        </w:rPr>
        <w:t>Aktuální s</w:t>
      </w:r>
      <w:r w:rsidR="001B5190" w:rsidRPr="00CE62B3">
        <w:rPr>
          <w:sz w:val="20"/>
          <w:szCs w:val="20"/>
        </w:rPr>
        <w:t>tav naplňování pře</w:t>
      </w:r>
      <w:r w:rsidR="0061299C">
        <w:rPr>
          <w:sz w:val="20"/>
          <w:szCs w:val="20"/>
        </w:rPr>
        <w:t>dběžných podmínek (ke dni 28. února</w:t>
      </w:r>
      <w:r w:rsidR="001B5190" w:rsidRPr="00CE62B3">
        <w:rPr>
          <w:sz w:val="20"/>
          <w:szCs w:val="20"/>
        </w:rPr>
        <w:t xml:space="preserve"> 2015)</w:t>
      </w:r>
      <w:r w:rsidR="001B5190" w:rsidRPr="00CE62B3">
        <w:rPr>
          <w:rStyle w:val="Znakapoznpodarou"/>
          <w:b w:val="0"/>
          <w:sz w:val="20"/>
          <w:szCs w:val="20"/>
        </w:rPr>
        <w:footnoteReference w:id="5"/>
      </w:r>
      <w:bookmarkEnd w:id="19"/>
    </w:p>
    <w:p w:rsidR="001B5190" w:rsidRPr="00CE62B3" w:rsidRDefault="001B5190" w:rsidP="007029D5">
      <w:pPr>
        <w:pStyle w:val="Odstavecseseznamem"/>
        <w:numPr>
          <w:ilvl w:val="0"/>
          <w:numId w:val="22"/>
        </w:numPr>
        <w:spacing w:before="0"/>
        <w:ind w:left="851" w:hanging="425"/>
        <w:rPr>
          <w:rFonts w:ascii="Arial" w:hAnsi="Arial" w:cs="Arial"/>
          <w:sz w:val="20"/>
          <w:szCs w:val="20"/>
        </w:rPr>
      </w:pPr>
      <w:r w:rsidRPr="00CE62B3">
        <w:rPr>
          <w:rFonts w:ascii="Arial" w:hAnsi="Arial" w:cs="Arial"/>
          <w:sz w:val="20"/>
          <w:szCs w:val="20"/>
        </w:rPr>
        <w:t>splněno: 16 předběžných podmínek,</w:t>
      </w:r>
    </w:p>
    <w:p w:rsidR="001B5190" w:rsidRPr="00CE62B3" w:rsidRDefault="001B5190" w:rsidP="007029D5">
      <w:pPr>
        <w:pStyle w:val="Odstavecseseznamem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CE62B3">
        <w:rPr>
          <w:rFonts w:ascii="Arial" w:hAnsi="Arial" w:cs="Arial"/>
          <w:sz w:val="20"/>
          <w:szCs w:val="20"/>
        </w:rPr>
        <w:t xml:space="preserve">částečně splněno: 15 předběžných podmínek, </w:t>
      </w:r>
    </w:p>
    <w:p w:rsidR="001B5190" w:rsidRPr="00CE62B3" w:rsidRDefault="001B5190" w:rsidP="007029D5">
      <w:pPr>
        <w:pStyle w:val="Odstavecseseznamem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CE62B3">
        <w:rPr>
          <w:rFonts w:ascii="Arial" w:hAnsi="Arial" w:cs="Arial"/>
          <w:sz w:val="20"/>
          <w:szCs w:val="20"/>
        </w:rPr>
        <w:t>nesplněno: 9 předběžných podmínek</w:t>
      </w:r>
      <w:r w:rsidR="003F3CD5">
        <w:rPr>
          <w:rFonts w:ascii="Arial" w:hAnsi="Arial" w:cs="Arial"/>
          <w:sz w:val="20"/>
          <w:szCs w:val="20"/>
        </w:rPr>
        <w:t>.</w:t>
      </w:r>
    </w:p>
    <w:p w:rsidR="001B5190" w:rsidRPr="00CE62B3" w:rsidRDefault="00CE62B3" w:rsidP="00CE62B3">
      <w:pPr>
        <w:spacing w:before="240" w:after="120"/>
        <w:jc w:val="left"/>
        <w:rPr>
          <w:rFonts w:ascii="Arial" w:eastAsiaTheme="minorHAnsi" w:hAnsi="Arial" w:cs="Arial"/>
          <w:b/>
          <w:u w:val="single"/>
          <w:lang w:eastAsia="en-US"/>
        </w:rPr>
      </w:pPr>
      <w:r w:rsidRPr="00CE62B3">
        <w:rPr>
          <w:rFonts w:ascii="Arial" w:eastAsiaTheme="minorHAnsi" w:hAnsi="Arial" w:cs="Arial"/>
          <w:b/>
          <w:u w:val="single"/>
          <w:lang w:eastAsia="en-US"/>
        </w:rPr>
        <w:t xml:space="preserve">STRUČNÝ PŘEHLED </w:t>
      </w:r>
      <w:r w:rsidR="00F078D5">
        <w:rPr>
          <w:rFonts w:ascii="Arial" w:eastAsiaTheme="minorHAnsi" w:hAnsi="Arial" w:cs="Arial"/>
          <w:b/>
          <w:u w:val="single"/>
          <w:lang w:eastAsia="en-US"/>
        </w:rPr>
        <w:t>NAPLŇOVÁNÍ PŘEDBĚŽNÝCH PODMÍNEK (PP)</w:t>
      </w:r>
    </w:p>
    <w:p w:rsidR="007029D5" w:rsidRDefault="001B5190" w:rsidP="00AE3505">
      <w:pPr>
        <w:spacing w:after="120"/>
        <w:rPr>
          <w:rFonts w:ascii="Arial" w:hAnsi="Arial" w:cs="Arial"/>
          <w:sz w:val="20"/>
          <w:szCs w:val="20"/>
        </w:rPr>
      </w:pPr>
      <w:r w:rsidRPr="00CE62B3">
        <w:rPr>
          <w:rFonts w:ascii="Arial" w:hAnsi="Arial" w:cs="Arial"/>
          <w:sz w:val="20"/>
          <w:szCs w:val="20"/>
        </w:rPr>
        <w:t xml:space="preserve">Stav plnění odpovídá metodice EK, kdy nelze na úroveň kritéria deklarovat její částečně naplnění (pouze ano či ne). U většiny předběžných podmínek však v ČR kritéria částečně splněna jsou, </w:t>
      </w:r>
      <w:r w:rsidR="00890388">
        <w:rPr>
          <w:rFonts w:ascii="Arial" w:hAnsi="Arial" w:cs="Arial"/>
          <w:sz w:val="20"/>
          <w:szCs w:val="20"/>
        </w:rPr>
        <w:t xml:space="preserve">a to </w:t>
      </w:r>
      <w:r w:rsidRPr="00CE62B3">
        <w:rPr>
          <w:rFonts w:ascii="Arial" w:hAnsi="Arial" w:cs="Arial"/>
          <w:sz w:val="20"/>
          <w:szCs w:val="20"/>
        </w:rPr>
        <w:t xml:space="preserve">např. existencí dílčích strategických dokumentů, které jsou součástí </w:t>
      </w:r>
      <w:r w:rsidR="00890388">
        <w:rPr>
          <w:rFonts w:ascii="Arial" w:hAnsi="Arial" w:cs="Arial"/>
          <w:sz w:val="20"/>
          <w:szCs w:val="20"/>
        </w:rPr>
        <w:t>některých</w:t>
      </w:r>
      <w:r w:rsidR="00890388" w:rsidRPr="00CE62B3">
        <w:rPr>
          <w:rFonts w:ascii="Arial" w:hAnsi="Arial" w:cs="Arial"/>
          <w:sz w:val="20"/>
          <w:szCs w:val="20"/>
        </w:rPr>
        <w:t xml:space="preserve"> </w:t>
      </w:r>
      <w:r w:rsidRPr="00CE62B3">
        <w:rPr>
          <w:rFonts w:ascii="Arial" w:hAnsi="Arial" w:cs="Arial"/>
          <w:sz w:val="20"/>
          <w:szCs w:val="20"/>
        </w:rPr>
        <w:t>předběžn</w:t>
      </w:r>
      <w:r w:rsidR="00890388">
        <w:rPr>
          <w:rFonts w:ascii="Arial" w:hAnsi="Arial" w:cs="Arial"/>
          <w:sz w:val="20"/>
          <w:szCs w:val="20"/>
        </w:rPr>
        <w:t>ých</w:t>
      </w:r>
      <w:r w:rsidRPr="00CE62B3">
        <w:rPr>
          <w:rFonts w:ascii="Arial" w:hAnsi="Arial" w:cs="Arial"/>
          <w:sz w:val="20"/>
          <w:szCs w:val="20"/>
        </w:rPr>
        <w:t xml:space="preserve"> podmín</w:t>
      </w:r>
      <w:r w:rsidR="00890388">
        <w:rPr>
          <w:rFonts w:ascii="Arial" w:hAnsi="Arial" w:cs="Arial"/>
          <w:sz w:val="20"/>
          <w:szCs w:val="20"/>
        </w:rPr>
        <w:t>e</w:t>
      </w:r>
      <w:r w:rsidRPr="00CE62B3">
        <w:rPr>
          <w:rFonts w:ascii="Arial" w:hAnsi="Arial" w:cs="Arial"/>
          <w:sz w:val="20"/>
          <w:szCs w:val="20"/>
        </w:rPr>
        <w:t>k, ale nenaplňují j</w:t>
      </w:r>
      <w:r w:rsidR="00890388">
        <w:rPr>
          <w:rFonts w:ascii="Arial" w:hAnsi="Arial" w:cs="Arial"/>
          <w:sz w:val="20"/>
          <w:szCs w:val="20"/>
        </w:rPr>
        <w:t>e</w:t>
      </w:r>
      <w:r w:rsidRPr="00CE62B3">
        <w:rPr>
          <w:rFonts w:ascii="Arial" w:hAnsi="Arial" w:cs="Arial"/>
          <w:sz w:val="20"/>
          <w:szCs w:val="20"/>
        </w:rPr>
        <w:t xml:space="preserve"> zcela (i proto nelze deklarovat, že je kritérium splněno) či v oblasti vodního hospodářství, kde v </w:t>
      </w:r>
      <w:r w:rsidR="00D573BF">
        <w:rPr>
          <w:rFonts w:ascii="Arial" w:hAnsi="Arial" w:cs="Arial"/>
          <w:sz w:val="20"/>
          <w:szCs w:val="20"/>
        </w:rPr>
        <w:t>případě jednoho</w:t>
      </w:r>
      <w:r w:rsidR="00D573BF" w:rsidRPr="00CE62B3">
        <w:rPr>
          <w:rFonts w:ascii="Arial" w:hAnsi="Arial" w:cs="Arial"/>
          <w:sz w:val="20"/>
          <w:szCs w:val="20"/>
        </w:rPr>
        <w:t xml:space="preserve"> </w:t>
      </w:r>
      <w:r w:rsidRPr="00CE62B3">
        <w:rPr>
          <w:rFonts w:ascii="Arial" w:hAnsi="Arial" w:cs="Arial"/>
          <w:sz w:val="20"/>
          <w:szCs w:val="20"/>
        </w:rPr>
        <w:t>z kritérií v této fázi nelze urychlit splnění, n</w:t>
      </w:r>
      <w:r w:rsidR="0061299C">
        <w:rPr>
          <w:rFonts w:ascii="Arial" w:hAnsi="Arial" w:cs="Arial"/>
          <w:sz w:val="20"/>
          <w:szCs w:val="20"/>
        </w:rPr>
        <w:t>eboť termíny přímo vyplývají ze </w:t>
      </w:r>
      <w:r w:rsidRPr="00CE62B3">
        <w:rPr>
          <w:rFonts w:ascii="Arial" w:hAnsi="Arial" w:cs="Arial"/>
          <w:sz w:val="20"/>
          <w:szCs w:val="20"/>
        </w:rPr>
        <w:t xml:space="preserve">směrnic a datují se k roku 2016. </w:t>
      </w:r>
    </w:p>
    <w:p w:rsidR="001B5190" w:rsidRPr="00CE62B3" w:rsidRDefault="001B5190" w:rsidP="00AE3505">
      <w:pPr>
        <w:spacing w:after="120"/>
        <w:rPr>
          <w:rFonts w:ascii="Arial" w:hAnsi="Arial" w:cs="Arial"/>
          <w:sz w:val="20"/>
          <w:szCs w:val="20"/>
          <w:highlight w:val="yellow"/>
        </w:rPr>
      </w:pPr>
      <w:r w:rsidRPr="00CE62B3">
        <w:rPr>
          <w:rFonts w:ascii="Arial" w:hAnsi="Arial" w:cs="Arial"/>
          <w:b/>
          <w:sz w:val="20"/>
          <w:szCs w:val="20"/>
        </w:rPr>
        <w:t>Z těchto důvodů je u některých PP uveden stav plnění 0</w:t>
      </w:r>
      <w:r w:rsidR="003F3CD5">
        <w:rPr>
          <w:rFonts w:ascii="Arial" w:hAnsi="Arial" w:cs="Arial"/>
          <w:b/>
          <w:sz w:val="20"/>
          <w:szCs w:val="20"/>
        </w:rPr>
        <w:t> </w:t>
      </w:r>
      <w:r w:rsidRPr="00CE62B3">
        <w:rPr>
          <w:rFonts w:ascii="Arial" w:hAnsi="Arial" w:cs="Arial"/>
          <w:b/>
          <w:sz w:val="20"/>
          <w:szCs w:val="20"/>
        </w:rPr>
        <w:t>%, byť řada z nich je před jejich kompletním dokončen</w:t>
      </w:r>
      <w:r w:rsidR="007517EB">
        <w:rPr>
          <w:rFonts w:ascii="Arial" w:hAnsi="Arial" w:cs="Arial"/>
          <w:b/>
          <w:sz w:val="20"/>
          <w:szCs w:val="20"/>
        </w:rPr>
        <w:t>ím nebo jsou přípravné práce na </w:t>
      </w:r>
      <w:r w:rsidRPr="00CE62B3">
        <w:rPr>
          <w:rFonts w:ascii="Arial" w:hAnsi="Arial" w:cs="Arial"/>
          <w:b/>
          <w:sz w:val="20"/>
          <w:szCs w:val="20"/>
        </w:rPr>
        <w:t>splnění ve vývoji.</w:t>
      </w:r>
      <w:r w:rsidR="007029D5" w:rsidRPr="007029D5">
        <w:rPr>
          <w:rFonts w:ascii="Arial" w:hAnsi="Arial" w:cs="Arial"/>
          <w:sz w:val="20"/>
          <w:szCs w:val="20"/>
        </w:rPr>
        <w:t xml:space="preserve"> </w:t>
      </w:r>
      <w:r w:rsidR="007029D5">
        <w:rPr>
          <w:rFonts w:ascii="Arial" w:hAnsi="Arial" w:cs="Arial"/>
          <w:sz w:val="20"/>
          <w:szCs w:val="20"/>
        </w:rPr>
        <w:t>Níže uvedená</w:t>
      </w:r>
      <w:r w:rsidR="007029D5" w:rsidRPr="007029D5">
        <w:rPr>
          <w:rFonts w:ascii="Arial" w:hAnsi="Arial" w:cs="Arial"/>
          <w:sz w:val="20"/>
          <w:szCs w:val="20"/>
        </w:rPr>
        <w:t xml:space="preserve"> tabulka bude ze</w:t>
      </w:r>
      <w:r w:rsidR="007029D5">
        <w:rPr>
          <w:rFonts w:ascii="Arial" w:hAnsi="Arial" w:cs="Arial"/>
          <w:sz w:val="20"/>
          <w:szCs w:val="20"/>
        </w:rPr>
        <w:t> </w:t>
      </w:r>
      <w:r w:rsidR="007029D5" w:rsidRPr="007029D5">
        <w:rPr>
          <w:rFonts w:ascii="Arial" w:hAnsi="Arial" w:cs="Arial"/>
          <w:sz w:val="20"/>
          <w:szCs w:val="20"/>
        </w:rPr>
        <w:t xml:space="preserve">strany MMR-NOK </w:t>
      </w:r>
      <w:r w:rsidR="007029D5">
        <w:rPr>
          <w:rFonts w:ascii="Arial" w:hAnsi="Arial" w:cs="Arial"/>
          <w:sz w:val="20"/>
          <w:szCs w:val="20"/>
        </w:rPr>
        <w:t xml:space="preserve">opět </w:t>
      </w:r>
      <w:r w:rsidR="007029D5" w:rsidRPr="007029D5">
        <w:rPr>
          <w:rFonts w:ascii="Arial" w:hAnsi="Arial" w:cs="Arial"/>
          <w:sz w:val="20"/>
          <w:szCs w:val="20"/>
        </w:rPr>
        <w:t>aktualizována v dubnu 2015.</w:t>
      </w:r>
    </w:p>
    <w:tbl>
      <w:tblPr>
        <w:tblW w:w="9105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4394"/>
        <w:gridCol w:w="1361"/>
        <w:gridCol w:w="1247"/>
        <w:gridCol w:w="1247"/>
      </w:tblGrid>
      <w:tr w:rsidR="001B5190" w:rsidRPr="00F168C9" w:rsidTr="00F078D5">
        <w:trPr>
          <w:trHeight w:val="293"/>
          <w:tblHeader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:rsidR="001B5190" w:rsidRPr="00D734B0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734B0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Kód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:rsidR="001B5190" w:rsidRPr="00D734B0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734B0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Zkrácený název uplatněných PP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:rsidR="001B5190" w:rsidRPr="00D734B0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734B0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Stav plnění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Rizikovost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Stav plnění </w:t>
            </w:r>
          </w:p>
          <w:p w:rsidR="001B5190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(v %)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VaV - inteligentní specializace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60%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VaV - víceletý plán pro sestavování rozpočtu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T.2.1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Digitální růst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60%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T.2.2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Infrastruktura přístupových sítí nové generace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  <w:r w:rsidRPr="002C660E">
              <w:rPr>
                <w:rStyle w:val="Znakapoznpodarou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6"/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T.3.1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Podpora podnikání (SBA)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75%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T.4.1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Energetická účinnost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  <w:r w:rsidR="00F078D5" w:rsidRPr="002C660E">
              <w:rPr>
                <w:rStyle w:val="Znakapoznpodarou"/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footnoteReference w:id="7"/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T.4.2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Výroba tepla a elektřiny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T.4.3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Obnovitelné zdroje energie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T.5.1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Předcházení riziku a jeho řízení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25%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T.6.1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Vodní hospodářství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  <w:r w:rsidRPr="002C660E">
              <w:rPr>
                <w:rStyle w:val="Znakapoznpodarou"/>
                <w:rFonts w:ascii="Arial" w:eastAsia="Times New Roman" w:hAnsi="Arial" w:cs="Arial"/>
                <w:bCs/>
                <w:sz w:val="20"/>
                <w:szCs w:val="20"/>
              </w:rPr>
              <w:footnoteReference w:id="8"/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T.6.2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Odpadové hospodářství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75%</w:t>
            </w:r>
          </w:p>
        </w:tc>
      </w:tr>
      <w:tr w:rsidR="001B5190" w:rsidRPr="002C660E" w:rsidTr="00D16135">
        <w:trPr>
          <w:trHeight w:val="51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EZFRV 4. 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Dobrý zemědělský a environmentální stav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2C660E" w:rsidTr="00D16135">
        <w:trPr>
          <w:trHeight w:val="51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EZFRV 4. 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Minimální požadavky na hnojiva a přípravky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2C660E" w:rsidTr="007029D5">
        <w:trPr>
          <w:trHeight w:val="51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EZFRV 4. 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Jiné příslušné vnitrostátní normy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ENRF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Víceletý národní strategický plán akvakultury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2C660E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ENRF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Správní kapacita rybolovu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T.7.1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Silniční doprava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  <w:r w:rsidRPr="002C660E">
              <w:rPr>
                <w:rStyle w:val="Znakapoznpodarou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9"/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T.7.2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Železniční doprava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T.7.3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Ostatní doprava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T.7.4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Energetické sítě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T.8.1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Aktivní politika zaměstnanosti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F168C9" w:rsidTr="007029D5">
        <w:trPr>
          <w:trHeight w:val="51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T.8.2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Samostatná výdělečná činnost, podnikání a</w:t>
            </w:r>
            <w:r w:rsidR="00F078D5"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zakládání firem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75%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T.8.3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Reforma institucí trhu práce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T.8.5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Pomoc pracovníkům, podnikům a podnikatelům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T.8.6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Podpora zaměstnanosti mladých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T.9.1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Snižovaní chudoby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T.9.2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Politika začleňování Romů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67%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T.9.3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Zdraví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T.10.1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Ukončování školní docházky 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T.10.2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Vysokoškolské vzdělání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  <w:r w:rsidRPr="002C660E">
              <w:rPr>
                <w:rStyle w:val="Znakapoznpodarou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10"/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T.10.3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Celoživotní učení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T.10.4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Odborné vzdělávání a příprava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Veřejná správa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  <w:r w:rsidRPr="002C660E">
              <w:rPr>
                <w:rStyle w:val="Znakapoznpodarou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29%</w:t>
            </w:r>
            <w:r w:rsidRPr="002C660E">
              <w:rPr>
                <w:rStyle w:val="Znakapoznpodarou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12"/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Nediskriminace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Rovnost mužů a žen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Zdravotní postižení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Veřejné zakázky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Veřejná podpora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EIA/SEA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67%</w:t>
            </w:r>
          </w:p>
        </w:tc>
      </w:tr>
      <w:tr w:rsidR="001B5190" w:rsidRPr="00F168C9" w:rsidTr="00D16135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Statistické systémy a ukazatele výsledků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90" w:rsidRPr="002C660E" w:rsidRDefault="001B5190" w:rsidP="00F078D5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1B5190" w:rsidRPr="002C660E" w:rsidRDefault="001B5190" w:rsidP="00F078D5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C66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17%</w:t>
            </w:r>
          </w:p>
        </w:tc>
      </w:tr>
    </w:tbl>
    <w:p w:rsidR="001B5190" w:rsidRPr="007B1BC7" w:rsidRDefault="001B5190" w:rsidP="001B5190">
      <w:pPr>
        <w:rPr>
          <w:rFonts w:ascii="Arial" w:hAnsi="Arial" w:cs="Arial"/>
          <w:sz w:val="20"/>
          <w:szCs w:val="20"/>
        </w:rPr>
      </w:pPr>
      <w:r w:rsidRPr="007B1BC7">
        <w:rPr>
          <w:rFonts w:ascii="Arial" w:hAnsi="Arial" w:cs="Arial"/>
          <w:sz w:val="20"/>
          <w:szCs w:val="20"/>
        </w:rPr>
        <w:lastRenderedPageBreak/>
        <w:t>Dále je nutné uvést, že došlo k vývoji v oblasti Strategie romské integrace, která již byla vládou schválena, a</w:t>
      </w:r>
      <w:r>
        <w:rPr>
          <w:rFonts w:ascii="Arial" w:hAnsi="Arial" w:cs="Arial"/>
          <w:sz w:val="20"/>
          <w:szCs w:val="20"/>
        </w:rPr>
        <w:t> </w:t>
      </w:r>
      <w:r w:rsidRPr="007B1BC7">
        <w:rPr>
          <w:rFonts w:ascii="Arial" w:hAnsi="Arial" w:cs="Arial"/>
          <w:sz w:val="20"/>
          <w:szCs w:val="20"/>
        </w:rPr>
        <w:t>zároveň byla dokončena novelizace relevantních předpisů v oblasti EIA. V návaznosti na</w:t>
      </w:r>
      <w:r w:rsidR="001B4967">
        <w:rPr>
          <w:rFonts w:ascii="Arial" w:hAnsi="Arial" w:cs="Arial"/>
          <w:sz w:val="20"/>
          <w:szCs w:val="20"/>
        </w:rPr>
        <w:t> </w:t>
      </w:r>
      <w:r w:rsidRPr="007B1BC7">
        <w:rPr>
          <w:rFonts w:ascii="Arial" w:hAnsi="Arial" w:cs="Arial"/>
          <w:sz w:val="20"/>
          <w:szCs w:val="20"/>
        </w:rPr>
        <w:t>předložení aktualizovaných akčních plánů k těmto předběžným podmínkám a po verifikaci ze</w:t>
      </w:r>
      <w:r w:rsidR="001B4967">
        <w:rPr>
          <w:rFonts w:ascii="Arial" w:hAnsi="Arial" w:cs="Arial"/>
          <w:sz w:val="20"/>
          <w:szCs w:val="20"/>
        </w:rPr>
        <w:t> </w:t>
      </w:r>
      <w:r w:rsidRPr="007B1BC7">
        <w:rPr>
          <w:rFonts w:ascii="Arial" w:hAnsi="Arial" w:cs="Arial"/>
          <w:sz w:val="20"/>
          <w:szCs w:val="20"/>
        </w:rPr>
        <w:t xml:space="preserve">strany </w:t>
      </w:r>
      <w:r w:rsidR="001B4967">
        <w:rPr>
          <w:rFonts w:ascii="Arial" w:hAnsi="Arial" w:cs="Arial"/>
          <w:sz w:val="20"/>
          <w:szCs w:val="20"/>
        </w:rPr>
        <w:t>E</w:t>
      </w:r>
      <w:r w:rsidRPr="007B1BC7">
        <w:rPr>
          <w:rFonts w:ascii="Arial" w:hAnsi="Arial" w:cs="Arial"/>
          <w:sz w:val="20"/>
          <w:szCs w:val="20"/>
        </w:rPr>
        <w:t>K, považujeme za reálné změnit naplňování těchto předběžných podmínek, včetně přehodnocení rizikovosti těchto oblastí.</w:t>
      </w:r>
    </w:p>
    <w:p w:rsidR="001B5190" w:rsidRPr="00CE62B3" w:rsidRDefault="00CE62B3" w:rsidP="00CE62B3">
      <w:pPr>
        <w:spacing w:before="240" w:after="120"/>
        <w:jc w:val="left"/>
        <w:rPr>
          <w:rFonts w:ascii="Arial" w:eastAsiaTheme="minorHAnsi" w:hAnsi="Arial" w:cs="Arial"/>
          <w:b/>
          <w:u w:val="single"/>
          <w:lang w:eastAsia="en-US"/>
        </w:rPr>
      </w:pPr>
      <w:r w:rsidRPr="00CE62B3">
        <w:rPr>
          <w:rFonts w:ascii="Arial" w:eastAsiaTheme="minorHAnsi" w:hAnsi="Arial" w:cs="Arial"/>
          <w:b/>
          <w:u w:val="single"/>
          <w:lang w:eastAsia="en-US"/>
        </w:rPr>
        <w:t xml:space="preserve">PODROBNÝ POPIS </w:t>
      </w:r>
      <w:r w:rsidR="00F078D5">
        <w:rPr>
          <w:rFonts w:ascii="Arial" w:eastAsiaTheme="minorHAnsi" w:hAnsi="Arial" w:cs="Arial"/>
          <w:b/>
          <w:u w:val="single"/>
          <w:lang w:eastAsia="en-US"/>
        </w:rPr>
        <w:t>NAPLŇOVÁNÍ PŘEDBĚŽNÝCH PODMÍNEK</w:t>
      </w:r>
    </w:p>
    <w:p w:rsidR="001B5190" w:rsidRPr="00912902" w:rsidRDefault="001B5190" w:rsidP="001B5190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/>
        <w:outlineLvl w:val="2"/>
        <w:rPr>
          <w:rFonts w:ascii="Arial" w:eastAsia="Times New Roman" w:hAnsi="Arial" w:cs="Arial"/>
          <w:b/>
          <w:bCs/>
          <w:sz w:val="20"/>
          <w:szCs w:val="20"/>
          <w:bdr w:val="nil"/>
        </w:rPr>
      </w:pPr>
      <w:bookmarkStart w:id="21" w:name="_Toc412816338"/>
      <w:r w:rsidRPr="00660488">
        <w:rPr>
          <w:rFonts w:ascii="Arial" w:eastAsia="Times New Roman" w:hAnsi="Arial" w:cs="Arial"/>
          <w:b/>
          <w:bCs/>
          <w:u w:val="single"/>
          <w:bdr w:val="nil"/>
        </w:rPr>
        <w:t xml:space="preserve">Veřejné zakázky </w:t>
      </w:r>
      <w:r w:rsidRPr="00B10571">
        <w:rPr>
          <w:rFonts w:ascii="Arial" w:eastAsia="Times New Roman" w:hAnsi="Arial" w:cs="Arial"/>
          <w:b/>
          <w:bCs/>
          <w:bdr w:val="nil"/>
        </w:rPr>
        <w:t>– O4</w:t>
      </w:r>
      <w:r>
        <w:rPr>
          <w:rFonts w:ascii="Arial" w:eastAsia="Times New Roman" w:hAnsi="Arial" w:cs="Arial"/>
          <w:b/>
          <w:bCs/>
          <w:sz w:val="20"/>
          <w:szCs w:val="20"/>
          <w:bdr w:val="ni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bdr w:val="nil"/>
        </w:rPr>
        <w:t xml:space="preserve">(gestor: </w:t>
      </w:r>
      <w:r w:rsidRPr="00660488">
        <w:rPr>
          <w:rFonts w:ascii="Arial" w:eastAsia="Times New Roman" w:hAnsi="Arial" w:cs="Arial"/>
          <w:bCs/>
          <w:sz w:val="20"/>
          <w:szCs w:val="20"/>
          <w:bdr w:val="nil"/>
        </w:rPr>
        <w:t>ministerstvo pro místní rozvoj)</w:t>
      </w:r>
      <w:bookmarkEnd w:id="21"/>
    </w:p>
    <w:p w:rsidR="001B5190" w:rsidRPr="00527655" w:rsidRDefault="00527655" w:rsidP="001B519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527655">
        <w:rPr>
          <w:rFonts w:ascii="Arial" w:hAnsi="Arial" w:cs="Arial"/>
          <w:sz w:val="20"/>
          <w:szCs w:val="20"/>
        </w:rPr>
        <w:t xml:space="preserve">EK nad rámec požadavků a kritérií této předběžné podmínky vznesla požadavek na zavedení </w:t>
      </w:r>
      <w:r>
        <w:rPr>
          <w:rFonts w:ascii="Arial" w:hAnsi="Arial" w:cs="Arial"/>
          <w:sz w:val="20"/>
          <w:szCs w:val="20"/>
        </w:rPr>
        <w:t>c</w:t>
      </w:r>
      <w:r w:rsidRPr="00527655">
        <w:rPr>
          <w:rFonts w:ascii="Arial" w:hAnsi="Arial" w:cs="Arial"/>
          <w:sz w:val="20"/>
          <w:szCs w:val="20"/>
        </w:rPr>
        <w:t>entrálního registru smluv (CRS). EK požadovala zavedení CRS včetně neplatnosti smluv v případě jej</w:t>
      </w:r>
      <w:r w:rsidR="00AD61EC">
        <w:rPr>
          <w:rFonts w:ascii="Arial" w:hAnsi="Arial" w:cs="Arial"/>
          <w:sz w:val="20"/>
          <w:szCs w:val="20"/>
        </w:rPr>
        <w:t xml:space="preserve">ich neuveřejnění v CRS, přičemž </w:t>
      </w:r>
      <w:r w:rsidRPr="00527655">
        <w:rPr>
          <w:rFonts w:ascii="Arial" w:hAnsi="Arial" w:cs="Arial"/>
          <w:sz w:val="20"/>
          <w:szCs w:val="20"/>
        </w:rPr>
        <w:t xml:space="preserve">tento požadavek měl být zapracován </w:t>
      </w:r>
      <w:r w:rsidRPr="00527655">
        <w:rPr>
          <w:rFonts w:ascii="Arial" w:hAnsi="Arial" w:cs="Arial"/>
          <w:sz w:val="20"/>
          <w:szCs w:val="20"/>
        </w:rPr>
        <w:br/>
        <w:t>do Akčního plánu k předběžné podmínce Veřejné zakázky.</w:t>
      </w:r>
      <w:r w:rsidR="00D857DB">
        <w:rPr>
          <w:rFonts w:ascii="Arial" w:hAnsi="Arial" w:cs="Arial"/>
          <w:sz w:val="20"/>
          <w:szCs w:val="20"/>
        </w:rPr>
        <w:t xml:space="preserve"> ČR tento požadavek odmítá, a to zejména s ohledem na irelevanci ve vztahu k předběžným podmínkám.</w:t>
      </w:r>
    </w:p>
    <w:p w:rsidR="001B5190" w:rsidRDefault="001B5190" w:rsidP="001B519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1E6421">
        <w:rPr>
          <w:rFonts w:ascii="Arial" w:eastAsia="Times New Roman" w:hAnsi="Arial" w:cs="Arial"/>
          <w:sz w:val="20"/>
          <w:szCs w:val="20"/>
          <w:bdr w:val="nil"/>
        </w:rPr>
        <w:t xml:space="preserve">Diskuse </w:t>
      </w:r>
      <w:r w:rsidR="002C660E" w:rsidRPr="001E6421">
        <w:rPr>
          <w:rFonts w:ascii="Arial" w:eastAsia="Times New Roman" w:hAnsi="Arial" w:cs="Arial"/>
          <w:sz w:val="20"/>
          <w:szCs w:val="20"/>
          <w:bdr w:val="nil"/>
        </w:rPr>
        <w:t>s </w:t>
      </w:r>
      <w:r w:rsidR="002C660E">
        <w:rPr>
          <w:rFonts w:ascii="Arial" w:eastAsia="Times New Roman" w:hAnsi="Arial" w:cs="Arial"/>
          <w:sz w:val="20"/>
          <w:szCs w:val="20"/>
          <w:bdr w:val="nil"/>
        </w:rPr>
        <w:t>EK</w:t>
      </w:r>
      <w:r w:rsidR="002C660E" w:rsidRPr="001E6421">
        <w:rPr>
          <w:rFonts w:ascii="Arial" w:eastAsia="Times New Roman" w:hAnsi="Arial" w:cs="Arial"/>
          <w:sz w:val="20"/>
          <w:szCs w:val="20"/>
          <w:bdr w:val="nil"/>
        </w:rPr>
        <w:t xml:space="preserve"> </w:t>
      </w:r>
      <w:r w:rsidRPr="001E6421">
        <w:rPr>
          <w:rFonts w:ascii="Arial" w:eastAsia="Times New Roman" w:hAnsi="Arial" w:cs="Arial"/>
          <w:sz w:val="20"/>
          <w:szCs w:val="20"/>
          <w:bdr w:val="nil"/>
        </w:rPr>
        <w:t xml:space="preserve">nad touto problematikou proběhla </w:t>
      </w:r>
      <w:r w:rsidR="00AD61EC">
        <w:rPr>
          <w:rFonts w:ascii="Arial" w:eastAsia="Times New Roman" w:hAnsi="Arial" w:cs="Arial"/>
          <w:sz w:val="20"/>
          <w:szCs w:val="20"/>
          <w:bdr w:val="nil"/>
        </w:rPr>
        <w:t xml:space="preserve">rovněž </w:t>
      </w:r>
      <w:r w:rsidRPr="001E6421">
        <w:rPr>
          <w:rFonts w:ascii="Arial" w:eastAsia="Times New Roman" w:hAnsi="Arial" w:cs="Arial"/>
          <w:sz w:val="20"/>
          <w:szCs w:val="20"/>
          <w:bdr w:val="nil"/>
        </w:rPr>
        <w:t>na jednání dne 19. února 2015</w:t>
      </w:r>
      <w:r w:rsidR="00D857DB">
        <w:rPr>
          <w:rFonts w:ascii="Arial" w:eastAsia="Times New Roman" w:hAnsi="Arial" w:cs="Arial"/>
          <w:sz w:val="20"/>
          <w:szCs w:val="20"/>
          <w:bdr w:val="nil"/>
        </w:rPr>
        <w:t xml:space="preserve">, o čemž MMR-NOK informoval v rámci materiálu projednaném </w:t>
      </w:r>
      <w:r w:rsidR="00AD61EC">
        <w:rPr>
          <w:rFonts w:ascii="Arial" w:eastAsia="Times New Roman" w:hAnsi="Arial" w:cs="Arial"/>
          <w:sz w:val="20"/>
          <w:szCs w:val="20"/>
          <w:bdr w:val="nil"/>
        </w:rPr>
        <w:t xml:space="preserve">na jednání </w:t>
      </w:r>
      <w:r w:rsidR="00D857DB">
        <w:rPr>
          <w:rFonts w:ascii="Arial" w:eastAsia="Times New Roman" w:hAnsi="Arial" w:cs="Arial"/>
          <w:sz w:val="20"/>
          <w:szCs w:val="20"/>
          <w:bdr w:val="nil"/>
        </w:rPr>
        <w:t>V-VEU dne 23. února 2015</w:t>
      </w:r>
      <w:r w:rsidRPr="001E6421">
        <w:rPr>
          <w:rFonts w:ascii="Arial" w:eastAsia="Times New Roman" w:hAnsi="Arial" w:cs="Arial"/>
          <w:sz w:val="20"/>
          <w:szCs w:val="20"/>
          <w:bdr w:val="nil"/>
        </w:rPr>
        <w:t xml:space="preserve">. </w:t>
      </w:r>
    </w:p>
    <w:p w:rsidR="00FF3005" w:rsidRDefault="00D857DB" w:rsidP="001B519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>
        <w:rPr>
          <w:rFonts w:ascii="Arial" w:eastAsia="Times New Roman" w:hAnsi="Arial" w:cs="Arial"/>
          <w:sz w:val="20"/>
          <w:szCs w:val="20"/>
          <w:bdr w:val="nil"/>
        </w:rPr>
        <w:t xml:space="preserve">V návaznosti na jednání s EK </w:t>
      </w:r>
      <w:r w:rsidR="00FF3005">
        <w:rPr>
          <w:rFonts w:ascii="Arial" w:eastAsia="Times New Roman" w:hAnsi="Arial" w:cs="Arial"/>
          <w:sz w:val="20"/>
          <w:szCs w:val="20"/>
          <w:bdr w:val="nil"/>
        </w:rPr>
        <w:t xml:space="preserve">MMR odeslalo dne 26. </w:t>
      </w:r>
      <w:r w:rsidR="00527655">
        <w:rPr>
          <w:rFonts w:ascii="Arial" w:eastAsia="Times New Roman" w:hAnsi="Arial" w:cs="Arial"/>
          <w:sz w:val="20"/>
          <w:szCs w:val="20"/>
          <w:bdr w:val="nil"/>
        </w:rPr>
        <w:t>února</w:t>
      </w:r>
      <w:r w:rsidR="00FF3005">
        <w:rPr>
          <w:rFonts w:ascii="Arial" w:eastAsia="Times New Roman" w:hAnsi="Arial" w:cs="Arial"/>
          <w:sz w:val="20"/>
          <w:szCs w:val="20"/>
          <w:bdr w:val="nil"/>
        </w:rPr>
        <w:t xml:space="preserve"> 2015 reakci na EK, kde se zejména zaměřilo na rozvedení argumentace v souvislosti s požadavkem </w:t>
      </w:r>
      <w:r w:rsidR="00527655">
        <w:rPr>
          <w:rFonts w:ascii="Arial" w:eastAsia="Times New Roman" w:hAnsi="Arial" w:cs="Arial"/>
          <w:sz w:val="20"/>
          <w:szCs w:val="20"/>
          <w:bdr w:val="nil"/>
        </w:rPr>
        <w:t>na</w:t>
      </w:r>
      <w:r w:rsidR="00FF3005">
        <w:rPr>
          <w:rFonts w:ascii="Arial" w:eastAsia="Times New Roman" w:hAnsi="Arial" w:cs="Arial"/>
          <w:sz w:val="20"/>
          <w:szCs w:val="20"/>
          <w:bdr w:val="nil"/>
        </w:rPr>
        <w:t xml:space="preserve"> zavedení </w:t>
      </w:r>
      <w:r w:rsidR="00527655">
        <w:rPr>
          <w:rFonts w:ascii="Arial" w:eastAsia="Times New Roman" w:hAnsi="Arial" w:cs="Arial"/>
          <w:sz w:val="20"/>
          <w:szCs w:val="20"/>
          <w:bdr w:val="nil"/>
        </w:rPr>
        <w:t>CRS</w:t>
      </w:r>
      <w:r w:rsidR="00FF3005">
        <w:rPr>
          <w:rFonts w:ascii="Arial" w:eastAsia="Times New Roman" w:hAnsi="Arial" w:cs="Arial"/>
          <w:sz w:val="20"/>
          <w:szCs w:val="20"/>
          <w:bdr w:val="nil"/>
        </w:rPr>
        <w:t xml:space="preserve"> a kde opětovně zaslal stanovisko Ú</w:t>
      </w:r>
      <w:r w:rsidR="00527655">
        <w:rPr>
          <w:rFonts w:ascii="Arial" w:eastAsia="Times New Roman" w:hAnsi="Arial" w:cs="Arial"/>
          <w:sz w:val="20"/>
          <w:szCs w:val="20"/>
          <w:bdr w:val="nil"/>
        </w:rPr>
        <w:t>řadu vlády ČR</w:t>
      </w:r>
      <w:r>
        <w:rPr>
          <w:rFonts w:ascii="Arial" w:eastAsia="Times New Roman" w:hAnsi="Arial" w:cs="Arial"/>
          <w:sz w:val="20"/>
          <w:szCs w:val="20"/>
          <w:bdr w:val="nil"/>
        </w:rPr>
        <w:t>,</w:t>
      </w:r>
      <w:r w:rsidR="00FF3005">
        <w:rPr>
          <w:rFonts w:ascii="Arial" w:eastAsia="Times New Roman" w:hAnsi="Arial" w:cs="Arial"/>
          <w:sz w:val="20"/>
          <w:szCs w:val="20"/>
          <w:bdr w:val="nil"/>
        </w:rPr>
        <w:t xml:space="preserve"> </w:t>
      </w:r>
      <w:r w:rsidR="00527655">
        <w:rPr>
          <w:rFonts w:ascii="Arial" w:eastAsia="Times New Roman" w:hAnsi="Arial" w:cs="Arial"/>
          <w:sz w:val="20"/>
          <w:szCs w:val="20"/>
          <w:bdr w:val="nil"/>
        </w:rPr>
        <w:t>ministerstva vnitra</w:t>
      </w:r>
      <w:r w:rsidR="00FF3005">
        <w:rPr>
          <w:rFonts w:ascii="Arial" w:eastAsia="Times New Roman" w:hAnsi="Arial" w:cs="Arial"/>
          <w:sz w:val="20"/>
          <w:szCs w:val="20"/>
          <w:bdr w:val="nil"/>
        </w:rPr>
        <w:t xml:space="preserve"> a MMR, které vyjadřuje ochotu pokračovat v pracích na</w:t>
      </w:r>
      <w:r w:rsidR="00527655">
        <w:rPr>
          <w:rFonts w:ascii="Arial" w:eastAsia="Times New Roman" w:hAnsi="Arial" w:cs="Arial"/>
          <w:sz w:val="20"/>
          <w:szCs w:val="20"/>
          <w:bdr w:val="nil"/>
        </w:rPr>
        <w:t> </w:t>
      </w:r>
      <w:r w:rsidR="00FF3005">
        <w:rPr>
          <w:rFonts w:ascii="Arial" w:eastAsia="Times New Roman" w:hAnsi="Arial" w:cs="Arial"/>
          <w:sz w:val="20"/>
          <w:szCs w:val="20"/>
          <w:bdr w:val="nil"/>
        </w:rPr>
        <w:t>zavedení tohoto registru, zároveň však neshledává vazbu na předběžné podmínky vzhledem k neexistenci takovéto povinnosti v zadávacích směrnicích, které tvoří základ této předběžné podmínky. Analogická situace je identifikována i v souvislosti se zákazem obchodování s korporacemi s nejasnou vlastnickou strukturou.</w:t>
      </w:r>
    </w:p>
    <w:p w:rsidR="00FF3005" w:rsidRDefault="00FF3005" w:rsidP="001B519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>
        <w:rPr>
          <w:rFonts w:ascii="Arial" w:eastAsia="Times New Roman" w:hAnsi="Arial" w:cs="Arial"/>
          <w:sz w:val="20"/>
          <w:szCs w:val="20"/>
          <w:bdr w:val="nil"/>
        </w:rPr>
        <w:t>MMR v této souvislosti zároveň požádalo, aby tyto připomínky byly řešeny a odpovědi byly zaslány z vyšší než pracovní úrovně do středy 4. března 2015.</w:t>
      </w:r>
    </w:p>
    <w:p w:rsidR="001B5190" w:rsidRPr="00912902" w:rsidRDefault="001B5190" w:rsidP="001B5190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/>
        <w:outlineLvl w:val="2"/>
        <w:rPr>
          <w:rFonts w:ascii="Arial" w:eastAsia="Times New Roman" w:hAnsi="Arial" w:cs="Arial"/>
          <w:b/>
          <w:bCs/>
          <w:sz w:val="20"/>
          <w:szCs w:val="20"/>
          <w:bdr w:val="nil"/>
        </w:rPr>
      </w:pPr>
      <w:bookmarkStart w:id="22" w:name="_Toc412816339"/>
      <w:r w:rsidRPr="00660488">
        <w:rPr>
          <w:rFonts w:ascii="Arial" w:eastAsia="Times New Roman" w:hAnsi="Arial" w:cs="Arial"/>
          <w:b/>
          <w:bCs/>
          <w:u w:val="single"/>
          <w:bdr w:val="nil"/>
        </w:rPr>
        <w:t>Veřejná podpora</w:t>
      </w:r>
      <w:r w:rsidRPr="00B10571">
        <w:rPr>
          <w:rFonts w:ascii="Arial" w:eastAsia="Times New Roman" w:hAnsi="Arial" w:cs="Arial"/>
          <w:b/>
          <w:bCs/>
          <w:bdr w:val="nil"/>
        </w:rPr>
        <w:t xml:space="preserve"> - O5</w:t>
      </w:r>
      <w:r w:rsidRPr="00B10571">
        <w:rPr>
          <w:rFonts w:ascii="Arial" w:eastAsia="Times New Roman" w:hAnsi="Arial" w:cs="Arial"/>
          <w:b/>
          <w:bCs/>
          <w:sz w:val="20"/>
          <w:szCs w:val="20"/>
          <w:bdr w:val="ni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bdr w:val="nil"/>
        </w:rPr>
        <w:t xml:space="preserve">(gestor: </w:t>
      </w:r>
      <w:r w:rsidRPr="00660488">
        <w:rPr>
          <w:rFonts w:ascii="Arial" w:eastAsia="Times New Roman" w:hAnsi="Arial" w:cs="Arial"/>
          <w:bCs/>
          <w:sz w:val="20"/>
          <w:szCs w:val="20"/>
          <w:bdr w:val="nil"/>
        </w:rPr>
        <w:t>ministerstvo pro místní rozvoj)</w:t>
      </w:r>
      <w:bookmarkEnd w:id="22"/>
    </w:p>
    <w:p w:rsidR="00AE3505" w:rsidRDefault="001B5190" w:rsidP="00AE35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527B99">
        <w:rPr>
          <w:rFonts w:ascii="Arial" w:eastAsia="Times New Roman" w:hAnsi="Arial" w:cs="Arial"/>
          <w:sz w:val="20"/>
          <w:szCs w:val="20"/>
          <w:bdr w:val="nil"/>
        </w:rPr>
        <w:t xml:space="preserve">V návaznosti na připomínky EK došlo k dalšímu rozpracování této oblasti, a to zejména </w:t>
      </w:r>
      <w:r w:rsidRPr="00527B99">
        <w:rPr>
          <w:rFonts w:ascii="Arial" w:eastAsia="Times New Roman" w:hAnsi="Arial" w:cs="Arial"/>
          <w:sz w:val="20"/>
          <w:szCs w:val="20"/>
          <w:bdr w:val="nil"/>
        </w:rPr>
        <w:br/>
        <w:t xml:space="preserve">na úrovni programů, což potvrzují proběhnuvší jednání gestora </w:t>
      </w:r>
      <w:r w:rsidR="002C660E">
        <w:rPr>
          <w:rFonts w:ascii="Arial" w:eastAsia="Times New Roman" w:hAnsi="Arial" w:cs="Arial"/>
          <w:sz w:val="20"/>
          <w:szCs w:val="20"/>
          <w:bdr w:val="nil"/>
        </w:rPr>
        <w:t>oblasti veřejné podpory se </w:t>
      </w:r>
      <w:r w:rsidRPr="00527B99">
        <w:rPr>
          <w:rFonts w:ascii="Arial" w:eastAsia="Times New Roman" w:hAnsi="Arial" w:cs="Arial"/>
          <w:sz w:val="20"/>
          <w:szCs w:val="20"/>
          <w:bdr w:val="nil"/>
        </w:rPr>
        <w:t xml:space="preserve">zástupci řídicích orgánů. </w:t>
      </w:r>
      <w:bookmarkStart w:id="23" w:name="_Toc412816340"/>
    </w:p>
    <w:p w:rsidR="001B5190" w:rsidRPr="00912902" w:rsidRDefault="001B5190" w:rsidP="001B5190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bdr w:val="nil"/>
        </w:rPr>
      </w:pPr>
      <w:r w:rsidRPr="00660488">
        <w:rPr>
          <w:rFonts w:ascii="Arial" w:eastAsia="Times New Roman" w:hAnsi="Arial" w:cs="Arial"/>
          <w:b/>
          <w:bCs/>
          <w:u w:val="single"/>
          <w:bdr w:val="nil"/>
        </w:rPr>
        <w:t>EIA</w:t>
      </w:r>
      <w:r>
        <w:rPr>
          <w:rFonts w:ascii="Arial" w:eastAsia="Times New Roman" w:hAnsi="Arial" w:cs="Arial"/>
          <w:b/>
          <w:bCs/>
          <w:u w:val="single"/>
          <w:bdr w:val="nil"/>
        </w:rPr>
        <w:t xml:space="preserve"> </w:t>
      </w:r>
      <w:r w:rsidRPr="00B10571">
        <w:rPr>
          <w:rFonts w:ascii="Arial" w:eastAsia="Times New Roman" w:hAnsi="Arial" w:cs="Arial"/>
          <w:b/>
          <w:bCs/>
          <w:bdr w:val="nil"/>
        </w:rPr>
        <w:t>- O6</w:t>
      </w:r>
      <w:r>
        <w:rPr>
          <w:rFonts w:ascii="Arial" w:eastAsia="Times New Roman" w:hAnsi="Arial" w:cs="Arial"/>
          <w:b/>
          <w:bCs/>
          <w:sz w:val="20"/>
          <w:szCs w:val="20"/>
          <w:bdr w:val="ni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bdr w:val="nil"/>
        </w:rPr>
        <w:t xml:space="preserve">(gestor: </w:t>
      </w:r>
      <w:r w:rsidRPr="00660488">
        <w:rPr>
          <w:rFonts w:ascii="Arial" w:eastAsia="Times New Roman" w:hAnsi="Arial" w:cs="Arial"/>
          <w:bCs/>
          <w:sz w:val="20"/>
          <w:szCs w:val="20"/>
          <w:bdr w:val="nil"/>
        </w:rPr>
        <w:t>ministerstvo životního prostředí)</w:t>
      </w:r>
      <w:bookmarkEnd w:id="23"/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Návrh ve znění pozměňovacích návrhů byl v </w:t>
      </w:r>
      <w:r w:rsidR="004B7569" w:rsidRPr="002C660E">
        <w:rPr>
          <w:rFonts w:ascii="Arial" w:eastAsia="Times New Roman" w:hAnsi="Arial" w:cs="Arial"/>
          <w:sz w:val="20"/>
          <w:szCs w:val="20"/>
          <w:bdr w:val="nil"/>
        </w:rPr>
        <w:t xml:space="preserve">Poslanecké sněmovně Parlamentu ČR </w:t>
      </w:r>
      <w:r w:rsidR="00C44F30" w:rsidRPr="002C660E">
        <w:rPr>
          <w:rFonts w:ascii="Arial" w:eastAsia="Times New Roman" w:hAnsi="Arial" w:cs="Arial"/>
          <w:sz w:val="20"/>
          <w:szCs w:val="20"/>
          <w:bdr w:val="nil"/>
        </w:rPr>
        <w:t xml:space="preserve">(PSP) 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projednán a schválen dne 10. února 2015. Poté byla schválená novela předložena prezidentu ČR k podpisu. Prezident ČR novelu zákona EIA podepsal dne 24. února 2015, ta bude ve Sbírce zákonů publikována na počátku března</w:t>
      </w:r>
      <w:r w:rsidR="004B7569" w:rsidRPr="002C660E">
        <w:rPr>
          <w:rFonts w:ascii="Arial" w:eastAsia="Times New Roman" w:hAnsi="Arial" w:cs="Arial"/>
          <w:sz w:val="20"/>
          <w:szCs w:val="20"/>
          <w:bdr w:val="nil"/>
        </w:rPr>
        <w:t xml:space="preserve"> 2015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 a účinnosti tak nabude 1. dubna 2015. </w:t>
      </w:r>
      <w:r w:rsidR="004B7569" w:rsidRPr="002C660E">
        <w:rPr>
          <w:rFonts w:ascii="Arial" w:eastAsia="Times New Roman" w:hAnsi="Arial" w:cs="Arial"/>
          <w:sz w:val="20"/>
          <w:szCs w:val="20"/>
          <w:bdr w:val="nil"/>
        </w:rPr>
        <w:t>Generální ředitelství pro životní prostřední (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DG ENVI</w:t>
      </w:r>
      <w:r w:rsidR="004B7569" w:rsidRPr="002C660E">
        <w:rPr>
          <w:rFonts w:ascii="Arial" w:eastAsia="Times New Roman" w:hAnsi="Arial" w:cs="Arial"/>
          <w:sz w:val="20"/>
          <w:szCs w:val="20"/>
          <w:bdr w:val="nil"/>
        </w:rPr>
        <w:t>)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 bude o tomto postupu neprodleně informována. EK byla s tímto postupem seznámena dne 19. února </w:t>
      </w:r>
      <w:r w:rsidR="004B7569" w:rsidRPr="002C660E">
        <w:rPr>
          <w:rFonts w:ascii="Arial" w:eastAsia="Times New Roman" w:hAnsi="Arial" w:cs="Arial"/>
          <w:sz w:val="20"/>
          <w:szCs w:val="20"/>
          <w:bdr w:val="nil"/>
        </w:rPr>
        <w:t xml:space="preserve">2015 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na společném jednání</w:t>
      </w:r>
      <w:r w:rsidR="004B7569" w:rsidRPr="002C660E">
        <w:rPr>
          <w:rFonts w:ascii="Arial" w:eastAsia="Times New Roman" w:hAnsi="Arial" w:cs="Arial"/>
          <w:sz w:val="20"/>
          <w:szCs w:val="20"/>
          <w:bdr w:val="nil"/>
        </w:rPr>
        <w:t>,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 zároveň upozornila, že novelu po podpisu prezidentem ČR ještě prověří.  </w:t>
      </w:r>
    </w:p>
    <w:p w:rsidR="001B5190" w:rsidRPr="002C660E" w:rsidRDefault="001B5190" w:rsidP="00D857DB">
      <w:pPr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5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Původně se počítalo s kompletním schválením novely v listopadu 2014 a účinností k 1. lednu 2015, ale tento termín se nepodařilo dodržet. EK v dopisu ze dne 26. ledna 2015 reagovala na</w:t>
      </w:r>
      <w:r w:rsidR="004B7569" w:rsidRPr="002C660E">
        <w:rPr>
          <w:rFonts w:ascii="Arial" w:eastAsia="Times New Roman" w:hAnsi="Arial" w:cs="Arial"/>
          <w:sz w:val="20"/>
          <w:szCs w:val="20"/>
          <w:bdr w:val="nil"/>
        </w:rPr>
        <w:t> 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informace, které jí ČR poskytla ve věci novelizace zákona o posuzování vlivů na životní prostředí a souvisejících zákonů. Eurokomisař Karmenu Vella vyjádřil spokojenost s realizovaným řešením, nicméně vzhledem k časovému posunu (viz předchozí bod) nabytí účinnosti novely avizoval možné uplatnění institutu significant prejudice. Říd</w:t>
      </w:r>
      <w:r w:rsidR="00AC567B" w:rsidRPr="002C660E">
        <w:rPr>
          <w:rFonts w:ascii="Arial" w:eastAsia="Times New Roman" w:hAnsi="Arial" w:cs="Arial"/>
          <w:sz w:val="20"/>
          <w:szCs w:val="20"/>
          <w:bdr w:val="nil"/>
        </w:rPr>
        <w:t>i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cí orgány příslušných </w:t>
      </w:r>
      <w:r w:rsidR="004B7569" w:rsidRPr="002C660E">
        <w:rPr>
          <w:rFonts w:ascii="Arial" w:eastAsia="Times New Roman" w:hAnsi="Arial" w:cs="Arial"/>
          <w:sz w:val="20"/>
          <w:szCs w:val="20"/>
          <w:bdr w:val="nil"/>
        </w:rPr>
        <w:t>programů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 byly o riziku uplatnění significant prejudice informovány standardním varovným dopisem EK (tzv. warning letter), který EK odeslala dne 13. února 2015. ČR tento warning letter obdržela dne 18. února 2015. </w:t>
      </w:r>
    </w:p>
    <w:p w:rsidR="001B5190" w:rsidRPr="00231F8F" w:rsidRDefault="001B5190" w:rsidP="001B5190">
      <w:pPr>
        <w:keepNext/>
        <w:spacing w:before="240"/>
        <w:rPr>
          <w:rFonts w:ascii="Arial" w:eastAsia="Times New Roman" w:hAnsi="Arial" w:cs="Arial"/>
          <w:b/>
          <w:u w:val="single"/>
        </w:rPr>
      </w:pPr>
      <w:r w:rsidRPr="00231F8F">
        <w:rPr>
          <w:rFonts w:ascii="Arial" w:eastAsia="Times New Roman" w:hAnsi="Arial" w:cs="Arial"/>
          <w:b/>
          <w:u w:val="single"/>
        </w:rPr>
        <w:t xml:space="preserve">Inteligentní specializace </w:t>
      </w:r>
      <w:r w:rsidRPr="00231F8F">
        <w:rPr>
          <w:rFonts w:ascii="Arial" w:eastAsia="Times New Roman" w:hAnsi="Arial" w:cs="Arial"/>
          <w:b/>
        </w:rPr>
        <w:t>– T 1.1</w:t>
      </w:r>
      <w:r w:rsidRPr="00231F8F">
        <w:rPr>
          <w:rFonts w:ascii="Arial" w:eastAsia="Times New Roman" w:hAnsi="Arial" w:cs="Arial"/>
        </w:rPr>
        <w:t xml:space="preserve"> </w:t>
      </w:r>
      <w:r w:rsidRPr="00231F8F">
        <w:rPr>
          <w:rFonts w:ascii="Arial" w:eastAsia="Times New Roman" w:hAnsi="Arial" w:cs="Arial"/>
          <w:sz w:val="20"/>
          <w:szCs w:val="20"/>
        </w:rPr>
        <w:t>(gestor: od 8. 12. 2014 Úřad vlády)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Usnesením vlády č. 1028 ze dne 8. prosince 2014 bylo Úřadu vlády (místopředsedovi vlády 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br/>
        <w:t xml:space="preserve">pro vědu, výzkum a inovace) uloženo převzetí řízení </w:t>
      </w:r>
      <w:r w:rsidR="009D466C" w:rsidRPr="002C660E">
        <w:rPr>
          <w:rFonts w:ascii="Arial" w:eastAsia="Times New Roman" w:hAnsi="Arial" w:cs="Arial"/>
          <w:sz w:val="20"/>
          <w:szCs w:val="20"/>
          <w:bdr w:val="nil"/>
        </w:rPr>
        <w:t>Národní výzkumné a inovační strategie pro inteligentní specializaci ČR (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Národní RIS3 strategie</w:t>
      </w:r>
      <w:r w:rsidR="009D466C" w:rsidRPr="002C660E">
        <w:rPr>
          <w:rFonts w:ascii="Arial" w:eastAsia="Times New Roman" w:hAnsi="Arial" w:cs="Arial"/>
          <w:sz w:val="20"/>
          <w:szCs w:val="20"/>
          <w:bdr w:val="nil"/>
        </w:rPr>
        <w:t>)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.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lastRenderedPageBreak/>
        <w:t xml:space="preserve">Na základě připomínek EK k dokumentu je dopracováván návrh monitorovacích indikátorů Národní RIS3 </w:t>
      </w:r>
      <w:r w:rsidR="009D466C" w:rsidRPr="002C660E">
        <w:rPr>
          <w:rFonts w:ascii="Arial" w:eastAsia="Times New Roman" w:hAnsi="Arial" w:cs="Arial"/>
          <w:sz w:val="20"/>
          <w:szCs w:val="20"/>
          <w:bdr w:val="nil"/>
        </w:rPr>
        <w:t xml:space="preserve">strategie </w:t>
      </w:r>
      <w:r w:rsidR="00CC5BEB">
        <w:rPr>
          <w:rFonts w:ascii="Arial" w:eastAsia="Times New Roman" w:hAnsi="Arial" w:cs="Arial"/>
          <w:sz w:val="20"/>
          <w:szCs w:val="20"/>
          <w:bdr w:val="nil"/>
        </w:rPr>
        <w:t xml:space="preserve">a metodika monitorování 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o popis role krajských subjektů při monitorování intervencí RIS3, které jsou relevantní pro splnění dané PP, bude také nezbytné provést revizi zdrojů veřejných rozpočtů na podporu </w:t>
      </w:r>
      <w:r w:rsidR="009D466C" w:rsidRPr="002C660E">
        <w:rPr>
          <w:rFonts w:ascii="Arial" w:eastAsia="Times New Roman" w:hAnsi="Arial" w:cs="Arial"/>
          <w:sz w:val="20"/>
          <w:szCs w:val="20"/>
          <w:bdr w:val="nil"/>
        </w:rPr>
        <w:t xml:space="preserve">výzkumu, vývoje a inovací 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(národních i krajských) tak, aby bylo možno diferencovat zdroje určené na implementaci RIS3 a zdroje ostatní. K naplnění výše uvedených PP dojde dle předpokladu gestora v září 2015, Implementační plán RIS3 bude k dispozici v červnu 2015.</w:t>
      </w:r>
    </w:p>
    <w:p w:rsidR="001B5190" w:rsidRPr="00231F8F" w:rsidRDefault="001B5190" w:rsidP="002C660E">
      <w:pPr>
        <w:keepNext/>
        <w:spacing w:before="240"/>
        <w:rPr>
          <w:rFonts w:ascii="Arial" w:eastAsia="Times New Roman" w:hAnsi="Arial" w:cs="Arial"/>
          <w:b/>
          <w:u w:val="single"/>
        </w:rPr>
      </w:pPr>
      <w:r w:rsidRPr="00231F8F">
        <w:rPr>
          <w:rFonts w:ascii="Arial" w:eastAsia="Times New Roman" w:hAnsi="Arial" w:cs="Arial"/>
          <w:b/>
          <w:u w:val="single"/>
        </w:rPr>
        <w:t>Digitální Česko, Sítě nové generace</w:t>
      </w:r>
      <w:r w:rsidRPr="00231F8F">
        <w:rPr>
          <w:rFonts w:ascii="Arial" w:eastAsia="Times New Roman" w:hAnsi="Arial" w:cs="Arial"/>
        </w:rPr>
        <w:t xml:space="preserve"> – </w:t>
      </w:r>
      <w:r w:rsidRPr="00231F8F">
        <w:rPr>
          <w:rFonts w:ascii="Arial" w:eastAsia="Times New Roman" w:hAnsi="Arial" w:cs="Arial"/>
          <w:b/>
        </w:rPr>
        <w:t>T 2.1–2.2</w:t>
      </w:r>
      <w:r w:rsidRPr="00231F8F">
        <w:rPr>
          <w:rFonts w:ascii="Arial" w:eastAsia="Times New Roman" w:hAnsi="Arial" w:cs="Arial"/>
        </w:rPr>
        <w:t xml:space="preserve"> </w:t>
      </w:r>
      <w:r w:rsidRPr="00231F8F">
        <w:rPr>
          <w:rFonts w:ascii="Arial" w:eastAsia="Times New Roman" w:hAnsi="Arial" w:cs="Arial"/>
          <w:sz w:val="20"/>
          <w:szCs w:val="20"/>
        </w:rPr>
        <w:t>(gestor: ministerstvo průmyslu a obchodu)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EK byly v rámci formálních připomínek poskytnuty požadované informace ke struktuře strategických dokumentů, které jsou předmětem naplňování předběžné podmínky, a také jejich stručné obsahové zaměření (jedná se o DigiČesko 2, Strategický rámec rozvoje veřejné správy České republiky pro období 2014–2020, Strategie digitální gramotnosti ČR na období 2015 až</w:t>
      </w:r>
      <w:r w:rsidR="009D466C" w:rsidRPr="002C660E">
        <w:rPr>
          <w:rFonts w:ascii="Arial" w:eastAsia="Times New Roman" w:hAnsi="Arial" w:cs="Arial"/>
          <w:sz w:val="20"/>
          <w:szCs w:val="20"/>
          <w:bdr w:val="nil"/>
        </w:rPr>
        <w:t> 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2020). Dle gestora předběžné podmínky 2.1 nyní zbývá pro naplnění předběžné podmínky dopracovat Strategii digitální gramotnosti ČR.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Ke splnění předběžné podmínky 2.2 dojde schválením Národního plánu rozvoje sítí nové generace (NP NGN), u něhož byla k dílčí verzi </w:t>
      </w:r>
      <w:r w:rsidR="009D466C" w:rsidRPr="002C660E">
        <w:rPr>
          <w:rFonts w:ascii="Arial" w:eastAsia="Times New Roman" w:hAnsi="Arial" w:cs="Arial"/>
          <w:sz w:val="20"/>
          <w:szCs w:val="20"/>
          <w:bdr w:val="nil"/>
        </w:rPr>
        <w:t>ministerstva průmyslu a obchodu (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MPO</w:t>
      </w:r>
      <w:r w:rsidR="009D466C" w:rsidRPr="002C660E">
        <w:rPr>
          <w:rFonts w:ascii="Arial" w:eastAsia="Times New Roman" w:hAnsi="Arial" w:cs="Arial"/>
          <w:sz w:val="20"/>
          <w:szCs w:val="20"/>
          <w:bdr w:val="nil"/>
        </w:rPr>
        <w:t>)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 v prosinci 2014 vyhlášena veřejná konzultace. Došlé připomínky se nyní vyhodnocují a budou zohledněny v</w:t>
      </w:r>
      <w:r w:rsidR="009D466C" w:rsidRPr="002C660E">
        <w:rPr>
          <w:rFonts w:ascii="Arial" w:eastAsia="Times New Roman" w:hAnsi="Arial" w:cs="Arial"/>
          <w:sz w:val="20"/>
          <w:szCs w:val="20"/>
          <w:bdr w:val="nil"/>
        </w:rPr>
        <w:t> 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dokumentu. Na základě převodu odpovědnosti za zpracování dokumentu na MPO (původně v gesci Českého telekomunikačního úřadu) byl posunut i termín finalizace NP NGN na červen 2015.</w:t>
      </w:r>
    </w:p>
    <w:p w:rsidR="001B5190" w:rsidRPr="00487739" w:rsidRDefault="001B5190" w:rsidP="002C660E">
      <w:pPr>
        <w:spacing w:before="240"/>
        <w:rPr>
          <w:rFonts w:ascii="Arial" w:hAnsi="Arial" w:cs="Arial"/>
          <w:b/>
          <w:u w:val="single"/>
        </w:rPr>
      </w:pPr>
      <w:r w:rsidRPr="00BD66B9">
        <w:rPr>
          <w:rFonts w:ascii="Arial" w:hAnsi="Arial" w:cs="Arial"/>
          <w:b/>
          <w:u w:val="single"/>
        </w:rPr>
        <w:t>Oblast malého a středního podnikání</w:t>
      </w:r>
      <w:r w:rsidRPr="00BD66B9">
        <w:rPr>
          <w:rFonts w:ascii="Arial" w:hAnsi="Arial" w:cs="Arial"/>
          <w:b/>
        </w:rPr>
        <w:t xml:space="preserve"> – T 3.1 </w:t>
      </w:r>
      <w:r w:rsidRPr="00BD66B9">
        <w:rPr>
          <w:rFonts w:ascii="Arial" w:hAnsi="Arial" w:cs="Arial"/>
        </w:rPr>
        <w:t>(gestor: ministerstvo spravedlnosti)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Nové legislativně-technické řešení vyvolalo již čtvrtou změnu Akčního plánu k předběžné podmínce 3.1 a 8.2 (dále „akční plán“). V upraveném akčním plánu je uvedeno, že podmínky pro</w:t>
      </w:r>
      <w:r w:rsidR="00C44F30" w:rsidRPr="002C660E">
        <w:rPr>
          <w:rFonts w:ascii="Arial" w:eastAsia="Times New Roman" w:hAnsi="Arial" w:cs="Arial"/>
          <w:sz w:val="20"/>
          <w:szCs w:val="20"/>
          <w:bdr w:val="nil"/>
        </w:rPr>
        <w:t> 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osvobození od soudního poplatku jsou následující: 1) žadatel splní tzv. základní náležitosti zakladatelského právního jednání, které jsou u</w:t>
      </w:r>
      <w:r w:rsidR="00C44F30" w:rsidRPr="002C660E">
        <w:rPr>
          <w:rFonts w:ascii="Arial" w:eastAsia="Times New Roman" w:hAnsi="Arial" w:cs="Arial"/>
          <w:sz w:val="20"/>
          <w:szCs w:val="20"/>
          <w:bdr w:val="nil"/>
        </w:rPr>
        <w:t>vedeny v občanském zákoníku a v 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zákoně o obchodních korporacích, 2) vkladová povinnost je splacena v penězích a 3) zápis do veřejného rejstříku provedl notář.</w:t>
      </w:r>
      <w:r w:rsidRPr="002C660E" w:rsidDel="00257B21">
        <w:rPr>
          <w:rFonts w:ascii="Arial" w:eastAsia="Times New Roman" w:hAnsi="Arial" w:cs="Arial"/>
          <w:sz w:val="20"/>
          <w:szCs w:val="20"/>
          <w:bdr w:val="nil"/>
        </w:rPr>
        <w:t xml:space="preserve"> 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Tímto bude docíleno toho, že náklady na založení takové společnosti s ručením omezeným se budou pohybovat v limitech nastavených </w:t>
      </w:r>
      <w:r w:rsidR="00C44F30" w:rsidRPr="002C660E">
        <w:rPr>
          <w:rFonts w:ascii="Arial" w:eastAsia="Times New Roman" w:hAnsi="Arial" w:cs="Arial"/>
          <w:sz w:val="20"/>
          <w:szCs w:val="20"/>
          <w:bdr w:val="nil"/>
        </w:rPr>
        <w:t>ze strany EK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. Harmonogram plnění předběžné podmínky bude dodržen, předpokládá se, že zákon nabude účinnosti v říjnu 2015, což však nicméně znamená další několika měsíční posun. </w:t>
      </w:r>
    </w:p>
    <w:p w:rsidR="001B5190" w:rsidRPr="00231F8F" w:rsidRDefault="001B5190" w:rsidP="001B5190">
      <w:pPr>
        <w:spacing w:before="240"/>
        <w:rPr>
          <w:rFonts w:ascii="Arial" w:hAnsi="Arial" w:cs="Arial"/>
          <w:b/>
          <w:u w:val="single"/>
        </w:rPr>
      </w:pPr>
      <w:r w:rsidRPr="00BD66B9">
        <w:rPr>
          <w:rFonts w:ascii="Arial" w:hAnsi="Arial" w:cs="Arial"/>
          <w:b/>
          <w:u w:val="single"/>
        </w:rPr>
        <w:t xml:space="preserve">Energetická účinnost </w:t>
      </w:r>
      <w:r w:rsidRPr="00BD66B9">
        <w:rPr>
          <w:rFonts w:ascii="Arial" w:hAnsi="Arial" w:cs="Arial"/>
          <w:b/>
        </w:rPr>
        <w:t xml:space="preserve">– T 4.1 </w:t>
      </w:r>
      <w:r w:rsidRPr="00BD66B9">
        <w:rPr>
          <w:rFonts w:ascii="Arial" w:hAnsi="Arial" w:cs="Arial"/>
        </w:rPr>
        <w:t>(gestor: ministerstvo průmyslu a obchodu)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ČR zapracovala minimální požadavky na energetickou náročnost budov do zákona č. 406/2000 Sb., o hospodaření energií, který měl nabýt účinnost v květnu 2015. Došlo však v rámci projednávání v PSP i k dalšímu posunu termínu účinnosti zákona</w:t>
      </w:r>
      <w:r w:rsidR="00CC5BEB">
        <w:rPr>
          <w:rFonts w:ascii="Arial" w:eastAsia="Times New Roman" w:hAnsi="Arial" w:cs="Arial"/>
          <w:sz w:val="20"/>
          <w:szCs w:val="20"/>
          <w:bdr w:val="nil"/>
        </w:rPr>
        <w:t>,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 a to na červenec 2015.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Dále byla připravena novela zákona č. 458/2000 Sb., o podmínkách podnikání a o výkonu státní správy v energetických odvětvích a o změně některých zákonů (energetický zákon), která bude účinná v červenci 2015.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U obou těchto zákonů, které mimo jiné reflektují požadavky předběžné podmínky a mají zhojit i nedostatky vytýkané v rámci infringementových řízení, došlo k posunu termínů, což pochopitelně zvyšuje míru rizika.</w:t>
      </w:r>
    </w:p>
    <w:p w:rsidR="00F078D5" w:rsidRDefault="001B5190" w:rsidP="002C660E">
      <w:pPr>
        <w:keepNext/>
        <w:spacing w:before="240"/>
        <w:rPr>
          <w:rFonts w:ascii="Arial" w:eastAsia="Times New Roman" w:hAnsi="Arial" w:cs="Arial"/>
        </w:rPr>
      </w:pPr>
      <w:r w:rsidRPr="00231F8F">
        <w:rPr>
          <w:rFonts w:ascii="Arial" w:hAnsi="Arial" w:cs="Arial"/>
          <w:b/>
          <w:u w:val="single"/>
        </w:rPr>
        <w:t>Řízení a prevence rizik</w:t>
      </w:r>
      <w:r w:rsidRPr="00231F8F">
        <w:rPr>
          <w:rFonts w:ascii="Arial" w:hAnsi="Arial" w:cs="Arial"/>
          <w:b/>
        </w:rPr>
        <w:t xml:space="preserve"> </w:t>
      </w:r>
      <w:r w:rsidRPr="00231F8F">
        <w:rPr>
          <w:rFonts w:ascii="Arial" w:eastAsia="Times New Roman" w:hAnsi="Arial" w:cs="Arial"/>
        </w:rPr>
        <w:t xml:space="preserve">– </w:t>
      </w:r>
      <w:r w:rsidRPr="00231F8F">
        <w:rPr>
          <w:rFonts w:ascii="Arial" w:eastAsia="Times New Roman" w:hAnsi="Arial" w:cs="Arial"/>
          <w:b/>
        </w:rPr>
        <w:t>T 5.1</w:t>
      </w:r>
      <w:r w:rsidRPr="00231F8F">
        <w:rPr>
          <w:rFonts w:ascii="Arial" w:eastAsia="Times New Roman" w:hAnsi="Arial" w:cs="Arial"/>
        </w:rPr>
        <w:t xml:space="preserve"> </w:t>
      </w:r>
    </w:p>
    <w:p w:rsidR="001B5190" w:rsidRPr="00231F8F" w:rsidRDefault="001B5190" w:rsidP="00F078D5">
      <w:pPr>
        <w:keepNext/>
        <w:spacing w:before="0"/>
        <w:rPr>
          <w:rFonts w:ascii="Arial" w:hAnsi="Arial" w:cs="Arial"/>
          <w:b/>
          <w:sz w:val="20"/>
          <w:szCs w:val="20"/>
        </w:rPr>
      </w:pPr>
      <w:r w:rsidRPr="00231F8F">
        <w:rPr>
          <w:rFonts w:ascii="Arial" w:hAnsi="Arial" w:cs="Arial"/>
          <w:sz w:val="20"/>
          <w:szCs w:val="20"/>
        </w:rPr>
        <w:t>(gestor: ministerstvo životního prostředí, ministerstvo zemědělství)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Součástí naplňování předběžné podmínky je Strategie přizpůsobení se změně klimatu v</w:t>
      </w:r>
      <w:r w:rsidR="00C44F30" w:rsidRPr="002C660E">
        <w:rPr>
          <w:rFonts w:ascii="Arial" w:eastAsia="Times New Roman" w:hAnsi="Arial" w:cs="Arial"/>
          <w:sz w:val="20"/>
          <w:szCs w:val="20"/>
          <w:bdr w:val="nil"/>
        </w:rPr>
        <w:t> 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podmínkách ČR (Adaptační strategie). Strategie bude předložena ke schválení po posouzení procesem SEA v září 2015.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Součástí předběžné podmínky jsou i další dokumenty a podklad, a to např. Plány pro zvládání povodňových rizik, Plány povodí, Koncepce environmentální bezpečnosti 2015–2020 s výhledem do roku 2030, Zpracování studie dopadů, zranitelnosti a zdrojů rizik souvisejících se změnou 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lastRenderedPageBreak/>
        <w:t>klimatu pro nejohroženější sektory a Definování kritérií pro stanovování investičních priorit v závislosti na riziku – strategie a podklady by měly být k dispozici do konce roku 2015.</w:t>
      </w:r>
    </w:p>
    <w:p w:rsidR="001B5190" w:rsidRPr="00231F8F" w:rsidRDefault="001B5190" w:rsidP="002C660E">
      <w:pPr>
        <w:widowControl w:val="0"/>
        <w:spacing w:before="240"/>
        <w:rPr>
          <w:rFonts w:ascii="Arial" w:eastAsia="Times New Roman" w:hAnsi="Arial" w:cs="Arial"/>
        </w:rPr>
      </w:pPr>
      <w:r w:rsidRPr="00231F8F">
        <w:rPr>
          <w:rFonts w:ascii="Arial" w:eastAsia="Times New Roman" w:hAnsi="Arial" w:cs="Arial"/>
          <w:b/>
          <w:u w:val="single"/>
        </w:rPr>
        <w:t>Regulace vodohospodářského trhu</w:t>
      </w:r>
      <w:r w:rsidRPr="00231F8F">
        <w:rPr>
          <w:rFonts w:ascii="Arial" w:eastAsia="Times New Roman" w:hAnsi="Arial" w:cs="Arial"/>
        </w:rPr>
        <w:t xml:space="preserve"> – </w:t>
      </w:r>
      <w:r w:rsidRPr="00231F8F">
        <w:rPr>
          <w:rFonts w:ascii="Arial" w:eastAsia="Times New Roman" w:hAnsi="Arial" w:cs="Arial"/>
          <w:b/>
        </w:rPr>
        <w:t>T 6.1</w:t>
      </w:r>
      <w:r w:rsidRPr="00231F8F">
        <w:rPr>
          <w:rFonts w:ascii="Arial" w:eastAsia="Times New Roman" w:hAnsi="Arial" w:cs="Arial"/>
        </w:rPr>
        <w:t xml:space="preserve"> </w:t>
      </w:r>
    </w:p>
    <w:p w:rsidR="001B5190" w:rsidRPr="00231F8F" w:rsidRDefault="001B5190" w:rsidP="00F078D5">
      <w:pPr>
        <w:widowControl w:val="0"/>
        <w:spacing w:before="0"/>
        <w:rPr>
          <w:rFonts w:ascii="Arial" w:eastAsia="Times New Roman" w:hAnsi="Arial" w:cs="Arial"/>
        </w:rPr>
      </w:pPr>
      <w:r w:rsidRPr="00231F8F">
        <w:rPr>
          <w:rFonts w:ascii="Arial" w:eastAsia="Times New Roman" w:hAnsi="Arial" w:cs="Arial"/>
          <w:sz w:val="20"/>
          <w:szCs w:val="20"/>
        </w:rPr>
        <w:t>(gestor: ministerstvo životního prostředí a zemědělství, spolugestor: ministerstvo financí)</w:t>
      </w:r>
    </w:p>
    <w:p w:rsidR="001B5190" w:rsidRPr="00231F8F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>
        <w:rPr>
          <w:rFonts w:ascii="Arial" w:eastAsia="Times New Roman" w:hAnsi="Arial" w:cs="Arial"/>
          <w:sz w:val="20"/>
          <w:szCs w:val="20"/>
          <w:bdr w:val="nil"/>
        </w:rPr>
        <w:t xml:space="preserve">V současné době probíhá diskuse mezi MMR a </w:t>
      </w:r>
      <w:r w:rsidR="00FD7AE2">
        <w:rPr>
          <w:rFonts w:ascii="Arial" w:eastAsia="Times New Roman" w:hAnsi="Arial" w:cs="Arial"/>
          <w:sz w:val="20"/>
          <w:szCs w:val="20"/>
          <w:bdr w:val="nil"/>
        </w:rPr>
        <w:t>ministerstvem životního prostředí (</w:t>
      </w:r>
      <w:r>
        <w:rPr>
          <w:rFonts w:ascii="Arial" w:eastAsia="Times New Roman" w:hAnsi="Arial" w:cs="Arial"/>
          <w:sz w:val="20"/>
          <w:szCs w:val="20"/>
          <w:bdr w:val="nil"/>
        </w:rPr>
        <w:t>MŽP</w:t>
      </w:r>
      <w:r w:rsidR="00FD7AE2">
        <w:rPr>
          <w:rFonts w:ascii="Arial" w:eastAsia="Times New Roman" w:hAnsi="Arial" w:cs="Arial"/>
          <w:sz w:val="20"/>
          <w:szCs w:val="20"/>
          <w:bdr w:val="nil"/>
        </w:rPr>
        <w:t>)</w:t>
      </w:r>
      <w:r>
        <w:rPr>
          <w:rFonts w:ascii="Arial" w:eastAsia="Times New Roman" w:hAnsi="Arial" w:cs="Arial"/>
          <w:sz w:val="20"/>
          <w:szCs w:val="20"/>
          <w:bdr w:val="nil"/>
        </w:rPr>
        <w:t xml:space="preserve"> o úpravě akčního plánu v souvislosti s tímto tématem tak</w:t>
      </w:r>
      <w:r w:rsidR="00C44F30">
        <w:rPr>
          <w:rFonts w:ascii="Arial" w:eastAsia="Times New Roman" w:hAnsi="Arial" w:cs="Arial"/>
          <w:sz w:val="20"/>
          <w:szCs w:val="20"/>
          <w:bdr w:val="nil"/>
        </w:rPr>
        <w:t>,</w:t>
      </w:r>
      <w:r>
        <w:rPr>
          <w:rFonts w:ascii="Arial" w:eastAsia="Times New Roman" w:hAnsi="Arial" w:cs="Arial"/>
          <w:sz w:val="20"/>
          <w:szCs w:val="20"/>
          <w:bdr w:val="nil"/>
        </w:rPr>
        <w:t xml:space="preserve"> aby bylo možné kritérium s touto problematikou související uzavřít jako splněn</w:t>
      </w:r>
      <w:r w:rsidR="00C44F30">
        <w:rPr>
          <w:rFonts w:ascii="Arial" w:eastAsia="Times New Roman" w:hAnsi="Arial" w:cs="Arial"/>
          <w:sz w:val="20"/>
          <w:szCs w:val="20"/>
          <w:bdr w:val="nil"/>
        </w:rPr>
        <w:t>é</w:t>
      </w:r>
      <w:r>
        <w:rPr>
          <w:rFonts w:ascii="Arial" w:eastAsia="Times New Roman" w:hAnsi="Arial" w:cs="Arial"/>
          <w:sz w:val="20"/>
          <w:szCs w:val="20"/>
          <w:bdr w:val="nil"/>
        </w:rPr>
        <w:t xml:space="preserve">, či minimálně se pokusit tento </w:t>
      </w:r>
      <w:r w:rsidR="00C44F30">
        <w:rPr>
          <w:rFonts w:ascii="Arial" w:eastAsia="Times New Roman" w:hAnsi="Arial" w:cs="Arial"/>
          <w:sz w:val="20"/>
          <w:szCs w:val="20"/>
          <w:bdr w:val="nil"/>
        </w:rPr>
        <w:t xml:space="preserve">krok </w:t>
      </w:r>
      <w:r>
        <w:rPr>
          <w:rFonts w:ascii="Arial" w:eastAsia="Times New Roman" w:hAnsi="Arial" w:cs="Arial"/>
          <w:sz w:val="20"/>
          <w:szCs w:val="20"/>
          <w:bdr w:val="nil"/>
        </w:rPr>
        <w:t>s </w:t>
      </w:r>
      <w:r w:rsidR="00C44F30">
        <w:rPr>
          <w:rFonts w:ascii="Arial" w:eastAsia="Times New Roman" w:hAnsi="Arial" w:cs="Arial"/>
          <w:sz w:val="20"/>
          <w:szCs w:val="20"/>
          <w:bdr w:val="nil"/>
        </w:rPr>
        <w:t>EK</w:t>
      </w:r>
      <w:r>
        <w:rPr>
          <w:rFonts w:ascii="Arial" w:eastAsia="Times New Roman" w:hAnsi="Arial" w:cs="Arial"/>
          <w:sz w:val="20"/>
          <w:szCs w:val="20"/>
          <w:bdr w:val="nil"/>
        </w:rPr>
        <w:t xml:space="preserve"> dojednat.</w:t>
      </w:r>
    </w:p>
    <w:p w:rsidR="001B5190" w:rsidRPr="00677DD4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677DD4">
        <w:rPr>
          <w:rFonts w:ascii="Arial" w:eastAsia="Times New Roman" w:hAnsi="Arial" w:cs="Arial"/>
          <w:sz w:val="20"/>
          <w:szCs w:val="20"/>
          <w:bdr w:val="nil"/>
        </w:rPr>
        <w:t xml:space="preserve">Dále </w:t>
      </w:r>
      <w:r w:rsidR="00CC5BEB">
        <w:rPr>
          <w:rFonts w:ascii="Arial" w:eastAsia="Times New Roman" w:hAnsi="Arial" w:cs="Arial"/>
          <w:sz w:val="20"/>
          <w:szCs w:val="20"/>
          <w:bdr w:val="nil"/>
        </w:rPr>
        <w:t xml:space="preserve">MMR-NOK </w:t>
      </w:r>
      <w:r w:rsidRPr="00677DD4">
        <w:rPr>
          <w:rFonts w:ascii="Arial" w:eastAsia="Times New Roman" w:hAnsi="Arial" w:cs="Arial"/>
          <w:sz w:val="20"/>
          <w:szCs w:val="20"/>
          <w:bdr w:val="nil"/>
        </w:rPr>
        <w:t xml:space="preserve">upozorňuje na skutečnost, že </w:t>
      </w:r>
      <w:r w:rsidR="00C44F30">
        <w:rPr>
          <w:rFonts w:ascii="Arial" w:eastAsia="Times New Roman" w:hAnsi="Arial" w:cs="Arial"/>
          <w:sz w:val="20"/>
          <w:szCs w:val="20"/>
          <w:bdr w:val="nil"/>
        </w:rPr>
        <w:t>EK</w:t>
      </w:r>
      <w:r w:rsidRPr="00677DD4">
        <w:rPr>
          <w:rFonts w:ascii="Arial" w:eastAsia="Times New Roman" w:hAnsi="Arial" w:cs="Arial"/>
          <w:sz w:val="20"/>
          <w:szCs w:val="20"/>
          <w:bdr w:val="nil"/>
        </w:rPr>
        <w:t xml:space="preserve"> průběžně vznáší připomínky k problematice tzv. incentive pricing and adequate water contribution, která přímo souvisí s poplatkovou politikou ČR</w:t>
      </w:r>
      <w:r>
        <w:rPr>
          <w:rFonts w:ascii="Arial" w:eastAsia="Times New Roman" w:hAnsi="Arial" w:cs="Arial"/>
          <w:sz w:val="20"/>
          <w:szCs w:val="20"/>
          <w:bdr w:val="nil"/>
        </w:rPr>
        <w:t>. Předpokládáme, že tato problematika bude předmětem dalšího vyjednávání s </w:t>
      </w:r>
      <w:r w:rsidR="00C44F30">
        <w:rPr>
          <w:rFonts w:ascii="Arial" w:eastAsia="Times New Roman" w:hAnsi="Arial" w:cs="Arial"/>
          <w:sz w:val="20"/>
          <w:szCs w:val="20"/>
          <w:bdr w:val="nil"/>
        </w:rPr>
        <w:t>EK</w:t>
      </w:r>
      <w:r>
        <w:rPr>
          <w:rFonts w:ascii="Arial" w:eastAsia="Times New Roman" w:hAnsi="Arial" w:cs="Arial"/>
          <w:sz w:val="20"/>
          <w:szCs w:val="20"/>
          <w:bdr w:val="nil"/>
        </w:rPr>
        <w:t>.</w:t>
      </w:r>
    </w:p>
    <w:p w:rsidR="001B5190" w:rsidRPr="00231F8F" w:rsidRDefault="001B5190" w:rsidP="002C660E">
      <w:pPr>
        <w:spacing w:before="240"/>
        <w:rPr>
          <w:rFonts w:ascii="Arial" w:hAnsi="Arial" w:cs="Arial"/>
          <w:b/>
          <w:sz w:val="20"/>
          <w:szCs w:val="20"/>
          <w:u w:val="single"/>
        </w:rPr>
      </w:pPr>
      <w:r w:rsidRPr="00231F8F">
        <w:rPr>
          <w:rFonts w:ascii="Arial" w:hAnsi="Arial" w:cs="Arial"/>
          <w:b/>
          <w:u w:val="single"/>
        </w:rPr>
        <w:t>Odpady</w:t>
      </w:r>
      <w:r w:rsidRPr="00231F8F">
        <w:rPr>
          <w:rFonts w:ascii="Arial" w:hAnsi="Arial" w:cs="Arial"/>
        </w:rPr>
        <w:t xml:space="preserve"> –</w:t>
      </w:r>
      <w:r w:rsidRPr="00231F8F">
        <w:rPr>
          <w:rFonts w:ascii="Arial" w:hAnsi="Arial" w:cs="Arial"/>
          <w:b/>
        </w:rPr>
        <w:t xml:space="preserve"> T 6.2 </w:t>
      </w:r>
      <w:r w:rsidRPr="00231F8F">
        <w:rPr>
          <w:rFonts w:ascii="Arial" w:hAnsi="Arial" w:cs="Arial"/>
          <w:sz w:val="20"/>
          <w:szCs w:val="20"/>
        </w:rPr>
        <w:t>(gestor: ministerstvo životního prostředí)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EK kritizuje naplňování předběžné podmínky resp. kritéria k Plánu odpadového hospodářství ČR (POH) a opětovného použití recyklace odpadů. Připomínky se týkají přístupu ČR k výstavbě další kapacity odpadů ve vazbě na energetiku a také nejasný vztah mezi Plánem odpadového hospodářství ČR a regionálními plány odpadového hospodářství. </w:t>
      </w:r>
    </w:p>
    <w:p w:rsidR="001B5190" w:rsidRPr="002C660E" w:rsidRDefault="00B20509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ČR</w:t>
      </w:r>
      <w:r w:rsidR="001B5190" w:rsidRPr="002C660E">
        <w:rPr>
          <w:rFonts w:ascii="Arial" w:eastAsia="Times New Roman" w:hAnsi="Arial" w:cs="Arial"/>
          <w:sz w:val="20"/>
          <w:szCs w:val="20"/>
          <w:bdr w:val="nil"/>
        </w:rPr>
        <w:t xml:space="preserve"> se</w:t>
      </w:r>
      <w:r w:rsidR="008A01BD">
        <w:rPr>
          <w:rFonts w:ascii="Arial" w:eastAsia="Times New Roman" w:hAnsi="Arial" w:cs="Arial"/>
          <w:sz w:val="20"/>
          <w:szCs w:val="20"/>
          <w:bdr w:val="nil"/>
        </w:rPr>
        <w:t xml:space="preserve"> doposud</w:t>
      </w:r>
      <w:r w:rsidR="001B5190" w:rsidRPr="002C660E">
        <w:rPr>
          <w:rFonts w:ascii="Arial" w:eastAsia="Times New Roman" w:hAnsi="Arial" w:cs="Arial"/>
          <w:sz w:val="20"/>
          <w:szCs w:val="20"/>
          <w:bdr w:val="nil"/>
        </w:rPr>
        <w:t xml:space="preserve"> nepodařilo doposud nalézt řešení pro  využívání pouze jednoho zdroje dat pro</w:t>
      </w:r>
      <w:r w:rsidR="00FD7AE2">
        <w:rPr>
          <w:rFonts w:ascii="Arial" w:eastAsia="Times New Roman" w:hAnsi="Arial" w:cs="Arial"/>
          <w:sz w:val="20"/>
          <w:szCs w:val="20"/>
          <w:bdr w:val="nil"/>
        </w:rPr>
        <w:t> </w:t>
      </w:r>
      <w:r w:rsidR="001B5190" w:rsidRPr="002C660E">
        <w:rPr>
          <w:rFonts w:ascii="Arial" w:eastAsia="Times New Roman" w:hAnsi="Arial" w:cs="Arial"/>
          <w:sz w:val="20"/>
          <w:szCs w:val="20"/>
          <w:bdr w:val="nil"/>
        </w:rPr>
        <w:t>oblast odpadů.</w:t>
      </w:r>
    </w:p>
    <w:p w:rsidR="001B5190" w:rsidRPr="00231F8F" w:rsidRDefault="001B5190" w:rsidP="001B5190">
      <w:pPr>
        <w:spacing w:before="240"/>
        <w:rPr>
          <w:rFonts w:ascii="Arial" w:hAnsi="Arial" w:cs="Arial"/>
        </w:rPr>
      </w:pPr>
      <w:r w:rsidRPr="00231F8F">
        <w:rPr>
          <w:rFonts w:ascii="Arial" w:hAnsi="Arial" w:cs="Arial"/>
          <w:b/>
          <w:u w:val="single"/>
        </w:rPr>
        <w:t>Doprava</w:t>
      </w:r>
      <w:r w:rsidRPr="00231F8F">
        <w:rPr>
          <w:rFonts w:ascii="Arial" w:hAnsi="Arial" w:cs="Arial"/>
        </w:rPr>
        <w:t xml:space="preserve"> </w:t>
      </w:r>
      <w:r w:rsidRPr="00231F8F">
        <w:rPr>
          <w:rFonts w:ascii="Arial" w:eastAsia="Times New Roman" w:hAnsi="Arial" w:cs="Arial"/>
        </w:rPr>
        <w:t xml:space="preserve">– </w:t>
      </w:r>
      <w:r w:rsidRPr="00231F8F">
        <w:rPr>
          <w:rFonts w:ascii="Arial" w:eastAsia="Times New Roman" w:hAnsi="Arial" w:cs="Arial"/>
          <w:b/>
        </w:rPr>
        <w:t>T 7.1–7.3</w:t>
      </w:r>
      <w:r w:rsidRPr="00231F8F">
        <w:rPr>
          <w:rFonts w:ascii="Arial" w:eastAsia="Times New Roman" w:hAnsi="Arial" w:cs="Arial"/>
        </w:rPr>
        <w:t xml:space="preserve"> </w:t>
      </w:r>
      <w:r w:rsidRPr="00231F8F">
        <w:rPr>
          <w:rFonts w:ascii="Arial" w:hAnsi="Arial" w:cs="Arial"/>
          <w:sz w:val="20"/>
          <w:szCs w:val="20"/>
        </w:rPr>
        <w:t>(gestor: ministerstvo dopravy)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K n</w:t>
      </w:r>
      <w:r w:rsidR="00B20509" w:rsidRPr="002C660E">
        <w:rPr>
          <w:rFonts w:ascii="Arial" w:eastAsia="Times New Roman" w:hAnsi="Arial" w:cs="Arial"/>
          <w:sz w:val="20"/>
          <w:szCs w:val="20"/>
          <w:bdr w:val="nil"/>
        </w:rPr>
        <w:t>aplnění předběžných podmínek 7.1–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7.3: Ministerstvo dopravy (MD) aktuálně připravuje Akční plán k Dopravním sektorovým strategiím, 2. fáze, za asistence JASPERS. 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Akční plán je v tuto chvíli dokončen a je konzultován s JASPERS. Poté bude Akční plán zaslán na EK, to se předpokládá na začátku března</w:t>
      </w:r>
      <w:r w:rsidR="003D549B">
        <w:rPr>
          <w:rFonts w:ascii="Arial" w:eastAsia="Times New Roman" w:hAnsi="Arial" w:cs="Arial"/>
          <w:sz w:val="20"/>
          <w:szCs w:val="20"/>
          <w:bdr w:val="nil"/>
        </w:rPr>
        <w:t xml:space="preserve"> 2015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. </w:t>
      </w:r>
    </w:p>
    <w:p w:rsidR="001B5190" w:rsidRPr="00FA7B0C" w:rsidRDefault="001B5190" w:rsidP="00F078D5">
      <w:pPr>
        <w:spacing w:before="240"/>
        <w:rPr>
          <w:rFonts w:ascii="Arial" w:eastAsia="Times New Roman" w:hAnsi="Arial" w:cs="Arial"/>
          <w:b/>
          <w:u w:val="single"/>
        </w:rPr>
      </w:pPr>
      <w:r w:rsidRPr="00FA7B0C">
        <w:rPr>
          <w:rFonts w:ascii="Arial" w:eastAsia="Times New Roman" w:hAnsi="Arial" w:cs="Arial"/>
          <w:b/>
          <w:u w:val="single"/>
        </w:rPr>
        <w:t>Zaměstnanost</w:t>
      </w:r>
      <w:r w:rsidRPr="00FA7B0C">
        <w:rPr>
          <w:rFonts w:ascii="Arial" w:eastAsia="Times New Roman" w:hAnsi="Arial" w:cs="Arial"/>
        </w:rPr>
        <w:t xml:space="preserve"> – </w:t>
      </w:r>
      <w:r w:rsidR="00F02792">
        <w:rPr>
          <w:rFonts w:ascii="Arial" w:eastAsia="Times New Roman" w:hAnsi="Arial" w:cs="Arial"/>
          <w:b/>
        </w:rPr>
        <w:t>T 8.1, 8.3–</w:t>
      </w:r>
      <w:r w:rsidRPr="00FA7B0C">
        <w:rPr>
          <w:rFonts w:ascii="Arial" w:eastAsia="Times New Roman" w:hAnsi="Arial" w:cs="Arial"/>
          <w:b/>
        </w:rPr>
        <w:t>8.5, 8.6</w:t>
      </w:r>
      <w:r w:rsidRPr="00FA7B0C">
        <w:rPr>
          <w:rFonts w:ascii="Arial" w:eastAsia="Times New Roman" w:hAnsi="Arial" w:cs="Arial"/>
        </w:rPr>
        <w:t xml:space="preserve"> (gestor: ministerstvo práce a sociálních věcí)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Strategie politiky zaměstnanosti byla vládou schválena, stejně tak i jeden z jejích implementačních plánů - Aktivizační opatření k řešení nepříznivé situace na trhu práce. 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EK v rámci formálního vyjednávání k OP Zaměstnanost požádala o doplnění zejména k PP 8.1 (znevýhodněné skupiny obyvatel). Po doplnění a dovysvětlení ze strany </w:t>
      </w:r>
      <w:r w:rsidR="003D549B">
        <w:rPr>
          <w:rFonts w:ascii="Arial" w:eastAsia="Times New Roman" w:hAnsi="Arial" w:cs="Arial"/>
          <w:sz w:val="20"/>
          <w:szCs w:val="20"/>
          <w:bdr w:val="nil"/>
        </w:rPr>
        <w:t>ministerstva práce a sociálních věcí (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MPSV</w:t>
      </w:r>
      <w:r w:rsidR="003D549B">
        <w:rPr>
          <w:rFonts w:ascii="Arial" w:eastAsia="Times New Roman" w:hAnsi="Arial" w:cs="Arial"/>
          <w:sz w:val="20"/>
          <w:szCs w:val="20"/>
          <w:bdr w:val="nil"/>
        </w:rPr>
        <w:t>)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 jsou </w:t>
      </w:r>
      <w:r w:rsidR="00B20509" w:rsidRPr="002C660E">
        <w:rPr>
          <w:rFonts w:ascii="Arial" w:eastAsia="Times New Roman" w:hAnsi="Arial" w:cs="Arial"/>
          <w:sz w:val="20"/>
          <w:szCs w:val="20"/>
          <w:bdr w:val="nil"/>
        </w:rPr>
        <w:t xml:space="preserve">ze strany EK 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PP 8.1, 8.3 a 8.6 považovány za dostatečně vysvětlené. EK zároveň upozornila, že bude situaci sledovat v rámci Evropského semestru. 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V rámci předběžné podmínky 8.5 bude například nutné zavést systém vyhodnocování a</w:t>
      </w:r>
      <w:r w:rsidR="00B20509" w:rsidRPr="002C660E">
        <w:rPr>
          <w:rFonts w:ascii="Arial" w:eastAsia="Times New Roman" w:hAnsi="Arial" w:cs="Arial"/>
          <w:sz w:val="20"/>
          <w:szCs w:val="20"/>
          <w:bdr w:val="nil"/>
        </w:rPr>
        <w:t> 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předvídání kvalifikačních potřeb (termín splnění je gestorem stanoven na říjen 2015).</w:t>
      </w:r>
    </w:p>
    <w:p w:rsidR="001B5190" w:rsidRPr="00231F8F" w:rsidRDefault="001B5190" w:rsidP="002C660E">
      <w:pPr>
        <w:keepNext/>
        <w:spacing w:before="240"/>
        <w:rPr>
          <w:rFonts w:ascii="Arial" w:eastAsia="Times New Roman" w:hAnsi="Arial" w:cs="Arial"/>
          <w:b/>
          <w:u w:val="single"/>
        </w:rPr>
      </w:pPr>
      <w:r w:rsidRPr="00231F8F">
        <w:rPr>
          <w:rFonts w:ascii="Arial" w:eastAsia="Times New Roman" w:hAnsi="Arial" w:cs="Arial"/>
          <w:b/>
          <w:u w:val="single"/>
        </w:rPr>
        <w:t>Začleňování Romů</w:t>
      </w:r>
      <w:r w:rsidRPr="00231F8F">
        <w:rPr>
          <w:rFonts w:ascii="Arial" w:eastAsia="Times New Roman" w:hAnsi="Arial" w:cs="Arial"/>
        </w:rPr>
        <w:t xml:space="preserve"> –</w:t>
      </w:r>
      <w:r w:rsidRPr="00231F8F">
        <w:rPr>
          <w:rFonts w:ascii="Arial" w:eastAsia="Times New Roman" w:hAnsi="Arial" w:cs="Arial"/>
          <w:b/>
        </w:rPr>
        <w:t xml:space="preserve"> T 9.2 </w:t>
      </w:r>
      <w:r w:rsidRPr="00231F8F">
        <w:rPr>
          <w:rFonts w:ascii="Arial" w:eastAsia="Times New Roman" w:hAnsi="Arial" w:cs="Arial"/>
          <w:sz w:val="20"/>
          <w:szCs w:val="20"/>
        </w:rPr>
        <w:t>(gestor: Úřad vlády ČR)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Strategie romské integrace do roku 2020 byla dne 23. února 2015 vládou ČR projednána a následně schválena. </w:t>
      </w:r>
    </w:p>
    <w:p w:rsidR="001B5190" w:rsidRPr="002C660E" w:rsidRDefault="001B5190" w:rsidP="00FD7AE2">
      <w:pPr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5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MMR aktuálně vyzvalo Ú</w:t>
      </w:r>
      <w:r w:rsidR="00B6793B">
        <w:rPr>
          <w:rFonts w:ascii="Arial" w:eastAsia="Times New Roman" w:hAnsi="Arial" w:cs="Arial"/>
          <w:sz w:val="20"/>
          <w:szCs w:val="20"/>
          <w:bdr w:val="nil"/>
        </w:rPr>
        <w:t>řad vlády ČR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 k revizi stavu a obsahu naplňování v návaznosti na</w:t>
      </w:r>
      <w:r w:rsidR="00B6793B">
        <w:rPr>
          <w:rFonts w:ascii="Arial" w:eastAsia="Times New Roman" w:hAnsi="Arial" w:cs="Arial"/>
          <w:sz w:val="20"/>
          <w:szCs w:val="20"/>
          <w:bdr w:val="nil"/>
        </w:rPr>
        <w:t> 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schválení materiálu vládou. Nicméně vzhledem k důrazu, který na tuto oblast klade </w:t>
      </w:r>
      <w:r w:rsidR="00B20509" w:rsidRPr="002C660E">
        <w:rPr>
          <w:rFonts w:ascii="Arial" w:eastAsia="Times New Roman" w:hAnsi="Arial" w:cs="Arial"/>
          <w:sz w:val="20"/>
          <w:szCs w:val="20"/>
          <w:bdr w:val="nil"/>
        </w:rPr>
        <w:t>EK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, nelze schválení vládou považovat za automatické splnění předběžné podmínky, ale bude nutné si tento krok nechat verifikovat </w:t>
      </w:r>
      <w:r w:rsidR="00B20509" w:rsidRPr="002C660E">
        <w:rPr>
          <w:rFonts w:ascii="Arial" w:eastAsia="Times New Roman" w:hAnsi="Arial" w:cs="Arial"/>
          <w:sz w:val="20"/>
          <w:szCs w:val="20"/>
          <w:bdr w:val="nil"/>
        </w:rPr>
        <w:t>ze strany EK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, byť ta byla o přípravě dokumentu a obsahu jeho „meziverzí“ informována.</w:t>
      </w:r>
    </w:p>
    <w:p w:rsidR="001B5190" w:rsidRPr="00231F8F" w:rsidRDefault="001B5190" w:rsidP="002C660E">
      <w:pPr>
        <w:keepNext/>
        <w:keepLines/>
        <w:spacing w:before="240"/>
        <w:rPr>
          <w:rFonts w:ascii="Arial" w:hAnsi="Arial" w:cs="Arial"/>
          <w:sz w:val="20"/>
          <w:szCs w:val="20"/>
        </w:rPr>
      </w:pPr>
      <w:r w:rsidRPr="00231F8F">
        <w:rPr>
          <w:rFonts w:ascii="Arial" w:eastAsia="Times New Roman" w:hAnsi="Arial" w:cs="Arial"/>
          <w:b/>
          <w:u w:val="single"/>
        </w:rPr>
        <w:t>Zdraví</w:t>
      </w:r>
      <w:r w:rsidRPr="00231F8F">
        <w:rPr>
          <w:rFonts w:ascii="Arial" w:eastAsia="Times New Roman" w:hAnsi="Arial" w:cs="Arial"/>
        </w:rPr>
        <w:t xml:space="preserve"> – </w:t>
      </w:r>
      <w:r w:rsidRPr="00231F8F">
        <w:rPr>
          <w:rFonts w:ascii="Arial" w:eastAsia="Times New Roman" w:hAnsi="Arial" w:cs="Arial"/>
          <w:b/>
        </w:rPr>
        <w:t>T 9.3</w:t>
      </w:r>
      <w:r w:rsidRPr="00231F8F">
        <w:rPr>
          <w:rFonts w:ascii="Arial" w:eastAsia="Times New Roman" w:hAnsi="Arial" w:cs="Arial"/>
        </w:rPr>
        <w:t xml:space="preserve"> </w:t>
      </w:r>
      <w:r w:rsidRPr="00231F8F">
        <w:rPr>
          <w:rFonts w:ascii="Arial" w:eastAsia="Times New Roman" w:hAnsi="Arial" w:cs="Arial"/>
          <w:sz w:val="20"/>
          <w:szCs w:val="20"/>
        </w:rPr>
        <w:t>(gestor: ministerstvo zdravotnictví)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EK ve svých připomínkách k programům poptávala další informace a upřesnění způsobu naplňování. Rozpracované informace byly v rámci formálního dialogu s EK komunikovány a</w:t>
      </w:r>
      <w:r w:rsidR="00B20509" w:rsidRPr="002C660E">
        <w:rPr>
          <w:rFonts w:ascii="Arial" w:eastAsia="Times New Roman" w:hAnsi="Arial" w:cs="Arial"/>
          <w:sz w:val="20"/>
          <w:szCs w:val="20"/>
          <w:bdr w:val="nil"/>
        </w:rPr>
        <w:t> 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předloženy revidované texty (vč. průběžných výstupů z přípravy akčních plánů). Po doplnění dané předběžné podmínky není EK zcela komfortní s termínem dokončení akčních plánů a</w:t>
      </w:r>
      <w:r w:rsidR="00B20509" w:rsidRPr="002C660E">
        <w:rPr>
          <w:rFonts w:ascii="Arial" w:eastAsia="Times New Roman" w:hAnsi="Arial" w:cs="Arial"/>
          <w:sz w:val="20"/>
          <w:szCs w:val="20"/>
          <w:bdr w:val="nil"/>
        </w:rPr>
        <w:t> 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doporučuje ČR, aby bylo dopracování urychleno. U této předběžné podmínky nevyloučila konstatování significant prejudice, což by znamenalo pozastavení plateb na příslušnou část </w:t>
      </w:r>
      <w:r w:rsidR="009803A0" w:rsidRPr="002C660E">
        <w:rPr>
          <w:rFonts w:ascii="Arial" w:eastAsia="Times New Roman" w:hAnsi="Arial" w:cs="Arial"/>
          <w:sz w:val="20"/>
          <w:szCs w:val="20"/>
          <w:bdr w:val="nil"/>
        </w:rPr>
        <w:t>relevantních programů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.</w:t>
      </w:r>
    </w:p>
    <w:p w:rsidR="001B5190" w:rsidRPr="00231F8F" w:rsidRDefault="001B5190" w:rsidP="002C660E">
      <w:pPr>
        <w:keepNext/>
        <w:spacing w:before="240"/>
        <w:rPr>
          <w:rFonts w:ascii="Arial" w:eastAsia="Times New Roman" w:hAnsi="Arial" w:cs="Arial"/>
          <w:b/>
          <w:u w:val="single"/>
        </w:rPr>
      </w:pPr>
      <w:r w:rsidRPr="00231F8F">
        <w:rPr>
          <w:rFonts w:ascii="Arial" w:eastAsia="Times New Roman" w:hAnsi="Arial" w:cs="Arial"/>
          <w:b/>
          <w:u w:val="single"/>
        </w:rPr>
        <w:t xml:space="preserve">Vzdělávání </w:t>
      </w:r>
      <w:r w:rsidRPr="00231F8F">
        <w:rPr>
          <w:rFonts w:ascii="Arial" w:eastAsia="Times New Roman" w:hAnsi="Arial" w:cs="Arial"/>
        </w:rPr>
        <w:t xml:space="preserve">– </w:t>
      </w:r>
      <w:r w:rsidRPr="00231F8F">
        <w:rPr>
          <w:rFonts w:ascii="Arial" w:eastAsia="Times New Roman" w:hAnsi="Arial" w:cs="Arial"/>
          <w:b/>
        </w:rPr>
        <w:t>T 10.1–10.4</w:t>
      </w:r>
      <w:r w:rsidRPr="00231F8F">
        <w:rPr>
          <w:rFonts w:ascii="Arial" w:eastAsia="Times New Roman" w:hAnsi="Arial" w:cs="Arial"/>
        </w:rPr>
        <w:t xml:space="preserve"> </w:t>
      </w:r>
      <w:r w:rsidRPr="00231F8F">
        <w:rPr>
          <w:rFonts w:ascii="Arial" w:eastAsia="Times New Roman" w:hAnsi="Arial" w:cs="Arial"/>
          <w:sz w:val="20"/>
          <w:szCs w:val="20"/>
        </w:rPr>
        <w:t>(gestor: ministerstvo školství, mládeže a tělovýchovy)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V únoru 2015 byl do meziresortního připomínkového řízení předložen Dlouhodobý záměr vzdělávání a rozvoje vzdělávací soustavy v ČR na období 2015–2020, aktuálně probíhá vypořádání připomínek. Výsledek meziresortního vypořádání v podobě revidované verze Dlouhodobého záměru lze očekávat v průběhu března 2015, čímž dojde k naplnění některých požadavků obsažených v rámci kritérií předběžných podmínek 10.1</w:t>
      </w:r>
      <w:r w:rsidR="009803A0" w:rsidRPr="002C660E">
        <w:rPr>
          <w:rFonts w:ascii="Arial" w:eastAsia="Times New Roman" w:hAnsi="Arial" w:cs="Arial"/>
          <w:sz w:val="20"/>
          <w:szCs w:val="20"/>
          <w:bdr w:val="nil"/>
        </w:rPr>
        <w:t>–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10.3 (nikoli však ke splnění kritérií jako celku).</w:t>
      </w:r>
    </w:p>
    <w:p w:rsidR="001B5190" w:rsidRPr="00231F8F" w:rsidRDefault="001B5190" w:rsidP="002C660E">
      <w:pPr>
        <w:spacing w:before="240"/>
        <w:rPr>
          <w:rFonts w:ascii="Arial" w:eastAsia="Times New Roman" w:hAnsi="Arial" w:cs="Arial"/>
          <w:b/>
          <w:u w:val="single"/>
        </w:rPr>
      </w:pPr>
      <w:r w:rsidRPr="00231F8F">
        <w:rPr>
          <w:rFonts w:ascii="Arial" w:eastAsia="Times New Roman" w:hAnsi="Arial" w:cs="Arial"/>
          <w:b/>
          <w:u w:val="single"/>
        </w:rPr>
        <w:t>Veřejná správa / strategie</w:t>
      </w:r>
      <w:r w:rsidRPr="00231F8F">
        <w:rPr>
          <w:rFonts w:ascii="Arial" w:eastAsia="Times New Roman" w:hAnsi="Arial" w:cs="Arial"/>
        </w:rPr>
        <w:t xml:space="preserve"> – </w:t>
      </w:r>
      <w:r w:rsidRPr="00231F8F">
        <w:rPr>
          <w:rFonts w:ascii="Arial" w:eastAsia="Times New Roman" w:hAnsi="Arial" w:cs="Arial"/>
          <w:b/>
        </w:rPr>
        <w:t>T 11.1</w:t>
      </w:r>
      <w:r w:rsidRPr="00231F8F">
        <w:rPr>
          <w:rFonts w:ascii="Arial" w:eastAsia="Times New Roman" w:hAnsi="Arial" w:cs="Arial"/>
        </w:rPr>
        <w:t xml:space="preserve"> </w:t>
      </w:r>
      <w:r w:rsidRPr="00231F8F">
        <w:rPr>
          <w:rFonts w:ascii="Arial" w:eastAsia="Times New Roman" w:hAnsi="Arial" w:cs="Arial"/>
          <w:sz w:val="20"/>
          <w:szCs w:val="20"/>
        </w:rPr>
        <w:t>(gestor: ministerstvo vnitra)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C660E">
        <w:rPr>
          <w:rFonts w:ascii="Arial" w:eastAsia="Times New Roman" w:hAnsi="Arial" w:cs="Arial"/>
          <w:sz w:val="20"/>
          <w:szCs w:val="20"/>
          <w:bdr w:val="nil"/>
        </w:rPr>
        <w:t>V návaznosti na připomínky EK a diskusi v rámci formálního vyjednávání, bylo naplňování předběžné podmínky upraveno, stejně tak i příslušné části dotčených programů, akční plán i hodnotící tabulky. Termín u některých nesplněných kritérií je stanoven na konec roku 2016, což je nejzazší termín splnění předběžnýc</w:t>
      </w:r>
      <w:r w:rsidR="003D549B">
        <w:rPr>
          <w:rFonts w:ascii="Arial" w:eastAsia="Times New Roman" w:hAnsi="Arial" w:cs="Arial"/>
          <w:sz w:val="20"/>
          <w:szCs w:val="20"/>
          <w:bdr w:val="nil"/>
        </w:rPr>
        <w:t>h podmínek podle 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>nařízení. Naplňování této PP je tudíž značně rizikové a bude muset být pečlivě monitorováno.</w:t>
      </w:r>
    </w:p>
    <w:p w:rsidR="00F078D5" w:rsidRDefault="001B5190" w:rsidP="00A25189">
      <w:pPr>
        <w:spacing w:before="240"/>
        <w:rPr>
          <w:rFonts w:ascii="Arial" w:eastAsia="Times New Roman" w:hAnsi="Arial" w:cs="Arial"/>
          <w:b/>
          <w:bCs/>
          <w:sz w:val="20"/>
          <w:szCs w:val="20"/>
          <w:bdr w:val="nil"/>
        </w:rPr>
      </w:pPr>
      <w:r w:rsidRPr="007B1BC7">
        <w:rPr>
          <w:rFonts w:ascii="Arial" w:eastAsia="Times New Roman" w:hAnsi="Arial" w:cs="Arial"/>
          <w:b/>
          <w:bCs/>
          <w:u w:val="single"/>
          <w:bdr w:val="nil"/>
        </w:rPr>
        <w:t>Služební zákon</w:t>
      </w:r>
      <w:r w:rsidRPr="007B1BC7">
        <w:rPr>
          <w:rFonts w:ascii="Arial" w:eastAsia="Times New Roman" w:hAnsi="Arial" w:cs="Arial"/>
          <w:b/>
          <w:bCs/>
          <w:bdr w:val="nil"/>
        </w:rPr>
        <w:t xml:space="preserve"> – T 11</w:t>
      </w:r>
      <w:r w:rsidRPr="007B1BC7">
        <w:rPr>
          <w:rFonts w:ascii="Arial" w:eastAsia="Times New Roman" w:hAnsi="Arial" w:cs="Arial"/>
          <w:b/>
          <w:bCs/>
          <w:sz w:val="20"/>
          <w:szCs w:val="20"/>
          <w:bdr w:val="nil"/>
        </w:rPr>
        <w:t xml:space="preserve"> </w:t>
      </w:r>
    </w:p>
    <w:p w:rsidR="001B5190" w:rsidRDefault="001B5190" w:rsidP="00A25189">
      <w:pPr>
        <w:spacing w:before="0"/>
        <w:rPr>
          <w:rFonts w:ascii="Arial" w:eastAsia="Times New Roman" w:hAnsi="Arial" w:cs="Arial"/>
          <w:bCs/>
          <w:sz w:val="20"/>
          <w:szCs w:val="20"/>
          <w:bdr w:val="nil"/>
        </w:rPr>
      </w:pPr>
      <w:r w:rsidRPr="007B1BC7">
        <w:rPr>
          <w:rFonts w:ascii="Arial" w:eastAsia="Times New Roman" w:hAnsi="Arial" w:cs="Arial"/>
          <w:bCs/>
          <w:sz w:val="20"/>
          <w:szCs w:val="20"/>
          <w:bdr w:val="nil"/>
        </w:rPr>
        <w:t>(gestor: sekce náměstka pro státní službu, problematika odměňování gestor: ministerstvo práce a sociálních věcí a ministerstvo financí)</w:t>
      </w:r>
    </w:p>
    <w:p w:rsidR="001B5190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bookmarkStart w:id="24" w:name="_Toc412816342"/>
      <w:r w:rsidRPr="002C660E">
        <w:rPr>
          <w:rFonts w:ascii="Arial" w:hAnsi="Arial" w:cs="Arial"/>
          <w:b/>
          <w:sz w:val="20"/>
          <w:szCs w:val="20"/>
        </w:rPr>
        <w:t>Zprostředkující subjekty</w:t>
      </w:r>
      <w:r w:rsidRPr="002C660E">
        <w:rPr>
          <w:rFonts w:ascii="Arial" w:hAnsi="Arial" w:cs="Arial"/>
          <w:sz w:val="20"/>
          <w:szCs w:val="20"/>
        </w:rPr>
        <w:t xml:space="preserve">: vláda řešila problematiku zprostředkujících subjektů v souvislosti s </w:t>
      </w:r>
      <w:r w:rsidR="009803A0" w:rsidRPr="002C660E">
        <w:rPr>
          <w:rFonts w:ascii="Arial" w:hAnsi="Arial" w:cs="Arial"/>
          <w:sz w:val="20"/>
          <w:szCs w:val="20"/>
        </w:rPr>
        <w:t> </w:t>
      </w:r>
      <w:r w:rsidRPr="002C660E">
        <w:rPr>
          <w:rFonts w:ascii="Arial" w:hAnsi="Arial" w:cs="Arial"/>
          <w:sz w:val="20"/>
          <w:szCs w:val="20"/>
        </w:rPr>
        <w:t>jejich nepodřazením pod služební zákon na svém jednání dne 23. února 2015.</w:t>
      </w:r>
      <w:r w:rsidRPr="002C660E">
        <w:rPr>
          <w:rFonts w:ascii="Arial" w:hAnsi="Arial" w:cs="Arial"/>
          <w:b/>
          <w:sz w:val="20"/>
          <w:szCs w:val="20"/>
        </w:rPr>
        <w:t xml:space="preserve"> </w:t>
      </w:r>
      <w:r w:rsidRPr="002C660E">
        <w:rPr>
          <w:rFonts w:ascii="Arial" w:hAnsi="Arial" w:cs="Arial"/>
          <w:sz w:val="20"/>
          <w:szCs w:val="20"/>
        </w:rPr>
        <w:t>Na tomto jednání byly přijaty následující závěry:</w:t>
      </w:r>
      <w:bookmarkEnd w:id="24"/>
    </w:p>
    <w:p w:rsidR="001B5190" w:rsidRPr="00F078D5" w:rsidRDefault="001B5190" w:rsidP="002C660E">
      <w:pPr>
        <w:pStyle w:val="Odstavecseseznamem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992" w:hanging="357"/>
        <w:outlineLvl w:val="2"/>
        <w:rPr>
          <w:rFonts w:ascii="Arial" w:hAnsi="Arial" w:cs="Arial"/>
          <w:sz w:val="20"/>
          <w:szCs w:val="20"/>
          <w:lang w:eastAsia="cs-CZ"/>
        </w:rPr>
      </w:pPr>
      <w:bookmarkStart w:id="25" w:name="_Toc412816343"/>
      <w:r w:rsidRPr="00F078D5">
        <w:rPr>
          <w:rFonts w:ascii="Arial" w:hAnsi="Arial" w:cs="Arial"/>
          <w:b/>
          <w:sz w:val="20"/>
          <w:szCs w:val="20"/>
          <w:lang w:eastAsia="cs-CZ"/>
        </w:rPr>
        <w:t>CzechInvest</w:t>
      </w:r>
      <w:r w:rsidR="00F078D5" w:rsidRPr="00F078D5">
        <w:rPr>
          <w:rFonts w:ascii="Arial" w:hAnsi="Arial" w:cs="Arial"/>
          <w:b/>
          <w:sz w:val="20"/>
          <w:szCs w:val="20"/>
          <w:lang w:eastAsia="cs-CZ"/>
        </w:rPr>
        <w:t>:</w:t>
      </w:r>
      <w:r w:rsidR="00F078D5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9803A0">
        <w:rPr>
          <w:rFonts w:ascii="Arial" w:hAnsi="Arial" w:cs="Arial"/>
          <w:sz w:val="20"/>
          <w:szCs w:val="20"/>
          <w:lang w:eastAsia="cs-CZ"/>
        </w:rPr>
        <w:t>MPO</w:t>
      </w:r>
      <w:r w:rsidRPr="00F078D5">
        <w:rPr>
          <w:rFonts w:ascii="Arial" w:hAnsi="Arial" w:cs="Arial"/>
          <w:sz w:val="20"/>
          <w:szCs w:val="20"/>
          <w:lang w:eastAsia="cs-CZ"/>
        </w:rPr>
        <w:t xml:space="preserve"> přistoupí k vyčlenění divize strukturálních fondů CzechInvestu do </w:t>
      </w:r>
      <w:r w:rsidR="009803A0">
        <w:rPr>
          <w:rFonts w:ascii="Arial" w:hAnsi="Arial" w:cs="Arial"/>
          <w:sz w:val="20"/>
          <w:szCs w:val="20"/>
          <w:lang w:eastAsia="cs-CZ"/>
        </w:rPr>
        <w:t> </w:t>
      </w:r>
      <w:r w:rsidRPr="00F078D5">
        <w:rPr>
          <w:rFonts w:ascii="Arial" w:hAnsi="Arial" w:cs="Arial"/>
          <w:sz w:val="20"/>
          <w:szCs w:val="20"/>
          <w:lang w:eastAsia="cs-CZ"/>
        </w:rPr>
        <w:t xml:space="preserve">samostatné nové příspěvkové organizace v podřízenosti </w:t>
      </w:r>
      <w:r w:rsidR="009803A0">
        <w:rPr>
          <w:rFonts w:ascii="Arial" w:hAnsi="Arial" w:cs="Arial"/>
          <w:sz w:val="20"/>
          <w:szCs w:val="20"/>
          <w:lang w:eastAsia="cs-CZ"/>
        </w:rPr>
        <w:t>MPO</w:t>
      </w:r>
      <w:r w:rsidRPr="00F078D5">
        <w:rPr>
          <w:rFonts w:ascii="Arial" w:hAnsi="Arial" w:cs="Arial"/>
          <w:sz w:val="20"/>
          <w:szCs w:val="20"/>
          <w:lang w:eastAsia="cs-CZ"/>
        </w:rPr>
        <w:t xml:space="preserve">, která bude plnit roli zprostředkujícího subjektu pro </w:t>
      </w:r>
      <w:r w:rsidR="009803A0">
        <w:rPr>
          <w:rFonts w:ascii="Arial" w:hAnsi="Arial" w:cs="Arial"/>
          <w:sz w:val="20"/>
          <w:szCs w:val="20"/>
          <w:lang w:eastAsia="cs-CZ"/>
        </w:rPr>
        <w:t>OP PIK</w:t>
      </w:r>
      <w:r w:rsidRPr="00F078D5">
        <w:rPr>
          <w:rFonts w:ascii="Arial" w:hAnsi="Arial" w:cs="Arial"/>
          <w:sz w:val="20"/>
          <w:szCs w:val="20"/>
          <w:lang w:eastAsia="cs-CZ"/>
        </w:rPr>
        <w:t xml:space="preserve">. Aby tato nová organizace mohla být podřazena pod </w:t>
      </w:r>
      <w:r w:rsidR="009803A0">
        <w:rPr>
          <w:rFonts w:ascii="Arial" w:hAnsi="Arial" w:cs="Arial"/>
          <w:sz w:val="20"/>
          <w:szCs w:val="20"/>
          <w:lang w:eastAsia="cs-CZ"/>
        </w:rPr>
        <w:t> </w:t>
      </w:r>
      <w:r w:rsidRPr="00F078D5">
        <w:rPr>
          <w:rFonts w:ascii="Arial" w:hAnsi="Arial" w:cs="Arial"/>
          <w:sz w:val="20"/>
          <w:szCs w:val="20"/>
          <w:lang w:eastAsia="cs-CZ"/>
        </w:rPr>
        <w:t xml:space="preserve">režim služebního zákona, bude muset být zřízena zákonem s deklarací jejího vztahu na služební zákon, jak vyžaduje § 4 odst. 2 služebního zákona. </w:t>
      </w:r>
      <w:r w:rsidR="009803A0">
        <w:rPr>
          <w:rFonts w:ascii="Arial" w:hAnsi="Arial" w:cs="Arial"/>
          <w:sz w:val="20"/>
          <w:szCs w:val="20"/>
          <w:lang w:eastAsia="cs-CZ"/>
        </w:rPr>
        <w:t xml:space="preserve">MPO </w:t>
      </w:r>
      <w:r w:rsidRPr="00F078D5">
        <w:rPr>
          <w:rFonts w:ascii="Arial" w:hAnsi="Arial" w:cs="Arial"/>
          <w:sz w:val="20"/>
          <w:szCs w:val="20"/>
          <w:lang w:eastAsia="cs-CZ"/>
        </w:rPr>
        <w:t>přistoupí k takovým krokům, aby zajistilo vznik nového zprostředkujícího subjektu do konce roku 2015.</w:t>
      </w:r>
      <w:bookmarkEnd w:id="25"/>
    </w:p>
    <w:p w:rsidR="001B5190" w:rsidRPr="00F078D5" w:rsidRDefault="009803A0" w:rsidP="00D857DB">
      <w:pPr>
        <w:pStyle w:val="Odstavecseseznamem"/>
        <w:keepLines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0"/>
        <w:ind w:left="992" w:hanging="357"/>
        <w:outlineLvl w:val="2"/>
        <w:rPr>
          <w:rFonts w:ascii="Arial" w:hAnsi="Arial" w:cs="Arial"/>
          <w:sz w:val="20"/>
          <w:szCs w:val="20"/>
          <w:lang w:eastAsia="cs-CZ"/>
        </w:rPr>
      </w:pPr>
      <w:bookmarkStart w:id="26" w:name="_Toc412816344"/>
      <w:r>
        <w:rPr>
          <w:rFonts w:ascii="Arial" w:hAnsi="Arial" w:cs="Arial"/>
          <w:b/>
          <w:sz w:val="20"/>
          <w:szCs w:val="20"/>
          <w:lang w:eastAsia="cs-CZ"/>
        </w:rPr>
        <w:t>Technologická agentura ČR (</w:t>
      </w:r>
      <w:r w:rsidR="001B5190" w:rsidRPr="00F078D5">
        <w:rPr>
          <w:rFonts w:ascii="Arial" w:hAnsi="Arial" w:cs="Arial"/>
          <w:b/>
          <w:sz w:val="20"/>
          <w:szCs w:val="20"/>
          <w:lang w:eastAsia="cs-CZ"/>
        </w:rPr>
        <w:t>TA ČR</w:t>
      </w:r>
      <w:r w:rsidR="00AC567B">
        <w:rPr>
          <w:rFonts w:ascii="Arial" w:hAnsi="Arial" w:cs="Arial"/>
          <w:b/>
          <w:sz w:val="20"/>
          <w:szCs w:val="20"/>
          <w:lang w:eastAsia="cs-CZ"/>
        </w:rPr>
        <w:t>)</w:t>
      </w:r>
      <w:r w:rsidR="00F078D5" w:rsidRPr="00F078D5">
        <w:rPr>
          <w:rFonts w:ascii="Arial" w:hAnsi="Arial" w:cs="Arial"/>
          <w:b/>
          <w:sz w:val="20"/>
          <w:szCs w:val="20"/>
          <w:lang w:eastAsia="cs-CZ"/>
        </w:rPr>
        <w:t>:</w:t>
      </w:r>
      <w:r w:rsidR="00F078D5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3D549B">
        <w:rPr>
          <w:rFonts w:ascii="Arial" w:hAnsi="Arial" w:cs="Arial"/>
          <w:sz w:val="20"/>
          <w:szCs w:val="20"/>
          <w:lang w:eastAsia="cs-CZ"/>
        </w:rPr>
        <w:t>Úřad vlády ČR (m</w:t>
      </w:r>
      <w:r w:rsidR="002E5870">
        <w:rPr>
          <w:rFonts w:ascii="Arial" w:hAnsi="Arial" w:cs="Arial"/>
          <w:sz w:val="20"/>
          <w:szCs w:val="20"/>
          <w:lang w:eastAsia="cs-CZ"/>
        </w:rPr>
        <w:t>ístopředseda vlády pro výzkum, vývoj a inovace</w:t>
      </w:r>
      <w:r w:rsidR="003D549B">
        <w:rPr>
          <w:rFonts w:ascii="Arial" w:hAnsi="Arial" w:cs="Arial"/>
          <w:sz w:val="20"/>
          <w:szCs w:val="20"/>
          <w:lang w:eastAsia="cs-CZ"/>
        </w:rPr>
        <w:t>)</w:t>
      </w:r>
      <w:r w:rsidR="002E5870">
        <w:rPr>
          <w:rFonts w:ascii="Arial" w:hAnsi="Arial" w:cs="Arial"/>
          <w:sz w:val="20"/>
          <w:szCs w:val="20"/>
          <w:lang w:eastAsia="cs-CZ"/>
        </w:rPr>
        <w:t>,</w:t>
      </w:r>
      <w:r w:rsidR="001B5190" w:rsidRPr="00F078D5">
        <w:rPr>
          <w:rFonts w:ascii="Arial" w:hAnsi="Arial" w:cs="Arial"/>
          <w:sz w:val="20"/>
          <w:szCs w:val="20"/>
          <w:lang w:eastAsia="cs-CZ"/>
        </w:rPr>
        <w:t xml:space="preserve"> ani MŠMT nevidí vzhledem k</w:t>
      </w:r>
      <w:r>
        <w:rPr>
          <w:rFonts w:ascii="Arial" w:hAnsi="Arial" w:cs="Arial"/>
          <w:sz w:val="20"/>
          <w:szCs w:val="20"/>
          <w:lang w:eastAsia="cs-CZ"/>
        </w:rPr>
        <w:t> </w:t>
      </w:r>
      <w:r w:rsidR="001B5190" w:rsidRPr="00F078D5">
        <w:rPr>
          <w:rFonts w:ascii="Arial" w:hAnsi="Arial" w:cs="Arial"/>
          <w:sz w:val="20"/>
          <w:szCs w:val="20"/>
          <w:lang w:eastAsia="cs-CZ"/>
        </w:rPr>
        <w:t>požadavkům EK možnost zapojit TA ČR do</w:t>
      </w:r>
      <w:r w:rsidR="002E5870">
        <w:rPr>
          <w:rFonts w:ascii="Arial" w:hAnsi="Arial" w:cs="Arial"/>
          <w:sz w:val="20"/>
          <w:szCs w:val="20"/>
          <w:lang w:eastAsia="cs-CZ"/>
        </w:rPr>
        <w:t> </w:t>
      </w:r>
      <w:r w:rsidR="001B5190" w:rsidRPr="00F078D5">
        <w:rPr>
          <w:rFonts w:ascii="Arial" w:hAnsi="Arial" w:cs="Arial"/>
          <w:sz w:val="20"/>
          <w:szCs w:val="20"/>
          <w:lang w:eastAsia="cs-CZ"/>
        </w:rPr>
        <w:t xml:space="preserve">implementace OP VVV jako zprostředkující subjekt. </w:t>
      </w:r>
      <w:r w:rsidR="001B5190" w:rsidRPr="00F078D5">
        <w:rPr>
          <w:rFonts w:ascii="Arial" w:hAnsi="Arial" w:cs="Arial"/>
          <w:sz w:val="20"/>
          <w:szCs w:val="20"/>
        </w:rPr>
        <w:t>Realizace ani čerpání finančních prostředků z OP VVV nebudou touto skutečností ohroženy. Na základě Memoranda o</w:t>
      </w:r>
      <w:r w:rsidR="002E5870">
        <w:rPr>
          <w:rFonts w:ascii="Arial" w:hAnsi="Arial" w:cs="Arial"/>
          <w:sz w:val="20"/>
          <w:szCs w:val="20"/>
        </w:rPr>
        <w:t> </w:t>
      </w:r>
      <w:r w:rsidR="00AC567B">
        <w:rPr>
          <w:rFonts w:ascii="Arial" w:hAnsi="Arial" w:cs="Arial"/>
          <w:sz w:val="20"/>
          <w:szCs w:val="20"/>
        </w:rPr>
        <w:t>spolupráci mezi </w:t>
      </w:r>
      <w:r w:rsidR="001B5190" w:rsidRPr="00F078D5">
        <w:rPr>
          <w:rFonts w:ascii="Arial" w:hAnsi="Arial" w:cs="Arial"/>
          <w:sz w:val="20"/>
          <w:szCs w:val="20"/>
        </w:rPr>
        <w:t xml:space="preserve">MŠMT a TA ČR, které bylo uzavřeno dne 13. </w:t>
      </w:r>
      <w:r>
        <w:rPr>
          <w:rFonts w:ascii="Arial" w:hAnsi="Arial" w:cs="Arial"/>
          <w:sz w:val="20"/>
          <w:szCs w:val="20"/>
        </w:rPr>
        <w:t>ledna</w:t>
      </w:r>
      <w:r w:rsidR="001B5190" w:rsidRPr="00F078D5">
        <w:rPr>
          <w:rFonts w:ascii="Arial" w:hAnsi="Arial" w:cs="Arial"/>
          <w:sz w:val="20"/>
          <w:szCs w:val="20"/>
        </w:rPr>
        <w:t xml:space="preserve"> 2015,</w:t>
      </w:r>
      <w:r>
        <w:rPr>
          <w:rFonts w:ascii="Arial" w:hAnsi="Arial" w:cs="Arial"/>
          <w:sz w:val="20"/>
          <w:szCs w:val="20"/>
        </w:rPr>
        <w:t xml:space="preserve"> </w:t>
      </w:r>
      <w:r w:rsidR="001B5190" w:rsidRPr="00F078D5">
        <w:rPr>
          <w:rFonts w:ascii="Arial" w:hAnsi="Arial" w:cs="Arial"/>
          <w:sz w:val="20"/>
          <w:szCs w:val="20"/>
        </w:rPr>
        <w:t>je počítáno s</w:t>
      </w:r>
      <w:r w:rsidR="002E5870">
        <w:rPr>
          <w:rFonts w:ascii="Arial" w:hAnsi="Arial" w:cs="Arial"/>
          <w:sz w:val="20"/>
          <w:szCs w:val="20"/>
        </w:rPr>
        <w:t> </w:t>
      </w:r>
      <w:r w:rsidR="001B5190" w:rsidRPr="00F078D5">
        <w:rPr>
          <w:rFonts w:ascii="Arial" w:hAnsi="Arial" w:cs="Arial"/>
          <w:sz w:val="20"/>
          <w:szCs w:val="20"/>
        </w:rPr>
        <w:t>aktivní účastí TA ČR při věcné přípravě a konzultaci výzev v dotčenýc</w:t>
      </w:r>
      <w:r w:rsidR="00AC567B">
        <w:rPr>
          <w:rFonts w:ascii="Arial" w:hAnsi="Arial" w:cs="Arial"/>
          <w:sz w:val="20"/>
          <w:szCs w:val="20"/>
        </w:rPr>
        <w:t>h oblastech Memoranda a účast v </w:t>
      </w:r>
      <w:r w:rsidR="001B5190" w:rsidRPr="00F078D5">
        <w:rPr>
          <w:rFonts w:ascii="Arial" w:hAnsi="Arial" w:cs="Arial"/>
          <w:sz w:val="20"/>
          <w:szCs w:val="20"/>
        </w:rPr>
        <w:t>Monitorovacím výboru OP VVV.</w:t>
      </w:r>
      <w:r w:rsidR="001B5190" w:rsidRPr="00F078D5">
        <w:rPr>
          <w:rFonts w:ascii="Arial" w:hAnsi="Arial" w:cs="Arial"/>
          <w:b/>
          <w:sz w:val="20"/>
          <w:szCs w:val="20"/>
          <w:u w:val="single"/>
        </w:rPr>
        <w:t xml:space="preserve"> </w:t>
      </w:r>
      <w:bookmarkEnd w:id="26"/>
    </w:p>
    <w:p w:rsidR="00D03EAB" w:rsidRPr="002C660E" w:rsidRDefault="001B5190" w:rsidP="002C66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bookmarkStart w:id="27" w:name="_Toc412816345"/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Dále byl na základě spolupráce relevantních resortů připraven tzv. Conform letter </w:t>
      </w:r>
      <w:r w:rsidR="00097FFD">
        <w:rPr>
          <w:rFonts w:ascii="Arial" w:eastAsia="Times New Roman" w:hAnsi="Arial" w:cs="Arial"/>
          <w:sz w:val="20"/>
          <w:szCs w:val="20"/>
          <w:bdr w:val="nil"/>
        </w:rPr>
        <w:t>jednoznačně deklarující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 připravenost ČR k naplnění veškerých předdefinovaných závazků. </w:t>
      </w:r>
      <w:r w:rsidR="009803A0" w:rsidRPr="002C660E">
        <w:rPr>
          <w:rFonts w:ascii="Arial" w:eastAsia="Times New Roman" w:hAnsi="Arial" w:cs="Arial"/>
          <w:sz w:val="20"/>
          <w:szCs w:val="20"/>
          <w:bdr w:val="nil"/>
        </w:rPr>
        <w:t>EK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 potvrdila dne 26. </w:t>
      </w:r>
      <w:r w:rsidR="009803A0" w:rsidRPr="002C660E">
        <w:rPr>
          <w:rFonts w:ascii="Arial" w:eastAsia="Times New Roman" w:hAnsi="Arial" w:cs="Arial"/>
          <w:sz w:val="20"/>
          <w:szCs w:val="20"/>
          <w:bdr w:val="nil"/>
        </w:rPr>
        <w:t>února</w:t>
      </w:r>
      <w:r w:rsidRPr="002C660E">
        <w:rPr>
          <w:rFonts w:ascii="Arial" w:eastAsia="Times New Roman" w:hAnsi="Arial" w:cs="Arial"/>
          <w:sz w:val="20"/>
          <w:szCs w:val="20"/>
          <w:bdr w:val="nil"/>
        </w:rPr>
        <w:t xml:space="preserve"> 2015 závazky vyplývající z tohoto dopisu.</w:t>
      </w:r>
      <w:bookmarkEnd w:id="27"/>
      <w:r w:rsidR="00D03EAB" w:rsidRPr="002C660E">
        <w:rPr>
          <w:rFonts w:ascii="Arial" w:eastAsia="Times New Roman" w:hAnsi="Arial" w:cs="Arial"/>
          <w:sz w:val="20"/>
          <w:szCs w:val="20"/>
          <w:bdr w:val="nil"/>
        </w:rPr>
        <w:br w:type="page"/>
      </w:r>
    </w:p>
    <w:p w:rsidR="003016BD" w:rsidRPr="00CE0788" w:rsidRDefault="003A6035" w:rsidP="009803A0">
      <w:pPr>
        <w:pStyle w:val="Nadpis1"/>
        <w:spacing w:before="0"/>
        <w:ind w:left="425" w:hanging="425"/>
      </w:pPr>
      <w:bookmarkStart w:id="28" w:name="_Toc412816346"/>
      <w:r>
        <w:t>Další oblasti</w:t>
      </w:r>
      <w:bookmarkEnd w:id="20"/>
      <w:r>
        <w:t xml:space="preserve"> </w:t>
      </w:r>
      <w:r w:rsidR="00F337DE">
        <w:t>v rámci přípravy 2014–2020</w:t>
      </w:r>
      <w:bookmarkEnd w:id="28"/>
    </w:p>
    <w:p w:rsidR="00B16B57" w:rsidRDefault="00B16B57" w:rsidP="00B16B57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 w:after="120" w:line="240" w:lineRule="auto"/>
        <w:outlineLvl w:val="2"/>
        <w:rPr>
          <w:rFonts w:ascii="Arial" w:hAnsi="Arial" w:cs="Arial"/>
          <w:sz w:val="20"/>
        </w:rPr>
      </w:pPr>
      <w:bookmarkStart w:id="29" w:name="_Toc412816347"/>
      <w:bookmarkStart w:id="30" w:name="_Toc401148480"/>
      <w:r>
        <w:rPr>
          <w:rFonts w:ascii="Arial" w:eastAsia="Times New Roman" w:hAnsi="Arial" w:cs="Arial"/>
          <w:b/>
          <w:bCs/>
          <w:u w:val="single"/>
          <w:bdr w:val="nil"/>
        </w:rPr>
        <w:t>Jednotné metodické prostředí</w:t>
      </w:r>
      <w:bookmarkEnd w:id="29"/>
    </w:p>
    <w:p w:rsidR="00B16B57" w:rsidRDefault="00B16B57" w:rsidP="00B16B57">
      <w:pPr>
        <w:tabs>
          <w:tab w:val="left" w:pos="2694"/>
        </w:tabs>
        <w:outlineLvl w:val="0"/>
        <w:rPr>
          <w:rFonts w:ascii="Arial" w:hAnsi="Arial" w:cs="Arial"/>
          <w:sz w:val="20"/>
        </w:rPr>
      </w:pPr>
      <w:bookmarkStart w:id="31" w:name="_Toc409196609"/>
      <w:bookmarkStart w:id="32" w:name="_Toc412816348"/>
      <w:r>
        <w:rPr>
          <w:rFonts w:ascii="Arial" w:hAnsi="Arial" w:cs="Arial"/>
          <w:sz w:val="20"/>
        </w:rPr>
        <w:t xml:space="preserve">Aktualizovaný Metodický pokyn k oblasti </w:t>
      </w:r>
      <w:r w:rsidRPr="00F026D0">
        <w:rPr>
          <w:rFonts w:ascii="Arial" w:hAnsi="Arial" w:cs="Arial"/>
          <w:sz w:val="20"/>
        </w:rPr>
        <w:t>publicity a informovanosti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byl vydán 8. ledna 2015, s účinností od 1. února 2015.</w:t>
      </w:r>
      <w:bookmarkEnd w:id="31"/>
      <w:r w:rsidR="005A355C">
        <w:rPr>
          <w:rFonts w:ascii="Arial" w:hAnsi="Arial" w:cs="Arial"/>
          <w:sz w:val="20"/>
        </w:rPr>
        <w:t xml:space="preserve"> </w:t>
      </w:r>
      <w:r w:rsidR="005A355C" w:rsidRPr="005A355C">
        <w:rPr>
          <w:rFonts w:ascii="Arial" w:hAnsi="Arial" w:cs="Arial"/>
          <w:sz w:val="20"/>
        </w:rPr>
        <w:t>Nadále probíhá aktualizace metodického pokynu k oblasti monitorování</w:t>
      </w:r>
      <w:r w:rsidR="005A355C">
        <w:rPr>
          <w:rFonts w:ascii="Arial" w:hAnsi="Arial" w:cs="Arial"/>
          <w:sz w:val="20"/>
        </w:rPr>
        <w:t xml:space="preserve"> a Metodického pokynu k využití integrovaných přístupů v programovém období 2014</w:t>
      </w:r>
      <w:r w:rsidR="009803A0">
        <w:rPr>
          <w:rFonts w:ascii="Arial" w:hAnsi="Arial" w:cs="Arial"/>
          <w:sz w:val="20"/>
        </w:rPr>
        <w:t>–</w:t>
      </w:r>
      <w:r w:rsidR="005A355C">
        <w:rPr>
          <w:rFonts w:ascii="Arial" w:hAnsi="Arial" w:cs="Arial"/>
          <w:sz w:val="20"/>
        </w:rPr>
        <w:t>2020</w:t>
      </w:r>
      <w:r w:rsidR="005A355C" w:rsidRPr="005A355C">
        <w:rPr>
          <w:rFonts w:ascii="Arial" w:hAnsi="Arial" w:cs="Arial"/>
          <w:sz w:val="20"/>
        </w:rPr>
        <w:t xml:space="preserve">. </w:t>
      </w:r>
      <w:r w:rsidR="005A355C">
        <w:rPr>
          <w:rFonts w:ascii="Arial" w:hAnsi="Arial" w:cs="Arial"/>
          <w:sz w:val="20"/>
        </w:rPr>
        <w:t>T</w:t>
      </w:r>
      <w:r w:rsidR="005A355C" w:rsidRPr="005A355C">
        <w:rPr>
          <w:rFonts w:ascii="Arial" w:hAnsi="Arial" w:cs="Arial"/>
          <w:sz w:val="20"/>
        </w:rPr>
        <w:t xml:space="preserve">echnická aktualizace vzorů jednacího řádu a statutu </w:t>
      </w:r>
      <w:r w:rsidR="009803A0">
        <w:rPr>
          <w:rFonts w:ascii="Arial" w:hAnsi="Arial" w:cs="Arial"/>
          <w:sz w:val="20"/>
        </w:rPr>
        <w:t>monitorovacího výboru</w:t>
      </w:r>
      <w:r w:rsidR="005A355C">
        <w:rPr>
          <w:rFonts w:ascii="Arial" w:hAnsi="Arial" w:cs="Arial"/>
          <w:sz w:val="20"/>
        </w:rPr>
        <w:t>, které jsou součástí Metodického pokynu pro přípravu řídící dokumentace v programovém období 2014</w:t>
      </w:r>
      <w:r w:rsidR="009803A0">
        <w:rPr>
          <w:rFonts w:ascii="Arial" w:hAnsi="Arial" w:cs="Arial"/>
          <w:sz w:val="20"/>
        </w:rPr>
        <w:t>–</w:t>
      </w:r>
      <w:r w:rsidR="005A355C">
        <w:rPr>
          <w:rFonts w:ascii="Arial" w:hAnsi="Arial" w:cs="Arial"/>
          <w:sz w:val="20"/>
        </w:rPr>
        <w:t>2020,</w:t>
      </w:r>
      <w:r w:rsidR="005A355C" w:rsidRPr="005A355C">
        <w:rPr>
          <w:rFonts w:ascii="Arial" w:hAnsi="Arial" w:cs="Arial"/>
          <w:sz w:val="20"/>
        </w:rPr>
        <w:t xml:space="preserve"> v so</w:t>
      </w:r>
      <w:r w:rsidR="005A355C">
        <w:rPr>
          <w:rFonts w:ascii="Arial" w:hAnsi="Arial" w:cs="Arial"/>
          <w:sz w:val="20"/>
        </w:rPr>
        <w:t>uladu s technickým nastavením v</w:t>
      </w:r>
      <w:r w:rsidR="009803A0">
        <w:rPr>
          <w:rFonts w:ascii="Arial" w:hAnsi="Arial" w:cs="Arial"/>
          <w:sz w:val="20"/>
        </w:rPr>
        <w:t> monitorovacím systému pro programové období 2014–2020 (</w:t>
      </w:r>
      <w:r w:rsidR="005A355C" w:rsidRPr="005A355C">
        <w:rPr>
          <w:rFonts w:ascii="Arial" w:hAnsi="Arial" w:cs="Arial"/>
          <w:sz w:val="20"/>
        </w:rPr>
        <w:t>MS2014+</w:t>
      </w:r>
      <w:r w:rsidR="009803A0">
        <w:rPr>
          <w:rFonts w:ascii="Arial" w:hAnsi="Arial" w:cs="Arial"/>
          <w:sz w:val="20"/>
        </w:rPr>
        <w:t>)</w:t>
      </w:r>
      <w:r w:rsidR="00921391">
        <w:rPr>
          <w:rFonts w:ascii="Arial" w:hAnsi="Arial" w:cs="Arial"/>
          <w:sz w:val="20"/>
        </w:rPr>
        <w:t>,</w:t>
      </w:r>
      <w:r w:rsidR="005A355C">
        <w:rPr>
          <w:rFonts w:ascii="Arial" w:hAnsi="Arial" w:cs="Arial"/>
          <w:sz w:val="20"/>
        </w:rPr>
        <w:t xml:space="preserve"> bude ukončena v prvním čtvrtletí 2015</w:t>
      </w:r>
      <w:r w:rsidR="005A355C" w:rsidRPr="005A355C">
        <w:rPr>
          <w:rFonts w:ascii="Arial" w:hAnsi="Arial" w:cs="Arial"/>
          <w:sz w:val="20"/>
        </w:rPr>
        <w:t>.</w:t>
      </w:r>
      <w:r w:rsidR="005A355C">
        <w:rPr>
          <w:rFonts w:ascii="Arial" w:hAnsi="Arial" w:cs="Arial"/>
          <w:sz w:val="20"/>
        </w:rPr>
        <w:t xml:space="preserve"> Aktualizace Metodického pokynu procesů řízení a </w:t>
      </w:r>
      <w:r w:rsidR="005A355C" w:rsidRPr="005A355C">
        <w:rPr>
          <w:rFonts w:ascii="Arial" w:hAnsi="Arial" w:cs="Arial"/>
          <w:sz w:val="20"/>
        </w:rPr>
        <w:t>monitorování v</w:t>
      </w:r>
      <w:r w:rsidR="00921391">
        <w:rPr>
          <w:rFonts w:ascii="Arial" w:hAnsi="Arial" w:cs="Arial"/>
          <w:sz w:val="20"/>
        </w:rPr>
        <w:t> </w:t>
      </w:r>
      <w:r w:rsidR="005A355C" w:rsidRPr="005A355C">
        <w:rPr>
          <w:rFonts w:ascii="Arial" w:hAnsi="Arial" w:cs="Arial"/>
          <w:sz w:val="20"/>
        </w:rPr>
        <w:t>MS2014+</w:t>
      </w:r>
      <w:r w:rsidR="003D549B">
        <w:rPr>
          <w:rFonts w:ascii="Arial" w:hAnsi="Arial" w:cs="Arial"/>
          <w:sz w:val="20"/>
        </w:rPr>
        <w:t xml:space="preserve"> bude ukončena</w:t>
      </w:r>
      <w:r w:rsidR="005A355C">
        <w:rPr>
          <w:rFonts w:ascii="Arial" w:hAnsi="Arial" w:cs="Arial"/>
          <w:sz w:val="20"/>
        </w:rPr>
        <w:t xml:space="preserve"> do poloviny roku 2015.</w:t>
      </w:r>
      <w:bookmarkEnd w:id="32"/>
    </w:p>
    <w:p w:rsidR="00B16B57" w:rsidRPr="00164349" w:rsidRDefault="00BE2029" w:rsidP="00B16B5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>V prvním čtvrtletí roku 2015</w:t>
      </w:r>
      <w:r w:rsidR="00B16B57" w:rsidRPr="00F026D0">
        <w:rPr>
          <w:rFonts w:ascii="Arial" w:hAnsi="Arial" w:cs="Arial"/>
          <w:sz w:val="20"/>
        </w:rPr>
        <w:t xml:space="preserve"> bude vydána </w:t>
      </w:r>
      <w:r w:rsidR="00B16B57" w:rsidRPr="00CC21CD">
        <w:rPr>
          <w:rFonts w:ascii="Arial" w:hAnsi="Arial" w:cs="Arial"/>
          <w:b/>
          <w:sz w:val="20"/>
        </w:rPr>
        <w:t>zastřešující Metodika řízení programů</w:t>
      </w:r>
      <w:r w:rsidR="00B16B57" w:rsidRPr="00F026D0">
        <w:rPr>
          <w:rFonts w:ascii="Arial" w:hAnsi="Arial" w:cs="Arial"/>
          <w:sz w:val="20"/>
        </w:rPr>
        <w:t xml:space="preserve">, která bude zahrnovat všechny dosud vydané metodické pokyny a doporučení v gesci </w:t>
      </w:r>
      <w:r w:rsidR="009803A0">
        <w:rPr>
          <w:rFonts w:ascii="Arial" w:hAnsi="Arial" w:cs="Arial"/>
          <w:sz w:val="20"/>
        </w:rPr>
        <w:t>MMR</w:t>
      </w:r>
      <w:r w:rsidR="00B16B57">
        <w:rPr>
          <w:rFonts w:ascii="Arial" w:hAnsi="Arial" w:cs="Arial"/>
          <w:sz w:val="20"/>
        </w:rPr>
        <w:t xml:space="preserve"> a </w:t>
      </w:r>
      <w:r w:rsidR="009803A0">
        <w:rPr>
          <w:rFonts w:ascii="Arial" w:hAnsi="Arial" w:cs="Arial"/>
          <w:sz w:val="20"/>
        </w:rPr>
        <w:t>MF</w:t>
      </w:r>
      <w:r w:rsidR="00B16B57" w:rsidRPr="00F026D0">
        <w:rPr>
          <w:rFonts w:ascii="Arial" w:hAnsi="Arial" w:cs="Arial"/>
          <w:sz w:val="20"/>
        </w:rPr>
        <w:t>.</w:t>
      </w:r>
      <w:r w:rsidR="00B16B57">
        <w:rPr>
          <w:rFonts w:ascii="Arial" w:hAnsi="Arial" w:cs="Arial"/>
          <w:sz w:val="20"/>
        </w:rPr>
        <w:t xml:space="preserve"> V prvním čtvrtletí roku 2015 bude také předloženo vládě pro informaci </w:t>
      </w:r>
      <w:r w:rsidR="00B16B57" w:rsidRPr="00CC21CD">
        <w:rPr>
          <w:rFonts w:ascii="Arial" w:hAnsi="Arial" w:cs="Arial"/>
          <w:b/>
          <w:sz w:val="20"/>
        </w:rPr>
        <w:t>Metodické doporučení pro oblast veřejné podpory</w:t>
      </w:r>
      <w:r w:rsidR="005A355C">
        <w:rPr>
          <w:rFonts w:ascii="Arial" w:hAnsi="Arial" w:cs="Arial"/>
          <w:sz w:val="20"/>
        </w:rPr>
        <w:t>, do poloviny roku 2015 pak Metodický pokyn k</w:t>
      </w:r>
      <w:r w:rsidR="008342EF">
        <w:rPr>
          <w:rFonts w:ascii="Arial" w:hAnsi="Arial" w:cs="Arial"/>
          <w:sz w:val="20"/>
        </w:rPr>
        <w:t> </w:t>
      </w:r>
      <w:r w:rsidR="005A355C">
        <w:rPr>
          <w:rFonts w:ascii="Arial" w:hAnsi="Arial" w:cs="Arial"/>
          <w:sz w:val="20"/>
        </w:rPr>
        <w:t>certifikaci</w:t>
      </w:r>
      <w:r w:rsidR="008342EF">
        <w:rPr>
          <w:rFonts w:ascii="Arial" w:hAnsi="Arial" w:cs="Arial"/>
          <w:sz w:val="20"/>
        </w:rPr>
        <w:t>.</w:t>
      </w:r>
    </w:p>
    <w:p w:rsidR="001B5190" w:rsidRPr="00F078D5" w:rsidRDefault="001B5190" w:rsidP="00F078D5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 w:after="120" w:line="240" w:lineRule="auto"/>
        <w:outlineLvl w:val="2"/>
        <w:rPr>
          <w:rFonts w:ascii="Arial" w:eastAsia="Times New Roman" w:hAnsi="Arial" w:cs="Arial"/>
          <w:b/>
          <w:bCs/>
          <w:u w:val="single"/>
          <w:bdr w:val="nil"/>
        </w:rPr>
      </w:pPr>
      <w:bookmarkStart w:id="33" w:name="_Toc412816349"/>
      <w:r>
        <w:rPr>
          <w:rFonts w:ascii="Arial" w:eastAsia="Times New Roman" w:hAnsi="Arial" w:cs="Arial"/>
          <w:b/>
          <w:bCs/>
          <w:u w:val="single"/>
          <w:bdr w:val="nil"/>
        </w:rPr>
        <w:t>Evaluační plán Dohody o partnerství</w:t>
      </w:r>
      <w:bookmarkEnd w:id="33"/>
    </w:p>
    <w:p w:rsidR="00F078D5" w:rsidRDefault="001B5190" w:rsidP="00F078D5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0" w:after="120"/>
        <w:outlineLvl w:val="2"/>
        <w:rPr>
          <w:rFonts w:ascii="Arial" w:hAnsi="Arial" w:cs="Arial"/>
          <w:sz w:val="20"/>
        </w:rPr>
      </w:pPr>
      <w:bookmarkStart w:id="34" w:name="_Toc412816350"/>
      <w:r>
        <w:rPr>
          <w:rFonts w:ascii="Arial" w:hAnsi="Arial" w:cs="Arial"/>
          <w:sz w:val="20"/>
        </w:rPr>
        <w:t>V souladu s čl. 54 a 56 obecného nařízení byl vypracován n</w:t>
      </w:r>
      <w:r w:rsidR="00F078D5">
        <w:rPr>
          <w:rFonts w:ascii="Arial" w:hAnsi="Arial" w:cs="Arial"/>
          <w:sz w:val="20"/>
        </w:rPr>
        <w:t>ávrh Evaluačního plánu Dohody o </w:t>
      </w:r>
      <w:r>
        <w:rPr>
          <w:rFonts w:ascii="Arial" w:hAnsi="Arial" w:cs="Arial"/>
          <w:sz w:val="20"/>
        </w:rPr>
        <w:t>partnerství (EP DoP), který je r</w:t>
      </w:r>
      <w:r w:rsidRPr="007E101A">
        <w:rPr>
          <w:rFonts w:ascii="Arial" w:hAnsi="Arial" w:cs="Arial"/>
          <w:sz w:val="20"/>
        </w:rPr>
        <w:t>ámcový</w:t>
      </w:r>
      <w:r>
        <w:rPr>
          <w:rFonts w:ascii="Arial" w:hAnsi="Arial" w:cs="Arial"/>
          <w:sz w:val="20"/>
        </w:rPr>
        <w:t>m</w:t>
      </w:r>
      <w:r w:rsidRPr="007E101A">
        <w:rPr>
          <w:rFonts w:ascii="Arial" w:hAnsi="Arial" w:cs="Arial"/>
          <w:sz w:val="20"/>
        </w:rPr>
        <w:t xml:space="preserve"> plán</w:t>
      </w:r>
      <w:r>
        <w:rPr>
          <w:rFonts w:ascii="Arial" w:hAnsi="Arial" w:cs="Arial"/>
          <w:sz w:val="20"/>
        </w:rPr>
        <w:t>em</w:t>
      </w:r>
      <w:r w:rsidRPr="007E101A">
        <w:rPr>
          <w:rFonts w:ascii="Arial" w:hAnsi="Arial" w:cs="Arial"/>
          <w:sz w:val="20"/>
        </w:rPr>
        <w:t xml:space="preserve"> pro organizaci evaluační činnosti na úrovni Dohody o partnerství, jehož</w:t>
      </w:r>
      <w:r>
        <w:rPr>
          <w:rFonts w:ascii="Arial" w:hAnsi="Arial" w:cs="Arial"/>
          <w:sz w:val="20"/>
        </w:rPr>
        <w:t> </w:t>
      </w:r>
      <w:r w:rsidRPr="007E101A">
        <w:rPr>
          <w:rFonts w:ascii="Arial" w:hAnsi="Arial" w:cs="Arial"/>
          <w:sz w:val="20"/>
        </w:rPr>
        <w:t>plnění bude zajišťovat Evaluační jednotka NOK ve spolupráci s dalšími subjekty</w:t>
      </w:r>
      <w:r>
        <w:rPr>
          <w:rFonts w:ascii="Arial" w:hAnsi="Arial" w:cs="Arial"/>
          <w:sz w:val="20"/>
        </w:rPr>
        <w:t>. EP DoP byl připraven tak, aby byl zároveň nástrojem pro koordinaci evaluační činnosti říd</w:t>
      </w:r>
      <w:r w:rsidR="009803A0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cích orgánů programů, a to především s ohledem na nutnost včas a řádně připravit zprávu o pokroku (dle</w:t>
      </w:r>
      <w:r w:rsidR="009803A0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čl. 52 obecného nařízení předkládanou </w:t>
      </w:r>
      <w:r w:rsidR="009803A0">
        <w:rPr>
          <w:rFonts w:ascii="Arial" w:hAnsi="Arial" w:cs="Arial"/>
          <w:sz w:val="20"/>
        </w:rPr>
        <w:t xml:space="preserve">EK </w:t>
      </w:r>
      <w:r>
        <w:rPr>
          <w:rFonts w:ascii="Arial" w:hAnsi="Arial" w:cs="Arial"/>
          <w:sz w:val="20"/>
        </w:rPr>
        <w:t>v letech 2017 a 2019).</w:t>
      </w:r>
      <w:bookmarkEnd w:id="34"/>
    </w:p>
    <w:p w:rsidR="001B5190" w:rsidRDefault="001B5190" w:rsidP="00F078D5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0" w:after="120"/>
        <w:outlineLvl w:val="2"/>
        <w:rPr>
          <w:rFonts w:ascii="Arial" w:hAnsi="Arial" w:cs="Arial"/>
          <w:sz w:val="20"/>
        </w:rPr>
      </w:pPr>
      <w:bookmarkStart w:id="35" w:name="_Toc412816351"/>
      <w:r>
        <w:rPr>
          <w:rFonts w:ascii="Arial" w:hAnsi="Arial" w:cs="Arial"/>
          <w:sz w:val="20"/>
        </w:rPr>
        <w:t>Návrh EP DoP byl předložen k vyjádření ex-ante evaluátorovi DoP, říd</w:t>
      </w:r>
      <w:r w:rsidR="009803A0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cím orgánům a rovněž zástupcům odborné sféry (konkrétně zástupcům České evaluační společnosti). K neformálnímu posouzení byl EP DoP předložen také evaluačním jednotkám </w:t>
      </w:r>
      <w:r w:rsidR="009803A0">
        <w:rPr>
          <w:rFonts w:ascii="Arial" w:hAnsi="Arial" w:cs="Arial"/>
          <w:sz w:val="20"/>
        </w:rPr>
        <w:t>EK</w:t>
      </w:r>
      <w:r>
        <w:rPr>
          <w:rFonts w:ascii="Arial" w:hAnsi="Arial" w:cs="Arial"/>
          <w:sz w:val="20"/>
        </w:rPr>
        <w:t xml:space="preserve"> (DG REGIO a DG EMPL). Po</w:t>
      </w:r>
      <w:r w:rsidR="009803A0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připomínkovém řízení ze strany Rady </w:t>
      </w:r>
      <w:r w:rsidR="009803A0">
        <w:rPr>
          <w:rFonts w:ascii="Arial" w:hAnsi="Arial" w:cs="Arial"/>
          <w:sz w:val="20"/>
        </w:rPr>
        <w:t xml:space="preserve">pro ESI fondy </w:t>
      </w:r>
      <w:r>
        <w:rPr>
          <w:rFonts w:ascii="Arial" w:hAnsi="Arial" w:cs="Arial"/>
          <w:sz w:val="20"/>
        </w:rPr>
        <w:t xml:space="preserve">na pracovní úrovni </w:t>
      </w:r>
      <w:r w:rsidR="00F078D5">
        <w:rPr>
          <w:rFonts w:ascii="Arial" w:hAnsi="Arial" w:cs="Arial"/>
          <w:sz w:val="20"/>
        </w:rPr>
        <w:t>byl EP DoP předložen ke </w:t>
      </w:r>
      <w:r>
        <w:rPr>
          <w:rFonts w:ascii="Arial" w:hAnsi="Arial" w:cs="Arial"/>
          <w:sz w:val="20"/>
        </w:rPr>
        <w:t xml:space="preserve">schválení. </w:t>
      </w:r>
      <w:r w:rsidRPr="003E27D2">
        <w:rPr>
          <w:rFonts w:ascii="Arial" w:hAnsi="Arial" w:cs="Arial"/>
          <w:b/>
          <w:sz w:val="20"/>
        </w:rPr>
        <w:t xml:space="preserve">Dne 16. února 2015 byl v proceduře per rollam Evaluační plán Dohody o </w:t>
      </w:r>
      <w:r w:rsidR="00F078D5">
        <w:rPr>
          <w:rFonts w:ascii="Arial" w:hAnsi="Arial" w:cs="Arial"/>
          <w:b/>
          <w:sz w:val="20"/>
        </w:rPr>
        <w:t> </w:t>
      </w:r>
      <w:r w:rsidRPr="003E27D2">
        <w:rPr>
          <w:rFonts w:ascii="Arial" w:hAnsi="Arial" w:cs="Arial"/>
          <w:b/>
          <w:sz w:val="20"/>
        </w:rPr>
        <w:t xml:space="preserve">partnerství schválen Radou </w:t>
      </w:r>
      <w:r w:rsidR="00F078D5">
        <w:rPr>
          <w:rFonts w:ascii="Arial" w:hAnsi="Arial" w:cs="Arial"/>
          <w:b/>
          <w:sz w:val="20"/>
        </w:rPr>
        <w:t xml:space="preserve">pro </w:t>
      </w:r>
      <w:r w:rsidRPr="003E27D2">
        <w:rPr>
          <w:rFonts w:ascii="Arial" w:hAnsi="Arial" w:cs="Arial"/>
          <w:b/>
          <w:sz w:val="20"/>
        </w:rPr>
        <w:t>ESI</w:t>
      </w:r>
      <w:r w:rsidR="00F078D5">
        <w:rPr>
          <w:rFonts w:ascii="Arial" w:hAnsi="Arial" w:cs="Arial"/>
          <w:b/>
          <w:sz w:val="20"/>
        </w:rPr>
        <w:t xml:space="preserve"> fondy</w:t>
      </w:r>
      <w:r w:rsidRPr="003E27D2">
        <w:rPr>
          <w:rFonts w:ascii="Arial" w:hAnsi="Arial" w:cs="Arial"/>
          <w:b/>
          <w:sz w:val="20"/>
        </w:rPr>
        <w:t xml:space="preserve"> na pracovní úrovni.</w:t>
      </w:r>
      <w:bookmarkEnd w:id="35"/>
    </w:p>
    <w:p w:rsidR="008204C8" w:rsidRDefault="008204C8" w:rsidP="00100EF1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 w:after="120" w:line="240" w:lineRule="auto"/>
        <w:outlineLvl w:val="2"/>
        <w:rPr>
          <w:rFonts w:ascii="Arial" w:hAnsi="Arial" w:cs="Arial"/>
          <w:sz w:val="20"/>
        </w:rPr>
      </w:pPr>
    </w:p>
    <w:p w:rsidR="00D03EAB" w:rsidRDefault="00D03EAB">
      <w:pPr>
        <w:spacing w:before="0" w:line="240" w:lineRule="auto"/>
        <w:jc w:val="left"/>
        <w:rPr>
          <w:rFonts w:ascii="Arial" w:eastAsiaTheme="majorEastAsia" w:hAnsi="Arial" w:cs="Arial"/>
          <w:b/>
          <w:bCs/>
          <w:sz w:val="36"/>
          <w:szCs w:val="32"/>
        </w:rPr>
      </w:pPr>
      <w:r>
        <w:br w:type="page"/>
      </w:r>
    </w:p>
    <w:p w:rsidR="00FB189D" w:rsidRDefault="00935294" w:rsidP="009C54BD">
      <w:pPr>
        <w:pStyle w:val="Nadpis1"/>
        <w:numPr>
          <w:ilvl w:val="0"/>
          <w:numId w:val="0"/>
        </w:numPr>
      </w:pPr>
      <w:bookmarkStart w:id="36" w:name="_Toc412816352"/>
      <w:r>
        <w:t>Seznam zkratek</w:t>
      </w:r>
      <w:bookmarkEnd w:id="30"/>
      <w:bookmarkEnd w:id="36"/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ČR</w:t>
      </w:r>
      <w:r w:rsidRPr="0070374F">
        <w:rPr>
          <w:rFonts w:ascii="Arial" w:hAnsi="Arial" w:cs="Arial"/>
          <w:sz w:val="20"/>
          <w:szCs w:val="20"/>
        </w:rPr>
        <w:tab/>
        <w:t>Česká republika</w:t>
      </w:r>
    </w:p>
    <w:p w:rsidR="002E5870" w:rsidRDefault="002E5870" w:rsidP="00BC0589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ČSÚ</w:t>
      </w:r>
      <w:r>
        <w:rPr>
          <w:rFonts w:ascii="Arial" w:hAnsi="Arial" w:cs="Arial"/>
          <w:sz w:val="20"/>
          <w:szCs w:val="20"/>
        </w:rPr>
        <w:tab/>
        <w:t>Český statistický úřad</w:t>
      </w:r>
    </w:p>
    <w:p w:rsidR="002E5870" w:rsidRDefault="002E5870" w:rsidP="00BC0589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DG EMPL</w:t>
      </w:r>
      <w:r>
        <w:rPr>
          <w:rFonts w:ascii="Arial" w:hAnsi="Arial" w:cs="Arial"/>
          <w:sz w:val="20"/>
          <w:szCs w:val="20"/>
        </w:rPr>
        <w:tab/>
        <w:t xml:space="preserve">Generální </w:t>
      </w:r>
      <w:r w:rsidRPr="002E5870">
        <w:rPr>
          <w:rFonts w:ascii="Arial" w:hAnsi="Arial" w:cs="Arial"/>
          <w:sz w:val="20"/>
          <w:szCs w:val="20"/>
        </w:rPr>
        <w:t xml:space="preserve">ředitelství pro </w:t>
      </w:r>
      <w:r w:rsidRPr="002E5870">
        <w:rPr>
          <w:rFonts w:ascii="Arial" w:hAnsi="Arial" w:cs="Arial"/>
          <w:bCs/>
          <w:sz w:val="20"/>
          <w:szCs w:val="20"/>
        </w:rPr>
        <w:t>zaměstnanost, sociální věci a sociální začleňování</w:t>
      </w:r>
    </w:p>
    <w:p w:rsidR="001B4967" w:rsidRDefault="001B4967" w:rsidP="00BC0589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DG ENVI</w:t>
      </w:r>
      <w:r>
        <w:rPr>
          <w:rFonts w:ascii="Arial" w:hAnsi="Arial" w:cs="Arial"/>
          <w:sz w:val="20"/>
          <w:szCs w:val="20"/>
        </w:rPr>
        <w:tab/>
        <w:t>Generální ředitelství pro životní prostředí</w:t>
      </w:r>
    </w:p>
    <w:p w:rsidR="00E53D93" w:rsidRDefault="00E53D93" w:rsidP="00BC0589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DG ESTAT</w:t>
      </w:r>
      <w:r>
        <w:rPr>
          <w:rFonts w:ascii="Arial" w:hAnsi="Arial" w:cs="Arial"/>
          <w:sz w:val="20"/>
          <w:szCs w:val="20"/>
        </w:rPr>
        <w:tab/>
        <w:t>Generální ředitelství EUROSTAT</w:t>
      </w:r>
    </w:p>
    <w:p w:rsidR="002E5870" w:rsidRDefault="002E5870" w:rsidP="00BC0589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DG REGIO</w:t>
      </w:r>
      <w:r>
        <w:rPr>
          <w:rFonts w:ascii="Arial" w:hAnsi="Arial" w:cs="Arial"/>
          <w:sz w:val="20"/>
          <w:szCs w:val="20"/>
        </w:rPr>
        <w:tab/>
        <w:t>Generální ředitelství pro regionální politiku</w:t>
      </w:r>
    </w:p>
    <w:p w:rsidR="00BC0589" w:rsidRPr="0070374F" w:rsidRDefault="00BC0589" w:rsidP="00BC0589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EIA</w:t>
      </w:r>
      <w:r w:rsidRPr="0070374F">
        <w:rPr>
          <w:rFonts w:ascii="Arial" w:hAnsi="Arial" w:cs="Arial"/>
          <w:sz w:val="20"/>
          <w:szCs w:val="20"/>
        </w:rPr>
        <w:tab/>
        <w:t>Hodnocení vlivu na životní prostředí (Environmental Impact Assessment)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EK</w:t>
      </w:r>
      <w:r w:rsidRPr="0070374F">
        <w:rPr>
          <w:rFonts w:ascii="Arial" w:hAnsi="Arial" w:cs="Arial"/>
          <w:sz w:val="20"/>
          <w:szCs w:val="20"/>
        </w:rPr>
        <w:tab/>
        <w:t>Evropská komise</w:t>
      </w:r>
    </w:p>
    <w:p w:rsidR="007701B6" w:rsidRDefault="007701B6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ENRF</w:t>
      </w:r>
      <w:r>
        <w:rPr>
          <w:rFonts w:ascii="Arial" w:hAnsi="Arial" w:cs="Arial"/>
          <w:sz w:val="20"/>
          <w:szCs w:val="20"/>
        </w:rPr>
        <w:tab/>
        <w:t>Evropský námořní a rybářský fond</w:t>
      </w:r>
    </w:p>
    <w:p w:rsidR="002E5870" w:rsidRDefault="002E5870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EP DoP</w:t>
      </w:r>
      <w:r>
        <w:rPr>
          <w:rFonts w:ascii="Arial" w:hAnsi="Arial" w:cs="Arial"/>
          <w:sz w:val="20"/>
          <w:szCs w:val="20"/>
        </w:rPr>
        <w:tab/>
        <w:t>Evaluační plán Dohody o partnerství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ESI fondy</w:t>
      </w:r>
      <w:r w:rsidRPr="0070374F">
        <w:rPr>
          <w:rFonts w:ascii="Arial" w:hAnsi="Arial" w:cs="Arial"/>
          <w:sz w:val="20"/>
          <w:szCs w:val="20"/>
        </w:rPr>
        <w:tab/>
        <w:t>Evropské strukturální a investiční fondy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EU</w:t>
      </w:r>
      <w:r w:rsidRPr="0070374F">
        <w:rPr>
          <w:rFonts w:ascii="Arial" w:hAnsi="Arial" w:cs="Arial"/>
          <w:sz w:val="20"/>
          <w:szCs w:val="20"/>
        </w:rPr>
        <w:tab/>
        <w:t>Evropská unie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IROP</w:t>
      </w:r>
      <w:r w:rsidRPr="0070374F">
        <w:rPr>
          <w:rFonts w:ascii="Arial" w:hAnsi="Arial" w:cs="Arial"/>
          <w:sz w:val="20"/>
          <w:szCs w:val="20"/>
        </w:rPr>
        <w:tab/>
        <w:t>Integrovaný regionální operační program</w:t>
      </w:r>
    </w:p>
    <w:p w:rsidR="00BC2083" w:rsidRPr="0070374F" w:rsidRDefault="00BC208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MD</w:t>
      </w:r>
      <w:r w:rsidRPr="0070374F">
        <w:rPr>
          <w:rFonts w:ascii="Arial" w:hAnsi="Arial" w:cs="Arial"/>
          <w:sz w:val="20"/>
          <w:szCs w:val="20"/>
        </w:rPr>
        <w:tab/>
        <w:t>Ministerstvo dopravy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MF</w:t>
      </w:r>
      <w:r w:rsidRPr="0070374F">
        <w:rPr>
          <w:rFonts w:ascii="Arial" w:hAnsi="Arial" w:cs="Arial"/>
          <w:sz w:val="20"/>
          <w:szCs w:val="20"/>
        </w:rPr>
        <w:tab/>
        <w:t>Ministerstvo financí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MMR-NOK</w:t>
      </w:r>
      <w:r w:rsidRPr="0070374F">
        <w:rPr>
          <w:rFonts w:ascii="Arial" w:hAnsi="Arial" w:cs="Arial"/>
          <w:sz w:val="20"/>
          <w:szCs w:val="20"/>
        </w:rPr>
        <w:tab/>
        <w:t xml:space="preserve">Ministerstvo pro místní rozvoj </w:t>
      </w:r>
      <w:r w:rsidR="00B161E3" w:rsidRPr="0070374F">
        <w:rPr>
          <w:rFonts w:ascii="Arial" w:hAnsi="Arial" w:cs="Arial"/>
          <w:sz w:val="20"/>
          <w:szCs w:val="20"/>
        </w:rPr>
        <w:t>-</w:t>
      </w:r>
      <w:r w:rsidRPr="0070374F">
        <w:rPr>
          <w:rFonts w:ascii="Arial" w:hAnsi="Arial" w:cs="Arial"/>
          <w:sz w:val="20"/>
          <w:szCs w:val="20"/>
        </w:rPr>
        <w:t xml:space="preserve"> Národní orgán pro koordinaci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MPO</w:t>
      </w:r>
      <w:r w:rsidRPr="0070374F">
        <w:rPr>
          <w:rFonts w:ascii="Arial" w:hAnsi="Arial" w:cs="Arial"/>
          <w:sz w:val="20"/>
          <w:szCs w:val="20"/>
        </w:rPr>
        <w:tab/>
        <w:t>Ministerstvo průmyslu a obchodu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MPSV</w:t>
      </w:r>
      <w:r w:rsidRPr="0070374F">
        <w:rPr>
          <w:rFonts w:ascii="Arial" w:hAnsi="Arial" w:cs="Arial"/>
          <w:sz w:val="20"/>
          <w:szCs w:val="20"/>
        </w:rPr>
        <w:tab/>
        <w:t>Ministerstvo práce a sociálních věcí</w:t>
      </w:r>
    </w:p>
    <w:p w:rsidR="00074D6F" w:rsidRPr="0070374F" w:rsidRDefault="00074D6F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MS2014+</w:t>
      </w:r>
      <w:r w:rsidRPr="0070374F">
        <w:rPr>
          <w:rFonts w:ascii="Arial" w:hAnsi="Arial" w:cs="Arial"/>
          <w:sz w:val="20"/>
          <w:szCs w:val="20"/>
        </w:rPr>
        <w:tab/>
        <w:t xml:space="preserve">Jednotný monitorovací systém pro programové období 2014–2020 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MSp</w:t>
      </w:r>
      <w:r w:rsidRPr="0070374F">
        <w:rPr>
          <w:rFonts w:ascii="Arial" w:hAnsi="Arial" w:cs="Arial"/>
          <w:sz w:val="20"/>
          <w:szCs w:val="20"/>
        </w:rPr>
        <w:tab/>
        <w:t>Ministerstvo spravedlnosti</w:t>
      </w:r>
    </w:p>
    <w:p w:rsidR="005D7FB9" w:rsidRDefault="005D7FB9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MSP</w:t>
      </w:r>
      <w:r>
        <w:rPr>
          <w:rFonts w:ascii="Arial" w:hAnsi="Arial" w:cs="Arial"/>
          <w:sz w:val="20"/>
          <w:szCs w:val="20"/>
        </w:rPr>
        <w:tab/>
        <w:t>Malé a střední podniky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MŠMT</w:t>
      </w:r>
      <w:r w:rsidRPr="0070374F">
        <w:rPr>
          <w:rFonts w:ascii="Arial" w:hAnsi="Arial" w:cs="Arial"/>
          <w:sz w:val="20"/>
          <w:szCs w:val="20"/>
        </w:rPr>
        <w:tab/>
        <w:t>Ministerstvo školství, mládeže a tělovýchovy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MV</w:t>
      </w:r>
      <w:r w:rsidRPr="0070374F">
        <w:rPr>
          <w:rFonts w:ascii="Arial" w:hAnsi="Arial" w:cs="Arial"/>
          <w:sz w:val="20"/>
          <w:szCs w:val="20"/>
        </w:rPr>
        <w:tab/>
        <w:t>Ministerstvo vnitra</w:t>
      </w:r>
    </w:p>
    <w:p w:rsidR="009931BE" w:rsidRPr="0070374F" w:rsidRDefault="009931BE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MZd</w:t>
      </w:r>
      <w:r w:rsidRPr="0070374F">
        <w:rPr>
          <w:rFonts w:ascii="Arial" w:hAnsi="Arial" w:cs="Arial"/>
          <w:sz w:val="20"/>
          <w:szCs w:val="20"/>
        </w:rPr>
        <w:tab/>
        <w:t>Ministerstvo zdravotnictví</w:t>
      </w:r>
    </w:p>
    <w:p w:rsidR="00BC2083" w:rsidRPr="0070374F" w:rsidRDefault="00BC208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MZe</w:t>
      </w:r>
      <w:r w:rsidRPr="0070374F">
        <w:rPr>
          <w:rFonts w:ascii="Arial" w:hAnsi="Arial" w:cs="Arial"/>
          <w:sz w:val="20"/>
          <w:szCs w:val="20"/>
        </w:rPr>
        <w:tab/>
        <w:t>Ministerstvo zemědělství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MŽP</w:t>
      </w:r>
      <w:r w:rsidRPr="0070374F">
        <w:rPr>
          <w:rFonts w:ascii="Arial" w:hAnsi="Arial" w:cs="Arial"/>
          <w:sz w:val="20"/>
          <w:szCs w:val="20"/>
        </w:rPr>
        <w:tab/>
        <w:t>Ministerstvo životního prostředí</w:t>
      </w:r>
    </w:p>
    <w:p w:rsidR="002E5870" w:rsidRDefault="002E5870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NP NGN</w:t>
      </w:r>
      <w:r>
        <w:rPr>
          <w:rFonts w:ascii="Arial" w:hAnsi="Arial" w:cs="Arial"/>
          <w:sz w:val="20"/>
          <w:szCs w:val="20"/>
        </w:rPr>
        <w:tab/>
        <w:t>Národní plán rozvoje sítí nové generace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</w:t>
      </w:r>
      <w:r w:rsidRPr="0070374F">
        <w:rPr>
          <w:rFonts w:ascii="Arial" w:hAnsi="Arial" w:cs="Arial"/>
          <w:sz w:val="20"/>
          <w:szCs w:val="20"/>
        </w:rPr>
        <w:tab/>
        <w:t>Operační program</w:t>
      </w:r>
    </w:p>
    <w:p w:rsidR="00BC2083" w:rsidRPr="0070374F" w:rsidRDefault="00BC208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D</w:t>
      </w:r>
      <w:r w:rsidRPr="0070374F">
        <w:rPr>
          <w:rFonts w:ascii="Arial" w:hAnsi="Arial" w:cs="Arial"/>
          <w:sz w:val="20"/>
          <w:szCs w:val="20"/>
        </w:rPr>
        <w:tab/>
        <w:t>OP Doprava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PIK</w:t>
      </w:r>
      <w:r w:rsidRPr="0070374F">
        <w:rPr>
          <w:rFonts w:ascii="Arial" w:hAnsi="Arial" w:cs="Arial"/>
          <w:sz w:val="20"/>
          <w:szCs w:val="20"/>
        </w:rPr>
        <w:tab/>
        <w:t>OP Podnikání a inovace pro konkurenceschopnost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PPR</w:t>
      </w:r>
      <w:r w:rsidRPr="0070374F">
        <w:rPr>
          <w:rFonts w:ascii="Arial" w:hAnsi="Arial" w:cs="Arial"/>
          <w:sz w:val="20"/>
          <w:szCs w:val="20"/>
        </w:rPr>
        <w:tab/>
        <w:t>OP Praha - pól růstu ČR</w:t>
      </w:r>
    </w:p>
    <w:p w:rsidR="00BC2083" w:rsidRPr="0070374F" w:rsidRDefault="00BC208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R</w:t>
      </w:r>
      <w:r w:rsidRPr="0070374F">
        <w:rPr>
          <w:rFonts w:ascii="Arial" w:hAnsi="Arial" w:cs="Arial"/>
          <w:sz w:val="20"/>
          <w:szCs w:val="20"/>
        </w:rPr>
        <w:tab/>
        <w:t>OP Rybářství</w:t>
      </w:r>
    </w:p>
    <w:p w:rsidR="00BC2083" w:rsidRPr="0070374F" w:rsidRDefault="00BC208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TP</w:t>
      </w:r>
      <w:r w:rsidRPr="0070374F">
        <w:rPr>
          <w:rFonts w:ascii="Arial" w:hAnsi="Arial" w:cs="Arial"/>
          <w:sz w:val="20"/>
          <w:szCs w:val="20"/>
        </w:rPr>
        <w:tab/>
        <w:t>OP Technická pomoc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VVV</w:t>
      </w:r>
      <w:r w:rsidRPr="0070374F">
        <w:rPr>
          <w:rFonts w:ascii="Arial" w:hAnsi="Arial" w:cs="Arial"/>
          <w:sz w:val="20"/>
          <w:szCs w:val="20"/>
        </w:rPr>
        <w:tab/>
        <w:t>OP Výzkum, vývoj a vzdělávání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Z </w:t>
      </w:r>
      <w:r w:rsidRPr="0070374F">
        <w:rPr>
          <w:rFonts w:ascii="Arial" w:hAnsi="Arial" w:cs="Arial"/>
          <w:sz w:val="20"/>
          <w:szCs w:val="20"/>
        </w:rPr>
        <w:tab/>
        <w:t>OP Zaměstnanost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ŽP</w:t>
      </w:r>
      <w:r w:rsidRPr="0070374F">
        <w:rPr>
          <w:rFonts w:ascii="Arial" w:hAnsi="Arial" w:cs="Arial"/>
          <w:sz w:val="20"/>
          <w:szCs w:val="20"/>
        </w:rPr>
        <w:tab/>
        <w:t>OP Životní prostředí</w:t>
      </w:r>
    </w:p>
    <w:p w:rsidR="00434890" w:rsidRPr="0070374F" w:rsidRDefault="00434890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POH</w:t>
      </w:r>
      <w:r w:rsidRPr="0070374F">
        <w:rPr>
          <w:rFonts w:ascii="Arial" w:hAnsi="Arial" w:cs="Arial"/>
          <w:sz w:val="20"/>
          <w:szCs w:val="20"/>
        </w:rPr>
        <w:tab/>
        <w:t>Plán odpadového hospodářství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PP</w:t>
      </w:r>
      <w:r w:rsidRPr="0070374F">
        <w:rPr>
          <w:rFonts w:ascii="Arial" w:hAnsi="Arial" w:cs="Arial"/>
          <w:sz w:val="20"/>
          <w:szCs w:val="20"/>
        </w:rPr>
        <w:tab/>
        <w:t>Předběžná podmínka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PRV</w:t>
      </w:r>
      <w:r w:rsidRPr="0070374F">
        <w:rPr>
          <w:rFonts w:ascii="Arial" w:hAnsi="Arial" w:cs="Arial"/>
          <w:sz w:val="20"/>
          <w:szCs w:val="20"/>
        </w:rPr>
        <w:tab/>
        <w:t>Program rozvoje venkova</w:t>
      </w:r>
    </w:p>
    <w:p w:rsidR="002E5870" w:rsidRDefault="002E5870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PSP</w:t>
      </w:r>
      <w:r>
        <w:rPr>
          <w:rFonts w:ascii="Arial" w:hAnsi="Arial" w:cs="Arial"/>
          <w:sz w:val="20"/>
          <w:szCs w:val="20"/>
        </w:rPr>
        <w:tab/>
        <w:t>Poslanecká sněmovna Parlamentu ČR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RIS3</w:t>
      </w:r>
      <w:r w:rsidRPr="0070374F">
        <w:rPr>
          <w:rFonts w:ascii="Arial" w:hAnsi="Arial" w:cs="Arial"/>
          <w:sz w:val="20"/>
          <w:szCs w:val="20"/>
        </w:rPr>
        <w:tab/>
        <w:t>Strategie inteligentní specializace</w:t>
      </w:r>
    </w:p>
    <w:p w:rsidR="00953F6A" w:rsidRPr="0070374F" w:rsidRDefault="00953F6A" w:rsidP="005C4A67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SEA</w:t>
      </w:r>
      <w:r w:rsidR="005C4A67" w:rsidRPr="0070374F">
        <w:rPr>
          <w:rFonts w:ascii="Arial" w:hAnsi="Arial" w:cs="Arial"/>
          <w:sz w:val="20"/>
          <w:szCs w:val="20"/>
        </w:rPr>
        <w:tab/>
        <w:t>Hodnocení vlivů na životní prostředí (Strategic Environment Assessment)</w:t>
      </w:r>
    </w:p>
    <w:p w:rsidR="00BC0589" w:rsidRPr="0070374F" w:rsidRDefault="00BC0589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SPZ</w:t>
      </w:r>
      <w:r w:rsidRPr="0070374F">
        <w:rPr>
          <w:rFonts w:ascii="Arial" w:hAnsi="Arial" w:cs="Arial"/>
          <w:sz w:val="20"/>
          <w:szCs w:val="20"/>
        </w:rPr>
        <w:tab/>
        <w:t>Strategie politiky zaměstnanosti</w:t>
      </w:r>
    </w:p>
    <w:p w:rsidR="007701B6" w:rsidRDefault="007701B6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SR VS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</w:rPr>
        <w:t>Strategický</w:t>
      </w:r>
      <w:r w:rsidRPr="00A92E49">
        <w:rPr>
          <w:rFonts w:ascii="Arial" w:hAnsi="Arial" w:cs="Arial"/>
          <w:sz w:val="20"/>
        </w:rPr>
        <w:t xml:space="preserve"> rám</w:t>
      </w:r>
      <w:r>
        <w:rPr>
          <w:rFonts w:ascii="Arial" w:hAnsi="Arial" w:cs="Arial"/>
          <w:sz w:val="20"/>
        </w:rPr>
        <w:t>e</w:t>
      </w:r>
      <w:r w:rsidRPr="00A92E49">
        <w:rPr>
          <w:rFonts w:ascii="Arial" w:hAnsi="Arial" w:cs="Arial"/>
          <w:sz w:val="20"/>
        </w:rPr>
        <w:t>c rozvoje veřejné správy ČR pro období 2014</w:t>
      </w:r>
      <w:r>
        <w:rPr>
          <w:rFonts w:ascii="Arial" w:hAnsi="Arial" w:cs="Arial"/>
          <w:sz w:val="20"/>
        </w:rPr>
        <w:t>–</w:t>
      </w:r>
      <w:r w:rsidRPr="00A92E49">
        <w:rPr>
          <w:rFonts w:ascii="Arial" w:hAnsi="Arial" w:cs="Arial"/>
          <w:sz w:val="20"/>
        </w:rPr>
        <w:t>2020</w:t>
      </w:r>
    </w:p>
    <w:p w:rsidR="00BC2083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ÚOHS</w:t>
      </w:r>
      <w:r w:rsidRPr="0070374F">
        <w:rPr>
          <w:rFonts w:ascii="Arial" w:hAnsi="Arial" w:cs="Arial"/>
          <w:sz w:val="20"/>
          <w:szCs w:val="20"/>
        </w:rPr>
        <w:tab/>
        <w:t>Úřad na ochranu hospodářské soutěže</w:t>
      </w:r>
    </w:p>
    <w:p w:rsidR="006368B4" w:rsidRDefault="006368B4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V-VEU</w:t>
      </w:r>
      <w:r>
        <w:rPr>
          <w:rFonts w:ascii="Arial" w:hAnsi="Arial" w:cs="Arial"/>
          <w:sz w:val="20"/>
          <w:szCs w:val="20"/>
        </w:rPr>
        <w:tab/>
        <w:t>Výbor pro EU na vládní úrovni</w:t>
      </w:r>
    </w:p>
    <w:p w:rsidR="00935294" w:rsidRPr="00FB189D" w:rsidRDefault="00935294" w:rsidP="005C4A67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</w:p>
    <w:sectPr w:rsidR="00935294" w:rsidRPr="00FB189D" w:rsidSect="00D734B0">
      <w:footerReference w:type="default" r:id="rId10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54" w:rsidRDefault="00FA6554" w:rsidP="009D4DEB">
      <w:pPr>
        <w:spacing w:before="0" w:line="240" w:lineRule="auto"/>
      </w:pPr>
      <w:r>
        <w:separator/>
      </w:r>
    </w:p>
  </w:endnote>
  <w:endnote w:type="continuationSeparator" w:id="0">
    <w:p w:rsidR="00FA6554" w:rsidRDefault="00FA6554" w:rsidP="009D4DEB">
      <w:pPr>
        <w:spacing w:before="0" w:line="240" w:lineRule="auto"/>
      </w:pPr>
      <w:r>
        <w:continuationSeparator/>
      </w:r>
    </w:p>
  </w:endnote>
  <w:endnote w:type="continuationNotice" w:id="1">
    <w:p w:rsidR="00FA6554" w:rsidRDefault="00FA6554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62227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E3505" w:rsidRPr="00C536AB" w:rsidRDefault="00AE3505">
        <w:pPr>
          <w:pStyle w:val="Zpat"/>
          <w:jc w:val="right"/>
          <w:rPr>
            <w:rFonts w:ascii="Arial" w:hAnsi="Arial" w:cs="Arial"/>
            <w:sz w:val="20"/>
          </w:rPr>
        </w:pPr>
        <w:r w:rsidRPr="00C536AB">
          <w:rPr>
            <w:rFonts w:ascii="Arial" w:hAnsi="Arial" w:cs="Arial"/>
            <w:sz w:val="20"/>
          </w:rPr>
          <w:fldChar w:fldCharType="begin"/>
        </w:r>
        <w:r w:rsidRPr="00C536AB">
          <w:rPr>
            <w:rFonts w:ascii="Arial" w:hAnsi="Arial" w:cs="Arial"/>
            <w:sz w:val="20"/>
          </w:rPr>
          <w:instrText>PAGE   \* MERGEFORMAT</w:instrText>
        </w:r>
        <w:r w:rsidRPr="00C536AB">
          <w:rPr>
            <w:rFonts w:ascii="Arial" w:hAnsi="Arial" w:cs="Arial"/>
            <w:sz w:val="20"/>
          </w:rPr>
          <w:fldChar w:fldCharType="separate"/>
        </w:r>
        <w:r w:rsidR="007441B5">
          <w:rPr>
            <w:rFonts w:ascii="Arial" w:hAnsi="Arial" w:cs="Arial"/>
            <w:noProof/>
            <w:sz w:val="20"/>
          </w:rPr>
          <w:t>2</w:t>
        </w:r>
        <w:r w:rsidRPr="00C536AB">
          <w:rPr>
            <w:rFonts w:ascii="Arial" w:hAnsi="Arial" w:cs="Arial"/>
            <w:sz w:val="20"/>
          </w:rPr>
          <w:fldChar w:fldCharType="end"/>
        </w:r>
      </w:p>
    </w:sdtContent>
  </w:sdt>
  <w:p w:rsidR="00AE3505" w:rsidRPr="00C536AB" w:rsidRDefault="00AE3505">
    <w:pPr>
      <w:pStyle w:val="Zpa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54" w:rsidRDefault="00FA6554" w:rsidP="009D4DEB">
      <w:pPr>
        <w:spacing w:before="0" w:line="240" w:lineRule="auto"/>
      </w:pPr>
      <w:r>
        <w:separator/>
      </w:r>
    </w:p>
  </w:footnote>
  <w:footnote w:type="continuationSeparator" w:id="0">
    <w:p w:rsidR="00FA6554" w:rsidRDefault="00FA6554" w:rsidP="009D4DEB">
      <w:pPr>
        <w:spacing w:before="0" w:line="240" w:lineRule="auto"/>
      </w:pPr>
      <w:r>
        <w:continuationSeparator/>
      </w:r>
    </w:p>
  </w:footnote>
  <w:footnote w:type="continuationNotice" w:id="1">
    <w:p w:rsidR="00FA6554" w:rsidRDefault="00FA6554">
      <w:pPr>
        <w:spacing w:before="0" w:line="240" w:lineRule="auto"/>
      </w:pPr>
    </w:p>
  </w:footnote>
  <w:footnote w:id="2">
    <w:p w:rsidR="00AE3505" w:rsidRPr="00CE62B3" w:rsidRDefault="00AE3505" w:rsidP="00CE62B3">
      <w:pPr>
        <w:pStyle w:val="Textpoznpodarou"/>
        <w:rPr>
          <w:rFonts w:ascii="Arial" w:hAnsi="Arial" w:cs="Arial"/>
          <w:sz w:val="18"/>
          <w:szCs w:val="18"/>
        </w:rPr>
      </w:pPr>
      <w:r w:rsidRPr="00CE62B3">
        <w:rPr>
          <w:rStyle w:val="Znakapoznpodarou"/>
          <w:rFonts w:ascii="Arial" w:hAnsi="Arial" w:cs="Arial"/>
          <w:sz w:val="18"/>
          <w:szCs w:val="18"/>
        </w:rPr>
        <w:footnoteRef/>
      </w:r>
      <w:r w:rsidRPr="00CE62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 w:rsidRPr="00CE62B3">
        <w:rPr>
          <w:rFonts w:ascii="Arial" w:hAnsi="Arial" w:cs="Arial"/>
          <w:sz w:val="18"/>
          <w:szCs w:val="18"/>
        </w:rPr>
        <w:t xml:space="preserve">Postup dle </w:t>
      </w:r>
      <w:r w:rsidRPr="00CE62B3">
        <w:rPr>
          <w:rFonts w:ascii="Arial" w:hAnsi="Arial" w:cs="Arial"/>
          <w:bCs/>
          <w:sz w:val="18"/>
          <w:szCs w:val="18"/>
        </w:rPr>
        <w:t>čl. 19 Nařízení o víceletém finančním rámci č. 1311/2013 z 2. prosince 2013.</w:t>
      </w:r>
    </w:p>
  </w:footnote>
  <w:footnote w:id="3">
    <w:p w:rsidR="00AE3505" w:rsidRPr="00CE62B3" w:rsidRDefault="00AE3505" w:rsidP="00446968">
      <w:pPr>
        <w:pStyle w:val="Textpoznpodarou"/>
        <w:ind w:left="198" w:hanging="198"/>
        <w:rPr>
          <w:rFonts w:ascii="Arial" w:hAnsi="Arial" w:cs="Arial"/>
          <w:sz w:val="18"/>
          <w:szCs w:val="18"/>
        </w:rPr>
      </w:pPr>
      <w:r w:rsidRPr="00CE62B3">
        <w:rPr>
          <w:rStyle w:val="Znakapoznpodarou"/>
          <w:rFonts w:ascii="Arial" w:hAnsi="Arial" w:cs="Arial"/>
          <w:sz w:val="18"/>
          <w:szCs w:val="18"/>
        </w:rPr>
        <w:footnoteRef/>
      </w:r>
      <w:r w:rsidRPr="00CE62B3">
        <w:rPr>
          <w:rFonts w:ascii="Arial" w:hAnsi="Arial" w:cs="Arial"/>
          <w:sz w:val="18"/>
          <w:szCs w:val="18"/>
        </w:rPr>
        <w:t xml:space="preserve"> Jednání se týkalo programů spolufinancovaných z Evropského fondu pro regionální rozvoj, Evropského sociálního fondu a Fondu soudržnosti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:rsidR="00AE3505" w:rsidRPr="00AE3505" w:rsidRDefault="00AE3505" w:rsidP="00AE3505">
      <w:pPr>
        <w:pStyle w:val="Textpoznpodarou"/>
        <w:ind w:left="142" w:hanging="142"/>
        <w:rPr>
          <w:rFonts w:ascii="Arial" w:hAnsi="Arial" w:cs="Arial"/>
          <w:sz w:val="18"/>
        </w:rPr>
      </w:pPr>
      <w:r w:rsidRPr="00AE3505">
        <w:rPr>
          <w:rStyle w:val="Znakapoznpodarou"/>
          <w:rFonts w:ascii="Arial" w:hAnsi="Arial" w:cs="Arial"/>
          <w:sz w:val="18"/>
        </w:rPr>
        <w:footnoteRef/>
      </w:r>
      <w:r w:rsidRPr="00AE3505">
        <w:rPr>
          <w:rFonts w:ascii="Arial" w:hAnsi="Arial" w:cs="Arial"/>
          <w:sz w:val="18"/>
        </w:rPr>
        <w:t xml:space="preserve"> K této problematice více viz kapitola 3 Předběžné podmínky (část věnovaná Služebnímu zákonu </w:t>
      </w:r>
      <w:r>
        <w:rPr>
          <w:rFonts w:ascii="Arial" w:hAnsi="Arial" w:cs="Arial"/>
          <w:sz w:val="18"/>
        </w:rPr>
        <w:t>-</w:t>
      </w:r>
      <w:r w:rsidRPr="00AE3505">
        <w:rPr>
          <w:rFonts w:ascii="Arial" w:hAnsi="Arial" w:cs="Arial"/>
          <w:sz w:val="18"/>
        </w:rPr>
        <w:t xml:space="preserve"> předběžná podmínka T.11</w:t>
      </w:r>
      <w:r>
        <w:rPr>
          <w:rFonts w:ascii="Arial" w:hAnsi="Arial" w:cs="Arial"/>
          <w:sz w:val="18"/>
        </w:rPr>
        <w:t>).</w:t>
      </w:r>
    </w:p>
  </w:footnote>
  <w:footnote w:id="5">
    <w:p w:rsidR="00AE3505" w:rsidRPr="00F078D5" w:rsidRDefault="00AE3505" w:rsidP="00F078D5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F078D5">
        <w:rPr>
          <w:rStyle w:val="Znakapoznpodarou"/>
          <w:rFonts w:ascii="Arial" w:hAnsi="Arial" w:cs="Arial"/>
          <w:sz w:val="18"/>
          <w:szCs w:val="18"/>
        </w:rPr>
        <w:footnoteRef/>
      </w:r>
      <w:r w:rsidRPr="00F078D5">
        <w:rPr>
          <w:rFonts w:ascii="Arial" w:hAnsi="Arial" w:cs="Arial"/>
          <w:sz w:val="18"/>
          <w:szCs w:val="18"/>
        </w:rPr>
        <w:t xml:space="preserve"> Jedná se o stav naplňování PP, který je deklarován v programech ESIF; stav naplňování se může následně měnit (i ve vazbě na hodnocení ze strany EK). Stav odpovídá pozici ČR a nemusí korespondovat s informacemi vloženými do systému SFC. </w:t>
      </w:r>
    </w:p>
  </w:footnote>
  <w:footnote w:id="6">
    <w:p w:rsidR="00AE3505" w:rsidRPr="00F078D5" w:rsidRDefault="00AE3505" w:rsidP="00F078D5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F078D5">
        <w:rPr>
          <w:rStyle w:val="Znakapoznpodarou"/>
          <w:rFonts w:ascii="Arial" w:hAnsi="Arial" w:cs="Arial"/>
          <w:sz w:val="18"/>
          <w:szCs w:val="18"/>
        </w:rPr>
        <w:footnoteRef/>
      </w:r>
      <w:r w:rsidRPr="00F078D5">
        <w:rPr>
          <w:rFonts w:ascii="Arial" w:hAnsi="Arial" w:cs="Arial"/>
          <w:sz w:val="18"/>
          <w:szCs w:val="18"/>
        </w:rPr>
        <w:t xml:space="preserve"> PP bude splněna přijetím Národního plánu pro rozvoj sítí nové generace. Ten je v přípravné fázi – aktuálně bylo rozhodnuto o posunutí termínu finalizace dokumentu na červen 2015.</w:t>
      </w:r>
    </w:p>
  </w:footnote>
  <w:footnote w:id="7">
    <w:p w:rsidR="00AE3505" w:rsidRDefault="00AE3505" w:rsidP="00F078D5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r w:rsidRPr="00F078D5">
        <w:rPr>
          <w:rFonts w:ascii="Arial" w:hAnsi="Arial" w:cs="Arial"/>
          <w:sz w:val="18"/>
          <w:szCs w:val="18"/>
        </w:rPr>
        <w:t>Dle výše uvedeného obecného komentáře ke stavu plnění (součet naplňování na</w:t>
      </w:r>
      <w:r>
        <w:rPr>
          <w:rFonts w:ascii="Arial" w:hAnsi="Arial" w:cs="Arial"/>
          <w:sz w:val="18"/>
          <w:szCs w:val="18"/>
        </w:rPr>
        <w:t xml:space="preserve"> úrovni kritérií dle vložení do </w:t>
      </w:r>
      <w:r w:rsidRPr="00F078D5">
        <w:rPr>
          <w:rFonts w:ascii="Arial" w:hAnsi="Arial" w:cs="Arial"/>
          <w:sz w:val="18"/>
          <w:szCs w:val="18"/>
        </w:rPr>
        <w:t>SFC) stav plnění ne zcela odpovídá reálnému stavu plnění předběžné podmínky (částečně plněno).</w:t>
      </w:r>
    </w:p>
  </w:footnote>
  <w:footnote w:id="8">
    <w:p w:rsidR="00AE3505" w:rsidRPr="00F078D5" w:rsidRDefault="00AE3505" w:rsidP="00F078D5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F078D5">
        <w:rPr>
          <w:rStyle w:val="Znakapoznpodarou"/>
          <w:rFonts w:ascii="Arial" w:hAnsi="Arial" w:cs="Arial"/>
          <w:sz w:val="18"/>
          <w:szCs w:val="18"/>
        </w:rPr>
        <w:footnoteRef/>
      </w:r>
      <w:r w:rsidRPr="00F078D5">
        <w:rPr>
          <w:rFonts w:ascii="Arial" w:hAnsi="Arial" w:cs="Arial"/>
          <w:sz w:val="18"/>
          <w:szCs w:val="18"/>
        </w:rPr>
        <w:t xml:space="preserve"> Fakticky je splněna velká část předběžné podmínky, bohužel tato předběžná podmínka je rozdělena na pouhá dvě kritéria, u nichž vždy chybí část naplnění, tudíž vzhledem metodologii EK</w:t>
      </w:r>
      <w:r>
        <w:rPr>
          <w:rFonts w:ascii="Arial" w:hAnsi="Arial" w:cs="Arial"/>
          <w:sz w:val="18"/>
          <w:szCs w:val="18"/>
        </w:rPr>
        <w:t xml:space="preserve"> </w:t>
      </w:r>
      <w:r w:rsidRPr="00F078D5">
        <w:rPr>
          <w:rFonts w:ascii="Arial" w:hAnsi="Arial" w:cs="Arial"/>
          <w:sz w:val="18"/>
          <w:szCs w:val="18"/>
        </w:rPr>
        <w:t xml:space="preserve">není možné reflektovat částečné plnění. Zároveň ve druhém z kritérií je naplňování plně poplatné termínům vyplývajících z relevantních směrnic, které mají být naplněny až k 31. </w:t>
      </w:r>
      <w:r>
        <w:rPr>
          <w:rFonts w:ascii="Arial" w:hAnsi="Arial" w:cs="Arial"/>
          <w:sz w:val="18"/>
          <w:szCs w:val="18"/>
        </w:rPr>
        <w:t>březnu</w:t>
      </w:r>
      <w:r w:rsidRPr="00F078D5">
        <w:rPr>
          <w:rFonts w:ascii="Arial" w:hAnsi="Arial" w:cs="Arial"/>
          <w:sz w:val="18"/>
          <w:szCs w:val="18"/>
        </w:rPr>
        <w:t xml:space="preserve"> 2016, viz komentář v textu</w:t>
      </w:r>
      <w:r>
        <w:rPr>
          <w:rFonts w:ascii="Arial" w:hAnsi="Arial" w:cs="Arial"/>
          <w:sz w:val="18"/>
          <w:szCs w:val="18"/>
        </w:rPr>
        <w:t xml:space="preserve"> výše.</w:t>
      </w:r>
    </w:p>
  </w:footnote>
  <w:footnote w:id="9">
    <w:p w:rsidR="00AE3505" w:rsidRPr="00F078D5" w:rsidRDefault="00AE3505" w:rsidP="00F078D5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F078D5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F078D5">
        <w:rPr>
          <w:rFonts w:ascii="Arial" w:hAnsi="Arial" w:cs="Arial"/>
          <w:sz w:val="18"/>
          <w:szCs w:val="18"/>
        </w:rPr>
        <w:t>PP bude splněna přijetím a schválením Akčního plánu Dopravních sektorových strategií II. Dokument byl MD dokončen a je konzultován s JASPERS. Poté bude zaslán na EK. V návaznosti na</w:t>
      </w:r>
      <w:r>
        <w:rPr>
          <w:rFonts w:ascii="Arial" w:hAnsi="Arial" w:cs="Arial"/>
          <w:sz w:val="18"/>
          <w:szCs w:val="18"/>
        </w:rPr>
        <w:t> </w:t>
      </w:r>
      <w:r w:rsidRPr="00F078D5">
        <w:rPr>
          <w:rFonts w:ascii="Arial" w:hAnsi="Arial" w:cs="Arial"/>
          <w:sz w:val="18"/>
          <w:szCs w:val="18"/>
        </w:rPr>
        <w:t>pozitivní hodnocení EK lze PP 7.1</w:t>
      </w:r>
      <w:r>
        <w:rPr>
          <w:rFonts w:ascii="Arial" w:hAnsi="Arial" w:cs="Arial"/>
          <w:sz w:val="18"/>
          <w:szCs w:val="18"/>
        </w:rPr>
        <w:t>–</w:t>
      </w:r>
      <w:r w:rsidRPr="00F078D5">
        <w:rPr>
          <w:rFonts w:ascii="Arial" w:hAnsi="Arial" w:cs="Arial"/>
          <w:sz w:val="18"/>
          <w:szCs w:val="18"/>
        </w:rPr>
        <w:t>7.3 považovat za splněné.</w:t>
      </w:r>
    </w:p>
  </w:footnote>
  <w:footnote w:id="10">
    <w:p w:rsidR="00AE3505" w:rsidRPr="00F078D5" w:rsidRDefault="00AE3505" w:rsidP="00F078D5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F078D5">
        <w:rPr>
          <w:rStyle w:val="Znakapoznpodarou"/>
          <w:rFonts w:ascii="Arial" w:hAnsi="Arial" w:cs="Arial"/>
          <w:sz w:val="18"/>
          <w:szCs w:val="18"/>
        </w:rPr>
        <w:footnoteRef/>
      </w:r>
      <w:r w:rsidRPr="00F078D5">
        <w:rPr>
          <w:rFonts w:ascii="Arial" w:hAnsi="Arial" w:cs="Arial"/>
          <w:sz w:val="18"/>
          <w:szCs w:val="18"/>
        </w:rPr>
        <w:t xml:space="preserve"> PP 10.1 (stejně jako ostatní PP v oblasti vzdělávání) bude splněna přijetím strategických dokumentů pro oblast vzdělávání. Rámcový dokument přijat již byl – Strategie vzdělávací politiky do roku 2020. Termín dopracování jednotlivých dokumentů, kterými dojde k naplnění dané PP, je stanoven na polovinu roku 2015 (u PP 10.2 to je konec roku 2015).</w:t>
      </w:r>
    </w:p>
  </w:footnote>
  <w:footnote w:id="11">
    <w:p w:rsidR="00AE3505" w:rsidRPr="00F078D5" w:rsidRDefault="00AE3505" w:rsidP="00F078D5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F078D5">
        <w:rPr>
          <w:rFonts w:ascii="Arial" w:hAnsi="Arial" w:cs="Arial"/>
          <w:sz w:val="18"/>
          <w:szCs w:val="18"/>
          <w:vertAlign w:val="superscript"/>
        </w:rPr>
        <w:footnoteRef/>
      </w:r>
      <w:r w:rsidRPr="00F078D5">
        <w:rPr>
          <w:rFonts w:ascii="Arial" w:hAnsi="Arial" w:cs="Arial"/>
          <w:sz w:val="18"/>
          <w:szCs w:val="18"/>
        </w:rPr>
        <w:t xml:space="preserve"> Rizikovost je dána jednak termínem naplnění kritérií, tj. u řady kritérií je splnění očekáváno až v nejzazším termínu stanoveném nařízením (31. </w:t>
      </w:r>
      <w:r>
        <w:rPr>
          <w:rFonts w:ascii="Arial" w:hAnsi="Arial" w:cs="Arial"/>
          <w:sz w:val="18"/>
          <w:szCs w:val="18"/>
        </w:rPr>
        <w:t>prosince</w:t>
      </w:r>
      <w:r w:rsidRPr="00F078D5">
        <w:rPr>
          <w:rFonts w:ascii="Arial" w:hAnsi="Arial" w:cs="Arial"/>
          <w:sz w:val="18"/>
          <w:szCs w:val="18"/>
        </w:rPr>
        <w:t xml:space="preserve"> 2016), jednak tím, že se neplní většina kritéria a také riziky spojenými se zákonem o státní službě.</w:t>
      </w:r>
    </w:p>
  </w:footnote>
  <w:footnote w:id="12">
    <w:p w:rsidR="00AE3505" w:rsidRPr="00F078D5" w:rsidRDefault="00AE3505" w:rsidP="00F078D5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F078D5">
        <w:rPr>
          <w:rStyle w:val="Znakapoznpodarou"/>
          <w:rFonts w:ascii="Arial" w:hAnsi="Arial" w:cs="Arial"/>
          <w:sz w:val="18"/>
          <w:szCs w:val="18"/>
        </w:rPr>
        <w:footnoteRef/>
      </w:r>
      <w:r w:rsidRPr="00F078D5">
        <w:rPr>
          <w:rFonts w:ascii="Arial" w:hAnsi="Arial" w:cs="Arial"/>
          <w:sz w:val="18"/>
          <w:szCs w:val="18"/>
        </w:rPr>
        <w:t xml:space="preserve"> PP 11 bude naplněna realizací Implementačních plánu Strategického rámce rozvoje veřejné správy. Jednotlivé aktivity jsou naplánovány až do konce roku 2016, tj. k nejzazšímu termínu splnění dle nařízení EK.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158"/>
    <w:multiLevelType w:val="hybridMultilevel"/>
    <w:tmpl w:val="FCFC0C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563EF"/>
    <w:multiLevelType w:val="hybridMultilevel"/>
    <w:tmpl w:val="6A5247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549DA"/>
    <w:multiLevelType w:val="hybridMultilevel"/>
    <w:tmpl w:val="0A78EF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FA03F3"/>
    <w:multiLevelType w:val="hybridMultilevel"/>
    <w:tmpl w:val="6054D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72718"/>
    <w:multiLevelType w:val="hybridMultilevel"/>
    <w:tmpl w:val="30A22B0E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0CE0196A"/>
    <w:multiLevelType w:val="multilevel"/>
    <w:tmpl w:val="72A2422E"/>
    <w:lvl w:ilvl="0">
      <w:start w:val="1"/>
      <w:numFmt w:val="decimal"/>
      <w:pStyle w:val="Nadpis1"/>
      <w:lvlText w:val="%1."/>
      <w:lvlJc w:val="left"/>
      <w:pPr>
        <w:ind w:left="7165" w:hanging="360"/>
      </w:pPr>
    </w:lvl>
    <w:lvl w:ilvl="1">
      <w:start w:val="1"/>
      <w:numFmt w:val="decimal"/>
      <w:pStyle w:val="Nadpis2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111547"/>
    <w:multiLevelType w:val="hybridMultilevel"/>
    <w:tmpl w:val="CF50C0A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6B2522"/>
    <w:multiLevelType w:val="hybridMultilevel"/>
    <w:tmpl w:val="9C0ABE98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D347971"/>
    <w:multiLevelType w:val="hybridMultilevel"/>
    <w:tmpl w:val="CB8C4C3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BF31C0"/>
    <w:multiLevelType w:val="hybridMultilevel"/>
    <w:tmpl w:val="9C145B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F003D"/>
    <w:multiLevelType w:val="hybridMultilevel"/>
    <w:tmpl w:val="DB607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67F56"/>
    <w:multiLevelType w:val="multilevel"/>
    <w:tmpl w:val="6942A6BE"/>
    <w:lvl w:ilvl="0">
      <w:start w:val="1"/>
      <w:numFmt w:val="decimal"/>
      <w:pStyle w:val="List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53B7A41"/>
    <w:multiLevelType w:val="hybridMultilevel"/>
    <w:tmpl w:val="C5504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71606"/>
    <w:multiLevelType w:val="hybridMultilevel"/>
    <w:tmpl w:val="48E84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E428A"/>
    <w:multiLevelType w:val="hybridMultilevel"/>
    <w:tmpl w:val="F3CC9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6F5CDC"/>
    <w:multiLevelType w:val="multilevel"/>
    <w:tmpl w:val="3EB042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FF3332D"/>
    <w:multiLevelType w:val="hybridMultilevel"/>
    <w:tmpl w:val="0FA6B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3648C1"/>
    <w:multiLevelType w:val="hybridMultilevel"/>
    <w:tmpl w:val="CCA2FCD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31083041"/>
    <w:multiLevelType w:val="hybridMultilevel"/>
    <w:tmpl w:val="CB96C034"/>
    <w:lvl w:ilvl="0" w:tplc="8BBE9D34">
      <w:start w:val="1"/>
      <w:numFmt w:val="lowerLetter"/>
      <w:pStyle w:val="Seznam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DD085C"/>
    <w:multiLevelType w:val="hybridMultilevel"/>
    <w:tmpl w:val="D0B07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2A4088"/>
    <w:multiLevelType w:val="hybridMultilevel"/>
    <w:tmpl w:val="EF624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6080E"/>
    <w:multiLevelType w:val="hybridMultilevel"/>
    <w:tmpl w:val="19485A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762B10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b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F7840"/>
    <w:multiLevelType w:val="hybridMultilevel"/>
    <w:tmpl w:val="FA6E13A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4CF110B1"/>
    <w:multiLevelType w:val="hybridMultilevel"/>
    <w:tmpl w:val="374E1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F25020"/>
    <w:multiLevelType w:val="hybridMultilevel"/>
    <w:tmpl w:val="1A9C54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FD5AE6"/>
    <w:multiLevelType w:val="hybridMultilevel"/>
    <w:tmpl w:val="D974B25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B29068C"/>
    <w:multiLevelType w:val="hybridMultilevel"/>
    <w:tmpl w:val="BCE8A47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0AD1C40"/>
    <w:multiLevelType w:val="hybridMultilevel"/>
    <w:tmpl w:val="074EB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F19DF"/>
    <w:multiLevelType w:val="hybridMultilevel"/>
    <w:tmpl w:val="5CD01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BD25E3"/>
    <w:multiLevelType w:val="multilevel"/>
    <w:tmpl w:val="471EB360"/>
    <w:styleLink w:val="List1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357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1410"/>
        </w:tabs>
        <w:ind w:left="1410" w:hanging="330"/>
      </w:pPr>
      <w:rPr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position w:val="0"/>
        <w:sz w:val="22"/>
        <w:szCs w:val="22"/>
      </w:rPr>
    </w:lvl>
  </w:abstractNum>
  <w:abstractNum w:abstractNumId="30">
    <w:nsid w:val="742B6B42"/>
    <w:multiLevelType w:val="hybridMultilevel"/>
    <w:tmpl w:val="9E744C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33457C"/>
    <w:multiLevelType w:val="hybridMultilevel"/>
    <w:tmpl w:val="F0989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90480"/>
    <w:multiLevelType w:val="hybridMultilevel"/>
    <w:tmpl w:val="077C6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29"/>
  </w:num>
  <w:num w:numId="5">
    <w:abstractNumId w:val="22"/>
  </w:num>
  <w:num w:numId="6">
    <w:abstractNumId w:val="2"/>
  </w:num>
  <w:num w:numId="7">
    <w:abstractNumId w:val="15"/>
  </w:num>
  <w:num w:numId="8">
    <w:abstractNumId w:val="5"/>
  </w:num>
  <w:num w:numId="9">
    <w:abstractNumId w:val="14"/>
  </w:num>
  <w:num w:numId="10">
    <w:abstractNumId w:val="10"/>
  </w:num>
  <w:num w:numId="11">
    <w:abstractNumId w:val="23"/>
  </w:num>
  <w:num w:numId="12">
    <w:abstractNumId w:val="20"/>
  </w:num>
  <w:num w:numId="13">
    <w:abstractNumId w:val="30"/>
  </w:num>
  <w:num w:numId="14">
    <w:abstractNumId w:val="9"/>
  </w:num>
  <w:num w:numId="15">
    <w:abstractNumId w:val="27"/>
  </w:num>
  <w:num w:numId="16">
    <w:abstractNumId w:val="13"/>
  </w:num>
  <w:num w:numId="17">
    <w:abstractNumId w:val="3"/>
  </w:num>
  <w:num w:numId="18">
    <w:abstractNumId w:val="31"/>
  </w:num>
  <w:num w:numId="19">
    <w:abstractNumId w:val="2"/>
  </w:num>
  <w:num w:numId="20">
    <w:abstractNumId w:val="21"/>
  </w:num>
  <w:num w:numId="21">
    <w:abstractNumId w:val="28"/>
  </w:num>
  <w:num w:numId="22">
    <w:abstractNumId w:val="19"/>
  </w:num>
  <w:num w:numId="23">
    <w:abstractNumId w:val="25"/>
  </w:num>
  <w:num w:numId="24">
    <w:abstractNumId w:val="26"/>
  </w:num>
  <w:num w:numId="25">
    <w:abstractNumId w:val="1"/>
  </w:num>
  <w:num w:numId="26">
    <w:abstractNumId w:val="4"/>
  </w:num>
  <w:num w:numId="27">
    <w:abstractNumId w:val="0"/>
  </w:num>
  <w:num w:numId="28">
    <w:abstractNumId w:val="32"/>
  </w:num>
  <w:num w:numId="29">
    <w:abstractNumId w:val="24"/>
  </w:num>
  <w:num w:numId="30">
    <w:abstractNumId w:val="17"/>
  </w:num>
  <w:num w:numId="31">
    <w:abstractNumId w:val="5"/>
  </w:num>
  <w:num w:numId="32">
    <w:abstractNumId w:val="5"/>
  </w:num>
  <w:num w:numId="33">
    <w:abstractNumId w:val="7"/>
  </w:num>
  <w:num w:numId="34">
    <w:abstractNumId w:val="6"/>
  </w:num>
  <w:num w:numId="35">
    <w:abstractNumId w:val="8"/>
  </w:num>
  <w:num w:numId="36">
    <w:abstractNumId w:val="16"/>
  </w:num>
  <w:num w:numId="3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19"/>
    <w:rsid w:val="00000647"/>
    <w:rsid w:val="000015D0"/>
    <w:rsid w:val="00002A66"/>
    <w:rsid w:val="00004C16"/>
    <w:rsid w:val="00007912"/>
    <w:rsid w:val="00011055"/>
    <w:rsid w:val="00013349"/>
    <w:rsid w:val="0001365E"/>
    <w:rsid w:val="000143B4"/>
    <w:rsid w:val="000144C8"/>
    <w:rsid w:val="000160DA"/>
    <w:rsid w:val="000209E5"/>
    <w:rsid w:val="00021465"/>
    <w:rsid w:val="00023827"/>
    <w:rsid w:val="00023E2E"/>
    <w:rsid w:val="00024BF7"/>
    <w:rsid w:val="00025A9D"/>
    <w:rsid w:val="00027478"/>
    <w:rsid w:val="000279EC"/>
    <w:rsid w:val="00027EA4"/>
    <w:rsid w:val="00031174"/>
    <w:rsid w:val="000317DA"/>
    <w:rsid w:val="00033326"/>
    <w:rsid w:val="000335AF"/>
    <w:rsid w:val="0003440E"/>
    <w:rsid w:val="00035000"/>
    <w:rsid w:val="00035E9D"/>
    <w:rsid w:val="000363C1"/>
    <w:rsid w:val="00037848"/>
    <w:rsid w:val="0004116D"/>
    <w:rsid w:val="00042490"/>
    <w:rsid w:val="000425D4"/>
    <w:rsid w:val="00042FC1"/>
    <w:rsid w:val="00045235"/>
    <w:rsid w:val="0004703A"/>
    <w:rsid w:val="00050711"/>
    <w:rsid w:val="00052307"/>
    <w:rsid w:val="0005231A"/>
    <w:rsid w:val="00052AB6"/>
    <w:rsid w:val="00053B22"/>
    <w:rsid w:val="00056875"/>
    <w:rsid w:val="000569AF"/>
    <w:rsid w:val="0006073B"/>
    <w:rsid w:val="00062136"/>
    <w:rsid w:val="00063D89"/>
    <w:rsid w:val="00064876"/>
    <w:rsid w:val="00065049"/>
    <w:rsid w:val="000667E9"/>
    <w:rsid w:val="0006705E"/>
    <w:rsid w:val="0006758C"/>
    <w:rsid w:val="00070218"/>
    <w:rsid w:val="000716F1"/>
    <w:rsid w:val="000722F6"/>
    <w:rsid w:val="00073BCD"/>
    <w:rsid w:val="00074D6F"/>
    <w:rsid w:val="00076C26"/>
    <w:rsid w:val="00076DE4"/>
    <w:rsid w:val="00077C85"/>
    <w:rsid w:val="00080DAD"/>
    <w:rsid w:val="00082124"/>
    <w:rsid w:val="00083B1D"/>
    <w:rsid w:val="0008516E"/>
    <w:rsid w:val="00085978"/>
    <w:rsid w:val="00085CC8"/>
    <w:rsid w:val="00086404"/>
    <w:rsid w:val="000871A9"/>
    <w:rsid w:val="00087961"/>
    <w:rsid w:val="00090789"/>
    <w:rsid w:val="000912DA"/>
    <w:rsid w:val="00093E82"/>
    <w:rsid w:val="00094784"/>
    <w:rsid w:val="00094A37"/>
    <w:rsid w:val="00094E67"/>
    <w:rsid w:val="00095008"/>
    <w:rsid w:val="0009635F"/>
    <w:rsid w:val="00096FBC"/>
    <w:rsid w:val="000976E3"/>
    <w:rsid w:val="00097FFD"/>
    <w:rsid w:val="000A0446"/>
    <w:rsid w:val="000A0658"/>
    <w:rsid w:val="000A0D7C"/>
    <w:rsid w:val="000A102F"/>
    <w:rsid w:val="000A4D89"/>
    <w:rsid w:val="000A51D0"/>
    <w:rsid w:val="000A7794"/>
    <w:rsid w:val="000B08DC"/>
    <w:rsid w:val="000B1AEB"/>
    <w:rsid w:val="000B3FD9"/>
    <w:rsid w:val="000B4A10"/>
    <w:rsid w:val="000B586C"/>
    <w:rsid w:val="000B696F"/>
    <w:rsid w:val="000B6BFB"/>
    <w:rsid w:val="000B7800"/>
    <w:rsid w:val="000C0727"/>
    <w:rsid w:val="000C0FAA"/>
    <w:rsid w:val="000C10A6"/>
    <w:rsid w:val="000C1EE3"/>
    <w:rsid w:val="000C46ED"/>
    <w:rsid w:val="000C657D"/>
    <w:rsid w:val="000C714C"/>
    <w:rsid w:val="000D0C1D"/>
    <w:rsid w:val="000D0F5C"/>
    <w:rsid w:val="000D103B"/>
    <w:rsid w:val="000D2BA9"/>
    <w:rsid w:val="000D2E23"/>
    <w:rsid w:val="000D38FC"/>
    <w:rsid w:val="000D4249"/>
    <w:rsid w:val="000D562B"/>
    <w:rsid w:val="000D691A"/>
    <w:rsid w:val="000E044D"/>
    <w:rsid w:val="000E0C2F"/>
    <w:rsid w:val="000E0EF7"/>
    <w:rsid w:val="000E1512"/>
    <w:rsid w:val="000E22BF"/>
    <w:rsid w:val="000E3006"/>
    <w:rsid w:val="000E3253"/>
    <w:rsid w:val="000E6E42"/>
    <w:rsid w:val="000F0DAC"/>
    <w:rsid w:val="000F2A99"/>
    <w:rsid w:val="000F2CA1"/>
    <w:rsid w:val="000F69A3"/>
    <w:rsid w:val="000F79FC"/>
    <w:rsid w:val="000F7E92"/>
    <w:rsid w:val="001007F9"/>
    <w:rsid w:val="00100EF1"/>
    <w:rsid w:val="00101E5B"/>
    <w:rsid w:val="0010255B"/>
    <w:rsid w:val="00102B48"/>
    <w:rsid w:val="0010410B"/>
    <w:rsid w:val="0010673D"/>
    <w:rsid w:val="001068C0"/>
    <w:rsid w:val="00107577"/>
    <w:rsid w:val="00110F75"/>
    <w:rsid w:val="00111A0B"/>
    <w:rsid w:val="00112089"/>
    <w:rsid w:val="00114E5C"/>
    <w:rsid w:val="001216A1"/>
    <w:rsid w:val="0012175C"/>
    <w:rsid w:val="00121A15"/>
    <w:rsid w:val="00121D24"/>
    <w:rsid w:val="00123789"/>
    <w:rsid w:val="00123D3D"/>
    <w:rsid w:val="001240A1"/>
    <w:rsid w:val="00124529"/>
    <w:rsid w:val="0012499F"/>
    <w:rsid w:val="00125754"/>
    <w:rsid w:val="00125853"/>
    <w:rsid w:val="001260C9"/>
    <w:rsid w:val="00126CF2"/>
    <w:rsid w:val="001270D4"/>
    <w:rsid w:val="00127F40"/>
    <w:rsid w:val="0013016B"/>
    <w:rsid w:val="00132493"/>
    <w:rsid w:val="00132DF7"/>
    <w:rsid w:val="00135E05"/>
    <w:rsid w:val="00135E73"/>
    <w:rsid w:val="00136371"/>
    <w:rsid w:val="0013660B"/>
    <w:rsid w:val="00136ECE"/>
    <w:rsid w:val="00137538"/>
    <w:rsid w:val="0014171B"/>
    <w:rsid w:val="00141C76"/>
    <w:rsid w:val="0014796D"/>
    <w:rsid w:val="00153AA0"/>
    <w:rsid w:val="0015475C"/>
    <w:rsid w:val="00154C56"/>
    <w:rsid w:val="00154C84"/>
    <w:rsid w:val="00155991"/>
    <w:rsid w:val="00155D9A"/>
    <w:rsid w:val="00157143"/>
    <w:rsid w:val="0016189E"/>
    <w:rsid w:val="00162E26"/>
    <w:rsid w:val="001635A1"/>
    <w:rsid w:val="00163995"/>
    <w:rsid w:val="001653CC"/>
    <w:rsid w:val="0016567B"/>
    <w:rsid w:val="00167594"/>
    <w:rsid w:val="00170F50"/>
    <w:rsid w:val="001713F8"/>
    <w:rsid w:val="00174EA3"/>
    <w:rsid w:val="0017528D"/>
    <w:rsid w:val="00175417"/>
    <w:rsid w:val="00175A07"/>
    <w:rsid w:val="00176B89"/>
    <w:rsid w:val="00176FE1"/>
    <w:rsid w:val="001778D9"/>
    <w:rsid w:val="001804E2"/>
    <w:rsid w:val="001806D8"/>
    <w:rsid w:val="00182795"/>
    <w:rsid w:val="00182E6C"/>
    <w:rsid w:val="00184495"/>
    <w:rsid w:val="001859DA"/>
    <w:rsid w:val="001870D9"/>
    <w:rsid w:val="00190494"/>
    <w:rsid w:val="001922DE"/>
    <w:rsid w:val="0019389C"/>
    <w:rsid w:val="0019395F"/>
    <w:rsid w:val="0019453E"/>
    <w:rsid w:val="00194B00"/>
    <w:rsid w:val="001A03C9"/>
    <w:rsid w:val="001A0AD3"/>
    <w:rsid w:val="001A3642"/>
    <w:rsid w:val="001A3C5F"/>
    <w:rsid w:val="001A796C"/>
    <w:rsid w:val="001A7D1B"/>
    <w:rsid w:val="001B4967"/>
    <w:rsid w:val="001B4CD2"/>
    <w:rsid w:val="001B4EAF"/>
    <w:rsid w:val="001B5190"/>
    <w:rsid w:val="001B646B"/>
    <w:rsid w:val="001B70A2"/>
    <w:rsid w:val="001C11B0"/>
    <w:rsid w:val="001C188C"/>
    <w:rsid w:val="001C276E"/>
    <w:rsid w:val="001C3677"/>
    <w:rsid w:val="001C49F3"/>
    <w:rsid w:val="001C5122"/>
    <w:rsid w:val="001C6AD6"/>
    <w:rsid w:val="001C6C6E"/>
    <w:rsid w:val="001C6DCA"/>
    <w:rsid w:val="001C7E46"/>
    <w:rsid w:val="001D01E2"/>
    <w:rsid w:val="001D149A"/>
    <w:rsid w:val="001D2A46"/>
    <w:rsid w:val="001D316F"/>
    <w:rsid w:val="001D4B08"/>
    <w:rsid w:val="001D70F8"/>
    <w:rsid w:val="001D7A52"/>
    <w:rsid w:val="001E029C"/>
    <w:rsid w:val="001E0A91"/>
    <w:rsid w:val="001E0D96"/>
    <w:rsid w:val="001E0ED3"/>
    <w:rsid w:val="001E1FBC"/>
    <w:rsid w:val="001E3A15"/>
    <w:rsid w:val="001E5A4D"/>
    <w:rsid w:val="001E6B72"/>
    <w:rsid w:val="001F0F3B"/>
    <w:rsid w:val="001F1B4B"/>
    <w:rsid w:val="001F1F14"/>
    <w:rsid w:val="001F2910"/>
    <w:rsid w:val="001F3778"/>
    <w:rsid w:val="001F3FBC"/>
    <w:rsid w:val="001F4579"/>
    <w:rsid w:val="001F45B4"/>
    <w:rsid w:val="001F5EDD"/>
    <w:rsid w:val="001F67A7"/>
    <w:rsid w:val="001F7330"/>
    <w:rsid w:val="001F7892"/>
    <w:rsid w:val="001F7A57"/>
    <w:rsid w:val="0020279F"/>
    <w:rsid w:val="002027F8"/>
    <w:rsid w:val="00202D7C"/>
    <w:rsid w:val="00202DB5"/>
    <w:rsid w:val="00206D37"/>
    <w:rsid w:val="002074D3"/>
    <w:rsid w:val="0020784D"/>
    <w:rsid w:val="002104AF"/>
    <w:rsid w:val="00211041"/>
    <w:rsid w:val="0021131B"/>
    <w:rsid w:val="00211561"/>
    <w:rsid w:val="002118A4"/>
    <w:rsid w:val="00212896"/>
    <w:rsid w:val="0021290D"/>
    <w:rsid w:val="00213B3E"/>
    <w:rsid w:val="00215F5D"/>
    <w:rsid w:val="00217F7C"/>
    <w:rsid w:val="00221777"/>
    <w:rsid w:val="00222D8C"/>
    <w:rsid w:val="0022352B"/>
    <w:rsid w:val="0022749A"/>
    <w:rsid w:val="0023286C"/>
    <w:rsid w:val="00233745"/>
    <w:rsid w:val="00233C30"/>
    <w:rsid w:val="00233C8B"/>
    <w:rsid w:val="00233EF5"/>
    <w:rsid w:val="002343AC"/>
    <w:rsid w:val="002377EB"/>
    <w:rsid w:val="002379CC"/>
    <w:rsid w:val="002400D7"/>
    <w:rsid w:val="00241558"/>
    <w:rsid w:val="00241948"/>
    <w:rsid w:val="00241D04"/>
    <w:rsid w:val="00243DE3"/>
    <w:rsid w:val="00244E73"/>
    <w:rsid w:val="0024521A"/>
    <w:rsid w:val="002460C9"/>
    <w:rsid w:val="0024654D"/>
    <w:rsid w:val="00246ECC"/>
    <w:rsid w:val="00247DEA"/>
    <w:rsid w:val="00250007"/>
    <w:rsid w:val="0025023E"/>
    <w:rsid w:val="0025280A"/>
    <w:rsid w:val="00252886"/>
    <w:rsid w:val="00254B0B"/>
    <w:rsid w:val="0025569E"/>
    <w:rsid w:val="00255ED3"/>
    <w:rsid w:val="00256A91"/>
    <w:rsid w:val="00256D19"/>
    <w:rsid w:val="002578AE"/>
    <w:rsid w:val="00257CE4"/>
    <w:rsid w:val="0026206A"/>
    <w:rsid w:val="002642CC"/>
    <w:rsid w:val="002643AA"/>
    <w:rsid w:val="00266E99"/>
    <w:rsid w:val="0026755A"/>
    <w:rsid w:val="002709FB"/>
    <w:rsid w:val="00270B73"/>
    <w:rsid w:val="002714C4"/>
    <w:rsid w:val="002722F9"/>
    <w:rsid w:val="0027336C"/>
    <w:rsid w:val="002739F0"/>
    <w:rsid w:val="002747A3"/>
    <w:rsid w:val="00280D43"/>
    <w:rsid w:val="00280FDC"/>
    <w:rsid w:val="00281AA5"/>
    <w:rsid w:val="00281FBD"/>
    <w:rsid w:val="002836D3"/>
    <w:rsid w:val="0028791C"/>
    <w:rsid w:val="00287A66"/>
    <w:rsid w:val="00287FE2"/>
    <w:rsid w:val="00290E91"/>
    <w:rsid w:val="00291E9A"/>
    <w:rsid w:val="00293780"/>
    <w:rsid w:val="0029566A"/>
    <w:rsid w:val="00297B67"/>
    <w:rsid w:val="00297EB2"/>
    <w:rsid w:val="002A1442"/>
    <w:rsid w:val="002A1ED9"/>
    <w:rsid w:val="002A29BE"/>
    <w:rsid w:val="002A3B8E"/>
    <w:rsid w:val="002A3C19"/>
    <w:rsid w:val="002A5454"/>
    <w:rsid w:val="002A71F4"/>
    <w:rsid w:val="002A7B39"/>
    <w:rsid w:val="002B37F0"/>
    <w:rsid w:val="002B58B4"/>
    <w:rsid w:val="002B62FD"/>
    <w:rsid w:val="002B7096"/>
    <w:rsid w:val="002B7CE4"/>
    <w:rsid w:val="002C41AB"/>
    <w:rsid w:val="002C43F2"/>
    <w:rsid w:val="002C660E"/>
    <w:rsid w:val="002C6809"/>
    <w:rsid w:val="002C6BCE"/>
    <w:rsid w:val="002C74E9"/>
    <w:rsid w:val="002D0A99"/>
    <w:rsid w:val="002D2016"/>
    <w:rsid w:val="002D2366"/>
    <w:rsid w:val="002D3415"/>
    <w:rsid w:val="002D3773"/>
    <w:rsid w:val="002D4912"/>
    <w:rsid w:val="002D4D92"/>
    <w:rsid w:val="002E0344"/>
    <w:rsid w:val="002E2423"/>
    <w:rsid w:val="002E301B"/>
    <w:rsid w:val="002E433A"/>
    <w:rsid w:val="002E4EA5"/>
    <w:rsid w:val="002E5870"/>
    <w:rsid w:val="002E5E6D"/>
    <w:rsid w:val="002E67E5"/>
    <w:rsid w:val="002E68C4"/>
    <w:rsid w:val="002E778C"/>
    <w:rsid w:val="002E79E6"/>
    <w:rsid w:val="002F1832"/>
    <w:rsid w:val="002F1A54"/>
    <w:rsid w:val="003016BD"/>
    <w:rsid w:val="00301E2D"/>
    <w:rsid w:val="00302287"/>
    <w:rsid w:val="00303431"/>
    <w:rsid w:val="003046CB"/>
    <w:rsid w:val="0030538F"/>
    <w:rsid w:val="00307A69"/>
    <w:rsid w:val="00307C42"/>
    <w:rsid w:val="00310A2B"/>
    <w:rsid w:val="00311164"/>
    <w:rsid w:val="003140F7"/>
    <w:rsid w:val="003147F6"/>
    <w:rsid w:val="0031576B"/>
    <w:rsid w:val="00315E91"/>
    <w:rsid w:val="00316FF8"/>
    <w:rsid w:val="003214A1"/>
    <w:rsid w:val="0032206E"/>
    <w:rsid w:val="00323107"/>
    <w:rsid w:val="00324AC7"/>
    <w:rsid w:val="00324B1F"/>
    <w:rsid w:val="00324DC4"/>
    <w:rsid w:val="003276DE"/>
    <w:rsid w:val="00330283"/>
    <w:rsid w:val="003307D0"/>
    <w:rsid w:val="0033151E"/>
    <w:rsid w:val="0033152A"/>
    <w:rsid w:val="00331FF5"/>
    <w:rsid w:val="00332B26"/>
    <w:rsid w:val="00332F68"/>
    <w:rsid w:val="00333267"/>
    <w:rsid w:val="003343BC"/>
    <w:rsid w:val="00340975"/>
    <w:rsid w:val="00340D94"/>
    <w:rsid w:val="003431AB"/>
    <w:rsid w:val="00343DC8"/>
    <w:rsid w:val="00344934"/>
    <w:rsid w:val="003463F1"/>
    <w:rsid w:val="003465FF"/>
    <w:rsid w:val="00346A15"/>
    <w:rsid w:val="003506CA"/>
    <w:rsid w:val="0035085A"/>
    <w:rsid w:val="00351126"/>
    <w:rsid w:val="00351881"/>
    <w:rsid w:val="00351B89"/>
    <w:rsid w:val="00351C48"/>
    <w:rsid w:val="0035219F"/>
    <w:rsid w:val="003524EF"/>
    <w:rsid w:val="00352580"/>
    <w:rsid w:val="003528EF"/>
    <w:rsid w:val="0035391E"/>
    <w:rsid w:val="00354A57"/>
    <w:rsid w:val="003550A9"/>
    <w:rsid w:val="00355B3B"/>
    <w:rsid w:val="003573C7"/>
    <w:rsid w:val="00362573"/>
    <w:rsid w:val="00363AEC"/>
    <w:rsid w:val="003644F4"/>
    <w:rsid w:val="00364E04"/>
    <w:rsid w:val="00364F64"/>
    <w:rsid w:val="0036739F"/>
    <w:rsid w:val="003708C3"/>
    <w:rsid w:val="003716C8"/>
    <w:rsid w:val="003736CE"/>
    <w:rsid w:val="00373D7C"/>
    <w:rsid w:val="00373D91"/>
    <w:rsid w:val="0037744D"/>
    <w:rsid w:val="00382A22"/>
    <w:rsid w:val="00383663"/>
    <w:rsid w:val="00384CFC"/>
    <w:rsid w:val="00384EA3"/>
    <w:rsid w:val="00386BF0"/>
    <w:rsid w:val="00386C67"/>
    <w:rsid w:val="00390D59"/>
    <w:rsid w:val="00391232"/>
    <w:rsid w:val="00391C6A"/>
    <w:rsid w:val="003933B1"/>
    <w:rsid w:val="003940CE"/>
    <w:rsid w:val="003943CD"/>
    <w:rsid w:val="003953D5"/>
    <w:rsid w:val="00396FAC"/>
    <w:rsid w:val="003A0F42"/>
    <w:rsid w:val="003A25C3"/>
    <w:rsid w:val="003A2CA4"/>
    <w:rsid w:val="003A3122"/>
    <w:rsid w:val="003A4AF4"/>
    <w:rsid w:val="003A6035"/>
    <w:rsid w:val="003A7E4B"/>
    <w:rsid w:val="003B0F4C"/>
    <w:rsid w:val="003B1772"/>
    <w:rsid w:val="003B1852"/>
    <w:rsid w:val="003B3C04"/>
    <w:rsid w:val="003B49E7"/>
    <w:rsid w:val="003B4C75"/>
    <w:rsid w:val="003B5B30"/>
    <w:rsid w:val="003B5CA4"/>
    <w:rsid w:val="003B6640"/>
    <w:rsid w:val="003B667D"/>
    <w:rsid w:val="003B6AAB"/>
    <w:rsid w:val="003C01F8"/>
    <w:rsid w:val="003C04B9"/>
    <w:rsid w:val="003C098E"/>
    <w:rsid w:val="003C0D2D"/>
    <w:rsid w:val="003C1C5E"/>
    <w:rsid w:val="003C3B24"/>
    <w:rsid w:val="003C4357"/>
    <w:rsid w:val="003C468A"/>
    <w:rsid w:val="003C48B4"/>
    <w:rsid w:val="003C4B15"/>
    <w:rsid w:val="003D14D6"/>
    <w:rsid w:val="003D2C14"/>
    <w:rsid w:val="003D3875"/>
    <w:rsid w:val="003D4B5F"/>
    <w:rsid w:val="003D5005"/>
    <w:rsid w:val="003D549B"/>
    <w:rsid w:val="003D60A5"/>
    <w:rsid w:val="003D684D"/>
    <w:rsid w:val="003E033B"/>
    <w:rsid w:val="003E0463"/>
    <w:rsid w:val="003E71C9"/>
    <w:rsid w:val="003F19BE"/>
    <w:rsid w:val="003F2CFC"/>
    <w:rsid w:val="003F3045"/>
    <w:rsid w:val="003F376E"/>
    <w:rsid w:val="003F3CD5"/>
    <w:rsid w:val="003F4AC3"/>
    <w:rsid w:val="00401AD4"/>
    <w:rsid w:val="00402CF3"/>
    <w:rsid w:val="004045B0"/>
    <w:rsid w:val="004045C3"/>
    <w:rsid w:val="00404656"/>
    <w:rsid w:val="0040780E"/>
    <w:rsid w:val="00411F3C"/>
    <w:rsid w:val="00412538"/>
    <w:rsid w:val="00413584"/>
    <w:rsid w:val="00413AE4"/>
    <w:rsid w:val="004145F8"/>
    <w:rsid w:val="004157BB"/>
    <w:rsid w:val="00417B12"/>
    <w:rsid w:val="00420805"/>
    <w:rsid w:val="00420897"/>
    <w:rsid w:val="00423802"/>
    <w:rsid w:val="00423AD5"/>
    <w:rsid w:val="004242EE"/>
    <w:rsid w:val="00424791"/>
    <w:rsid w:val="00425515"/>
    <w:rsid w:val="004256F2"/>
    <w:rsid w:val="00425B38"/>
    <w:rsid w:val="00425CE3"/>
    <w:rsid w:val="00426053"/>
    <w:rsid w:val="004276BE"/>
    <w:rsid w:val="004318FC"/>
    <w:rsid w:val="004328D0"/>
    <w:rsid w:val="00433E0F"/>
    <w:rsid w:val="00434890"/>
    <w:rsid w:val="00436C1E"/>
    <w:rsid w:val="00437F50"/>
    <w:rsid w:val="00443BF0"/>
    <w:rsid w:val="004445D1"/>
    <w:rsid w:val="00444E1D"/>
    <w:rsid w:val="004454AE"/>
    <w:rsid w:val="00445836"/>
    <w:rsid w:val="00446968"/>
    <w:rsid w:val="004477F4"/>
    <w:rsid w:val="00451122"/>
    <w:rsid w:val="00451A42"/>
    <w:rsid w:val="004537C1"/>
    <w:rsid w:val="00454319"/>
    <w:rsid w:val="004544D3"/>
    <w:rsid w:val="00454C6D"/>
    <w:rsid w:val="004567B2"/>
    <w:rsid w:val="0046166A"/>
    <w:rsid w:val="00462141"/>
    <w:rsid w:val="00462292"/>
    <w:rsid w:val="00462E97"/>
    <w:rsid w:val="004636C9"/>
    <w:rsid w:val="004644A8"/>
    <w:rsid w:val="00470E64"/>
    <w:rsid w:val="0047252A"/>
    <w:rsid w:val="00482516"/>
    <w:rsid w:val="00482BB8"/>
    <w:rsid w:val="0048641F"/>
    <w:rsid w:val="00486591"/>
    <w:rsid w:val="00486D3C"/>
    <w:rsid w:val="00487A66"/>
    <w:rsid w:val="00487FCE"/>
    <w:rsid w:val="004909B4"/>
    <w:rsid w:val="00494103"/>
    <w:rsid w:val="00494E90"/>
    <w:rsid w:val="004953AB"/>
    <w:rsid w:val="00495410"/>
    <w:rsid w:val="004A076B"/>
    <w:rsid w:val="004A0921"/>
    <w:rsid w:val="004A1493"/>
    <w:rsid w:val="004A242A"/>
    <w:rsid w:val="004A2CB4"/>
    <w:rsid w:val="004A3AF8"/>
    <w:rsid w:val="004A443A"/>
    <w:rsid w:val="004A4898"/>
    <w:rsid w:val="004A4BE6"/>
    <w:rsid w:val="004A66E3"/>
    <w:rsid w:val="004A6A1A"/>
    <w:rsid w:val="004B0C96"/>
    <w:rsid w:val="004B334E"/>
    <w:rsid w:val="004B38A3"/>
    <w:rsid w:val="004B50EA"/>
    <w:rsid w:val="004B5DE7"/>
    <w:rsid w:val="004B7569"/>
    <w:rsid w:val="004C05BF"/>
    <w:rsid w:val="004C16C4"/>
    <w:rsid w:val="004C2318"/>
    <w:rsid w:val="004C4226"/>
    <w:rsid w:val="004C46F3"/>
    <w:rsid w:val="004C5C86"/>
    <w:rsid w:val="004C5D41"/>
    <w:rsid w:val="004D059D"/>
    <w:rsid w:val="004D3644"/>
    <w:rsid w:val="004D3BBA"/>
    <w:rsid w:val="004D59CF"/>
    <w:rsid w:val="004D7999"/>
    <w:rsid w:val="004E0785"/>
    <w:rsid w:val="004E1C0C"/>
    <w:rsid w:val="004E773D"/>
    <w:rsid w:val="004F0266"/>
    <w:rsid w:val="004F2444"/>
    <w:rsid w:val="004F3608"/>
    <w:rsid w:val="004F5242"/>
    <w:rsid w:val="004F752E"/>
    <w:rsid w:val="004F7636"/>
    <w:rsid w:val="004F7C2F"/>
    <w:rsid w:val="00500B98"/>
    <w:rsid w:val="00500E26"/>
    <w:rsid w:val="005017B9"/>
    <w:rsid w:val="005021BF"/>
    <w:rsid w:val="00502589"/>
    <w:rsid w:val="005026B0"/>
    <w:rsid w:val="0050392D"/>
    <w:rsid w:val="005044C5"/>
    <w:rsid w:val="00504A88"/>
    <w:rsid w:val="00504D86"/>
    <w:rsid w:val="005062DD"/>
    <w:rsid w:val="00506FB3"/>
    <w:rsid w:val="0050786F"/>
    <w:rsid w:val="00512951"/>
    <w:rsid w:val="005129BF"/>
    <w:rsid w:val="0051312D"/>
    <w:rsid w:val="005135B3"/>
    <w:rsid w:val="00513EE3"/>
    <w:rsid w:val="00514B8E"/>
    <w:rsid w:val="0051588F"/>
    <w:rsid w:val="005158ED"/>
    <w:rsid w:val="005165B7"/>
    <w:rsid w:val="00520F58"/>
    <w:rsid w:val="00521918"/>
    <w:rsid w:val="00521DCA"/>
    <w:rsid w:val="00522287"/>
    <w:rsid w:val="0052264F"/>
    <w:rsid w:val="0052412A"/>
    <w:rsid w:val="0052607F"/>
    <w:rsid w:val="00527655"/>
    <w:rsid w:val="005304ED"/>
    <w:rsid w:val="0053160A"/>
    <w:rsid w:val="00532A9B"/>
    <w:rsid w:val="00534E9A"/>
    <w:rsid w:val="00537C77"/>
    <w:rsid w:val="00537EC9"/>
    <w:rsid w:val="0054387B"/>
    <w:rsid w:val="00544786"/>
    <w:rsid w:val="0054611C"/>
    <w:rsid w:val="00546D90"/>
    <w:rsid w:val="00547A75"/>
    <w:rsid w:val="00552E78"/>
    <w:rsid w:val="00554195"/>
    <w:rsid w:val="00555371"/>
    <w:rsid w:val="005556DC"/>
    <w:rsid w:val="0055584A"/>
    <w:rsid w:val="00557640"/>
    <w:rsid w:val="00557FDD"/>
    <w:rsid w:val="0056077B"/>
    <w:rsid w:val="00560A93"/>
    <w:rsid w:val="0056189D"/>
    <w:rsid w:val="005624F7"/>
    <w:rsid w:val="00563B4D"/>
    <w:rsid w:val="0056418B"/>
    <w:rsid w:val="00567310"/>
    <w:rsid w:val="00567C86"/>
    <w:rsid w:val="00567C8B"/>
    <w:rsid w:val="005704B6"/>
    <w:rsid w:val="0057098E"/>
    <w:rsid w:val="00570F3E"/>
    <w:rsid w:val="00572127"/>
    <w:rsid w:val="00576FD8"/>
    <w:rsid w:val="00577472"/>
    <w:rsid w:val="00580D8C"/>
    <w:rsid w:val="005815BC"/>
    <w:rsid w:val="00583333"/>
    <w:rsid w:val="00583691"/>
    <w:rsid w:val="00583CB5"/>
    <w:rsid w:val="005853DB"/>
    <w:rsid w:val="005857FF"/>
    <w:rsid w:val="00587999"/>
    <w:rsid w:val="00587BA3"/>
    <w:rsid w:val="005918BB"/>
    <w:rsid w:val="00593E8F"/>
    <w:rsid w:val="005949B3"/>
    <w:rsid w:val="00594F2A"/>
    <w:rsid w:val="0059552A"/>
    <w:rsid w:val="0059770D"/>
    <w:rsid w:val="005A0DD4"/>
    <w:rsid w:val="005A2F99"/>
    <w:rsid w:val="005A355C"/>
    <w:rsid w:val="005A4C90"/>
    <w:rsid w:val="005A58B4"/>
    <w:rsid w:val="005A6256"/>
    <w:rsid w:val="005A6DC1"/>
    <w:rsid w:val="005A6F50"/>
    <w:rsid w:val="005B0E3E"/>
    <w:rsid w:val="005B17C4"/>
    <w:rsid w:val="005B2C8B"/>
    <w:rsid w:val="005B4BCE"/>
    <w:rsid w:val="005B6D6E"/>
    <w:rsid w:val="005B7D98"/>
    <w:rsid w:val="005C4A67"/>
    <w:rsid w:val="005C6ED9"/>
    <w:rsid w:val="005D1825"/>
    <w:rsid w:val="005D1F08"/>
    <w:rsid w:val="005D6DC0"/>
    <w:rsid w:val="005D7FB9"/>
    <w:rsid w:val="005E09FD"/>
    <w:rsid w:val="005E12EF"/>
    <w:rsid w:val="005E1F23"/>
    <w:rsid w:val="005E2249"/>
    <w:rsid w:val="005E240E"/>
    <w:rsid w:val="005E2A2F"/>
    <w:rsid w:val="005E2A4F"/>
    <w:rsid w:val="005E4AC3"/>
    <w:rsid w:val="005E5D6E"/>
    <w:rsid w:val="005E5E5E"/>
    <w:rsid w:val="005E6197"/>
    <w:rsid w:val="005E6DB3"/>
    <w:rsid w:val="005E76CA"/>
    <w:rsid w:val="005F2810"/>
    <w:rsid w:val="0060110A"/>
    <w:rsid w:val="006023DF"/>
    <w:rsid w:val="00603567"/>
    <w:rsid w:val="00603AF7"/>
    <w:rsid w:val="00603FFE"/>
    <w:rsid w:val="006053B5"/>
    <w:rsid w:val="0061244D"/>
    <w:rsid w:val="0061299C"/>
    <w:rsid w:val="00613E22"/>
    <w:rsid w:val="00614B06"/>
    <w:rsid w:val="00615420"/>
    <w:rsid w:val="006156FC"/>
    <w:rsid w:val="006167E5"/>
    <w:rsid w:val="00616B3D"/>
    <w:rsid w:val="006209FE"/>
    <w:rsid w:val="00621ADF"/>
    <w:rsid w:val="00621B47"/>
    <w:rsid w:val="00623289"/>
    <w:rsid w:val="00623900"/>
    <w:rsid w:val="00623E3B"/>
    <w:rsid w:val="00625144"/>
    <w:rsid w:val="0062794D"/>
    <w:rsid w:val="00630138"/>
    <w:rsid w:val="006304CA"/>
    <w:rsid w:val="0063092D"/>
    <w:rsid w:val="00630987"/>
    <w:rsid w:val="00630A9E"/>
    <w:rsid w:val="00631BB5"/>
    <w:rsid w:val="0063352C"/>
    <w:rsid w:val="006353E1"/>
    <w:rsid w:val="006368B4"/>
    <w:rsid w:val="00637AAB"/>
    <w:rsid w:val="006405C1"/>
    <w:rsid w:val="006409CC"/>
    <w:rsid w:val="006411D5"/>
    <w:rsid w:val="00641227"/>
    <w:rsid w:val="006431D9"/>
    <w:rsid w:val="0064326B"/>
    <w:rsid w:val="00647DBF"/>
    <w:rsid w:val="00651C20"/>
    <w:rsid w:val="00651C8B"/>
    <w:rsid w:val="0065298A"/>
    <w:rsid w:val="00654EB4"/>
    <w:rsid w:val="006553AA"/>
    <w:rsid w:val="00657907"/>
    <w:rsid w:val="00657DB1"/>
    <w:rsid w:val="00661C4C"/>
    <w:rsid w:val="0066217E"/>
    <w:rsid w:val="00663A9C"/>
    <w:rsid w:val="00663ED9"/>
    <w:rsid w:val="0066524A"/>
    <w:rsid w:val="00667A2A"/>
    <w:rsid w:val="00670B72"/>
    <w:rsid w:val="00671DD2"/>
    <w:rsid w:val="006742D1"/>
    <w:rsid w:val="006743AF"/>
    <w:rsid w:val="006744F2"/>
    <w:rsid w:val="00674966"/>
    <w:rsid w:val="0067588E"/>
    <w:rsid w:val="006776B1"/>
    <w:rsid w:val="00680361"/>
    <w:rsid w:val="00681537"/>
    <w:rsid w:val="0068229F"/>
    <w:rsid w:val="00684076"/>
    <w:rsid w:val="00684AE8"/>
    <w:rsid w:val="00687036"/>
    <w:rsid w:val="00690938"/>
    <w:rsid w:val="00691481"/>
    <w:rsid w:val="00692847"/>
    <w:rsid w:val="00692C5D"/>
    <w:rsid w:val="00693DBA"/>
    <w:rsid w:val="00694417"/>
    <w:rsid w:val="00694C15"/>
    <w:rsid w:val="006950BA"/>
    <w:rsid w:val="0069798F"/>
    <w:rsid w:val="006A0A1A"/>
    <w:rsid w:val="006A16FE"/>
    <w:rsid w:val="006A186E"/>
    <w:rsid w:val="006A2D54"/>
    <w:rsid w:val="006A3FCC"/>
    <w:rsid w:val="006A4D6D"/>
    <w:rsid w:val="006A4DD2"/>
    <w:rsid w:val="006A77FA"/>
    <w:rsid w:val="006A7F32"/>
    <w:rsid w:val="006B06D5"/>
    <w:rsid w:val="006B14DD"/>
    <w:rsid w:val="006B190E"/>
    <w:rsid w:val="006B4651"/>
    <w:rsid w:val="006B49DD"/>
    <w:rsid w:val="006B6990"/>
    <w:rsid w:val="006C168D"/>
    <w:rsid w:val="006C2E98"/>
    <w:rsid w:val="006C3DED"/>
    <w:rsid w:val="006C7B82"/>
    <w:rsid w:val="006D0810"/>
    <w:rsid w:val="006D28AC"/>
    <w:rsid w:val="006D4535"/>
    <w:rsid w:val="006D4550"/>
    <w:rsid w:val="006D65A2"/>
    <w:rsid w:val="006D76D5"/>
    <w:rsid w:val="006D7AA5"/>
    <w:rsid w:val="006E033C"/>
    <w:rsid w:val="006E0512"/>
    <w:rsid w:val="006E0EB4"/>
    <w:rsid w:val="006E19F6"/>
    <w:rsid w:val="006E1A30"/>
    <w:rsid w:val="006E1E43"/>
    <w:rsid w:val="006E4820"/>
    <w:rsid w:val="006E5774"/>
    <w:rsid w:val="006E58D6"/>
    <w:rsid w:val="006E6E25"/>
    <w:rsid w:val="006E7C9A"/>
    <w:rsid w:val="006F0CB6"/>
    <w:rsid w:val="006F2702"/>
    <w:rsid w:val="006F3715"/>
    <w:rsid w:val="006F3F6B"/>
    <w:rsid w:val="006F406F"/>
    <w:rsid w:val="006F52B6"/>
    <w:rsid w:val="006F7091"/>
    <w:rsid w:val="006F70E5"/>
    <w:rsid w:val="006F7794"/>
    <w:rsid w:val="00701027"/>
    <w:rsid w:val="0070290B"/>
    <w:rsid w:val="007029D5"/>
    <w:rsid w:val="0070374F"/>
    <w:rsid w:val="007058DA"/>
    <w:rsid w:val="00706C05"/>
    <w:rsid w:val="007076E5"/>
    <w:rsid w:val="007077E6"/>
    <w:rsid w:val="00711344"/>
    <w:rsid w:val="007128D2"/>
    <w:rsid w:val="00712D2A"/>
    <w:rsid w:val="00712EA4"/>
    <w:rsid w:val="0071395A"/>
    <w:rsid w:val="00713F99"/>
    <w:rsid w:val="00714C6C"/>
    <w:rsid w:val="00714F2E"/>
    <w:rsid w:val="00714F59"/>
    <w:rsid w:val="00714FE5"/>
    <w:rsid w:val="00715D62"/>
    <w:rsid w:val="00716692"/>
    <w:rsid w:val="007202F2"/>
    <w:rsid w:val="00720980"/>
    <w:rsid w:val="0072106C"/>
    <w:rsid w:val="00724E7F"/>
    <w:rsid w:val="00725E0A"/>
    <w:rsid w:val="007303EC"/>
    <w:rsid w:val="00730C73"/>
    <w:rsid w:val="0073107F"/>
    <w:rsid w:val="0073258A"/>
    <w:rsid w:val="00732DDC"/>
    <w:rsid w:val="00733CF6"/>
    <w:rsid w:val="00735E36"/>
    <w:rsid w:val="00736000"/>
    <w:rsid w:val="00736529"/>
    <w:rsid w:val="00736DCB"/>
    <w:rsid w:val="00740761"/>
    <w:rsid w:val="0074134D"/>
    <w:rsid w:val="00743FEB"/>
    <w:rsid w:val="00744094"/>
    <w:rsid w:val="007441B5"/>
    <w:rsid w:val="00744C57"/>
    <w:rsid w:val="00747E6D"/>
    <w:rsid w:val="007506B7"/>
    <w:rsid w:val="007517EB"/>
    <w:rsid w:val="00751B88"/>
    <w:rsid w:val="00752A34"/>
    <w:rsid w:val="00752AFF"/>
    <w:rsid w:val="00754A08"/>
    <w:rsid w:val="00754F96"/>
    <w:rsid w:val="00756708"/>
    <w:rsid w:val="00756D54"/>
    <w:rsid w:val="00757819"/>
    <w:rsid w:val="00760DF1"/>
    <w:rsid w:val="00762591"/>
    <w:rsid w:val="00763A81"/>
    <w:rsid w:val="00764F75"/>
    <w:rsid w:val="00766824"/>
    <w:rsid w:val="00767E27"/>
    <w:rsid w:val="007701B6"/>
    <w:rsid w:val="007704E9"/>
    <w:rsid w:val="00771061"/>
    <w:rsid w:val="0077219A"/>
    <w:rsid w:val="007723C4"/>
    <w:rsid w:val="0078056C"/>
    <w:rsid w:val="00781F1B"/>
    <w:rsid w:val="00783C8F"/>
    <w:rsid w:val="00785CE0"/>
    <w:rsid w:val="007915A3"/>
    <w:rsid w:val="00792B45"/>
    <w:rsid w:val="00792C4E"/>
    <w:rsid w:val="00795BD9"/>
    <w:rsid w:val="007960D5"/>
    <w:rsid w:val="007962E2"/>
    <w:rsid w:val="00796B45"/>
    <w:rsid w:val="0079736E"/>
    <w:rsid w:val="007A0B86"/>
    <w:rsid w:val="007A1723"/>
    <w:rsid w:val="007A2974"/>
    <w:rsid w:val="007A3E59"/>
    <w:rsid w:val="007A4FD9"/>
    <w:rsid w:val="007A5B60"/>
    <w:rsid w:val="007A5E73"/>
    <w:rsid w:val="007B0487"/>
    <w:rsid w:val="007B2AAD"/>
    <w:rsid w:val="007B3E94"/>
    <w:rsid w:val="007B60B6"/>
    <w:rsid w:val="007C0EBA"/>
    <w:rsid w:val="007C2B59"/>
    <w:rsid w:val="007C2C0C"/>
    <w:rsid w:val="007C43A8"/>
    <w:rsid w:val="007C690E"/>
    <w:rsid w:val="007C6B90"/>
    <w:rsid w:val="007D0ADA"/>
    <w:rsid w:val="007D2189"/>
    <w:rsid w:val="007D30AE"/>
    <w:rsid w:val="007D30CA"/>
    <w:rsid w:val="007D3812"/>
    <w:rsid w:val="007D4A7B"/>
    <w:rsid w:val="007D5939"/>
    <w:rsid w:val="007D6FE4"/>
    <w:rsid w:val="007D713B"/>
    <w:rsid w:val="007D74E9"/>
    <w:rsid w:val="007E0C17"/>
    <w:rsid w:val="007E1972"/>
    <w:rsid w:val="007E24B4"/>
    <w:rsid w:val="007E3149"/>
    <w:rsid w:val="007E3DDE"/>
    <w:rsid w:val="007E566D"/>
    <w:rsid w:val="007E6B96"/>
    <w:rsid w:val="007E74B9"/>
    <w:rsid w:val="007F02AD"/>
    <w:rsid w:val="007F209D"/>
    <w:rsid w:val="007F664A"/>
    <w:rsid w:val="007F68CE"/>
    <w:rsid w:val="007F76AC"/>
    <w:rsid w:val="007F78B2"/>
    <w:rsid w:val="007F7A89"/>
    <w:rsid w:val="007F7EEF"/>
    <w:rsid w:val="008003F6"/>
    <w:rsid w:val="00800750"/>
    <w:rsid w:val="00801C29"/>
    <w:rsid w:val="00801D35"/>
    <w:rsid w:val="008026BB"/>
    <w:rsid w:val="008035CE"/>
    <w:rsid w:val="00804EB0"/>
    <w:rsid w:val="00806EEB"/>
    <w:rsid w:val="008073B7"/>
    <w:rsid w:val="00807A75"/>
    <w:rsid w:val="00811E07"/>
    <w:rsid w:val="00812AAF"/>
    <w:rsid w:val="00813360"/>
    <w:rsid w:val="00814283"/>
    <w:rsid w:val="00815C1C"/>
    <w:rsid w:val="00816108"/>
    <w:rsid w:val="008169A6"/>
    <w:rsid w:val="0082039E"/>
    <w:rsid w:val="008204C8"/>
    <w:rsid w:val="00821569"/>
    <w:rsid w:val="0082595E"/>
    <w:rsid w:val="00825983"/>
    <w:rsid w:val="0083308B"/>
    <w:rsid w:val="0083323B"/>
    <w:rsid w:val="00833509"/>
    <w:rsid w:val="008342EF"/>
    <w:rsid w:val="0083459E"/>
    <w:rsid w:val="00836616"/>
    <w:rsid w:val="00837635"/>
    <w:rsid w:val="008403E3"/>
    <w:rsid w:val="00842F29"/>
    <w:rsid w:val="00843C26"/>
    <w:rsid w:val="00844C78"/>
    <w:rsid w:val="008470D1"/>
    <w:rsid w:val="00851EC1"/>
    <w:rsid w:val="00851F2B"/>
    <w:rsid w:val="00854B9C"/>
    <w:rsid w:val="00854E66"/>
    <w:rsid w:val="00855697"/>
    <w:rsid w:val="008558CF"/>
    <w:rsid w:val="00856334"/>
    <w:rsid w:val="00856CE7"/>
    <w:rsid w:val="00860246"/>
    <w:rsid w:val="0086117B"/>
    <w:rsid w:val="0086187F"/>
    <w:rsid w:val="00864734"/>
    <w:rsid w:val="00865B2F"/>
    <w:rsid w:val="008668EF"/>
    <w:rsid w:val="00871CA9"/>
    <w:rsid w:val="00873E16"/>
    <w:rsid w:val="008752DA"/>
    <w:rsid w:val="00875AB4"/>
    <w:rsid w:val="00875CFB"/>
    <w:rsid w:val="008773DC"/>
    <w:rsid w:val="00877BCA"/>
    <w:rsid w:val="0088172A"/>
    <w:rsid w:val="00881E6F"/>
    <w:rsid w:val="0088269A"/>
    <w:rsid w:val="00882A0E"/>
    <w:rsid w:val="00882BDD"/>
    <w:rsid w:val="00886CA1"/>
    <w:rsid w:val="0089007E"/>
    <w:rsid w:val="00890388"/>
    <w:rsid w:val="0089063A"/>
    <w:rsid w:val="00892D40"/>
    <w:rsid w:val="0089310B"/>
    <w:rsid w:val="008940E7"/>
    <w:rsid w:val="008946C3"/>
    <w:rsid w:val="008A01BD"/>
    <w:rsid w:val="008A0376"/>
    <w:rsid w:val="008A0971"/>
    <w:rsid w:val="008A0D04"/>
    <w:rsid w:val="008A145C"/>
    <w:rsid w:val="008A2AFF"/>
    <w:rsid w:val="008A2C05"/>
    <w:rsid w:val="008A2EC7"/>
    <w:rsid w:val="008A32A9"/>
    <w:rsid w:val="008A3716"/>
    <w:rsid w:val="008A4ABE"/>
    <w:rsid w:val="008A6260"/>
    <w:rsid w:val="008A78AD"/>
    <w:rsid w:val="008A79C5"/>
    <w:rsid w:val="008B0285"/>
    <w:rsid w:val="008B0D87"/>
    <w:rsid w:val="008B1B7B"/>
    <w:rsid w:val="008B2D30"/>
    <w:rsid w:val="008B3216"/>
    <w:rsid w:val="008B5D59"/>
    <w:rsid w:val="008C0243"/>
    <w:rsid w:val="008C0842"/>
    <w:rsid w:val="008C22C4"/>
    <w:rsid w:val="008C3219"/>
    <w:rsid w:val="008C3995"/>
    <w:rsid w:val="008C4CFB"/>
    <w:rsid w:val="008C5648"/>
    <w:rsid w:val="008C585B"/>
    <w:rsid w:val="008C6146"/>
    <w:rsid w:val="008D05F2"/>
    <w:rsid w:val="008D2AA9"/>
    <w:rsid w:val="008D6441"/>
    <w:rsid w:val="008D72A9"/>
    <w:rsid w:val="008D7616"/>
    <w:rsid w:val="008D7652"/>
    <w:rsid w:val="008E0B5E"/>
    <w:rsid w:val="008E3391"/>
    <w:rsid w:val="008E33E7"/>
    <w:rsid w:val="008E46CC"/>
    <w:rsid w:val="008E6142"/>
    <w:rsid w:val="008E6EFB"/>
    <w:rsid w:val="008E75C0"/>
    <w:rsid w:val="008F0CD6"/>
    <w:rsid w:val="008F0E69"/>
    <w:rsid w:val="008F1466"/>
    <w:rsid w:val="008F245A"/>
    <w:rsid w:val="008F24FB"/>
    <w:rsid w:val="008F2BCF"/>
    <w:rsid w:val="008F40CC"/>
    <w:rsid w:val="008F4486"/>
    <w:rsid w:val="008F45D6"/>
    <w:rsid w:val="0090051E"/>
    <w:rsid w:val="009023E8"/>
    <w:rsid w:val="00903B36"/>
    <w:rsid w:val="00903D79"/>
    <w:rsid w:val="00904A0D"/>
    <w:rsid w:val="00905C43"/>
    <w:rsid w:val="0090663E"/>
    <w:rsid w:val="00906A53"/>
    <w:rsid w:val="00907469"/>
    <w:rsid w:val="00910F75"/>
    <w:rsid w:val="009115D6"/>
    <w:rsid w:val="00912E8B"/>
    <w:rsid w:val="009161C4"/>
    <w:rsid w:val="00916FF9"/>
    <w:rsid w:val="00917639"/>
    <w:rsid w:val="00921391"/>
    <w:rsid w:val="00922342"/>
    <w:rsid w:val="00923160"/>
    <w:rsid w:val="00923C91"/>
    <w:rsid w:val="0092549B"/>
    <w:rsid w:val="0092632C"/>
    <w:rsid w:val="00927E19"/>
    <w:rsid w:val="00927EC6"/>
    <w:rsid w:val="009323D2"/>
    <w:rsid w:val="00932DF7"/>
    <w:rsid w:val="00934411"/>
    <w:rsid w:val="00935294"/>
    <w:rsid w:val="0093677C"/>
    <w:rsid w:val="00936ADB"/>
    <w:rsid w:val="00936E0A"/>
    <w:rsid w:val="00937A47"/>
    <w:rsid w:val="0094064C"/>
    <w:rsid w:val="00941050"/>
    <w:rsid w:val="00941136"/>
    <w:rsid w:val="0094174F"/>
    <w:rsid w:val="0094191C"/>
    <w:rsid w:val="00942670"/>
    <w:rsid w:val="00944132"/>
    <w:rsid w:val="009445BD"/>
    <w:rsid w:val="0094536E"/>
    <w:rsid w:val="00946DD0"/>
    <w:rsid w:val="009479CF"/>
    <w:rsid w:val="00950727"/>
    <w:rsid w:val="00950B7C"/>
    <w:rsid w:val="009512CB"/>
    <w:rsid w:val="00951AF4"/>
    <w:rsid w:val="00953F6A"/>
    <w:rsid w:val="00954884"/>
    <w:rsid w:val="00955335"/>
    <w:rsid w:val="0096051C"/>
    <w:rsid w:val="00960C83"/>
    <w:rsid w:val="009613B4"/>
    <w:rsid w:val="009635B6"/>
    <w:rsid w:val="00963E9B"/>
    <w:rsid w:val="00970248"/>
    <w:rsid w:val="00970BDC"/>
    <w:rsid w:val="009722F5"/>
    <w:rsid w:val="009743E1"/>
    <w:rsid w:val="0097656C"/>
    <w:rsid w:val="00976B3B"/>
    <w:rsid w:val="00976C60"/>
    <w:rsid w:val="009803A0"/>
    <w:rsid w:val="009808F6"/>
    <w:rsid w:val="009856B5"/>
    <w:rsid w:val="00985F85"/>
    <w:rsid w:val="009867BD"/>
    <w:rsid w:val="00986D97"/>
    <w:rsid w:val="00990B93"/>
    <w:rsid w:val="00990FF8"/>
    <w:rsid w:val="00992B7E"/>
    <w:rsid w:val="009931BE"/>
    <w:rsid w:val="009936FC"/>
    <w:rsid w:val="009937F9"/>
    <w:rsid w:val="0099426D"/>
    <w:rsid w:val="009969BE"/>
    <w:rsid w:val="00997385"/>
    <w:rsid w:val="00997F7C"/>
    <w:rsid w:val="009A0720"/>
    <w:rsid w:val="009A0B54"/>
    <w:rsid w:val="009A3385"/>
    <w:rsid w:val="009A4A3D"/>
    <w:rsid w:val="009A5AC2"/>
    <w:rsid w:val="009A5CB7"/>
    <w:rsid w:val="009A62AD"/>
    <w:rsid w:val="009B74F3"/>
    <w:rsid w:val="009C0DF8"/>
    <w:rsid w:val="009C3E61"/>
    <w:rsid w:val="009C45CC"/>
    <w:rsid w:val="009C54BD"/>
    <w:rsid w:val="009C5BE2"/>
    <w:rsid w:val="009C5FFF"/>
    <w:rsid w:val="009D0EE6"/>
    <w:rsid w:val="009D29E4"/>
    <w:rsid w:val="009D466C"/>
    <w:rsid w:val="009D4DEB"/>
    <w:rsid w:val="009D5471"/>
    <w:rsid w:val="009D79F3"/>
    <w:rsid w:val="009D7B54"/>
    <w:rsid w:val="009D7E0B"/>
    <w:rsid w:val="009E0F39"/>
    <w:rsid w:val="009E3D49"/>
    <w:rsid w:val="009E4303"/>
    <w:rsid w:val="009E50F7"/>
    <w:rsid w:val="009E544A"/>
    <w:rsid w:val="009E564B"/>
    <w:rsid w:val="009E5EF1"/>
    <w:rsid w:val="009E5FD5"/>
    <w:rsid w:val="009E6238"/>
    <w:rsid w:val="009E723B"/>
    <w:rsid w:val="009E7275"/>
    <w:rsid w:val="009F0393"/>
    <w:rsid w:val="009F0B29"/>
    <w:rsid w:val="009F2A31"/>
    <w:rsid w:val="009F2EC1"/>
    <w:rsid w:val="009F39D6"/>
    <w:rsid w:val="009F444D"/>
    <w:rsid w:val="009F4618"/>
    <w:rsid w:val="009F4A5D"/>
    <w:rsid w:val="009F6149"/>
    <w:rsid w:val="009F64D7"/>
    <w:rsid w:val="009F6E07"/>
    <w:rsid w:val="00A01E1F"/>
    <w:rsid w:val="00A02478"/>
    <w:rsid w:val="00A02771"/>
    <w:rsid w:val="00A02797"/>
    <w:rsid w:val="00A02D10"/>
    <w:rsid w:val="00A0553E"/>
    <w:rsid w:val="00A055E7"/>
    <w:rsid w:val="00A10388"/>
    <w:rsid w:val="00A115DB"/>
    <w:rsid w:val="00A12AE3"/>
    <w:rsid w:val="00A143C0"/>
    <w:rsid w:val="00A15977"/>
    <w:rsid w:val="00A174C0"/>
    <w:rsid w:val="00A209D5"/>
    <w:rsid w:val="00A21488"/>
    <w:rsid w:val="00A220AD"/>
    <w:rsid w:val="00A2268B"/>
    <w:rsid w:val="00A228AA"/>
    <w:rsid w:val="00A2291F"/>
    <w:rsid w:val="00A25189"/>
    <w:rsid w:val="00A25467"/>
    <w:rsid w:val="00A25B7A"/>
    <w:rsid w:val="00A26A4A"/>
    <w:rsid w:val="00A27331"/>
    <w:rsid w:val="00A3194D"/>
    <w:rsid w:val="00A34602"/>
    <w:rsid w:val="00A366FE"/>
    <w:rsid w:val="00A37561"/>
    <w:rsid w:val="00A407D0"/>
    <w:rsid w:val="00A42CC5"/>
    <w:rsid w:val="00A442F5"/>
    <w:rsid w:val="00A4479A"/>
    <w:rsid w:val="00A449A5"/>
    <w:rsid w:val="00A45C52"/>
    <w:rsid w:val="00A46008"/>
    <w:rsid w:val="00A4621E"/>
    <w:rsid w:val="00A464E6"/>
    <w:rsid w:val="00A46818"/>
    <w:rsid w:val="00A47781"/>
    <w:rsid w:val="00A477AE"/>
    <w:rsid w:val="00A50665"/>
    <w:rsid w:val="00A50D35"/>
    <w:rsid w:val="00A529B2"/>
    <w:rsid w:val="00A52EC4"/>
    <w:rsid w:val="00A53F7E"/>
    <w:rsid w:val="00A53F81"/>
    <w:rsid w:val="00A57FC6"/>
    <w:rsid w:val="00A61D30"/>
    <w:rsid w:val="00A631D5"/>
    <w:rsid w:val="00A63A4A"/>
    <w:rsid w:val="00A63B84"/>
    <w:rsid w:val="00A6410F"/>
    <w:rsid w:val="00A64769"/>
    <w:rsid w:val="00A6494C"/>
    <w:rsid w:val="00A6500C"/>
    <w:rsid w:val="00A65BA8"/>
    <w:rsid w:val="00A66FBB"/>
    <w:rsid w:val="00A67423"/>
    <w:rsid w:val="00A67795"/>
    <w:rsid w:val="00A67ACC"/>
    <w:rsid w:val="00A67FBB"/>
    <w:rsid w:val="00A7292F"/>
    <w:rsid w:val="00A742DB"/>
    <w:rsid w:val="00A74542"/>
    <w:rsid w:val="00A750E4"/>
    <w:rsid w:val="00A76F5C"/>
    <w:rsid w:val="00A81670"/>
    <w:rsid w:val="00A829D2"/>
    <w:rsid w:val="00A8373C"/>
    <w:rsid w:val="00A847A6"/>
    <w:rsid w:val="00A84F01"/>
    <w:rsid w:val="00A85159"/>
    <w:rsid w:val="00A8529B"/>
    <w:rsid w:val="00A868C5"/>
    <w:rsid w:val="00A9021E"/>
    <w:rsid w:val="00A90CBA"/>
    <w:rsid w:val="00A91428"/>
    <w:rsid w:val="00A92E49"/>
    <w:rsid w:val="00A9318B"/>
    <w:rsid w:val="00A935DC"/>
    <w:rsid w:val="00A93FE3"/>
    <w:rsid w:val="00A94CC6"/>
    <w:rsid w:val="00A9562E"/>
    <w:rsid w:val="00A97525"/>
    <w:rsid w:val="00AA0914"/>
    <w:rsid w:val="00AA3DAF"/>
    <w:rsid w:val="00AA415D"/>
    <w:rsid w:val="00AA4778"/>
    <w:rsid w:val="00AA5267"/>
    <w:rsid w:val="00AA56CE"/>
    <w:rsid w:val="00AA636B"/>
    <w:rsid w:val="00AA67B1"/>
    <w:rsid w:val="00AA6C80"/>
    <w:rsid w:val="00AB4DBD"/>
    <w:rsid w:val="00AB5A9E"/>
    <w:rsid w:val="00AC30C2"/>
    <w:rsid w:val="00AC34D4"/>
    <w:rsid w:val="00AC4066"/>
    <w:rsid w:val="00AC566C"/>
    <w:rsid w:val="00AC567B"/>
    <w:rsid w:val="00AC7C23"/>
    <w:rsid w:val="00AD0ACE"/>
    <w:rsid w:val="00AD288E"/>
    <w:rsid w:val="00AD2D9F"/>
    <w:rsid w:val="00AD344A"/>
    <w:rsid w:val="00AD51D5"/>
    <w:rsid w:val="00AD555F"/>
    <w:rsid w:val="00AD5F05"/>
    <w:rsid w:val="00AD61EC"/>
    <w:rsid w:val="00AD6806"/>
    <w:rsid w:val="00AE02AE"/>
    <w:rsid w:val="00AE276F"/>
    <w:rsid w:val="00AE2A26"/>
    <w:rsid w:val="00AE3505"/>
    <w:rsid w:val="00AE38F8"/>
    <w:rsid w:val="00AE3987"/>
    <w:rsid w:val="00AE3DD1"/>
    <w:rsid w:val="00AE4C14"/>
    <w:rsid w:val="00AF1312"/>
    <w:rsid w:val="00AF17C8"/>
    <w:rsid w:val="00AF2B62"/>
    <w:rsid w:val="00AF2EBF"/>
    <w:rsid w:val="00AF5B21"/>
    <w:rsid w:val="00AF627E"/>
    <w:rsid w:val="00AF7C9E"/>
    <w:rsid w:val="00B010DE"/>
    <w:rsid w:val="00B02CB6"/>
    <w:rsid w:val="00B03CBB"/>
    <w:rsid w:val="00B04FA5"/>
    <w:rsid w:val="00B04FFB"/>
    <w:rsid w:val="00B06852"/>
    <w:rsid w:val="00B07A54"/>
    <w:rsid w:val="00B1090C"/>
    <w:rsid w:val="00B12766"/>
    <w:rsid w:val="00B12DBF"/>
    <w:rsid w:val="00B14042"/>
    <w:rsid w:val="00B14ED6"/>
    <w:rsid w:val="00B154F1"/>
    <w:rsid w:val="00B161E3"/>
    <w:rsid w:val="00B16684"/>
    <w:rsid w:val="00B16938"/>
    <w:rsid w:val="00B16B57"/>
    <w:rsid w:val="00B171E8"/>
    <w:rsid w:val="00B17BFF"/>
    <w:rsid w:val="00B17CFF"/>
    <w:rsid w:val="00B20509"/>
    <w:rsid w:val="00B225CF"/>
    <w:rsid w:val="00B2297C"/>
    <w:rsid w:val="00B22BD2"/>
    <w:rsid w:val="00B235CB"/>
    <w:rsid w:val="00B24695"/>
    <w:rsid w:val="00B24DEB"/>
    <w:rsid w:val="00B265D5"/>
    <w:rsid w:val="00B27045"/>
    <w:rsid w:val="00B32104"/>
    <w:rsid w:val="00B344BB"/>
    <w:rsid w:val="00B36212"/>
    <w:rsid w:val="00B37C85"/>
    <w:rsid w:val="00B40190"/>
    <w:rsid w:val="00B4025A"/>
    <w:rsid w:val="00B40FC2"/>
    <w:rsid w:val="00B410A3"/>
    <w:rsid w:val="00B444AC"/>
    <w:rsid w:val="00B44A49"/>
    <w:rsid w:val="00B44B0B"/>
    <w:rsid w:val="00B47195"/>
    <w:rsid w:val="00B47B13"/>
    <w:rsid w:val="00B50D27"/>
    <w:rsid w:val="00B51298"/>
    <w:rsid w:val="00B51977"/>
    <w:rsid w:val="00B5294E"/>
    <w:rsid w:val="00B540A9"/>
    <w:rsid w:val="00B54274"/>
    <w:rsid w:val="00B54755"/>
    <w:rsid w:val="00B55119"/>
    <w:rsid w:val="00B55212"/>
    <w:rsid w:val="00B55E22"/>
    <w:rsid w:val="00B56260"/>
    <w:rsid w:val="00B627C6"/>
    <w:rsid w:val="00B63EAB"/>
    <w:rsid w:val="00B6486E"/>
    <w:rsid w:val="00B65AAC"/>
    <w:rsid w:val="00B65CE1"/>
    <w:rsid w:val="00B66989"/>
    <w:rsid w:val="00B66BBB"/>
    <w:rsid w:val="00B6793B"/>
    <w:rsid w:val="00B742BA"/>
    <w:rsid w:val="00B74D31"/>
    <w:rsid w:val="00B80327"/>
    <w:rsid w:val="00B80A9A"/>
    <w:rsid w:val="00B82FF7"/>
    <w:rsid w:val="00B832B8"/>
    <w:rsid w:val="00B84575"/>
    <w:rsid w:val="00B85B02"/>
    <w:rsid w:val="00B901B1"/>
    <w:rsid w:val="00B90CCD"/>
    <w:rsid w:val="00B93003"/>
    <w:rsid w:val="00B9388C"/>
    <w:rsid w:val="00B97377"/>
    <w:rsid w:val="00BA016A"/>
    <w:rsid w:val="00BA08ED"/>
    <w:rsid w:val="00BA1ACF"/>
    <w:rsid w:val="00BA3CCD"/>
    <w:rsid w:val="00BA5444"/>
    <w:rsid w:val="00BB0CDA"/>
    <w:rsid w:val="00BB0D93"/>
    <w:rsid w:val="00BB12DF"/>
    <w:rsid w:val="00BB1F2B"/>
    <w:rsid w:val="00BB2016"/>
    <w:rsid w:val="00BB4B65"/>
    <w:rsid w:val="00BB5080"/>
    <w:rsid w:val="00BB6885"/>
    <w:rsid w:val="00BB6AEA"/>
    <w:rsid w:val="00BB7431"/>
    <w:rsid w:val="00BB75E1"/>
    <w:rsid w:val="00BC02DD"/>
    <w:rsid w:val="00BC0589"/>
    <w:rsid w:val="00BC05D2"/>
    <w:rsid w:val="00BC0F1A"/>
    <w:rsid w:val="00BC2083"/>
    <w:rsid w:val="00BC2598"/>
    <w:rsid w:val="00BC4AE3"/>
    <w:rsid w:val="00BC524B"/>
    <w:rsid w:val="00BC5376"/>
    <w:rsid w:val="00BC7140"/>
    <w:rsid w:val="00BC75CB"/>
    <w:rsid w:val="00BD09F2"/>
    <w:rsid w:val="00BD0FCF"/>
    <w:rsid w:val="00BD2197"/>
    <w:rsid w:val="00BD3DE6"/>
    <w:rsid w:val="00BD6A44"/>
    <w:rsid w:val="00BD745E"/>
    <w:rsid w:val="00BD7850"/>
    <w:rsid w:val="00BE2029"/>
    <w:rsid w:val="00BE3D15"/>
    <w:rsid w:val="00BE44F5"/>
    <w:rsid w:val="00BE4A0A"/>
    <w:rsid w:val="00BE5113"/>
    <w:rsid w:val="00BE7281"/>
    <w:rsid w:val="00BF2038"/>
    <w:rsid w:val="00BF218B"/>
    <w:rsid w:val="00BF32A9"/>
    <w:rsid w:val="00BF360C"/>
    <w:rsid w:val="00BF4596"/>
    <w:rsid w:val="00BF7638"/>
    <w:rsid w:val="00C0147F"/>
    <w:rsid w:val="00C07CD1"/>
    <w:rsid w:val="00C07E81"/>
    <w:rsid w:val="00C10244"/>
    <w:rsid w:val="00C12EA7"/>
    <w:rsid w:val="00C16334"/>
    <w:rsid w:val="00C166AE"/>
    <w:rsid w:val="00C16CCE"/>
    <w:rsid w:val="00C21FAB"/>
    <w:rsid w:val="00C22142"/>
    <w:rsid w:val="00C23257"/>
    <w:rsid w:val="00C23A06"/>
    <w:rsid w:val="00C2406F"/>
    <w:rsid w:val="00C24513"/>
    <w:rsid w:val="00C251D9"/>
    <w:rsid w:val="00C25374"/>
    <w:rsid w:val="00C26194"/>
    <w:rsid w:val="00C26B24"/>
    <w:rsid w:val="00C27887"/>
    <w:rsid w:val="00C27FD5"/>
    <w:rsid w:val="00C30EFF"/>
    <w:rsid w:val="00C31684"/>
    <w:rsid w:val="00C31EE4"/>
    <w:rsid w:val="00C32FBD"/>
    <w:rsid w:val="00C33F1F"/>
    <w:rsid w:val="00C34A05"/>
    <w:rsid w:val="00C35707"/>
    <w:rsid w:val="00C4042A"/>
    <w:rsid w:val="00C409A9"/>
    <w:rsid w:val="00C40B67"/>
    <w:rsid w:val="00C43845"/>
    <w:rsid w:val="00C43A19"/>
    <w:rsid w:val="00C43C23"/>
    <w:rsid w:val="00C440E5"/>
    <w:rsid w:val="00C44921"/>
    <w:rsid w:val="00C44F30"/>
    <w:rsid w:val="00C4586D"/>
    <w:rsid w:val="00C459F4"/>
    <w:rsid w:val="00C463E1"/>
    <w:rsid w:val="00C46A84"/>
    <w:rsid w:val="00C47AD4"/>
    <w:rsid w:val="00C50351"/>
    <w:rsid w:val="00C508D2"/>
    <w:rsid w:val="00C5104C"/>
    <w:rsid w:val="00C51793"/>
    <w:rsid w:val="00C519A7"/>
    <w:rsid w:val="00C528AE"/>
    <w:rsid w:val="00C536AB"/>
    <w:rsid w:val="00C554B5"/>
    <w:rsid w:val="00C57421"/>
    <w:rsid w:val="00C608F5"/>
    <w:rsid w:val="00C60929"/>
    <w:rsid w:val="00C61C49"/>
    <w:rsid w:val="00C624B2"/>
    <w:rsid w:val="00C62A4F"/>
    <w:rsid w:val="00C6333D"/>
    <w:rsid w:val="00C6458E"/>
    <w:rsid w:val="00C66026"/>
    <w:rsid w:val="00C70130"/>
    <w:rsid w:val="00C74597"/>
    <w:rsid w:val="00C77D36"/>
    <w:rsid w:val="00C80FA0"/>
    <w:rsid w:val="00C82EF8"/>
    <w:rsid w:val="00C83483"/>
    <w:rsid w:val="00C83DE7"/>
    <w:rsid w:val="00C863A3"/>
    <w:rsid w:val="00C8771B"/>
    <w:rsid w:val="00C902EE"/>
    <w:rsid w:val="00C90767"/>
    <w:rsid w:val="00C91A0F"/>
    <w:rsid w:val="00C9446E"/>
    <w:rsid w:val="00C94634"/>
    <w:rsid w:val="00C94F66"/>
    <w:rsid w:val="00C94FFC"/>
    <w:rsid w:val="00C95E39"/>
    <w:rsid w:val="00C974A4"/>
    <w:rsid w:val="00C9795E"/>
    <w:rsid w:val="00C97985"/>
    <w:rsid w:val="00C97BCA"/>
    <w:rsid w:val="00CA0FAF"/>
    <w:rsid w:val="00CA285B"/>
    <w:rsid w:val="00CA3818"/>
    <w:rsid w:val="00CA5545"/>
    <w:rsid w:val="00CA5BCF"/>
    <w:rsid w:val="00CA61B6"/>
    <w:rsid w:val="00CA7859"/>
    <w:rsid w:val="00CB13D1"/>
    <w:rsid w:val="00CB25CD"/>
    <w:rsid w:val="00CB3261"/>
    <w:rsid w:val="00CB5CEF"/>
    <w:rsid w:val="00CC234C"/>
    <w:rsid w:val="00CC301D"/>
    <w:rsid w:val="00CC374A"/>
    <w:rsid w:val="00CC5114"/>
    <w:rsid w:val="00CC5BB1"/>
    <w:rsid w:val="00CC5BEB"/>
    <w:rsid w:val="00CC74AB"/>
    <w:rsid w:val="00CD02F7"/>
    <w:rsid w:val="00CD1B1F"/>
    <w:rsid w:val="00CD296F"/>
    <w:rsid w:val="00CD33D7"/>
    <w:rsid w:val="00CD474E"/>
    <w:rsid w:val="00CD70FD"/>
    <w:rsid w:val="00CD7FDE"/>
    <w:rsid w:val="00CE0788"/>
    <w:rsid w:val="00CE1498"/>
    <w:rsid w:val="00CE16BA"/>
    <w:rsid w:val="00CE2BDB"/>
    <w:rsid w:val="00CE3CAF"/>
    <w:rsid w:val="00CE62B3"/>
    <w:rsid w:val="00CE70E3"/>
    <w:rsid w:val="00CE76B1"/>
    <w:rsid w:val="00CE78E8"/>
    <w:rsid w:val="00CE7C95"/>
    <w:rsid w:val="00CF0415"/>
    <w:rsid w:val="00CF146B"/>
    <w:rsid w:val="00CF4035"/>
    <w:rsid w:val="00CF512C"/>
    <w:rsid w:val="00CF5144"/>
    <w:rsid w:val="00CF6272"/>
    <w:rsid w:val="00CF77AE"/>
    <w:rsid w:val="00D00E32"/>
    <w:rsid w:val="00D00EE5"/>
    <w:rsid w:val="00D0305E"/>
    <w:rsid w:val="00D03EAB"/>
    <w:rsid w:val="00D03FAB"/>
    <w:rsid w:val="00D06B4F"/>
    <w:rsid w:val="00D14A04"/>
    <w:rsid w:val="00D15185"/>
    <w:rsid w:val="00D16135"/>
    <w:rsid w:val="00D16676"/>
    <w:rsid w:val="00D17356"/>
    <w:rsid w:val="00D209EF"/>
    <w:rsid w:val="00D21F65"/>
    <w:rsid w:val="00D22967"/>
    <w:rsid w:val="00D243B9"/>
    <w:rsid w:val="00D24F92"/>
    <w:rsid w:val="00D3216F"/>
    <w:rsid w:val="00D32ABF"/>
    <w:rsid w:val="00D334C7"/>
    <w:rsid w:val="00D35EB9"/>
    <w:rsid w:val="00D36DDD"/>
    <w:rsid w:val="00D40ADD"/>
    <w:rsid w:val="00D4174B"/>
    <w:rsid w:val="00D4393A"/>
    <w:rsid w:val="00D44634"/>
    <w:rsid w:val="00D5002A"/>
    <w:rsid w:val="00D50B20"/>
    <w:rsid w:val="00D52974"/>
    <w:rsid w:val="00D52F3C"/>
    <w:rsid w:val="00D55E4B"/>
    <w:rsid w:val="00D56F98"/>
    <w:rsid w:val="00D573BF"/>
    <w:rsid w:val="00D603EC"/>
    <w:rsid w:val="00D60A52"/>
    <w:rsid w:val="00D62945"/>
    <w:rsid w:val="00D6297F"/>
    <w:rsid w:val="00D64C62"/>
    <w:rsid w:val="00D653C3"/>
    <w:rsid w:val="00D65F19"/>
    <w:rsid w:val="00D70929"/>
    <w:rsid w:val="00D70A12"/>
    <w:rsid w:val="00D719CF"/>
    <w:rsid w:val="00D72248"/>
    <w:rsid w:val="00D734B0"/>
    <w:rsid w:val="00D7691B"/>
    <w:rsid w:val="00D8080B"/>
    <w:rsid w:val="00D81291"/>
    <w:rsid w:val="00D81F82"/>
    <w:rsid w:val="00D82A12"/>
    <w:rsid w:val="00D84D4B"/>
    <w:rsid w:val="00D857DB"/>
    <w:rsid w:val="00D8597F"/>
    <w:rsid w:val="00D9035E"/>
    <w:rsid w:val="00D9114B"/>
    <w:rsid w:val="00D92A5A"/>
    <w:rsid w:val="00D9319B"/>
    <w:rsid w:val="00D940A2"/>
    <w:rsid w:val="00D944FA"/>
    <w:rsid w:val="00D96771"/>
    <w:rsid w:val="00D970C3"/>
    <w:rsid w:val="00D97F4F"/>
    <w:rsid w:val="00DA000A"/>
    <w:rsid w:val="00DA049B"/>
    <w:rsid w:val="00DA0DF6"/>
    <w:rsid w:val="00DA1AC1"/>
    <w:rsid w:val="00DA2F48"/>
    <w:rsid w:val="00DA3D27"/>
    <w:rsid w:val="00DA40F8"/>
    <w:rsid w:val="00DA546F"/>
    <w:rsid w:val="00DA713C"/>
    <w:rsid w:val="00DB203F"/>
    <w:rsid w:val="00DB2AB4"/>
    <w:rsid w:val="00DB330E"/>
    <w:rsid w:val="00DB49F8"/>
    <w:rsid w:val="00DB4D88"/>
    <w:rsid w:val="00DC0F47"/>
    <w:rsid w:val="00DC179F"/>
    <w:rsid w:val="00DC24EE"/>
    <w:rsid w:val="00DC2D60"/>
    <w:rsid w:val="00DC3675"/>
    <w:rsid w:val="00DC578F"/>
    <w:rsid w:val="00DC6DCE"/>
    <w:rsid w:val="00DC7994"/>
    <w:rsid w:val="00DD1B45"/>
    <w:rsid w:val="00DD1CD6"/>
    <w:rsid w:val="00DD7997"/>
    <w:rsid w:val="00DD7CA8"/>
    <w:rsid w:val="00DE24AB"/>
    <w:rsid w:val="00DE4C5E"/>
    <w:rsid w:val="00DE6AD7"/>
    <w:rsid w:val="00DE7076"/>
    <w:rsid w:val="00DF0830"/>
    <w:rsid w:val="00DF207F"/>
    <w:rsid w:val="00DF2350"/>
    <w:rsid w:val="00DF4386"/>
    <w:rsid w:val="00DF5571"/>
    <w:rsid w:val="00DF56C4"/>
    <w:rsid w:val="00DF611B"/>
    <w:rsid w:val="00E0175A"/>
    <w:rsid w:val="00E023A3"/>
    <w:rsid w:val="00E03C96"/>
    <w:rsid w:val="00E0656E"/>
    <w:rsid w:val="00E06A52"/>
    <w:rsid w:val="00E10327"/>
    <w:rsid w:val="00E10A8E"/>
    <w:rsid w:val="00E11191"/>
    <w:rsid w:val="00E122BF"/>
    <w:rsid w:val="00E1315C"/>
    <w:rsid w:val="00E157E1"/>
    <w:rsid w:val="00E16E69"/>
    <w:rsid w:val="00E21376"/>
    <w:rsid w:val="00E2200A"/>
    <w:rsid w:val="00E23157"/>
    <w:rsid w:val="00E248D2"/>
    <w:rsid w:val="00E25281"/>
    <w:rsid w:val="00E30394"/>
    <w:rsid w:val="00E3498D"/>
    <w:rsid w:val="00E3536D"/>
    <w:rsid w:val="00E354F4"/>
    <w:rsid w:val="00E35841"/>
    <w:rsid w:val="00E3585F"/>
    <w:rsid w:val="00E358FF"/>
    <w:rsid w:val="00E36A2D"/>
    <w:rsid w:val="00E41AC2"/>
    <w:rsid w:val="00E426AD"/>
    <w:rsid w:val="00E442EF"/>
    <w:rsid w:val="00E44C71"/>
    <w:rsid w:val="00E459CE"/>
    <w:rsid w:val="00E45A3A"/>
    <w:rsid w:val="00E47FB8"/>
    <w:rsid w:val="00E50187"/>
    <w:rsid w:val="00E51D91"/>
    <w:rsid w:val="00E52511"/>
    <w:rsid w:val="00E528B7"/>
    <w:rsid w:val="00E52C79"/>
    <w:rsid w:val="00E53D93"/>
    <w:rsid w:val="00E53F5C"/>
    <w:rsid w:val="00E54235"/>
    <w:rsid w:val="00E544DF"/>
    <w:rsid w:val="00E56343"/>
    <w:rsid w:val="00E57C97"/>
    <w:rsid w:val="00E60145"/>
    <w:rsid w:val="00E64028"/>
    <w:rsid w:val="00E64D4D"/>
    <w:rsid w:val="00E64E40"/>
    <w:rsid w:val="00E66814"/>
    <w:rsid w:val="00E66847"/>
    <w:rsid w:val="00E66C02"/>
    <w:rsid w:val="00E71700"/>
    <w:rsid w:val="00E71C11"/>
    <w:rsid w:val="00E73FFA"/>
    <w:rsid w:val="00E776A5"/>
    <w:rsid w:val="00E80550"/>
    <w:rsid w:val="00E80EED"/>
    <w:rsid w:val="00E82222"/>
    <w:rsid w:val="00E830BC"/>
    <w:rsid w:val="00E83261"/>
    <w:rsid w:val="00E83370"/>
    <w:rsid w:val="00E83F7D"/>
    <w:rsid w:val="00E849BE"/>
    <w:rsid w:val="00E84B1A"/>
    <w:rsid w:val="00E84E2B"/>
    <w:rsid w:val="00E85AC3"/>
    <w:rsid w:val="00E85BC4"/>
    <w:rsid w:val="00E93E67"/>
    <w:rsid w:val="00E94174"/>
    <w:rsid w:val="00E9429A"/>
    <w:rsid w:val="00E94AD9"/>
    <w:rsid w:val="00E94B67"/>
    <w:rsid w:val="00E95467"/>
    <w:rsid w:val="00EA0541"/>
    <w:rsid w:val="00EA0F26"/>
    <w:rsid w:val="00EA1DEE"/>
    <w:rsid w:val="00EA247B"/>
    <w:rsid w:val="00EA2A21"/>
    <w:rsid w:val="00EA34CC"/>
    <w:rsid w:val="00EA4C7E"/>
    <w:rsid w:val="00EB2041"/>
    <w:rsid w:val="00EB2FFC"/>
    <w:rsid w:val="00EB407F"/>
    <w:rsid w:val="00EB4400"/>
    <w:rsid w:val="00EB4B3D"/>
    <w:rsid w:val="00EB64F5"/>
    <w:rsid w:val="00EB65B1"/>
    <w:rsid w:val="00EB6E2B"/>
    <w:rsid w:val="00EB6F41"/>
    <w:rsid w:val="00EC1DE4"/>
    <w:rsid w:val="00EC28A5"/>
    <w:rsid w:val="00EC34DC"/>
    <w:rsid w:val="00EC3B06"/>
    <w:rsid w:val="00EC3C46"/>
    <w:rsid w:val="00EC3E99"/>
    <w:rsid w:val="00EC712D"/>
    <w:rsid w:val="00EC7687"/>
    <w:rsid w:val="00EC7D94"/>
    <w:rsid w:val="00ED2BD8"/>
    <w:rsid w:val="00ED31C7"/>
    <w:rsid w:val="00ED5250"/>
    <w:rsid w:val="00ED635D"/>
    <w:rsid w:val="00EE21B1"/>
    <w:rsid w:val="00EE29AE"/>
    <w:rsid w:val="00EE4FEF"/>
    <w:rsid w:val="00EE6FC9"/>
    <w:rsid w:val="00EF0DC5"/>
    <w:rsid w:val="00EF314E"/>
    <w:rsid w:val="00EF31FB"/>
    <w:rsid w:val="00EF7D1B"/>
    <w:rsid w:val="00F00991"/>
    <w:rsid w:val="00F01B9C"/>
    <w:rsid w:val="00F01FEE"/>
    <w:rsid w:val="00F02792"/>
    <w:rsid w:val="00F04C13"/>
    <w:rsid w:val="00F06491"/>
    <w:rsid w:val="00F06F4E"/>
    <w:rsid w:val="00F078D5"/>
    <w:rsid w:val="00F108F2"/>
    <w:rsid w:val="00F136FF"/>
    <w:rsid w:val="00F13AEE"/>
    <w:rsid w:val="00F14501"/>
    <w:rsid w:val="00F14728"/>
    <w:rsid w:val="00F1557C"/>
    <w:rsid w:val="00F160C3"/>
    <w:rsid w:val="00F1761F"/>
    <w:rsid w:val="00F222E5"/>
    <w:rsid w:val="00F27631"/>
    <w:rsid w:val="00F312B0"/>
    <w:rsid w:val="00F32CA8"/>
    <w:rsid w:val="00F33189"/>
    <w:rsid w:val="00F33270"/>
    <w:rsid w:val="00F3344B"/>
    <w:rsid w:val="00F337DE"/>
    <w:rsid w:val="00F34619"/>
    <w:rsid w:val="00F34B81"/>
    <w:rsid w:val="00F3542C"/>
    <w:rsid w:val="00F356C7"/>
    <w:rsid w:val="00F36CF5"/>
    <w:rsid w:val="00F41584"/>
    <w:rsid w:val="00F41DE7"/>
    <w:rsid w:val="00F42915"/>
    <w:rsid w:val="00F42AAD"/>
    <w:rsid w:val="00F43073"/>
    <w:rsid w:val="00F446F5"/>
    <w:rsid w:val="00F47D61"/>
    <w:rsid w:val="00F50EE6"/>
    <w:rsid w:val="00F52A02"/>
    <w:rsid w:val="00F5370A"/>
    <w:rsid w:val="00F57572"/>
    <w:rsid w:val="00F621F3"/>
    <w:rsid w:val="00F623FB"/>
    <w:rsid w:val="00F645DE"/>
    <w:rsid w:val="00F66605"/>
    <w:rsid w:val="00F666D6"/>
    <w:rsid w:val="00F672EC"/>
    <w:rsid w:val="00F6762D"/>
    <w:rsid w:val="00F67934"/>
    <w:rsid w:val="00F7018B"/>
    <w:rsid w:val="00F70AD8"/>
    <w:rsid w:val="00F70C11"/>
    <w:rsid w:val="00F71760"/>
    <w:rsid w:val="00F71902"/>
    <w:rsid w:val="00F756AE"/>
    <w:rsid w:val="00F75722"/>
    <w:rsid w:val="00F75CDB"/>
    <w:rsid w:val="00F76ADA"/>
    <w:rsid w:val="00F77139"/>
    <w:rsid w:val="00F815CD"/>
    <w:rsid w:val="00F82626"/>
    <w:rsid w:val="00F84EB3"/>
    <w:rsid w:val="00F85379"/>
    <w:rsid w:val="00F85F8F"/>
    <w:rsid w:val="00F87A63"/>
    <w:rsid w:val="00F905D4"/>
    <w:rsid w:val="00F9084B"/>
    <w:rsid w:val="00F90D37"/>
    <w:rsid w:val="00F91339"/>
    <w:rsid w:val="00F91462"/>
    <w:rsid w:val="00F94816"/>
    <w:rsid w:val="00F955A2"/>
    <w:rsid w:val="00F96229"/>
    <w:rsid w:val="00F97A06"/>
    <w:rsid w:val="00FA005A"/>
    <w:rsid w:val="00FA2679"/>
    <w:rsid w:val="00FA3C5E"/>
    <w:rsid w:val="00FA4BD2"/>
    <w:rsid w:val="00FA5131"/>
    <w:rsid w:val="00FA5281"/>
    <w:rsid w:val="00FA559A"/>
    <w:rsid w:val="00FA6554"/>
    <w:rsid w:val="00FB0E4E"/>
    <w:rsid w:val="00FB189D"/>
    <w:rsid w:val="00FB20C8"/>
    <w:rsid w:val="00FB3130"/>
    <w:rsid w:val="00FB4D12"/>
    <w:rsid w:val="00FB609F"/>
    <w:rsid w:val="00FB6273"/>
    <w:rsid w:val="00FC12DC"/>
    <w:rsid w:val="00FC1B7A"/>
    <w:rsid w:val="00FC2A36"/>
    <w:rsid w:val="00FC4552"/>
    <w:rsid w:val="00FC5AE2"/>
    <w:rsid w:val="00FC7EE7"/>
    <w:rsid w:val="00FD1BC7"/>
    <w:rsid w:val="00FD1DC4"/>
    <w:rsid w:val="00FD4A34"/>
    <w:rsid w:val="00FD5B67"/>
    <w:rsid w:val="00FD6074"/>
    <w:rsid w:val="00FD7AE2"/>
    <w:rsid w:val="00FE1803"/>
    <w:rsid w:val="00FE4B36"/>
    <w:rsid w:val="00FE5DE0"/>
    <w:rsid w:val="00FE6A23"/>
    <w:rsid w:val="00FE7315"/>
    <w:rsid w:val="00FE774A"/>
    <w:rsid w:val="00FF141C"/>
    <w:rsid w:val="00FF1EED"/>
    <w:rsid w:val="00FF2442"/>
    <w:rsid w:val="00FF3005"/>
    <w:rsid w:val="00FF34AF"/>
    <w:rsid w:val="00FF398F"/>
    <w:rsid w:val="00FF48EC"/>
    <w:rsid w:val="00FF6111"/>
    <w:rsid w:val="00FF6A46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4A08"/>
    <w:pPr>
      <w:spacing w:before="120" w:line="276" w:lineRule="auto"/>
      <w:jc w:val="both"/>
    </w:pPr>
    <w:rPr>
      <w:rFonts w:eastAsia="Arial Unicode MS"/>
      <w:sz w:val="22"/>
      <w:szCs w:val="22"/>
      <w:u w:color="000000"/>
    </w:rPr>
  </w:style>
  <w:style w:type="paragraph" w:styleId="Nadpis1">
    <w:name w:val="heading 1"/>
    <w:basedOn w:val="Normln"/>
    <w:next w:val="Normln"/>
    <w:link w:val="Nadpis1Char"/>
    <w:uiPriority w:val="9"/>
    <w:qFormat/>
    <w:rsid w:val="009C54BD"/>
    <w:pPr>
      <w:keepNext/>
      <w:keepLines/>
      <w:numPr>
        <w:numId w:val="2"/>
      </w:numPr>
      <w:spacing w:before="480" w:after="240"/>
      <w:ind w:left="644"/>
      <w:outlineLvl w:val="0"/>
    </w:pPr>
    <w:rPr>
      <w:rFonts w:ascii="Arial" w:eastAsiaTheme="majorEastAsia" w:hAnsi="Arial" w:cs="Arial"/>
      <w:b/>
      <w:bCs/>
      <w:sz w:val="36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F91339"/>
    <w:pPr>
      <w:numPr>
        <w:ilvl w:val="1"/>
      </w:numPr>
      <w:spacing w:before="240" w:after="120"/>
      <w:ind w:left="709" w:hanging="709"/>
      <w:outlineLvl w:val="1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54BD"/>
    <w:rPr>
      <w:rFonts w:ascii="Arial" w:eastAsiaTheme="majorEastAsia" w:hAnsi="Arial" w:cs="Arial"/>
      <w:b/>
      <w:bCs/>
      <w:sz w:val="36"/>
      <w:szCs w:val="32"/>
      <w:u w:color="000000"/>
    </w:rPr>
  </w:style>
  <w:style w:type="character" w:styleId="Siln">
    <w:name w:val="Strong"/>
    <w:basedOn w:val="Standardnpsmoodstavce"/>
    <w:uiPriority w:val="22"/>
    <w:qFormat/>
    <w:rsid w:val="00754A08"/>
    <w:rPr>
      <w:b/>
      <w:bCs/>
      <w:sz w:val="36"/>
      <w:szCs w:val="36"/>
    </w:rPr>
  </w:style>
  <w:style w:type="paragraph" w:styleId="Odstavecseseznamem">
    <w:name w:val="List Paragraph"/>
    <w:basedOn w:val="Normln"/>
    <w:link w:val="OdstavecseseznamemChar"/>
    <w:uiPriority w:val="34"/>
    <w:qFormat/>
    <w:rsid w:val="00754A08"/>
    <w:pPr>
      <w:spacing w:after="120"/>
      <w:ind w:left="720" w:hanging="284"/>
      <w:contextualSpacing/>
    </w:pPr>
    <w:rPr>
      <w:rFonts w:ascii="Calibri" w:hAnsi="Calibri" w:cs="Calibri"/>
      <w:lang w:eastAsia="en-US"/>
    </w:rPr>
  </w:style>
  <w:style w:type="paragraph" w:styleId="Nzev">
    <w:name w:val="Title"/>
    <w:basedOn w:val="Normln"/>
    <w:next w:val="Normln"/>
    <w:link w:val="NzevChar"/>
    <w:qFormat/>
    <w:rsid w:val="00754A08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54A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u w:color="000000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4A08"/>
    <w:pPr>
      <w:numPr>
        <w:ilvl w:val="1"/>
      </w:numPr>
      <w:spacing w:before="0" w:line="240" w:lineRule="auto"/>
      <w:jc w:val="center"/>
    </w:pPr>
    <w:rPr>
      <w:rFonts w:ascii="Arial" w:eastAsiaTheme="majorEastAsia" w:hAnsi="Arial" w:cs="Arial"/>
      <w:b/>
      <w:iCs/>
      <w:spacing w:val="15"/>
      <w:sz w:val="36"/>
      <w:szCs w:val="36"/>
    </w:rPr>
  </w:style>
  <w:style w:type="character" w:customStyle="1" w:styleId="PodtitulChar">
    <w:name w:val="Podtitul Char"/>
    <w:basedOn w:val="Standardnpsmoodstavce"/>
    <w:link w:val="Podtitul"/>
    <w:uiPriority w:val="11"/>
    <w:rsid w:val="00754A08"/>
    <w:rPr>
      <w:rFonts w:ascii="Arial" w:eastAsiaTheme="majorEastAsia" w:hAnsi="Arial" w:cs="Arial"/>
      <w:b/>
      <w:iCs/>
      <w:spacing w:val="15"/>
      <w:sz w:val="36"/>
      <w:szCs w:val="36"/>
      <w:u w:color="000000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nhideWhenUsed/>
    <w:qFormat/>
    <w:rsid w:val="009D4DEB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rsid w:val="009D4DEB"/>
    <w:rPr>
      <w:rFonts w:eastAsia="Arial Unicode MS"/>
      <w:u w:color="000000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Légende;Char Car Car Car Car,PGI Fußnote Ziffer,Légende.Char Car Car Car Car"/>
    <w:basedOn w:val="Standardnpsmoodstavce"/>
    <w:uiPriority w:val="99"/>
    <w:unhideWhenUsed/>
    <w:rsid w:val="009D4DEB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3736CE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3736CE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736C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36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36CE"/>
    <w:rPr>
      <w:rFonts w:ascii="Tahoma" w:eastAsia="Arial Unicode MS" w:hAnsi="Tahoma" w:cs="Tahoma"/>
      <w:sz w:val="16"/>
      <w:szCs w:val="16"/>
      <w:u w:color="000000"/>
    </w:rPr>
  </w:style>
  <w:style w:type="table" w:styleId="Mkatabulky">
    <w:name w:val="Table Grid"/>
    <w:basedOn w:val="Normlntabulka"/>
    <w:uiPriority w:val="59"/>
    <w:rsid w:val="0085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724E7F"/>
    <w:pPr>
      <w:spacing w:after="40" w:line="240" w:lineRule="auto"/>
      <w:ind w:left="142"/>
    </w:pPr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F91339"/>
    <w:rPr>
      <w:rFonts w:ascii="Arial" w:eastAsiaTheme="majorEastAsia" w:hAnsi="Arial" w:cs="Arial"/>
      <w:b/>
      <w:bCs/>
      <w:sz w:val="28"/>
      <w:szCs w:val="28"/>
      <w:u w:color="000000"/>
    </w:rPr>
  </w:style>
  <w:style w:type="paragraph" w:customStyle="1" w:styleId="Odstavecseseznamem1">
    <w:name w:val="Odstavec se seznamem1"/>
    <w:basedOn w:val="Normln"/>
    <w:link w:val="ListParagraphChar"/>
    <w:uiPriority w:val="34"/>
    <w:qFormat/>
    <w:rsid w:val="00923C91"/>
    <w:pPr>
      <w:spacing w:before="0" w:after="200"/>
      <w:ind w:left="720"/>
      <w:jc w:val="left"/>
    </w:pPr>
    <w:rPr>
      <w:rFonts w:ascii="Calibri" w:eastAsia="Times New Roman" w:hAnsi="Calibri" w:cs="Calibri"/>
      <w:lang w:eastAsia="en-US"/>
    </w:rPr>
  </w:style>
  <w:style w:type="character" w:customStyle="1" w:styleId="ListParagraphChar">
    <w:name w:val="List Paragraph Char"/>
    <w:basedOn w:val="Standardnpsmoodstavce"/>
    <w:link w:val="Odstavecseseznamem1"/>
    <w:uiPriority w:val="34"/>
    <w:locked/>
    <w:rsid w:val="00923C91"/>
    <w:rPr>
      <w:rFonts w:ascii="Calibri" w:hAnsi="Calibr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4479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479A"/>
    <w:rPr>
      <w:rFonts w:eastAsia="Arial Unicode MS"/>
      <w:sz w:val="22"/>
      <w:szCs w:val="22"/>
      <w:u w:color="000000"/>
    </w:rPr>
  </w:style>
  <w:style w:type="paragraph" w:styleId="Zpat">
    <w:name w:val="footer"/>
    <w:basedOn w:val="Normln"/>
    <w:link w:val="ZpatChar"/>
    <w:uiPriority w:val="99"/>
    <w:unhideWhenUsed/>
    <w:rsid w:val="00A4479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479A"/>
    <w:rPr>
      <w:rFonts w:eastAsia="Arial Unicode MS"/>
      <w:sz w:val="22"/>
      <w:szCs w:val="22"/>
      <w:u w:color="000000"/>
    </w:rPr>
  </w:style>
  <w:style w:type="paragraph" w:customStyle="1" w:styleId="List0">
    <w:name w:val="List 0"/>
    <w:basedOn w:val="Normln"/>
    <w:semiHidden/>
    <w:rsid w:val="00E06A52"/>
    <w:pPr>
      <w:numPr>
        <w:numId w:val="1"/>
      </w:numPr>
      <w:spacing w:before="0" w:line="240" w:lineRule="auto"/>
      <w:jc w:val="left"/>
    </w:pPr>
    <w:rPr>
      <w:rFonts w:eastAsia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1870D9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70D9"/>
    <w:rPr>
      <w:rFonts w:ascii="Arial" w:hAnsi="Arial" w:cs="Arial"/>
    </w:rPr>
  </w:style>
  <w:style w:type="paragraph" w:styleId="Textkomente">
    <w:name w:val="annotation text"/>
    <w:basedOn w:val="Normln"/>
    <w:link w:val="TextkomenteChar"/>
    <w:uiPriority w:val="99"/>
    <w:semiHidden/>
    <w:rsid w:val="001870D9"/>
    <w:pPr>
      <w:spacing w:before="0" w:line="240" w:lineRule="auto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1870D9"/>
    <w:rPr>
      <w:rFonts w:eastAsia="Arial Unicode MS"/>
      <w:u w:color="000000"/>
    </w:rPr>
  </w:style>
  <w:style w:type="paragraph" w:styleId="Bezmezer">
    <w:name w:val="No Spacing"/>
    <w:uiPriority w:val="1"/>
    <w:qFormat/>
    <w:rsid w:val="00CD02F7"/>
    <w:pPr>
      <w:jc w:val="both"/>
    </w:pPr>
    <w:rPr>
      <w:rFonts w:eastAsia="Arial Unicode MS"/>
      <w:sz w:val="22"/>
      <w:szCs w:val="22"/>
      <w:u w:color="00000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A145C"/>
    <w:pPr>
      <w:spacing w:before="0" w:line="240" w:lineRule="auto"/>
      <w:jc w:val="left"/>
    </w:pPr>
    <w:rPr>
      <w:rFonts w:ascii="Calibri" w:eastAsiaTheme="minorHAns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A145C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016BD"/>
    <w:rPr>
      <w:rFonts w:ascii="Calibri" w:eastAsia="Arial Unicode MS" w:hAnsi="Calibri" w:cs="Calibri"/>
      <w:sz w:val="22"/>
      <w:szCs w:val="22"/>
      <w:u w:color="000000"/>
      <w:lang w:eastAsia="en-US"/>
    </w:rPr>
  </w:style>
  <w:style w:type="paragraph" w:customStyle="1" w:styleId="Seznam">
    <w:name w:val="*Seznam"/>
    <w:basedOn w:val="Zkladntext"/>
    <w:rsid w:val="006D0810"/>
    <w:pPr>
      <w:numPr>
        <w:numId w:val="3"/>
      </w:numPr>
      <w:tabs>
        <w:tab w:val="clear" w:pos="720"/>
      </w:tabs>
      <w:overflowPunct w:val="0"/>
      <w:autoSpaceDE w:val="0"/>
      <w:autoSpaceDN w:val="0"/>
      <w:adjustRightInd w:val="0"/>
      <w:spacing w:line="240" w:lineRule="auto"/>
      <w:ind w:left="714" w:hanging="357"/>
      <w:contextualSpacing/>
      <w:jc w:val="left"/>
      <w:textAlignment w:val="baseline"/>
    </w:pPr>
    <w:rPr>
      <w:rFonts w:eastAsia="Times New Roman"/>
      <w:sz w:val="24"/>
      <w:szCs w:val="20"/>
    </w:rPr>
  </w:style>
  <w:style w:type="paragraph" w:customStyle="1" w:styleId="TextNOK">
    <w:name w:val="Text NOK"/>
    <w:basedOn w:val="Normln"/>
    <w:link w:val="TextNOKChar"/>
    <w:qFormat/>
    <w:rsid w:val="006D0810"/>
    <w:pPr>
      <w:spacing w:before="60" w:after="60" w:line="312" w:lineRule="auto"/>
    </w:pPr>
    <w:rPr>
      <w:rFonts w:eastAsia="Times New Roman"/>
      <w:szCs w:val="24"/>
    </w:rPr>
  </w:style>
  <w:style w:type="character" w:customStyle="1" w:styleId="TextNOKChar">
    <w:name w:val="Text NOK Char"/>
    <w:basedOn w:val="Standardnpsmoodstavce"/>
    <w:link w:val="TextNOK"/>
    <w:locked/>
    <w:rsid w:val="006D0810"/>
    <w:rPr>
      <w:sz w:val="22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081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0810"/>
    <w:rPr>
      <w:rFonts w:eastAsia="Arial Unicode MS"/>
      <w:sz w:val="22"/>
      <w:szCs w:val="22"/>
      <w:u w:color="000000"/>
    </w:rPr>
  </w:style>
  <w:style w:type="paragraph" w:customStyle="1" w:styleId="Styl2">
    <w:name w:val="Styl2"/>
    <w:basedOn w:val="Normln"/>
    <w:qFormat/>
    <w:rsid w:val="00123789"/>
    <w:pPr>
      <w:spacing w:before="60" w:after="60" w:line="288" w:lineRule="auto"/>
    </w:pPr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623289"/>
    <w:rPr>
      <w:rFonts w:eastAsia="Arial Unicode MS"/>
      <w:sz w:val="22"/>
      <w:szCs w:val="22"/>
      <w:u w:color="000000"/>
    </w:rPr>
  </w:style>
  <w:style w:type="paragraph" w:styleId="Normlnweb">
    <w:name w:val="Normal (Web)"/>
    <w:basedOn w:val="Normln"/>
    <w:uiPriority w:val="99"/>
    <w:semiHidden/>
    <w:unhideWhenUsed/>
    <w:rsid w:val="00FC1B7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716F1"/>
    <w:pPr>
      <w:spacing w:after="100"/>
      <w:ind w:left="220"/>
    </w:pPr>
  </w:style>
  <w:style w:type="paragraph" w:customStyle="1" w:styleId="Tabulka">
    <w:name w:val="Tabulka"/>
    <w:basedOn w:val="Titulek"/>
    <w:link w:val="TabulkaChar"/>
    <w:qFormat/>
    <w:rsid w:val="00615420"/>
    <w:pPr>
      <w:spacing w:before="0" w:after="200"/>
      <w:ind w:left="0"/>
    </w:pPr>
    <w:rPr>
      <w:rFonts w:eastAsia="Times New Roman"/>
      <w:bCs w:val="0"/>
      <w:color w:val="4F81BD"/>
      <w:sz w:val="24"/>
      <w:szCs w:val="20"/>
    </w:rPr>
  </w:style>
  <w:style w:type="character" w:customStyle="1" w:styleId="TabulkaChar">
    <w:name w:val="Tabulka Char"/>
    <w:link w:val="Tabulka"/>
    <w:locked/>
    <w:rsid w:val="00615420"/>
    <w:rPr>
      <w:b/>
      <w:color w:val="4F81BD"/>
      <w:sz w:val="24"/>
    </w:rPr>
  </w:style>
  <w:style w:type="paragraph" w:customStyle="1" w:styleId="DAVA">
    <w:name w:val="DAVA"/>
    <w:basedOn w:val="Normln"/>
    <w:link w:val="DAVAChar"/>
    <w:qFormat/>
    <w:rsid w:val="00615420"/>
    <w:pPr>
      <w:spacing w:line="240" w:lineRule="auto"/>
      <w:jc w:val="left"/>
    </w:pPr>
    <w:rPr>
      <w:rFonts w:ascii="Arial" w:eastAsia="Times New Roman" w:hAnsi="Arial"/>
      <w:sz w:val="28"/>
      <w:szCs w:val="20"/>
    </w:rPr>
  </w:style>
  <w:style w:type="character" w:customStyle="1" w:styleId="DAVAChar">
    <w:name w:val="DAVA Char"/>
    <w:link w:val="DAVA"/>
    <w:locked/>
    <w:rsid w:val="00615420"/>
    <w:rPr>
      <w:rFonts w:ascii="Arial" w:hAnsi="Arial"/>
      <w:sz w:val="2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2318"/>
    <w:pPr>
      <w:spacing w:before="120"/>
      <w:jc w:val="both"/>
    </w:pPr>
    <w:rPr>
      <w:rFonts w:ascii="Times New Roman" w:eastAsia="Arial Unicode MS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2318"/>
    <w:rPr>
      <w:rFonts w:ascii="Arial" w:eastAsia="Arial Unicode MS" w:hAnsi="Arial" w:cs="Arial"/>
      <w:b/>
      <w:bCs/>
      <w:u w:color="000000"/>
    </w:rPr>
  </w:style>
  <w:style w:type="paragraph" w:customStyle="1" w:styleId="111AAA">
    <w:name w:val="111AAA"/>
    <w:basedOn w:val="Normln"/>
    <w:rsid w:val="001F2910"/>
    <w:pPr>
      <w:spacing w:line="240" w:lineRule="auto"/>
    </w:pPr>
    <w:rPr>
      <w:rFonts w:eastAsia="Times New Roman"/>
      <w:sz w:val="24"/>
      <w:szCs w:val="20"/>
    </w:rPr>
  </w:style>
  <w:style w:type="numbering" w:customStyle="1" w:styleId="List1">
    <w:name w:val="List 1"/>
    <w:rsid w:val="00FC7EE7"/>
    <w:pPr>
      <w:numPr>
        <w:numId w:val="4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8073B7"/>
    <w:pPr>
      <w:spacing w:after="100"/>
      <w:ind w:left="440"/>
    </w:pPr>
  </w:style>
  <w:style w:type="character" w:styleId="Zvraznn">
    <w:name w:val="Emphasis"/>
    <w:basedOn w:val="Standardnpsmoodstavce"/>
    <w:uiPriority w:val="20"/>
    <w:qFormat/>
    <w:rsid w:val="008E75C0"/>
    <w:rPr>
      <w:b/>
      <w:bCs/>
      <w:i w:val="0"/>
      <w:iCs w:val="0"/>
    </w:rPr>
  </w:style>
  <w:style w:type="character" w:customStyle="1" w:styleId="st1">
    <w:name w:val="st1"/>
    <w:basedOn w:val="Standardnpsmoodstavce"/>
    <w:rsid w:val="008E75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4A08"/>
    <w:pPr>
      <w:spacing w:before="120" w:line="276" w:lineRule="auto"/>
      <w:jc w:val="both"/>
    </w:pPr>
    <w:rPr>
      <w:rFonts w:eastAsia="Arial Unicode MS"/>
      <w:sz w:val="22"/>
      <w:szCs w:val="22"/>
      <w:u w:color="000000"/>
    </w:rPr>
  </w:style>
  <w:style w:type="paragraph" w:styleId="Nadpis1">
    <w:name w:val="heading 1"/>
    <w:basedOn w:val="Normln"/>
    <w:next w:val="Normln"/>
    <w:link w:val="Nadpis1Char"/>
    <w:uiPriority w:val="9"/>
    <w:qFormat/>
    <w:rsid w:val="009C54BD"/>
    <w:pPr>
      <w:keepNext/>
      <w:keepLines/>
      <w:numPr>
        <w:numId w:val="2"/>
      </w:numPr>
      <w:spacing w:before="480" w:after="240"/>
      <w:ind w:left="644"/>
      <w:outlineLvl w:val="0"/>
    </w:pPr>
    <w:rPr>
      <w:rFonts w:ascii="Arial" w:eastAsiaTheme="majorEastAsia" w:hAnsi="Arial" w:cs="Arial"/>
      <w:b/>
      <w:bCs/>
      <w:sz w:val="36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F91339"/>
    <w:pPr>
      <w:numPr>
        <w:ilvl w:val="1"/>
      </w:numPr>
      <w:spacing w:before="240" w:after="120"/>
      <w:ind w:left="709" w:hanging="709"/>
      <w:outlineLvl w:val="1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54BD"/>
    <w:rPr>
      <w:rFonts w:ascii="Arial" w:eastAsiaTheme="majorEastAsia" w:hAnsi="Arial" w:cs="Arial"/>
      <w:b/>
      <w:bCs/>
      <w:sz w:val="36"/>
      <w:szCs w:val="32"/>
      <w:u w:color="000000"/>
    </w:rPr>
  </w:style>
  <w:style w:type="character" w:styleId="Siln">
    <w:name w:val="Strong"/>
    <w:basedOn w:val="Standardnpsmoodstavce"/>
    <w:uiPriority w:val="22"/>
    <w:qFormat/>
    <w:rsid w:val="00754A08"/>
    <w:rPr>
      <w:b/>
      <w:bCs/>
      <w:sz w:val="36"/>
      <w:szCs w:val="36"/>
    </w:rPr>
  </w:style>
  <w:style w:type="paragraph" w:styleId="Odstavecseseznamem">
    <w:name w:val="List Paragraph"/>
    <w:basedOn w:val="Normln"/>
    <w:link w:val="OdstavecseseznamemChar"/>
    <w:uiPriority w:val="34"/>
    <w:qFormat/>
    <w:rsid w:val="00754A08"/>
    <w:pPr>
      <w:spacing w:after="120"/>
      <w:ind w:left="720" w:hanging="284"/>
      <w:contextualSpacing/>
    </w:pPr>
    <w:rPr>
      <w:rFonts w:ascii="Calibri" w:hAnsi="Calibri" w:cs="Calibri"/>
      <w:lang w:eastAsia="en-US"/>
    </w:rPr>
  </w:style>
  <w:style w:type="paragraph" w:styleId="Nzev">
    <w:name w:val="Title"/>
    <w:basedOn w:val="Normln"/>
    <w:next w:val="Normln"/>
    <w:link w:val="NzevChar"/>
    <w:qFormat/>
    <w:rsid w:val="00754A08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54A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u w:color="000000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4A08"/>
    <w:pPr>
      <w:numPr>
        <w:ilvl w:val="1"/>
      </w:numPr>
      <w:spacing w:before="0" w:line="240" w:lineRule="auto"/>
      <w:jc w:val="center"/>
    </w:pPr>
    <w:rPr>
      <w:rFonts w:ascii="Arial" w:eastAsiaTheme="majorEastAsia" w:hAnsi="Arial" w:cs="Arial"/>
      <w:b/>
      <w:iCs/>
      <w:spacing w:val="15"/>
      <w:sz w:val="36"/>
      <w:szCs w:val="36"/>
    </w:rPr>
  </w:style>
  <w:style w:type="character" w:customStyle="1" w:styleId="PodtitulChar">
    <w:name w:val="Podtitul Char"/>
    <w:basedOn w:val="Standardnpsmoodstavce"/>
    <w:link w:val="Podtitul"/>
    <w:uiPriority w:val="11"/>
    <w:rsid w:val="00754A08"/>
    <w:rPr>
      <w:rFonts w:ascii="Arial" w:eastAsiaTheme="majorEastAsia" w:hAnsi="Arial" w:cs="Arial"/>
      <w:b/>
      <w:iCs/>
      <w:spacing w:val="15"/>
      <w:sz w:val="36"/>
      <w:szCs w:val="36"/>
      <w:u w:color="000000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nhideWhenUsed/>
    <w:qFormat/>
    <w:rsid w:val="009D4DEB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rsid w:val="009D4DEB"/>
    <w:rPr>
      <w:rFonts w:eastAsia="Arial Unicode MS"/>
      <w:u w:color="000000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Légende;Char Car Car Car Car,PGI Fußnote Ziffer,Légende.Char Car Car Car Car"/>
    <w:basedOn w:val="Standardnpsmoodstavce"/>
    <w:uiPriority w:val="99"/>
    <w:unhideWhenUsed/>
    <w:rsid w:val="009D4DEB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3736CE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3736CE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736C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36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36CE"/>
    <w:rPr>
      <w:rFonts w:ascii="Tahoma" w:eastAsia="Arial Unicode MS" w:hAnsi="Tahoma" w:cs="Tahoma"/>
      <w:sz w:val="16"/>
      <w:szCs w:val="16"/>
      <w:u w:color="000000"/>
    </w:rPr>
  </w:style>
  <w:style w:type="table" w:styleId="Mkatabulky">
    <w:name w:val="Table Grid"/>
    <w:basedOn w:val="Normlntabulka"/>
    <w:uiPriority w:val="59"/>
    <w:rsid w:val="0085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724E7F"/>
    <w:pPr>
      <w:spacing w:after="40" w:line="240" w:lineRule="auto"/>
      <w:ind w:left="142"/>
    </w:pPr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F91339"/>
    <w:rPr>
      <w:rFonts w:ascii="Arial" w:eastAsiaTheme="majorEastAsia" w:hAnsi="Arial" w:cs="Arial"/>
      <w:b/>
      <w:bCs/>
      <w:sz w:val="28"/>
      <w:szCs w:val="28"/>
      <w:u w:color="000000"/>
    </w:rPr>
  </w:style>
  <w:style w:type="paragraph" w:customStyle="1" w:styleId="Odstavecseseznamem1">
    <w:name w:val="Odstavec se seznamem1"/>
    <w:basedOn w:val="Normln"/>
    <w:link w:val="ListParagraphChar"/>
    <w:uiPriority w:val="34"/>
    <w:qFormat/>
    <w:rsid w:val="00923C91"/>
    <w:pPr>
      <w:spacing w:before="0" w:after="200"/>
      <w:ind w:left="720"/>
      <w:jc w:val="left"/>
    </w:pPr>
    <w:rPr>
      <w:rFonts w:ascii="Calibri" w:eastAsia="Times New Roman" w:hAnsi="Calibri" w:cs="Calibri"/>
      <w:lang w:eastAsia="en-US"/>
    </w:rPr>
  </w:style>
  <w:style w:type="character" w:customStyle="1" w:styleId="ListParagraphChar">
    <w:name w:val="List Paragraph Char"/>
    <w:basedOn w:val="Standardnpsmoodstavce"/>
    <w:link w:val="Odstavecseseznamem1"/>
    <w:uiPriority w:val="34"/>
    <w:locked/>
    <w:rsid w:val="00923C91"/>
    <w:rPr>
      <w:rFonts w:ascii="Calibri" w:hAnsi="Calibr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4479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479A"/>
    <w:rPr>
      <w:rFonts w:eastAsia="Arial Unicode MS"/>
      <w:sz w:val="22"/>
      <w:szCs w:val="22"/>
      <w:u w:color="000000"/>
    </w:rPr>
  </w:style>
  <w:style w:type="paragraph" w:styleId="Zpat">
    <w:name w:val="footer"/>
    <w:basedOn w:val="Normln"/>
    <w:link w:val="ZpatChar"/>
    <w:uiPriority w:val="99"/>
    <w:unhideWhenUsed/>
    <w:rsid w:val="00A4479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479A"/>
    <w:rPr>
      <w:rFonts w:eastAsia="Arial Unicode MS"/>
      <w:sz w:val="22"/>
      <w:szCs w:val="22"/>
      <w:u w:color="000000"/>
    </w:rPr>
  </w:style>
  <w:style w:type="paragraph" w:customStyle="1" w:styleId="List0">
    <w:name w:val="List 0"/>
    <w:basedOn w:val="Normln"/>
    <w:semiHidden/>
    <w:rsid w:val="00E06A52"/>
    <w:pPr>
      <w:numPr>
        <w:numId w:val="1"/>
      </w:numPr>
      <w:spacing w:before="0" w:line="240" w:lineRule="auto"/>
      <w:jc w:val="left"/>
    </w:pPr>
    <w:rPr>
      <w:rFonts w:eastAsia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1870D9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70D9"/>
    <w:rPr>
      <w:rFonts w:ascii="Arial" w:hAnsi="Arial" w:cs="Arial"/>
    </w:rPr>
  </w:style>
  <w:style w:type="paragraph" w:styleId="Textkomente">
    <w:name w:val="annotation text"/>
    <w:basedOn w:val="Normln"/>
    <w:link w:val="TextkomenteChar"/>
    <w:uiPriority w:val="99"/>
    <w:semiHidden/>
    <w:rsid w:val="001870D9"/>
    <w:pPr>
      <w:spacing w:before="0" w:line="240" w:lineRule="auto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1870D9"/>
    <w:rPr>
      <w:rFonts w:eastAsia="Arial Unicode MS"/>
      <w:u w:color="000000"/>
    </w:rPr>
  </w:style>
  <w:style w:type="paragraph" w:styleId="Bezmezer">
    <w:name w:val="No Spacing"/>
    <w:uiPriority w:val="1"/>
    <w:qFormat/>
    <w:rsid w:val="00CD02F7"/>
    <w:pPr>
      <w:jc w:val="both"/>
    </w:pPr>
    <w:rPr>
      <w:rFonts w:eastAsia="Arial Unicode MS"/>
      <w:sz w:val="22"/>
      <w:szCs w:val="22"/>
      <w:u w:color="00000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A145C"/>
    <w:pPr>
      <w:spacing w:before="0" w:line="240" w:lineRule="auto"/>
      <w:jc w:val="left"/>
    </w:pPr>
    <w:rPr>
      <w:rFonts w:ascii="Calibri" w:eastAsiaTheme="minorHAns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A145C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016BD"/>
    <w:rPr>
      <w:rFonts w:ascii="Calibri" w:eastAsia="Arial Unicode MS" w:hAnsi="Calibri" w:cs="Calibri"/>
      <w:sz w:val="22"/>
      <w:szCs w:val="22"/>
      <w:u w:color="000000"/>
      <w:lang w:eastAsia="en-US"/>
    </w:rPr>
  </w:style>
  <w:style w:type="paragraph" w:customStyle="1" w:styleId="Seznam">
    <w:name w:val="*Seznam"/>
    <w:basedOn w:val="Zkladntext"/>
    <w:rsid w:val="006D0810"/>
    <w:pPr>
      <w:numPr>
        <w:numId w:val="3"/>
      </w:numPr>
      <w:tabs>
        <w:tab w:val="clear" w:pos="720"/>
      </w:tabs>
      <w:overflowPunct w:val="0"/>
      <w:autoSpaceDE w:val="0"/>
      <w:autoSpaceDN w:val="0"/>
      <w:adjustRightInd w:val="0"/>
      <w:spacing w:line="240" w:lineRule="auto"/>
      <w:ind w:left="714" w:hanging="357"/>
      <w:contextualSpacing/>
      <w:jc w:val="left"/>
      <w:textAlignment w:val="baseline"/>
    </w:pPr>
    <w:rPr>
      <w:rFonts w:eastAsia="Times New Roman"/>
      <w:sz w:val="24"/>
      <w:szCs w:val="20"/>
    </w:rPr>
  </w:style>
  <w:style w:type="paragraph" w:customStyle="1" w:styleId="TextNOK">
    <w:name w:val="Text NOK"/>
    <w:basedOn w:val="Normln"/>
    <w:link w:val="TextNOKChar"/>
    <w:qFormat/>
    <w:rsid w:val="006D0810"/>
    <w:pPr>
      <w:spacing w:before="60" w:after="60" w:line="312" w:lineRule="auto"/>
    </w:pPr>
    <w:rPr>
      <w:rFonts w:eastAsia="Times New Roman"/>
      <w:szCs w:val="24"/>
    </w:rPr>
  </w:style>
  <w:style w:type="character" w:customStyle="1" w:styleId="TextNOKChar">
    <w:name w:val="Text NOK Char"/>
    <w:basedOn w:val="Standardnpsmoodstavce"/>
    <w:link w:val="TextNOK"/>
    <w:locked/>
    <w:rsid w:val="006D0810"/>
    <w:rPr>
      <w:sz w:val="22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081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0810"/>
    <w:rPr>
      <w:rFonts w:eastAsia="Arial Unicode MS"/>
      <w:sz w:val="22"/>
      <w:szCs w:val="22"/>
      <w:u w:color="000000"/>
    </w:rPr>
  </w:style>
  <w:style w:type="paragraph" w:customStyle="1" w:styleId="Styl2">
    <w:name w:val="Styl2"/>
    <w:basedOn w:val="Normln"/>
    <w:qFormat/>
    <w:rsid w:val="00123789"/>
    <w:pPr>
      <w:spacing w:before="60" w:after="60" w:line="288" w:lineRule="auto"/>
    </w:pPr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623289"/>
    <w:rPr>
      <w:rFonts w:eastAsia="Arial Unicode MS"/>
      <w:sz w:val="22"/>
      <w:szCs w:val="22"/>
      <w:u w:color="000000"/>
    </w:rPr>
  </w:style>
  <w:style w:type="paragraph" w:styleId="Normlnweb">
    <w:name w:val="Normal (Web)"/>
    <w:basedOn w:val="Normln"/>
    <w:uiPriority w:val="99"/>
    <w:semiHidden/>
    <w:unhideWhenUsed/>
    <w:rsid w:val="00FC1B7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716F1"/>
    <w:pPr>
      <w:spacing w:after="100"/>
      <w:ind w:left="220"/>
    </w:pPr>
  </w:style>
  <w:style w:type="paragraph" w:customStyle="1" w:styleId="Tabulka">
    <w:name w:val="Tabulka"/>
    <w:basedOn w:val="Titulek"/>
    <w:link w:val="TabulkaChar"/>
    <w:qFormat/>
    <w:rsid w:val="00615420"/>
    <w:pPr>
      <w:spacing w:before="0" w:after="200"/>
      <w:ind w:left="0"/>
    </w:pPr>
    <w:rPr>
      <w:rFonts w:eastAsia="Times New Roman"/>
      <w:bCs w:val="0"/>
      <w:color w:val="4F81BD"/>
      <w:sz w:val="24"/>
      <w:szCs w:val="20"/>
    </w:rPr>
  </w:style>
  <w:style w:type="character" w:customStyle="1" w:styleId="TabulkaChar">
    <w:name w:val="Tabulka Char"/>
    <w:link w:val="Tabulka"/>
    <w:locked/>
    <w:rsid w:val="00615420"/>
    <w:rPr>
      <w:b/>
      <w:color w:val="4F81BD"/>
      <w:sz w:val="24"/>
    </w:rPr>
  </w:style>
  <w:style w:type="paragraph" w:customStyle="1" w:styleId="DAVA">
    <w:name w:val="DAVA"/>
    <w:basedOn w:val="Normln"/>
    <w:link w:val="DAVAChar"/>
    <w:qFormat/>
    <w:rsid w:val="00615420"/>
    <w:pPr>
      <w:spacing w:line="240" w:lineRule="auto"/>
      <w:jc w:val="left"/>
    </w:pPr>
    <w:rPr>
      <w:rFonts w:ascii="Arial" w:eastAsia="Times New Roman" w:hAnsi="Arial"/>
      <w:sz w:val="28"/>
      <w:szCs w:val="20"/>
    </w:rPr>
  </w:style>
  <w:style w:type="character" w:customStyle="1" w:styleId="DAVAChar">
    <w:name w:val="DAVA Char"/>
    <w:link w:val="DAVA"/>
    <w:locked/>
    <w:rsid w:val="00615420"/>
    <w:rPr>
      <w:rFonts w:ascii="Arial" w:hAnsi="Arial"/>
      <w:sz w:val="2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2318"/>
    <w:pPr>
      <w:spacing w:before="120"/>
      <w:jc w:val="both"/>
    </w:pPr>
    <w:rPr>
      <w:rFonts w:ascii="Times New Roman" w:eastAsia="Arial Unicode MS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2318"/>
    <w:rPr>
      <w:rFonts w:ascii="Arial" w:eastAsia="Arial Unicode MS" w:hAnsi="Arial" w:cs="Arial"/>
      <w:b/>
      <w:bCs/>
      <w:u w:color="000000"/>
    </w:rPr>
  </w:style>
  <w:style w:type="paragraph" w:customStyle="1" w:styleId="111AAA">
    <w:name w:val="111AAA"/>
    <w:basedOn w:val="Normln"/>
    <w:rsid w:val="001F2910"/>
    <w:pPr>
      <w:spacing w:line="240" w:lineRule="auto"/>
    </w:pPr>
    <w:rPr>
      <w:rFonts w:eastAsia="Times New Roman"/>
      <w:sz w:val="24"/>
      <w:szCs w:val="20"/>
    </w:rPr>
  </w:style>
  <w:style w:type="numbering" w:customStyle="1" w:styleId="List1">
    <w:name w:val="List 1"/>
    <w:rsid w:val="00FC7EE7"/>
    <w:pPr>
      <w:numPr>
        <w:numId w:val="4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8073B7"/>
    <w:pPr>
      <w:spacing w:after="100"/>
      <w:ind w:left="440"/>
    </w:pPr>
  </w:style>
  <w:style w:type="character" w:styleId="Zvraznn">
    <w:name w:val="Emphasis"/>
    <w:basedOn w:val="Standardnpsmoodstavce"/>
    <w:uiPriority w:val="20"/>
    <w:qFormat/>
    <w:rsid w:val="008E75C0"/>
    <w:rPr>
      <w:b/>
      <w:bCs/>
      <w:i w:val="0"/>
      <w:iCs w:val="0"/>
    </w:rPr>
  </w:style>
  <w:style w:type="character" w:customStyle="1" w:styleId="st1">
    <w:name w:val="st1"/>
    <w:basedOn w:val="Standardnpsmoodstavce"/>
    <w:rsid w:val="008E7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05399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708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63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200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70661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840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271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105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44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88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3563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602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868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222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602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629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35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789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794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3223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967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6526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3912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6439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644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253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698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278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2147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8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92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76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6010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269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7253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3163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017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436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77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540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95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014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97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500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79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81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9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620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22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2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405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78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0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2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40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776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3334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41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26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100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46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43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6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4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28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25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34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01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7688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600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8594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4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7539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5675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0507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7150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59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5372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5971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7747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7989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0283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4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68771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625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6255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334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3482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2762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9101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2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2460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690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871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50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846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255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64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76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65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3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1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111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6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87101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233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212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777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880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1375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348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1026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48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5490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6038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23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362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4843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4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82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707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15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9713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14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34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16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53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8476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011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675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7082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15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2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68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2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96442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01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38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334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7816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502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786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7420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480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893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5547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989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526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000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36160-9C19-4E5E-A074-FC11728AF8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06AF0C-E2EB-401D-BE46-D11025B53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4536</Words>
  <Characters>26768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Picková Veronika</dc:creator>
  <cp:lastModifiedBy>uzivatel</cp:lastModifiedBy>
  <cp:revision>2</cp:revision>
  <cp:lastPrinted>2015-03-02T15:18:00Z</cp:lastPrinted>
  <dcterms:created xsi:type="dcterms:W3CDTF">2015-03-18T14:46:00Z</dcterms:created>
  <dcterms:modified xsi:type="dcterms:W3CDTF">2015-03-18T14:46:00Z</dcterms:modified>
</cp:coreProperties>
</file>