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AE72C5" w:rsidRDefault="00030180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Nové technologie pro informační společnost - NTIS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E72C5" w:rsidRDefault="00030180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Západočeská univerzita v Plzni 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E72C5" w:rsidRDefault="00030180" w:rsidP="00030180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CZ.1.05/1.1.00/02.0090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AE72C5" w:rsidRDefault="00030180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Univerzitní 8, Plzeň 306 14</w:t>
            </w:r>
            <w:r w:rsidR="002B5137">
              <w:rPr>
                <w:rFonts w:ascii="Arial" w:hAnsi="Arial" w:cs="Arial"/>
              </w:rPr>
              <w:t xml:space="preserve"> 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AE72C5" w:rsidRDefault="00030180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 – Evropská centra excelence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030180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29.11.2010</w:t>
            </w:r>
            <w:proofErr w:type="gramEnd"/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2B5137">
              <w:rPr>
                <w:sz w:val="18"/>
              </w:rPr>
              <w:t xml:space="preserve"> </w:t>
            </w:r>
            <w:proofErr w:type="gramStart"/>
            <w:r w:rsidR="00030180">
              <w:rPr>
                <w:sz w:val="18"/>
              </w:rPr>
              <w:t>1.1.2010</w:t>
            </w:r>
            <w:proofErr w:type="gramEnd"/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030180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2B5137">
              <w:rPr>
                <w:sz w:val="18"/>
              </w:rPr>
              <w:t xml:space="preserve"> </w:t>
            </w:r>
            <w:proofErr w:type="gramStart"/>
            <w:r w:rsidR="002B5137">
              <w:rPr>
                <w:sz w:val="18"/>
              </w:rPr>
              <w:t>31.12.201</w:t>
            </w:r>
            <w:r w:rsidR="00030180">
              <w:rPr>
                <w:sz w:val="18"/>
              </w:rPr>
              <w:t>4</w:t>
            </w:r>
            <w:proofErr w:type="gramEnd"/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524B48" w:rsidRDefault="00524B48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524B48" w:rsidRPr="00AA442B" w:rsidRDefault="00030180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>
              <w:rPr>
                <w:sz w:val="18"/>
              </w:rPr>
              <w:t>822.020.321,-Kč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030180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123.303.048,15 Kč</w:t>
            </w:r>
          </w:p>
          <w:p w:rsidR="00524B4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030180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698.717.272,86 Kč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524B48">
              <w:rPr>
                <w:sz w:val="18"/>
              </w:rPr>
              <w:t xml:space="preserve"> </w:t>
            </w:r>
            <w:r w:rsidR="00030180">
              <w:rPr>
                <w:sz w:val="18"/>
              </w:rPr>
              <w:t xml:space="preserve">388.700.696,- </w:t>
            </w:r>
            <w:r w:rsidR="00280897">
              <w:rPr>
                <w:sz w:val="18"/>
              </w:rPr>
              <w:t xml:space="preserve"> 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524B48">
              <w:rPr>
                <w:sz w:val="18"/>
              </w:rPr>
              <w:t xml:space="preserve"> </w:t>
            </w:r>
            <w:r w:rsidR="00030180">
              <w:rPr>
                <w:sz w:val="18"/>
              </w:rPr>
              <w:t>199.638.200</w:t>
            </w:r>
            <w:r w:rsidR="00280897">
              <w:rPr>
                <w:sz w:val="18"/>
              </w:rPr>
              <w:t xml:space="preserve">,- 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</w:t>
            </w:r>
            <w:r w:rsidR="00030180">
              <w:rPr>
                <w:sz w:val="18"/>
              </w:rPr>
              <w:t>113.990.706,-</w:t>
            </w:r>
          </w:p>
          <w:p w:rsidR="00F34368" w:rsidRPr="00131F83" w:rsidRDefault="00F34368" w:rsidP="00131F83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</w:t>
            </w:r>
            <w:r w:rsidR="00131F83">
              <w:rPr>
                <w:sz w:val="18"/>
              </w:rPr>
              <w:t>119.</w:t>
            </w:r>
            <w:r w:rsidR="00030180">
              <w:rPr>
                <w:sz w:val="18"/>
              </w:rPr>
              <w:t>690.</w:t>
            </w:r>
            <w:r w:rsidR="00131F83">
              <w:rPr>
                <w:sz w:val="18"/>
              </w:rPr>
              <w:t>719,-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131F83" w:rsidRPr="00131F83" w:rsidRDefault="00131F83" w:rsidP="00131F83">
            <w:pPr>
              <w:spacing w:before="60" w:after="60" w:line="240" w:lineRule="auto"/>
              <w:jc w:val="both"/>
              <w:rPr>
                <w:sz w:val="16"/>
              </w:rPr>
            </w:pPr>
            <w:r w:rsidRPr="00131F83">
              <w:rPr>
                <w:sz w:val="16"/>
              </w:rPr>
              <w:t>NTIS - Nové technologie pro informační společnost je evro</w:t>
            </w:r>
            <w:r>
              <w:rPr>
                <w:sz w:val="16"/>
              </w:rPr>
              <w:t xml:space="preserve">pské centrum excelence budované </w:t>
            </w:r>
            <w:r w:rsidRPr="00131F83">
              <w:rPr>
                <w:sz w:val="16"/>
              </w:rPr>
              <w:t>na Fakultě aplikovaných věd Západočeské univerzity v Plzni. V tomto výzkumném a vývojové</w:t>
            </w:r>
            <w:r>
              <w:rPr>
                <w:sz w:val="16"/>
              </w:rPr>
              <w:t>m centru, jehož nová budova byla dokončena v roce 2014. V</w:t>
            </w:r>
            <w:r w:rsidRPr="00131F83">
              <w:rPr>
                <w:sz w:val="16"/>
              </w:rPr>
              <w:t xml:space="preserve"> roce 2015 </w:t>
            </w:r>
            <w:r>
              <w:rPr>
                <w:sz w:val="16"/>
              </w:rPr>
              <w:t xml:space="preserve">bude </w:t>
            </w:r>
            <w:r w:rsidRPr="00131F83">
              <w:rPr>
                <w:sz w:val="16"/>
              </w:rPr>
              <w:t>ve špičkově vybavených pracovnách a laboratořích pracovat kolem 180 výzkumných zaměstnanců. Ti zde budou mít k dispozici nejmodernější přístrojové vybavení a technologie v hodnotě dosahující 200mil. Kč.</w:t>
            </w:r>
          </w:p>
          <w:p w:rsidR="008353DD" w:rsidRDefault="00131F83" w:rsidP="00131F83">
            <w:pPr>
              <w:spacing w:before="60" w:after="60" w:line="240" w:lineRule="auto"/>
              <w:jc w:val="both"/>
              <w:rPr>
                <w:sz w:val="16"/>
              </w:rPr>
            </w:pPr>
            <w:r w:rsidRPr="00131F83">
              <w:rPr>
                <w:sz w:val="16"/>
              </w:rPr>
              <w:t xml:space="preserve">Výzkum prováděný v centru NTIS je zaměřen především na kybernetické systémy řízení, identifikace, inteligentního rozhodování a komunikace, pokročilé počítačové a informační technologie, výzkum a modelování heterogenních materiálů a mechanických a biomechanických struktur, nové </w:t>
            </w:r>
            <w:proofErr w:type="spellStart"/>
            <w:r w:rsidRPr="00131F83">
              <w:rPr>
                <w:sz w:val="16"/>
              </w:rPr>
              <w:t>nanostrukturní</w:t>
            </w:r>
            <w:proofErr w:type="spellEnd"/>
            <w:r w:rsidRPr="00131F83">
              <w:rPr>
                <w:sz w:val="16"/>
              </w:rPr>
              <w:t xml:space="preserve"> tenkovrstvé materiály vytvářené plazmovými technologiemi a kvalitativní a kvantitativní studium matematických modelů.</w:t>
            </w:r>
          </w:p>
          <w:p w:rsidR="00131F83" w:rsidRDefault="00131F83" w:rsidP="00131F83">
            <w:pPr>
              <w:spacing w:before="60" w:after="60" w:line="240" w:lineRule="auto"/>
              <w:jc w:val="both"/>
              <w:rPr>
                <w:sz w:val="16"/>
              </w:rPr>
            </w:pPr>
            <w:r>
              <w:rPr>
                <w:sz w:val="16"/>
              </w:rPr>
              <w:t>P</w:t>
            </w:r>
            <w:r w:rsidRPr="00131F83">
              <w:rPr>
                <w:sz w:val="16"/>
              </w:rPr>
              <w:t xml:space="preserve">artnerem projektu je Výzkumný ústav geodetický, topografický a kartografický, </w:t>
            </w:r>
            <w:proofErr w:type="spellStart"/>
            <w:proofErr w:type="gramStart"/>
            <w:r w:rsidRPr="00131F83">
              <w:rPr>
                <w:sz w:val="16"/>
              </w:rPr>
              <w:t>v.v.</w:t>
            </w:r>
            <w:proofErr w:type="gramEnd"/>
            <w:r w:rsidRPr="00131F83">
              <w:rPr>
                <w:sz w:val="16"/>
              </w:rPr>
              <w:t>i</w:t>
            </w:r>
            <w:proofErr w:type="spellEnd"/>
            <w:r w:rsidRPr="00131F83">
              <w:rPr>
                <w:sz w:val="16"/>
              </w:rPr>
              <w:t>., Zdiby</w:t>
            </w:r>
            <w:r>
              <w:rPr>
                <w:sz w:val="16"/>
              </w:rPr>
              <w:t>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20092" w:rsidRDefault="00526313" w:rsidP="006438DD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AE6DF8">
              <w:rPr>
                <w:sz w:val="18"/>
              </w:rPr>
              <w:t xml:space="preserve"> </w:t>
            </w:r>
            <w:r w:rsidR="006438DD" w:rsidRPr="0088756E">
              <w:rPr>
                <w:sz w:val="16"/>
              </w:rPr>
              <w:t>05/2012</w:t>
            </w:r>
            <w:r w:rsidR="00B43A65" w:rsidRPr="0088756E">
              <w:rPr>
                <w:sz w:val="16"/>
              </w:rPr>
              <w:t xml:space="preserve">, kolaudace </w:t>
            </w:r>
            <w:r w:rsidR="006438DD" w:rsidRPr="0088756E">
              <w:rPr>
                <w:sz w:val="16"/>
              </w:rPr>
              <w:t>06/2014</w:t>
            </w:r>
          </w:p>
        </w:tc>
        <w:tc>
          <w:tcPr>
            <w:tcW w:w="3307" w:type="dxa"/>
            <w:gridSpan w:val="2"/>
          </w:tcPr>
          <w:p w:rsidR="0088756E" w:rsidRDefault="00002DBE" w:rsidP="00DE593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AE6DF8">
              <w:rPr>
                <w:sz w:val="18"/>
              </w:rPr>
              <w:t xml:space="preserve"> </w:t>
            </w:r>
          </w:p>
          <w:p w:rsidR="00526313" w:rsidRPr="00E20092" w:rsidRDefault="00DE593C" w:rsidP="00DE593C">
            <w:pPr>
              <w:spacing w:before="60" w:after="60" w:line="240" w:lineRule="auto"/>
              <w:rPr>
                <w:sz w:val="18"/>
              </w:rPr>
            </w:pPr>
            <w:r w:rsidRPr="0088756E">
              <w:rPr>
                <w:sz w:val="16"/>
              </w:rPr>
              <w:t xml:space="preserve">OHL ŽS, </w:t>
            </w:r>
            <w:proofErr w:type="gramStart"/>
            <w:r w:rsidRPr="0088756E">
              <w:rPr>
                <w:sz w:val="16"/>
              </w:rPr>
              <w:t>a.s.</w:t>
            </w:r>
            <w:r w:rsidR="00B43A65" w:rsidRPr="0088756E">
              <w:rPr>
                <w:sz w:val="16"/>
              </w:rPr>
              <w:t>.</w:t>
            </w:r>
            <w:proofErr w:type="gramEnd"/>
          </w:p>
        </w:tc>
      </w:tr>
      <w:tr w:rsidR="008353DD" w:rsidTr="00662BD3">
        <w:trPr>
          <w:trHeight w:val="992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                       K datu ukončení                    k </w:t>
            </w:r>
            <w:proofErr w:type="gramStart"/>
            <w:r>
              <w:rPr>
                <w:sz w:val="16"/>
              </w:rPr>
              <w:t>31.12.2015</w:t>
            </w:r>
            <w:proofErr w:type="gramEnd"/>
            <w:r>
              <w:rPr>
                <w:sz w:val="16"/>
              </w:rPr>
              <w:t xml:space="preserve">           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proofErr w:type="gramStart"/>
            <w:r>
              <w:rPr>
                <w:sz w:val="16"/>
              </w:rPr>
              <w:t>MI</w:t>
            </w:r>
            <w:proofErr w:type="gramEnd"/>
            <w:r>
              <w:rPr>
                <w:sz w:val="16"/>
              </w:rPr>
              <w:t xml:space="preserve">: 110502                      </w:t>
            </w:r>
            <w:r w:rsidR="004E4E98">
              <w:rPr>
                <w:sz w:val="16"/>
              </w:rPr>
              <w:t>48</w:t>
            </w:r>
            <w:r w:rsidRPr="00F6427C">
              <w:rPr>
                <w:sz w:val="16"/>
              </w:rPr>
              <w:tab/>
            </w:r>
            <w:r>
              <w:rPr>
                <w:sz w:val="16"/>
              </w:rPr>
              <w:t xml:space="preserve">                              </w:t>
            </w:r>
            <w:r w:rsidR="004E4E98">
              <w:rPr>
                <w:sz w:val="16"/>
              </w:rPr>
              <w:t>113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110503                     0                                          </w:t>
            </w:r>
            <w:r w:rsidR="004E4E98">
              <w:rPr>
                <w:sz w:val="16"/>
              </w:rPr>
              <w:t>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="004E4E98">
              <w:rPr>
                <w:sz w:val="16"/>
              </w:rPr>
              <w:t xml:space="preserve">    110504                     7</w:t>
            </w:r>
            <w:r>
              <w:rPr>
                <w:sz w:val="16"/>
              </w:rPr>
              <w:t xml:space="preserve">             </w:t>
            </w:r>
            <w:r w:rsidR="004E4E98">
              <w:rPr>
                <w:sz w:val="16"/>
              </w:rPr>
              <w:t xml:space="preserve">                              16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111200                     </w:t>
            </w:r>
            <w:r w:rsidR="004E4E98">
              <w:rPr>
                <w:sz w:val="16"/>
              </w:rPr>
              <w:t>8540</w:t>
            </w:r>
            <w:r>
              <w:rPr>
                <w:sz w:val="16"/>
              </w:rPr>
              <w:t xml:space="preserve">                                    </w:t>
            </w:r>
            <w:r w:rsidR="004E4E98">
              <w:rPr>
                <w:sz w:val="16"/>
              </w:rPr>
              <w:t>27040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074902                     </w:t>
            </w:r>
            <w:r w:rsidR="004E4E98">
              <w:rPr>
                <w:sz w:val="16"/>
              </w:rPr>
              <w:t>9</w:t>
            </w:r>
            <w:r>
              <w:rPr>
                <w:sz w:val="16"/>
              </w:rPr>
              <w:t xml:space="preserve">                                         </w:t>
            </w:r>
            <w:r w:rsidR="004E4E98">
              <w:rPr>
                <w:sz w:val="16"/>
              </w:rPr>
              <w:t>2</w:t>
            </w:r>
            <w:r>
              <w:rPr>
                <w:sz w:val="16"/>
              </w:rPr>
              <w:t>7</w:t>
            </w:r>
          </w:p>
          <w:p w:rsidR="00F6427C" w:rsidRDefault="004E4E98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110710</w:t>
            </w:r>
            <w:r w:rsidR="00F6427C">
              <w:rPr>
                <w:sz w:val="16"/>
              </w:rPr>
              <w:t xml:space="preserve">                      -           </w:t>
            </w:r>
            <w:r>
              <w:rPr>
                <w:sz w:val="16"/>
              </w:rPr>
              <w:t xml:space="preserve">                               </w:t>
            </w:r>
            <w:r w:rsidR="00F6427C">
              <w:rPr>
                <w:sz w:val="16"/>
              </w:rPr>
              <w:t>10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1108</w:t>
            </w:r>
            <w:r w:rsidR="004E4E98">
              <w:rPr>
                <w:sz w:val="16"/>
              </w:rPr>
              <w:t>20</w:t>
            </w:r>
            <w:r>
              <w:rPr>
                <w:sz w:val="16"/>
              </w:rPr>
              <w:t xml:space="preserve">                      -                          </w:t>
            </w:r>
            <w:r w:rsidR="004E4E98">
              <w:rPr>
                <w:sz w:val="16"/>
              </w:rPr>
              <w:t xml:space="preserve">                55</w:t>
            </w:r>
          </w:p>
          <w:p w:rsidR="004E4E98" w:rsidRDefault="004E4E98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110810                      -                                          90</w:t>
            </w:r>
          </w:p>
          <w:p w:rsidR="004E4E98" w:rsidRDefault="004E4E98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110830                     -                                           6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110300                     </w:t>
            </w:r>
            <w:r w:rsidR="004E4E98">
              <w:rPr>
                <w:sz w:val="16"/>
              </w:rPr>
              <w:t>118,1</w:t>
            </w:r>
            <w:r>
              <w:rPr>
                <w:sz w:val="16"/>
              </w:rPr>
              <w:t xml:space="preserve">      </w:t>
            </w:r>
            <w:r w:rsidR="004E4E98">
              <w:rPr>
                <w:sz w:val="16"/>
              </w:rPr>
              <w:t xml:space="preserve">                             180,25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071700                     </w:t>
            </w:r>
            <w:r w:rsidR="004E4E98">
              <w:rPr>
                <w:sz w:val="16"/>
              </w:rPr>
              <w:t>100,45</w:t>
            </w:r>
            <w:r>
              <w:rPr>
                <w:sz w:val="16"/>
              </w:rPr>
              <w:t xml:space="preserve">        </w:t>
            </w:r>
            <w:r w:rsidR="004E4E98">
              <w:rPr>
                <w:sz w:val="16"/>
              </w:rPr>
              <w:t xml:space="preserve">                          158,2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  <w:r w:rsidR="004E4E98">
              <w:rPr>
                <w:sz w:val="16"/>
              </w:rPr>
              <w:t xml:space="preserve">   071900                      40</w:t>
            </w:r>
            <w:r>
              <w:rPr>
                <w:sz w:val="16"/>
              </w:rPr>
              <w:t xml:space="preserve">                                        </w:t>
            </w:r>
            <w:r w:rsidR="004E4E98">
              <w:rPr>
                <w:sz w:val="16"/>
              </w:rPr>
              <w:t>50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</w:t>
            </w:r>
            <w:proofErr w:type="gramStart"/>
            <w:r>
              <w:rPr>
                <w:sz w:val="16"/>
              </w:rPr>
              <w:t xml:space="preserve">110516                      </w:t>
            </w:r>
            <w:r w:rsidR="004E4E98">
              <w:rPr>
                <w:sz w:val="16"/>
              </w:rPr>
              <w:t>0</w:t>
            </w:r>
            <w:r>
              <w:rPr>
                <w:sz w:val="16"/>
              </w:rPr>
              <w:t xml:space="preserve">                            </w:t>
            </w:r>
            <w:r w:rsidR="004E4E98">
              <w:rPr>
                <w:sz w:val="16"/>
              </w:rPr>
              <w:t xml:space="preserve">               -</w:t>
            </w:r>
            <w:proofErr w:type="gramEnd"/>
            <w:r w:rsidRPr="00F6427C">
              <w:rPr>
                <w:sz w:val="16"/>
              </w:rPr>
              <w:t xml:space="preserve">                            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</w:t>
            </w:r>
            <w:proofErr w:type="gramStart"/>
            <w:r>
              <w:rPr>
                <w:sz w:val="16"/>
              </w:rPr>
              <w:t xml:space="preserve">110517                      </w:t>
            </w:r>
            <w:r w:rsidR="004E4E98">
              <w:rPr>
                <w:sz w:val="16"/>
              </w:rPr>
              <w:t>12164</w:t>
            </w:r>
            <w:r>
              <w:rPr>
                <w:sz w:val="16"/>
              </w:rPr>
              <w:t xml:space="preserve">          </w:t>
            </w:r>
            <w:r w:rsidR="004E4E98">
              <w:rPr>
                <w:sz w:val="16"/>
              </w:rPr>
              <w:t xml:space="preserve">                         </w:t>
            </w:r>
            <w:r>
              <w:rPr>
                <w:sz w:val="16"/>
              </w:rPr>
              <w:t>-</w:t>
            </w:r>
            <w:proofErr w:type="gramEnd"/>
            <w:r>
              <w:rPr>
                <w:sz w:val="16"/>
              </w:rPr>
              <w:t xml:space="preserve">                    </w:t>
            </w:r>
          </w:p>
          <w:p w:rsidR="004E4E98" w:rsidRDefault="006C09BC" w:rsidP="0088756E">
            <w:pPr>
              <w:spacing w:before="60" w:after="60" w:line="240" w:lineRule="auto"/>
              <w:jc w:val="both"/>
              <w:rPr>
                <w:sz w:val="16"/>
              </w:rPr>
            </w:pPr>
            <w:r w:rsidRPr="006C09BC">
              <w:rPr>
                <w:sz w:val="16"/>
              </w:rPr>
              <w:lastRenderedPageBreak/>
              <w:t>Klíčov</w:t>
            </w:r>
            <w:r w:rsidR="000F6C5B">
              <w:rPr>
                <w:sz w:val="16"/>
              </w:rPr>
              <w:t>é vybavení uvedené v</w:t>
            </w:r>
            <w:r w:rsidRPr="006C09BC">
              <w:rPr>
                <w:sz w:val="16"/>
              </w:rPr>
              <w:t xml:space="preserve"> TA bylo pořízeno, v některých případech se zpožděním oproti plánovanému termínu pořízení a instalace. Toto zpoždění však nemělo vliv na naplňování cílů a závazků. V projektu došlo k významným úsporám v rámci výběrových řízení na přístroje, příjemce zažádal o využití těchto úspor na pořízení nových přístrojů, což bylo pod podmínkou navýšení některých závazných hodnot monitorovacích indikátorů odsouhlaseno</w:t>
            </w:r>
            <w:r w:rsidR="004E4E98">
              <w:rPr>
                <w:sz w:val="16"/>
              </w:rPr>
              <w:t>.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4E2C3A" wp14:editId="63039704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AB607C">
                                    <w:rPr>
                                      <w:sz w:val="18"/>
                                      <w:szCs w:val="18"/>
                                    </w:rPr>
                                    <w:t xml:space="preserve"> 20</w:t>
                                  </w:r>
                                  <w:r w:rsidR="00B81E33">
                                    <w:rPr>
                                      <w:sz w:val="18"/>
                                      <w:szCs w:val="18"/>
                                    </w:rPr>
                                    <w:t xml:space="preserve">. 2. </w:t>
                                  </w:r>
                                  <w:r w:rsidR="00EA6A25">
                                    <w:rPr>
                                      <w:sz w:val="18"/>
                                      <w:szCs w:val="18"/>
                                    </w:rPr>
                                    <w:t>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AB607C">
                              <w:rPr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B81E33">
                              <w:rPr>
                                <w:sz w:val="18"/>
                                <w:szCs w:val="18"/>
                              </w:rPr>
                              <w:t xml:space="preserve">. 2. </w:t>
                            </w:r>
                            <w:r w:rsidR="00EA6A25">
                              <w:rPr>
                                <w:sz w:val="18"/>
                                <w:szCs w:val="18"/>
                              </w:rPr>
                              <w:t>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280897" w:rsidRDefault="00AB607C" w:rsidP="0028089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Do 28.</w:t>
            </w:r>
            <w:r w:rsidR="00B81E33">
              <w:rPr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B81E33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2015 doc. PaedDr. Ilona </w:t>
            </w:r>
            <w:proofErr w:type="spellStart"/>
            <w:r>
              <w:rPr>
                <w:sz w:val="18"/>
              </w:rPr>
              <w:t>Mauritzová</w:t>
            </w:r>
            <w:proofErr w:type="spellEnd"/>
            <w:r>
              <w:rPr>
                <w:sz w:val="18"/>
              </w:rPr>
              <w:t>, Ph.D. – rektorka</w:t>
            </w:r>
          </w:p>
          <w:p w:rsidR="00AB607C" w:rsidRPr="005F27AE" w:rsidRDefault="00AB607C" w:rsidP="0028089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Od 1.</w:t>
            </w:r>
            <w:r w:rsidR="00B81E33">
              <w:rPr>
                <w:sz w:val="18"/>
              </w:rPr>
              <w:t xml:space="preserve"> </w:t>
            </w:r>
            <w:r>
              <w:rPr>
                <w:sz w:val="18"/>
              </w:rPr>
              <w:t>3.</w:t>
            </w:r>
            <w:r w:rsidR="00B81E33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2015 doc. </w:t>
            </w:r>
            <w:r w:rsidRPr="00AB607C">
              <w:rPr>
                <w:sz w:val="18"/>
              </w:rPr>
              <w:t>RNDr. Miroslav Holeček, Dr.</w:t>
            </w:r>
            <w:r>
              <w:rPr>
                <w:sz w:val="18"/>
              </w:rPr>
              <w:t xml:space="preserve"> – rektor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280897" w:rsidRPr="005F27AE" w:rsidRDefault="00AB607C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Západočeská univerzita v Plzni </w:t>
            </w:r>
          </w:p>
        </w:tc>
      </w:tr>
      <w:tr w:rsidR="00002DBE" w:rsidTr="0088756E">
        <w:trPr>
          <w:trHeight w:val="1682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88756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280897">
              <w:rPr>
                <w:sz w:val="18"/>
              </w:rPr>
              <w:t xml:space="preserve">: </w:t>
            </w:r>
          </w:p>
          <w:p w:rsidR="00002DBE" w:rsidRDefault="00AB607C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Prof. Ing. Pavel Novák, Ph.D.</w:t>
            </w:r>
            <w:r w:rsidR="00280897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– ředitel </w:t>
            </w:r>
          </w:p>
          <w:p w:rsidR="00AB607C" w:rsidRDefault="00AB607C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Ing. Josef Weinreb, CSc. – manažer projektu </w:t>
            </w:r>
          </w:p>
          <w:p w:rsidR="0088756E" w:rsidRDefault="00280897" w:rsidP="00AB607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</w:t>
            </w:r>
          </w:p>
          <w:p w:rsidR="0088756E" w:rsidRDefault="00002DBE" w:rsidP="00AB607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280897">
              <w:rPr>
                <w:sz w:val="18"/>
              </w:rPr>
              <w:t>:</w:t>
            </w:r>
          </w:p>
          <w:p w:rsidR="00AB607C" w:rsidRPr="005F27AE" w:rsidRDefault="00280897" w:rsidP="00AB607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AB607C">
              <w:rPr>
                <w:sz w:val="18"/>
              </w:rPr>
              <w:t>Mgr. Alena Fronková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88756E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655650" w:rsidRPr="00655650" w:rsidRDefault="00655650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 xml:space="preserve">Změna ředitele centra </w:t>
            </w:r>
            <w:r w:rsidR="0088756E">
              <w:rPr>
                <w:sz w:val="18"/>
              </w:rPr>
              <w:t>z p</w:t>
            </w:r>
            <w:r>
              <w:rPr>
                <w:sz w:val="18"/>
              </w:rPr>
              <w:t>rof. Jiřího Křena, CSc.</w:t>
            </w:r>
            <w:r w:rsidR="0088756E">
              <w:rPr>
                <w:sz w:val="18"/>
              </w:rPr>
              <w:t xml:space="preserve">, od </w:t>
            </w:r>
            <w:proofErr w:type="gramStart"/>
            <w:r w:rsidR="0088756E">
              <w:rPr>
                <w:sz w:val="18"/>
              </w:rPr>
              <w:t>1.1.2012</w:t>
            </w:r>
            <w:proofErr w:type="gramEnd"/>
            <w:r w:rsidR="0088756E">
              <w:rPr>
                <w:sz w:val="18"/>
              </w:rPr>
              <w:t xml:space="preserve"> ředitelem centra p</w:t>
            </w:r>
            <w:r w:rsidR="00DE593C">
              <w:rPr>
                <w:sz w:val="18"/>
              </w:rPr>
              <w:t>rof. Ing. Pavel Novák, Ph.D.</w:t>
            </w:r>
            <w:r>
              <w:rPr>
                <w:sz w:val="18"/>
              </w:rPr>
              <w:t xml:space="preserve"> </w:t>
            </w:r>
          </w:p>
          <w:p w:rsidR="00930861" w:rsidRDefault="00655650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 xml:space="preserve">Posun milníku zahájení stavby z 1. čtvrtletí 2012 na 2. čtvrtletí 2012 </w:t>
            </w:r>
          </w:p>
          <w:p w:rsidR="00DE593C" w:rsidRDefault="00DE593C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 xml:space="preserve">Změna nákupu vybraných přístrojů z klíčového vybavení projektu </w:t>
            </w:r>
          </w:p>
          <w:p w:rsidR="00655650" w:rsidRDefault="00655650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655650">
              <w:rPr>
                <w:sz w:val="18"/>
              </w:rPr>
              <w:t>Posun milníku „Mezinárodní hodnocení implementace struktury managementu a výzkumných aktivit v souladu s požadavkem mezinárodního panelu“</w:t>
            </w:r>
            <w:r>
              <w:t xml:space="preserve"> </w:t>
            </w:r>
            <w:r w:rsidRPr="00655650">
              <w:rPr>
                <w:sz w:val="18"/>
              </w:rPr>
              <w:t xml:space="preserve">z 1. čtvrtletí 2012 na 2. čtvrtletí 2012 </w:t>
            </w:r>
          </w:p>
          <w:p w:rsidR="00DE593C" w:rsidRDefault="00DE593C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Personální změna na pozici vědeckého ředitele z prof. RNDr. P. Drábka, DrSc. na doc. Ing. E. Janečka, CSc.</w:t>
            </w:r>
          </w:p>
          <w:p w:rsidR="00DE593C" w:rsidRPr="00DE593C" w:rsidRDefault="00DE593C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DE593C">
              <w:rPr>
                <w:sz w:val="18"/>
              </w:rPr>
              <w:t>Využití 30% úspory ze stavby, došlo k nákupu přístrojů nad rámec původního plánu</w:t>
            </w:r>
          </w:p>
          <w:p w:rsidR="00DE593C" w:rsidRDefault="00DE593C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Změna termínu nákupu vybraných přístrojů klíčového vybavení projektu</w:t>
            </w:r>
          </w:p>
          <w:p w:rsidR="00DE593C" w:rsidRDefault="00DE593C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 xml:space="preserve">Změna </w:t>
            </w:r>
            <w:r w:rsidR="00F360E1">
              <w:rPr>
                <w:sz w:val="18"/>
              </w:rPr>
              <w:t>úvazků</w:t>
            </w:r>
            <w:r w:rsidR="0088756E">
              <w:rPr>
                <w:sz w:val="18"/>
              </w:rPr>
              <w:t xml:space="preserve"> na pozici Senior </w:t>
            </w:r>
            <w:proofErr w:type="spellStart"/>
            <w:r w:rsidR="0088756E">
              <w:rPr>
                <w:sz w:val="18"/>
              </w:rPr>
              <w:t>r</w:t>
            </w:r>
            <w:r>
              <w:rPr>
                <w:sz w:val="18"/>
              </w:rPr>
              <w:t>esearcher</w:t>
            </w:r>
            <w:proofErr w:type="spellEnd"/>
          </w:p>
          <w:p w:rsidR="00F360E1" w:rsidRDefault="00F360E1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Změny v přístrojovém a softwarovém vybavení – klíčové vybavení</w:t>
            </w:r>
          </w:p>
          <w:p w:rsidR="00F360E1" w:rsidRDefault="00F360E1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Změna na pozici vedoucí výzkumného programu P2</w:t>
            </w:r>
          </w:p>
          <w:p w:rsidR="00F360E1" w:rsidRDefault="00F360E1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Změna využití společných prostor budovy – snížení monitorovacího indikátoru 110517 Vybudované kapacity</w:t>
            </w:r>
          </w:p>
          <w:p w:rsidR="00F360E1" w:rsidRDefault="00F360E1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F360E1">
              <w:rPr>
                <w:sz w:val="18"/>
              </w:rPr>
              <w:t>Přijetí přílohy č. 4 Sankce za porušení rozpočtové kázně v důsled</w:t>
            </w:r>
            <w:r>
              <w:rPr>
                <w:sz w:val="18"/>
              </w:rPr>
              <w:t>k</w:t>
            </w:r>
            <w:r w:rsidRPr="00F360E1">
              <w:rPr>
                <w:sz w:val="18"/>
              </w:rPr>
              <w:t>u nenaplnění závazných hodnot monitorovacích</w:t>
            </w:r>
            <w:r>
              <w:rPr>
                <w:sz w:val="18"/>
              </w:rPr>
              <w:t xml:space="preserve"> indikátorů</w:t>
            </w:r>
          </w:p>
          <w:p w:rsidR="00F360E1" w:rsidRDefault="0088756E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 xml:space="preserve">Nahrazení </w:t>
            </w:r>
            <w:r w:rsidR="00F360E1" w:rsidRPr="00F360E1">
              <w:rPr>
                <w:sz w:val="18"/>
              </w:rPr>
              <w:t xml:space="preserve"> výsledku</w:t>
            </w:r>
            <w:proofErr w:type="gramEnd"/>
            <w:r w:rsidR="00F360E1" w:rsidRPr="00F360E1">
              <w:rPr>
                <w:sz w:val="18"/>
              </w:rPr>
              <w:t xml:space="preserve"> P3-a12 Výzkumného programu P3: „Vyvinutí modelu a softwarových prostředků pro simulaci růstu a </w:t>
            </w:r>
            <w:proofErr w:type="spellStart"/>
            <w:r w:rsidR="00F360E1" w:rsidRPr="00F360E1">
              <w:rPr>
                <w:sz w:val="18"/>
              </w:rPr>
              <w:t>remodelace</w:t>
            </w:r>
            <w:proofErr w:type="spellEnd"/>
            <w:r w:rsidR="00F360E1" w:rsidRPr="00F360E1">
              <w:rPr>
                <w:sz w:val="18"/>
              </w:rPr>
              <w:t xml:space="preserve"> srdečního svalu a cévních </w:t>
            </w:r>
            <w:proofErr w:type="gramStart"/>
            <w:r w:rsidR="00F360E1" w:rsidRPr="00F360E1">
              <w:rPr>
                <w:sz w:val="18"/>
              </w:rPr>
              <w:t>stěn“   novým</w:t>
            </w:r>
            <w:proofErr w:type="gramEnd"/>
            <w:r w:rsidR="00F360E1" w:rsidRPr="00F360E1">
              <w:rPr>
                <w:sz w:val="18"/>
              </w:rPr>
              <w:t xml:space="preserve">  výsledkem „Vyvinutí modelu akustické transmise perforovanými panely“.</w:t>
            </w:r>
          </w:p>
          <w:p w:rsidR="00DE593C" w:rsidRPr="00F360E1" w:rsidRDefault="00F360E1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F360E1">
              <w:rPr>
                <w:sz w:val="18"/>
              </w:rPr>
              <w:t xml:space="preserve">Rozpočet projektu – změna ve výši finančních prostředků v jednotlivých položkách rozpočtu </w:t>
            </w:r>
            <w:r w:rsidRPr="00F360E1">
              <w:rPr>
                <w:sz w:val="18"/>
              </w:rPr>
              <w:lastRenderedPageBreak/>
              <w:t>projektu při zachování schválení výše celkových způsobilých výdajů investičních i neinvestičních.</w:t>
            </w:r>
          </w:p>
          <w:p w:rsidR="00F31F0D" w:rsidRPr="00F360E1" w:rsidRDefault="00F31F0D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Přijetí přílohy „</w:t>
            </w:r>
            <w:r w:rsidRPr="00F31F0D">
              <w:rPr>
                <w:sz w:val="18"/>
              </w:rPr>
              <w:t>Sankce (snížené odvody) za porušení rozpočtové kázně v důsledku porušení pravidel pro zadávání zakázek</w:t>
            </w:r>
            <w:r>
              <w:rPr>
                <w:sz w:val="18"/>
              </w:rPr>
              <w:t>“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Finanční dopady</w:t>
            </w:r>
          </w:p>
          <w:p w:rsidR="00F31F0D" w:rsidRDefault="00F31F0D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Přesuny v rámci rozpočtu</w:t>
            </w:r>
          </w:p>
          <w:p w:rsidR="00C96993" w:rsidRPr="00F31F0D" w:rsidRDefault="00C96993" w:rsidP="0088756E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Bylo využito 30% úspor ze stavebních výdajů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280897">
              <w:rPr>
                <w:sz w:val="16"/>
              </w:rPr>
              <w:t xml:space="preserve">  </w:t>
            </w:r>
            <w:r w:rsidR="0097117E">
              <w:rPr>
                <w:sz w:val="16"/>
              </w:rPr>
              <w:t>96,48</w:t>
            </w:r>
            <w:r w:rsidR="00280897">
              <w:rPr>
                <w:sz w:val="16"/>
              </w:rPr>
              <w:t>%</w:t>
            </w:r>
            <w:r w:rsidR="00493B85">
              <w:rPr>
                <w:sz w:val="16"/>
              </w:rPr>
              <w:t>, stavba nové budovy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 xml:space="preserve">(včetně % </w:t>
            </w:r>
            <w:proofErr w:type="gramStart"/>
            <w:r>
              <w:rPr>
                <w:sz w:val="16"/>
              </w:rPr>
              <w:t>naplnění)</w:t>
            </w:r>
            <w:r w:rsidR="00280897">
              <w:rPr>
                <w:sz w:val="16"/>
              </w:rPr>
              <w:t xml:space="preserve">   </w:t>
            </w:r>
            <w:r w:rsidR="00880F9A">
              <w:rPr>
                <w:sz w:val="16"/>
              </w:rPr>
              <w:t>64</w:t>
            </w:r>
            <w:r w:rsidR="00280897">
              <w:rPr>
                <w:sz w:val="16"/>
              </w:rPr>
              <w:t>%</w:t>
            </w:r>
            <w:proofErr w:type="gramEnd"/>
            <w:r w:rsidR="00AB607C">
              <w:rPr>
                <w:sz w:val="16"/>
              </w:rPr>
              <w:t xml:space="preserve">, v současné </w:t>
            </w:r>
            <w:r w:rsidR="00880F9A">
              <w:rPr>
                <w:sz w:val="16"/>
              </w:rPr>
              <w:t>době</w:t>
            </w:r>
            <w:r w:rsidR="00AB607C">
              <w:rPr>
                <w:sz w:val="16"/>
              </w:rPr>
              <w:t xml:space="preserve"> není ještě znám konečný stav</w:t>
            </w:r>
          </w:p>
          <w:p w:rsidR="0004245B" w:rsidRPr="00AF6EBB" w:rsidRDefault="0081392A" w:rsidP="00136546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280897">
              <w:rPr>
                <w:sz w:val="16"/>
              </w:rPr>
              <w:t xml:space="preserve">  100%</w:t>
            </w:r>
            <w:r w:rsidR="00E80C66">
              <w:rPr>
                <w:sz w:val="16"/>
              </w:rPr>
              <w:t xml:space="preserve">, 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C25669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613D85">
              <w:rPr>
                <w:sz w:val="18"/>
              </w:rPr>
              <w:t xml:space="preserve"> </w:t>
            </w:r>
            <w:r w:rsidR="00613D85" w:rsidRPr="00613D85">
              <w:rPr>
                <w:sz w:val="18"/>
              </w:rPr>
              <w:t>577 050 349,37 Kč, tj. 76,08 % způsobilých výdajů dle rozpočtu z posledního dodatku.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(v </w:t>
            </w:r>
            <w:proofErr w:type="gramStart"/>
            <w:r>
              <w:rPr>
                <w:sz w:val="18"/>
              </w:rPr>
              <w:t>Kč i %)</w:t>
            </w:r>
            <w:r w:rsidR="00613D85">
              <w:rPr>
                <w:sz w:val="18"/>
              </w:rPr>
              <w:t xml:space="preserve">  </w:t>
            </w:r>
            <w:r w:rsidR="00613D85" w:rsidRPr="00613D85">
              <w:rPr>
                <w:sz w:val="18"/>
              </w:rPr>
              <w:t>490 460 014,51</w:t>
            </w:r>
            <w:proofErr w:type="gramEnd"/>
            <w:r w:rsidR="00613D85" w:rsidRPr="00613D85">
              <w:rPr>
                <w:sz w:val="18"/>
              </w:rPr>
              <w:t xml:space="preserve"> Kč, tj. 76,05 % způsobilých výdajů dle rozpočtu z posledního dodatku.</w:t>
            </w:r>
          </w:p>
          <w:p w:rsidR="00DA6654" w:rsidRDefault="00DA6654" w:rsidP="00953BF2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280897">
              <w:rPr>
                <w:sz w:val="18"/>
              </w:rPr>
              <w:t xml:space="preserve"> </w:t>
            </w:r>
            <w:r w:rsidR="00613D85" w:rsidRPr="00613D85">
              <w:rPr>
                <w:sz w:val="18"/>
              </w:rPr>
              <w:t>576 846 149,45 Kč, tj. 76,05 % způsobilých výdajů dle rozpočtu z posledního dodatku.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Default="00613D85" w:rsidP="001878D5">
            <w:pPr>
              <w:spacing w:before="60" w:after="60" w:line="240" w:lineRule="auto"/>
              <w:rPr>
                <w:sz w:val="16"/>
              </w:rPr>
            </w:pPr>
            <w:r w:rsidRPr="00613D85">
              <w:rPr>
                <w:sz w:val="16"/>
              </w:rPr>
              <w:t>287 152 378,37 Kč, tj. 27,46 % celkových výdajů projektu dle rozpočtu z posledního dodatku (způsobilých i nezpůsobilých).</w:t>
            </w:r>
          </w:p>
        </w:tc>
      </w:tr>
      <w:tr w:rsidR="00D2753C" w:rsidTr="0088756E">
        <w:trPr>
          <w:trHeight w:val="542"/>
        </w:trPr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Pr="007E5BE2" w:rsidRDefault="000A313C" w:rsidP="00DD26D3">
            <w:pPr>
              <w:spacing w:before="60" w:after="60" w:line="240" w:lineRule="auto"/>
              <w:rPr>
                <w:sz w:val="20"/>
                <w:szCs w:val="20"/>
              </w:rPr>
            </w:pPr>
            <w:r w:rsidRPr="0088756E">
              <w:rPr>
                <w:rFonts w:ascii="Calibri" w:hAnsi="Calibri" w:cs="Calibri"/>
                <w:sz w:val="18"/>
              </w:rPr>
              <w:t xml:space="preserve">Hrozí nenaplnění MI 111300 Objem prostředků na </w:t>
            </w:r>
            <w:proofErr w:type="spellStart"/>
            <w:r w:rsidRPr="0088756E">
              <w:rPr>
                <w:rFonts w:ascii="Calibri" w:hAnsi="Calibri" w:cs="Calibri"/>
                <w:sz w:val="18"/>
              </w:rPr>
              <w:t>VaV</w:t>
            </w:r>
            <w:proofErr w:type="spellEnd"/>
            <w:r w:rsidRPr="0088756E">
              <w:rPr>
                <w:rFonts w:ascii="Calibri" w:hAnsi="Calibri" w:cs="Calibri"/>
                <w:sz w:val="18"/>
              </w:rPr>
              <w:t xml:space="preserve"> získaný ze zahraničních zdrojů</w:t>
            </w:r>
            <w:r w:rsidR="007E5BE2" w:rsidRPr="0088756E">
              <w:rPr>
                <w:rFonts w:ascii="Calibri" w:hAnsi="Calibri" w:cs="Calibri"/>
                <w:sz w:val="18"/>
              </w:rPr>
              <w:t>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D516D2" w:rsidTr="00F74C5F">
        <w:tc>
          <w:tcPr>
            <w:tcW w:w="2298" w:type="dxa"/>
          </w:tcPr>
          <w:p w:rsidR="00D516D2" w:rsidRDefault="00D516D2" w:rsidP="006C6F54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bookmarkStart w:id="0" w:name="_GoBack" w:colFirst="0" w:colLast="1"/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6C6F54" w:rsidRDefault="00D516D2" w:rsidP="006C6F54">
            <w:pPr>
              <w:spacing w:after="0" w:line="240" w:lineRule="atLeast"/>
              <w:rPr>
                <w:sz w:val="18"/>
              </w:rPr>
            </w:pPr>
            <w:r w:rsidRPr="00865388">
              <w:rPr>
                <w:sz w:val="18"/>
              </w:rPr>
              <w:t>Požadované zdroje smluvní výzkum a jejich zajištění</w:t>
            </w:r>
            <w:r>
              <w:rPr>
                <w:sz w:val="18"/>
              </w:rPr>
              <w:t xml:space="preserve"> jsou </w:t>
            </w:r>
            <w:r w:rsidRPr="00D516D2">
              <w:rPr>
                <w:sz w:val="18"/>
              </w:rPr>
              <w:t>49 mil. Kč</w:t>
            </w:r>
            <w:r>
              <w:rPr>
                <w:sz w:val="18"/>
              </w:rPr>
              <w:t xml:space="preserve"> (tuzemský smluvní výzkum) a</w:t>
            </w:r>
            <w:r w:rsidRPr="00D516D2">
              <w:rPr>
                <w:sz w:val="18"/>
              </w:rPr>
              <w:t xml:space="preserve"> 13 mil. Kč</w:t>
            </w:r>
            <w:r>
              <w:rPr>
                <w:sz w:val="18"/>
              </w:rPr>
              <w:t xml:space="preserve"> (smluvní výzkum zahraniční).</w:t>
            </w:r>
          </w:p>
          <w:p w:rsidR="006C6F54" w:rsidRDefault="00D516D2" w:rsidP="006C6F54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 xml:space="preserve">Dosavadní smluvní výzkum v období 2011-2014 byl 23 mil. Kč (plánováno 8,5 mil. Kč). Předpokládaný smluvní výzkum po realizaci projektu je </w:t>
            </w:r>
            <w:r w:rsidRPr="00D516D2">
              <w:rPr>
                <w:sz w:val="18"/>
              </w:rPr>
              <w:t>v pro</w:t>
            </w:r>
            <w:r>
              <w:rPr>
                <w:sz w:val="18"/>
              </w:rPr>
              <w:t xml:space="preserve">vozní fázi NTIS (2015 - 2019) plánován objem </w:t>
            </w:r>
            <w:r w:rsidRPr="00D516D2">
              <w:rPr>
                <w:sz w:val="18"/>
              </w:rPr>
              <w:t>smluvního výzkumu v</w:t>
            </w:r>
            <w:r>
              <w:rPr>
                <w:sz w:val="18"/>
              </w:rPr>
              <w:t>e výši</w:t>
            </w:r>
            <w:r w:rsidRPr="00D516D2">
              <w:rPr>
                <w:sz w:val="18"/>
              </w:rPr>
              <w:t xml:space="preserve"> cca 60 mil. Kč</w:t>
            </w:r>
            <w:r>
              <w:rPr>
                <w:sz w:val="18"/>
              </w:rPr>
              <w:t>.</w:t>
            </w:r>
          </w:p>
          <w:p w:rsidR="00D516D2" w:rsidRDefault="00D516D2" w:rsidP="006C6F54">
            <w:pPr>
              <w:spacing w:after="0" w:line="240" w:lineRule="atLeast"/>
            </w:pPr>
            <w:r>
              <w:rPr>
                <w:sz w:val="18"/>
              </w:rPr>
              <w:t>M</w:t>
            </w:r>
            <w:r w:rsidRPr="00D516D2">
              <w:rPr>
                <w:sz w:val="18"/>
              </w:rPr>
              <w:t>ezinárodní granty a jejich zajištění: mezinárodní granty - základní výzkum: 41 mil. Kč, mezinárodní granty - aplikovaný výzkum: 80 mil. Kč</w:t>
            </w:r>
            <w:r>
              <w:rPr>
                <w:sz w:val="18"/>
              </w:rPr>
              <w:t xml:space="preserve">. Ostatní zdroje financování jsou 7 mil. Kč. </w:t>
            </w:r>
          </w:p>
        </w:tc>
      </w:tr>
      <w:tr w:rsidR="00D516D2" w:rsidTr="00361431">
        <w:tc>
          <w:tcPr>
            <w:tcW w:w="2298" w:type="dxa"/>
          </w:tcPr>
          <w:p w:rsidR="00D516D2" w:rsidRDefault="00D516D2" w:rsidP="006C6F54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D516D2" w:rsidRDefault="00D516D2" w:rsidP="006C6F54">
            <w:pPr>
              <w:spacing w:after="0" w:line="240" w:lineRule="atLeast"/>
            </w:pPr>
            <w:r>
              <w:rPr>
                <w:sz w:val="18"/>
              </w:rPr>
              <w:t xml:space="preserve">Požadavky na účelové zdroje centra jsou specifikovány ve výši 660 mil. Kč. Z toho NPU ve výši 410 mil. Kč. Institucionální podpora je předpokládána ve výši 135 mil. Kč do roku 2020. </w:t>
            </w:r>
            <w:r w:rsidR="006C6F54">
              <w:rPr>
                <w:sz w:val="18"/>
              </w:rPr>
              <w:t>Centrum zatím podporu z NPU neobdrželo.</w:t>
            </w:r>
            <w:r>
              <w:t xml:space="preserve"> </w:t>
            </w:r>
          </w:p>
        </w:tc>
      </w:tr>
      <w:tr w:rsidR="00D516D2" w:rsidTr="00FC3BB8">
        <w:tc>
          <w:tcPr>
            <w:tcW w:w="2298" w:type="dxa"/>
          </w:tcPr>
          <w:p w:rsidR="00D516D2" w:rsidRDefault="00D516D2" w:rsidP="006C6F54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6C6F54" w:rsidRDefault="006C6F54" w:rsidP="006C6F54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>Monitorovací indikátory za r.</w:t>
            </w:r>
            <w:r w:rsidRPr="005B6C3A">
              <w:rPr>
                <w:sz w:val="18"/>
              </w:rPr>
              <w:t xml:space="preserve"> 2014 </w:t>
            </w:r>
            <w:r>
              <w:rPr>
                <w:sz w:val="18"/>
              </w:rPr>
              <w:t xml:space="preserve">byly splněny </w:t>
            </w:r>
          </w:p>
          <w:p w:rsidR="006C6F54" w:rsidRDefault="006C6F54" w:rsidP="006C6F54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 xml:space="preserve">Centrum má transparentní strukturu výzkumných týmů. Současný počet výzkumníků zaměstnaných v centru je 188,7 FTE odborných pracovníků. Kvalifikační struktura centra je </w:t>
            </w:r>
            <w:r w:rsidRPr="00865388">
              <w:rPr>
                <w:sz w:val="18"/>
              </w:rPr>
              <w:t xml:space="preserve">VP </w:t>
            </w:r>
            <w:r>
              <w:rPr>
                <w:sz w:val="18"/>
              </w:rPr>
              <w:t>–</w:t>
            </w:r>
            <w:r w:rsidRPr="00865388">
              <w:rPr>
                <w:sz w:val="18"/>
              </w:rPr>
              <w:t xml:space="preserve"> </w:t>
            </w:r>
            <w:r>
              <w:rPr>
                <w:sz w:val="18"/>
              </w:rPr>
              <w:t>3,5 FTE</w:t>
            </w:r>
            <w:r w:rsidRPr="00865388">
              <w:rPr>
                <w:sz w:val="18"/>
              </w:rPr>
              <w:t xml:space="preserve">, senior </w:t>
            </w:r>
            <w:r>
              <w:rPr>
                <w:sz w:val="18"/>
              </w:rPr>
              <w:t>–</w:t>
            </w:r>
            <w:r w:rsidRPr="00865388">
              <w:rPr>
                <w:sz w:val="18"/>
              </w:rPr>
              <w:t xml:space="preserve"> </w:t>
            </w:r>
            <w:r>
              <w:rPr>
                <w:sz w:val="18"/>
              </w:rPr>
              <w:t>44,3 FTE</w:t>
            </w:r>
            <w:r w:rsidRPr="00865388">
              <w:rPr>
                <w:sz w:val="18"/>
              </w:rPr>
              <w:t xml:space="preserve">, junior </w:t>
            </w:r>
            <w:r>
              <w:rPr>
                <w:sz w:val="18"/>
              </w:rPr>
              <w:t>–</w:t>
            </w:r>
            <w:r w:rsidRPr="00865388">
              <w:rPr>
                <w:sz w:val="18"/>
              </w:rPr>
              <w:t xml:space="preserve"> </w:t>
            </w:r>
            <w:r>
              <w:rPr>
                <w:sz w:val="18"/>
              </w:rPr>
              <w:t>85,4 FTE</w:t>
            </w:r>
            <w:r w:rsidRPr="00865388">
              <w:rPr>
                <w:sz w:val="18"/>
              </w:rPr>
              <w:t xml:space="preserve">, Ph.D. student </w:t>
            </w:r>
            <w:r>
              <w:rPr>
                <w:sz w:val="18"/>
              </w:rPr>
              <w:t>–</w:t>
            </w:r>
            <w:r w:rsidRPr="00865388">
              <w:rPr>
                <w:sz w:val="18"/>
              </w:rPr>
              <w:t xml:space="preserve"> </w:t>
            </w:r>
            <w:r>
              <w:rPr>
                <w:sz w:val="18"/>
              </w:rPr>
              <w:t>55,4 FTE. Plánovaný počet výzkumníků 158,2 FTE (2015) a až 174,6 FTE (2019).</w:t>
            </w:r>
          </w:p>
          <w:p w:rsidR="00D516D2" w:rsidRPr="006C6F54" w:rsidRDefault="006C6F54" w:rsidP="006C6F54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 xml:space="preserve">V současnosti je do výzkumu zapojeno </w:t>
            </w:r>
            <w:r w:rsidRPr="005B6C3A">
              <w:rPr>
                <w:sz w:val="18"/>
              </w:rPr>
              <w:t xml:space="preserve">50 výzkumných pracovníků </w:t>
            </w:r>
            <w:r>
              <w:rPr>
                <w:sz w:val="18"/>
              </w:rPr>
              <w:t>s alespoň jed</w:t>
            </w:r>
            <w:r w:rsidRPr="005B6C3A">
              <w:rPr>
                <w:sz w:val="18"/>
              </w:rPr>
              <w:t>n</w:t>
            </w:r>
            <w:r>
              <w:rPr>
                <w:sz w:val="18"/>
              </w:rPr>
              <w:t>ím stup</w:t>
            </w:r>
            <w:r>
              <w:rPr>
                <w:sz w:val="18"/>
              </w:rPr>
              <w:t>ně</w:t>
            </w:r>
            <w:r>
              <w:rPr>
                <w:sz w:val="18"/>
              </w:rPr>
              <w:t>m</w:t>
            </w:r>
            <w:r w:rsidRPr="005B6C3A">
              <w:rPr>
                <w:sz w:val="18"/>
              </w:rPr>
              <w:t xml:space="preserve"> studia v zahraničí (mimo </w:t>
            </w:r>
            <w:proofErr w:type="gramStart"/>
            <w:r w:rsidRPr="005B6C3A">
              <w:rPr>
                <w:sz w:val="18"/>
              </w:rPr>
              <w:t>Slovensko), 6  pracovníků</w:t>
            </w:r>
            <w:proofErr w:type="gramEnd"/>
            <w:r w:rsidRPr="005B6C3A">
              <w:rPr>
                <w:sz w:val="18"/>
              </w:rPr>
              <w:t xml:space="preserve"> absolvovalo nejméně devítiměsíční pracovní pobyt v zahraničí, na základě 11 mezinárodních tendrů byli získáni 4 zaměstnanci ze zahraničí</w:t>
            </w:r>
            <w:r>
              <w:rPr>
                <w:sz w:val="18"/>
              </w:rPr>
              <w:t>.</w:t>
            </w:r>
          </w:p>
        </w:tc>
      </w:tr>
      <w:tr w:rsidR="00D516D2" w:rsidTr="00F74C5F">
        <w:tc>
          <w:tcPr>
            <w:tcW w:w="2298" w:type="dxa"/>
          </w:tcPr>
          <w:p w:rsidR="00D516D2" w:rsidRDefault="00D516D2" w:rsidP="006C6F54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D516D2" w:rsidRPr="005B6C3A" w:rsidRDefault="006C6F54" w:rsidP="006C6F54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>P</w:t>
            </w:r>
            <w:r w:rsidR="005B6C3A" w:rsidRPr="005B6C3A">
              <w:rPr>
                <w:sz w:val="18"/>
              </w:rPr>
              <w:t xml:space="preserve">říjemcem dotace byla </w:t>
            </w:r>
            <w:r>
              <w:rPr>
                <w:sz w:val="18"/>
              </w:rPr>
              <w:t>univerzita, centrum</w:t>
            </w:r>
            <w:r w:rsidR="005B6C3A" w:rsidRPr="005B6C3A">
              <w:rPr>
                <w:sz w:val="18"/>
              </w:rPr>
              <w:t xml:space="preserve"> sestává </w:t>
            </w:r>
            <w:proofErr w:type="gramStart"/>
            <w:r w:rsidR="005B6C3A" w:rsidRPr="005B6C3A">
              <w:rPr>
                <w:sz w:val="18"/>
              </w:rPr>
              <w:t>ze</w:t>
            </w:r>
            <w:proofErr w:type="gramEnd"/>
            <w:r w:rsidR="005B6C3A" w:rsidRPr="005B6C3A">
              <w:rPr>
                <w:sz w:val="18"/>
              </w:rPr>
              <w:t xml:space="preserve"> 2 budov. V šestipodlažní stavbě je umístěno vlastní výzkumné centrum excelence NTIS a v přilehlé pětipodlažní budově pak centrum vzdělávání CTPVV. Obě centra mají společné servisní místnosti, služby a také posluchárny. Stavba je prakticky ukončena a plně funkční, probíhá jen výzdoba.</w:t>
            </w:r>
          </w:p>
        </w:tc>
      </w:tr>
      <w:tr w:rsidR="00D516D2" w:rsidTr="00F74C5F">
        <w:tc>
          <w:tcPr>
            <w:tcW w:w="2298" w:type="dxa"/>
          </w:tcPr>
          <w:p w:rsidR="00D516D2" w:rsidRDefault="00D516D2" w:rsidP="006C6F54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D516D2" w:rsidRDefault="005B6C3A" w:rsidP="006C6F54">
            <w:pPr>
              <w:spacing w:after="0" w:line="240" w:lineRule="atLeast"/>
              <w:rPr>
                <w:sz w:val="18"/>
              </w:rPr>
            </w:pPr>
            <w:r w:rsidRPr="005B6C3A">
              <w:rPr>
                <w:sz w:val="18"/>
              </w:rPr>
              <w:t xml:space="preserve">Centrum má desítky partnerství s českými univerzitami, podniky a veřejným sektorem, </w:t>
            </w:r>
            <w:proofErr w:type="spellStart"/>
            <w:r w:rsidRPr="005B6C3A">
              <w:rPr>
                <w:sz w:val="18"/>
              </w:rPr>
              <w:t>např</w:t>
            </w:r>
            <w:proofErr w:type="spellEnd"/>
            <w:r w:rsidRPr="005B6C3A">
              <w:rPr>
                <w:sz w:val="18"/>
              </w:rPr>
              <w:t xml:space="preserve">: FEL ČVUT Praha, MFF UK Praha, FU FF UK Praha, MU Brno, VUT Brno a průmyslové partnery ŠKODA </w:t>
            </w:r>
            <w:proofErr w:type="spellStart"/>
            <w:r w:rsidRPr="005B6C3A">
              <w:rPr>
                <w:sz w:val="18"/>
              </w:rPr>
              <w:t>DOOSAN,s.r.o</w:t>
            </w:r>
            <w:proofErr w:type="spellEnd"/>
            <w:r w:rsidRPr="005B6C3A">
              <w:rPr>
                <w:sz w:val="18"/>
              </w:rPr>
              <w:t xml:space="preserve">, ČEPS a.s., ČEZ </w:t>
            </w:r>
            <w:proofErr w:type="spellStart"/>
            <w:r w:rsidRPr="005B6C3A">
              <w:rPr>
                <w:sz w:val="18"/>
              </w:rPr>
              <w:t>a.s.,ZAT</w:t>
            </w:r>
            <w:proofErr w:type="spellEnd"/>
            <w:r w:rsidRPr="005B6C3A">
              <w:rPr>
                <w:sz w:val="18"/>
              </w:rPr>
              <w:t xml:space="preserve">, a.s., </w:t>
            </w:r>
            <w:proofErr w:type="spellStart"/>
            <w:r w:rsidRPr="005B6C3A">
              <w:rPr>
                <w:sz w:val="18"/>
              </w:rPr>
              <w:t>Teco</w:t>
            </w:r>
            <w:proofErr w:type="spellEnd"/>
            <w:r w:rsidRPr="005B6C3A">
              <w:rPr>
                <w:sz w:val="18"/>
              </w:rPr>
              <w:t xml:space="preserve">, a.s., Vítkovice Mechanika, s.r.o., ZF </w:t>
            </w:r>
            <w:proofErr w:type="spellStart"/>
            <w:r w:rsidRPr="005B6C3A">
              <w:rPr>
                <w:sz w:val="18"/>
              </w:rPr>
              <w:t>Engineering</w:t>
            </w:r>
            <w:proofErr w:type="spellEnd"/>
            <w:r w:rsidRPr="005B6C3A">
              <w:rPr>
                <w:sz w:val="18"/>
              </w:rPr>
              <w:t xml:space="preserve">, Škoda JS, </w:t>
            </w:r>
            <w:proofErr w:type="spellStart"/>
            <w:r w:rsidRPr="005B6C3A">
              <w:rPr>
                <w:sz w:val="18"/>
              </w:rPr>
              <w:t>Eurotec</w:t>
            </w:r>
            <w:proofErr w:type="spellEnd"/>
            <w:r w:rsidRPr="005B6C3A">
              <w:rPr>
                <w:sz w:val="18"/>
              </w:rPr>
              <w:t xml:space="preserve"> JKR, </w:t>
            </w:r>
            <w:proofErr w:type="spellStart"/>
            <w:r w:rsidRPr="005B6C3A">
              <w:rPr>
                <w:sz w:val="18"/>
              </w:rPr>
              <w:t>s.r.o</w:t>
            </w:r>
            <w:proofErr w:type="spellEnd"/>
            <w:r w:rsidRPr="005B6C3A">
              <w:rPr>
                <w:sz w:val="18"/>
              </w:rPr>
              <w:t xml:space="preserve">, Fuji </w:t>
            </w:r>
            <w:proofErr w:type="spellStart"/>
            <w:r w:rsidRPr="005B6C3A">
              <w:rPr>
                <w:sz w:val="18"/>
              </w:rPr>
              <w:t>Koyo</w:t>
            </w:r>
            <w:proofErr w:type="spellEnd"/>
            <w:r w:rsidRPr="005B6C3A">
              <w:rPr>
                <w:sz w:val="18"/>
              </w:rPr>
              <w:t xml:space="preserve">, a.s., ÚJV Řež, a.s., VÚTS, a.s., </w:t>
            </w:r>
            <w:proofErr w:type="spellStart"/>
            <w:r w:rsidRPr="005B6C3A">
              <w:rPr>
                <w:sz w:val="18"/>
              </w:rPr>
              <w:t>Hutchinson</w:t>
            </w:r>
            <w:proofErr w:type="spellEnd"/>
            <w:r w:rsidRPr="005B6C3A">
              <w:rPr>
                <w:sz w:val="18"/>
              </w:rPr>
              <w:t xml:space="preserve">, s.r.o., </w:t>
            </w:r>
            <w:proofErr w:type="spellStart"/>
            <w:r w:rsidRPr="005B6C3A">
              <w:rPr>
                <w:sz w:val="18"/>
              </w:rPr>
              <w:t>ComAp</w:t>
            </w:r>
            <w:proofErr w:type="spellEnd"/>
            <w:r w:rsidRPr="005B6C3A">
              <w:rPr>
                <w:sz w:val="18"/>
              </w:rPr>
              <w:t xml:space="preserve">, a.s. a </w:t>
            </w:r>
            <w:proofErr w:type="spellStart"/>
            <w:r w:rsidRPr="005B6C3A">
              <w:rPr>
                <w:sz w:val="18"/>
              </w:rPr>
              <w:t>Tebeco</w:t>
            </w:r>
            <w:proofErr w:type="spellEnd"/>
            <w:r w:rsidRPr="005B6C3A">
              <w:rPr>
                <w:sz w:val="18"/>
              </w:rPr>
              <w:t>, s.r.o.</w:t>
            </w:r>
          </w:p>
          <w:p w:rsidR="00D516D2" w:rsidRDefault="005B6C3A" w:rsidP="006C6F54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>C</w:t>
            </w:r>
            <w:r w:rsidRPr="005B6C3A">
              <w:rPr>
                <w:sz w:val="18"/>
              </w:rPr>
              <w:t xml:space="preserve">entrum má desítky </w:t>
            </w:r>
            <w:proofErr w:type="gramStart"/>
            <w:r w:rsidRPr="005B6C3A">
              <w:rPr>
                <w:sz w:val="18"/>
              </w:rPr>
              <w:t>partnerství</w:t>
            </w:r>
            <w:r w:rsidR="006C6F54">
              <w:rPr>
                <w:sz w:val="18"/>
              </w:rPr>
              <w:t xml:space="preserve"> </w:t>
            </w:r>
            <w:r w:rsidRPr="005B6C3A">
              <w:rPr>
                <w:sz w:val="18"/>
              </w:rPr>
              <w:t xml:space="preserve"> s zahraničními</w:t>
            </w:r>
            <w:proofErr w:type="gramEnd"/>
            <w:r w:rsidRPr="005B6C3A">
              <w:rPr>
                <w:sz w:val="18"/>
              </w:rPr>
              <w:t xml:space="preserve"> univerzitami a podniky, např.: University </w:t>
            </w:r>
            <w:proofErr w:type="spellStart"/>
            <w:r w:rsidRPr="005B6C3A">
              <w:rPr>
                <w:sz w:val="18"/>
              </w:rPr>
              <w:t>of</w:t>
            </w:r>
            <w:proofErr w:type="spellEnd"/>
            <w:r w:rsidRPr="005B6C3A">
              <w:rPr>
                <w:sz w:val="18"/>
              </w:rPr>
              <w:t xml:space="preserve"> </w:t>
            </w:r>
            <w:proofErr w:type="spellStart"/>
            <w:proofErr w:type="gramStart"/>
            <w:r w:rsidRPr="005B6C3A">
              <w:rPr>
                <w:sz w:val="18"/>
              </w:rPr>
              <w:t>Bedfordshire</w:t>
            </w:r>
            <w:proofErr w:type="spellEnd"/>
            <w:r w:rsidRPr="005B6C3A">
              <w:rPr>
                <w:sz w:val="18"/>
              </w:rPr>
              <w:t xml:space="preserve"> , University</w:t>
            </w:r>
            <w:proofErr w:type="gramEnd"/>
            <w:r w:rsidRPr="005B6C3A">
              <w:rPr>
                <w:sz w:val="18"/>
              </w:rPr>
              <w:t xml:space="preserve"> </w:t>
            </w:r>
            <w:proofErr w:type="spellStart"/>
            <w:r w:rsidRPr="005B6C3A">
              <w:rPr>
                <w:sz w:val="18"/>
              </w:rPr>
              <w:t>of</w:t>
            </w:r>
            <w:proofErr w:type="spellEnd"/>
            <w:r w:rsidRPr="005B6C3A">
              <w:rPr>
                <w:sz w:val="18"/>
              </w:rPr>
              <w:t xml:space="preserve"> </w:t>
            </w:r>
            <w:proofErr w:type="spellStart"/>
            <w:r w:rsidRPr="005B6C3A">
              <w:rPr>
                <w:sz w:val="18"/>
              </w:rPr>
              <w:t>Maribor</w:t>
            </w:r>
            <w:proofErr w:type="spellEnd"/>
            <w:r w:rsidRPr="005B6C3A">
              <w:rPr>
                <w:sz w:val="18"/>
              </w:rPr>
              <w:t xml:space="preserve">, ETH </w:t>
            </w:r>
            <w:proofErr w:type="spellStart"/>
            <w:r w:rsidRPr="005B6C3A">
              <w:rPr>
                <w:sz w:val="18"/>
              </w:rPr>
              <w:t>Zurich</w:t>
            </w:r>
            <w:proofErr w:type="spellEnd"/>
            <w:r w:rsidRPr="005B6C3A">
              <w:rPr>
                <w:sz w:val="18"/>
              </w:rPr>
              <w:t xml:space="preserve">, Univ. Paris </w:t>
            </w:r>
            <w:proofErr w:type="spellStart"/>
            <w:r w:rsidRPr="005B6C3A">
              <w:rPr>
                <w:sz w:val="18"/>
              </w:rPr>
              <w:t>Est</w:t>
            </w:r>
            <w:proofErr w:type="spellEnd"/>
            <w:r w:rsidRPr="005B6C3A">
              <w:rPr>
                <w:sz w:val="18"/>
              </w:rPr>
              <w:t xml:space="preserve">, </w:t>
            </w:r>
            <w:proofErr w:type="spellStart"/>
            <w:r w:rsidRPr="005B6C3A">
              <w:rPr>
                <w:sz w:val="18"/>
              </w:rPr>
              <w:t>Fraunhofer</w:t>
            </w:r>
            <w:proofErr w:type="spellEnd"/>
            <w:r w:rsidRPr="005B6C3A">
              <w:rPr>
                <w:sz w:val="18"/>
              </w:rPr>
              <w:t xml:space="preserve"> </w:t>
            </w:r>
            <w:proofErr w:type="gramStart"/>
            <w:r w:rsidRPr="005B6C3A">
              <w:rPr>
                <w:sz w:val="18"/>
              </w:rPr>
              <w:t>Institut  Braunschweig</w:t>
            </w:r>
            <w:proofErr w:type="gramEnd"/>
            <w:r w:rsidRPr="005B6C3A">
              <w:rPr>
                <w:sz w:val="18"/>
              </w:rPr>
              <w:t xml:space="preserve">, </w:t>
            </w:r>
            <w:proofErr w:type="spellStart"/>
            <w:r w:rsidRPr="005B6C3A">
              <w:rPr>
                <w:sz w:val="18"/>
              </w:rPr>
              <w:t>Forschungszentrum</w:t>
            </w:r>
            <w:proofErr w:type="spellEnd"/>
            <w:r w:rsidRPr="005B6C3A">
              <w:rPr>
                <w:sz w:val="18"/>
              </w:rPr>
              <w:t xml:space="preserve"> Karlsruhe </w:t>
            </w:r>
            <w:proofErr w:type="spellStart"/>
            <w:r w:rsidRPr="005B6C3A">
              <w:rPr>
                <w:sz w:val="18"/>
              </w:rPr>
              <w:t>GmbH</w:t>
            </w:r>
            <w:proofErr w:type="spellEnd"/>
            <w:r w:rsidRPr="005B6C3A">
              <w:rPr>
                <w:sz w:val="18"/>
              </w:rPr>
              <w:t xml:space="preserve">, </w:t>
            </w:r>
            <w:proofErr w:type="spellStart"/>
            <w:r w:rsidRPr="005B6C3A">
              <w:rPr>
                <w:sz w:val="18"/>
              </w:rPr>
              <w:t>Universitaet</w:t>
            </w:r>
            <w:proofErr w:type="spellEnd"/>
            <w:r w:rsidRPr="005B6C3A">
              <w:rPr>
                <w:sz w:val="18"/>
              </w:rPr>
              <w:t xml:space="preserve"> Rostock, RWTH </w:t>
            </w:r>
            <w:proofErr w:type="spellStart"/>
            <w:r w:rsidRPr="005B6C3A">
              <w:rPr>
                <w:sz w:val="18"/>
              </w:rPr>
              <w:t>Aachen</w:t>
            </w:r>
            <w:proofErr w:type="spellEnd"/>
            <w:r w:rsidRPr="005B6C3A">
              <w:rPr>
                <w:sz w:val="18"/>
              </w:rPr>
              <w:t xml:space="preserve"> a průmyslové partnery:  ZF </w:t>
            </w:r>
            <w:proofErr w:type="spellStart"/>
            <w:r w:rsidRPr="005B6C3A">
              <w:rPr>
                <w:sz w:val="18"/>
              </w:rPr>
              <w:t>Friedrichshafen</w:t>
            </w:r>
            <w:proofErr w:type="spellEnd"/>
            <w:r w:rsidRPr="005B6C3A">
              <w:rPr>
                <w:sz w:val="18"/>
              </w:rPr>
              <w:t xml:space="preserve"> AG, ARVA NP </w:t>
            </w:r>
            <w:proofErr w:type="spellStart"/>
            <w:r w:rsidRPr="005B6C3A">
              <w:rPr>
                <w:sz w:val="18"/>
              </w:rPr>
              <w:t>GmbH</w:t>
            </w:r>
            <w:proofErr w:type="spellEnd"/>
            <w:r w:rsidRPr="005B6C3A">
              <w:rPr>
                <w:sz w:val="18"/>
              </w:rPr>
              <w:t>, VW AG</w:t>
            </w:r>
          </w:p>
          <w:p w:rsidR="00D516D2" w:rsidRDefault="00D516D2" w:rsidP="006C6F54">
            <w:pPr>
              <w:spacing w:after="0" w:line="240" w:lineRule="atLeast"/>
              <w:rPr>
                <w:sz w:val="18"/>
              </w:rPr>
            </w:pPr>
          </w:p>
        </w:tc>
      </w:tr>
      <w:tr w:rsidR="00D516D2" w:rsidTr="00F74C5F">
        <w:tc>
          <w:tcPr>
            <w:tcW w:w="2298" w:type="dxa"/>
          </w:tcPr>
          <w:p w:rsidR="00D516D2" w:rsidRDefault="00D516D2" w:rsidP="006C6F54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Zařazení projektu do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rizikové skupiny z hlediska udržitelnosti</w:t>
            </w:r>
          </w:p>
        </w:tc>
        <w:tc>
          <w:tcPr>
            <w:tcW w:w="7152" w:type="dxa"/>
            <w:gridSpan w:val="5"/>
          </w:tcPr>
          <w:p w:rsidR="006C6F54" w:rsidRDefault="006C6F54" w:rsidP="006C6F54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lastRenderedPageBreak/>
              <w:t>A</w:t>
            </w:r>
            <w:r>
              <w:rPr>
                <w:sz w:val="18"/>
              </w:rPr>
              <w:t xml:space="preserve"> Standardně </w:t>
            </w:r>
            <w:proofErr w:type="gramStart"/>
            <w:r>
              <w:rPr>
                <w:sz w:val="18"/>
              </w:rPr>
              <w:t>spolupracuje  přibližně</w:t>
            </w:r>
            <w:proofErr w:type="gramEnd"/>
            <w:r>
              <w:rPr>
                <w:sz w:val="18"/>
              </w:rPr>
              <w:t xml:space="preserve"> se stovkou průmyslových partnerů. Mezi nejvýznamnější </w:t>
            </w:r>
            <w:r>
              <w:rPr>
                <w:sz w:val="18"/>
              </w:rPr>
              <w:lastRenderedPageBreak/>
              <w:t xml:space="preserve">partnery </w:t>
            </w:r>
            <w:proofErr w:type="gramStart"/>
            <w:r>
              <w:rPr>
                <w:sz w:val="18"/>
              </w:rPr>
              <w:t>patří  ČEZ</w:t>
            </w:r>
            <w:proofErr w:type="gramEnd"/>
            <w:r>
              <w:rPr>
                <w:sz w:val="18"/>
              </w:rPr>
              <w:t xml:space="preserve"> a.s., Škoda AUTO a.s., </w:t>
            </w:r>
            <w:proofErr w:type="spellStart"/>
            <w:r>
              <w:rPr>
                <w:sz w:val="18"/>
              </w:rPr>
              <w:t>Aircraft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Industries</w:t>
            </w:r>
            <w:proofErr w:type="spellEnd"/>
            <w:r>
              <w:rPr>
                <w:sz w:val="18"/>
              </w:rPr>
              <w:t xml:space="preserve">, Jihlavan </w:t>
            </w:r>
            <w:proofErr w:type="spellStart"/>
            <w:r>
              <w:rPr>
                <w:sz w:val="18"/>
              </w:rPr>
              <w:t>Aeroplanes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Honeywell</w:t>
            </w:r>
            <w:proofErr w:type="spellEnd"/>
            <w:r>
              <w:rPr>
                <w:sz w:val="18"/>
              </w:rPr>
              <w:t xml:space="preserve"> s.r.o., TATRA, První brněnská strojírna Velká Bíteš, a.s., VUCHZ a.s. a mnoho dalších.</w:t>
            </w:r>
          </w:p>
          <w:p w:rsidR="00D516D2" w:rsidRDefault="00D516D2" w:rsidP="006C6F54">
            <w:pPr>
              <w:spacing w:after="0" w:line="240" w:lineRule="atLeast"/>
              <w:rPr>
                <w:sz w:val="18"/>
              </w:rPr>
            </w:pPr>
          </w:p>
        </w:tc>
      </w:tr>
      <w:tr w:rsidR="00D516D2" w:rsidTr="00F74C5F">
        <w:tc>
          <w:tcPr>
            <w:tcW w:w="2298" w:type="dxa"/>
          </w:tcPr>
          <w:p w:rsidR="00D516D2" w:rsidRDefault="00D516D2" w:rsidP="006C6F54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Poznámka</w:t>
            </w:r>
          </w:p>
        </w:tc>
        <w:tc>
          <w:tcPr>
            <w:tcW w:w="7152" w:type="dxa"/>
            <w:gridSpan w:val="5"/>
          </w:tcPr>
          <w:p w:rsidR="00D516D2" w:rsidRDefault="00D516D2" w:rsidP="006C6F54">
            <w:pPr>
              <w:spacing w:after="0" w:line="240" w:lineRule="atLeast"/>
              <w:rPr>
                <w:sz w:val="18"/>
              </w:rPr>
            </w:pPr>
          </w:p>
        </w:tc>
      </w:tr>
      <w:bookmarkEnd w:id="0"/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BB5259"/>
    <w:multiLevelType w:val="hybridMultilevel"/>
    <w:tmpl w:val="5B380D26"/>
    <w:lvl w:ilvl="0" w:tplc="9822B4DE">
      <w:start w:val="1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3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2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04313"/>
    <w:rsid w:val="00030180"/>
    <w:rsid w:val="0004245B"/>
    <w:rsid w:val="0005178F"/>
    <w:rsid w:val="000A313C"/>
    <w:rsid w:val="000A69DE"/>
    <w:rsid w:val="000B396F"/>
    <w:rsid w:val="000B7BB7"/>
    <w:rsid w:val="000F0945"/>
    <w:rsid w:val="000F6C5B"/>
    <w:rsid w:val="0010270A"/>
    <w:rsid w:val="0010686A"/>
    <w:rsid w:val="00131320"/>
    <w:rsid w:val="00131F83"/>
    <w:rsid w:val="00136546"/>
    <w:rsid w:val="0018459D"/>
    <w:rsid w:val="001845D5"/>
    <w:rsid w:val="001878D5"/>
    <w:rsid w:val="001B09DB"/>
    <w:rsid w:val="001B2134"/>
    <w:rsid w:val="00235AE1"/>
    <w:rsid w:val="00280897"/>
    <w:rsid w:val="002A102B"/>
    <w:rsid w:val="002B4A3E"/>
    <w:rsid w:val="002B5137"/>
    <w:rsid w:val="002C69A4"/>
    <w:rsid w:val="00431B1E"/>
    <w:rsid w:val="00493B85"/>
    <w:rsid w:val="004C4832"/>
    <w:rsid w:val="004D6F6B"/>
    <w:rsid w:val="004E4E98"/>
    <w:rsid w:val="00500997"/>
    <w:rsid w:val="0052281E"/>
    <w:rsid w:val="00524B48"/>
    <w:rsid w:val="00526313"/>
    <w:rsid w:val="00595603"/>
    <w:rsid w:val="005B4E4C"/>
    <w:rsid w:val="005B6C3A"/>
    <w:rsid w:val="005D613D"/>
    <w:rsid w:val="005F27AE"/>
    <w:rsid w:val="00613D85"/>
    <w:rsid w:val="006438DD"/>
    <w:rsid w:val="006457EA"/>
    <w:rsid w:val="00655650"/>
    <w:rsid w:val="00662BD3"/>
    <w:rsid w:val="00686EA8"/>
    <w:rsid w:val="006C09BC"/>
    <w:rsid w:val="006C6F54"/>
    <w:rsid w:val="007011BD"/>
    <w:rsid w:val="00737A93"/>
    <w:rsid w:val="00742563"/>
    <w:rsid w:val="00774A9C"/>
    <w:rsid w:val="007A62D7"/>
    <w:rsid w:val="007E5BE2"/>
    <w:rsid w:val="0081225A"/>
    <w:rsid w:val="0081392A"/>
    <w:rsid w:val="008146D9"/>
    <w:rsid w:val="008353DD"/>
    <w:rsid w:val="0086653E"/>
    <w:rsid w:val="00880F9A"/>
    <w:rsid w:val="0088756E"/>
    <w:rsid w:val="0091586E"/>
    <w:rsid w:val="00930861"/>
    <w:rsid w:val="009360DE"/>
    <w:rsid w:val="009372B3"/>
    <w:rsid w:val="00953BF2"/>
    <w:rsid w:val="0097117E"/>
    <w:rsid w:val="009E437E"/>
    <w:rsid w:val="00A0019C"/>
    <w:rsid w:val="00A05002"/>
    <w:rsid w:val="00A431A3"/>
    <w:rsid w:val="00A74241"/>
    <w:rsid w:val="00A7545D"/>
    <w:rsid w:val="00A873EC"/>
    <w:rsid w:val="00AA442B"/>
    <w:rsid w:val="00AB607C"/>
    <w:rsid w:val="00AD65D3"/>
    <w:rsid w:val="00AE6DF8"/>
    <w:rsid w:val="00AE72C5"/>
    <w:rsid w:val="00AF6EBB"/>
    <w:rsid w:val="00B07516"/>
    <w:rsid w:val="00B31B5B"/>
    <w:rsid w:val="00B43A65"/>
    <w:rsid w:val="00B559AA"/>
    <w:rsid w:val="00B81E33"/>
    <w:rsid w:val="00BA62C2"/>
    <w:rsid w:val="00BD1371"/>
    <w:rsid w:val="00C217DD"/>
    <w:rsid w:val="00C25669"/>
    <w:rsid w:val="00C43F6D"/>
    <w:rsid w:val="00C56390"/>
    <w:rsid w:val="00C92258"/>
    <w:rsid w:val="00C96993"/>
    <w:rsid w:val="00CC6243"/>
    <w:rsid w:val="00D03FD2"/>
    <w:rsid w:val="00D2753C"/>
    <w:rsid w:val="00D516D2"/>
    <w:rsid w:val="00DA6654"/>
    <w:rsid w:val="00DA7033"/>
    <w:rsid w:val="00DD26D3"/>
    <w:rsid w:val="00DE593C"/>
    <w:rsid w:val="00E05352"/>
    <w:rsid w:val="00E20092"/>
    <w:rsid w:val="00E43C3D"/>
    <w:rsid w:val="00E70C5A"/>
    <w:rsid w:val="00E71CB7"/>
    <w:rsid w:val="00E80C66"/>
    <w:rsid w:val="00EA6A25"/>
    <w:rsid w:val="00EC3BBE"/>
    <w:rsid w:val="00EE2A12"/>
    <w:rsid w:val="00F0067F"/>
    <w:rsid w:val="00F31F0D"/>
    <w:rsid w:val="00F34368"/>
    <w:rsid w:val="00F360E1"/>
    <w:rsid w:val="00F6427C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3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038DB-5645-4835-87BE-CEA58A22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1455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2015-03-20T11:12:00Z</dcterms:created>
  <dcterms:modified xsi:type="dcterms:W3CDTF">2015-03-20T11:12:00Z</dcterms:modified>
</cp:coreProperties>
</file>