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Ind w:w="-318" w:type="dxa"/>
        <w:tblLook w:val="04A0" w:firstRow="1" w:lastRow="0" w:firstColumn="1" w:lastColumn="0" w:noHBand="0" w:noVBand="1"/>
      </w:tblPr>
      <w:tblGrid>
        <w:gridCol w:w="2298"/>
        <w:gridCol w:w="538"/>
        <w:gridCol w:w="2934"/>
        <w:gridCol w:w="373"/>
        <w:gridCol w:w="761"/>
        <w:gridCol w:w="2546"/>
      </w:tblGrid>
      <w:tr w:rsidR="00AE72C5" w:rsidTr="00F74C5F">
        <w:trPr>
          <w:trHeight w:val="558"/>
        </w:trPr>
        <w:tc>
          <w:tcPr>
            <w:tcW w:w="9450" w:type="dxa"/>
            <w:gridSpan w:val="6"/>
            <w:shd w:val="clear" w:color="auto" w:fill="D9D9D9" w:themeFill="background1" w:themeFillShade="D9"/>
          </w:tcPr>
          <w:p w:rsidR="00AE72C5" w:rsidRPr="003D1E91" w:rsidRDefault="00AE72C5" w:rsidP="00AE72C5">
            <w:pPr>
              <w:pStyle w:val="Nzev"/>
              <w:jc w:val="center"/>
              <w:rPr>
                <w:rFonts w:asciiTheme="minorHAnsi" w:hAnsiTheme="minorHAnsi" w:cstheme="minorHAnsi"/>
                <w:b/>
                <w:sz w:val="44"/>
              </w:rPr>
            </w:pPr>
            <w:r w:rsidRPr="003D1E91">
              <w:rPr>
                <w:rFonts w:asciiTheme="minorHAnsi" w:hAnsiTheme="minorHAnsi" w:cstheme="minorHAnsi"/>
                <w:b/>
                <w:sz w:val="44"/>
              </w:rPr>
              <w:t>Karta výzkumného centra</w:t>
            </w:r>
          </w:p>
          <w:p w:rsidR="00AE72C5" w:rsidRPr="003D1E91" w:rsidRDefault="00AE72C5" w:rsidP="00AE72C5">
            <w:pPr>
              <w:spacing w:after="0"/>
              <w:jc w:val="center"/>
              <w:rPr>
                <w:rFonts w:asciiTheme="minorHAnsi" w:hAnsiTheme="minorHAnsi" w:cstheme="minorHAnsi"/>
              </w:rPr>
            </w:pPr>
            <w:r w:rsidRPr="003D1E91">
              <w:rPr>
                <w:rFonts w:asciiTheme="minorHAnsi" w:hAnsiTheme="minorHAnsi" w:cstheme="minorHAnsi"/>
              </w:rPr>
              <w:t>financovaného z </w:t>
            </w:r>
            <w:r w:rsidR="00E71CB7" w:rsidRPr="003D1E91">
              <w:rPr>
                <w:rFonts w:asciiTheme="minorHAnsi" w:hAnsiTheme="minorHAnsi" w:cstheme="minorHAnsi"/>
              </w:rPr>
              <w:t>O</w:t>
            </w:r>
            <w:r w:rsidRPr="003D1E91">
              <w:rPr>
                <w:rFonts w:asciiTheme="minorHAnsi" w:hAnsiTheme="minorHAnsi" w:cstheme="minorHAnsi"/>
              </w:rPr>
              <w:t xml:space="preserve">peračního programu </w:t>
            </w:r>
            <w:r w:rsidR="00E71CB7" w:rsidRPr="003D1E91">
              <w:rPr>
                <w:rFonts w:asciiTheme="minorHAnsi" w:hAnsiTheme="minorHAnsi" w:cstheme="minorHAnsi"/>
              </w:rPr>
              <w:t>V</w:t>
            </w:r>
            <w:r w:rsidRPr="003D1E91">
              <w:rPr>
                <w:rFonts w:asciiTheme="minorHAnsi" w:hAnsiTheme="minorHAnsi" w:cstheme="minorHAnsi"/>
              </w:rPr>
              <w:t>ýzkum a vývoj pro inovace (OP VaVpI)</w:t>
            </w:r>
          </w:p>
        </w:tc>
      </w:tr>
      <w:tr w:rsidR="0052281E" w:rsidTr="00F74C5F">
        <w:trPr>
          <w:trHeight w:val="277"/>
        </w:trPr>
        <w:tc>
          <w:tcPr>
            <w:tcW w:w="9450" w:type="dxa"/>
            <w:gridSpan w:val="6"/>
            <w:shd w:val="clear" w:color="auto" w:fill="595959" w:themeFill="text1" w:themeFillTint="A6"/>
          </w:tcPr>
          <w:p w:rsidR="0052281E" w:rsidRPr="003D1E91" w:rsidRDefault="0052281E" w:rsidP="0052281E">
            <w:pPr>
              <w:spacing w:before="60" w:after="60" w:line="240" w:lineRule="auto"/>
              <w:jc w:val="center"/>
              <w:rPr>
                <w:rFonts w:asciiTheme="minorHAnsi" w:hAnsiTheme="minorHAnsi" w:cstheme="minorHAnsi"/>
                <w:b/>
              </w:rPr>
            </w:pPr>
            <w:r w:rsidRPr="003D1E91">
              <w:rPr>
                <w:rFonts w:asciiTheme="minorHAnsi" w:hAnsiTheme="minorHAnsi" w:cstheme="minorHAnsi"/>
                <w:b/>
                <w:color w:val="FFFFFF" w:themeColor="background1"/>
                <w:sz w:val="22"/>
              </w:rPr>
              <w:t>Faktografické údaje</w:t>
            </w:r>
          </w:p>
        </w:tc>
      </w:tr>
      <w:tr w:rsidR="00AE72C5" w:rsidTr="00F74C5F">
        <w:trPr>
          <w:trHeight w:val="277"/>
        </w:trPr>
        <w:tc>
          <w:tcPr>
            <w:tcW w:w="2836" w:type="dxa"/>
            <w:gridSpan w:val="2"/>
          </w:tcPr>
          <w:p w:rsidR="00AE72C5" w:rsidRPr="00E4455A" w:rsidRDefault="00E71CB7"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Název projektu</w:t>
            </w:r>
          </w:p>
        </w:tc>
        <w:tc>
          <w:tcPr>
            <w:tcW w:w="6614" w:type="dxa"/>
            <w:gridSpan w:val="4"/>
          </w:tcPr>
          <w:p w:rsidR="00AE72C5" w:rsidRPr="00E4455A" w:rsidRDefault="00893165" w:rsidP="0052281E">
            <w:pPr>
              <w:spacing w:before="120" w:after="60" w:line="240" w:lineRule="auto"/>
              <w:rPr>
                <w:rFonts w:asciiTheme="minorHAnsi" w:hAnsiTheme="minorHAnsi" w:cstheme="minorHAnsi"/>
                <w:sz w:val="18"/>
                <w:szCs w:val="18"/>
              </w:rPr>
            </w:pPr>
            <w:r w:rsidRPr="00893165">
              <w:rPr>
                <w:rFonts w:asciiTheme="minorHAnsi" w:hAnsiTheme="minorHAnsi" w:cstheme="minorHAnsi"/>
                <w:sz w:val="18"/>
                <w:szCs w:val="18"/>
              </w:rPr>
              <w:t>CzechGlobe – Centrum pro studium dopadů globální změny klimatu</w:t>
            </w:r>
          </w:p>
        </w:tc>
      </w:tr>
      <w:tr w:rsidR="00E71CB7" w:rsidTr="00F74C5F">
        <w:trPr>
          <w:trHeight w:val="277"/>
        </w:trPr>
        <w:tc>
          <w:tcPr>
            <w:tcW w:w="2836" w:type="dxa"/>
            <w:gridSpan w:val="2"/>
          </w:tcPr>
          <w:p w:rsidR="00E71CB7" w:rsidRPr="00E4455A" w:rsidRDefault="00E71CB7"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Název příjemce</w:t>
            </w:r>
          </w:p>
        </w:tc>
        <w:tc>
          <w:tcPr>
            <w:tcW w:w="6614" w:type="dxa"/>
            <w:gridSpan w:val="4"/>
          </w:tcPr>
          <w:p w:rsidR="00E71CB7" w:rsidRPr="00E4455A" w:rsidRDefault="00893165" w:rsidP="0052281E">
            <w:pPr>
              <w:spacing w:before="120" w:after="60" w:line="240" w:lineRule="auto"/>
              <w:rPr>
                <w:rFonts w:asciiTheme="minorHAnsi" w:hAnsiTheme="minorHAnsi" w:cstheme="minorHAnsi"/>
                <w:sz w:val="18"/>
                <w:szCs w:val="18"/>
              </w:rPr>
            </w:pPr>
            <w:r w:rsidRPr="00893165">
              <w:rPr>
                <w:rFonts w:asciiTheme="minorHAnsi" w:hAnsiTheme="minorHAnsi" w:cstheme="minorHAnsi"/>
                <w:sz w:val="18"/>
                <w:szCs w:val="18"/>
              </w:rPr>
              <w:t>Centrum výzkumu globální změny AV CR, v.v.i.</w:t>
            </w:r>
          </w:p>
        </w:tc>
      </w:tr>
      <w:tr w:rsidR="00E71CB7" w:rsidTr="00F74C5F">
        <w:trPr>
          <w:trHeight w:val="277"/>
        </w:trPr>
        <w:tc>
          <w:tcPr>
            <w:tcW w:w="2836" w:type="dxa"/>
            <w:gridSpan w:val="2"/>
          </w:tcPr>
          <w:p w:rsidR="00E71CB7" w:rsidRPr="00E4455A" w:rsidRDefault="00E71CB7"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 xml:space="preserve"> Registrační číslo </w:t>
            </w:r>
            <w:r w:rsidR="00F74C5F" w:rsidRPr="00E4455A">
              <w:rPr>
                <w:rFonts w:asciiTheme="minorHAnsi" w:hAnsiTheme="minorHAnsi" w:cstheme="minorHAnsi"/>
                <w:b/>
                <w:sz w:val="22"/>
              </w:rPr>
              <w:t>p</w:t>
            </w:r>
            <w:r w:rsidRPr="00E4455A">
              <w:rPr>
                <w:rFonts w:asciiTheme="minorHAnsi" w:hAnsiTheme="minorHAnsi" w:cstheme="minorHAnsi"/>
                <w:b/>
                <w:sz w:val="22"/>
              </w:rPr>
              <w:t>rojektu</w:t>
            </w:r>
          </w:p>
        </w:tc>
        <w:tc>
          <w:tcPr>
            <w:tcW w:w="6614" w:type="dxa"/>
            <w:gridSpan w:val="4"/>
          </w:tcPr>
          <w:p w:rsidR="00E71CB7" w:rsidRPr="00E4455A" w:rsidRDefault="00893165" w:rsidP="0052281E">
            <w:pPr>
              <w:spacing w:before="120" w:after="60" w:line="240" w:lineRule="auto"/>
              <w:rPr>
                <w:rFonts w:asciiTheme="minorHAnsi" w:hAnsiTheme="minorHAnsi" w:cstheme="minorHAnsi"/>
                <w:sz w:val="18"/>
                <w:szCs w:val="18"/>
              </w:rPr>
            </w:pPr>
            <w:r w:rsidRPr="00893165">
              <w:rPr>
                <w:rFonts w:asciiTheme="minorHAnsi" w:hAnsiTheme="minorHAnsi" w:cstheme="minorHAnsi"/>
                <w:sz w:val="18"/>
                <w:szCs w:val="18"/>
              </w:rPr>
              <w:t>CZ.1.05/1.1.00/02.0073</w:t>
            </w:r>
          </w:p>
        </w:tc>
      </w:tr>
      <w:tr w:rsidR="00F74C5F" w:rsidTr="00F74C5F">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Sídlo příjemce</w:t>
            </w:r>
          </w:p>
        </w:tc>
        <w:tc>
          <w:tcPr>
            <w:tcW w:w="6614" w:type="dxa"/>
            <w:gridSpan w:val="4"/>
          </w:tcPr>
          <w:p w:rsidR="00F74C5F" w:rsidRPr="00E4455A" w:rsidRDefault="00893165" w:rsidP="0052281E">
            <w:pPr>
              <w:spacing w:before="120" w:after="60" w:line="240" w:lineRule="auto"/>
              <w:rPr>
                <w:rFonts w:asciiTheme="minorHAnsi" w:hAnsiTheme="minorHAnsi" w:cstheme="minorHAnsi"/>
                <w:sz w:val="18"/>
                <w:szCs w:val="18"/>
              </w:rPr>
            </w:pPr>
            <w:r w:rsidRPr="00893165">
              <w:rPr>
                <w:rFonts w:asciiTheme="minorHAnsi" w:hAnsiTheme="minorHAnsi" w:cstheme="minorHAnsi"/>
                <w:sz w:val="18"/>
                <w:szCs w:val="18"/>
              </w:rPr>
              <w:t>Bělidla 986/4a, 603 00 Brno</w:t>
            </w:r>
          </w:p>
        </w:tc>
      </w:tr>
      <w:tr w:rsidR="00F74C5F" w:rsidTr="00F74C5F">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Číslo a název výzvy</w:t>
            </w:r>
          </w:p>
        </w:tc>
        <w:tc>
          <w:tcPr>
            <w:tcW w:w="6614" w:type="dxa"/>
            <w:gridSpan w:val="4"/>
          </w:tcPr>
          <w:p w:rsidR="00F74C5F" w:rsidRPr="00E4455A" w:rsidRDefault="004D55FA" w:rsidP="0052281E">
            <w:pPr>
              <w:spacing w:before="120" w:after="60" w:line="240" w:lineRule="auto"/>
              <w:rPr>
                <w:rFonts w:asciiTheme="minorHAnsi" w:hAnsiTheme="minorHAnsi" w:cstheme="minorHAnsi"/>
                <w:sz w:val="18"/>
                <w:szCs w:val="18"/>
              </w:rPr>
            </w:pPr>
            <w:r w:rsidRPr="004D55FA">
              <w:rPr>
                <w:rFonts w:asciiTheme="minorHAnsi" w:hAnsiTheme="minorHAnsi" w:cstheme="minorHAnsi"/>
                <w:sz w:val="18"/>
                <w:szCs w:val="18"/>
              </w:rPr>
              <w:t>02 Výzva č. 1.1_Evropská centra excelence</w:t>
            </w:r>
          </w:p>
        </w:tc>
      </w:tr>
      <w:tr w:rsidR="00F74C5F" w:rsidTr="00F74C5F">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Datum podpisu Rozhodnutí</w:t>
            </w:r>
          </w:p>
        </w:tc>
        <w:tc>
          <w:tcPr>
            <w:tcW w:w="6614" w:type="dxa"/>
            <w:gridSpan w:val="4"/>
          </w:tcPr>
          <w:p w:rsidR="00F74C5F" w:rsidRPr="00E4455A" w:rsidRDefault="00DF1BB6" w:rsidP="0052281E">
            <w:pPr>
              <w:spacing w:before="120" w:after="60" w:line="240" w:lineRule="auto"/>
              <w:rPr>
                <w:rFonts w:asciiTheme="minorHAnsi" w:hAnsiTheme="minorHAnsi" w:cstheme="minorHAnsi"/>
                <w:sz w:val="18"/>
                <w:szCs w:val="18"/>
              </w:rPr>
            </w:pPr>
            <w:r>
              <w:rPr>
                <w:rFonts w:asciiTheme="minorHAnsi" w:hAnsiTheme="minorHAnsi" w:cstheme="minorHAnsi"/>
                <w:sz w:val="18"/>
                <w:szCs w:val="18"/>
              </w:rPr>
              <w:t>29. 11. 2010</w:t>
            </w:r>
          </w:p>
        </w:tc>
      </w:tr>
      <w:tr w:rsidR="00F74C5F" w:rsidTr="00F74C5F">
        <w:trPr>
          <w:trHeight w:val="623"/>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Období realizace projektu</w:t>
            </w:r>
          </w:p>
        </w:tc>
        <w:tc>
          <w:tcPr>
            <w:tcW w:w="3307" w:type="dxa"/>
            <w:gridSpan w:val="2"/>
          </w:tcPr>
          <w:p w:rsidR="00E20092" w:rsidRPr="00E4455A" w:rsidRDefault="00E20092" w:rsidP="00526313">
            <w:pPr>
              <w:spacing w:before="120" w:after="60" w:line="240" w:lineRule="auto"/>
              <w:contextualSpacing/>
              <w:rPr>
                <w:rFonts w:asciiTheme="minorHAnsi" w:hAnsiTheme="minorHAnsi" w:cstheme="minorHAnsi"/>
                <w:sz w:val="18"/>
                <w:szCs w:val="18"/>
              </w:rPr>
            </w:pPr>
          </w:p>
          <w:p w:rsidR="00F74C5F" w:rsidRPr="00E4455A" w:rsidRDefault="00F74C5F" w:rsidP="00526313">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 xml:space="preserve">Datum zahájení </w:t>
            </w:r>
          </w:p>
          <w:p w:rsidR="00F74C5F" w:rsidRPr="00E4455A" w:rsidRDefault="00F74C5F" w:rsidP="00526313">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realizace projektu:</w:t>
            </w:r>
            <w:r w:rsidR="008D79F4">
              <w:rPr>
                <w:rFonts w:asciiTheme="minorHAnsi" w:hAnsiTheme="minorHAnsi" w:cstheme="minorHAnsi"/>
                <w:sz w:val="18"/>
                <w:szCs w:val="18"/>
              </w:rPr>
              <w:t xml:space="preserve"> </w:t>
            </w:r>
            <w:r w:rsidR="008D79F4" w:rsidRPr="008D79F4">
              <w:rPr>
                <w:rFonts w:asciiTheme="minorHAnsi" w:hAnsiTheme="minorHAnsi" w:cstheme="minorHAnsi"/>
                <w:sz w:val="18"/>
                <w:szCs w:val="18"/>
              </w:rPr>
              <w:t>01.</w:t>
            </w:r>
            <w:r w:rsidR="008D79F4">
              <w:rPr>
                <w:rFonts w:asciiTheme="minorHAnsi" w:hAnsiTheme="minorHAnsi" w:cstheme="minorHAnsi"/>
                <w:sz w:val="18"/>
                <w:szCs w:val="18"/>
              </w:rPr>
              <w:t xml:space="preserve"> </w:t>
            </w:r>
            <w:r w:rsidR="008D79F4" w:rsidRPr="008D79F4">
              <w:rPr>
                <w:rFonts w:asciiTheme="minorHAnsi" w:hAnsiTheme="minorHAnsi" w:cstheme="minorHAnsi"/>
                <w:sz w:val="18"/>
                <w:szCs w:val="18"/>
              </w:rPr>
              <w:t>12.</w:t>
            </w:r>
            <w:r w:rsidR="008D79F4">
              <w:rPr>
                <w:rFonts w:asciiTheme="minorHAnsi" w:hAnsiTheme="minorHAnsi" w:cstheme="minorHAnsi"/>
                <w:sz w:val="18"/>
                <w:szCs w:val="18"/>
              </w:rPr>
              <w:t xml:space="preserve"> </w:t>
            </w:r>
            <w:r w:rsidR="008D79F4" w:rsidRPr="008D79F4">
              <w:rPr>
                <w:rFonts w:asciiTheme="minorHAnsi" w:hAnsiTheme="minorHAnsi" w:cstheme="minorHAnsi"/>
                <w:sz w:val="18"/>
                <w:szCs w:val="18"/>
              </w:rPr>
              <w:t>2010</w:t>
            </w:r>
          </w:p>
          <w:p w:rsidR="00AA442B" w:rsidRPr="00E4455A" w:rsidRDefault="00AA442B" w:rsidP="00526313">
            <w:pPr>
              <w:spacing w:before="120" w:after="60" w:line="240" w:lineRule="auto"/>
              <w:contextualSpacing/>
              <w:rPr>
                <w:rFonts w:asciiTheme="minorHAnsi" w:hAnsiTheme="minorHAnsi" w:cstheme="minorHAnsi"/>
                <w:sz w:val="18"/>
                <w:szCs w:val="18"/>
              </w:rPr>
            </w:pPr>
          </w:p>
        </w:tc>
        <w:tc>
          <w:tcPr>
            <w:tcW w:w="3307" w:type="dxa"/>
            <w:gridSpan w:val="2"/>
          </w:tcPr>
          <w:p w:rsidR="000F0945" w:rsidRPr="00E4455A" w:rsidRDefault="000F0945" w:rsidP="00526313">
            <w:pPr>
              <w:spacing w:before="120" w:after="0" w:line="240" w:lineRule="auto"/>
              <w:contextualSpacing/>
              <w:rPr>
                <w:rFonts w:asciiTheme="minorHAnsi" w:hAnsiTheme="minorHAnsi" w:cstheme="minorHAnsi"/>
                <w:sz w:val="18"/>
                <w:szCs w:val="18"/>
              </w:rPr>
            </w:pPr>
          </w:p>
          <w:p w:rsidR="00F74C5F" w:rsidRPr="00E4455A" w:rsidRDefault="00F74C5F" w:rsidP="00526313">
            <w:pPr>
              <w:spacing w:before="120" w:after="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 xml:space="preserve">Datum ukončení </w:t>
            </w:r>
          </w:p>
          <w:p w:rsidR="00F74C5F" w:rsidRPr="00E4455A" w:rsidRDefault="00F74C5F" w:rsidP="00526313">
            <w:pPr>
              <w:spacing w:before="120" w:after="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realizace projektu</w:t>
            </w:r>
            <w:r w:rsidR="00526313" w:rsidRPr="00E4455A">
              <w:rPr>
                <w:rFonts w:asciiTheme="minorHAnsi" w:hAnsiTheme="minorHAnsi" w:cstheme="minorHAnsi"/>
                <w:sz w:val="18"/>
                <w:szCs w:val="18"/>
              </w:rPr>
              <w:t>:</w:t>
            </w:r>
            <w:r w:rsidR="008D79F4">
              <w:rPr>
                <w:rFonts w:asciiTheme="minorHAnsi" w:hAnsiTheme="minorHAnsi" w:cstheme="minorHAnsi"/>
                <w:sz w:val="18"/>
                <w:szCs w:val="18"/>
              </w:rPr>
              <w:t xml:space="preserve"> 31. 12. 2014</w:t>
            </w:r>
          </w:p>
        </w:tc>
      </w:tr>
      <w:tr w:rsidR="00F74C5F" w:rsidTr="00B04EB5">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Výše podpory</w:t>
            </w:r>
          </w:p>
        </w:tc>
        <w:tc>
          <w:tcPr>
            <w:tcW w:w="3307" w:type="dxa"/>
            <w:gridSpan w:val="2"/>
          </w:tcPr>
          <w:p w:rsidR="00526313" w:rsidRPr="00E4455A" w:rsidRDefault="00526313" w:rsidP="0052281E">
            <w:pPr>
              <w:spacing w:before="120" w:after="60" w:line="240" w:lineRule="auto"/>
              <w:contextualSpacing/>
              <w:rPr>
                <w:rFonts w:asciiTheme="minorHAnsi" w:hAnsiTheme="minorHAnsi" w:cstheme="minorHAnsi"/>
                <w:sz w:val="18"/>
                <w:szCs w:val="18"/>
              </w:rPr>
            </w:pPr>
          </w:p>
          <w:p w:rsidR="00F74C5F" w:rsidRPr="00E4455A" w:rsidRDefault="001057A4" w:rsidP="0052281E">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Celková výše dotace v Kč</w:t>
            </w:r>
          </w:p>
          <w:p w:rsidR="007A62D7" w:rsidRPr="00E4455A" w:rsidRDefault="001057A4" w:rsidP="0052281E">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(částka z RoPD bez snížení):</w:t>
            </w:r>
          </w:p>
        </w:tc>
        <w:tc>
          <w:tcPr>
            <w:tcW w:w="3307" w:type="dxa"/>
            <w:gridSpan w:val="2"/>
          </w:tcPr>
          <w:p w:rsidR="00F34368"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Podíl ze státního rozpočtu v CZK (15 %):</w:t>
            </w:r>
          </w:p>
          <w:p w:rsidR="00F34368" w:rsidRPr="00E4455A" w:rsidRDefault="00F34368" w:rsidP="00F34368">
            <w:pPr>
              <w:spacing w:before="60" w:after="60" w:line="240" w:lineRule="auto"/>
              <w:rPr>
                <w:rFonts w:asciiTheme="minorHAnsi" w:hAnsiTheme="minorHAnsi" w:cstheme="minorHAnsi"/>
                <w:sz w:val="18"/>
                <w:szCs w:val="18"/>
              </w:rPr>
            </w:pPr>
          </w:p>
          <w:p w:rsidR="00F74C5F"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Podíl z EU v  CZK  (85 %):</w:t>
            </w:r>
          </w:p>
          <w:p w:rsidR="00F34368" w:rsidRPr="00E4455A" w:rsidRDefault="00F34368" w:rsidP="00F34368">
            <w:pPr>
              <w:spacing w:before="60" w:after="60" w:line="240" w:lineRule="auto"/>
              <w:rPr>
                <w:rFonts w:asciiTheme="minorHAnsi" w:hAnsiTheme="minorHAnsi" w:cstheme="minorHAnsi"/>
                <w:sz w:val="18"/>
                <w:szCs w:val="18"/>
              </w:rPr>
            </w:pPr>
          </w:p>
        </w:tc>
      </w:tr>
      <w:tr w:rsidR="00F34368" w:rsidTr="00F44BAD">
        <w:trPr>
          <w:trHeight w:val="1191"/>
        </w:trPr>
        <w:tc>
          <w:tcPr>
            <w:tcW w:w="2836" w:type="dxa"/>
            <w:gridSpan w:val="2"/>
          </w:tcPr>
          <w:p w:rsidR="00F34368" w:rsidRPr="00E4455A" w:rsidRDefault="00F34368"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Struktura výdajů</w:t>
            </w:r>
            <w:r w:rsidR="00041A9E" w:rsidRPr="00E4455A">
              <w:rPr>
                <w:rFonts w:asciiTheme="minorHAnsi" w:hAnsiTheme="minorHAnsi" w:cstheme="minorHAnsi"/>
                <w:b/>
                <w:sz w:val="22"/>
              </w:rPr>
              <w:t xml:space="preserve"> </w:t>
            </w:r>
            <w:r w:rsidR="00041A9E" w:rsidRPr="0060312A">
              <w:rPr>
                <w:rFonts w:asciiTheme="minorHAnsi" w:hAnsiTheme="minorHAnsi" w:cstheme="minorHAnsi"/>
                <w:sz w:val="18"/>
                <w:szCs w:val="18"/>
              </w:rPr>
              <w:t>(dle schválených výdajů z RoPD)</w:t>
            </w:r>
          </w:p>
        </w:tc>
        <w:tc>
          <w:tcPr>
            <w:tcW w:w="6614" w:type="dxa"/>
            <w:gridSpan w:val="4"/>
          </w:tcPr>
          <w:p w:rsidR="00F34368" w:rsidRPr="00E4455A" w:rsidRDefault="0018459D"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Stavební část</w:t>
            </w:r>
            <w:r w:rsidR="00041A9E" w:rsidRPr="00E4455A">
              <w:rPr>
                <w:rFonts w:asciiTheme="minorHAnsi" w:hAnsiTheme="minorHAnsi" w:cstheme="minorHAnsi"/>
                <w:sz w:val="18"/>
                <w:szCs w:val="18"/>
              </w:rPr>
              <w:t xml:space="preserve"> (Rekonstrukce, budovy, pozemky)</w:t>
            </w:r>
            <w:r w:rsidRPr="00E4455A">
              <w:rPr>
                <w:rFonts w:asciiTheme="minorHAnsi" w:hAnsiTheme="minorHAnsi" w:cstheme="minorHAnsi"/>
                <w:sz w:val="18"/>
                <w:szCs w:val="18"/>
              </w:rPr>
              <w:t>:</w:t>
            </w:r>
            <w:r w:rsidR="00342A4D">
              <w:rPr>
                <w:rFonts w:asciiTheme="minorHAnsi" w:hAnsiTheme="minorHAnsi" w:cstheme="minorHAnsi"/>
                <w:sz w:val="18"/>
                <w:szCs w:val="18"/>
              </w:rPr>
              <w:t xml:space="preserve"> </w:t>
            </w:r>
          </w:p>
          <w:p w:rsidR="00F34368"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Přístrojové vybavení</w:t>
            </w:r>
            <w:r w:rsidR="0018459D" w:rsidRPr="00E4455A">
              <w:rPr>
                <w:rFonts w:asciiTheme="minorHAnsi" w:hAnsiTheme="minorHAnsi" w:cstheme="minorHAnsi"/>
                <w:sz w:val="18"/>
                <w:szCs w:val="18"/>
              </w:rPr>
              <w:t>:</w:t>
            </w:r>
            <w:r w:rsidR="00342A4D">
              <w:rPr>
                <w:rFonts w:asciiTheme="minorHAnsi" w:hAnsiTheme="minorHAnsi" w:cstheme="minorHAnsi"/>
                <w:sz w:val="18"/>
                <w:szCs w:val="18"/>
              </w:rPr>
              <w:t xml:space="preserve"> </w:t>
            </w:r>
          </w:p>
          <w:p w:rsidR="00F34368"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Mzdové výdaje</w:t>
            </w:r>
            <w:r w:rsidR="0018459D" w:rsidRPr="00E4455A">
              <w:rPr>
                <w:rFonts w:asciiTheme="minorHAnsi" w:hAnsiTheme="minorHAnsi" w:cstheme="minorHAnsi"/>
                <w:sz w:val="18"/>
                <w:szCs w:val="18"/>
              </w:rPr>
              <w:t>:</w:t>
            </w:r>
          </w:p>
          <w:p w:rsidR="00F34368" w:rsidRPr="00E4455A" w:rsidRDefault="00F34368" w:rsidP="00924BF2">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Ostatní</w:t>
            </w:r>
            <w:r w:rsidR="00041A9E" w:rsidRPr="00E4455A">
              <w:rPr>
                <w:rFonts w:asciiTheme="minorHAnsi" w:hAnsiTheme="minorHAnsi" w:cstheme="minorHAnsi"/>
                <w:sz w:val="18"/>
                <w:szCs w:val="18"/>
              </w:rPr>
              <w:t xml:space="preserve"> (spolu s výše </w:t>
            </w:r>
            <w:r w:rsidR="00924BF2" w:rsidRPr="00E4455A">
              <w:rPr>
                <w:rFonts w:asciiTheme="minorHAnsi" w:hAnsiTheme="minorHAnsi" w:cstheme="minorHAnsi"/>
                <w:sz w:val="18"/>
                <w:szCs w:val="18"/>
              </w:rPr>
              <w:t>uvedenými položkami dává celkovou částku</w:t>
            </w:r>
            <w:r w:rsidR="00041A9E" w:rsidRPr="00E4455A">
              <w:rPr>
                <w:rFonts w:asciiTheme="minorHAnsi" w:hAnsiTheme="minorHAnsi" w:cstheme="minorHAnsi"/>
                <w:sz w:val="18"/>
                <w:szCs w:val="18"/>
              </w:rPr>
              <w:t xml:space="preserve"> z RoPD)</w:t>
            </w:r>
            <w:r w:rsidR="0018459D" w:rsidRPr="00E4455A">
              <w:rPr>
                <w:rFonts w:asciiTheme="minorHAnsi" w:hAnsiTheme="minorHAnsi" w:cstheme="minorHAnsi"/>
                <w:sz w:val="18"/>
                <w:szCs w:val="18"/>
              </w:rPr>
              <w:t>:</w:t>
            </w:r>
          </w:p>
        </w:tc>
      </w:tr>
      <w:tr w:rsidR="008353DD" w:rsidTr="008353DD">
        <w:trPr>
          <w:trHeight w:val="1116"/>
        </w:trPr>
        <w:tc>
          <w:tcPr>
            <w:tcW w:w="2836" w:type="dxa"/>
            <w:gridSpan w:val="2"/>
          </w:tcPr>
          <w:p w:rsidR="008353DD" w:rsidRPr="00E4455A" w:rsidRDefault="008353DD" w:rsidP="008353DD">
            <w:pPr>
              <w:spacing w:before="60" w:after="60"/>
              <w:rPr>
                <w:rFonts w:asciiTheme="minorHAnsi" w:hAnsiTheme="minorHAnsi" w:cstheme="minorHAnsi"/>
                <w:b/>
                <w:sz w:val="22"/>
              </w:rPr>
            </w:pPr>
            <w:r w:rsidRPr="00E4455A">
              <w:rPr>
                <w:rFonts w:asciiTheme="minorHAnsi" w:hAnsiTheme="minorHAnsi" w:cstheme="minorHAnsi"/>
                <w:b/>
                <w:sz w:val="22"/>
              </w:rPr>
              <w:t>Stručný popis projektu</w:t>
            </w:r>
          </w:p>
          <w:p w:rsidR="008353DD" w:rsidRPr="0060312A" w:rsidRDefault="008353DD" w:rsidP="008353DD">
            <w:pPr>
              <w:spacing w:before="60" w:after="60" w:line="240" w:lineRule="auto"/>
              <w:rPr>
                <w:rFonts w:asciiTheme="minorHAnsi" w:hAnsiTheme="minorHAnsi" w:cstheme="minorHAnsi"/>
                <w:b/>
                <w:sz w:val="18"/>
                <w:szCs w:val="18"/>
              </w:rPr>
            </w:pPr>
            <w:r w:rsidRPr="0060312A">
              <w:rPr>
                <w:rFonts w:asciiTheme="minorHAnsi" w:hAnsiTheme="minorHAnsi" w:cstheme="minorHAnsi"/>
                <w:sz w:val="18"/>
                <w:szCs w:val="18"/>
              </w:rPr>
              <w:t>(zhruba 250 znaků</w:t>
            </w:r>
            <w:r w:rsidR="00FD3750" w:rsidRPr="0060312A">
              <w:rPr>
                <w:rFonts w:asciiTheme="minorHAnsi" w:hAnsiTheme="minorHAnsi" w:cstheme="minorHAnsi"/>
                <w:sz w:val="18"/>
                <w:szCs w:val="18"/>
              </w:rPr>
              <w:t>)</w:t>
            </w:r>
          </w:p>
        </w:tc>
        <w:tc>
          <w:tcPr>
            <w:tcW w:w="6614" w:type="dxa"/>
            <w:gridSpan w:val="4"/>
          </w:tcPr>
          <w:p w:rsidR="008353DD" w:rsidRPr="00E4455A" w:rsidRDefault="005B7C8F" w:rsidP="005B7C8F">
            <w:pPr>
              <w:spacing w:before="60" w:after="60" w:line="240" w:lineRule="auto"/>
              <w:rPr>
                <w:rFonts w:asciiTheme="minorHAnsi" w:hAnsiTheme="minorHAnsi" w:cstheme="minorHAnsi"/>
                <w:sz w:val="18"/>
                <w:szCs w:val="18"/>
              </w:rPr>
            </w:pPr>
            <w:r w:rsidRPr="005B7C8F">
              <w:rPr>
                <w:rFonts w:asciiTheme="minorHAnsi" w:hAnsiTheme="minorHAnsi" w:cstheme="minorHAnsi"/>
                <w:sz w:val="18"/>
                <w:szCs w:val="18"/>
              </w:rPr>
              <w:t>Projekt CzechGlobe směřuje k vytvoření infrastruktury Centra excelen</w:t>
            </w:r>
            <w:r>
              <w:rPr>
                <w:rFonts w:asciiTheme="minorHAnsi" w:hAnsiTheme="minorHAnsi" w:cstheme="minorHAnsi"/>
                <w:sz w:val="18"/>
                <w:szCs w:val="18"/>
              </w:rPr>
              <w:t xml:space="preserve">ce zaměřeného na studium dopadů </w:t>
            </w:r>
            <w:r w:rsidRPr="005B7C8F">
              <w:rPr>
                <w:rFonts w:asciiTheme="minorHAnsi" w:hAnsiTheme="minorHAnsi" w:cstheme="minorHAnsi"/>
                <w:sz w:val="18"/>
                <w:szCs w:val="18"/>
              </w:rPr>
              <w:t>globální změny klimatu (GZK) na biologické a socio-ekonomické systémy a vychá</w:t>
            </w:r>
            <w:r>
              <w:rPr>
                <w:rFonts w:asciiTheme="minorHAnsi" w:hAnsiTheme="minorHAnsi" w:cstheme="minorHAnsi"/>
                <w:sz w:val="18"/>
                <w:szCs w:val="18"/>
              </w:rPr>
              <w:t xml:space="preserve">zí z dlouholeté tradice výzkumu </w:t>
            </w:r>
            <w:r w:rsidRPr="005B7C8F">
              <w:rPr>
                <w:rFonts w:asciiTheme="minorHAnsi" w:hAnsiTheme="minorHAnsi" w:cstheme="minorHAnsi"/>
                <w:sz w:val="18"/>
                <w:szCs w:val="18"/>
              </w:rPr>
              <w:t>žadatele a z priorit Dlouhodobých základních směrů výzkumu ČR. C</w:t>
            </w:r>
            <w:r>
              <w:rPr>
                <w:rFonts w:asciiTheme="minorHAnsi" w:hAnsiTheme="minorHAnsi" w:cstheme="minorHAnsi"/>
                <w:sz w:val="18"/>
                <w:szCs w:val="18"/>
              </w:rPr>
              <w:t xml:space="preserve">entrum má výraznou souvislost s </w:t>
            </w:r>
            <w:r w:rsidRPr="005B7C8F">
              <w:rPr>
                <w:rFonts w:asciiTheme="minorHAnsi" w:hAnsiTheme="minorHAnsi" w:cstheme="minorHAnsi"/>
                <w:sz w:val="18"/>
                <w:szCs w:val="18"/>
              </w:rPr>
              <w:t>mezinárodními, především Evropskými, výzkumnými aktivitami v rámci ESFRI (p</w:t>
            </w:r>
            <w:r>
              <w:rPr>
                <w:rFonts w:asciiTheme="minorHAnsi" w:hAnsiTheme="minorHAnsi" w:cstheme="minorHAnsi"/>
                <w:sz w:val="18"/>
                <w:szCs w:val="18"/>
              </w:rPr>
              <w:t xml:space="preserve">rojekt ICOS). Koordinační radou </w:t>
            </w:r>
            <w:r w:rsidRPr="005B7C8F">
              <w:rPr>
                <w:rFonts w:asciiTheme="minorHAnsi" w:hAnsiTheme="minorHAnsi" w:cstheme="minorHAnsi"/>
                <w:sz w:val="18"/>
                <w:szCs w:val="18"/>
              </w:rPr>
              <w:t>ICOS je považován za významný středoevropský element sítě ICOS a má p</w:t>
            </w:r>
            <w:r>
              <w:rPr>
                <w:rFonts w:asciiTheme="minorHAnsi" w:hAnsiTheme="minorHAnsi" w:cstheme="minorHAnsi"/>
                <w:sz w:val="18"/>
                <w:szCs w:val="18"/>
              </w:rPr>
              <w:t xml:space="preserve">lnit i funkci training centre a </w:t>
            </w:r>
            <w:r w:rsidRPr="005B7C8F">
              <w:rPr>
                <w:rFonts w:asciiTheme="minorHAnsi" w:hAnsiTheme="minorHAnsi" w:cstheme="minorHAnsi"/>
                <w:sz w:val="18"/>
                <w:szCs w:val="18"/>
              </w:rPr>
              <w:t>koordinátora spolupráce se zeměmi (jiho)východní Evropy. Centrum je prostorově</w:t>
            </w:r>
            <w:r>
              <w:rPr>
                <w:rFonts w:asciiTheme="minorHAnsi" w:hAnsiTheme="minorHAnsi" w:cstheme="minorHAnsi"/>
                <w:sz w:val="18"/>
                <w:szCs w:val="18"/>
              </w:rPr>
              <w:t xml:space="preserve"> distribuovanou infrastrukturou </w:t>
            </w:r>
            <w:r w:rsidRPr="005B7C8F">
              <w:rPr>
                <w:rFonts w:asciiTheme="minorHAnsi" w:hAnsiTheme="minorHAnsi" w:cstheme="minorHAnsi"/>
                <w:sz w:val="18"/>
                <w:szCs w:val="18"/>
              </w:rPr>
              <w:t xml:space="preserve">tvořenou sítí monitorovacích stanic, laboratorního a experimentálního zázemí </w:t>
            </w:r>
            <w:r>
              <w:rPr>
                <w:rFonts w:asciiTheme="minorHAnsi" w:hAnsiTheme="minorHAnsi" w:cstheme="minorHAnsi"/>
                <w:sz w:val="18"/>
                <w:szCs w:val="18"/>
              </w:rPr>
              <w:t xml:space="preserve">pro studium a modelování dopadů </w:t>
            </w:r>
            <w:r w:rsidRPr="005B7C8F">
              <w:rPr>
                <w:rFonts w:asciiTheme="minorHAnsi" w:hAnsiTheme="minorHAnsi" w:cstheme="minorHAnsi"/>
                <w:sz w:val="18"/>
                <w:szCs w:val="18"/>
              </w:rPr>
              <w:t>GZK v různých hierarchických úrovních biosféry. Pro pokrytí variabilit</w:t>
            </w:r>
            <w:r>
              <w:rPr>
                <w:rFonts w:asciiTheme="minorHAnsi" w:hAnsiTheme="minorHAnsi" w:cstheme="minorHAnsi"/>
                <w:sz w:val="18"/>
                <w:szCs w:val="18"/>
              </w:rPr>
              <w:t xml:space="preserve">y území ČR budou využity metody dálkového průzkumu Země. </w:t>
            </w:r>
            <w:r w:rsidRPr="005B7C8F">
              <w:rPr>
                <w:rFonts w:asciiTheme="minorHAnsi" w:hAnsiTheme="minorHAnsi" w:cstheme="minorHAnsi"/>
                <w:sz w:val="18"/>
                <w:szCs w:val="18"/>
              </w:rPr>
              <w:t>Finanční stabilita vychází z historických výnosů žadatele a jejich očeká</w:t>
            </w:r>
            <w:r>
              <w:rPr>
                <w:rFonts w:asciiTheme="minorHAnsi" w:hAnsiTheme="minorHAnsi" w:cstheme="minorHAnsi"/>
                <w:sz w:val="18"/>
                <w:szCs w:val="18"/>
              </w:rPr>
              <w:t xml:space="preserve">vaného navýšení souvisejícího s </w:t>
            </w:r>
            <w:r w:rsidRPr="005B7C8F">
              <w:rPr>
                <w:rFonts w:asciiTheme="minorHAnsi" w:hAnsiTheme="minorHAnsi" w:cstheme="minorHAnsi"/>
                <w:sz w:val="18"/>
                <w:szCs w:val="18"/>
              </w:rPr>
              <w:t>vybudováním špičkové infrastruktury. Financování je přiměřeně diverzifikov</w:t>
            </w:r>
            <w:r>
              <w:rPr>
                <w:rFonts w:asciiTheme="minorHAnsi" w:hAnsiTheme="minorHAnsi" w:cstheme="minorHAnsi"/>
                <w:sz w:val="18"/>
                <w:szCs w:val="18"/>
              </w:rPr>
              <w:t xml:space="preserve">áno jak na národní, mezinárodní </w:t>
            </w:r>
            <w:r w:rsidRPr="005B7C8F">
              <w:rPr>
                <w:rFonts w:asciiTheme="minorHAnsi" w:hAnsiTheme="minorHAnsi" w:cstheme="minorHAnsi"/>
                <w:sz w:val="18"/>
                <w:szCs w:val="18"/>
              </w:rPr>
              <w:t>zdroje, tak smluvní výzkum. Význam projektu potvrzuje zařazení do 'České roa</w:t>
            </w:r>
            <w:r>
              <w:rPr>
                <w:rFonts w:asciiTheme="minorHAnsi" w:hAnsiTheme="minorHAnsi" w:cstheme="minorHAnsi"/>
                <w:sz w:val="18"/>
                <w:szCs w:val="18"/>
              </w:rPr>
              <w:t xml:space="preserve">dmap výzkumných infrastruktur'. </w:t>
            </w:r>
            <w:r w:rsidRPr="005B7C8F">
              <w:rPr>
                <w:rFonts w:asciiTheme="minorHAnsi" w:hAnsiTheme="minorHAnsi" w:cstheme="minorHAnsi"/>
                <w:sz w:val="18"/>
                <w:szCs w:val="18"/>
              </w:rPr>
              <w:t>Realizací projektu dojde k obousměrnému propojení na světová centra šp</w:t>
            </w:r>
            <w:r>
              <w:rPr>
                <w:rFonts w:asciiTheme="minorHAnsi" w:hAnsiTheme="minorHAnsi" w:cstheme="minorHAnsi"/>
                <w:sz w:val="18"/>
                <w:szCs w:val="18"/>
              </w:rPr>
              <w:t xml:space="preserve">ičkového výzkumu, což dokládají </w:t>
            </w:r>
            <w:r w:rsidRPr="005B7C8F">
              <w:rPr>
                <w:rFonts w:asciiTheme="minorHAnsi" w:hAnsiTheme="minorHAnsi" w:cstheme="minorHAnsi"/>
                <w:sz w:val="18"/>
                <w:szCs w:val="18"/>
              </w:rPr>
              <w:t>přiložené zájmy o spolupráci. Doložená poptávka po výstupech Centra potvrzuje vysoký zájem jak ze sféry</w:t>
            </w:r>
            <w:r>
              <w:rPr>
                <w:rFonts w:asciiTheme="minorHAnsi" w:hAnsiTheme="minorHAnsi" w:cstheme="minorHAnsi"/>
                <w:sz w:val="18"/>
                <w:szCs w:val="18"/>
              </w:rPr>
              <w:t xml:space="preserve"> </w:t>
            </w:r>
            <w:r w:rsidRPr="005B7C8F">
              <w:rPr>
                <w:rFonts w:asciiTheme="minorHAnsi" w:hAnsiTheme="minorHAnsi" w:cstheme="minorHAnsi"/>
                <w:sz w:val="18"/>
                <w:szCs w:val="18"/>
              </w:rPr>
              <w:t>badatelské, uživatelské/ aplikační, edukační, tak i ze sféry rozhodovací. Klí</w:t>
            </w:r>
            <w:r>
              <w:rPr>
                <w:rFonts w:asciiTheme="minorHAnsi" w:hAnsiTheme="minorHAnsi" w:cstheme="minorHAnsi"/>
                <w:sz w:val="18"/>
                <w:szCs w:val="18"/>
              </w:rPr>
              <w:t xml:space="preserve">čovými aplikačními výstupy jsou </w:t>
            </w:r>
            <w:r w:rsidRPr="005B7C8F">
              <w:rPr>
                <w:rFonts w:asciiTheme="minorHAnsi" w:hAnsiTheme="minorHAnsi" w:cstheme="minorHAnsi"/>
                <w:sz w:val="18"/>
                <w:szCs w:val="18"/>
              </w:rPr>
              <w:t>zejména využitelné scénáře vývoje GZK, hodnocení socio-ekonomických důsledků</w:t>
            </w:r>
            <w:r>
              <w:rPr>
                <w:rFonts w:asciiTheme="minorHAnsi" w:hAnsiTheme="minorHAnsi" w:cstheme="minorHAnsi"/>
                <w:sz w:val="18"/>
                <w:szCs w:val="18"/>
              </w:rPr>
              <w:t xml:space="preserve">, podklady pro emisní strategii </w:t>
            </w:r>
            <w:r w:rsidRPr="005B7C8F">
              <w:rPr>
                <w:rFonts w:asciiTheme="minorHAnsi" w:hAnsiTheme="minorHAnsi" w:cstheme="minorHAnsi"/>
                <w:sz w:val="18"/>
                <w:szCs w:val="18"/>
              </w:rPr>
              <w:t>CO2, dlouhodobá kvantifikace uhlíkových úložišť, adaptace rostlin na GZ</w:t>
            </w:r>
            <w:r>
              <w:rPr>
                <w:rFonts w:asciiTheme="minorHAnsi" w:hAnsiTheme="minorHAnsi" w:cstheme="minorHAnsi"/>
                <w:sz w:val="18"/>
                <w:szCs w:val="18"/>
              </w:rPr>
              <w:t xml:space="preserve">K, metodické podklady pro vývoj </w:t>
            </w:r>
            <w:r w:rsidRPr="005B7C8F">
              <w:rPr>
                <w:rFonts w:asciiTheme="minorHAnsi" w:hAnsiTheme="minorHAnsi" w:cstheme="minorHAnsi"/>
                <w:sz w:val="18"/>
                <w:szCs w:val="18"/>
              </w:rPr>
              <w:t>systému 'Carbon-landscaping and Forestry', produkci energie z biomasy rychle rostoucích dř</w:t>
            </w:r>
            <w:r>
              <w:rPr>
                <w:rFonts w:asciiTheme="minorHAnsi" w:hAnsiTheme="minorHAnsi" w:cstheme="minorHAnsi"/>
                <w:sz w:val="18"/>
                <w:szCs w:val="18"/>
              </w:rPr>
              <w:t xml:space="preserve">evin. Inovačním </w:t>
            </w:r>
            <w:r w:rsidRPr="005B7C8F">
              <w:rPr>
                <w:rFonts w:asciiTheme="minorHAnsi" w:hAnsiTheme="minorHAnsi" w:cstheme="minorHAnsi"/>
                <w:sz w:val="18"/>
                <w:szCs w:val="18"/>
              </w:rPr>
              <w:t>výstupem bude zejména vývoj systémů 'clean energy' - biologické odstraňo</w:t>
            </w:r>
            <w:r>
              <w:rPr>
                <w:rFonts w:asciiTheme="minorHAnsi" w:hAnsiTheme="minorHAnsi" w:cstheme="minorHAnsi"/>
                <w:sz w:val="18"/>
                <w:szCs w:val="18"/>
              </w:rPr>
              <w:t xml:space="preserve">vání CO2 při produkci energie a </w:t>
            </w:r>
            <w:r w:rsidRPr="005B7C8F">
              <w:rPr>
                <w:rFonts w:asciiTheme="minorHAnsi" w:hAnsiTheme="minorHAnsi" w:cstheme="minorHAnsi"/>
                <w:sz w:val="18"/>
                <w:szCs w:val="18"/>
              </w:rPr>
              <w:t>produkci biopaliv 3. generace. Centrum bude i významným místem edukačních programů.</w:t>
            </w:r>
          </w:p>
        </w:tc>
      </w:tr>
      <w:tr w:rsidR="00526313" w:rsidTr="00F00CC3">
        <w:trPr>
          <w:trHeight w:val="277"/>
        </w:trPr>
        <w:tc>
          <w:tcPr>
            <w:tcW w:w="2836" w:type="dxa"/>
            <w:gridSpan w:val="2"/>
          </w:tcPr>
          <w:p w:rsidR="00526313" w:rsidRPr="00E4455A" w:rsidRDefault="00526313"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 xml:space="preserve">Zahájení / ukončení stavby / rekonstrukce </w:t>
            </w:r>
            <w:r w:rsidRPr="0060312A">
              <w:rPr>
                <w:rFonts w:asciiTheme="minorHAnsi" w:hAnsiTheme="minorHAnsi" w:cstheme="minorHAnsi"/>
                <w:sz w:val="18"/>
                <w:szCs w:val="18"/>
              </w:rPr>
              <w:t>(pokud je relevantní)</w:t>
            </w:r>
          </w:p>
        </w:tc>
        <w:tc>
          <w:tcPr>
            <w:tcW w:w="3307" w:type="dxa"/>
            <w:gridSpan w:val="2"/>
          </w:tcPr>
          <w:p w:rsidR="00526313" w:rsidRDefault="00526313"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Datum</w:t>
            </w:r>
            <w:r w:rsidR="00002DBE" w:rsidRPr="00E4455A">
              <w:rPr>
                <w:rFonts w:asciiTheme="minorHAnsi" w:hAnsiTheme="minorHAnsi" w:cstheme="minorHAnsi"/>
                <w:sz w:val="18"/>
                <w:szCs w:val="18"/>
              </w:rPr>
              <w:t>:</w:t>
            </w:r>
            <w:r w:rsidR="00A078D9">
              <w:rPr>
                <w:rFonts w:asciiTheme="minorHAnsi" w:hAnsiTheme="minorHAnsi" w:cstheme="minorHAnsi"/>
                <w:sz w:val="18"/>
                <w:szCs w:val="18"/>
              </w:rPr>
              <w:t xml:space="preserve"> X</w:t>
            </w:r>
          </w:p>
          <w:p w:rsidR="00530810" w:rsidRPr="00E4455A" w:rsidRDefault="00530810" w:rsidP="00530810">
            <w:pPr>
              <w:spacing w:before="60" w:after="60" w:line="240" w:lineRule="auto"/>
              <w:rPr>
                <w:rFonts w:asciiTheme="minorHAnsi" w:hAnsiTheme="minorHAnsi" w:cstheme="minorHAnsi"/>
                <w:sz w:val="18"/>
                <w:szCs w:val="18"/>
              </w:rPr>
            </w:pPr>
            <w:r>
              <w:rPr>
                <w:rFonts w:asciiTheme="minorHAnsi" w:hAnsiTheme="minorHAnsi" w:cstheme="minorHAnsi"/>
                <w:sz w:val="18"/>
                <w:szCs w:val="18"/>
              </w:rPr>
              <w:t xml:space="preserve">Není možné jednoznačně identifikovat, projekt má infrastrukturu rozmístěnou po celé republice. Proběhla rekonstrukce budovy Domanínek, novostavba budovy </w:t>
            </w:r>
            <w:r>
              <w:rPr>
                <w:rFonts w:asciiTheme="minorHAnsi" w:hAnsiTheme="minorHAnsi" w:cstheme="minorHAnsi"/>
                <w:sz w:val="18"/>
                <w:szCs w:val="18"/>
              </w:rPr>
              <w:lastRenderedPageBreak/>
              <w:t>Na Bělidlech a stavb</w:t>
            </w:r>
            <w:r w:rsidR="00541634">
              <w:rPr>
                <w:rFonts w:asciiTheme="minorHAnsi" w:hAnsiTheme="minorHAnsi" w:cstheme="minorHAnsi"/>
                <w:sz w:val="18"/>
                <w:szCs w:val="18"/>
              </w:rPr>
              <w:t>a výškového stožárku na Křešíně.</w:t>
            </w:r>
          </w:p>
        </w:tc>
        <w:tc>
          <w:tcPr>
            <w:tcW w:w="3307" w:type="dxa"/>
            <w:gridSpan w:val="2"/>
          </w:tcPr>
          <w:p w:rsidR="00526313" w:rsidRDefault="00002DBE"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lastRenderedPageBreak/>
              <w:t>Generální dodavatel:</w:t>
            </w:r>
          </w:p>
          <w:p w:rsidR="00530810" w:rsidRDefault="00530810" w:rsidP="00F34368">
            <w:pPr>
              <w:spacing w:before="60" w:after="60" w:line="240" w:lineRule="auto"/>
              <w:rPr>
                <w:rFonts w:asciiTheme="minorHAnsi" w:hAnsiTheme="minorHAnsi" w:cstheme="minorHAnsi"/>
                <w:sz w:val="18"/>
                <w:szCs w:val="18"/>
              </w:rPr>
            </w:pPr>
            <w:r w:rsidRPr="00530810">
              <w:rPr>
                <w:rFonts w:asciiTheme="minorHAnsi" w:hAnsiTheme="minorHAnsi" w:cstheme="minorHAnsi"/>
                <w:sz w:val="18"/>
                <w:szCs w:val="18"/>
              </w:rPr>
              <w:t>OHL ŽS, a.s.</w:t>
            </w:r>
          </w:p>
          <w:p w:rsidR="00530810" w:rsidRDefault="00530810" w:rsidP="00F34368">
            <w:pPr>
              <w:spacing w:before="60" w:after="60" w:line="240" w:lineRule="auto"/>
              <w:rPr>
                <w:rFonts w:asciiTheme="minorHAnsi" w:hAnsiTheme="minorHAnsi" w:cstheme="minorHAnsi"/>
                <w:sz w:val="18"/>
                <w:szCs w:val="18"/>
              </w:rPr>
            </w:pPr>
            <w:r w:rsidRPr="00530810">
              <w:rPr>
                <w:rFonts w:asciiTheme="minorHAnsi" w:hAnsiTheme="minorHAnsi" w:cstheme="minorHAnsi"/>
                <w:sz w:val="18"/>
                <w:szCs w:val="18"/>
              </w:rPr>
              <w:t>EXCON, a.s.</w:t>
            </w:r>
          </w:p>
          <w:p w:rsidR="00530810" w:rsidRPr="00E4455A" w:rsidRDefault="00530810" w:rsidP="00F34368">
            <w:pPr>
              <w:spacing w:before="60" w:after="60" w:line="240" w:lineRule="auto"/>
              <w:rPr>
                <w:rFonts w:asciiTheme="minorHAnsi" w:hAnsiTheme="minorHAnsi" w:cstheme="minorHAnsi"/>
                <w:sz w:val="18"/>
                <w:szCs w:val="18"/>
              </w:rPr>
            </w:pPr>
            <w:r w:rsidRPr="00530810">
              <w:rPr>
                <w:rFonts w:asciiTheme="minorHAnsi" w:hAnsiTheme="minorHAnsi" w:cstheme="minorHAnsi"/>
                <w:sz w:val="18"/>
                <w:szCs w:val="18"/>
              </w:rPr>
              <w:t>Ekostavby Brno, a.s.</w:t>
            </w:r>
          </w:p>
        </w:tc>
      </w:tr>
      <w:tr w:rsidR="008353DD" w:rsidTr="00FD3750">
        <w:trPr>
          <w:trHeight w:val="1290"/>
        </w:trPr>
        <w:tc>
          <w:tcPr>
            <w:tcW w:w="2836" w:type="dxa"/>
            <w:gridSpan w:val="2"/>
          </w:tcPr>
          <w:p w:rsidR="008353DD" w:rsidRPr="00E4455A" w:rsidRDefault="00737A93" w:rsidP="00CD0222">
            <w:pPr>
              <w:spacing w:before="60" w:after="60" w:line="240" w:lineRule="auto"/>
              <w:rPr>
                <w:rFonts w:asciiTheme="minorHAnsi" w:hAnsiTheme="minorHAnsi" w:cstheme="minorHAnsi"/>
                <w:b/>
                <w:sz w:val="22"/>
              </w:rPr>
            </w:pPr>
            <w:r w:rsidRPr="00E4455A">
              <w:rPr>
                <w:rFonts w:asciiTheme="minorHAnsi" w:hAnsiTheme="minorHAnsi" w:cstheme="minorHAnsi"/>
                <w:b/>
                <w:sz w:val="22"/>
              </w:rPr>
              <w:lastRenderedPageBreak/>
              <w:t>Výstupy projektu</w:t>
            </w:r>
            <w:r w:rsidR="00FD3750" w:rsidRPr="00E4455A">
              <w:rPr>
                <w:rFonts w:asciiTheme="minorHAnsi" w:hAnsiTheme="minorHAnsi" w:cstheme="minorHAnsi"/>
                <w:b/>
                <w:sz w:val="22"/>
              </w:rPr>
              <w:t xml:space="preserve"> </w:t>
            </w:r>
            <w:r w:rsidR="00FD3750" w:rsidRPr="0060312A">
              <w:rPr>
                <w:rFonts w:asciiTheme="minorHAnsi" w:hAnsiTheme="minorHAnsi" w:cstheme="minorHAnsi"/>
                <w:sz w:val="18"/>
                <w:szCs w:val="18"/>
              </w:rPr>
              <w:t xml:space="preserve">(popis </w:t>
            </w:r>
            <w:r w:rsidR="00CD0222" w:rsidRPr="0060312A">
              <w:rPr>
                <w:rFonts w:asciiTheme="minorHAnsi" w:hAnsiTheme="minorHAnsi" w:cstheme="minorHAnsi"/>
                <w:sz w:val="18"/>
                <w:szCs w:val="18"/>
              </w:rPr>
              <w:t xml:space="preserve">plánu </w:t>
            </w:r>
            <w:r w:rsidR="00FD3750" w:rsidRPr="0060312A">
              <w:rPr>
                <w:rFonts w:asciiTheme="minorHAnsi" w:hAnsiTheme="minorHAnsi" w:cstheme="minorHAnsi"/>
                <w:sz w:val="18"/>
                <w:szCs w:val="18"/>
              </w:rPr>
              <w:t xml:space="preserve">hlavních výstupů </w:t>
            </w:r>
            <w:r w:rsidR="00CD0222" w:rsidRPr="0060312A">
              <w:rPr>
                <w:rFonts w:asciiTheme="minorHAnsi" w:hAnsiTheme="minorHAnsi" w:cstheme="minorHAnsi"/>
                <w:sz w:val="18"/>
                <w:szCs w:val="18"/>
              </w:rPr>
              <w:t>z</w:t>
            </w:r>
            <w:r w:rsidR="00125F00" w:rsidRPr="0060312A">
              <w:rPr>
                <w:rFonts w:asciiTheme="minorHAnsi" w:hAnsiTheme="minorHAnsi" w:cstheme="minorHAnsi"/>
                <w:sz w:val="18"/>
                <w:szCs w:val="18"/>
              </w:rPr>
              <w:t xml:space="preserve"> TA, tj. budova, přístroje a lidé, </w:t>
            </w:r>
            <w:r w:rsidR="00FD3750" w:rsidRPr="0060312A">
              <w:rPr>
                <w:rFonts w:asciiTheme="minorHAnsi" w:hAnsiTheme="minorHAnsi" w:cstheme="minorHAnsi"/>
                <w:sz w:val="18"/>
                <w:szCs w:val="18"/>
              </w:rPr>
              <w:t xml:space="preserve">včetně uvedení </w:t>
            </w:r>
            <w:r w:rsidR="00B00DA4" w:rsidRPr="0060312A">
              <w:rPr>
                <w:rFonts w:asciiTheme="minorHAnsi" w:hAnsiTheme="minorHAnsi" w:cstheme="minorHAnsi"/>
                <w:sz w:val="18"/>
                <w:szCs w:val="18"/>
              </w:rPr>
              <w:t xml:space="preserve">kódů, popisů a hodnot </w:t>
            </w:r>
            <w:r w:rsidR="00FD3750" w:rsidRPr="0060312A">
              <w:rPr>
                <w:rFonts w:asciiTheme="minorHAnsi" w:hAnsiTheme="minorHAnsi" w:cstheme="minorHAnsi"/>
                <w:sz w:val="18"/>
                <w:szCs w:val="18"/>
              </w:rPr>
              <w:t xml:space="preserve">závazných monitorovacích indikátorů v době ukončení projektu a </w:t>
            </w:r>
            <w:r w:rsidR="00CD0222" w:rsidRPr="0060312A">
              <w:rPr>
                <w:rFonts w:asciiTheme="minorHAnsi" w:hAnsiTheme="minorHAnsi" w:cstheme="minorHAnsi"/>
                <w:sz w:val="18"/>
                <w:szCs w:val="18"/>
              </w:rPr>
              <w:t>k roku</w:t>
            </w:r>
            <w:r w:rsidR="00FD3750" w:rsidRPr="0060312A">
              <w:rPr>
                <w:rFonts w:asciiTheme="minorHAnsi" w:hAnsiTheme="minorHAnsi" w:cstheme="minorHAnsi"/>
                <w:sz w:val="18"/>
                <w:szCs w:val="18"/>
              </w:rPr>
              <w:t xml:space="preserve"> 2015)</w:t>
            </w:r>
          </w:p>
        </w:tc>
        <w:tc>
          <w:tcPr>
            <w:tcW w:w="6614" w:type="dxa"/>
            <w:gridSpan w:val="4"/>
          </w:tcPr>
          <w:p w:rsidR="008353DD" w:rsidRDefault="00D544E9" w:rsidP="00F34368">
            <w:pPr>
              <w:spacing w:before="60" w:after="60" w:line="240" w:lineRule="auto"/>
              <w:rPr>
                <w:rFonts w:asciiTheme="minorHAnsi" w:hAnsiTheme="minorHAnsi" w:cstheme="minorHAnsi"/>
                <w:sz w:val="18"/>
                <w:szCs w:val="18"/>
              </w:rPr>
            </w:pPr>
            <w:r>
              <w:rPr>
                <w:rFonts w:asciiTheme="minorHAnsi" w:hAnsiTheme="minorHAnsi" w:cstheme="minorHAnsi"/>
                <w:sz w:val="18"/>
                <w:szCs w:val="18"/>
              </w:rPr>
              <w:t>Projekt má již ukončenou realizaci, zatím však nebyla doručena Závěrečná monitorovací zpráva, tudíž zatím není možné potvrdit, nebo vyvrátit některá fakta.</w:t>
            </w:r>
          </w:p>
          <w:p w:rsidR="00D544E9" w:rsidRDefault="00D544E9" w:rsidP="00F34368">
            <w:pPr>
              <w:spacing w:before="60" w:after="60" w:line="240" w:lineRule="auto"/>
              <w:rPr>
                <w:rFonts w:asciiTheme="minorHAnsi" w:hAnsiTheme="minorHAnsi" w:cstheme="minorHAnsi"/>
                <w:sz w:val="18"/>
                <w:szCs w:val="18"/>
              </w:rPr>
            </w:pPr>
            <w:r>
              <w:rPr>
                <w:rFonts w:asciiTheme="minorHAnsi" w:hAnsiTheme="minorHAnsi" w:cstheme="minorHAnsi"/>
                <w:sz w:val="18"/>
                <w:szCs w:val="18"/>
              </w:rPr>
              <w:t>Již v současné době je možné konstatovat, že účel dotace byl naplněn. Budovy jsou zrekonstruovány, postaveny a vybaveny. Personální obsazení je také naplněno již nyní.</w:t>
            </w:r>
          </w:p>
          <w:tbl>
            <w:tblPr>
              <w:tblW w:w="6388" w:type="dxa"/>
              <w:tblCellMar>
                <w:left w:w="70" w:type="dxa"/>
                <w:right w:w="70" w:type="dxa"/>
              </w:tblCellMar>
              <w:tblLook w:val="00A0" w:firstRow="1" w:lastRow="0" w:firstColumn="1" w:lastColumn="0" w:noHBand="0" w:noVBand="0"/>
            </w:tblPr>
            <w:tblGrid>
              <w:gridCol w:w="1474"/>
              <w:gridCol w:w="1815"/>
              <w:gridCol w:w="1898"/>
              <w:gridCol w:w="1136"/>
              <w:gridCol w:w="65"/>
            </w:tblGrid>
            <w:tr w:rsidR="008864BC" w:rsidTr="00A04E53">
              <w:trPr>
                <w:trHeight w:val="609"/>
              </w:trPr>
              <w:tc>
                <w:tcPr>
                  <w:tcW w:w="14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864BC" w:rsidRDefault="008864BC" w:rsidP="00D77E12">
                  <w:pPr>
                    <w:spacing w:after="0" w:line="240" w:lineRule="auto"/>
                    <w:rPr>
                      <w:b/>
                      <w:bCs/>
                      <w:sz w:val="20"/>
                      <w:szCs w:val="20"/>
                      <w:lang w:eastAsia="cs-CZ"/>
                    </w:rPr>
                  </w:pPr>
                  <w:r>
                    <w:rPr>
                      <w:b/>
                      <w:bCs/>
                      <w:sz w:val="20"/>
                      <w:szCs w:val="20"/>
                      <w:lang w:eastAsia="cs-CZ"/>
                    </w:rPr>
                    <w:t>Závazné hodnoty monitorovacích indikátorů:</w:t>
                  </w:r>
                </w:p>
              </w:tc>
              <w:tc>
                <w:tcPr>
                  <w:tcW w:w="1815" w:type="dxa"/>
                  <w:tcBorders>
                    <w:top w:val="single" w:sz="4" w:space="0" w:color="auto"/>
                    <w:left w:val="nil"/>
                    <w:bottom w:val="single" w:sz="4" w:space="0" w:color="auto"/>
                    <w:right w:val="single" w:sz="4" w:space="0" w:color="auto"/>
                  </w:tcBorders>
                  <w:vAlign w:val="center"/>
                  <w:hideMark/>
                </w:tcPr>
                <w:p w:rsidR="008864BC" w:rsidRDefault="00A04E53" w:rsidP="00D77E12">
                  <w:pPr>
                    <w:spacing w:after="0" w:line="240" w:lineRule="auto"/>
                    <w:jc w:val="center"/>
                    <w:rPr>
                      <w:b/>
                      <w:bCs/>
                      <w:sz w:val="20"/>
                      <w:szCs w:val="20"/>
                      <w:lang w:eastAsia="cs-CZ"/>
                    </w:rPr>
                  </w:pPr>
                  <w:r>
                    <w:rPr>
                      <w:b/>
                      <w:bCs/>
                      <w:sz w:val="20"/>
                      <w:szCs w:val="20"/>
                      <w:lang w:eastAsia="cs-CZ"/>
                    </w:rPr>
                    <w:t>Plán k</w:t>
                  </w:r>
                  <w:r w:rsidR="008864BC">
                    <w:rPr>
                      <w:b/>
                      <w:bCs/>
                      <w:sz w:val="20"/>
                      <w:szCs w:val="20"/>
                      <w:lang w:eastAsia="cs-CZ"/>
                    </w:rPr>
                    <w:t xml:space="preserve"> datu ukončení realizace projektu</w:t>
                  </w:r>
                </w:p>
              </w:tc>
              <w:tc>
                <w:tcPr>
                  <w:tcW w:w="1898" w:type="dxa"/>
                  <w:tcBorders>
                    <w:top w:val="single" w:sz="4" w:space="0" w:color="auto"/>
                    <w:left w:val="nil"/>
                    <w:bottom w:val="single" w:sz="4" w:space="0" w:color="auto"/>
                    <w:right w:val="nil"/>
                  </w:tcBorders>
                  <w:vAlign w:val="center"/>
                </w:tcPr>
                <w:p w:rsidR="008864BC" w:rsidRDefault="008864BC" w:rsidP="00A04E53">
                  <w:pPr>
                    <w:spacing w:after="0" w:line="240" w:lineRule="auto"/>
                    <w:jc w:val="center"/>
                    <w:rPr>
                      <w:b/>
                      <w:bCs/>
                      <w:sz w:val="20"/>
                      <w:szCs w:val="20"/>
                      <w:lang w:eastAsia="cs-CZ"/>
                    </w:rPr>
                  </w:pPr>
                  <w:r>
                    <w:rPr>
                      <w:b/>
                      <w:bCs/>
                      <w:sz w:val="20"/>
                      <w:szCs w:val="20"/>
                      <w:lang w:eastAsia="cs-CZ"/>
                    </w:rPr>
                    <w:t>Aktuální stav k 20.2.2015</w:t>
                  </w:r>
                  <w:r>
                    <w:rPr>
                      <w:rStyle w:val="Znakapoznpodarou"/>
                      <w:b/>
                      <w:bCs/>
                      <w:sz w:val="20"/>
                      <w:szCs w:val="20"/>
                      <w:lang w:eastAsia="cs-CZ"/>
                    </w:rPr>
                    <w:footnoteReference w:id="1"/>
                  </w:r>
                </w:p>
              </w:tc>
              <w:tc>
                <w:tcPr>
                  <w:tcW w:w="1201" w:type="dxa"/>
                  <w:gridSpan w:val="2"/>
                  <w:tcBorders>
                    <w:top w:val="single" w:sz="4" w:space="0" w:color="auto"/>
                    <w:left w:val="nil"/>
                    <w:bottom w:val="single" w:sz="4" w:space="0" w:color="auto"/>
                    <w:right w:val="single" w:sz="4" w:space="0" w:color="auto"/>
                  </w:tcBorders>
                  <w:vAlign w:val="center"/>
                  <w:hideMark/>
                </w:tcPr>
                <w:p w:rsidR="008864BC" w:rsidRDefault="00A04E53" w:rsidP="00D77E12">
                  <w:pPr>
                    <w:spacing w:after="0" w:line="240" w:lineRule="auto"/>
                    <w:jc w:val="center"/>
                    <w:rPr>
                      <w:b/>
                      <w:bCs/>
                      <w:sz w:val="20"/>
                      <w:szCs w:val="20"/>
                      <w:lang w:eastAsia="cs-CZ"/>
                    </w:rPr>
                  </w:pPr>
                  <w:r>
                    <w:rPr>
                      <w:b/>
                      <w:bCs/>
                      <w:sz w:val="20"/>
                      <w:szCs w:val="20"/>
                      <w:lang w:eastAsia="cs-CZ"/>
                    </w:rPr>
                    <w:t xml:space="preserve">Plán k </w:t>
                  </w:r>
                  <w:r w:rsidR="008864BC">
                    <w:rPr>
                      <w:b/>
                      <w:bCs/>
                      <w:sz w:val="20"/>
                      <w:szCs w:val="20"/>
                      <w:lang w:eastAsia="cs-CZ"/>
                    </w:rPr>
                    <w:t>31.12.2015</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110502</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214</w:t>
                  </w:r>
                </w:p>
              </w:tc>
              <w:tc>
                <w:tcPr>
                  <w:tcW w:w="1898" w:type="dxa"/>
                  <w:tcBorders>
                    <w:top w:val="nil"/>
                    <w:left w:val="nil"/>
                    <w:bottom w:val="single" w:sz="4" w:space="0" w:color="auto"/>
                    <w:right w:val="nil"/>
                  </w:tcBorders>
                  <w:shd w:val="clear" w:color="auto" w:fill="FFFFFF"/>
                </w:tcPr>
                <w:p w:rsidR="008864BC" w:rsidRDefault="00C64E82" w:rsidP="00D77E12">
                  <w:pPr>
                    <w:spacing w:after="0" w:line="240" w:lineRule="auto"/>
                    <w:jc w:val="right"/>
                    <w:rPr>
                      <w:sz w:val="20"/>
                      <w:szCs w:val="20"/>
                      <w:lang w:eastAsia="cs-CZ"/>
                    </w:rPr>
                  </w:pPr>
                  <w:r w:rsidRPr="00C64E82">
                    <w:rPr>
                      <w:sz w:val="20"/>
                      <w:szCs w:val="20"/>
                      <w:lang w:eastAsia="cs-CZ"/>
                    </w:rPr>
                    <w:t>294</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329</w:t>
                  </w:r>
                </w:p>
              </w:tc>
            </w:tr>
            <w:tr w:rsidR="008864BC" w:rsidTr="00A04E53">
              <w:trPr>
                <w:gridAfter w:val="1"/>
                <w:wAfter w:w="65" w:type="dxa"/>
                <w:trHeight w:val="243"/>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110503</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1</w:t>
                  </w:r>
                </w:p>
              </w:tc>
              <w:tc>
                <w:tcPr>
                  <w:tcW w:w="1898" w:type="dxa"/>
                  <w:tcBorders>
                    <w:top w:val="nil"/>
                    <w:left w:val="nil"/>
                    <w:bottom w:val="single" w:sz="4" w:space="0" w:color="auto"/>
                    <w:right w:val="nil"/>
                  </w:tcBorders>
                  <w:shd w:val="clear" w:color="auto" w:fill="FFFFFF"/>
                </w:tcPr>
                <w:p w:rsidR="008864BC" w:rsidRDefault="00C64E82" w:rsidP="00D77E12">
                  <w:pPr>
                    <w:spacing w:after="0" w:line="240" w:lineRule="auto"/>
                    <w:jc w:val="right"/>
                    <w:rPr>
                      <w:sz w:val="20"/>
                      <w:szCs w:val="20"/>
                      <w:lang w:eastAsia="cs-CZ"/>
                    </w:rPr>
                  </w:pPr>
                  <w:r>
                    <w:rPr>
                      <w:sz w:val="20"/>
                      <w:szCs w:val="20"/>
                      <w:lang w:eastAsia="cs-CZ"/>
                    </w:rPr>
                    <w:t>0</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2</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110504</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9</w:t>
                  </w:r>
                </w:p>
              </w:tc>
              <w:tc>
                <w:tcPr>
                  <w:tcW w:w="1898" w:type="dxa"/>
                  <w:tcBorders>
                    <w:top w:val="nil"/>
                    <w:left w:val="nil"/>
                    <w:bottom w:val="single" w:sz="4" w:space="0" w:color="auto"/>
                    <w:right w:val="nil"/>
                  </w:tcBorders>
                  <w:shd w:val="clear" w:color="auto" w:fill="FFFFFF"/>
                </w:tcPr>
                <w:p w:rsidR="008864BC" w:rsidRDefault="00C64E82" w:rsidP="00D77E12">
                  <w:pPr>
                    <w:spacing w:after="0" w:line="240" w:lineRule="auto"/>
                    <w:jc w:val="right"/>
                    <w:rPr>
                      <w:sz w:val="20"/>
                      <w:szCs w:val="20"/>
                      <w:lang w:eastAsia="cs-CZ"/>
                    </w:rPr>
                  </w:pPr>
                  <w:r w:rsidRPr="00C64E82">
                    <w:rPr>
                      <w:sz w:val="20"/>
                      <w:szCs w:val="20"/>
                      <w:lang w:eastAsia="cs-CZ"/>
                    </w:rPr>
                    <w:t>7</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18</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111200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13200</w:t>
                  </w:r>
                  <w:r w:rsidR="008D0FD5">
                    <w:rPr>
                      <w:sz w:val="20"/>
                      <w:szCs w:val="20"/>
                      <w:lang w:eastAsia="cs-CZ"/>
                    </w:rPr>
                    <w:t xml:space="preserve">000     </w:t>
                  </w:r>
                </w:p>
              </w:tc>
              <w:tc>
                <w:tcPr>
                  <w:tcW w:w="1898" w:type="dxa"/>
                  <w:tcBorders>
                    <w:top w:val="nil"/>
                    <w:left w:val="nil"/>
                    <w:bottom w:val="single" w:sz="4" w:space="0" w:color="auto"/>
                    <w:right w:val="nil"/>
                  </w:tcBorders>
                  <w:shd w:val="clear" w:color="auto" w:fill="FFFFFF"/>
                </w:tcPr>
                <w:p w:rsidR="008864BC" w:rsidRDefault="008D0FD5" w:rsidP="00D77E12">
                  <w:pPr>
                    <w:spacing w:after="0" w:line="240" w:lineRule="auto"/>
                    <w:jc w:val="right"/>
                    <w:rPr>
                      <w:sz w:val="20"/>
                      <w:szCs w:val="20"/>
                      <w:lang w:eastAsia="cs-CZ"/>
                    </w:rPr>
                  </w:pPr>
                  <w:r w:rsidRPr="008D0FD5">
                    <w:rPr>
                      <w:sz w:val="20"/>
                      <w:szCs w:val="20"/>
                      <w:lang w:eastAsia="cs-CZ"/>
                    </w:rPr>
                    <w:t>9505683</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23600</w:t>
                  </w:r>
                </w:p>
              </w:tc>
            </w:tr>
            <w:tr w:rsidR="008864BC" w:rsidTr="00A04E53">
              <w:trPr>
                <w:gridAfter w:val="1"/>
                <w:wAfter w:w="65" w:type="dxa"/>
                <w:trHeight w:val="122"/>
              </w:trPr>
              <w:tc>
                <w:tcPr>
                  <w:tcW w:w="1474" w:type="dxa"/>
                  <w:tcBorders>
                    <w:top w:val="single" w:sz="4" w:space="0" w:color="auto"/>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111300</w:t>
                  </w:r>
                </w:p>
              </w:tc>
              <w:tc>
                <w:tcPr>
                  <w:tcW w:w="181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16439</w:t>
                  </w:r>
                  <w:r w:rsidR="008D0FD5">
                    <w:rPr>
                      <w:sz w:val="20"/>
                      <w:szCs w:val="20"/>
                      <w:lang w:eastAsia="cs-CZ"/>
                    </w:rPr>
                    <w:t>000</w:t>
                  </w:r>
                </w:p>
              </w:tc>
              <w:tc>
                <w:tcPr>
                  <w:tcW w:w="1898" w:type="dxa"/>
                  <w:tcBorders>
                    <w:top w:val="single" w:sz="4" w:space="0" w:color="auto"/>
                    <w:left w:val="nil"/>
                    <w:bottom w:val="single" w:sz="4" w:space="0" w:color="auto"/>
                    <w:right w:val="nil"/>
                  </w:tcBorders>
                  <w:shd w:val="clear" w:color="auto" w:fill="FFFFFF"/>
                </w:tcPr>
                <w:p w:rsidR="008864BC" w:rsidRDefault="008D0FD5" w:rsidP="00D77E12">
                  <w:pPr>
                    <w:spacing w:after="0" w:line="240" w:lineRule="auto"/>
                    <w:jc w:val="right"/>
                    <w:rPr>
                      <w:sz w:val="20"/>
                      <w:szCs w:val="20"/>
                      <w:lang w:eastAsia="cs-CZ"/>
                    </w:rPr>
                  </w:pPr>
                  <w:r w:rsidRPr="008D0FD5">
                    <w:rPr>
                      <w:sz w:val="20"/>
                      <w:szCs w:val="20"/>
                      <w:lang w:eastAsia="cs-CZ"/>
                    </w:rPr>
                    <w:t>12884029</w:t>
                  </w:r>
                </w:p>
              </w:tc>
              <w:tc>
                <w:tcPr>
                  <w:tcW w:w="1136" w:type="dxa"/>
                  <w:tcBorders>
                    <w:top w:val="single" w:sz="4" w:space="0" w:color="auto"/>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27839</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074902</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13</w:t>
                  </w:r>
                </w:p>
              </w:tc>
              <w:tc>
                <w:tcPr>
                  <w:tcW w:w="1898" w:type="dxa"/>
                  <w:tcBorders>
                    <w:top w:val="nil"/>
                    <w:left w:val="nil"/>
                    <w:bottom w:val="single" w:sz="4" w:space="0" w:color="auto"/>
                    <w:right w:val="nil"/>
                  </w:tcBorders>
                  <w:shd w:val="clear" w:color="auto" w:fill="FFFFFF"/>
                </w:tcPr>
                <w:p w:rsidR="008864BC" w:rsidRDefault="008864BC" w:rsidP="00D77E12">
                  <w:pPr>
                    <w:spacing w:after="0" w:line="240" w:lineRule="auto"/>
                    <w:jc w:val="right"/>
                    <w:rPr>
                      <w:sz w:val="20"/>
                      <w:szCs w:val="20"/>
                      <w:lang w:eastAsia="cs-CZ"/>
                    </w:rPr>
                  </w:pPr>
                  <w:r w:rsidRPr="008864BC">
                    <w:rPr>
                      <w:sz w:val="20"/>
                      <w:szCs w:val="20"/>
                      <w:lang w:eastAsia="cs-CZ"/>
                    </w:rPr>
                    <w:t>11</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22</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110710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CA343A" w:rsidP="00D77E12">
                  <w:pPr>
                    <w:spacing w:after="0" w:line="240" w:lineRule="auto"/>
                    <w:jc w:val="right"/>
                    <w:rPr>
                      <w:sz w:val="20"/>
                      <w:szCs w:val="20"/>
                      <w:lang w:eastAsia="cs-CZ"/>
                    </w:rPr>
                  </w:pPr>
                  <w:r>
                    <w:rPr>
                      <w:sz w:val="20"/>
                      <w:szCs w:val="20"/>
                      <w:lang w:eastAsia="cs-CZ"/>
                    </w:rPr>
                    <w:t>3</w:t>
                  </w:r>
                  <w:r>
                    <w:rPr>
                      <w:rStyle w:val="Znakapoznpodarou"/>
                      <w:sz w:val="20"/>
                      <w:szCs w:val="20"/>
                      <w:lang w:eastAsia="cs-CZ"/>
                    </w:rPr>
                    <w:footnoteReference w:id="2"/>
                  </w:r>
                </w:p>
              </w:tc>
              <w:tc>
                <w:tcPr>
                  <w:tcW w:w="1898" w:type="dxa"/>
                  <w:tcBorders>
                    <w:top w:val="nil"/>
                    <w:left w:val="nil"/>
                    <w:bottom w:val="single" w:sz="4" w:space="0" w:color="auto"/>
                    <w:right w:val="nil"/>
                  </w:tcBorders>
                  <w:shd w:val="clear" w:color="auto" w:fill="FFFFFF"/>
                </w:tcPr>
                <w:p w:rsidR="008864BC" w:rsidRDefault="007C1111" w:rsidP="00D77E12">
                  <w:pPr>
                    <w:spacing w:after="0" w:line="240" w:lineRule="auto"/>
                    <w:jc w:val="right"/>
                    <w:rPr>
                      <w:sz w:val="20"/>
                      <w:szCs w:val="20"/>
                      <w:lang w:eastAsia="cs-CZ"/>
                    </w:rPr>
                  </w:pPr>
                  <w:r w:rsidRPr="007C1111">
                    <w:rPr>
                      <w:sz w:val="20"/>
                      <w:szCs w:val="20"/>
                      <w:lang w:eastAsia="cs-CZ"/>
                    </w:rPr>
                    <w:t>3</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3</w:t>
                  </w:r>
                </w:p>
              </w:tc>
            </w:tr>
            <w:tr w:rsidR="008864BC" w:rsidTr="00A04E53">
              <w:trPr>
                <w:gridAfter w:val="1"/>
                <w:wAfter w:w="65" w:type="dxa"/>
                <w:trHeight w:val="243"/>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110820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CA343A" w:rsidP="00D77E12">
                  <w:pPr>
                    <w:spacing w:after="0" w:line="240" w:lineRule="auto"/>
                    <w:jc w:val="right"/>
                    <w:rPr>
                      <w:sz w:val="20"/>
                      <w:szCs w:val="20"/>
                      <w:lang w:eastAsia="cs-CZ"/>
                    </w:rPr>
                  </w:pPr>
                  <w:r>
                    <w:rPr>
                      <w:sz w:val="20"/>
                      <w:szCs w:val="20"/>
                      <w:lang w:eastAsia="cs-CZ"/>
                    </w:rPr>
                    <w:t>73</w:t>
                  </w:r>
                </w:p>
              </w:tc>
              <w:tc>
                <w:tcPr>
                  <w:tcW w:w="1898" w:type="dxa"/>
                  <w:tcBorders>
                    <w:top w:val="nil"/>
                    <w:left w:val="nil"/>
                    <w:bottom w:val="single" w:sz="4" w:space="0" w:color="auto"/>
                    <w:right w:val="nil"/>
                  </w:tcBorders>
                  <w:shd w:val="clear" w:color="auto" w:fill="FFFFFF"/>
                </w:tcPr>
                <w:p w:rsidR="008864BC" w:rsidRDefault="007C1111" w:rsidP="00D77E12">
                  <w:pPr>
                    <w:spacing w:after="0" w:line="240" w:lineRule="auto"/>
                    <w:jc w:val="right"/>
                    <w:rPr>
                      <w:sz w:val="20"/>
                      <w:szCs w:val="20"/>
                      <w:lang w:eastAsia="cs-CZ"/>
                    </w:rPr>
                  </w:pPr>
                  <w:r w:rsidRPr="007C1111">
                    <w:rPr>
                      <w:sz w:val="20"/>
                      <w:szCs w:val="20"/>
                      <w:lang w:eastAsia="cs-CZ"/>
                    </w:rPr>
                    <w:t>113</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81</w:t>
                  </w:r>
                </w:p>
              </w:tc>
            </w:tr>
            <w:tr w:rsidR="008864BC" w:rsidTr="00A04E53">
              <w:trPr>
                <w:gridAfter w:val="1"/>
                <w:wAfter w:w="65" w:type="dxa"/>
                <w:trHeight w:val="243"/>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110810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CA343A" w:rsidP="00D77E12">
                  <w:pPr>
                    <w:spacing w:after="0" w:line="240" w:lineRule="auto"/>
                    <w:jc w:val="right"/>
                    <w:rPr>
                      <w:sz w:val="20"/>
                      <w:szCs w:val="20"/>
                      <w:lang w:eastAsia="cs-CZ"/>
                    </w:rPr>
                  </w:pPr>
                  <w:r>
                    <w:rPr>
                      <w:sz w:val="20"/>
                      <w:szCs w:val="20"/>
                      <w:lang w:eastAsia="cs-CZ"/>
                    </w:rPr>
                    <w:t>135</w:t>
                  </w:r>
                </w:p>
              </w:tc>
              <w:tc>
                <w:tcPr>
                  <w:tcW w:w="1898" w:type="dxa"/>
                  <w:tcBorders>
                    <w:top w:val="nil"/>
                    <w:left w:val="nil"/>
                    <w:bottom w:val="single" w:sz="4" w:space="0" w:color="auto"/>
                    <w:right w:val="nil"/>
                  </w:tcBorders>
                  <w:shd w:val="clear" w:color="auto" w:fill="FFFFFF"/>
                </w:tcPr>
                <w:p w:rsidR="008864BC" w:rsidRDefault="007C1111" w:rsidP="00D77E12">
                  <w:pPr>
                    <w:spacing w:after="0" w:line="240" w:lineRule="auto"/>
                    <w:jc w:val="right"/>
                    <w:rPr>
                      <w:sz w:val="20"/>
                      <w:szCs w:val="20"/>
                      <w:lang w:eastAsia="cs-CZ"/>
                    </w:rPr>
                  </w:pPr>
                  <w:r w:rsidRPr="007C1111">
                    <w:rPr>
                      <w:sz w:val="20"/>
                      <w:szCs w:val="20"/>
                      <w:lang w:eastAsia="cs-CZ"/>
                    </w:rPr>
                    <w:t>127</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136</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110830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CA343A" w:rsidP="00D77E12">
                  <w:pPr>
                    <w:spacing w:after="0" w:line="240" w:lineRule="auto"/>
                    <w:jc w:val="right"/>
                    <w:rPr>
                      <w:sz w:val="20"/>
                      <w:szCs w:val="20"/>
                      <w:lang w:eastAsia="cs-CZ"/>
                    </w:rPr>
                  </w:pPr>
                  <w:r>
                    <w:rPr>
                      <w:sz w:val="20"/>
                      <w:szCs w:val="20"/>
                      <w:lang w:eastAsia="cs-CZ"/>
                    </w:rPr>
                    <w:t>15</w:t>
                  </w:r>
                </w:p>
              </w:tc>
              <w:tc>
                <w:tcPr>
                  <w:tcW w:w="1898" w:type="dxa"/>
                  <w:tcBorders>
                    <w:top w:val="nil"/>
                    <w:left w:val="nil"/>
                    <w:bottom w:val="single" w:sz="4" w:space="0" w:color="auto"/>
                    <w:right w:val="nil"/>
                  </w:tcBorders>
                  <w:shd w:val="clear" w:color="auto" w:fill="FFFFFF"/>
                </w:tcPr>
                <w:p w:rsidR="008864BC" w:rsidRDefault="007C1111" w:rsidP="00D77E12">
                  <w:pPr>
                    <w:spacing w:after="0" w:line="240" w:lineRule="auto"/>
                    <w:jc w:val="right"/>
                    <w:rPr>
                      <w:sz w:val="20"/>
                      <w:szCs w:val="20"/>
                      <w:lang w:eastAsia="cs-CZ"/>
                    </w:rPr>
                  </w:pPr>
                  <w:r>
                    <w:rPr>
                      <w:sz w:val="20"/>
                      <w:szCs w:val="20"/>
                      <w:lang w:eastAsia="cs-CZ"/>
                    </w:rPr>
                    <w:t>0</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20</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110300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103,70</w:t>
                  </w:r>
                </w:p>
              </w:tc>
              <w:tc>
                <w:tcPr>
                  <w:tcW w:w="1898" w:type="dxa"/>
                  <w:tcBorders>
                    <w:top w:val="nil"/>
                    <w:left w:val="nil"/>
                    <w:bottom w:val="single" w:sz="4" w:space="0" w:color="auto"/>
                    <w:right w:val="nil"/>
                  </w:tcBorders>
                  <w:shd w:val="clear" w:color="auto" w:fill="FFFFFF"/>
                </w:tcPr>
                <w:p w:rsidR="008864BC" w:rsidRDefault="00C64E82" w:rsidP="00D77E12">
                  <w:pPr>
                    <w:spacing w:after="0" w:line="240" w:lineRule="auto"/>
                    <w:jc w:val="right"/>
                    <w:rPr>
                      <w:sz w:val="20"/>
                      <w:szCs w:val="20"/>
                      <w:lang w:eastAsia="cs-CZ"/>
                    </w:rPr>
                  </w:pPr>
                  <w:r w:rsidRPr="008864BC">
                    <w:rPr>
                      <w:sz w:val="20"/>
                      <w:szCs w:val="20"/>
                      <w:lang w:eastAsia="cs-CZ"/>
                    </w:rPr>
                    <w:t>151,37</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104,60</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071700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77,60</w:t>
                  </w:r>
                </w:p>
              </w:tc>
              <w:tc>
                <w:tcPr>
                  <w:tcW w:w="1898" w:type="dxa"/>
                  <w:tcBorders>
                    <w:top w:val="nil"/>
                    <w:left w:val="nil"/>
                    <w:bottom w:val="single" w:sz="4" w:space="0" w:color="auto"/>
                    <w:right w:val="nil"/>
                  </w:tcBorders>
                  <w:shd w:val="clear" w:color="auto" w:fill="FFFFFF"/>
                </w:tcPr>
                <w:p w:rsidR="008864BC" w:rsidRDefault="008864BC" w:rsidP="00D77E12">
                  <w:pPr>
                    <w:spacing w:after="0" w:line="240" w:lineRule="auto"/>
                    <w:jc w:val="right"/>
                    <w:rPr>
                      <w:sz w:val="20"/>
                      <w:szCs w:val="20"/>
                      <w:lang w:eastAsia="cs-CZ"/>
                    </w:rPr>
                  </w:pPr>
                  <w:r w:rsidRPr="008864BC">
                    <w:rPr>
                      <w:sz w:val="20"/>
                      <w:szCs w:val="20"/>
                      <w:lang w:eastAsia="cs-CZ"/>
                    </w:rPr>
                    <w:t>88,55</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78,50</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071900</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42</w:t>
                  </w:r>
                </w:p>
              </w:tc>
              <w:tc>
                <w:tcPr>
                  <w:tcW w:w="1898" w:type="dxa"/>
                  <w:tcBorders>
                    <w:top w:val="nil"/>
                    <w:left w:val="nil"/>
                    <w:bottom w:val="single" w:sz="4" w:space="0" w:color="auto"/>
                    <w:right w:val="nil"/>
                  </w:tcBorders>
                  <w:shd w:val="clear" w:color="auto" w:fill="FFFFFF"/>
                </w:tcPr>
                <w:p w:rsidR="008864BC" w:rsidRDefault="008864BC" w:rsidP="00D77E12">
                  <w:pPr>
                    <w:spacing w:after="0" w:line="240" w:lineRule="auto"/>
                    <w:jc w:val="right"/>
                    <w:rPr>
                      <w:sz w:val="20"/>
                      <w:szCs w:val="20"/>
                      <w:lang w:eastAsia="cs-CZ"/>
                    </w:rPr>
                  </w:pPr>
                  <w:r w:rsidRPr="008864BC">
                    <w:rPr>
                      <w:sz w:val="20"/>
                      <w:szCs w:val="20"/>
                      <w:lang w:eastAsia="cs-CZ"/>
                    </w:rPr>
                    <w:t>49,92</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45</w:t>
                  </w:r>
                </w:p>
              </w:tc>
            </w:tr>
            <w:tr w:rsidR="008864BC" w:rsidTr="00A04E53">
              <w:trPr>
                <w:gridAfter w:val="1"/>
                <w:wAfter w:w="65" w:type="dxa"/>
                <w:trHeight w:val="70"/>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110516</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413,32</w:t>
                  </w:r>
                </w:p>
              </w:tc>
              <w:tc>
                <w:tcPr>
                  <w:tcW w:w="1898" w:type="dxa"/>
                  <w:tcBorders>
                    <w:top w:val="nil"/>
                    <w:left w:val="nil"/>
                    <w:bottom w:val="single" w:sz="4" w:space="0" w:color="auto"/>
                    <w:right w:val="nil"/>
                  </w:tcBorders>
                  <w:shd w:val="clear" w:color="auto" w:fill="FFFFFF"/>
                </w:tcPr>
                <w:p w:rsidR="008864BC" w:rsidRDefault="007C1111" w:rsidP="00D77E12">
                  <w:pPr>
                    <w:spacing w:after="0" w:line="240" w:lineRule="auto"/>
                    <w:jc w:val="right"/>
                    <w:rPr>
                      <w:sz w:val="20"/>
                      <w:szCs w:val="20"/>
                      <w:lang w:eastAsia="cs-CZ"/>
                    </w:rPr>
                  </w:pPr>
                  <w:r w:rsidRPr="007C1111">
                    <w:rPr>
                      <w:sz w:val="20"/>
                      <w:szCs w:val="20"/>
                      <w:lang w:eastAsia="cs-CZ"/>
                    </w:rPr>
                    <w:t>413,32</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w:t>
                  </w:r>
                </w:p>
              </w:tc>
            </w:tr>
            <w:tr w:rsidR="008864BC" w:rsidTr="00A04E53">
              <w:trPr>
                <w:gridAfter w:val="1"/>
                <w:wAfter w:w="65" w:type="dxa"/>
                <w:trHeight w:val="122"/>
              </w:trPr>
              <w:tc>
                <w:tcPr>
                  <w:tcW w:w="1474" w:type="dxa"/>
                  <w:tcBorders>
                    <w:top w:val="nil"/>
                    <w:left w:val="single" w:sz="4" w:space="0" w:color="auto"/>
                    <w:bottom w:val="single" w:sz="4" w:space="0" w:color="auto"/>
                    <w:right w:val="single" w:sz="4" w:space="0" w:color="auto"/>
                  </w:tcBorders>
                  <w:noWrap/>
                  <w:vAlign w:val="bottom"/>
                  <w:hideMark/>
                </w:tcPr>
                <w:p w:rsidR="008864BC" w:rsidRDefault="008864BC" w:rsidP="00D77E12">
                  <w:pPr>
                    <w:spacing w:after="0" w:line="240" w:lineRule="auto"/>
                    <w:jc w:val="center"/>
                    <w:rPr>
                      <w:sz w:val="20"/>
                      <w:szCs w:val="20"/>
                      <w:lang w:eastAsia="cs-CZ"/>
                    </w:rPr>
                  </w:pPr>
                  <w:r>
                    <w:rPr>
                      <w:sz w:val="20"/>
                      <w:szCs w:val="20"/>
                      <w:lang w:eastAsia="cs-CZ"/>
                    </w:rPr>
                    <w:t>110517</w:t>
                  </w:r>
                </w:p>
              </w:tc>
              <w:tc>
                <w:tcPr>
                  <w:tcW w:w="1815" w:type="dxa"/>
                  <w:tcBorders>
                    <w:top w:val="nil"/>
                    <w:left w:val="nil"/>
                    <w:bottom w:val="single" w:sz="4" w:space="0" w:color="auto"/>
                    <w:right w:val="single" w:sz="4" w:space="0" w:color="auto"/>
                  </w:tcBorders>
                  <w:shd w:val="clear" w:color="auto" w:fill="FFFFFF"/>
                  <w:vAlign w:val="bottom"/>
                  <w:hideMark/>
                </w:tcPr>
                <w:p w:rsidR="008864BC" w:rsidRDefault="008864BC" w:rsidP="00D77E12">
                  <w:pPr>
                    <w:spacing w:after="0" w:line="240" w:lineRule="auto"/>
                    <w:jc w:val="right"/>
                    <w:rPr>
                      <w:sz w:val="20"/>
                      <w:szCs w:val="20"/>
                      <w:lang w:eastAsia="cs-CZ"/>
                    </w:rPr>
                  </w:pPr>
                  <w:r>
                    <w:rPr>
                      <w:sz w:val="20"/>
                      <w:szCs w:val="20"/>
                      <w:lang w:eastAsia="cs-CZ"/>
                    </w:rPr>
                    <w:t>1017</w:t>
                  </w:r>
                </w:p>
              </w:tc>
              <w:tc>
                <w:tcPr>
                  <w:tcW w:w="1898" w:type="dxa"/>
                  <w:tcBorders>
                    <w:top w:val="nil"/>
                    <w:left w:val="nil"/>
                    <w:bottom w:val="single" w:sz="4" w:space="0" w:color="auto"/>
                    <w:right w:val="nil"/>
                  </w:tcBorders>
                  <w:shd w:val="clear" w:color="auto" w:fill="FFFFFF"/>
                </w:tcPr>
                <w:p w:rsidR="008864BC" w:rsidRDefault="007C1111" w:rsidP="00D77E12">
                  <w:pPr>
                    <w:spacing w:after="0" w:line="240" w:lineRule="auto"/>
                    <w:jc w:val="right"/>
                    <w:rPr>
                      <w:sz w:val="20"/>
                      <w:szCs w:val="20"/>
                      <w:lang w:eastAsia="cs-CZ"/>
                    </w:rPr>
                  </w:pPr>
                  <w:r w:rsidRPr="007C1111">
                    <w:rPr>
                      <w:sz w:val="20"/>
                      <w:szCs w:val="20"/>
                      <w:lang w:eastAsia="cs-CZ"/>
                    </w:rPr>
                    <w:t>1022,80</w:t>
                  </w:r>
                </w:p>
              </w:tc>
              <w:tc>
                <w:tcPr>
                  <w:tcW w:w="1136" w:type="dxa"/>
                  <w:tcBorders>
                    <w:top w:val="nil"/>
                    <w:left w:val="nil"/>
                    <w:bottom w:val="single" w:sz="4" w:space="0" w:color="auto"/>
                    <w:right w:val="single" w:sz="4" w:space="0" w:color="auto"/>
                  </w:tcBorders>
                  <w:shd w:val="clear" w:color="auto" w:fill="FFFFFF"/>
                  <w:noWrap/>
                  <w:vAlign w:val="bottom"/>
                  <w:hideMark/>
                </w:tcPr>
                <w:p w:rsidR="008864BC" w:rsidRDefault="008864BC" w:rsidP="00D77E12">
                  <w:pPr>
                    <w:spacing w:after="0" w:line="240" w:lineRule="auto"/>
                    <w:jc w:val="right"/>
                    <w:rPr>
                      <w:sz w:val="20"/>
                      <w:szCs w:val="20"/>
                      <w:lang w:eastAsia="cs-CZ"/>
                    </w:rPr>
                  </w:pPr>
                  <w:r>
                    <w:rPr>
                      <w:sz w:val="20"/>
                      <w:szCs w:val="20"/>
                      <w:lang w:eastAsia="cs-CZ"/>
                    </w:rPr>
                    <w:t>-</w:t>
                  </w:r>
                </w:p>
              </w:tc>
            </w:tr>
          </w:tbl>
          <w:p w:rsidR="008864BC" w:rsidRPr="00E4455A" w:rsidRDefault="008864BC" w:rsidP="00F34368">
            <w:pPr>
              <w:spacing w:before="60" w:after="60" w:line="240" w:lineRule="auto"/>
              <w:rPr>
                <w:rFonts w:asciiTheme="minorHAnsi" w:hAnsiTheme="minorHAnsi" w:cstheme="minorHAnsi"/>
                <w:sz w:val="18"/>
                <w:szCs w:val="18"/>
              </w:rPr>
            </w:pPr>
          </w:p>
        </w:tc>
      </w:tr>
      <w:tr w:rsidR="00235AE1" w:rsidTr="00F74C5F">
        <w:tc>
          <w:tcPr>
            <w:tcW w:w="9450" w:type="dxa"/>
            <w:gridSpan w:val="6"/>
            <w:shd w:val="clear" w:color="auto" w:fill="595959" w:themeFill="text1" w:themeFillTint="A6"/>
          </w:tcPr>
          <w:p w:rsidR="00235AE1" w:rsidRPr="003D1E91" w:rsidRDefault="0004245B" w:rsidP="00A431A3">
            <w:pPr>
              <w:spacing w:before="60" w:after="60" w:line="240" w:lineRule="auto"/>
              <w:rPr>
                <w:rFonts w:asciiTheme="minorHAnsi" w:hAnsiTheme="minorHAnsi" w:cstheme="minorHAnsi"/>
                <w:b/>
                <w:color w:val="FFFFFF" w:themeColor="background1"/>
                <w:sz w:val="22"/>
              </w:rPr>
            </w:pPr>
            <w:r w:rsidRPr="003D1E91">
              <w:rPr>
                <w:rFonts w:asciiTheme="minorHAnsi" w:hAnsiTheme="minorHAnsi" w:cstheme="minorHAnsi"/>
                <w:b/>
                <w:noProof/>
                <w:color w:val="FFFFFF" w:themeColor="background1"/>
                <w:sz w:val="22"/>
              </w:rPr>
              <mc:AlternateContent>
                <mc:Choice Requires="wps">
                  <w:drawing>
                    <wp:anchor distT="0" distB="0" distL="114300" distR="114300" simplePos="0" relativeHeight="251659264" behindDoc="0" locked="0" layoutInCell="1" allowOverlap="1" wp14:anchorId="430CAE0C" wp14:editId="587DED81">
                      <wp:simplePos x="0" y="0"/>
                      <wp:positionH relativeFrom="column">
                        <wp:posOffset>3745230</wp:posOffset>
                      </wp:positionH>
                      <wp:positionV relativeFrom="paragraph">
                        <wp:posOffset>22860</wp:posOffset>
                      </wp:positionV>
                      <wp:extent cx="1912620" cy="205740"/>
                      <wp:effectExtent l="0" t="0" r="11430" b="22860"/>
                      <wp:wrapNone/>
                      <wp:docPr id="1" name="Textové pole 1"/>
                      <wp:cNvGraphicFramePr/>
                      <a:graphic xmlns:a="http://schemas.openxmlformats.org/drawingml/2006/main">
                        <a:graphicData uri="http://schemas.microsoft.com/office/word/2010/wordprocessingShape">
                          <wps:wsp>
                            <wps:cNvSpPr txBox="1"/>
                            <wps:spPr>
                              <a:xfrm>
                                <a:off x="0" y="0"/>
                                <a:ext cx="1912620" cy="205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245B" w:rsidRPr="00B07516" w:rsidRDefault="0004245B" w:rsidP="0004245B">
                                  <w:pPr>
                                    <w:spacing w:after="120" w:line="240" w:lineRule="auto"/>
                                    <w:rPr>
                                      <w:sz w:val="18"/>
                                      <w:szCs w:val="18"/>
                                    </w:rPr>
                                  </w:pPr>
                                  <w:r w:rsidRPr="00B07516">
                                    <w:rPr>
                                      <w:sz w:val="18"/>
                                      <w:szCs w:val="18"/>
                                    </w:rPr>
                                    <w:t>K datu</w:t>
                                  </w:r>
                                  <w:r w:rsidR="00B07516">
                                    <w:rPr>
                                      <w:sz w:val="18"/>
                                      <w:szCs w:val="18"/>
                                    </w:rPr>
                                    <w:t>:</w:t>
                                  </w:r>
                                  <w:r w:rsidR="009C351B">
                                    <w:rPr>
                                      <w:sz w:val="18"/>
                                      <w:szCs w:val="18"/>
                                    </w:rPr>
                                    <w:t xml:space="preserve"> 20. 2. 2015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0CAE0C" id="_x0000_t202" coordsize="21600,21600" o:spt="202" path="m,l,21600r21600,l21600,xe">
                      <v:stroke joinstyle="miter"/>
                      <v:path gradientshapeok="t" o:connecttype="rect"/>
                    </v:shapetype>
                    <v:shape id="Textové pole 1" o:spid="_x0000_s1026" type="#_x0000_t202" style="position:absolute;margin-left:294.9pt;margin-top:1.8pt;width:150.6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" fillcolor="white [3201]" strokeweight=".5pt">
                      <v:textbox>
                        <w:txbxContent>
                          <w:p w:rsidR="0004245B" w:rsidRPr="00B07516" w:rsidRDefault="0004245B" w:rsidP="0004245B">
                            <w:pPr>
                              <w:spacing w:after="120" w:line="240" w:lineRule="auto"/>
                              <w:rPr>
                                <w:sz w:val="18"/>
                                <w:szCs w:val="18"/>
                              </w:rPr>
                            </w:pPr>
                            <w:r w:rsidRPr="00B07516">
                              <w:rPr>
                                <w:sz w:val="18"/>
                                <w:szCs w:val="18"/>
                              </w:rPr>
                              <w:t>K datu</w:t>
                            </w:r>
                            <w:r w:rsidR="00B07516">
                              <w:rPr>
                                <w:sz w:val="18"/>
                                <w:szCs w:val="18"/>
                              </w:rPr>
                              <w:t>:</w:t>
                            </w:r>
                            <w:r w:rsidR="009C351B">
                              <w:rPr>
                                <w:sz w:val="18"/>
                                <w:szCs w:val="18"/>
                              </w:rPr>
                              <w:t xml:space="preserve"> 20. 2. 2015</w:t>
                            </w:r>
                          </w:p>
                        </w:txbxContent>
                      </v:textbox>
                    </v:shape>
                  </w:pict>
                </mc:Fallback>
              </mc:AlternateContent>
            </w:r>
            <w:r w:rsidR="005F27AE" w:rsidRPr="003D1E91">
              <w:rPr>
                <w:rFonts w:asciiTheme="minorHAnsi" w:hAnsiTheme="minorHAnsi" w:cstheme="minorHAnsi"/>
                <w:b/>
                <w:color w:val="FFFFFF" w:themeColor="background1"/>
                <w:sz w:val="22"/>
              </w:rPr>
              <w:t>Aktuální stav realizace projektu</w:t>
            </w:r>
          </w:p>
        </w:tc>
      </w:tr>
      <w:tr w:rsidR="00F9010E" w:rsidTr="00D03FD2">
        <w:trPr>
          <w:trHeight w:val="847"/>
        </w:trPr>
        <w:tc>
          <w:tcPr>
            <w:tcW w:w="2298" w:type="dxa"/>
          </w:tcPr>
          <w:p w:rsidR="00F9010E" w:rsidRPr="00E4455A" w:rsidRDefault="00F9010E" w:rsidP="00C92258">
            <w:pPr>
              <w:spacing w:before="60" w:after="60"/>
              <w:rPr>
                <w:rFonts w:asciiTheme="minorHAnsi" w:hAnsiTheme="minorHAnsi" w:cstheme="minorHAnsi"/>
                <w:b/>
                <w:sz w:val="22"/>
              </w:rPr>
            </w:pPr>
            <w:r w:rsidRPr="00E4455A">
              <w:rPr>
                <w:rFonts w:asciiTheme="minorHAnsi" w:hAnsiTheme="minorHAnsi" w:cstheme="minorHAnsi"/>
                <w:b/>
                <w:sz w:val="22"/>
              </w:rPr>
              <w:t>Statutární orgán projektu</w:t>
            </w:r>
          </w:p>
        </w:tc>
        <w:tc>
          <w:tcPr>
            <w:tcW w:w="3472" w:type="dxa"/>
            <w:gridSpan w:val="2"/>
          </w:tcPr>
          <w:p w:rsidR="00F9010E" w:rsidRDefault="00002DBE" w:rsidP="00002DBE">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 xml:space="preserve">Jméno a </w:t>
            </w:r>
            <w:r w:rsidR="00F9010E" w:rsidRPr="00E4455A">
              <w:rPr>
                <w:rFonts w:asciiTheme="minorHAnsi" w:hAnsiTheme="minorHAnsi" w:cstheme="minorHAnsi"/>
                <w:sz w:val="18"/>
                <w:szCs w:val="18"/>
              </w:rPr>
              <w:t xml:space="preserve">pracovní </w:t>
            </w:r>
            <w:r w:rsidRPr="00E4455A">
              <w:rPr>
                <w:rFonts w:asciiTheme="minorHAnsi" w:hAnsiTheme="minorHAnsi" w:cstheme="minorHAnsi"/>
                <w:sz w:val="18"/>
                <w:szCs w:val="18"/>
              </w:rPr>
              <w:t>pozice:</w:t>
            </w:r>
          </w:p>
          <w:p w:rsidR="009C351B" w:rsidRDefault="009C351B" w:rsidP="00002DBE">
            <w:pPr>
              <w:spacing w:before="60" w:after="60" w:line="240" w:lineRule="auto"/>
              <w:rPr>
                <w:rFonts w:asciiTheme="minorHAnsi" w:hAnsiTheme="minorHAnsi" w:cstheme="minorHAnsi"/>
                <w:sz w:val="18"/>
                <w:szCs w:val="18"/>
              </w:rPr>
            </w:pPr>
            <w:r w:rsidRPr="009C351B">
              <w:rPr>
                <w:rFonts w:asciiTheme="minorHAnsi" w:hAnsiTheme="minorHAnsi" w:cstheme="minorHAnsi"/>
                <w:sz w:val="18"/>
                <w:szCs w:val="18"/>
              </w:rPr>
              <w:t>Prof. RNDr. Ing. Michal V. Marek, DrSc.</w:t>
            </w:r>
          </w:p>
          <w:p w:rsidR="009C351B" w:rsidRPr="00E4455A" w:rsidRDefault="009C351B" w:rsidP="00002DBE">
            <w:pPr>
              <w:spacing w:before="60" w:after="60" w:line="240" w:lineRule="auto"/>
              <w:rPr>
                <w:rFonts w:asciiTheme="minorHAnsi" w:hAnsiTheme="minorHAnsi" w:cstheme="minorHAnsi"/>
                <w:sz w:val="18"/>
                <w:szCs w:val="18"/>
              </w:rPr>
            </w:pPr>
            <w:r>
              <w:rPr>
                <w:rFonts w:asciiTheme="minorHAnsi" w:hAnsiTheme="minorHAnsi" w:cstheme="minorHAnsi"/>
                <w:sz w:val="18"/>
                <w:szCs w:val="18"/>
              </w:rPr>
              <w:t>Ředitel centra</w:t>
            </w:r>
          </w:p>
        </w:tc>
        <w:tc>
          <w:tcPr>
            <w:tcW w:w="3680" w:type="dxa"/>
            <w:gridSpan w:val="3"/>
          </w:tcPr>
          <w:p w:rsidR="00F9010E" w:rsidRDefault="00F9010E"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Instituce</w:t>
            </w:r>
            <w:r w:rsidR="00002DBE" w:rsidRPr="00E4455A">
              <w:rPr>
                <w:rFonts w:asciiTheme="minorHAnsi" w:hAnsiTheme="minorHAnsi" w:cstheme="minorHAnsi"/>
                <w:sz w:val="18"/>
                <w:szCs w:val="18"/>
              </w:rPr>
              <w:t>:</w:t>
            </w:r>
          </w:p>
          <w:p w:rsidR="009C351B" w:rsidRPr="00E4455A" w:rsidRDefault="009C351B" w:rsidP="00DD26D3">
            <w:pPr>
              <w:spacing w:before="60" w:after="60" w:line="240" w:lineRule="auto"/>
              <w:rPr>
                <w:rFonts w:asciiTheme="minorHAnsi" w:hAnsiTheme="minorHAnsi" w:cstheme="minorHAnsi"/>
                <w:sz w:val="18"/>
                <w:szCs w:val="18"/>
              </w:rPr>
            </w:pPr>
            <w:r w:rsidRPr="009C351B">
              <w:rPr>
                <w:rFonts w:asciiTheme="minorHAnsi" w:hAnsiTheme="minorHAnsi" w:cstheme="minorHAnsi"/>
                <w:sz w:val="18"/>
                <w:szCs w:val="18"/>
              </w:rPr>
              <w:t>Centrum výzkumu globální změny AV CR, v.v.i.</w:t>
            </w:r>
          </w:p>
        </w:tc>
      </w:tr>
      <w:tr w:rsidR="00002DBE" w:rsidTr="00D03FD2">
        <w:trPr>
          <w:trHeight w:val="1009"/>
        </w:trPr>
        <w:tc>
          <w:tcPr>
            <w:tcW w:w="2298" w:type="dxa"/>
          </w:tcPr>
          <w:p w:rsidR="00002DBE" w:rsidRPr="00E4455A" w:rsidRDefault="00002DBE" w:rsidP="00C92258">
            <w:pPr>
              <w:spacing w:before="60" w:after="60"/>
              <w:rPr>
                <w:rFonts w:asciiTheme="minorHAnsi" w:hAnsiTheme="minorHAnsi" w:cstheme="minorHAnsi"/>
                <w:b/>
                <w:sz w:val="22"/>
              </w:rPr>
            </w:pPr>
            <w:r w:rsidRPr="00E4455A">
              <w:rPr>
                <w:rFonts w:asciiTheme="minorHAnsi" w:hAnsiTheme="minorHAnsi" w:cstheme="minorHAnsi"/>
                <w:b/>
                <w:sz w:val="22"/>
              </w:rPr>
              <w:t>Kontaktní osoba projektu</w:t>
            </w:r>
          </w:p>
        </w:tc>
        <w:tc>
          <w:tcPr>
            <w:tcW w:w="7152" w:type="dxa"/>
            <w:gridSpan w:val="5"/>
          </w:tcPr>
          <w:p w:rsidR="00002DBE" w:rsidRPr="00E4455A" w:rsidRDefault="00002DBE"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Vedoucí projektu (jméno a pracovní pozice)</w:t>
            </w:r>
            <w:r w:rsidR="001057A4" w:rsidRPr="00E4455A">
              <w:rPr>
                <w:rFonts w:asciiTheme="minorHAnsi" w:hAnsiTheme="minorHAnsi" w:cstheme="minorHAnsi"/>
                <w:sz w:val="18"/>
                <w:szCs w:val="18"/>
              </w:rPr>
              <w:t>:</w:t>
            </w:r>
          </w:p>
          <w:p w:rsidR="00002DBE" w:rsidRPr="00E4455A" w:rsidRDefault="00753767" w:rsidP="00DD26D3">
            <w:pPr>
              <w:spacing w:before="60" w:after="60" w:line="240" w:lineRule="auto"/>
              <w:rPr>
                <w:rFonts w:asciiTheme="minorHAnsi" w:hAnsiTheme="minorHAnsi" w:cstheme="minorHAnsi"/>
                <w:sz w:val="18"/>
                <w:szCs w:val="18"/>
              </w:rPr>
            </w:pPr>
            <w:r>
              <w:rPr>
                <w:rFonts w:asciiTheme="minorHAnsi" w:hAnsiTheme="minorHAnsi" w:cstheme="minorHAnsi"/>
                <w:sz w:val="18"/>
                <w:szCs w:val="18"/>
              </w:rPr>
              <w:t xml:space="preserve">Ing. </w:t>
            </w:r>
            <w:r w:rsidRPr="00753767">
              <w:rPr>
                <w:rFonts w:asciiTheme="minorHAnsi" w:hAnsiTheme="minorHAnsi" w:cstheme="minorHAnsi"/>
                <w:sz w:val="18"/>
                <w:szCs w:val="18"/>
              </w:rPr>
              <w:t>Dalibor Janouš</w:t>
            </w:r>
          </w:p>
          <w:p w:rsidR="00002DBE" w:rsidRDefault="00002DBE"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Ekonom</w:t>
            </w:r>
            <w:r w:rsidR="001057A4" w:rsidRPr="00E4455A">
              <w:rPr>
                <w:rFonts w:asciiTheme="minorHAnsi" w:hAnsiTheme="minorHAnsi" w:cstheme="minorHAnsi"/>
                <w:sz w:val="18"/>
                <w:szCs w:val="18"/>
              </w:rPr>
              <w:t>:</w:t>
            </w:r>
          </w:p>
          <w:p w:rsidR="00753767" w:rsidRPr="00E4455A" w:rsidRDefault="00753767" w:rsidP="00DD26D3">
            <w:pPr>
              <w:spacing w:before="60" w:after="60" w:line="240" w:lineRule="auto"/>
              <w:rPr>
                <w:rFonts w:asciiTheme="minorHAnsi" w:hAnsiTheme="minorHAnsi" w:cstheme="minorHAnsi"/>
                <w:sz w:val="18"/>
                <w:szCs w:val="18"/>
              </w:rPr>
            </w:pPr>
            <w:r>
              <w:rPr>
                <w:rFonts w:asciiTheme="minorHAnsi" w:hAnsiTheme="minorHAnsi" w:cstheme="minorHAnsi"/>
                <w:sz w:val="18"/>
                <w:szCs w:val="18"/>
              </w:rPr>
              <w:t>Ing. Jarmila Grégrová</w:t>
            </w:r>
          </w:p>
        </w:tc>
      </w:tr>
      <w:tr w:rsidR="0004245B" w:rsidTr="00D03FD2">
        <w:trPr>
          <w:trHeight w:val="843"/>
        </w:trPr>
        <w:tc>
          <w:tcPr>
            <w:tcW w:w="2298" w:type="dxa"/>
          </w:tcPr>
          <w:p w:rsidR="0004245B" w:rsidRPr="00E4455A" w:rsidRDefault="0004245B" w:rsidP="00C92258">
            <w:pPr>
              <w:spacing w:before="60" w:after="60"/>
              <w:rPr>
                <w:rFonts w:asciiTheme="minorHAnsi" w:hAnsiTheme="minorHAnsi" w:cstheme="minorHAnsi"/>
                <w:b/>
                <w:sz w:val="22"/>
              </w:rPr>
            </w:pPr>
            <w:r w:rsidRPr="00E4455A">
              <w:rPr>
                <w:rFonts w:asciiTheme="minorHAnsi" w:hAnsiTheme="minorHAnsi" w:cstheme="minorHAnsi"/>
                <w:b/>
                <w:sz w:val="22"/>
              </w:rPr>
              <w:t>Klíčové</w:t>
            </w:r>
            <w:r w:rsidR="00AF6EBB" w:rsidRPr="00E4455A">
              <w:rPr>
                <w:rFonts w:asciiTheme="minorHAnsi" w:hAnsiTheme="minorHAnsi" w:cstheme="minorHAnsi"/>
                <w:b/>
                <w:sz w:val="22"/>
              </w:rPr>
              <w:t xml:space="preserve"> schválené</w:t>
            </w:r>
            <w:r w:rsidRPr="00E4455A">
              <w:rPr>
                <w:rFonts w:asciiTheme="minorHAnsi" w:hAnsiTheme="minorHAnsi" w:cstheme="minorHAnsi"/>
                <w:b/>
                <w:sz w:val="22"/>
              </w:rPr>
              <w:t xml:space="preserve"> změny projektu</w:t>
            </w:r>
          </w:p>
        </w:tc>
        <w:tc>
          <w:tcPr>
            <w:tcW w:w="4606" w:type="dxa"/>
            <w:gridSpan w:val="4"/>
          </w:tcPr>
          <w:p w:rsidR="0004245B" w:rsidRDefault="0004245B"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Stručný popis</w:t>
            </w:r>
            <w:r w:rsidR="001057A4" w:rsidRPr="00E4455A">
              <w:rPr>
                <w:rFonts w:asciiTheme="minorHAnsi" w:hAnsiTheme="minorHAnsi" w:cstheme="minorHAnsi"/>
                <w:sz w:val="18"/>
                <w:szCs w:val="18"/>
              </w:rPr>
              <w:t>:</w:t>
            </w:r>
          </w:p>
          <w:p w:rsidR="003B33AF" w:rsidRPr="00E4455A" w:rsidRDefault="003B33AF" w:rsidP="00185BB0">
            <w:pPr>
              <w:spacing w:before="60" w:after="60" w:line="240" w:lineRule="auto"/>
              <w:rPr>
                <w:rFonts w:asciiTheme="minorHAnsi" w:hAnsiTheme="minorHAnsi" w:cstheme="minorHAnsi"/>
                <w:sz w:val="18"/>
                <w:szCs w:val="18"/>
              </w:rPr>
            </w:pPr>
            <w:r>
              <w:rPr>
                <w:rFonts w:asciiTheme="minorHAnsi" w:hAnsiTheme="minorHAnsi" w:cstheme="minorHAnsi"/>
                <w:sz w:val="18"/>
                <w:szCs w:val="18"/>
              </w:rPr>
              <w:t xml:space="preserve">V projektu došlo jako u většiny k posunu infrastrukturní části, také došlo </w:t>
            </w:r>
            <w:r w:rsidR="00185BB0">
              <w:rPr>
                <w:rFonts w:asciiTheme="minorHAnsi" w:hAnsiTheme="minorHAnsi" w:cstheme="minorHAnsi"/>
                <w:sz w:val="18"/>
                <w:szCs w:val="18"/>
              </w:rPr>
              <w:t>k posunu</w:t>
            </w:r>
            <w:r>
              <w:rPr>
                <w:rFonts w:asciiTheme="minorHAnsi" w:hAnsiTheme="minorHAnsi" w:cstheme="minorHAnsi"/>
                <w:sz w:val="18"/>
                <w:szCs w:val="18"/>
              </w:rPr>
              <w:t xml:space="preserve"> data ukončení realizace vzhledem k problematickému nákupu leteckého nosiče senzorů</w:t>
            </w:r>
            <w:r w:rsidR="00CA343A">
              <w:rPr>
                <w:rFonts w:asciiTheme="minorHAnsi" w:hAnsiTheme="minorHAnsi" w:cstheme="minorHAnsi"/>
                <w:sz w:val="18"/>
                <w:szCs w:val="18"/>
              </w:rPr>
              <w:t xml:space="preserve"> a přístrojů potřebných do něj</w:t>
            </w:r>
            <w:r>
              <w:rPr>
                <w:rFonts w:asciiTheme="minorHAnsi" w:hAnsiTheme="minorHAnsi" w:cstheme="minorHAnsi"/>
                <w:sz w:val="18"/>
                <w:szCs w:val="18"/>
              </w:rPr>
              <w:t xml:space="preserve">. </w:t>
            </w:r>
            <w:r w:rsidR="00185BB0">
              <w:rPr>
                <w:rFonts w:asciiTheme="minorHAnsi" w:hAnsiTheme="minorHAnsi" w:cstheme="minorHAnsi"/>
                <w:sz w:val="18"/>
                <w:szCs w:val="18"/>
              </w:rPr>
              <w:t xml:space="preserve">Došlo také ke stavební změně ve smyslu navýšení věže na Křešíně, aby mohla být zařazena do prestižní infrastruktury ICOS. </w:t>
            </w:r>
            <w:r>
              <w:rPr>
                <w:rFonts w:asciiTheme="minorHAnsi" w:hAnsiTheme="minorHAnsi" w:cstheme="minorHAnsi"/>
                <w:sz w:val="18"/>
                <w:szCs w:val="18"/>
              </w:rPr>
              <w:t>Projekt stihl využít jak 30% úsporu ze stavby, tak 70% úsporu těsně před ukončením realizace.</w:t>
            </w:r>
          </w:p>
        </w:tc>
        <w:tc>
          <w:tcPr>
            <w:tcW w:w="2546" w:type="dxa"/>
          </w:tcPr>
          <w:p w:rsidR="0004245B" w:rsidRDefault="0004245B"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Finanční dopady</w:t>
            </w:r>
            <w:r w:rsidR="001057A4" w:rsidRPr="00E4455A">
              <w:rPr>
                <w:rFonts w:asciiTheme="minorHAnsi" w:hAnsiTheme="minorHAnsi" w:cstheme="minorHAnsi"/>
                <w:sz w:val="18"/>
                <w:szCs w:val="18"/>
              </w:rPr>
              <w:t>:</w:t>
            </w:r>
          </w:p>
          <w:p w:rsidR="003B33AF" w:rsidRPr="00E4455A" w:rsidRDefault="003B33AF" w:rsidP="00DD26D3">
            <w:pPr>
              <w:spacing w:before="60" w:after="60" w:line="240" w:lineRule="auto"/>
              <w:rPr>
                <w:rFonts w:asciiTheme="minorHAnsi" w:hAnsiTheme="minorHAnsi" w:cstheme="minorHAnsi"/>
                <w:sz w:val="18"/>
                <w:szCs w:val="18"/>
              </w:rPr>
            </w:pPr>
            <w:r>
              <w:rPr>
                <w:rFonts w:asciiTheme="minorHAnsi" w:hAnsiTheme="minorHAnsi" w:cstheme="minorHAnsi"/>
                <w:sz w:val="18"/>
                <w:szCs w:val="18"/>
              </w:rPr>
              <w:t xml:space="preserve">100% využití úspor ze stavby </w:t>
            </w:r>
          </w:p>
        </w:tc>
      </w:tr>
      <w:tr w:rsidR="0004245B" w:rsidTr="00D03FD2">
        <w:trPr>
          <w:trHeight w:val="869"/>
        </w:trPr>
        <w:tc>
          <w:tcPr>
            <w:tcW w:w="2298" w:type="dxa"/>
          </w:tcPr>
          <w:p w:rsidR="0004245B" w:rsidRPr="00E4455A" w:rsidRDefault="0004245B" w:rsidP="0000024D">
            <w:pPr>
              <w:pStyle w:val="Textkomente"/>
              <w:rPr>
                <w:rFonts w:asciiTheme="minorHAnsi" w:hAnsiTheme="minorHAnsi" w:cstheme="minorHAnsi"/>
                <w:sz w:val="22"/>
                <w:szCs w:val="22"/>
              </w:rPr>
            </w:pPr>
            <w:r w:rsidRPr="00E4455A">
              <w:rPr>
                <w:rFonts w:asciiTheme="minorHAnsi" w:hAnsiTheme="minorHAnsi" w:cstheme="minorHAnsi"/>
                <w:b/>
                <w:sz w:val="22"/>
                <w:szCs w:val="22"/>
              </w:rPr>
              <w:t>Věcná realizace projektu</w:t>
            </w:r>
            <w:r w:rsidR="0000024D" w:rsidRPr="00E4455A">
              <w:rPr>
                <w:rFonts w:asciiTheme="minorHAnsi" w:hAnsiTheme="minorHAnsi" w:cstheme="minorHAnsi"/>
                <w:b/>
                <w:sz w:val="22"/>
                <w:szCs w:val="22"/>
              </w:rPr>
              <w:t xml:space="preserve"> </w:t>
            </w:r>
            <w:r w:rsidR="0000024D" w:rsidRPr="0060312A">
              <w:rPr>
                <w:rFonts w:asciiTheme="minorHAnsi" w:hAnsiTheme="minorHAnsi" w:cstheme="minorHAnsi"/>
                <w:sz w:val="18"/>
                <w:szCs w:val="18"/>
              </w:rPr>
              <w:t xml:space="preserve">(stručný popis, v jaké fázi se projekt nachází, jak probíhá jeho realizace a uvedou se aktuální schválené hodnoty MI k výše uvedenému datu </w:t>
            </w:r>
            <w:r w:rsidR="0000024D" w:rsidRPr="0060312A">
              <w:rPr>
                <w:rFonts w:asciiTheme="minorHAnsi" w:hAnsiTheme="minorHAnsi" w:cstheme="minorHAnsi"/>
                <w:sz w:val="18"/>
                <w:szCs w:val="18"/>
              </w:rPr>
              <w:lastRenderedPageBreak/>
              <w:t>a jejich popis)</w:t>
            </w:r>
          </w:p>
        </w:tc>
        <w:tc>
          <w:tcPr>
            <w:tcW w:w="7152" w:type="dxa"/>
            <w:gridSpan w:val="5"/>
          </w:tcPr>
          <w:p w:rsidR="004D269E" w:rsidRDefault="004D269E" w:rsidP="004D269E">
            <w:pPr>
              <w:spacing w:before="60" w:after="60" w:line="240" w:lineRule="auto"/>
              <w:rPr>
                <w:rFonts w:asciiTheme="minorHAnsi" w:hAnsiTheme="minorHAnsi" w:cstheme="minorHAnsi"/>
                <w:sz w:val="18"/>
                <w:szCs w:val="18"/>
              </w:rPr>
            </w:pPr>
            <w:r>
              <w:rPr>
                <w:rFonts w:asciiTheme="minorHAnsi" w:hAnsiTheme="minorHAnsi" w:cstheme="minorHAnsi"/>
                <w:sz w:val="18"/>
                <w:szCs w:val="18"/>
              </w:rPr>
              <w:lastRenderedPageBreak/>
              <w:t>Projekt již ukončil realizační fázi, nyní se nachází v období udržitelnosti, stav naplnění indikátorů je vidět z tabulky výše u Výstupů projektu. Některé indikátory jsou ještě v řešení, zatím však nic nenasvědčuje, že by neměly být naplněny.</w:t>
            </w:r>
          </w:p>
          <w:p w:rsidR="004D269E" w:rsidRPr="00E4455A" w:rsidRDefault="004D269E" w:rsidP="004D269E">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Stavební část (včetně % naplnění):</w:t>
            </w:r>
            <w:r>
              <w:rPr>
                <w:rFonts w:asciiTheme="minorHAnsi" w:hAnsiTheme="minorHAnsi" w:cstheme="minorHAnsi"/>
                <w:sz w:val="18"/>
                <w:szCs w:val="18"/>
              </w:rPr>
              <w:t xml:space="preserve"> 100%</w:t>
            </w:r>
          </w:p>
          <w:p w:rsidR="004D269E" w:rsidRPr="00E4455A" w:rsidRDefault="004D269E" w:rsidP="004D269E">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Přístroje klíčového vybavení i s přístroji pořízenými z úspor, tj. plnění dle aktuálního TA (včetně % naplnění):</w:t>
            </w:r>
            <w:r>
              <w:rPr>
                <w:rFonts w:asciiTheme="minorHAnsi" w:hAnsiTheme="minorHAnsi" w:cstheme="minorHAnsi"/>
                <w:sz w:val="18"/>
                <w:szCs w:val="18"/>
              </w:rPr>
              <w:t>100%</w:t>
            </w:r>
          </w:p>
          <w:p w:rsidR="0004245B" w:rsidRPr="00E4455A" w:rsidRDefault="004D269E" w:rsidP="004D269E">
            <w:pPr>
              <w:spacing w:before="60" w:after="60" w:line="240" w:lineRule="auto"/>
              <w:rPr>
                <w:rFonts w:asciiTheme="minorHAnsi" w:hAnsiTheme="minorHAnsi" w:cstheme="minorHAnsi"/>
                <w:sz w:val="18"/>
                <w:szCs w:val="18"/>
              </w:rPr>
            </w:pPr>
            <w:r w:rsidRPr="004D269E">
              <w:rPr>
                <w:rFonts w:asciiTheme="minorHAnsi" w:hAnsiTheme="minorHAnsi" w:cstheme="minorHAnsi"/>
                <w:sz w:val="18"/>
                <w:szCs w:val="18"/>
              </w:rPr>
              <w:t>Personální zajištění (včetně % naplnění):</w:t>
            </w:r>
            <w:r>
              <w:rPr>
                <w:rFonts w:asciiTheme="minorHAnsi" w:hAnsiTheme="minorHAnsi" w:cstheme="minorHAnsi"/>
                <w:sz w:val="18"/>
                <w:szCs w:val="18"/>
              </w:rPr>
              <w:t xml:space="preserve"> 100%</w:t>
            </w:r>
          </w:p>
        </w:tc>
      </w:tr>
      <w:tr w:rsidR="00DA6654" w:rsidTr="00D03FD2">
        <w:tc>
          <w:tcPr>
            <w:tcW w:w="2298" w:type="dxa"/>
          </w:tcPr>
          <w:p w:rsidR="00DA6654" w:rsidRPr="00E4455A" w:rsidRDefault="00DA6654" w:rsidP="007B2E97">
            <w:pPr>
              <w:spacing w:before="60" w:after="60"/>
              <w:rPr>
                <w:rFonts w:asciiTheme="minorHAnsi" w:hAnsiTheme="minorHAnsi" w:cstheme="minorHAnsi"/>
                <w:b/>
                <w:sz w:val="22"/>
              </w:rPr>
            </w:pPr>
            <w:r w:rsidRPr="00E4455A">
              <w:rPr>
                <w:rFonts w:asciiTheme="minorHAnsi" w:hAnsiTheme="minorHAnsi" w:cstheme="minorHAnsi"/>
                <w:b/>
                <w:sz w:val="22"/>
              </w:rPr>
              <w:lastRenderedPageBreak/>
              <w:t>Finanční čerpání projektu</w:t>
            </w:r>
            <w:r w:rsidR="007B2E97">
              <w:rPr>
                <w:rFonts w:asciiTheme="minorHAnsi" w:hAnsiTheme="minorHAnsi" w:cstheme="minorHAnsi"/>
                <w:b/>
                <w:sz w:val="22"/>
              </w:rPr>
              <w:t xml:space="preserve"> </w:t>
            </w:r>
            <w:r w:rsidR="007B2E97" w:rsidRPr="007B2E97">
              <w:rPr>
                <w:rFonts w:asciiTheme="minorHAnsi" w:hAnsiTheme="minorHAnsi" w:cstheme="minorHAnsi"/>
                <w:sz w:val="18"/>
                <w:szCs w:val="18"/>
              </w:rPr>
              <w:t>(bráno z</w:t>
            </w:r>
            <w:r w:rsidR="007B2E97">
              <w:rPr>
                <w:rFonts w:asciiTheme="minorHAnsi" w:hAnsiTheme="minorHAnsi" w:cstheme="minorHAnsi"/>
                <w:sz w:val="18"/>
                <w:szCs w:val="18"/>
              </w:rPr>
              <w:t xml:space="preserve"> plného</w:t>
            </w:r>
            <w:r w:rsidR="007B2E97" w:rsidRPr="007B2E97">
              <w:rPr>
                <w:rFonts w:asciiTheme="minorHAnsi" w:hAnsiTheme="minorHAnsi" w:cstheme="minorHAnsi"/>
                <w:sz w:val="18"/>
                <w:szCs w:val="18"/>
              </w:rPr>
              <w:t xml:space="preserve"> rozpočtu po změnách, </w:t>
            </w:r>
            <w:r w:rsidR="007B2E97">
              <w:rPr>
                <w:rFonts w:asciiTheme="minorHAnsi" w:hAnsiTheme="minorHAnsi" w:cstheme="minorHAnsi"/>
                <w:sz w:val="18"/>
                <w:szCs w:val="18"/>
              </w:rPr>
              <w:t>tj.</w:t>
            </w:r>
            <w:r w:rsidR="007B2E97" w:rsidRPr="007B2E97">
              <w:rPr>
                <w:rFonts w:asciiTheme="minorHAnsi" w:hAnsiTheme="minorHAnsi" w:cstheme="minorHAnsi"/>
                <w:sz w:val="18"/>
                <w:szCs w:val="18"/>
              </w:rPr>
              <w:t xml:space="preserve"> bez ponížení)</w:t>
            </w:r>
          </w:p>
        </w:tc>
        <w:tc>
          <w:tcPr>
            <w:tcW w:w="7152" w:type="dxa"/>
            <w:gridSpan w:val="5"/>
          </w:tcPr>
          <w:p w:rsidR="00DA6654" w:rsidRPr="00E4455A" w:rsidRDefault="00DA6654"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Předložené výdaje (v Kč i %)</w:t>
            </w:r>
            <w:r w:rsidR="001057A4" w:rsidRPr="00E4455A">
              <w:rPr>
                <w:rFonts w:asciiTheme="minorHAnsi" w:hAnsiTheme="minorHAnsi" w:cstheme="minorHAnsi"/>
                <w:sz w:val="18"/>
                <w:szCs w:val="18"/>
              </w:rPr>
              <w:t>:</w:t>
            </w:r>
          </w:p>
          <w:p w:rsidR="00DA6654" w:rsidRPr="00E4455A" w:rsidRDefault="00DA6654"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Schválené výdaje</w:t>
            </w:r>
            <w:r w:rsidR="00C92258" w:rsidRPr="00E4455A">
              <w:rPr>
                <w:rFonts w:asciiTheme="minorHAnsi" w:hAnsiTheme="minorHAnsi" w:cstheme="minorHAnsi"/>
                <w:sz w:val="18"/>
                <w:szCs w:val="18"/>
              </w:rPr>
              <w:t xml:space="preserve"> </w:t>
            </w:r>
            <w:r w:rsidRPr="00E4455A">
              <w:rPr>
                <w:rFonts w:asciiTheme="minorHAnsi" w:hAnsiTheme="minorHAnsi" w:cstheme="minorHAnsi"/>
                <w:sz w:val="18"/>
                <w:szCs w:val="18"/>
              </w:rPr>
              <w:t>(v Kč i %)</w:t>
            </w:r>
            <w:r w:rsidR="001057A4" w:rsidRPr="00E4455A">
              <w:rPr>
                <w:rFonts w:asciiTheme="minorHAnsi" w:hAnsiTheme="minorHAnsi" w:cstheme="minorHAnsi"/>
                <w:sz w:val="18"/>
                <w:szCs w:val="18"/>
              </w:rPr>
              <w:t>:</w:t>
            </w:r>
          </w:p>
          <w:p w:rsidR="001057A4" w:rsidRPr="00E4455A" w:rsidRDefault="00DA6654" w:rsidP="001057A4">
            <w:pPr>
              <w:pStyle w:val="Textkomente"/>
              <w:rPr>
                <w:rFonts w:asciiTheme="minorHAnsi" w:hAnsiTheme="minorHAnsi" w:cstheme="minorHAnsi"/>
                <w:sz w:val="18"/>
                <w:szCs w:val="18"/>
              </w:rPr>
            </w:pPr>
            <w:r w:rsidRPr="00E4455A">
              <w:rPr>
                <w:rFonts w:asciiTheme="minorHAnsi" w:hAnsiTheme="minorHAnsi" w:cstheme="minorHAnsi"/>
                <w:sz w:val="18"/>
                <w:szCs w:val="18"/>
              </w:rPr>
              <w:t>Certifikované výdaje (v Kč i %</w:t>
            </w:r>
            <w:r w:rsidR="001057A4" w:rsidRPr="00E4455A">
              <w:rPr>
                <w:rFonts w:asciiTheme="minorHAnsi" w:hAnsiTheme="minorHAnsi" w:cstheme="minorHAnsi"/>
                <w:sz w:val="18"/>
                <w:szCs w:val="18"/>
              </w:rPr>
              <w:t>, pozn. Certifikace probíhá s různým časovým odstupem, data</w:t>
            </w:r>
            <w:r w:rsidR="00070BDB">
              <w:rPr>
                <w:rFonts w:asciiTheme="minorHAnsi" w:hAnsiTheme="minorHAnsi" w:cstheme="minorHAnsi"/>
                <w:sz w:val="18"/>
                <w:szCs w:val="18"/>
              </w:rPr>
              <w:t xml:space="preserve"> mohou mít až půlroční zpoždění</w:t>
            </w:r>
            <w:r w:rsidR="001057A4" w:rsidRPr="00E4455A">
              <w:rPr>
                <w:rFonts w:asciiTheme="minorHAnsi" w:hAnsiTheme="minorHAnsi" w:cstheme="minorHAnsi"/>
                <w:sz w:val="18"/>
                <w:szCs w:val="18"/>
              </w:rPr>
              <w:t>. Poslední aktualizace k 31.12.2014):</w:t>
            </w:r>
          </w:p>
          <w:p w:rsidR="00DA6654" w:rsidRPr="00E4455A" w:rsidRDefault="00DA6654" w:rsidP="00DD26D3">
            <w:pPr>
              <w:spacing w:before="60" w:after="60" w:line="240" w:lineRule="auto"/>
              <w:rPr>
                <w:rFonts w:asciiTheme="minorHAnsi" w:hAnsiTheme="minorHAnsi" w:cstheme="minorHAnsi"/>
                <w:sz w:val="18"/>
                <w:szCs w:val="18"/>
              </w:rPr>
            </w:pPr>
          </w:p>
        </w:tc>
      </w:tr>
      <w:tr w:rsidR="00C43F6D" w:rsidTr="00D03FD2">
        <w:tc>
          <w:tcPr>
            <w:tcW w:w="2298" w:type="dxa"/>
          </w:tcPr>
          <w:p w:rsidR="00C43F6D" w:rsidRPr="00E4455A" w:rsidRDefault="00EE2A12" w:rsidP="00070BDB">
            <w:pPr>
              <w:spacing w:before="60" w:after="60"/>
              <w:rPr>
                <w:rFonts w:asciiTheme="minorHAnsi" w:hAnsiTheme="minorHAnsi" w:cstheme="minorHAnsi"/>
                <w:b/>
                <w:sz w:val="22"/>
              </w:rPr>
            </w:pPr>
            <w:r w:rsidRPr="00E4455A">
              <w:rPr>
                <w:rFonts w:asciiTheme="minorHAnsi" w:hAnsiTheme="minorHAnsi" w:cstheme="minorHAnsi"/>
                <w:b/>
                <w:sz w:val="22"/>
              </w:rPr>
              <w:t>Nezpůsobilé výdaje</w:t>
            </w:r>
            <w:r w:rsidR="00C43F6D" w:rsidRPr="00E4455A">
              <w:rPr>
                <w:rFonts w:asciiTheme="minorHAnsi" w:hAnsiTheme="minorHAnsi" w:cstheme="minorHAnsi"/>
                <w:b/>
                <w:sz w:val="22"/>
              </w:rPr>
              <w:t xml:space="preserve"> projektu</w:t>
            </w:r>
            <w:r w:rsidR="00C43F6D" w:rsidRPr="00E4455A">
              <w:rPr>
                <w:rFonts w:asciiTheme="minorHAnsi" w:hAnsiTheme="minorHAnsi" w:cstheme="minorHAnsi"/>
                <w:sz w:val="22"/>
              </w:rPr>
              <w:t xml:space="preserve"> </w:t>
            </w:r>
            <w:r w:rsidR="00C43F6D" w:rsidRPr="0060312A">
              <w:rPr>
                <w:rFonts w:asciiTheme="minorHAnsi" w:hAnsiTheme="minorHAnsi" w:cstheme="minorHAnsi"/>
                <w:sz w:val="18"/>
                <w:szCs w:val="18"/>
              </w:rPr>
              <w:t>(v Kč i %</w:t>
            </w:r>
            <w:r w:rsidR="00070BDB">
              <w:rPr>
                <w:rFonts w:asciiTheme="minorHAnsi" w:hAnsiTheme="minorHAnsi" w:cstheme="minorHAnsi"/>
                <w:sz w:val="18"/>
                <w:szCs w:val="18"/>
              </w:rPr>
              <w:t xml:space="preserve"> </w:t>
            </w:r>
            <w:r w:rsidR="00070BDB" w:rsidRPr="00070BDB">
              <w:rPr>
                <w:rFonts w:asciiTheme="minorHAnsi" w:hAnsiTheme="minorHAnsi" w:cstheme="minorHAnsi"/>
                <w:sz w:val="18"/>
                <w:szCs w:val="18"/>
              </w:rPr>
              <w:t>z celkových výdajů proje</w:t>
            </w:r>
            <w:r w:rsidR="00070BDB">
              <w:rPr>
                <w:rFonts w:asciiTheme="minorHAnsi" w:hAnsiTheme="minorHAnsi" w:cstheme="minorHAnsi"/>
                <w:sz w:val="18"/>
                <w:szCs w:val="18"/>
              </w:rPr>
              <w:t>k</w:t>
            </w:r>
            <w:r w:rsidR="00070BDB" w:rsidRPr="00070BDB">
              <w:rPr>
                <w:rFonts w:asciiTheme="minorHAnsi" w:hAnsiTheme="minorHAnsi" w:cstheme="minorHAnsi"/>
                <w:sz w:val="18"/>
                <w:szCs w:val="18"/>
              </w:rPr>
              <w:t>tu, tj. způsobilých i nezpůsobilých</w:t>
            </w:r>
            <w:r w:rsidR="008C2B2A">
              <w:rPr>
                <w:rFonts w:asciiTheme="minorHAnsi" w:hAnsiTheme="minorHAnsi" w:cstheme="minorHAnsi"/>
                <w:sz w:val="18"/>
                <w:szCs w:val="18"/>
              </w:rPr>
              <w:t>, bráno z rozpočtu bez ponížení</w:t>
            </w:r>
            <w:r w:rsidR="00C43F6D" w:rsidRPr="0060312A">
              <w:rPr>
                <w:rFonts w:asciiTheme="minorHAnsi" w:hAnsiTheme="minorHAnsi" w:cstheme="minorHAnsi"/>
                <w:sz w:val="18"/>
                <w:szCs w:val="18"/>
              </w:rPr>
              <w:t>):</w:t>
            </w:r>
          </w:p>
        </w:tc>
        <w:tc>
          <w:tcPr>
            <w:tcW w:w="7152" w:type="dxa"/>
            <w:gridSpan w:val="5"/>
          </w:tcPr>
          <w:p w:rsidR="00C43F6D" w:rsidRPr="00E4455A" w:rsidRDefault="00C43F6D" w:rsidP="00DD26D3">
            <w:pPr>
              <w:spacing w:before="60" w:after="60" w:line="240" w:lineRule="auto"/>
              <w:rPr>
                <w:rFonts w:asciiTheme="minorHAnsi" w:hAnsiTheme="minorHAnsi" w:cstheme="minorHAnsi"/>
                <w:sz w:val="18"/>
                <w:szCs w:val="18"/>
              </w:rPr>
            </w:pPr>
          </w:p>
        </w:tc>
      </w:tr>
      <w:tr w:rsidR="00D2753C" w:rsidTr="00D03FD2">
        <w:tc>
          <w:tcPr>
            <w:tcW w:w="2298" w:type="dxa"/>
          </w:tcPr>
          <w:p w:rsidR="00D2753C" w:rsidRPr="00E4455A" w:rsidRDefault="00D2753C" w:rsidP="00D03FD2">
            <w:pPr>
              <w:spacing w:before="60" w:after="0"/>
              <w:rPr>
                <w:rFonts w:asciiTheme="minorHAnsi" w:hAnsiTheme="minorHAnsi" w:cstheme="minorHAnsi"/>
                <w:b/>
                <w:sz w:val="22"/>
              </w:rPr>
            </w:pPr>
            <w:r w:rsidRPr="00E4455A">
              <w:rPr>
                <w:rFonts w:asciiTheme="minorHAnsi" w:hAnsiTheme="minorHAnsi" w:cstheme="minorHAnsi"/>
                <w:b/>
                <w:sz w:val="22"/>
              </w:rPr>
              <w:t>Ostatní informace</w:t>
            </w:r>
          </w:p>
          <w:p w:rsidR="00D2753C" w:rsidRPr="0060312A" w:rsidRDefault="00D2753C" w:rsidP="00D03FD2">
            <w:pPr>
              <w:spacing w:after="60"/>
              <w:rPr>
                <w:rFonts w:asciiTheme="minorHAnsi" w:hAnsiTheme="minorHAnsi" w:cstheme="minorHAnsi"/>
                <w:sz w:val="18"/>
                <w:szCs w:val="18"/>
              </w:rPr>
            </w:pPr>
            <w:r w:rsidRPr="0060312A">
              <w:rPr>
                <w:rFonts w:asciiTheme="minorHAnsi" w:hAnsiTheme="minorHAnsi" w:cstheme="minorHAnsi"/>
                <w:sz w:val="18"/>
                <w:szCs w:val="18"/>
              </w:rPr>
              <w:t>(signalizovaná rizika, fázování apod.)</w:t>
            </w:r>
          </w:p>
        </w:tc>
        <w:tc>
          <w:tcPr>
            <w:tcW w:w="7152" w:type="dxa"/>
            <w:gridSpan w:val="5"/>
          </w:tcPr>
          <w:p w:rsidR="00D2753C" w:rsidRPr="00E4455A" w:rsidRDefault="0042422D" w:rsidP="0042422D">
            <w:pPr>
              <w:spacing w:before="60" w:after="60" w:line="240" w:lineRule="auto"/>
              <w:rPr>
                <w:rFonts w:asciiTheme="minorHAnsi" w:hAnsiTheme="minorHAnsi" w:cstheme="minorHAnsi"/>
                <w:sz w:val="18"/>
                <w:szCs w:val="18"/>
              </w:rPr>
            </w:pPr>
            <w:r>
              <w:rPr>
                <w:rFonts w:asciiTheme="minorHAnsi" w:hAnsiTheme="minorHAnsi" w:cstheme="minorHAnsi"/>
                <w:sz w:val="18"/>
                <w:szCs w:val="18"/>
              </w:rPr>
              <w:t>V současné době nic nenasvědčuje, tomu, že by měl být projekt v nějakém ohrožení.</w:t>
            </w:r>
          </w:p>
        </w:tc>
      </w:tr>
      <w:tr w:rsidR="00A431A3" w:rsidTr="00F74C5F">
        <w:tc>
          <w:tcPr>
            <w:tcW w:w="9450" w:type="dxa"/>
            <w:gridSpan w:val="6"/>
            <w:shd w:val="clear" w:color="auto" w:fill="404040" w:themeFill="text1" w:themeFillTint="BF"/>
          </w:tcPr>
          <w:p w:rsidR="00A431A3" w:rsidRPr="003D1E91" w:rsidRDefault="00A431A3" w:rsidP="00A431A3">
            <w:pPr>
              <w:spacing w:before="60" w:after="60" w:line="240" w:lineRule="auto"/>
              <w:jc w:val="center"/>
              <w:rPr>
                <w:rFonts w:asciiTheme="minorHAnsi" w:hAnsiTheme="minorHAnsi" w:cstheme="minorHAnsi"/>
                <w:b/>
                <w:color w:val="FFFFFF" w:themeColor="background1"/>
                <w:sz w:val="22"/>
              </w:rPr>
            </w:pPr>
            <w:r w:rsidRPr="003D1E91">
              <w:rPr>
                <w:rFonts w:asciiTheme="minorHAnsi" w:hAnsiTheme="minorHAnsi" w:cstheme="minorHAnsi"/>
                <w:b/>
                <w:color w:val="FFFFFF" w:themeColor="background1"/>
                <w:sz w:val="22"/>
              </w:rPr>
              <w:t>Udržitelnost projektu</w:t>
            </w:r>
          </w:p>
        </w:tc>
      </w:tr>
      <w:tr w:rsidR="00D26BCA" w:rsidTr="00F74C5F">
        <w:tc>
          <w:tcPr>
            <w:tcW w:w="2298" w:type="dxa"/>
          </w:tcPr>
          <w:p w:rsidR="00D26BCA" w:rsidRDefault="00D26BCA" w:rsidP="003734E7">
            <w:pPr>
              <w:spacing w:before="60" w:after="60"/>
              <w:rPr>
                <w:rFonts w:ascii="Arial" w:hAnsi="Arial" w:cs="Arial"/>
                <w:b/>
                <w:sz w:val="20"/>
              </w:rPr>
            </w:pPr>
            <w:r>
              <w:rPr>
                <w:rFonts w:ascii="Arial" w:hAnsi="Arial" w:cs="Arial"/>
                <w:b/>
                <w:sz w:val="20"/>
              </w:rPr>
              <w:t xml:space="preserve">Zdroje pro úhradu provozních nákladů </w:t>
            </w:r>
          </w:p>
        </w:tc>
        <w:tc>
          <w:tcPr>
            <w:tcW w:w="7152" w:type="dxa"/>
            <w:gridSpan w:val="5"/>
          </w:tcPr>
          <w:p w:rsidR="001316AF" w:rsidRPr="001316AF" w:rsidRDefault="001316AF" w:rsidP="00D26BCA">
            <w:pPr>
              <w:spacing w:before="60" w:after="60" w:line="240" w:lineRule="auto"/>
              <w:rPr>
                <w:rFonts w:cs="Times New Roman"/>
                <w:sz w:val="18"/>
                <w:szCs w:val="18"/>
              </w:rPr>
            </w:pPr>
            <w:r w:rsidRPr="001316AF">
              <w:rPr>
                <w:rFonts w:cs="Times New Roman"/>
                <w:sz w:val="18"/>
                <w:szCs w:val="18"/>
              </w:rPr>
              <w:t>Finanční náklady v období udržitelnosti jsou cca 150 mil. Kč ročně</w:t>
            </w:r>
            <w:r w:rsidRPr="001316AF">
              <w:rPr>
                <w:rFonts w:cs="Times New Roman"/>
                <w:sz w:val="18"/>
                <w:szCs w:val="18"/>
              </w:rPr>
              <w:t>.</w:t>
            </w:r>
          </w:p>
          <w:p w:rsidR="00D26BCA" w:rsidRPr="001316AF" w:rsidRDefault="00D26BCA" w:rsidP="00D26BCA">
            <w:pPr>
              <w:spacing w:before="60" w:after="60" w:line="240" w:lineRule="auto"/>
              <w:rPr>
                <w:rFonts w:cs="Times New Roman"/>
                <w:sz w:val="18"/>
                <w:szCs w:val="18"/>
              </w:rPr>
            </w:pPr>
            <w:r w:rsidRPr="001316AF">
              <w:rPr>
                <w:rFonts w:cs="Times New Roman"/>
                <w:sz w:val="18"/>
                <w:szCs w:val="18"/>
              </w:rPr>
              <w:t xml:space="preserve">Požadované zdroje </w:t>
            </w:r>
            <w:r w:rsidRPr="001316AF">
              <w:rPr>
                <w:rFonts w:cs="Times New Roman"/>
                <w:b/>
                <w:i/>
                <w:sz w:val="18"/>
                <w:szCs w:val="18"/>
              </w:rPr>
              <w:t>smluvní výzkum</w:t>
            </w:r>
            <w:r w:rsidRPr="001316AF">
              <w:rPr>
                <w:rFonts w:cs="Times New Roman"/>
                <w:sz w:val="18"/>
                <w:szCs w:val="18"/>
              </w:rPr>
              <w:t xml:space="preserve"> a jejich </w:t>
            </w:r>
            <w:r w:rsidR="001316AF" w:rsidRPr="001316AF">
              <w:rPr>
                <w:rFonts w:cs="Times New Roman"/>
                <w:sz w:val="18"/>
                <w:szCs w:val="18"/>
              </w:rPr>
              <w:t xml:space="preserve">zajištění: 82,8 mil. </w:t>
            </w:r>
            <w:r w:rsidRPr="001316AF">
              <w:rPr>
                <w:rFonts w:cs="Times New Roman"/>
                <w:sz w:val="18"/>
                <w:szCs w:val="18"/>
              </w:rPr>
              <w:t>Kč od začátku realizace projektu CzechGlobe až do 31.</w:t>
            </w:r>
            <w:r w:rsidR="001316AF" w:rsidRPr="001316AF">
              <w:rPr>
                <w:rFonts w:cs="Times New Roman"/>
                <w:sz w:val="18"/>
                <w:szCs w:val="18"/>
              </w:rPr>
              <w:t xml:space="preserve"> </w:t>
            </w:r>
            <w:r w:rsidRPr="001316AF">
              <w:rPr>
                <w:rFonts w:cs="Times New Roman"/>
                <w:sz w:val="18"/>
                <w:szCs w:val="18"/>
              </w:rPr>
              <w:t>12.</w:t>
            </w:r>
            <w:r w:rsidR="001316AF" w:rsidRPr="001316AF">
              <w:rPr>
                <w:rFonts w:cs="Times New Roman"/>
                <w:sz w:val="18"/>
                <w:szCs w:val="18"/>
              </w:rPr>
              <w:t xml:space="preserve"> </w:t>
            </w:r>
            <w:r w:rsidRPr="001316AF">
              <w:rPr>
                <w:rFonts w:cs="Times New Roman"/>
                <w:sz w:val="18"/>
                <w:szCs w:val="18"/>
              </w:rPr>
              <w:t>2019. Zajištěno především prostřednictvím dlouhodobých smluv s .ON Energie a.s., ČEZ a.s., smluvní výzkum spojený s využíváním hyperspe</w:t>
            </w:r>
            <w:r w:rsidR="001316AF" w:rsidRPr="001316AF">
              <w:rPr>
                <w:rFonts w:cs="Times New Roman"/>
                <w:sz w:val="18"/>
                <w:szCs w:val="18"/>
              </w:rPr>
              <w:t>ktrálních senzorů.</w:t>
            </w:r>
          </w:p>
          <w:p w:rsidR="00D26BCA" w:rsidRPr="001316AF" w:rsidRDefault="00D26BCA" w:rsidP="00D26BCA">
            <w:pPr>
              <w:spacing w:before="60" w:after="60" w:line="240" w:lineRule="auto"/>
              <w:rPr>
                <w:rFonts w:cs="Times New Roman"/>
                <w:sz w:val="18"/>
                <w:szCs w:val="18"/>
              </w:rPr>
            </w:pPr>
            <w:r w:rsidRPr="001316AF">
              <w:rPr>
                <w:rFonts w:cs="Times New Roman"/>
                <w:b/>
                <w:i/>
                <w:sz w:val="18"/>
                <w:szCs w:val="18"/>
              </w:rPr>
              <w:t>Mezinárodní granty</w:t>
            </w:r>
            <w:r w:rsidR="001316AF" w:rsidRPr="001316AF">
              <w:rPr>
                <w:rFonts w:cs="Times New Roman"/>
                <w:sz w:val="18"/>
                <w:szCs w:val="18"/>
              </w:rPr>
              <w:t xml:space="preserve">. </w:t>
            </w:r>
            <w:r w:rsidRPr="001316AF">
              <w:rPr>
                <w:rFonts w:cs="Times New Roman"/>
                <w:sz w:val="18"/>
                <w:szCs w:val="18"/>
              </w:rPr>
              <w:t>Příjemce v současnosti realizuje 4 projekty European Space Agency, 5 projektů Evropské komise 7.RP, 2 projekty Evropské komise HORIZON 2020, 7 projektů mezinárodní spolupráce COST. Předpokládá se pokračování v dlouhodbých projektech ESA, podávání projektů do programu HORIZON 2020 v roli člena konsorcia, rozvíjení projektů programu Evroské komise LIFE a rozvíjení spolupráce v rámci mezinárodních projektů COST.</w:t>
            </w:r>
          </w:p>
          <w:p w:rsidR="00D26BCA" w:rsidRPr="001316AF" w:rsidRDefault="00D26BCA" w:rsidP="00D26BCA">
            <w:pPr>
              <w:spacing w:before="60" w:after="60" w:line="240" w:lineRule="auto"/>
              <w:rPr>
                <w:rFonts w:cs="Times New Roman"/>
                <w:b/>
                <w:i/>
                <w:sz w:val="18"/>
                <w:szCs w:val="18"/>
              </w:rPr>
            </w:pPr>
            <w:r w:rsidRPr="001316AF">
              <w:rPr>
                <w:rFonts w:cs="Times New Roman"/>
                <w:b/>
                <w:i/>
                <w:sz w:val="18"/>
                <w:szCs w:val="18"/>
              </w:rPr>
              <w:t>Ostatní zdroje financování:</w:t>
            </w:r>
          </w:p>
          <w:p w:rsidR="00D26BCA" w:rsidRPr="001316AF" w:rsidRDefault="00D26BCA" w:rsidP="00D26BCA">
            <w:pPr>
              <w:spacing w:before="60" w:after="60" w:line="240" w:lineRule="auto"/>
              <w:rPr>
                <w:rFonts w:cs="Times New Roman"/>
                <w:sz w:val="18"/>
                <w:szCs w:val="18"/>
              </w:rPr>
            </w:pPr>
            <w:r w:rsidRPr="001316AF">
              <w:rPr>
                <w:rFonts w:cs="Times New Roman"/>
                <w:sz w:val="18"/>
                <w:szCs w:val="18"/>
              </w:rPr>
              <w:t>V době realizace projektu bylo zdrojem 12 projektů Operačního programu Vzdělávání pro konkurenceschopnost. Předpokládá se pokračování v rozvíjení lidských zdrojů a vědeckých partnerství prostřednictvím Operačního programu Věda, výzkum, vzdělávání.</w:t>
            </w:r>
            <w:r w:rsidRPr="001316AF">
              <w:rPr>
                <w:rFonts w:cs="Times New Roman"/>
                <w:sz w:val="18"/>
                <w:szCs w:val="18"/>
              </w:rPr>
              <w:tab/>
            </w:r>
          </w:p>
          <w:p w:rsidR="00D26BCA" w:rsidRPr="001316AF" w:rsidRDefault="00D26BCA" w:rsidP="00D26BCA">
            <w:pPr>
              <w:spacing w:before="60" w:after="60" w:line="240" w:lineRule="auto"/>
              <w:rPr>
                <w:rFonts w:cs="Times New Roman"/>
                <w:sz w:val="18"/>
                <w:szCs w:val="18"/>
              </w:rPr>
            </w:pPr>
            <w:r w:rsidRPr="001316AF">
              <w:rPr>
                <w:rFonts w:cs="Times New Roman"/>
                <w:sz w:val="18"/>
                <w:szCs w:val="18"/>
              </w:rPr>
              <w:t>Dosavadní smluvní výzkum:</w:t>
            </w:r>
          </w:p>
          <w:p w:rsidR="00D26BCA" w:rsidRPr="001316AF" w:rsidRDefault="001316AF" w:rsidP="001316AF">
            <w:pPr>
              <w:spacing w:before="60" w:after="60" w:line="240" w:lineRule="auto"/>
              <w:rPr>
                <w:rFonts w:cs="Times New Roman"/>
                <w:sz w:val="18"/>
                <w:szCs w:val="18"/>
              </w:rPr>
            </w:pPr>
            <w:r w:rsidRPr="001316AF">
              <w:rPr>
                <w:rFonts w:cs="Times New Roman"/>
                <w:sz w:val="18"/>
                <w:szCs w:val="18"/>
              </w:rPr>
              <w:t>Za rok 2014 byla indikátorem určená částka překročena o 4 mil. Kč.</w:t>
            </w:r>
            <w:r w:rsidRPr="001316AF">
              <w:rPr>
                <w:rFonts w:cs="Times New Roman"/>
                <w:sz w:val="18"/>
                <w:szCs w:val="18"/>
              </w:rPr>
              <w:tab/>
            </w:r>
            <w:r w:rsidR="00D26BCA" w:rsidRPr="001316AF">
              <w:rPr>
                <w:rFonts w:cs="Times New Roman"/>
                <w:sz w:val="18"/>
                <w:szCs w:val="18"/>
              </w:rPr>
              <w:t>Předpokládaný smluvní výzkum po realizaci projektu:</w:t>
            </w:r>
            <w:r w:rsidRPr="001316AF">
              <w:rPr>
                <w:rFonts w:cs="Times New Roman"/>
                <w:sz w:val="18"/>
                <w:szCs w:val="18"/>
              </w:rPr>
              <w:t xml:space="preserve"> </w:t>
            </w:r>
            <w:r w:rsidR="00D26BCA" w:rsidRPr="001316AF">
              <w:rPr>
                <w:rFonts w:cs="Times New Roman"/>
                <w:sz w:val="18"/>
                <w:szCs w:val="18"/>
              </w:rPr>
              <w:t>podle schválené výše monitorovacího indikátoru k 31.12.2015 by částka měla dosáhnout 23 600 000,-Kč. Vzhledem k uzavřeným smlouvám lze předpokládat, že hodnota bude opět překročena.</w:t>
            </w:r>
            <w:r w:rsidR="00D26BCA" w:rsidRPr="001316AF">
              <w:rPr>
                <w:rFonts w:cs="Times New Roman"/>
                <w:sz w:val="18"/>
                <w:szCs w:val="18"/>
              </w:rPr>
              <w:tab/>
            </w:r>
            <w:r w:rsidR="00D26BCA" w:rsidRPr="001316AF">
              <w:rPr>
                <w:rFonts w:cs="Times New Roman"/>
                <w:sz w:val="18"/>
                <w:szCs w:val="18"/>
              </w:rPr>
              <w:tab/>
            </w:r>
            <w:r w:rsidR="00D26BCA" w:rsidRPr="001316AF">
              <w:rPr>
                <w:rFonts w:cs="Times New Roman"/>
                <w:sz w:val="18"/>
                <w:szCs w:val="18"/>
              </w:rPr>
              <w:tab/>
            </w:r>
            <w:r w:rsidR="00D26BCA" w:rsidRPr="001316AF">
              <w:rPr>
                <w:rFonts w:cs="Times New Roman"/>
                <w:sz w:val="18"/>
                <w:szCs w:val="18"/>
              </w:rPr>
              <w:tab/>
            </w:r>
            <w:r w:rsidR="00D26BCA" w:rsidRPr="001316AF">
              <w:rPr>
                <w:rFonts w:cs="Times New Roman"/>
                <w:sz w:val="18"/>
                <w:szCs w:val="18"/>
              </w:rPr>
              <w:tab/>
            </w:r>
            <w:r w:rsidR="00D26BCA" w:rsidRPr="001316AF">
              <w:rPr>
                <w:rFonts w:cs="Times New Roman"/>
                <w:sz w:val="18"/>
                <w:szCs w:val="18"/>
              </w:rPr>
              <w:tab/>
            </w:r>
          </w:p>
        </w:tc>
      </w:tr>
      <w:tr w:rsidR="00D26BCA" w:rsidTr="00A73324">
        <w:tc>
          <w:tcPr>
            <w:tcW w:w="2298" w:type="dxa"/>
          </w:tcPr>
          <w:p w:rsidR="00D26BCA" w:rsidRDefault="00D26BCA" w:rsidP="003734E7">
            <w:pPr>
              <w:spacing w:before="60" w:after="60"/>
              <w:rPr>
                <w:rFonts w:ascii="Arial" w:hAnsi="Arial" w:cs="Arial"/>
                <w:b/>
                <w:sz w:val="20"/>
              </w:rPr>
            </w:pPr>
            <w:r>
              <w:rPr>
                <w:rFonts w:ascii="Arial" w:hAnsi="Arial" w:cs="Arial"/>
                <w:b/>
                <w:sz w:val="20"/>
              </w:rPr>
              <w:t>Požadavky na podporu z NPU (po dobu udržitelnosti)</w:t>
            </w:r>
          </w:p>
        </w:tc>
        <w:tc>
          <w:tcPr>
            <w:tcW w:w="7152" w:type="dxa"/>
            <w:gridSpan w:val="5"/>
          </w:tcPr>
          <w:p w:rsidR="00D26BCA" w:rsidRPr="001316AF" w:rsidRDefault="00D26BCA" w:rsidP="001316AF">
            <w:pPr>
              <w:rPr>
                <w:rFonts w:cs="Times New Roman"/>
                <w:sz w:val="18"/>
                <w:szCs w:val="18"/>
              </w:rPr>
            </w:pPr>
            <w:r w:rsidRPr="001316AF">
              <w:rPr>
                <w:rFonts w:cs="Times New Roman"/>
                <w:sz w:val="18"/>
                <w:szCs w:val="18"/>
              </w:rPr>
              <w:t xml:space="preserve">Požadavky na účelové zdroje celkem 827 </w:t>
            </w:r>
            <w:r w:rsidR="001316AF" w:rsidRPr="001316AF">
              <w:rPr>
                <w:rFonts w:cs="Times New Roman"/>
                <w:sz w:val="18"/>
                <w:szCs w:val="18"/>
              </w:rPr>
              <w:t>mil. Kč, z toho NPÚ 290,5 mil.</w:t>
            </w:r>
            <w:r w:rsidRPr="001316AF">
              <w:rPr>
                <w:rFonts w:cs="Times New Roman"/>
                <w:sz w:val="18"/>
                <w:szCs w:val="18"/>
              </w:rPr>
              <w:t xml:space="preserve">Kč z toho Institucionální podpora </w:t>
            </w:r>
            <w:r w:rsidR="001316AF" w:rsidRPr="001316AF">
              <w:rPr>
                <w:rFonts w:cs="Times New Roman"/>
                <w:sz w:val="18"/>
                <w:szCs w:val="18"/>
              </w:rPr>
              <w:t>145 mil. Kč.</w:t>
            </w:r>
            <w:r w:rsidRPr="001316AF">
              <w:rPr>
                <w:rFonts w:cs="Times New Roman"/>
                <w:sz w:val="18"/>
                <w:szCs w:val="18"/>
              </w:rPr>
              <w:tab/>
            </w:r>
            <w:r w:rsidRPr="001316AF">
              <w:rPr>
                <w:rFonts w:cs="Times New Roman"/>
                <w:sz w:val="18"/>
                <w:szCs w:val="18"/>
              </w:rPr>
              <w:tab/>
            </w:r>
            <w:r w:rsidRPr="001316AF">
              <w:rPr>
                <w:rFonts w:cs="Times New Roman"/>
                <w:sz w:val="18"/>
                <w:szCs w:val="18"/>
              </w:rPr>
              <w:tab/>
            </w:r>
            <w:r w:rsidRPr="001316AF">
              <w:rPr>
                <w:rFonts w:cs="Times New Roman"/>
                <w:sz w:val="18"/>
                <w:szCs w:val="18"/>
              </w:rPr>
              <w:tab/>
            </w:r>
            <w:r w:rsidRPr="001316AF">
              <w:rPr>
                <w:rFonts w:cs="Times New Roman"/>
                <w:sz w:val="18"/>
                <w:szCs w:val="18"/>
              </w:rPr>
              <w:tab/>
            </w:r>
            <w:r w:rsidRPr="001316AF">
              <w:rPr>
                <w:rFonts w:cs="Times New Roman"/>
                <w:sz w:val="18"/>
                <w:szCs w:val="18"/>
              </w:rPr>
              <w:tab/>
            </w:r>
          </w:p>
        </w:tc>
      </w:tr>
      <w:tr w:rsidR="00D26BCA" w:rsidTr="00FC3BB8">
        <w:tc>
          <w:tcPr>
            <w:tcW w:w="2298" w:type="dxa"/>
          </w:tcPr>
          <w:p w:rsidR="00D26BCA" w:rsidRPr="00E4455A" w:rsidRDefault="00D26BCA" w:rsidP="003734E7">
            <w:pPr>
              <w:spacing w:before="60" w:after="60"/>
              <w:rPr>
                <w:rFonts w:asciiTheme="minorHAnsi" w:hAnsiTheme="minorHAnsi" w:cstheme="minorHAnsi"/>
                <w:b/>
                <w:sz w:val="22"/>
              </w:rPr>
            </w:pPr>
            <w:r w:rsidRPr="00E4455A">
              <w:rPr>
                <w:rFonts w:asciiTheme="minorHAnsi" w:hAnsiTheme="minorHAnsi" w:cstheme="minorHAnsi"/>
                <w:b/>
                <w:sz w:val="22"/>
              </w:rPr>
              <w:t>Monitorovací indikátory v období udržitelnosti</w:t>
            </w:r>
          </w:p>
        </w:tc>
        <w:tc>
          <w:tcPr>
            <w:tcW w:w="7152" w:type="dxa"/>
            <w:gridSpan w:val="5"/>
          </w:tcPr>
          <w:p w:rsidR="00D26BCA" w:rsidRDefault="001316AF" w:rsidP="003734E7">
            <w:pPr>
              <w:spacing w:before="60" w:after="60" w:line="240" w:lineRule="auto"/>
              <w:rPr>
                <w:rFonts w:cs="Times New Roman"/>
                <w:sz w:val="18"/>
                <w:szCs w:val="18"/>
              </w:rPr>
            </w:pPr>
            <w:r>
              <w:rPr>
                <w:rFonts w:cs="Times New Roman"/>
                <w:sz w:val="18"/>
                <w:szCs w:val="18"/>
              </w:rPr>
              <w:t>Plní se.</w:t>
            </w:r>
          </w:p>
          <w:p w:rsidR="001316AF" w:rsidRPr="001316AF" w:rsidRDefault="001316AF" w:rsidP="00AE02CA">
            <w:pPr>
              <w:spacing w:after="0" w:line="240" w:lineRule="auto"/>
              <w:rPr>
                <w:rFonts w:cs="Times New Roman"/>
                <w:sz w:val="18"/>
                <w:szCs w:val="18"/>
              </w:rPr>
            </w:pPr>
            <w:r w:rsidRPr="001316AF">
              <w:rPr>
                <w:rFonts w:cs="Times New Roman"/>
                <w:sz w:val="18"/>
                <w:szCs w:val="18"/>
              </w:rPr>
              <w:t>Současný počet výzkumníků: 158,80 FTE.</w:t>
            </w:r>
            <w:r>
              <w:rPr>
                <w:rFonts w:cs="Times New Roman"/>
                <w:sz w:val="18"/>
                <w:szCs w:val="18"/>
              </w:rPr>
              <w:t xml:space="preserve"> </w:t>
            </w:r>
            <w:r w:rsidRPr="001316AF">
              <w:rPr>
                <w:rFonts w:cs="Times New Roman"/>
                <w:sz w:val="18"/>
                <w:szCs w:val="18"/>
              </w:rPr>
              <w:t>Kvalifikační struktura: senior researcher - 17,04 FTE (30 head)</w:t>
            </w:r>
            <w:r w:rsidR="00AE02CA">
              <w:rPr>
                <w:rFonts w:cs="Times New Roman"/>
                <w:sz w:val="18"/>
                <w:szCs w:val="18"/>
              </w:rPr>
              <w:t xml:space="preserve">, </w:t>
            </w:r>
            <w:r w:rsidRPr="001316AF">
              <w:rPr>
                <w:rFonts w:cs="Times New Roman"/>
                <w:sz w:val="18"/>
                <w:szCs w:val="18"/>
              </w:rPr>
              <w:t>junior researcher - 42,03 FTE (67 head)</w:t>
            </w:r>
            <w:r w:rsidR="00AE02CA">
              <w:rPr>
                <w:rFonts w:cs="Times New Roman"/>
                <w:sz w:val="18"/>
                <w:szCs w:val="18"/>
              </w:rPr>
              <w:t xml:space="preserve">, </w:t>
            </w:r>
            <w:r w:rsidRPr="001316AF">
              <w:rPr>
                <w:rFonts w:cs="Times New Roman"/>
                <w:sz w:val="18"/>
                <w:szCs w:val="18"/>
              </w:rPr>
              <w:t>Ph.D. student - 26,87 FTE (56 head)</w:t>
            </w:r>
          </w:p>
          <w:p w:rsidR="001316AF" w:rsidRPr="001316AF" w:rsidRDefault="001316AF" w:rsidP="00AE02CA">
            <w:pPr>
              <w:spacing w:after="0" w:line="240" w:lineRule="auto"/>
              <w:rPr>
                <w:rFonts w:cs="Times New Roman"/>
                <w:sz w:val="18"/>
                <w:szCs w:val="18"/>
              </w:rPr>
            </w:pPr>
            <w:r w:rsidRPr="001316AF">
              <w:rPr>
                <w:rFonts w:cs="Times New Roman"/>
                <w:sz w:val="18"/>
                <w:szCs w:val="18"/>
              </w:rPr>
              <w:t>technici - 65,95 FTE (87 head).</w:t>
            </w:r>
            <w:r w:rsidR="00AE02CA">
              <w:rPr>
                <w:rFonts w:cs="Times New Roman"/>
                <w:sz w:val="18"/>
                <w:szCs w:val="18"/>
              </w:rPr>
              <w:tab/>
            </w:r>
            <w:r w:rsidRPr="001316AF">
              <w:rPr>
                <w:rFonts w:cs="Times New Roman"/>
                <w:sz w:val="18"/>
                <w:szCs w:val="18"/>
              </w:rPr>
              <w:tab/>
            </w:r>
            <w:r w:rsidRPr="001316AF">
              <w:rPr>
                <w:rFonts w:cs="Times New Roman"/>
                <w:sz w:val="18"/>
                <w:szCs w:val="18"/>
              </w:rPr>
              <w:tab/>
            </w:r>
            <w:r w:rsidRPr="001316AF">
              <w:rPr>
                <w:rFonts w:cs="Times New Roman"/>
                <w:sz w:val="18"/>
                <w:szCs w:val="18"/>
              </w:rPr>
              <w:tab/>
            </w:r>
          </w:p>
          <w:p w:rsidR="001316AF" w:rsidRPr="001316AF" w:rsidRDefault="001316AF" w:rsidP="00AE02CA">
            <w:pPr>
              <w:spacing w:after="0" w:line="240" w:lineRule="auto"/>
              <w:rPr>
                <w:rFonts w:cs="Times New Roman"/>
                <w:sz w:val="18"/>
                <w:szCs w:val="18"/>
              </w:rPr>
            </w:pPr>
            <w:r w:rsidRPr="001316AF">
              <w:rPr>
                <w:rFonts w:cs="Times New Roman"/>
                <w:sz w:val="18"/>
                <w:szCs w:val="18"/>
              </w:rPr>
              <w:t>Plánovaný počet výzkumníků: 103,7 FTE. Kvalifikační struktura: senior researcher - 17,00 FTE (28 head)</w:t>
            </w:r>
            <w:r w:rsidR="00AE02CA">
              <w:rPr>
                <w:rFonts w:cs="Times New Roman"/>
                <w:sz w:val="18"/>
                <w:szCs w:val="18"/>
              </w:rPr>
              <w:t xml:space="preserve">, </w:t>
            </w:r>
            <w:r w:rsidRPr="001316AF">
              <w:rPr>
                <w:rFonts w:cs="Times New Roman"/>
                <w:sz w:val="18"/>
                <w:szCs w:val="18"/>
              </w:rPr>
              <w:t>junior researcher - 41,60 FTE (54 head)</w:t>
            </w:r>
            <w:r w:rsidR="00AE02CA">
              <w:rPr>
                <w:rFonts w:cs="Times New Roman"/>
                <w:sz w:val="18"/>
                <w:szCs w:val="18"/>
              </w:rPr>
              <w:t xml:space="preserve">, </w:t>
            </w:r>
            <w:r w:rsidRPr="001316AF">
              <w:rPr>
                <w:rFonts w:cs="Times New Roman"/>
                <w:sz w:val="18"/>
                <w:szCs w:val="18"/>
              </w:rPr>
              <w:t>Ph.D. student - 15,00 FTE (51 head)</w:t>
            </w:r>
          </w:p>
          <w:p w:rsidR="001316AF" w:rsidRPr="001316AF" w:rsidRDefault="001316AF" w:rsidP="00AE02CA">
            <w:pPr>
              <w:spacing w:after="0" w:line="240" w:lineRule="auto"/>
              <w:rPr>
                <w:rFonts w:cs="Times New Roman"/>
                <w:sz w:val="18"/>
                <w:szCs w:val="18"/>
              </w:rPr>
            </w:pPr>
            <w:r w:rsidRPr="001316AF">
              <w:rPr>
                <w:rFonts w:cs="Times New Roman"/>
                <w:sz w:val="18"/>
                <w:szCs w:val="18"/>
              </w:rPr>
              <w:t>technici - 22,1 FTE (24 head)</w:t>
            </w:r>
            <w:r w:rsidR="00AE02CA">
              <w:rPr>
                <w:rFonts w:cs="Times New Roman"/>
                <w:sz w:val="18"/>
                <w:szCs w:val="18"/>
              </w:rPr>
              <w:t>.</w:t>
            </w:r>
          </w:p>
          <w:p w:rsidR="001316AF" w:rsidRPr="00AE02CA" w:rsidRDefault="001316AF" w:rsidP="00AE02CA">
            <w:pPr>
              <w:spacing w:after="0" w:line="240" w:lineRule="auto"/>
              <w:rPr>
                <w:rFonts w:cs="Times New Roman"/>
                <w:sz w:val="18"/>
                <w:szCs w:val="18"/>
              </w:rPr>
            </w:pPr>
            <w:r w:rsidRPr="001316AF">
              <w:rPr>
                <w:rFonts w:cs="Times New Roman"/>
                <w:sz w:val="18"/>
                <w:szCs w:val="18"/>
              </w:rPr>
              <w:t>Zahraniční výzkumníci v současnosti zapojení</w:t>
            </w:r>
            <w:r w:rsidR="00AE02CA">
              <w:rPr>
                <w:rFonts w:cs="Times New Roman"/>
                <w:sz w:val="18"/>
                <w:szCs w:val="18"/>
              </w:rPr>
              <w:t xml:space="preserve"> do výzkumu : 23,63 FTE</w:t>
            </w:r>
            <w:r w:rsidR="00AE02CA">
              <w:rPr>
                <w:rFonts w:cs="Times New Roman"/>
                <w:sz w:val="18"/>
                <w:szCs w:val="18"/>
              </w:rPr>
              <w:tab/>
            </w:r>
            <w:r w:rsidR="00AE02CA">
              <w:rPr>
                <w:rFonts w:cs="Times New Roman"/>
                <w:sz w:val="18"/>
                <w:szCs w:val="18"/>
              </w:rPr>
              <w:tab/>
            </w:r>
          </w:p>
        </w:tc>
      </w:tr>
      <w:tr w:rsidR="00D26BCA" w:rsidTr="00F74C5F">
        <w:tc>
          <w:tcPr>
            <w:tcW w:w="2298" w:type="dxa"/>
          </w:tcPr>
          <w:p w:rsidR="00D26BCA" w:rsidRPr="00E4455A" w:rsidRDefault="00D26BCA" w:rsidP="003734E7">
            <w:pPr>
              <w:spacing w:before="60" w:after="60"/>
              <w:rPr>
                <w:rFonts w:asciiTheme="minorHAnsi" w:hAnsiTheme="minorHAnsi" w:cstheme="minorHAnsi"/>
                <w:b/>
                <w:sz w:val="22"/>
              </w:rPr>
            </w:pPr>
            <w:r w:rsidRPr="00E4455A">
              <w:rPr>
                <w:rFonts w:asciiTheme="minorHAnsi" w:hAnsiTheme="minorHAnsi" w:cstheme="minorHAnsi"/>
                <w:b/>
                <w:sz w:val="22"/>
              </w:rPr>
              <w:t>Hodnocení výzkumného centra</w:t>
            </w:r>
          </w:p>
        </w:tc>
        <w:tc>
          <w:tcPr>
            <w:tcW w:w="7152" w:type="dxa"/>
            <w:gridSpan w:val="5"/>
          </w:tcPr>
          <w:p w:rsidR="00D26BCA" w:rsidRPr="001316AF" w:rsidRDefault="001C342D" w:rsidP="001316AF">
            <w:pPr>
              <w:spacing w:before="60" w:after="60" w:line="240" w:lineRule="auto"/>
              <w:rPr>
                <w:rFonts w:cs="Times New Roman"/>
                <w:sz w:val="18"/>
                <w:szCs w:val="18"/>
              </w:rPr>
            </w:pPr>
            <w:r w:rsidRPr="001316AF">
              <w:rPr>
                <w:rFonts w:cs="Times New Roman"/>
                <w:sz w:val="18"/>
                <w:szCs w:val="18"/>
              </w:rPr>
              <w:t xml:space="preserve">Prodlouženo datum realizace, do 31. 12. 2014. Patří mezi středně velká centra. </w:t>
            </w:r>
            <w:r w:rsidR="001316AF" w:rsidRPr="001316AF">
              <w:rPr>
                <w:rFonts w:cs="Times New Roman"/>
                <w:sz w:val="18"/>
                <w:szCs w:val="18"/>
              </w:rPr>
              <w:t xml:space="preserve">Výdaje </w:t>
            </w:r>
            <w:r w:rsidR="001316AF" w:rsidRPr="001316AF">
              <w:rPr>
                <w:rFonts w:cs="Times New Roman"/>
                <w:sz w:val="18"/>
                <w:szCs w:val="18"/>
              </w:rPr>
              <w:t>na h</w:t>
            </w:r>
            <w:r w:rsidRPr="001316AF">
              <w:rPr>
                <w:rFonts w:cs="Times New Roman"/>
                <w:sz w:val="18"/>
                <w:szCs w:val="18"/>
              </w:rPr>
              <w:t xml:space="preserve">lavní i vedlejší stavby. </w:t>
            </w:r>
            <w:r w:rsidR="001316AF" w:rsidRPr="001316AF">
              <w:rPr>
                <w:rFonts w:cs="Times New Roman"/>
                <w:sz w:val="18"/>
                <w:szCs w:val="18"/>
              </w:rPr>
              <w:t xml:space="preserve">Si </w:t>
            </w:r>
            <w:r w:rsidRPr="001316AF">
              <w:rPr>
                <w:rFonts w:cs="Times New Roman"/>
                <w:sz w:val="18"/>
                <w:szCs w:val="18"/>
              </w:rPr>
              <w:t xml:space="preserve"> vyžádaly 102 mil. Kč.</w:t>
            </w:r>
            <w:r w:rsidR="00AE02CA">
              <w:rPr>
                <w:rFonts w:cs="Times New Roman"/>
                <w:sz w:val="18"/>
                <w:szCs w:val="18"/>
              </w:rPr>
              <w:t xml:space="preserve"> </w:t>
            </w:r>
            <w:r w:rsidRPr="001316AF">
              <w:rPr>
                <w:rFonts w:cs="Times New Roman"/>
                <w:sz w:val="18"/>
                <w:szCs w:val="18"/>
              </w:rPr>
              <w:t>Centrum nemá žádné problém s plněním indikátorů. Mají všechny předpoklady pro udržitelnost díky špičkovému vybavení.</w:t>
            </w:r>
          </w:p>
        </w:tc>
      </w:tr>
      <w:tr w:rsidR="00D26BCA" w:rsidTr="00F74C5F">
        <w:tc>
          <w:tcPr>
            <w:tcW w:w="2298" w:type="dxa"/>
          </w:tcPr>
          <w:p w:rsidR="00D26BCA" w:rsidRPr="00E4455A" w:rsidRDefault="00D26BCA" w:rsidP="003734E7">
            <w:pPr>
              <w:spacing w:before="60" w:after="60"/>
              <w:rPr>
                <w:rFonts w:asciiTheme="minorHAnsi" w:hAnsiTheme="minorHAnsi" w:cstheme="minorHAnsi"/>
                <w:b/>
                <w:sz w:val="22"/>
              </w:rPr>
            </w:pPr>
            <w:r w:rsidRPr="00E4455A">
              <w:rPr>
                <w:rFonts w:asciiTheme="minorHAnsi" w:hAnsiTheme="minorHAnsi" w:cstheme="minorHAnsi"/>
                <w:b/>
                <w:sz w:val="22"/>
              </w:rPr>
              <w:t xml:space="preserve">Poznatky z návštěvy </w:t>
            </w:r>
            <w:r w:rsidRPr="00E4455A">
              <w:rPr>
                <w:rFonts w:asciiTheme="minorHAnsi" w:hAnsiTheme="minorHAnsi" w:cstheme="minorHAnsi"/>
                <w:b/>
                <w:sz w:val="22"/>
              </w:rPr>
              <w:lastRenderedPageBreak/>
              <w:t>týmu zmocněnce pro udržitelnost</w:t>
            </w:r>
          </w:p>
        </w:tc>
        <w:tc>
          <w:tcPr>
            <w:tcW w:w="7152" w:type="dxa"/>
            <w:gridSpan w:val="5"/>
          </w:tcPr>
          <w:p w:rsidR="001C342D" w:rsidRPr="001316AF" w:rsidRDefault="001C342D" w:rsidP="001C342D">
            <w:pPr>
              <w:spacing w:before="60" w:after="60" w:line="240" w:lineRule="auto"/>
              <w:rPr>
                <w:rFonts w:cs="Times New Roman"/>
                <w:sz w:val="18"/>
                <w:szCs w:val="18"/>
              </w:rPr>
            </w:pPr>
            <w:r w:rsidRPr="001316AF">
              <w:rPr>
                <w:rFonts w:cs="Times New Roman"/>
                <w:sz w:val="18"/>
                <w:szCs w:val="18"/>
              </w:rPr>
              <w:lastRenderedPageBreak/>
              <w:t xml:space="preserve">Důležitou součástí koncepce rozvoje mezinárodní spolupráce je zapojení v mezinárodních výborech a společnostech - Advisory Committee HORIZON 2020, VPG Envi ESFRI, EEA </w:t>
            </w:r>
            <w:r w:rsidRPr="001316AF">
              <w:rPr>
                <w:rFonts w:cs="Times New Roman"/>
                <w:sz w:val="18"/>
                <w:szCs w:val="18"/>
              </w:rPr>
              <w:lastRenderedPageBreak/>
              <w:t xml:space="preserve">Grants, MC COST Activities, Steering Committee ICOS a AnaEE, JPI Climate, ECRA, ACTRIS, GMOS.  </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V oblasti výzkumu klimatu a ovzduší se předpokládá prohlubování spolupráce s institucemi:</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CNRM Météo-France, Royal Meteorological Institute of Belgium, University of Copenhagen</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 xml:space="preserve">WSL Birmensdorf, Zurich, Switzerland (Dr. U. Büntgen), Justus-Liebig-University Giessen, Germany (prof. Juerg Luterbacher), University of Madrid, Spain (prof. Fidel Gonzáles Rouco), Univ. of Freiburg, Germany (Prof. R. Glaser), Univ. of Bern, Switzerland (Prof. C. Rohr), University of Augsburg, Germany (Prof. J. Jacobeit), BOKU Wien (Austria), Technical University in Vienna (Austria), HFLA-Gumpenstein (Austria), WSL-ETH (Switzerland), ZALF (Germany), Rothamsted Research station (UK), Environmental Change Institute at Oxford University (UK), Aarhus University (Denmark), National Drought Mitigation Centre – University of Nebraska (USA), North Carolina State University in Raleigh (USA), University of Antverp (Belgium),  Laboratoire des Sciences du Climat et de l´Environment (France). </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V oblasti prognóz chování ekosystémů v podmínkách budoucího změněného klimatu bude dále rozvíjena zahraniční spolupráce v oblasti měření toků energie a látek v rámci projektu ICOS (Integrated Carbon Observation System) jednak s centrálními orgány a jednak s dalšími účastníky projektu, University of Helsinki, Finsko; University of Tuscia, Itálie; CESBIO INRA, Francie; Thünen Institute, Německo;  Universiteit Antwerpen, Belgie; ETH Zurich, Švýcarsko; Federal Research and Training Centre for Forests, Natural Hazards and Landscape, Rakousko;  University of Granada, Španělsko; University of Lund, Švédsko; University of Lleida Španělsko. V oblasti geochemických cyklů je plánována spolupráce se Swedish University of Agricultural Sciences, Uppsala a Umea, Švédsko (biogeochemie DOC a malých povodí); Swedish Environmental Research Institute, Švédsko (experimenty se saturací dusíkem a modelování dlouhodobých trendů); Norwegian Institute for Water Research, Norsko (vývoj a aplikace biogeochemického modelu MAGIC); Centre for Ecology and Hydrology, UK (experimenty s dusíkovou saturací a acidifikací půd). V rámci výzkumu biodiverzity se zahraniční instituce budou podílet na výzkumných aktivitách především v rámci sběru empirických dat - New Guinea Binatang Research Center (tropické orchideje); Universidad Mayor de San Andrés (malí savci, střevlíci); WSL Swiss Federal Institute for Forest, Snow and Landscape (střevlíci); Universite de Rennes,  Universidade de Aveiro, Ecole Nat. Superior Agr., Agrocampus Rennes, Univ. Yamagata (střevlíci, slunéčka).</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 xml:space="preserve">Hlavními partnery spolupráce ve výzkumných aktivitách dálkového průzkumu Země budou instituce, které jsou zaměřené na využití obrazové spektroskopie a modelů k hodnocení vlastností a funkcí ekosystému. Na mezinárodní úrovni jsou to ESA (European Space Agency) a NASA (National Aeronautics and Space Administration). Na bilaterální úrovni bude laboratoř spoluprácovat s partnery  z USA - institucí NEON Colorado, University of  Idaho, Boston Univ., Maryland Univ. - i z Evropy - Forschungszentrum Juelich (Něměcko), UNIMIB (Itálie), Univ. of Zurich  (Švýcarsko), Univ. of Valencia (Španělsko). </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V oblasti ekofyziologie a metabolomiky se připravuje výrazné rozšíření spolupráce na základě realizovaných projektů mezinárodní spolupráce v rámci 7. Rámcového programu (projekty AnaEE – Analysis and Experimentation on Ecosystems a EPPN – European Plant Phenotyping Network), zapojení v rámci programů COST (FA0906, TD1102, FP1204 a ES1308) a na základě realizovaných projektů bilaterální spolupráce s IBAF-CNR, Porano, Itálie (ekofyziologie, emise volatilních látek a využití stabilních izotopů) a s CREAF, Univerzita Barcelona, Španělsko (ekofyziologie a environmentální metabolomika). Dále je plánováno rozšiřování vědecké spolupráce s Institute of Bio-Geosciences, Jülich, Německo (fenotypizace rostlin), MolSys, Molecular System Biology, University of Vienna (metabolomika a bioinformatika), Department of Forest Science, University of Helsinki, Finland (ekofyziologie, fotobiologie), Institute for Analytical Chemistry, Johannes Kepler University, Linz (analytická chemie životního prostředí), U.S. Geological Survey, National Water Quality Laboratory, Denver, Colorado, USA (výskyt a stanovení steroidních látek v životním prostředí). Z nově připravovaných spoluprací lze uvést např. navázání spolupráce se navázání spolupráce s University of Pécs v  problematice oxidativního stresu.</w:t>
            </w:r>
          </w:p>
          <w:p w:rsidR="001C342D" w:rsidRPr="001316AF" w:rsidRDefault="001C342D" w:rsidP="001C342D">
            <w:pPr>
              <w:spacing w:before="60" w:after="60" w:line="240" w:lineRule="auto"/>
              <w:rPr>
                <w:rFonts w:cs="Times New Roman"/>
                <w:sz w:val="18"/>
                <w:szCs w:val="18"/>
              </w:rPr>
            </w:pPr>
            <w:r w:rsidRPr="001316AF">
              <w:rPr>
                <w:rFonts w:cs="Times New Roman"/>
                <w:sz w:val="18"/>
                <w:szCs w:val="18"/>
              </w:rPr>
              <w:t xml:space="preserve">V oblasti humánních dimenzí dopadů globální změny bude se zahraničními institucemi rozvíjena spolupráce zejména v rámci mezinárodních platforem a projektů. Mezi základní patří Ecosystem Services Partnership, kde rozvíjíme aktivity v oblasti hodnocení ekosystémových služeb a omezování důsledků katastrof (DRR). Členové výzkumného programu jsou členy mezinárodních odborných komisí a platforem, kromě několika odborných skupin v rámci zmiňovaného Ecosystem Services Partnership například IUCN Commission on Ecosystem Management, Society for Ecological Economics, Society for Human Ecology, Science for Carpathicum atd. </w:t>
            </w:r>
          </w:p>
          <w:p w:rsidR="00D26BCA" w:rsidRPr="001316AF" w:rsidRDefault="001C342D" w:rsidP="00AE02CA">
            <w:pPr>
              <w:spacing w:before="60" w:after="60" w:line="240" w:lineRule="auto"/>
              <w:rPr>
                <w:rFonts w:cs="Times New Roman"/>
                <w:sz w:val="18"/>
                <w:szCs w:val="18"/>
              </w:rPr>
            </w:pPr>
            <w:r w:rsidRPr="001316AF">
              <w:rPr>
                <w:rFonts w:cs="Times New Roman"/>
                <w:sz w:val="18"/>
                <w:szCs w:val="18"/>
              </w:rPr>
              <w:t>V oblasti výzkumu mikr</w:t>
            </w:r>
            <w:r w:rsidR="00AE02CA">
              <w:rPr>
                <w:rFonts w:cs="Times New Roman"/>
                <w:sz w:val="18"/>
                <w:szCs w:val="18"/>
              </w:rPr>
              <w:t>ořasových biotechnologií bude dá</w:t>
            </w:r>
            <w:r w:rsidRPr="001316AF">
              <w:rPr>
                <w:rFonts w:cs="Times New Roman"/>
                <w:sz w:val="18"/>
                <w:szCs w:val="18"/>
              </w:rPr>
              <w:t xml:space="preserve">le rozvíjena spolupráce s Russian Academy of Sciences, Institute of Plant Physiology (Rusko), a to na společném výzkumu kmenů perspektivních pro mikrořasové biotechnologie; výzkumu stresových a adaptačních mechanismů vybraných kmenů; využití kapacity kolekce/sbírky fotosyntetických </w:t>
            </w:r>
            <w:r w:rsidRPr="001316AF">
              <w:rPr>
                <w:rFonts w:cs="Times New Roman"/>
                <w:sz w:val="18"/>
                <w:szCs w:val="18"/>
              </w:rPr>
              <w:lastRenderedPageBreak/>
              <w:t>mikroorgaismů ruského partnera; a vývoji metod pro šlechtění těchto mikroorganismů. S Oklahoma State University, Group of Molecular &amp; Bioinformatic Analysis of Oxygenic Photosynthesis (USA) bude probíhat společný vývoj bioinformatických a výpočetních modelů fotosyntetických procesů se zaměřením na uhlíkový koncentrační mechanismus sinic. S Humboldt University of Berlin, Institute for Theoretical Biology (Německo) bude rozvíjena spolupráce na vývoji a ověřování metabolických modelů a modelů regulačních sítí mikrořas. S University of Münster, Institute for Plant Biology and Biotechnology (Německo) bude společně zkoumán vliv reaktivních forem kyslíku na účinnost procesu fotosyntézy a ovlivnění adaptace fotosyntetických mikroorganismů na stresové podmínky.</w:t>
            </w:r>
            <w:r w:rsidR="00D26BCA" w:rsidRPr="001316AF">
              <w:rPr>
                <w:rFonts w:cs="Times New Roman"/>
                <w:sz w:val="18"/>
                <w:szCs w:val="18"/>
              </w:rPr>
              <w:tab/>
            </w:r>
            <w:r w:rsidR="00D26BCA" w:rsidRPr="001316AF">
              <w:rPr>
                <w:rFonts w:cs="Times New Roman"/>
                <w:sz w:val="18"/>
                <w:szCs w:val="18"/>
              </w:rPr>
              <w:tab/>
            </w:r>
            <w:r w:rsidR="00D26BCA" w:rsidRPr="001316AF">
              <w:rPr>
                <w:rFonts w:cs="Times New Roman"/>
                <w:sz w:val="18"/>
                <w:szCs w:val="18"/>
              </w:rPr>
              <w:tab/>
            </w:r>
            <w:r w:rsidR="00D26BCA" w:rsidRPr="001316AF">
              <w:rPr>
                <w:rFonts w:cs="Times New Roman"/>
                <w:sz w:val="18"/>
                <w:szCs w:val="18"/>
              </w:rPr>
              <w:tab/>
            </w:r>
          </w:p>
        </w:tc>
      </w:tr>
      <w:tr w:rsidR="00D2753C" w:rsidTr="00F74C5F">
        <w:tc>
          <w:tcPr>
            <w:tcW w:w="2298" w:type="dxa"/>
          </w:tcPr>
          <w:p w:rsidR="00D2753C" w:rsidRPr="00E4455A" w:rsidRDefault="00D2753C" w:rsidP="000B7BB7">
            <w:pPr>
              <w:spacing w:before="60" w:after="60"/>
              <w:rPr>
                <w:rFonts w:asciiTheme="minorHAnsi" w:hAnsiTheme="minorHAnsi" w:cstheme="minorHAnsi"/>
                <w:b/>
                <w:sz w:val="22"/>
              </w:rPr>
            </w:pPr>
            <w:r w:rsidRPr="00E4455A">
              <w:rPr>
                <w:rFonts w:asciiTheme="minorHAnsi" w:hAnsiTheme="minorHAnsi" w:cstheme="minorHAnsi"/>
                <w:b/>
                <w:sz w:val="22"/>
              </w:rPr>
              <w:lastRenderedPageBreak/>
              <w:t>Zařazení projektu do rizikové skupiny</w:t>
            </w:r>
            <w:r w:rsidR="00C43F6D" w:rsidRPr="00E4455A">
              <w:rPr>
                <w:rFonts w:asciiTheme="minorHAnsi" w:hAnsiTheme="minorHAnsi" w:cstheme="minorHAnsi"/>
                <w:b/>
                <w:sz w:val="22"/>
              </w:rPr>
              <w:t xml:space="preserve"> z hlediska udržitelnosti</w:t>
            </w:r>
          </w:p>
        </w:tc>
        <w:tc>
          <w:tcPr>
            <w:tcW w:w="7152" w:type="dxa"/>
            <w:gridSpan w:val="5"/>
          </w:tcPr>
          <w:p w:rsidR="00D2753C" w:rsidRPr="00E4455A" w:rsidRDefault="00AE02CA" w:rsidP="00DD26D3">
            <w:pPr>
              <w:spacing w:before="60" w:after="60" w:line="240" w:lineRule="auto"/>
              <w:rPr>
                <w:rFonts w:asciiTheme="minorHAnsi" w:hAnsiTheme="minorHAnsi" w:cstheme="minorHAnsi"/>
                <w:sz w:val="18"/>
                <w:szCs w:val="18"/>
              </w:rPr>
            </w:pPr>
            <w:r>
              <w:rPr>
                <w:rFonts w:asciiTheme="minorHAnsi" w:hAnsiTheme="minorHAnsi" w:cstheme="minorHAnsi"/>
                <w:sz w:val="18"/>
                <w:szCs w:val="18"/>
              </w:rPr>
              <w:t>A</w:t>
            </w:r>
            <w:bookmarkStart w:id="0" w:name="_GoBack"/>
            <w:bookmarkEnd w:id="0"/>
          </w:p>
        </w:tc>
      </w:tr>
      <w:tr w:rsidR="00D2753C" w:rsidTr="00F74C5F">
        <w:tc>
          <w:tcPr>
            <w:tcW w:w="2298" w:type="dxa"/>
          </w:tcPr>
          <w:p w:rsidR="00D2753C" w:rsidRPr="00E4455A" w:rsidRDefault="00D2753C" w:rsidP="000B7BB7">
            <w:pPr>
              <w:spacing w:before="60" w:after="60"/>
              <w:rPr>
                <w:rFonts w:asciiTheme="minorHAnsi" w:hAnsiTheme="minorHAnsi" w:cstheme="minorHAnsi"/>
                <w:b/>
                <w:sz w:val="22"/>
              </w:rPr>
            </w:pPr>
            <w:r w:rsidRPr="00E4455A">
              <w:rPr>
                <w:rFonts w:asciiTheme="minorHAnsi" w:hAnsiTheme="minorHAnsi" w:cstheme="minorHAnsi"/>
                <w:b/>
                <w:sz w:val="22"/>
              </w:rPr>
              <w:t>Poznámka</w:t>
            </w:r>
          </w:p>
        </w:tc>
        <w:tc>
          <w:tcPr>
            <w:tcW w:w="7152" w:type="dxa"/>
            <w:gridSpan w:val="5"/>
          </w:tcPr>
          <w:p w:rsidR="00D2753C" w:rsidRPr="00E4455A" w:rsidRDefault="00D2753C" w:rsidP="00DD26D3">
            <w:pPr>
              <w:spacing w:before="60" w:after="60" w:line="240" w:lineRule="auto"/>
              <w:rPr>
                <w:rFonts w:asciiTheme="minorHAnsi" w:hAnsiTheme="minorHAnsi" w:cstheme="minorHAnsi"/>
                <w:sz w:val="18"/>
                <w:szCs w:val="18"/>
              </w:rPr>
            </w:pPr>
          </w:p>
        </w:tc>
      </w:tr>
    </w:tbl>
    <w:p w:rsidR="00A7545D" w:rsidRDefault="00A7545D"/>
    <w:sectPr w:rsidR="00A7545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074" w:rsidRDefault="00C21074" w:rsidP="00353AEB">
      <w:pPr>
        <w:spacing w:after="0" w:line="240" w:lineRule="auto"/>
      </w:pPr>
      <w:r>
        <w:separator/>
      </w:r>
    </w:p>
  </w:endnote>
  <w:endnote w:type="continuationSeparator" w:id="0">
    <w:p w:rsidR="00C21074" w:rsidRDefault="00C21074" w:rsidP="00353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409597"/>
      <w:docPartObj>
        <w:docPartGallery w:val="Page Numbers (Bottom of Page)"/>
        <w:docPartUnique/>
      </w:docPartObj>
    </w:sdtPr>
    <w:sdtEndPr>
      <w:rPr>
        <w:sz w:val="18"/>
        <w:szCs w:val="18"/>
      </w:rPr>
    </w:sdtEndPr>
    <w:sdtContent>
      <w:p w:rsidR="00353AEB" w:rsidRPr="000C71C7" w:rsidRDefault="00353AEB">
        <w:pPr>
          <w:pStyle w:val="Zpat"/>
          <w:rPr>
            <w:sz w:val="18"/>
            <w:szCs w:val="18"/>
          </w:rPr>
        </w:pPr>
        <w:r w:rsidRPr="000C71C7">
          <w:rPr>
            <w:rFonts w:asciiTheme="majorHAnsi" w:eastAsiaTheme="majorEastAsia" w:hAnsiTheme="majorHAnsi" w:cstheme="majorBidi"/>
            <w:noProof/>
            <w:sz w:val="18"/>
            <w:szCs w:val="18"/>
            <w:lang w:val="cs-CZ" w:eastAsia="cs-CZ"/>
          </w:rPr>
          <mc:AlternateContent>
            <mc:Choice Requires="wps">
              <w:drawing>
                <wp:anchor distT="0" distB="0" distL="114300" distR="114300" simplePos="0" relativeHeight="251659264" behindDoc="0" locked="0" layoutInCell="1" allowOverlap="1" wp14:anchorId="2DBD9E46" wp14:editId="5E6DB39A">
                  <wp:simplePos x="0" y="0"/>
                  <wp:positionH relativeFrom="rightMargin">
                    <wp:align>center</wp:align>
                  </wp:positionH>
                  <wp:positionV relativeFrom="bottomMargin">
                    <wp:align>center</wp:align>
                  </wp:positionV>
                  <wp:extent cx="512445" cy="441325"/>
                  <wp:effectExtent l="0" t="0" r="1905" b="0"/>
                  <wp:wrapNone/>
                  <wp:docPr id="522"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353AEB" w:rsidRPr="00353AEB" w:rsidRDefault="00353AEB">
                              <w:pPr>
                                <w:pStyle w:val="Zpat"/>
                                <w:pBdr>
                                  <w:top w:val="single" w:sz="12" w:space="1" w:color="A5A5A5" w:themeColor="accent3"/>
                                  <w:bottom w:val="single" w:sz="48" w:space="1" w:color="A5A5A5" w:themeColor="accent3"/>
                                </w:pBdr>
                                <w:jc w:val="center"/>
                                <w:rPr>
                                  <w:sz w:val="18"/>
                                  <w:szCs w:val="28"/>
                                </w:rPr>
                              </w:pPr>
                              <w:r w:rsidRPr="00353AEB">
                                <w:rPr>
                                  <w:sz w:val="18"/>
                                  <w:szCs w:val="21"/>
                                </w:rPr>
                                <w:fldChar w:fldCharType="begin"/>
                              </w:r>
                              <w:r w:rsidRPr="00353AEB">
                                <w:rPr>
                                  <w:sz w:val="18"/>
                                </w:rPr>
                                <w:instrText>PAGE    \* MERGEFORMAT</w:instrText>
                              </w:r>
                              <w:r w:rsidRPr="00353AEB">
                                <w:rPr>
                                  <w:sz w:val="18"/>
                                  <w:szCs w:val="21"/>
                                </w:rPr>
                                <w:fldChar w:fldCharType="separate"/>
                              </w:r>
                              <w:r w:rsidR="00AE02CA" w:rsidRPr="00AE02CA">
                                <w:rPr>
                                  <w:noProof/>
                                  <w:sz w:val="18"/>
                                  <w:szCs w:val="28"/>
                                  <w:lang w:val="cs-CZ"/>
                                </w:rPr>
                                <w:t>4</w:t>
                              </w:r>
                              <w:r w:rsidRPr="00353AEB">
                                <w:rPr>
                                  <w:sz w:val="1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D9E4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7" type="#_x0000_t176" style="position:absolute;left:0;text-align:left;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353AEB" w:rsidRPr="00353AEB" w:rsidRDefault="00353AEB">
                        <w:pPr>
                          <w:pStyle w:val="Zpat"/>
                          <w:pBdr>
                            <w:top w:val="single" w:sz="12" w:space="1" w:color="A5A5A5" w:themeColor="accent3"/>
                            <w:bottom w:val="single" w:sz="48" w:space="1" w:color="A5A5A5" w:themeColor="accent3"/>
                          </w:pBdr>
                          <w:jc w:val="center"/>
                          <w:rPr>
                            <w:sz w:val="18"/>
                            <w:szCs w:val="28"/>
                          </w:rPr>
                        </w:pPr>
                        <w:r w:rsidRPr="00353AEB">
                          <w:rPr>
                            <w:sz w:val="18"/>
                            <w:szCs w:val="21"/>
                          </w:rPr>
                          <w:fldChar w:fldCharType="begin"/>
                        </w:r>
                        <w:r w:rsidRPr="00353AEB">
                          <w:rPr>
                            <w:sz w:val="18"/>
                          </w:rPr>
                          <w:instrText>PAGE    \* MERGEFORMAT</w:instrText>
                        </w:r>
                        <w:r w:rsidRPr="00353AEB">
                          <w:rPr>
                            <w:sz w:val="18"/>
                            <w:szCs w:val="21"/>
                          </w:rPr>
                          <w:fldChar w:fldCharType="separate"/>
                        </w:r>
                        <w:r w:rsidR="00AE02CA" w:rsidRPr="00AE02CA">
                          <w:rPr>
                            <w:noProof/>
                            <w:sz w:val="18"/>
                            <w:szCs w:val="28"/>
                            <w:lang w:val="cs-CZ"/>
                          </w:rPr>
                          <w:t>4</w:t>
                        </w:r>
                        <w:r w:rsidRPr="00353AEB">
                          <w:rPr>
                            <w:sz w:val="18"/>
                            <w:szCs w:val="28"/>
                          </w:rPr>
                          <w:fldChar w:fldCharType="end"/>
                        </w:r>
                      </w:p>
                    </w:txbxContent>
                  </v:textbox>
                  <w10:wrap anchorx="margin" anchory="margin"/>
                </v:shape>
              </w:pict>
            </mc:Fallback>
          </mc:AlternateContent>
        </w:r>
        <w:r w:rsidR="000C71C7" w:rsidRPr="000C71C7">
          <w:rPr>
            <w:sz w:val="18"/>
            <w:szCs w:val="18"/>
            <w:lang w:val="cs-CZ"/>
          </w:rPr>
          <w:t>verze 1.1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074" w:rsidRDefault="00C21074" w:rsidP="00353AEB">
      <w:pPr>
        <w:spacing w:after="0" w:line="240" w:lineRule="auto"/>
      </w:pPr>
      <w:r>
        <w:separator/>
      </w:r>
    </w:p>
  </w:footnote>
  <w:footnote w:type="continuationSeparator" w:id="0">
    <w:p w:rsidR="00C21074" w:rsidRDefault="00C21074" w:rsidP="00353AEB">
      <w:pPr>
        <w:spacing w:after="0" w:line="240" w:lineRule="auto"/>
      </w:pPr>
      <w:r>
        <w:continuationSeparator/>
      </w:r>
    </w:p>
  </w:footnote>
  <w:footnote w:id="1">
    <w:p w:rsidR="008864BC" w:rsidRPr="008864BC" w:rsidRDefault="008864BC">
      <w:pPr>
        <w:pStyle w:val="Textpoznpodarou"/>
        <w:rPr>
          <w:sz w:val="18"/>
          <w:szCs w:val="18"/>
        </w:rPr>
      </w:pPr>
      <w:r w:rsidRPr="008864BC">
        <w:rPr>
          <w:rStyle w:val="Znakapoznpodarou"/>
          <w:sz w:val="18"/>
          <w:szCs w:val="18"/>
        </w:rPr>
        <w:footnoteRef/>
      </w:r>
      <w:r w:rsidRPr="008864BC">
        <w:rPr>
          <w:sz w:val="18"/>
          <w:szCs w:val="18"/>
        </w:rPr>
        <w:t xml:space="preserve"> Ještě nebyla doložena závěrečná MZ, tudíž jsou hodnoty z poslední verze, kde se některé indikátory nedokládají</w:t>
      </w:r>
    </w:p>
  </w:footnote>
  <w:footnote w:id="2">
    <w:p w:rsidR="00CA343A" w:rsidRDefault="00CA343A">
      <w:pPr>
        <w:pStyle w:val="Textpoznpodarou"/>
      </w:pPr>
      <w:r w:rsidRPr="00CA343A">
        <w:rPr>
          <w:sz w:val="18"/>
          <w:szCs w:val="18"/>
          <w:vertAlign w:val="superscript"/>
        </w:rPr>
        <w:footnoteRef/>
      </w:r>
      <w:r w:rsidRPr="00CA343A">
        <w:rPr>
          <w:sz w:val="18"/>
          <w:szCs w:val="18"/>
        </w:rPr>
        <w:t xml:space="preserve"> Závazné je naplnění k 31. 12. 2015</w:t>
      </w:r>
      <w:r>
        <w:rPr>
          <w:sz w:val="18"/>
          <w:szCs w:val="18"/>
        </w:rPr>
        <w:t>. Totéž platí pro indikátor 110820, 110810 a 110830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E5D7A"/>
    <w:multiLevelType w:val="hybridMultilevel"/>
    <w:tmpl w:val="10866436"/>
    <w:lvl w:ilvl="0" w:tplc="079A0076">
      <w:start w:val="1"/>
      <w:numFmt w:val="bullet"/>
      <w:pStyle w:val="Odrka2"/>
      <w:lvlText w:val="o"/>
      <w:lvlJc w:val="left"/>
      <w:pPr>
        <w:ind w:left="2120" w:hanging="360"/>
      </w:pPr>
      <w:rPr>
        <w:rFonts w:ascii="Courier New" w:hAnsi="Courier New" w:cs="Courier New" w:hint="default"/>
      </w:rPr>
    </w:lvl>
    <w:lvl w:ilvl="1" w:tplc="04050003" w:tentative="1">
      <w:start w:val="1"/>
      <w:numFmt w:val="bullet"/>
      <w:lvlText w:val="o"/>
      <w:lvlJc w:val="left"/>
      <w:pPr>
        <w:ind w:left="2840" w:hanging="360"/>
      </w:pPr>
      <w:rPr>
        <w:rFonts w:ascii="Courier New" w:hAnsi="Courier New" w:cs="Courier New" w:hint="default"/>
      </w:rPr>
    </w:lvl>
    <w:lvl w:ilvl="2" w:tplc="04050005" w:tentative="1">
      <w:start w:val="1"/>
      <w:numFmt w:val="bullet"/>
      <w:lvlText w:val=""/>
      <w:lvlJc w:val="left"/>
      <w:pPr>
        <w:ind w:left="3560" w:hanging="360"/>
      </w:pPr>
      <w:rPr>
        <w:rFonts w:ascii="Wingdings" w:hAnsi="Wingdings" w:hint="default"/>
      </w:rPr>
    </w:lvl>
    <w:lvl w:ilvl="3" w:tplc="04050001" w:tentative="1">
      <w:start w:val="1"/>
      <w:numFmt w:val="bullet"/>
      <w:lvlText w:val=""/>
      <w:lvlJc w:val="left"/>
      <w:pPr>
        <w:ind w:left="4280" w:hanging="360"/>
      </w:pPr>
      <w:rPr>
        <w:rFonts w:ascii="Symbol" w:hAnsi="Symbol" w:hint="default"/>
      </w:rPr>
    </w:lvl>
    <w:lvl w:ilvl="4" w:tplc="04050003" w:tentative="1">
      <w:start w:val="1"/>
      <w:numFmt w:val="bullet"/>
      <w:lvlText w:val="o"/>
      <w:lvlJc w:val="left"/>
      <w:pPr>
        <w:ind w:left="5000" w:hanging="360"/>
      </w:pPr>
      <w:rPr>
        <w:rFonts w:ascii="Courier New" w:hAnsi="Courier New" w:cs="Courier New" w:hint="default"/>
      </w:rPr>
    </w:lvl>
    <w:lvl w:ilvl="5" w:tplc="04050005" w:tentative="1">
      <w:start w:val="1"/>
      <w:numFmt w:val="bullet"/>
      <w:lvlText w:val=""/>
      <w:lvlJc w:val="left"/>
      <w:pPr>
        <w:ind w:left="5720" w:hanging="360"/>
      </w:pPr>
      <w:rPr>
        <w:rFonts w:ascii="Wingdings" w:hAnsi="Wingdings" w:hint="default"/>
      </w:rPr>
    </w:lvl>
    <w:lvl w:ilvl="6" w:tplc="04050001" w:tentative="1">
      <w:start w:val="1"/>
      <w:numFmt w:val="bullet"/>
      <w:lvlText w:val=""/>
      <w:lvlJc w:val="left"/>
      <w:pPr>
        <w:ind w:left="6440" w:hanging="360"/>
      </w:pPr>
      <w:rPr>
        <w:rFonts w:ascii="Symbol" w:hAnsi="Symbol" w:hint="default"/>
      </w:rPr>
    </w:lvl>
    <w:lvl w:ilvl="7" w:tplc="04050003" w:tentative="1">
      <w:start w:val="1"/>
      <w:numFmt w:val="bullet"/>
      <w:lvlText w:val="o"/>
      <w:lvlJc w:val="left"/>
      <w:pPr>
        <w:ind w:left="7160" w:hanging="360"/>
      </w:pPr>
      <w:rPr>
        <w:rFonts w:ascii="Courier New" w:hAnsi="Courier New" w:cs="Courier New" w:hint="default"/>
      </w:rPr>
    </w:lvl>
    <w:lvl w:ilvl="8" w:tplc="04050005" w:tentative="1">
      <w:start w:val="1"/>
      <w:numFmt w:val="bullet"/>
      <w:lvlText w:val=""/>
      <w:lvlJc w:val="left"/>
      <w:pPr>
        <w:ind w:left="7880" w:hanging="360"/>
      </w:pPr>
      <w:rPr>
        <w:rFonts w:ascii="Wingdings" w:hAnsi="Wingdings" w:hint="default"/>
      </w:rPr>
    </w:lvl>
  </w:abstractNum>
  <w:abstractNum w:abstractNumId="1">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2">
    <w:nsid w:val="41E8300D"/>
    <w:multiLevelType w:val="hybridMultilevel"/>
    <w:tmpl w:val="4A7CF9C0"/>
    <w:lvl w:ilvl="0" w:tplc="CE5C2BD8">
      <w:start w:val="1"/>
      <w:numFmt w:val="bullet"/>
      <w:pStyle w:val="Odrka5"/>
      <w:lvlText w:val=""/>
      <w:lvlJc w:val="left"/>
      <w:pPr>
        <w:ind w:left="1381"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3">
    <w:nsid w:val="4FBA54EF"/>
    <w:multiLevelType w:val="hybridMultilevel"/>
    <w:tmpl w:val="1C707DB2"/>
    <w:lvl w:ilvl="0" w:tplc="D2D0FFEC">
      <w:start w:val="1"/>
      <w:numFmt w:val="decimal"/>
      <w:pStyle w:val="Nadpis9"/>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518A6B26"/>
    <w:multiLevelType w:val="hybridMultilevel"/>
    <w:tmpl w:val="D3B09364"/>
    <w:lvl w:ilvl="0" w:tplc="AA003F68">
      <w:start w:val="1"/>
      <w:numFmt w:val="decimal"/>
      <w:pStyle w:val="Nadpis8"/>
      <w:lvlText w:val="2.%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4F6AD3"/>
    <w:multiLevelType w:val="hybridMultilevel"/>
    <w:tmpl w:val="375293FE"/>
    <w:lvl w:ilvl="0" w:tplc="448880D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52B6462E"/>
    <w:multiLevelType w:val="multilevel"/>
    <w:tmpl w:val="9E025F20"/>
    <w:lvl w:ilvl="0">
      <w:start w:val="1"/>
      <w:numFmt w:val="decimal"/>
      <w:pStyle w:val="Textodstavce"/>
      <w:isLgl/>
      <w:lvlText w:val="(%1)"/>
      <w:lvlJc w:val="left"/>
      <w:pPr>
        <w:tabs>
          <w:tab w:val="num" w:pos="785"/>
        </w:tabs>
        <w:ind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5F797848"/>
    <w:multiLevelType w:val="hybridMultilevel"/>
    <w:tmpl w:val="895E6DF4"/>
    <w:lvl w:ilvl="0" w:tplc="0680E0DA">
      <w:start w:val="1"/>
      <w:numFmt w:val="decimal"/>
      <w:pStyle w:val="Nadpis7"/>
      <w:lvlText w:val="2.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3D0727D"/>
    <w:multiLevelType w:val="hybridMultilevel"/>
    <w:tmpl w:val="3DEE4B6E"/>
    <w:lvl w:ilvl="0" w:tplc="B3A2C594">
      <w:start w:val="1"/>
      <w:numFmt w:val="bullet"/>
      <w:pStyle w:val="Odrka3"/>
      <w:lvlText w:val="□"/>
      <w:lvlJc w:val="left"/>
      <w:pPr>
        <w:ind w:left="1381" w:hanging="360"/>
      </w:pPr>
      <w:rPr>
        <w:rFonts w:ascii="Calibri" w:hAnsi="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nsid w:val="655E2316"/>
    <w:multiLevelType w:val="hybridMultilevel"/>
    <w:tmpl w:val="D61EE7AE"/>
    <w:lvl w:ilvl="0" w:tplc="C4F0B72E">
      <w:start w:val="1"/>
      <w:numFmt w:val="bullet"/>
      <w:pStyle w:val="Odrka4"/>
      <w:lvlText w:val=""/>
      <w:lvlJc w:val="left"/>
      <w:pPr>
        <w:ind w:left="1381"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65E26814"/>
    <w:multiLevelType w:val="hybridMultilevel"/>
    <w:tmpl w:val="29725B18"/>
    <w:lvl w:ilvl="0" w:tplc="D63C6AD6">
      <w:start w:val="1"/>
      <w:numFmt w:val="bullet"/>
      <w:pStyle w:val="Odrka1-"/>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742B48"/>
    <w:multiLevelType w:val="hybridMultilevel"/>
    <w:tmpl w:val="68C24DE4"/>
    <w:lvl w:ilvl="0" w:tplc="A3F4522C">
      <w:start w:val="2"/>
      <w:numFmt w:val="bullet"/>
      <w:pStyle w:val="Odrka-"/>
      <w:lvlText w:val="-"/>
      <w:lvlJc w:val="left"/>
      <w:pPr>
        <w:ind w:left="1400" w:hanging="360"/>
      </w:pPr>
      <w:rPr>
        <w:rFonts w:ascii="Times New Roman" w:eastAsia="Times New Roman" w:hAnsi="Times New Roman"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5"/>
  </w:num>
  <w:num w:numId="2">
    <w:abstractNumId w:val="6"/>
  </w:num>
  <w:num w:numId="3">
    <w:abstractNumId w:val="1"/>
  </w:num>
  <w:num w:numId="4">
    <w:abstractNumId w:val="6"/>
  </w:num>
  <w:num w:numId="5">
    <w:abstractNumId w:val="6"/>
  </w:num>
  <w:num w:numId="6">
    <w:abstractNumId w:val="0"/>
  </w:num>
  <w:num w:numId="7">
    <w:abstractNumId w:val="8"/>
  </w:num>
  <w:num w:numId="8">
    <w:abstractNumId w:val="9"/>
  </w:num>
  <w:num w:numId="9">
    <w:abstractNumId w:val="2"/>
  </w:num>
  <w:num w:numId="10">
    <w:abstractNumId w:val="10"/>
  </w:num>
  <w:num w:numId="11">
    <w:abstractNumId w:val="7"/>
  </w:num>
  <w:num w:numId="12">
    <w:abstractNumId w:val="4"/>
  </w:num>
  <w:num w:numId="13">
    <w:abstractNumId w:val="3"/>
  </w:num>
  <w:num w:numId="14">
    <w:abstractNumId w:val="6"/>
  </w:num>
  <w:num w:numId="15">
    <w:abstractNumId w:val="1"/>
  </w:num>
  <w:num w:numId="16">
    <w:abstractNumId w:val="6"/>
  </w:num>
  <w:num w:numId="17">
    <w:abstractNumId w:val="6"/>
  </w:num>
  <w:num w:numId="18">
    <w:abstractNumId w:val="11"/>
  </w:num>
  <w:num w:numId="19">
    <w:abstractNumId w:val="0"/>
  </w:num>
  <w:num w:numId="20">
    <w:abstractNumId w:val="8"/>
  </w:num>
  <w:num w:numId="21">
    <w:abstractNumId w:val="9"/>
  </w:num>
  <w:num w:numId="22">
    <w:abstractNumId w:val="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2C5"/>
    <w:rsid w:val="0000024D"/>
    <w:rsid w:val="00002DBE"/>
    <w:rsid w:val="00041A9E"/>
    <w:rsid w:val="0004245B"/>
    <w:rsid w:val="0005178F"/>
    <w:rsid w:val="00070BDB"/>
    <w:rsid w:val="00071F64"/>
    <w:rsid w:val="0009014A"/>
    <w:rsid w:val="00091A1C"/>
    <w:rsid w:val="00094435"/>
    <w:rsid w:val="000A69DE"/>
    <w:rsid w:val="000B7BB7"/>
    <w:rsid w:val="000C71C7"/>
    <w:rsid w:val="000F0945"/>
    <w:rsid w:val="0010270A"/>
    <w:rsid w:val="001057A4"/>
    <w:rsid w:val="00125F00"/>
    <w:rsid w:val="001316AF"/>
    <w:rsid w:val="00150E98"/>
    <w:rsid w:val="0018459D"/>
    <w:rsid w:val="001845D5"/>
    <w:rsid w:val="00185BB0"/>
    <w:rsid w:val="001B09DB"/>
    <w:rsid w:val="001B2134"/>
    <w:rsid w:val="001C342D"/>
    <w:rsid w:val="00235AE1"/>
    <w:rsid w:val="00267A82"/>
    <w:rsid w:val="002A102B"/>
    <w:rsid w:val="002B4A3E"/>
    <w:rsid w:val="002C69A4"/>
    <w:rsid w:val="00342A4D"/>
    <w:rsid w:val="00353AEB"/>
    <w:rsid w:val="003B33AF"/>
    <w:rsid w:val="003D1E91"/>
    <w:rsid w:val="00404266"/>
    <w:rsid w:val="00413C71"/>
    <w:rsid w:val="0042422D"/>
    <w:rsid w:val="00431B1E"/>
    <w:rsid w:val="004C4832"/>
    <w:rsid w:val="004D269E"/>
    <w:rsid w:val="004D55FA"/>
    <w:rsid w:val="004D6F6B"/>
    <w:rsid w:val="004E11E7"/>
    <w:rsid w:val="00500997"/>
    <w:rsid w:val="0052281E"/>
    <w:rsid w:val="00526313"/>
    <w:rsid w:val="00530810"/>
    <w:rsid w:val="00541634"/>
    <w:rsid w:val="00595603"/>
    <w:rsid w:val="005B7C8F"/>
    <w:rsid w:val="005D613D"/>
    <w:rsid w:val="005F27AE"/>
    <w:rsid w:val="0060312A"/>
    <w:rsid w:val="00686EA8"/>
    <w:rsid w:val="007011BD"/>
    <w:rsid w:val="00737A93"/>
    <w:rsid w:val="00742563"/>
    <w:rsid w:val="00753767"/>
    <w:rsid w:val="00774A9C"/>
    <w:rsid w:val="007A62D7"/>
    <w:rsid w:val="007B2E97"/>
    <w:rsid w:val="007B3791"/>
    <w:rsid w:val="007C1111"/>
    <w:rsid w:val="008073C9"/>
    <w:rsid w:val="0081225A"/>
    <w:rsid w:val="0081392A"/>
    <w:rsid w:val="008146D9"/>
    <w:rsid w:val="008353DD"/>
    <w:rsid w:val="008864BC"/>
    <w:rsid w:val="00893165"/>
    <w:rsid w:val="008C2B2A"/>
    <w:rsid w:val="008D0FD5"/>
    <w:rsid w:val="008D79F4"/>
    <w:rsid w:val="00924BF2"/>
    <w:rsid w:val="009360DE"/>
    <w:rsid w:val="009372B3"/>
    <w:rsid w:val="009C351B"/>
    <w:rsid w:val="009E1707"/>
    <w:rsid w:val="009E437E"/>
    <w:rsid w:val="009E6B35"/>
    <w:rsid w:val="009F2412"/>
    <w:rsid w:val="00A0019C"/>
    <w:rsid w:val="00A04E53"/>
    <w:rsid w:val="00A078D9"/>
    <w:rsid w:val="00A431A3"/>
    <w:rsid w:val="00A74241"/>
    <w:rsid w:val="00A7545D"/>
    <w:rsid w:val="00AA442B"/>
    <w:rsid w:val="00AD65D3"/>
    <w:rsid w:val="00AE02CA"/>
    <w:rsid w:val="00AE72C5"/>
    <w:rsid w:val="00AF6EBB"/>
    <w:rsid w:val="00B00DA4"/>
    <w:rsid w:val="00B07516"/>
    <w:rsid w:val="00B31B5B"/>
    <w:rsid w:val="00B64A53"/>
    <w:rsid w:val="00BD1371"/>
    <w:rsid w:val="00C06216"/>
    <w:rsid w:val="00C21074"/>
    <w:rsid w:val="00C217DD"/>
    <w:rsid w:val="00C308A3"/>
    <w:rsid w:val="00C43F6D"/>
    <w:rsid w:val="00C56390"/>
    <w:rsid w:val="00C64E82"/>
    <w:rsid w:val="00C92258"/>
    <w:rsid w:val="00CA343A"/>
    <w:rsid w:val="00CC6243"/>
    <w:rsid w:val="00CD0222"/>
    <w:rsid w:val="00D03FD2"/>
    <w:rsid w:val="00D26BCA"/>
    <w:rsid w:val="00D2753C"/>
    <w:rsid w:val="00D544E9"/>
    <w:rsid w:val="00DA6654"/>
    <w:rsid w:val="00DA7033"/>
    <w:rsid w:val="00DD26D3"/>
    <w:rsid w:val="00DF1BB6"/>
    <w:rsid w:val="00E05352"/>
    <w:rsid w:val="00E20092"/>
    <w:rsid w:val="00E413E2"/>
    <w:rsid w:val="00E43C3D"/>
    <w:rsid w:val="00E4455A"/>
    <w:rsid w:val="00E71CB7"/>
    <w:rsid w:val="00EC3BBE"/>
    <w:rsid w:val="00EE2A12"/>
    <w:rsid w:val="00F0067F"/>
    <w:rsid w:val="00F114E7"/>
    <w:rsid w:val="00F34368"/>
    <w:rsid w:val="00F44BAD"/>
    <w:rsid w:val="00F74C5F"/>
    <w:rsid w:val="00F9010E"/>
    <w:rsid w:val="00FA0F95"/>
    <w:rsid w:val="00FD37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3BD1D-86A3-41B1-9F1C-A6CA6C3A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972756">
      <w:bodyDiv w:val="1"/>
      <w:marLeft w:val="0"/>
      <w:marRight w:val="0"/>
      <w:marTop w:val="0"/>
      <w:marBottom w:val="0"/>
      <w:divBdr>
        <w:top w:val="none" w:sz="0" w:space="0" w:color="auto"/>
        <w:left w:val="none" w:sz="0" w:space="0" w:color="auto"/>
        <w:bottom w:val="none" w:sz="0" w:space="0" w:color="auto"/>
        <w:right w:val="none" w:sz="0" w:space="0" w:color="auto"/>
      </w:divBdr>
    </w:div>
    <w:div w:id="993990209">
      <w:bodyDiv w:val="1"/>
      <w:marLeft w:val="0"/>
      <w:marRight w:val="0"/>
      <w:marTop w:val="0"/>
      <w:marBottom w:val="0"/>
      <w:divBdr>
        <w:top w:val="none" w:sz="0" w:space="0" w:color="auto"/>
        <w:left w:val="none" w:sz="0" w:space="0" w:color="auto"/>
        <w:bottom w:val="none" w:sz="0" w:space="0" w:color="auto"/>
        <w:right w:val="none" w:sz="0" w:space="0" w:color="auto"/>
      </w:divBdr>
    </w:div>
    <w:div w:id="1225985908">
      <w:bodyDiv w:val="1"/>
      <w:marLeft w:val="0"/>
      <w:marRight w:val="0"/>
      <w:marTop w:val="0"/>
      <w:marBottom w:val="0"/>
      <w:divBdr>
        <w:top w:val="none" w:sz="0" w:space="0" w:color="auto"/>
        <w:left w:val="none" w:sz="0" w:space="0" w:color="auto"/>
        <w:bottom w:val="none" w:sz="0" w:space="0" w:color="auto"/>
        <w:right w:val="none" w:sz="0" w:space="0" w:color="auto"/>
      </w:divBdr>
    </w:div>
    <w:div w:id="1513717471">
      <w:bodyDiv w:val="1"/>
      <w:marLeft w:val="0"/>
      <w:marRight w:val="0"/>
      <w:marTop w:val="0"/>
      <w:marBottom w:val="0"/>
      <w:divBdr>
        <w:top w:val="none" w:sz="0" w:space="0" w:color="auto"/>
        <w:left w:val="none" w:sz="0" w:space="0" w:color="auto"/>
        <w:bottom w:val="none" w:sz="0" w:space="0" w:color="auto"/>
        <w:right w:val="none" w:sz="0" w:space="0" w:color="auto"/>
      </w:divBdr>
    </w:div>
    <w:div w:id="162123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10E09-F9B3-40E1-A3A7-9CEB274E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2220</Words>
  <Characters>13102</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VŠE</Company>
  <LinksUpToDate>false</LinksUpToDate>
  <CharactersWithSpaces>15292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Veber</dc:creator>
  <cp:lastModifiedBy>Jaromír Veber</cp:lastModifiedBy>
  <cp:revision>2</cp:revision>
  <dcterms:created xsi:type="dcterms:W3CDTF">2015-03-22T19:48:00Z</dcterms:created>
  <dcterms:modified xsi:type="dcterms:W3CDTF">2015-03-22T19:48:00Z</dcterms:modified>
</cp:coreProperties>
</file>