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0B" w:rsidRDefault="00D7600B"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</w:t>
      </w:r>
    </w:p>
    <w:p w:rsidR="00D7600B" w:rsidRDefault="00D7600B"/>
    <w:p w:rsidR="00D7600B" w:rsidRDefault="00D7600B">
      <w:pPr>
        <w:ind w:firstLine="8100"/>
      </w:pPr>
      <w:r>
        <w:t xml:space="preserve">     II. </w:t>
      </w:r>
    </w:p>
    <w:p w:rsidR="00D7600B" w:rsidRDefault="00D7600B">
      <w:pPr>
        <w:ind w:firstLine="8100"/>
      </w:pPr>
    </w:p>
    <w:p w:rsidR="00D7600B" w:rsidRDefault="00633AC5" w:rsidP="00566BEA">
      <w:pPr>
        <w:pStyle w:val="Nadpis2"/>
      </w:pPr>
      <w:proofErr w:type="gramStart"/>
      <w:r>
        <w:t>P</w:t>
      </w:r>
      <w:r w:rsidR="00C64BB8">
        <w:t xml:space="preserve"> </w:t>
      </w:r>
      <w:r>
        <w:t>ř</w:t>
      </w:r>
      <w:r w:rsidR="00C64BB8">
        <w:t xml:space="preserve"> </w:t>
      </w:r>
      <w:r>
        <w:t>e</w:t>
      </w:r>
      <w:r w:rsidR="00C64BB8">
        <w:t xml:space="preserve"> </w:t>
      </w:r>
      <w:r>
        <w:t>d</w:t>
      </w:r>
      <w:r w:rsidR="00C64BB8">
        <w:t xml:space="preserve"> </w:t>
      </w:r>
      <w:r>
        <w:t>k</w:t>
      </w:r>
      <w:r w:rsidR="00C64BB8">
        <w:t> </w:t>
      </w:r>
      <w:r>
        <w:t>l</w:t>
      </w:r>
      <w:r w:rsidR="00C64BB8">
        <w:t xml:space="preserve"> </w:t>
      </w:r>
      <w:r>
        <w:t>á</w:t>
      </w:r>
      <w:r w:rsidR="00C64BB8">
        <w:t xml:space="preserve"> </w:t>
      </w:r>
      <w:r>
        <w:t>d</w:t>
      </w:r>
      <w:r w:rsidR="00C64BB8">
        <w:t xml:space="preserve"> </w:t>
      </w:r>
      <w:r>
        <w:t>a</w:t>
      </w:r>
      <w:r w:rsidR="00C64BB8">
        <w:t xml:space="preserve"> </w:t>
      </w:r>
      <w:r>
        <w:t>c</w:t>
      </w:r>
      <w:r w:rsidR="00C64BB8">
        <w:t xml:space="preserve"> </w:t>
      </w:r>
      <w:r>
        <w:t>í</w:t>
      </w:r>
      <w:r w:rsidR="00D7600B">
        <w:t xml:space="preserve">   z</w:t>
      </w:r>
      <w:r w:rsidR="00CD1D3F">
        <w:t xml:space="preserve"> </w:t>
      </w:r>
      <w:r w:rsidR="00D7600B">
        <w:t>p r á v a</w:t>
      </w:r>
      <w:proofErr w:type="gramEnd"/>
    </w:p>
    <w:p w:rsidR="00D7600B" w:rsidRDefault="00D7600B" w:rsidP="00566BEA">
      <w:pPr>
        <w:jc w:val="center"/>
      </w:pPr>
    </w:p>
    <w:p w:rsidR="00D7600B" w:rsidRDefault="00D7600B" w:rsidP="00566BEA">
      <w:pPr>
        <w:jc w:val="center"/>
      </w:pPr>
    </w:p>
    <w:p w:rsidR="00E8141A" w:rsidRDefault="00D7600B" w:rsidP="00993FFC">
      <w:pPr>
        <w:pStyle w:val="Zkladntext2"/>
        <w:spacing w:line="276" w:lineRule="auto"/>
      </w:pPr>
      <w:r>
        <w:t xml:space="preserve">         Na základě ustanovení § 24 odst. 3 zákona č. 218/2000 Sb., o rozpočtových pravidlech, může povolit přesun mezi závaznými ukazateli státního rozpočtu v rámci kapitoly nad 10</w:t>
      </w:r>
      <w:r w:rsidR="00E737C2">
        <w:t> </w:t>
      </w:r>
      <w:r>
        <w:t>%</w:t>
      </w:r>
      <w:r w:rsidR="00E737C2">
        <w:t> </w:t>
      </w:r>
      <w:r>
        <w:t xml:space="preserve">každého </w:t>
      </w:r>
      <w:r w:rsidR="00091C3C">
        <w:t xml:space="preserve">závazného </w:t>
      </w:r>
      <w:r>
        <w:t xml:space="preserve">ukazatele rozpočtový výbor Poslanecké sněmovny Parlamentu ČR. </w:t>
      </w:r>
      <w:r w:rsidRPr="000461A6">
        <w:t xml:space="preserve">Usnesením </w:t>
      </w:r>
      <w:r>
        <w:t xml:space="preserve">rozpočtového výboru Poslanecké sněmovny Parlamentu ČR </w:t>
      </w:r>
      <w:r w:rsidR="000461A6" w:rsidRPr="000461A6">
        <w:t>č. 409</w:t>
      </w:r>
      <w:r w:rsidR="000461A6">
        <w:t xml:space="preserve"> ze dne 7.</w:t>
      </w:r>
      <w:r w:rsidR="00E737C2">
        <w:t> </w:t>
      </w:r>
      <w:r w:rsidR="000461A6">
        <w:t>2.</w:t>
      </w:r>
      <w:r w:rsidR="00E737C2">
        <w:t> </w:t>
      </w:r>
      <w:r w:rsidR="000461A6">
        <w:t xml:space="preserve">2001 </w:t>
      </w:r>
      <w:r>
        <w:t>byla stanovena podrobnější pravidla pro projednávání žádostí dle § 24 zákona č.</w:t>
      </w:r>
      <w:r w:rsidR="00E737C2">
        <w:t> </w:t>
      </w:r>
      <w:r>
        <w:t xml:space="preserve">218/2000 Sb. Dle bodu III. usnesení č. 409 rozpočtového výboru žádost předkládá vláda. </w:t>
      </w:r>
    </w:p>
    <w:p w:rsidR="000379B4" w:rsidRPr="00F01927" w:rsidRDefault="000379B4" w:rsidP="00993FFC">
      <w:pPr>
        <w:pStyle w:val="Zkladntext2"/>
        <w:spacing w:line="276" w:lineRule="auto"/>
      </w:pPr>
    </w:p>
    <w:p w:rsidR="00D13AFE" w:rsidRDefault="003B1FE1" w:rsidP="00D13AFE">
      <w:pPr>
        <w:spacing w:line="276" w:lineRule="auto"/>
        <w:jc w:val="both"/>
        <w:rPr>
          <w:szCs w:val="22"/>
        </w:rPr>
      </w:pPr>
      <w:r>
        <w:rPr>
          <w:szCs w:val="22"/>
        </w:rPr>
        <w:t>Technologická agentura České republiky žádá o přesun finančních prostředků v rámci stanovených institucionálních výdajů na rok 2015. Jedná se o navýšení prostředků na spolufinancování projektu „</w:t>
      </w:r>
      <w:r w:rsidRPr="00D80513">
        <w:rPr>
          <w:bCs/>
          <w:szCs w:val="22"/>
        </w:rPr>
        <w:t>Zefektivnění činnosti TA</w:t>
      </w:r>
      <w:r w:rsidR="00F63536">
        <w:rPr>
          <w:bCs/>
          <w:szCs w:val="22"/>
        </w:rPr>
        <w:t xml:space="preserve"> </w:t>
      </w:r>
      <w:r w:rsidRPr="00D80513">
        <w:rPr>
          <w:bCs/>
          <w:szCs w:val="22"/>
        </w:rPr>
        <w:t xml:space="preserve">ČR v oblasti podpory </w:t>
      </w:r>
      <w:proofErr w:type="spellStart"/>
      <w:r w:rsidRPr="00D80513">
        <w:rPr>
          <w:bCs/>
          <w:szCs w:val="22"/>
        </w:rPr>
        <w:t>VaVaI</w:t>
      </w:r>
      <w:proofErr w:type="spellEnd"/>
      <w:r w:rsidRPr="00D80513">
        <w:rPr>
          <w:bCs/>
          <w:szCs w:val="22"/>
        </w:rPr>
        <w:t xml:space="preserve"> a podpora posilování odborných kapacit organizací veřejné správy v oblasti </w:t>
      </w:r>
      <w:proofErr w:type="spellStart"/>
      <w:r w:rsidRPr="00D80513">
        <w:rPr>
          <w:bCs/>
          <w:szCs w:val="22"/>
        </w:rPr>
        <w:t>VaVaI</w:t>
      </w:r>
      <w:proofErr w:type="spellEnd"/>
      <w:r w:rsidRPr="00D80513">
        <w:rPr>
          <w:bCs/>
          <w:szCs w:val="22"/>
        </w:rPr>
        <w:t>“</w:t>
      </w:r>
      <w:r w:rsidR="001F67CA">
        <w:rPr>
          <w:bCs/>
          <w:szCs w:val="22"/>
        </w:rPr>
        <w:t xml:space="preserve">, </w:t>
      </w:r>
      <w:proofErr w:type="spellStart"/>
      <w:r w:rsidR="001F67CA">
        <w:rPr>
          <w:bCs/>
          <w:szCs w:val="22"/>
        </w:rPr>
        <w:t>reg</w:t>
      </w:r>
      <w:proofErr w:type="spellEnd"/>
      <w:r w:rsidR="001F67CA">
        <w:rPr>
          <w:bCs/>
          <w:szCs w:val="22"/>
        </w:rPr>
        <w:t xml:space="preserve">. </w:t>
      </w:r>
      <w:proofErr w:type="gramStart"/>
      <w:r w:rsidR="001F67CA">
        <w:rPr>
          <w:bCs/>
          <w:szCs w:val="22"/>
        </w:rPr>
        <w:t>č.</w:t>
      </w:r>
      <w:proofErr w:type="gramEnd"/>
      <w:r w:rsidR="001F67CA">
        <w:rPr>
          <w:bCs/>
          <w:szCs w:val="22"/>
        </w:rPr>
        <w:t xml:space="preserve"> projektu </w:t>
      </w:r>
      <w:r w:rsidR="001F67CA" w:rsidRPr="00C64BB8">
        <w:rPr>
          <w:szCs w:val="22"/>
        </w:rPr>
        <w:t>CZ.1.04/4.1.00/D4.00003</w:t>
      </w:r>
      <w:r w:rsidRPr="00D80513">
        <w:rPr>
          <w:bCs/>
          <w:szCs w:val="22"/>
        </w:rPr>
        <w:t xml:space="preserve"> </w:t>
      </w:r>
      <w:r w:rsidRPr="00D80513">
        <w:rPr>
          <w:szCs w:val="22"/>
        </w:rPr>
        <w:t>(dále Zefektivnění</w:t>
      </w:r>
      <w:r>
        <w:rPr>
          <w:szCs w:val="22"/>
        </w:rPr>
        <w:t xml:space="preserve"> TA ČR)</w:t>
      </w:r>
      <w:r w:rsidR="00803EB7">
        <w:rPr>
          <w:szCs w:val="22"/>
        </w:rPr>
        <w:t xml:space="preserve"> ve výši 4 755 521 Kč. </w:t>
      </w:r>
      <w:r w:rsidR="00D13AFE">
        <w:rPr>
          <w:szCs w:val="22"/>
        </w:rPr>
        <w:t xml:space="preserve">Projekt je spolufinancovaný ze </w:t>
      </w:r>
      <w:r w:rsidR="001F67CA">
        <w:rPr>
          <w:szCs w:val="22"/>
        </w:rPr>
        <w:t>strukturálních fondů</w:t>
      </w:r>
      <w:r w:rsidR="00D13AFE">
        <w:rPr>
          <w:szCs w:val="22"/>
        </w:rPr>
        <w:t xml:space="preserve"> v rámci Operačního programu Lidské zdroje a zaměstnanost (OP</w:t>
      </w:r>
      <w:r w:rsidR="00F63536">
        <w:rPr>
          <w:szCs w:val="22"/>
        </w:rPr>
        <w:t xml:space="preserve"> </w:t>
      </w:r>
      <w:r w:rsidR="00D13AFE">
        <w:rPr>
          <w:szCs w:val="22"/>
        </w:rPr>
        <w:t>LZZ)</w:t>
      </w:r>
      <w:r w:rsidR="001F67CA">
        <w:rPr>
          <w:szCs w:val="22"/>
        </w:rPr>
        <w:t xml:space="preserve"> v programovém období 2007 -2013</w:t>
      </w:r>
      <w:r w:rsidR="00D13AFE">
        <w:rPr>
          <w:szCs w:val="22"/>
        </w:rPr>
        <w:t>. Projekt „</w:t>
      </w:r>
      <w:r w:rsidR="00D13AFE" w:rsidRPr="00D80513">
        <w:rPr>
          <w:szCs w:val="22"/>
        </w:rPr>
        <w:t>Zefektivnění</w:t>
      </w:r>
      <w:r w:rsidR="00D13AFE">
        <w:rPr>
          <w:szCs w:val="22"/>
        </w:rPr>
        <w:t xml:space="preserve"> TA ČR</w:t>
      </w:r>
      <w:r w:rsidR="001F67CA">
        <w:rPr>
          <w:szCs w:val="22"/>
        </w:rPr>
        <w:t>“</w:t>
      </w:r>
      <w:r w:rsidR="00D13AFE">
        <w:rPr>
          <w:szCs w:val="22"/>
        </w:rPr>
        <w:t xml:space="preserve"> byl schválen Řídícím orgánem Ministerstvem práce a sociálních věcí ČR dne 17. října 2014 a bude realizován po dobu 16 měsíců v období od 1. 8. 2014 do 30. 11. 2015 realizačním týmem TA ČR. Celková výše prostředků na realizaci tohoto projektu je navrhována ve výši 42 213 786 Kč, z toho 35 881 718 Kč z Evropského </w:t>
      </w:r>
      <w:r w:rsidR="002A4CDD">
        <w:rPr>
          <w:szCs w:val="22"/>
        </w:rPr>
        <w:t>sociálního</w:t>
      </w:r>
      <w:r w:rsidR="00D13AFE">
        <w:rPr>
          <w:szCs w:val="22"/>
        </w:rPr>
        <w:t xml:space="preserve"> fondu (85 %) a 6 332 068 Kč ze státního rozpočtu (15 %). </w:t>
      </w:r>
    </w:p>
    <w:p w:rsidR="003B1FE1" w:rsidRPr="003922C5" w:rsidRDefault="00D13AFE" w:rsidP="003B1FE1">
      <w:pPr>
        <w:tabs>
          <w:tab w:val="right" w:pos="9000"/>
        </w:tabs>
        <w:spacing w:line="276" w:lineRule="auto"/>
        <w:jc w:val="both"/>
        <w:rPr>
          <w:bCs/>
        </w:rPr>
      </w:pPr>
      <w:r>
        <w:rPr>
          <w:szCs w:val="22"/>
        </w:rPr>
        <w:t xml:space="preserve"> </w:t>
      </w:r>
      <w:r w:rsidR="003B1FE1">
        <w:rPr>
          <w:szCs w:val="22"/>
        </w:rPr>
        <w:t>V kapitole 377 – Technologická agentura České republiky nejsou prostředky na daný účel rozpočtovány, neboť</w:t>
      </w:r>
      <w:r w:rsidR="00803EB7">
        <w:rPr>
          <w:szCs w:val="22"/>
        </w:rPr>
        <w:t xml:space="preserve"> </w:t>
      </w:r>
      <w:r w:rsidR="003B1FE1">
        <w:rPr>
          <w:szCs w:val="22"/>
        </w:rPr>
        <w:t>v době sestavování rozpočtu na rok 2015 nebyl projekt Řídícím orgánem ještě schválen. Požadovaná úprava však znamená změnu o více než 10 % závazných ukazatelů „V</w:t>
      </w:r>
      <w:r w:rsidR="003B1FE1" w:rsidRPr="003922C5">
        <w:t xml:space="preserve">ýdaje spolufinancované </w:t>
      </w:r>
      <w:r w:rsidR="003B1FE1">
        <w:t xml:space="preserve">zcela nebo částečně </w:t>
      </w:r>
      <w:r w:rsidR="003B1FE1" w:rsidRPr="003922C5">
        <w:t xml:space="preserve">z rozpočtu EU bez </w:t>
      </w:r>
      <w:r w:rsidR="003B1FE1">
        <w:t>společné zemědělské politiky</w:t>
      </w:r>
      <w:r w:rsidR="003B1FE1" w:rsidRPr="003922C5">
        <w:t xml:space="preserve"> celkem“</w:t>
      </w:r>
      <w:r w:rsidR="003B1FE1">
        <w:t xml:space="preserve"> a </w:t>
      </w:r>
      <w:r w:rsidR="003B1FE1" w:rsidRPr="003922C5">
        <w:rPr>
          <w:bCs/>
        </w:rPr>
        <w:t>„</w:t>
      </w:r>
      <w:r w:rsidR="003B1FE1" w:rsidRPr="003922C5">
        <w:t xml:space="preserve">Výdaje spolufinancované </w:t>
      </w:r>
      <w:r w:rsidR="003B1FE1">
        <w:t xml:space="preserve">zcela nebo částečně </w:t>
      </w:r>
      <w:r w:rsidR="003B1FE1" w:rsidRPr="003922C5">
        <w:t xml:space="preserve">z rozpočtu EU bez </w:t>
      </w:r>
      <w:r w:rsidR="003B1FE1">
        <w:t>společné zemědělské politiky</w:t>
      </w:r>
      <w:r w:rsidR="003B1FE1" w:rsidRPr="003922C5">
        <w:t xml:space="preserve"> celkem</w:t>
      </w:r>
      <w:r w:rsidR="003B1FE1" w:rsidRPr="003922C5">
        <w:rPr>
          <w:bCs/>
        </w:rPr>
        <w:t xml:space="preserve"> v tom ze státního rozpočtu“</w:t>
      </w:r>
      <w:r w:rsidR="00803EB7">
        <w:rPr>
          <w:bCs/>
        </w:rPr>
        <w:t xml:space="preserve"> a nebude mít dopad na státní rozpočet</w:t>
      </w:r>
      <w:r>
        <w:rPr>
          <w:bCs/>
        </w:rPr>
        <w:t>, neboť je financován v rámci schváleného rozpočtu kapitoly.</w:t>
      </w:r>
    </w:p>
    <w:p w:rsidR="00F152BF" w:rsidRDefault="00F152BF" w:rsidP="00993FFC">
      <w:pPr>
        <w:spacing w:line="276" w:lineRule="auto"/>
        <w:jc w:val="both"/>
        <w:rPr>
          <w:szCs w:val="22"/>
        </w:rPr>
      </w:pPr>
      <w:r>
        <w:rPr>
          <w:szCs w:val="22"/>
        </w:rPr>
        <w:t>Finanční zajištění projektu:</w:t>
      </w:r>
    </w:p>
    <w:p w:rsidR="00803EB7" w:rsidRDefault="003A25C4" w:rsidP="00803EB7">
      <w:pPr>
        <w:spacing w:line="276" w:lineRule="auto"/>
        <w:jc w:val="both"/>
        <w:rPr>
          <w:szCs w:val="22"/>
        </w:rPr>
      </w:pPr>
      <w:r>
        <w:rPr>
          <w:szCs w:val="22"/>
        </w:rPr>
        <w:t>Technologická agentura ČR žádá o přesun v rámci stanovených výdajů z důvodu zajištění spolufinancování, u kterého dochází k úpravě závazných ukazatelů nad 10 %.</w:t>
      </w:r>
      <w:r w:rsidR="003F57B0">
        <w:rPr>
          <w:szCs w:val="22"/>
        </w:rPr>
        <w:t xml:space="preserve"> Jedná se o ukazatel „</w:t>
      </w:r>
      <w:r w:rsidR="001835CD">
        <w:rPr>
          <w:szCs w:val="22"/>
        </w:rPr>
        <w:t>V</w:t>
      </w:r>
      <w:r w:rsidR="001835CD" w:rsidRPr="003922C5">
        <w:t xml:space="preserve">ýdaje spolufinancované </w:t>
      </w:r>
      <w:r w:rsidR="001835CD">
        <w:t xml:space="preserve">zcela nebo částečně </w:t>
      </w:r>
      <w:r w:rsidR="001835CD" w:rsidRPr="003922C5">
        <w:t xml:space="preserve">z rozpočtu EU bez </w:t>
      </w:r>
      <w:r w:rsidR="001835CD">
        <w:t>společné zemědělské politiky</w:t>
      </w:r>
      <w:r w:rsidR="001835CD" w:rsidRPr="003922C5">
        <w:t xml:space="preserve"> celkem“</w:t>
      </w:r>
      <w:r w:rsidR="006C00F3">
        <w:t>, který</w:t>
      </w:r>
      <w:r w:rsidR="001835CD">
        <w:t xml:space="preserve"> se zvyšuje o 4 755 521 Kč a u</w:t>
      </w:r>
      <w:r w:rsidR="001835CD" w:rsidRPr="003922C5">
        <w:rPr>
          <w:bCs/>
        </w:rPr>
        <w:t>kazatel „</w:t>
      </w:r>
      <w:r w:rsidR="001835CD" w:rsidRPr="003922C5">
        <w:t xml:space="preserve">Výdaje spolufinancované </w:t>
      </w:r>
      <w:r w:rsidR="001835CD">
        <w:t xml:space="preserve">zcela nebo částečně </w:t>
      </w:r>
      <w:r w:rsidR="001835CD" w:rsidRPr="003922C5">
        <w:t xml:space="preserve">z rozpočtu EU bez </w:t>
      </w:r>
      <w:r w:rsidR="001835CD">
        <w:t>společné zemědělské politiky</w:t>
      </w:r>
      <w:r w:rsidR="001835CD" w:rsidRPr="003922C5">
        <w:t xml:space="preserve"> celkem</w:t>
      </w:r>
      <w:r w:rsidR="001835CD" w:rsidRPr="003922C5">
        <w:rPr>
          <w:bCs/>
        </w:rPr>
        <w:t xml:space="preserve"> v tom ze státního rozpočtu“</w:t>
      </w:r>
      <w:r w:rsidR="006C00F3">
        <w:rPr>
          <w:bCs/>
        </w:rPr>
        <w:t>, který</w:t>
      </w:r>
      <w:r w:rsidR="001835CD">
        <w:rPr>
          <w:bCs/>
        </w:rPr>
        <w:t xml:space="preserve"> se zvyšuje o 4 755 521 Kč</w:t>
      </w:r>
      <w:r w:rsidR="00E36237">
        <w:rPr>
          <w:bCs/>
        </w:rPr>
        <w:t>.</w:t>
      </w:r>
      <w:r w:rsidR="00803EB7">
        <w:rPr>
          <w:bCs/>
        </w:rPr>
        <w:t xml:space="preserve"> </w:t>
      </w:r>
      <w:r w:rsidR="00803EB7">
        <w:rPr>
          <w:szCs w:val="22"/>
        </w:rPr>
        <w:t>Český 15% podíl ve výši 4 755 521 Kč bude krytý v rámci schváleného rozpočtu kapitoly Technologická agentura ČR na rok 2015 a nepředstavuje dopad na již schválené výdaje státního rozpočtu.</w:t>
      </w:r>
      <w:r w:rsidR="00253B1C">
        <w:rPr>
          <w:szCs w:val="22"/>
        </w:rPr>
        <w:t xml:space="preserve"> Se zajištěním spolufinancování souvisí souvztažné navýšení příjmů a výdajů kapitoly Technologická agentura České republiky o prostředky na předfinancování výdajů státního rozpočtu tohoto projektu krytých příjmy z rozpočtu EU ve výši 26 947 954 Kč, které budou </w:t>
      </w:r>
      <w:r w:rsidR="00253B1C">
        <w:rPr>
          <w:szCs w:val="22"/>
        </w:rPr>
        <w:lastRenderedPageBreak/>
        <w:t>předmětem následného rozpočtového opatření poté, co vláda a rozpočtový výbor navýšení ukazatelů nad 10 % schválí.</w:t>
      </w:r>
    </w:p>
    <w:p w:rsidR="00E514C4" w:rsidRDefault="00E514C4" w:rsidP="00FB5973">
      <w:pPr>
        <w:shd w:val="clear" w:color="auto" w:fill="FFFFFF"/>
        <w:spacing w:line="276" w:lineRule="auto"/>
        <w:jc w:val="both"/>
        <w:rPr>
          <w:color w:val="000000"/>
        </w:rPr>
      </w:pPr>
    </w:p>
    <w:p w:rsidR="00085699" w:rsidRDefault="00B4782F" w:rsidP="00085699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  <w:shd w:val="clear" w:color="auto" w:fill="FFFFFF"/>
        </w:rPr>
        <w:t>Jedná se o schválený a již realizovaný individuální projekt z </w:t>
      </w:r>
      <w:proofErr w:type="gramStart"/>
      <w:r>
        <w:rPr>
          <w:color w:val="000000"/>
          <w:shd w:val="clear" w:color="auto" w:fill="FFFFFF"/>
        </w:rPr>
        <w:t>OP</w:t>
      </w:r>
      <w:proofErr w:type="gramEnd"/>
      <w:r>
        <w:rPr>
          <w:color w:val="000000"/>
          <w:shd w:val="clear" w:color="auto" w:fill="FFFFFF"/>
        </w:rPr>
        <w:t xml:space="preserve"> LZZ</w:t>
      </w:r>
      <w:r w:rsidR="00814E38">
        <w:rPr>
          <w:color w:val="000000"/>
          <w:shd w:val="clear" w:color="auto" w:fill="FFFFFF"/>
        </w:rPr>
        <w:t xml:space="preserve">, který má zásadní význam pro rozvoj TA ČR a poskytne užitečné výsledky pro celý systém výzkumu, vývoje a inovací v ČR. Z tohoto důvodu byl o projektu již informován </w:t>
      </w:r>
      <w:r w:rsidR="00814E38" w:rsidRPr="00814E38">
        <w:rPr>
          <w:color w:val="000000"/>
          <w:shd w:val="clear" w:color="auto" w:fill="FFFFFF"/>
        </w:rPr>
        <w:t>místopředseda vlády pro vědu, výzkum a inovace</w:t>
      </w:r>
      <w:r w:rsidR="00814E38">
        <w:rPr>
          <w:color w:val="000000"/>
          <w:shd w:val="clear" w:color="auto" w:fill="FFFFFF"/>
        </w:rPr>
        <w:t>. S</w:t>
      </w:r>
      <w:r>
        <w:rPr>
          <w:color w:val="000000"/>
          <w:shd w:val="clear" w:color="auto" w:fill="FFFFFF"/>
        </w:rPr>
        <w:t xml:space="preserve">oučástí schvalovacího procesu </w:t>
      </w:r>
      <w:r w:rsidR="00085699">
        <w:rPr>
          <w:color w:val="000000"/>
          <w:shd w:val="clear" w:color="auto" w:fill="FFFFFF"/>
        </w:rPr>
        <w:t xml:space="preserve">projektu </w:t>
      </w:r>
      <w:r>
        <w:rPr>
          <w:color w:val="000000"/>
          <w:shd w:val="clear" w:color="auto" w:fill="FFFFFF"/>
        </w:rPr>
        <w:t xml:space="preserve">byl i závazek TA ČR </w:t>
      </w:r>
      <w:r w:rsidR="00814E38">
        <w:rPr>
          <w:color w:val="000000"/>
          <w:shd w:val="clear" w:color="auto" w:fill="FFFFFF"/>
        </w:rPr>
        <w:t>předložit</w:t>
      </w:r>
      <w:r w:rsidR="00085699">
        <w:rPr>
          <w:color w:val="000000"/>
          <w:shd w:val="clear" w:color="auto" w:fill="FFFFFF"/>
        </w:rPr>
        <w:t xml:space="preserve"> výstup</w:t>
      </w:r>
      <w:r w:rsidR="00814E38">
        <w:rPr>
          <w:color w:val="000000"/>
          <w:shd w:val="clear" w:color="auto" w:fill="FFFFFF"/>
        </w:rPr>
        <w:t>y</w:t>
      </w:r>
      <w:r w:rsidR="00085699">
        <w:rPr>
          <w:color w:val="000000"/>
          <w:shd w:val="clear" w:color="auto" w:fill="FFFFFF"/>
        </w:rPr>
        <w:t xml:space="preserve"> projektu Radě</w:t>
      </w:r>
      <w:r w:rsidR="00C60E57">
        <w:rPr>
          <w:color w:val="000000"/>
          <w:shd w:val="clear" w:color="auto" w:fill="FFFFFF"/>
        </w:rPr>
        <w:t>.</w:t>
      </w:r>
      <w:r w:rsidR="008A73C5">
        <w:rPr>
          <w:color w:val="000000"/>
          <w:shd w:val="clear" w:color="auto" w:fill="FFFFFF"/>
        </w:rPr>
        <w:t xml:space="preserve"> </w:t>
      </w:r>
      <w:r w:rsidR="00085699">
        <w:rPr>
          <w:color w:val="000000"/>
          <w:shd w:val="clear" w:color="auto" w:fill="FFFFFF"/>
        </w:rPr>
        <w:t>Rada proto bude v průběhu projektu</w:t>
      </w:r>
      <w:r w:rsidR="00814E38">
        <w:rPr>
          <w:color w:val="000000"/>
          <w:shd w:val="clear" w:color="auto" w:fill="FFFFFF"/>
        </w:rPr>
        <w:t xml:space="preserve"> i po jeho ukončení informována. S</w:t>
      </w:r>
      <w:r w:rsidR="00085699">
        <w:rPr>
          <w:color w:val="000000"/>
          <w:shd w:val="clear" w:color="auto" w:fill="FFFFFF"/>
        </w:rPr>
        <w:t xml:space="preserve">oučástí informování Rady bude </w:t>
      </w:r>
      <w:r w:rsidR="00814E38">
        <w:rPr>
          <w:color w:val="000000"/>
          <w:shd w:val="clear" w:color="auto" w:fill="FFFFFF"/>
        </w:rPr>
        <w:t>rovněž</w:t>
      </w:r>
      <w:r w:rsidR="00085699">
        <w:rPr>
          <w:color w:val="000000"/>
          <w:shd w:val="clear" w:color="auto" w:fill="FFFFFF"/>
        </w:rPr>
        <w:t xml:space="preserve"> informace o změně závazných ukazatelů Technologické agentury České republiky a provedených rozpočtových opatřeních souvisejících s tímto projektem. </w:t>
      </w:r>
    </w:p>
    <w:p w:rsidR="001F67CA" w:rsidRDefault="008A73C5" w:rsidP="00FB5973">
      <w:pPr>
        <w:shd w:val="clear" w:color="auto" w:fill="FFFFFF"/>
        <w:spacing w:line="276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Jakékoliv pozastavení čerpání finančních prostředků ohrožuje realizaci stanovených cílů </w:t>
      </w:r>
      <w:r w:rsidR="00C65FCD">
        <w:rPr>
          <w:color w:val="000000"/>
          <w:shd w:val="clear" w:color="auto" w:fill="FFFFFF"/>
        </w:rPr>
        <w:t xml:space="preserve">projektu </w:t>
      </w:r>
      <w:r>
        <w:rPr>
          <w:color w:val="000000"/>
          <w:shd w:val="clear" w:color="auto" w:fill="FFFFFF"/>
        </w:rPr>
        <w:t>a snižuje úspěšnost čerpání strukturálních fondů</w:t>
      </w:r>
      <w:r w:rsidR="00BA4423">
        <w:rPr>
          <w:color w:val="000000"/>
          <w:shd w:val="clear" w:color="auto" w:fill="FFFFFF"/>
        </w:rPr>
        <w:t xml:space="preserve"> v programovém období 2007 - 2013</w:t>
      </w:r>
      <w:r>
        <w:rPr>
          <w:color w:val="000000"/>
          <w:shd w:val="clear" w:color="auto" w:fill="FFFFFF"/>
        </w:rPr>
        <w:t>. Požadovaná výše spolufinancování představuje v rozpočtu Technologické agentury částku významnou, nicméně z pohledu celkového rozpočtu na výzkum, vývoj a inovace v ČR částku zanedbatelnou</w:t>
      </w:r>
      <w:r w:rsidR="001F67CA">
        <w:rPr>
          <w:color w:val="000000"/>
          <w:shd w:val="clear" w:color="auto" w:fill="FFFFFF"/>
        </w:rPr>
        <w:t>.</w:t>
      </w:r>
    </w:p>
    <w:p w:rsidR="0052517D" w:rsidRDefault="0052517D">
      <w:pPr>
        <w:shd w:val="clear" w:color="auto" w:fill="FFFFFF"/>
        <w:spacing w:line="276" w:lineRule="auto"/>
        <w:jc w:val="both"/>
        <w:rPr>
          <w:color w:val="000000"/>
        </w:rPr>
      </w:pPr>
    </w:p>
    <w:p w:rsidR="0052517D" w:rsidRDefault="0052517D">
      <w:pPr>
        <w:shd w:val="clear" w:color="auto" w:fill="FFFFFF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V návaznosti na </w:t>
      </w:r>
      <w:r w:rsidR="00253B1C">
        <w:rPr>
          <w:color w:val="000000"/>
        </w:rPr>
        <w:t>požadovanou</w:t>
      </w:r>
      <w:r>
        <w:rPr>
          <w:color w:val="000000"/>
        </w:rPr>
        <w:t xml:space="preserve"> úpravu</w:t>
      </w:r>
      <w:r w:rsidR="00253B1C">
        <w:rPr>
          <w:color w:val="000000"/>
        </w:rPr>
        <w:t>, tj. spolufinancování</w:t>
      </w:r>
      <w:r>
        <w:rPr>
          <w:color w:val="000000"/>
        </w:rPr>
        <w:t xml:space="preserve"> je proto nezbytné navýšit závazné ukazatele kapitoly takto:</w:t>
      </w:r>
    </w:p>
    <w:p w:rsidR="00975A1D" w:rsidRDefault="00975A1D" w:rsidP="00975A1D">
      <w:pPr>
        <w:tabs>
          <w:tab w:val="right" w:pos="9000"/>
        </w:tabs>
        <w:rPr>
          <w:b/>
        </w:rPr>
      </w:pPr>
      <w:r>
        <w:rPr>
          <w:b/>
        </w:rPr>
        <w:t>Průřezové ukazatele</w:t>
      </w:r>
    </w:p>
    <w:p w:rsidR="00975A1D" w:rsidRDefault="00975A1D" w:rsidP="00975A1D">
      <w:pPr>
        <w:tabs>
          <w:tab w:val="right" w:pos="9000"/>
        </w:tabs>
      </w:pPr>
      <w:r>
        <w:t xml:space="preserve">Platy zaměstnanců a ostatní platby za provedenou práci                    </w:t>
      </w:r>
      <w:r>
        <w:tab/>
        <w:t>3 119 888 Kč</w:t>
      </w:r>
    </w:p>
    <w:p w:rsidR="00975A1D" w:rsidRDefault="00975A1D" w:rsidP="00975A1D">
      <w:pPr>
        <w:tabs>
          <w:tab w:val="right" w:pos="9000"/>
        </w:tabs>
      </w:pPr>
      <w:r>
        <w:t>Povinné pojistné placené zaměstnavatelem</w:t>
      </w:r>
      <w:r>
        <w:tab/>
        <w:t>982 704 Kč</w:t>
      </w:r>
    </w:p>
    <w:p w:rsidR="00975A1D" w:rsidRDefault="00975A1D" w:rsidP="00975A1D">
      <w:pPr>
        <w:tabs>
          <w:tab w:val="right" w:pos="9000"/>
        </w:tabs>
      </w:pPr>
      <w:r>
        <w:t>Převod fondu kulturních a sociálních potřeb</w:t>
      </w:r>
      <w:r>
        <w:tab/>
        <w:t>25 699 Kč</w:t>
      </w:r>
    </w:p>
    <w:p w:rsidR="00975A1D" w:rsidRDefault="00975A1D" w:rsidP="00975A1D">
      <w:pPr>
        <w:tabs>
          <w:tab w:val="right" w:pos="9000"/>
        </w:tabs>
      </w:pPr>
      <w:r>
        <w:t xml:space="preserve">Platy zaměstnanců v pracovním poměru </w:t>
      </w:r>
      <w:r>
        <w:tab/>
        <w:t>2 569 873 Kč</w:t>
      </w:r>
    </w:p>
    <w:p w:rsidR="0075578B" w:rsidRDefault="0075578B" w:rsidP="00993FFC">
      <w:pPr>
        <w:spacing w:line="276" w:lineRule="auto"/>
        <w:jc w:val="both"/>
      </w:pPr>
    </w:p>
    <w:p w:rsidR="00E971EF" w:rsidRDefault="00E971EF" w:rsidP="00E971EF">
      <w:pPr>
        <w:tabs>
          <w:tab w:val="right" w:pos="9000"/>
        </w:tabs>
      </w:pPr>
      <w:r>
        <w:t>Výdaje spolufinancované z rozpočtu EU bez S</w:t>
      </w:r>
      <w:r w:rsidR="00FB5973">
        <w:t>ZP</w:t>
      </w:r>
      <w:r>
        <w:t xml:space="preserve"> celkem</w:t>
      </w:r>
      <w:r>
        <w:tab/>
      </w:r>
      <w:r w:rsidR="00253B1C">
        <w:t>4 755 521</w:t>
      </w:r>
      <w:r>
        <w:rPr>
          <w:bCs/>
        </w:rPr>
        <w:t>Kč</w:t>
      </w:r>
    </w:p>
    <w:p w:rsidR="00E971EF" w:rsidRDefault="00E971EF" w:rsidP="00E971EF">
      <w:pPr>
        <w:tabs>
          <w:tab w:val="right" w:pos="9000"/>
        </w:tabs>
      </w:pPr>
      <w:r>
        <w:t xml:space="preserve">v tom ze státního rozpočtu   </w:t>
      </w:r>
      <w:r>
        <w:tab/>
        <w:t>4 755 521 Kč</w:t>
      </w:r>
    </w:p>
    <w:p w:rsidR="00E971EF" w:rsidRDefault="00E971EF" w:rsidP="00566BEA">
      <w:pPr>
        <w:jc w:val="both"/>
      </w:pPr>
    </w:p>
    <w:p w:rsidR="008D1019" w:rsidRDefault="00D7600B" w:rsidP="00566BEA">
      <w:pPr>
        <w:jc w:val="both"/>
        <w:rPr>
          <w:b/>
          <w:bCs/>
        </w:rPr>
      </w:pPr>
      <w:r>
        <w:t xml:space="preserve">        </w:t>
      </w:r>
      <w:r w:rsidR="000379B4">
        <w:tab/>
      </w:r>
      <w:r>
        <w:t xml:space="preserve"> </w:t>
      </w:r>
      <w:r>
        <w:rPr>
          <w:b/>
          <w:bCs/>
        </w:rPr>
        <w:t xml:space="preserve">Výše navrhovanou úpravou dochází </w:t>
      </w:r>
      <w:r w:rsidR="008D1019">
        <w:rPr>
          <w:b/>
          <w:bCs/>
        </w:rPr>
        <w:t>u níže uvedených ukazatelů ve vztahu ke schválenému rozpočtu ke změně nad 10 % závazného ukazatele, tj.:</w:t>
      </w:r>
    </w:p>
    <w:p w:rsidR="008D1019" w:rsidRDefault="008D1019" w:rsidP="00566BEA">
      <w:pPr>
        <w:jc w:val="both"/>
        <w:rPr>
          <w:b/>
          <w:bCs/>
        </w:rPr>
      </w:pPr>
    </w:p>
    <w:p w:rsidR="00533A93" w:rsidRDefault="00533A93" w:rsidP="00533A93">
      <w:pPr>
        <w:tabs>
          <w:tab w:val="right" w:pos="9000"/>
        </w:tabs>
      </w:pPr>
    </w:p>
    <w:p w:rsidR="00533A93" w:rsidRPr="003922C5" w:rsidRDefault="00533A93" w:rsidP="00533A93">
      <w:pPr>
        <w:tabs>
          <w:tab w:val="right" w:pos="9000"/>
        </w:tabs>
        <w:rPr>
          <w:b/>
        </w:rPr>
      </w:pPr>
      <w:proofErr w:type="gramStart"/>
      <w:r w:rsidRPr="00F54B20">
        <w:rPr>
          <w:b/>
          <w:bCs/>
        </w:rPr>
        <w:t xml:space="preserve">o  </w:t>
      </w:r>
      <w:r w:rsidR="00042456">
        <w:rPr>
          <w:b/>
          <w:bCs/>
        </w:rPr>
        <w:t>67,65</w:t>
      </w:r>
      <w:proofErr w:type="gramEnd"/>
      <w:r>
        <w:rPr>
          <w:b/>
          <w:bCs/>
        </w:rPr>
        <w:t xml:space="preserve"> </w:t>
      </w:r>
      <w:r w:rsidRPr="00F54B20">
        <w:rPr>
          <w:b/>
          <w:bCs/>
        </w:rPr>
        <w:t>% u ukazatele</w:t>
      </w:r>
      <w:r>
        <w:rPr>
          <w:b/>
          <w:bCs/>
        </w:rPr>
        <w:t xml:space="preserve"> „</w:t>
      </w:r>
      <w:r w:rsidRPr="003922C5">
        <w:rPr>
          <w:b/>
        </w:rPr>
        <w:t xml:space="preserve">Výdaje spolufinancované </w:t>
      </w:r>
      <w:r w:rsidR="00042456">
        <w:rPr>
          <w:b/>
        </w:rPr>
        <w:t xml:space="preserve">zcela nebo částečně </w:t>
      </w:r>
      <w:r w:rsidRPr="003922C5">
        <w:rPr>
          <w:b/>
        </w:rPr>
        <w:t xml:space="preserve">z rozpočtu EU bez </w:t>
      </w:r>
      <w:r w:rsidR="00FB5973">
        <w:rPr>
          <w:b/>
        </w:rPr>
        <w:t>společné zemědělské politiky</w:t>
      </w:r>
      <w:r w:rsidRPr="003922C5">
        <w:rPr>
          <w:b/>
        </w:rPr>
        <w:t xml:space="preserve"> celkem“</w:t>
      </w:r>
    </w:p>
    <w:p w:rsidR="00FB5973" w:rsidRDefault="00FB5973" w:rsidP="00533A93">
      <w:pPr>
        <w:tabs>
          <w:tab w:val="right" w:pos="9000"/>
        </w:tabs>
        <w:rPr>
          <w:b/>
          <w:bCs/>
        </w:rPr>
      </w:pPr>
    </w:p>
    <w:p w:rsidR="00533A93" w:rsidRPr="003922C5" w:rsidRDefault="00533A93" w:rsidP="00533A93">
      <w:pPr>
        <w:tabs>
          <w:tab w:val="right" w:pos="9000"/>
        </w:tabs>
        <w:rPr>
          <w:b/>
        </w:rPr>
      </w:pPr>
      <w:r w:rsidRPr="003922C5">
        <w:rPr>
          <w:b/>
          <w:bCs/>
        </w:rPr>
        <w:t>a</w:t>
      </w:r>
    </w:p>
    <w:p w:rsidR="00533A93" w:rsidRDefault="00533A93" w:rsidP="00533A93">
      <w:pPr>
        <w:tabs>
          <w:tab w:val="right" w:pos="9000"/>
        </w:tabs>
      </w:pPr>
    </w:p>
    <w:p w:rsidR="00533A93" w:rsidRDefault="00533A93" w:rsidP="00533A93">
      <w:pPr>
        <w:tabs>
          <w:tab w:val="right" w:pos="9000"/>
        </w:tabs>
        <w:rPr>
          <w:b/>
          <w:bCs/>
        </w:rPr>
      </w:pPr>
      <w:proofErr w:type="gramStart"/>
      <w:r w:rsidRPr="00F54B20">
        <w:rPr>
          <w:b/>
          <w:bCs/>
        </w:rPr>
        <w:t xml:space="preserve">o  </w:t>
      </w:r>
      <w:r>
        <w:rPr>
          <w:b/>
          <w:bCs/>
        </w:rPr>
        <w:t xml:space="preserve"> </w:t>
      </w:r>
      <w:r w:rsidR="00042456">
        <w:rPr>
          <w:b/>
          <w:bCs/>
        </w:rPr>
        <w:t>450</w:t>
      </w:r>
      <w:r w:rsidR="003922C5">
        <w:rPr>
          <w:b/>
          <w:bCs/>
        </w:rPr>
        <w:t>,98</w:t>
      </w:r>
      <w:proofErr w:type="gramEnd"/>
      <w:r w:rsidR="003922C5">
        <w:rPr>
          <w:b/>
          <w:bCs/>
        </w:rPr>
        <w:t xml:space="preserve"> </w:t>
      </w:r>
      <w:r w:rsidRPr="00F54B20">
        <w:rPr>
          <w:b/>
          <w:bCs/>
        </w:rPr>
        <w:t>% u ukazatele</w:t>
      </w:r>
      <w:r>
        <w:rPr>
          <w:b/>
          <w:bCs/>
        </w:rPr>
        <w:t xml:space="preserve"> </w:t>
      </w:r>
      <w:r w:rsidR="00042456">
        <w:rPr>
          <w:b/>
          <w:bCs/>
        </w:rPr>
        <w:t>„</w:t>
      </w:r>
      <w:r w:rsidR="00042456" w:rsidRPr="003922C5">
        <w:rPr>
          <w:b/>
        </w:rPr>
        <w:t xml:space="preserve">Výdaje spolufinancované </w:t>
      </w:r>
      <w:r w:rsidR="00042456">
        <w:rPr>
          <w:b/>
        </w:rPr>
        <w:t xml:space="preserve">zcela nebo částečně </w:t>
      </w:r>
      <w:r w:rsidR="00042456" w:rsidRPr="003922C5">
        <w:rPr>
          <w:b/>
        </w:rPr>
        <w:t xml:space="preserve">z rozpočtu EU bez </w:t>
      </w:r>
      <w:r w:rsidR="00FB5973">
        <w:rPr>
          <w:b/>
        </w:rPr>
        <w:t>společné zemědělské politiky</w:t>
      </w:r>
      <w:r w:rsidR="00FB5973" w:rsidRPr="003922C5">
        <w:rPr>
          <w:b/>
        </w:rPr>
        <w:t xml:space="preserve"> </w:t>
      </w:r>
      <w:r w:rsidR="00042456" w:rsidRPr="003922C5">
        <w:rPr>
          <w:b/>
        </w:rPr>
        <w:t xml:space="preserve"> celkem</w:t>
      </w:r>
      <w:r w:rsidR="00241A09">
        <w:rPr>
          <w:b/>
          <w:bCs/>
        </w:rPr>
        <w:t xml:space="preserve"> </w:t>
      </w:r>
      <w:r>
        <w:rPr>
          <w:b/>
          <w:bCs/>
        </w:rPr>
        <w:t>v tom ze státního rozpočtu“</w:t>
      </w:r>
      <w:r w:rsidR="00241A09">
        <w:rPr>
          <w:b/>
          <w:bCs/>
        </w:rPr>
        <w:t>.</w:t>
      </w:r>
    </w:p>
    <w:p w:rsidR="003922C5" w:rsidRDefault="003922C5" w:rsidP="003922C5">
      <w:pPr>
        <w:tabs>
          <w:tab w:val="right" w:pos="9000"/>
        </w:tabs>
      </w:pPr>
    </w:p>
    <w:p w:rsidR="00D7600B" w:rsidRDefault="00D7600B" w:rsidP="00434254">
      <w:bookmarkStart w:id="0" w:name="_GoBack"/>
      <w:bookmarkEnd w:id="0"/>
    </w:p>
    <w:sectPr w:rsidR="00D7600B" w:rsidSect="00B436F8">
      <w:headerReference w:type="even" r:id="rId9"/>
      <w:headerReference w:type="default" r:id="rId10"/>
      <w:pgSz w:w="11906" w:h="16838"/>
      <w:pgMar w:top="107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3F" w:rsidRDefault="00C02F3F">
      <w:r>
        <w:separator/>
      </w:r>
    </w:p>
  </w:endnote>
  <w:endnote w:type="continuationSeparator" w:id="0">
    <w:p w:rsidR="00C02F3F" w:rsidRDefault="00C0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3F" w:rsidRDefault="00C02F3F">
      <w:r>
        <w:separator/>
      </w:r>
    </w:p>
  </w:footnote>
  <w:footnote w:type="continuationSeparator" w:id="0">
    <w:p w:rsidR="00C02F3F" w:rsidRDefault="00C0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3742E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6089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089A" w:rsidRDefault="00D6089A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D6089A">
    <w:pPr>
      <w:pStyle w:val="Zhlav"/>
      <w:framePr w:wrap="around" w:vAnchor="text" w:hAnchor="margin" w:xAlign="right" w:y="1"/>
      <w:rPr>
        <w:rStyle w:val="slostrnky"/>
      </w:rPr>
    </w:pPr>
  </w:p>
  <w:p w:rsidR="00D6089A" w:rsidRDefault="00D6089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2AD"/>
    <w:multiLevelType w:val="hybridMultilevel"/>
    <w:tmpl w:val="40DEEA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E0D19"/>
    <w:multiLevelType w:val="hybridMultilevel"/>
    <w:tmpl w:val="91C2662E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83664"/>
    <w:multiLevelType w:val="hybridMultilevel"/>
    <w:tmpl w:val="AE7EA2D4"/>
    <w:lvl w:ilvl="0" w:tplc="E0827186">
      <w:start w:val="1"/>
      <w:numFmt w:val="upperRoman"/>
      <w:lvlText w:val="%1."/>
      <w:lvlJc w:val="left"/>
      <w:pPr>
        <w:tabs>
          <w:tab w:val="num" w:pos="6300"/>
        </w:tabs>
        <w:ind w:left="63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3">
    <w:nsid w:val="0F876A53"/>
    <w:multiLevelType w:val="hybridMultilevel"/>
    <w:tmpl w:val="03264BA2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B61BE"/>
    <w:multiLevelType w:val="hybridMultilevel"/>
    <w:tmpl w:val="659C9656"/>
    <w:lvl w:ilvl="0" w:tplc="048A6D66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AF7"/>
    <w:multiLevelType w:val="hybridMultilevel"/>
    <w:tmpl w:val="363291FA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74020"/>
    <w:multiLevelType w:val="hybridMultilevel"/>
    <w:tmpl w:val="56E4BF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2504F"/>
    <w:multiLevelType w:val="hybridMultilevel"/>
    <w:tmpl w:val="D6922D30"/>
    <w:lvl w:ilvl="0" w:tplc="CD0617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9C0AF0">
      <w:start w:val="2"/>
      <w:numFmt w:val="bullet"/>
      <w:lvlText w:val="-"/>
      <w:lvlJc w:val="left"/>
      <w:pPr>
        <w:tabs>
          <w:tab w:val="num" w:pos="2190"/>
        </w:tabs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EE4"/>
    <w:multiLevelType w:val="hybridMultilevel"/>
    <w:tmpl w:val="F0160B2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A72C5F"/>
    <w:multiLevelType w:val="hybridMultilevel"/>
    <w:tmpl w:val="1DC0A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9393B"/>
    <w:multiLevelType w:val="hybridMultilevel"/>
    <w:tmpl w:val="7CA063EC"/>
    <w:lvl w:ilvl="0" w:tplc="97A2AB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3E56D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C81E1B"/>
    <w:multiLevelType w:val="hybridMultilevel"/>
    <w:tmpl w:val="B7C0C64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C3FFA"/>
    <w:multiLevelType w:val="hybridMultilevel"/>
    <w:tmpl w:val="7B3C33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5A69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6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F6026"/>
    <w:multiLevelType w:val="hybridMultilevel"/>
    <w:tmpl w:val="B9520AF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C6E33F6"/>
    <w:multiLevelType w:val="hybridMultilevel"/>
    <w:tmpl w:val="ACE67A6E"/>
    <w:lvl w:ilvl="0" w:tplc="7F00C75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82E31"/>
    <w:multiLevelType w:val="hybridMultilevel"/>
    <w:tmpl w:val="8C90083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27472"/>
    <w:multiLevelType w:val="hybridMultilevel"/>
    <w:tmpl w:val="A62A2BC2"/>
    <w:lvl w:ilvl="0" w:tplc="602A7F5E">
      <w:start w:val="5168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17">
    <w:nsid w:val="35E24DC4"/>
    <w:multiLevelType w:val="hybridMultilevel"/>
    <w:tmpl w:val="1926401E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7184C"/>
    <w:multiLevelType w:val="hybridMultilevel"/>
    <w:tmpl w:val="B1D265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27DE6"/>
    <w:multiLevelType w:val="hybridMultilevel"/>
    <w:tmpl w:val="6248D4E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5716C"/>
    <w:multiLevelType w:val="hybridMultilevel"/>
    <w:tmpl w:val="BB38E85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B42436">
      <w:start w:val="5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C10507"/>
    <w:multiLevelType w:val="hybridMultilevel"/>
    <w:tmpl w:val="5EC88A9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84705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B52486"/>
    <w:multiLevelType w:val="hybridMultilevel"/>
    <w:tmpl w:val="9F4E1C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FC13B1"/>
    <w:multiLevelType w:val="hybridMultilevel"/>
    <w:tmpl w:val="3C8C1458"/>
    <w:lvl w:ilvl="0" w:tplc="F3944068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9D46B0"/>
    <w:multiLevelType w:val="hybridMultilevel"/>
    <w:tmpl w:val="668A2C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2004D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29D7D90"/>
    <w:multiLevelType w:val="hybridMultilevel"/>
    <w:tmpl w:val="B6B01150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F94AE9"/>
    <w:multiLevelType w:val="hybridMultilevel"/>
    <w:tmpl w:val="9F4E1C7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26979"/>
    <w:multiLevelType w:val="hybridMultilevel"/>
    <w:tmpl w:val="5D4A6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944DC1"/>
    <w:multiLevelType w:val="hybridMultilevel"/>
    <w:tmpl w:val="514C3B5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71F9B"/>
    <w:multiLevelType w:val="hybridMultilevel"/>
    <w:tmpl w:val="48AC65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A5274B"/>
    <w:multiLevelType w:val="hybridMultilevel"/>
    <w:tmpl w:val="B9CE88B0"/>
    <w:lvl w:ilvl="0" w:tplc="8BB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6"/>
  </w:num>
  <w:num w:numId="4">
    <w:abstractNumId w:val="4"/>
  </w:num>
  <w:num w:numId="5">
    <w:abstractNumId w:val="13"/>
  </w:num>
  <w:num w:numId="6">
    <w:abstractNumId w:val="1"/>
  </w:num>
  <w:num w:numId="7">
    <w:abstractNumId w:val="25"/>
  </w:num>
  <w:num w:numId="8">
    <w:abstractNumId w:val="3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9"/>
  </w:num>
  <w:num w:numId="16">
    <w:abstractNumId w:val="11"/>
  </w:num>
  <w:num w:numId="17">
    <w:abstractNumId w:val="23"/>
  </w:num>
  <w:num w:numId="18">
    <w:abstractNumId w:val="0"/>
  </w:num>
  <w:num w:numId="19">
    <w:abstractNumId w:val="19"/>
  </w:num>
  <w:num w:numId="20">
    <w:abstractNumId w:val="29"/>
  </w:num>
  <w:num w:numId="21">
    <w:abstractNumId w:val="22"/>
  </w:num>
  <w:num w:numId="22">
    <w:abstractNumId w:val="27"/>
  </w:num>
  <w:num w:numId="23">
    <w:abstractNumId w:val="12"/>
  </w:num>
  <w:num w:numId="24">
    <w:abstractNumId w:val="15"/>
  </w:num>
  <w:num w:numId="25">
    <w:abstractNumId w:val="30"/>
  </w:num>
  <w:num w:numId="26">
    <w:abstractNumId w:val="8"/>
  </w:num>
  <w:num w:numId="27">
    <w:abstractNumId w:val="21"/>
  </w:num>
  <w:num w:numId="28">
    <w:abstractNumId w:val="10"/>
  </w:num>
  <w:num w:numId="29">
    <w:abstractNumId w:val="24"/>
  </w:num>
  <w:num w:numId="30">
    <w:abstractNumId w:val="7"/>
  </w:num>
  <w:num w:numId="31">
    <w:abstractNumId w:val="1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8C"/>
    <w:rsid w:val="0000201C"/>
    <w:rsid w:val="00006369"/>
    <w:rsid w:val="00024CCA"/>
    <w:rsid w:val="00030324"/>
    <w:rsid w:val="00031CC2"/>
    <w:rsid w:val="00036E3D"/>
    <w:rsid w:val="000379B4"/>
    <w:rsid w:val="00042456"/>
    <w:rsid w:val="000461A6"/>
    <w:rsid w:val="00050204"/>
    <w:rsid w:val="00054BB5"/>
    <w:rsid w:val="0006655B"/>
    <w:rsid w:val="00085699"/>
    <w:rsid w:val="00087748"/>
    <w:rsid w:val="00091C3C"/>
    <w:rsid w:val="00096805"/>
    <w:rsid w:val="000A74EA"/>
    <w:rsid w:val="000C7866"/>
    <w:rsid w:val="000F103E"/>
    <w:rsid w:val="00114AE3"/>
    <w:rsid w:val="00121DE9"/>
    <w:rsid w:val="00131AB8"/>
    <w:rsid w:val="00146172"/>
    <w:rsid w:val="001545EC"/>
    <w:rsid w:val="001835CD"/>
    <w:rsid w:val="001902B6"/>
    <w:rsid w:val="001F67CA"/>
    <w:rsid w:val="00215C8F"/>
    <w:rsid w:val="002203BC"/>
    <w:rsid w:val="00232285"/>
    <w:rsid w:val="00241A09"/>
    <w:rsid w:val="00253B1C"/>
    <w:rsid w:val="00263E4F"/>
    <w:rsid w:val="00267D79"/>
    <w:rsid w:val="002735A5"/>
    <w:rsid w:val="00285E66"/>
    <w:rsid w:val="002A4CDD"/>
    <w:rsid w:val="002C66C4"/>
    <w:rsid w:val="002D2B8A"/>
    <w:rsid w:val="002F0C60"/>
    <w:rsid w:val="00310CAF"/>
    <w:rsid w:val="0031289E"/>
    <w:rsid w:val="00315EE8"/>
    <w:rsid w:val="003163F7"/>
    <w:rsid w:val="00320F03"/>
    <w:rsid w:val="00340D7B"/>
    <w:rsid w:val="003612AB"/>
    <w:rsid w:val="0037296D"/>
    <w:rsid w:val="003742E7"/>
    <w:rsid w:val="00382C17"/>
    <w:rsid w:val="00384ACB"/>
    <w:rsid w:val="003922C5"/>
    <w:rsid w:val="00392AB5"/>
    <w:rsid w:val="003A25C4"/>
    <w:rsid w:val="003B1FE1"/>
    <w:rsid w:val="003B2803"/>
    <w:rsid w:val="003B72F2"/>
    <w:rsid w:val="003C36E5"/>
    <w:rsid w:val="003E20B1"/>
    <w:rsid w:val="003F57B0"/>
    <w:rsid w:val="0043137E"/>
    <w:rsid w:val="00434254"/>
    <w:rsid w:val="00453389"/>
    <w:rsid w:val="00470B10"/>
    <w:rsid w:val="00473AC1"/>
    <w:rsid w:val="00484607"/>
    <w:rsid w:val="0049676D"/>
    <w:rsid w:val="004E610E"/>
    <w:rsid w:val="004E74EB"/>
    <w:rsid w:val="004F238E"/>
    <w:rsid w:val="00506D4C"/>
    <w:rsid w:val="0052517D"/>
    <w:rsid w:val="00533A93"/>
    <w:rsid w:val="00554FE5"/>
    <w:rsid w:val="00555262"/>
    <w:rsid w:val="00566BEA"/>
    <w:rsid w:val="00573F5F"/>
    <w:rsid w:val="005A1E8E"/>
    <w:rsid w:val="005A4B5B"/>
    <w:rsid w:val="005B5F74"/>
    <w:rsid w:val="005E3259"/>
    <w:rsid w:val="005F2824"/>
    <w:rsid w:val="005F54E2"/>
    <w:rsid w:val="0060241C"/>
    <w:rsid w:val="00603D5B"/>
    <w:rsid w:val="00604D82"/>
    <w:rsid w:val="006076CC"/>
    <w:rsid w:val="00614C1B"/>
    <w:rsid w:val="00633AC5"/>
    <w:rsid w:val="00634C3A"/>
    <w:rsid w:val="00646C90"/>
    <w:rsid w:val="00695BFE"/>
    <w:rsid w:val="006B6552"/>
    <w:rsid w:val="006C00F3"/>
    <w:rsid w:val="006D4392"/>
    <w:rsid w:val="006D5C4B"/>
    <w:rsid w:val="007235FA"/>
    <w:rsid w:val="00724F4E"/>
    <w:rsid w:val="00732BE9"/>
    <w:rsid w:val="007404E0"/>
    <w:rsid w:val="00745968"/>
    <w:rsid w:val="00750334"/>
    <w:rsid w:val="0075578B"/>
    <w:rsid w:val="00773D70"/>
    <w:rsid w:val="007947DC"/>
    <w:rsid w:val="007A358C"/>
    <w:rsid w:val="007E0421"/>
    <w:rsid w:val="007E4025"/>
    <w:rsid w:val="00803A81"/>
    <w:rsid w:val="00803EB7"/>
    <w:rsid w:val="008051E5"/>
    <w:rsid w:val="00806E09"/>
    <w:rsid w:val="0081133B"/>
    <w:rsid w:val="00814E38"/>
    <w:rsid w:val="008408A1"/>
    <w:rsid w:val="008709F8"/>
    <w:rsid w:val="008A73C5"/>
    <w:rsid w:val="008B601B"/>
    <w:rsid w:val="008D1019"/>
    <w:rsid w:val="008E30D4"/>
    <w:rsid w:val="008F30FC"/>
    <w:rsid w:val="00913007"/>
    <w:rsid w:val="009740F3"/>
    <w:rsid w:val="00974932"/>
    <w:rsid w:val="00975A1D"/>
    <w:rsid w:val="0098466C"/>
    <w:rsid w:val="00993FFC"/>
    <w:rsid w:val="00995017"/>
    <w:rsid w:val="009957C9"/>
    <w:rsid w:val="00996C49"/>
    <w:rsid w:val="009A180D"/>
    <w:rsid w:val="009A287F"/>
    <w:rsid w:val="009A7692"/>
    <w:rsid w:val="009C1334"/>
    <w:rsid w:val="009D0506"/>
    <w:rsid w:val="009D2562"/>
    <w:rsid w:val="009F5D59"/>
    <w:rsid w:val="00A41CE6"/>
    <w:rsid w:val="00A5080F"/>
    <w:rsid w:val="00A70591"/>
    <w:rsid w:val="00A750FE"/>
    <w:rsid w:val="00A92106"/>
    <w:rsid w:val="00AA35C4"/>
    <w:rsid w:val="00AC5D81"/>
    <w:rsid w:val="00AD6E81"/>
    <w:rsid w:val="00AE32F0"/>
    <w:rsid w:val="00B16D1A"/>
    <w:rsid w:val="00B436F8"/>
    <w:rsid w:val="00B4559B"/>
    <w:rsid w:val="00B4782F"/>
    <w:rsid w:val="00B51294"/>
    <w:rsid w:val="00B52570"/>
    <w:rsid w:val="00B54052"/>
    <w:rsid w:val="00B56140"/>
    <w:rsid w:val="00BA4423"/>
    <w:rsid w:val="00BC03C4"/>
    <w:rsid w:val="00BC3E8D"/>
    <w:rsid w:val="00BC6156"/>
    <w:rsid w:val="00BD4889"/>
    <w:rsid w:val="00BD66D3"/>
    <w:rsid w:val="00BE6FC1"/>
    <w:rsid w:val="00C02F3F"/>
    <w:rsid w:val="00C45190"/>
    <w:rsid w:val="00C60E57"/>
    <w:rsid w:val="00C64BB8"/>
    <w:rsid w:val="00C65FCD"/>
    <w:rsid w:val="00C76A66"/>
    <w:rsid w:val="00C81463"/>
    <w:rsid w:val="00C84043"/>
    <w:rsid w:val="00C87373"/>
    <w:rsid w:val="00CA35C9"/>
    <w:rsid w:val="00CA45D6"/>
    <w:rsid w:val="00CB7DAB"/>
    <w:rsid w:val="00CD11CE"/>
    <w:rsid w:val="00CD1D3F"/>
    <w:rsid w:val="00CD4428"/>
    <w:rsid w:val="00D04E67"/>
    <w:rsid w:val="00D064E6"/>
    <w:rsid w:val="00D13AFE"/>
    <w:rsid w:val="00D15DB1"/>
    <w:rsid w:val="00D265CB"/>
    <w:rsid w:val="00D43506"/>
    <w:rsid w:val="00D47DC4"/>
    <w:rsid w:val="00D6089A"/>
    <w:rsid w:val="00D65E1E"/>
    <w:rsid w:val="00D7600B"/>
    <w:rsid w:val="00D806BA"/>
    <w:rsid w:val="00D8344A"/>
    <w:rsid w:val="00D84BBE"/>
    <w:rsid w:val="00D932FA"/>
    <w:rsid w:val="00D95F08"/>
    <w:rsid w:val="00DA6822"/>
    <w:rsid w:val="00DB4F10"/>
    <w:rsid w:val="00DC69C2"/>
    <w:rsid w:val="00DD1714"/>
    <w:rsid w:val="00DD4530"/>
    <w:rsid w:val="00DF7FEE"/>
    <w:rsid w:val="00E210DF"/>
    <w:rsid w:val="00E31EA4"/>
    <w:rsid w:val="00E36237"/>
    <w:rsid w:val="00E47E2E"/>
    <w:rsid w:val="00E514C4"/>
    <w:rsid w:val="00E737C2"/>
    <w:rsid w:val="00E74905"/>
    <w:rsid w:val="00E7496D"/>
    <w:rsid w:val="00E81284"/>
    <w:rsid w:val="00E8141A"/>
    <w:rsid w:val="00E90387"/>
    <w:rsid w:val="00E91BAB"/>
    <w:rsid w:val="00E971EF"/>
    <w:rsid w:val="00E97A6A"/>
    <w:rsid w:val="00EA21F4"/>
    <w:rsid w:val="00EC53B1"/>
    <w:rsid w:val="00EC7AEF"/>
    <w:rsid w:val="00EE66A6"/>
    <w:rsid w:val="00EF7D30"/>
    <w:rsid w:val="00F01927"/>
    <w:rsid w:val="00F03198"/>
    <w:rsid w:val="00F152BF"/>
    <w:rsid w:val="00F24A8D"/>
    <w:rsid w:val="00F45BD8"/>
    <w:rsid w:val="00F54B20"/>
    <w:rsid w:val="00F63536"/>
    <w:rsid w:val="00F82322"/>
    <w:rsid w:val="00FA0D76"/>
    <w:rsid w:val="00FB5973"/>
    <w:rsid w:val="00FB5C3A"/>
    <w:rsid w:val="00FD5520"/>
    <w:rsid w:val="00FD57C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D697-2121-4A87-A9E3-D55A1CAA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775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spravedlnosti ČR</vt:lpstr>
    </vt:vector>
  </TitlesOfParts>
  <Company>TA ČR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spravedlnosti ČR</dc:title>
  <dc:creator>Marie Stehlíková</dc:creator>
  <cp:lastModifiedBy>Eva Kořínková</cp:lastModifiedBy>
  <cp:revision>3</cp:revision>
  <cp:lastPrinted>2015-04-07T09:24:00Z</cp:lastPrinted>
  <dcterms:created xsi:type="dcterms:W3CDTF">2015-04-07T13:50:00Z</dcterms:created>
  <dcterms:modified xsi:type="dcterms:W3CDTF">2015-04-07T13:51:00Z</dcterms:modified>
</cp:coreProperties>
</file>