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D6E" w:rsidRPr="009D74D4" w:rsidRDefault="00DD71E0" w:rsidP="00A926A8">
      <w:pPr>
        <w:pStyle w:val="TabReport"/>
      </w:pPr>
      <w:bookmarkStart w:id="0" w:name="_Toc415945588"/>
      <w:bookmarkStart w:id="1" w:name="_Toc415945699"/>
      <w:bookmarkStart w:id="2" w:name="_Toc415976954"/>
      <w:bookmarkStart w:id="3" w:name="_Toc415977030"/>
      <w:bookmarkStart w:id="4" w:name="_Toc416200922"/>
      <w:bookmarkStart w:id="5" w:name="_Toc416201112"/>
      <w:bookmarkStart w:id="6" w:name="_Toc416857560"/>
      <w:bookmarkStart w:id="7" w:name="_Toc417339658"/>
      <w:r>
        <w:rPr>
          <w:noProof/>
        </w:rPr>
        <w:drawing>
          <wp:anchor distT="0" distB="0" distL="114300" distR="114300" simplePos="0" relativeHeight="251657216" behindDoc="1" locked="0" layoutInCell="1" allowOverlap="1" wp14:anchorId="63F3B1CE" wp14:editId="16F926DF">
            <wp:simplePos x="0" y="0"/>
            <wp:positionH relativeFrom="column">
              <wp:posOffset>-331470</wp:posOffset>
            </wp:positionH>
            <wp:positionV relativeFrom="paragraph">
              <wp:posOffset>269240</wp:posOffset>
            </wp:positionV>
            <wp:extent cx="6314440" cy="9335135"/>
            <wp:effectExtent l="0" t="0" r="0" b="0"/>
            <wp:wrapTight wrapText="bothSides">
              <wp:wrapPolygon edited="0">
                <wp:start x="0" y="0"/>
                <wp:lineTo x="0" y="21554"/>
                <wp:lineTo x="21504" y="21554"/>
                <wp:lineTo x="21504" y="0"/>
                <wp:lineTo x="0" y="0"/>
              </wp:wrapPolygon>
            </wp:wrapTight>
            <wp:docPr id="7" name="obrázek 1" descr="C:\Users\dvorak\Desktop\podklady pro sablony_MSMT\priruc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dvorak\Desktop\podklady pro sablony_MSMT\priruck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1" r="19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440" cy="933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6F54F63A" wp14:editId="2976F845">
            <wp:simplePos x="0" y="0"/>
            <wp:positionH relativeFrom="column">
              <wp:posOffset>-331470</wp:posOffset>
            </wp:positionH>
            <wp:positionV relativeFrom="paragraph">
              <wp:posOffset>-170815</wp:posOffset>
            </wp:positionV>
            <wp:extent cx="6918325" cy="9775825"/>
            <wp:effectExtent l="0" t="0" r="0" b="0"/>
            <wp:wrapTight wrapText="bothSides">
              <wp:wrapPolygon edited="0">
                <wp:start x="0" y="0"/>
                <wp:lineTo x="0" y="21551"/>
                <wp:lineTo x="21531" y="21551"/>
                <wp:lineTo x="21531" y="0"/>
                <wp:lineTo x="0" y="0"/>
              </wp:wrapPolygon>
            </wp:wrapTight>
            <wp:docPr id="8" name="obrázek 1" descr="C:\Users\dvorak\Desktop\podklady pro sablony_MSMT\priruc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dvorak\Desktop\podklady pro sablony_MSMT\priruck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1" r="19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8325" cy="977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4A2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1F49CE" wp14:editId="4F5F3C67">
                <wp:simplePos x="0" y="0"/>
                <wp:positionH relativeFrom="column">
                  <wp:posOffset>172085</wp:posOffset>
                </wp:positionH>
                <wp:positionV relativeFrom="paragraph">
                  <wp:posOffset>1162050</wp:posOffset>
                </wp:positionV>
                <wp:extent cx="4523740" cy="1705610"/>
                <wp:effectExtent l="0" t="0" r="0" b="8890"/>
                <wp:wrapNone/>
                <wp:docPr id="9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3740" cy="1705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A79" w:rsidRDefault="00796A79" w:rsidP="001C43EC">
                            <w:pPr>
                              <w:spacing w:after="0" w:line="360" w:lineRule="auto"/>
                              <w:ind w:right="573"/>
                              <w:rPr>
                                <w:rFonts w:ascii="Arial" w:hAnsi="Arial" w:cs="Arial"/>
                                <w:b/>
                                <w:color w:val="34943E"/>
                                <w:sz w:val="40"/>
                                <w:szCs w:val="40"/>
                              </w:rPr>
                            </w:pPr>
                            <w:r w:rsidRPr="00352D19">
                              <w:rPr>
                                <w:rFonts w:ascii="Arial" w:hAnsi="Arial" w:cs="Arial"/>
                                <w:b/>
                                <w:color w:val="34943E"/>
                                <w:sz w:val="40"/>
                                <w:szCs w:val="40"/>
                              </w:rPr>
                              <w:t xml:space="preserve">Strategie dočerpání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34943E"/>
                                <w:sz w:val="40"/>
                                <w:szCs w:val="40"/>
                              </w:rPr>
                              <w:t>alokace</w:t>
                            </w:r>
                            <w:r w:rsidRPr="00352D19">
                              <w:rPr>
                                <w:rFonts w:ascii="Arial" w:hAnsi="Arial" w:cs="Arial"/>
                                <w:b/>
                                <w:color w:val="34943E"/>
                                <w:sz w:val="40"/>
                                <w:szCs w:val="40"/>
                              </w:rPr>
                              <w:br/>
                              <w:t xml:space="preserve">Operačního programu </w:t>
                            </w:r>
                          </w:p>
                          <w:p w:rsidR="00796A79" w:rsidRPr="00352D19" w:rsidRDefault="00796A79" w:rsidP="001C43EC">
                            <w:pPr>
                              <w:spacing w:after="0" w:line="360" w:lineRule="auto"/>
                              <w:ind w:right="573"/>
                              <w:rPr>
                                <w:rFonts w:ascii="Arial" w:hAnsi="Arial" w:cs="Arial"/>
                                <w:b/>
                                <w:color w:val="34943E"/>
                                <w:sz w:val="40"/>
                                <w:szCs w:val="40"/>
                              </w:rPr>
                            </w:pPr>
                            <w:r w:rsidRPr="00352D19">
                              <w:rPr>
                                <w:rFonts w:ascii="Arial" w:hAnsi="Arial" w:cs="Arial"/>
                                <w:b/>
                                <w:color w:val="34943E"/>
                                <w:sz w:val="40"/>
                                <w:szCs w:val="40"/>
                              </w:rPr>
                              <w:t>Výzkum a vývoj pro inovace</w:t>
                            </w:r>
                          </w:p>
                          <w:p w:rsidR="00796A79" w:rsidRPr="00F77425" w:rsidRDefault="00796A79" w:rsidP="00E16835">
                            <w:pPr>
                              <w:spacing w:line="660" w:lineRule="exact"/>
                              <w:ind w:right="572"/>
                              <w:rPr>
                                <w:rFonts w:ascii="Arial" w:hAnsi="Arial" w:cs="Arial"/>
                                <w:color w:val="34943E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13.55pt;margin-top:91.5pt;width:356.2pt;height:134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S+0gwIAABE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" stroked="f">
                <v:textbox>
                  <w:txbxContent>
                    <w:p w:rsidR="00796A79" w:rsidRDefault="00796A79" w:rsidP="001C43EC">
                      <w:pPr>
                        <w:spacing w:after="0" w:line="360" w:lineRule="auto"/>
                        <w:ind w:right="573"/>
                        <w:rPr>
                          <w:rFonts w:ascii="Arial" w:hAnsi="Arial" w:cs="Arial"/>
                          <w:b/>
                          <w:color w:val="34943E"/>
                          <w:sz w:val="40"/>
                          <w:szCs w:val="40"/>
                        </w:rPr>
                      </w:pPr>
                      <w:r w:rsidRPr="00352D19">
                        <w:rPr>
                          <w:rFonts w:ascii="Arial" w:hAnsi="Arial" w:cs="Arial"/>
                          <w:b/>
                          <w:color w:val="34943E"/>
                          <w:sz w:val="40"/>
                          <w:szCs w:val="40"/>
                        </w:rPr>
                        <w:t xml:space="preserve">Strategie dočerpání </w:t>
                      </w:r>
                      <w:r>
                        <w:rPr>
                          <w:rFonts w:ascii="Arial" w:hAnsi="Arial" w:cs="Arial"/>
                          <w:b/>
                          <w:color w:val="34943E"/>
                          <w:sz w:val="40"/>
                          <w:szCs w:val="40"/>
                        </w:rPr>
                        <w:t>alokace</w:t>
                      </w:r>
                      <w:r w:rsidRPr="00352D19">
                        <w:rPr>
                          <w:rFonts w:ascii="Arial" w:hAnsi="Arial" w:cs="Arial"/>
                          <w:b/>
                          <w:color w:val="34943E"/>
                          <w:sz w:val="40"/>
                          <w:szCs w:val="40"/>
                        </w:rPr>
                        <w:br/>
                        <w:t xml:space="preserve">Operačního programu </w:t>
                      </w:r>
                    </w:p>
                    <w:p w:rsidR="00796A79" w:rsidRPr="00352D19" w:rsidRDefault="00796A79" w:rsidP="001C43EC">
                      <w:pPr>
                        <w:spacing w:after="0" w:line="360" w:lineRule="auto"/>
                        <w:ind w:right="573"/>
                        <w:rPr>
                          <w:rFonts w:ascii="Arial" w:hAnsi="Arial" w:cs="Arial"/>
                          <w:b/>
                          <w:color w:val="34943E"/>
                          <w:sz w:val="40"/>
                          <w:szCs w:val="40"/>
                        </w:rPr>
                      </w:pPr>
                      <w:r w:rsidRPr="00352D19">
                        <w:rPr>
                          <w:rFonts w:ascii="Arial" w:hAnsi="Arial" w:cs="Arial"/>
                          <w:b/>
                          <w:color w:val="34943E"/>
                          <w:sz w:val="40"/>
                          <w:szCs w:val="40"/>
                        </w:rPr>
                        <w:t>Výzkum a vývoj pro inovace</w:t>
                      </w:r>
                    </w:p>
                    <w:p w:rsidR="00796A79" w:rsidRPr="00F77425" w:rsidRDefault="00796A79" w:rsidP="00E16835">
                      <w:pPr>
                        <w:spacing w:line="660" w:lineRule="exact"/>
                        <w:ind w:right="572"/>
                        <w:rPr>
                          <w:rFonts w:ascii="Arial" w:hAnsi="Arial" w:cs="Arial"/>
                          <w:color w:val="34943E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54A24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39D09B9" wp14:editId="0A8AAA91">
                <wp:simplePos x="0" y="0"/>
                <wp:positionH relativeFrom="column">
                  <wp:posOffset>608330</wp:posOffset>
                </wp:positionH>
                <wp:positionV relativeFrom="paragraph">
                  <wp:posOffset>-8033385</wp:posOffset>
                </wp:positionV>
                <wp:extent cx="4363085" cy="2152650"/>
                <wp:effectExtent l="0" t="0" r="0" b="0"/>
                <wp:wrapNone/>
                <wp:docPr id="1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3085" cy="215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A79" w:rsidRDefault="00796A79" w:rsidP="0029588B">
                            <w:pPr>
                              <w:spacing w:line="660" w:lineRule="exact"/>
                              <w:ind w:right="572"/>
                              <w:rPr>
                                <w:rFonts w:ascii="Arial" w:hAnsi="Arial" w:cs="Arial"/>
                                <w:color w:val="34943E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34943E"/>
                                <w:sz w:val="48"/>
                                <w:szCs w:val="48"/>
                              </w:rPr>
                              <w:t>Strategie dočerpání finančních prostředků</w:t>
                            </w:r>
                            <w:r>
                              <w:rPr>
                                <w:rFonts w:ascii="Arial" w:hAnsi="Arial" w:cs="Arial"/>
                                <w:color w:val="34943E"/>
                                <w:sz w:val="48"/>
                                <w:szCs w:val="48"/>
                              </w:rPr>
                              <w:br/>
                            </w:r>
                            <w:r w:rsidRPr="00F74778">
                              <w:rPr>
                                <w:rFonts w:ascii="Arial" w:hAnsi="Arial" w:cs="Arial"/>
                                <w:color w:val="34943E"/>
                                <w:sz w:val="48"/>
                                <w:szCs w:val="48"/>
                              </w:rPr>
                              <w:t>Operačního programu Výzkum a vývoj pro inovace</w:t>
                            </w:r>
                          </w:p>
                          <w:p w:rsidR="00796A79" w:rsidRPr="00F77425" w:rsidRDefault="00796A79" w:rsidP="0029588B">
                            <w:pPr>
                              <w:spacing w:line="660" w:lineRule="exact"/>
                              <w:ind w:right="572"/>
                              <w:rPr>
                                <w:rFonts w:ascii="Arial" w:hAnsi="Arial" w:cs="Arial"/>
                                <w:color w:val="34943E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7.9pt;margin-top:-632.55pt;width:343.55pt;height:169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" stroked="f">
                <v:textbox>
                  <w:txbxContent>
                    <w:p w:rsidR="00796A79" w:rsidRDefault="00796A79" w:rsidP="0029588B">
                      <w:pPr>
                        <w:spacing w:line="660" w:lineRule="exact"/>
                        <w:ind w:right="572"/>
                        <w:rPr>
                          <w:rFonts w:ascii="Arial" w:hAnsi="Arial" w:cs="Arial"/>
                          <w:color w:val="34943E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color w:val="34943E"/>
                          <w:sz w:val="48"/>
                          <w:szCs w:val="48"/>
                        </w:rPr>
                        <w:t>Strategie dočerpání finančních prostředků</w:t>
                      </w:r>
                      <w:r>
                        <w:rPr>
                          <w:rFonts w:ascii="Arial" w:hAnsi="Arial" w:cs="Arial"/>
                          <w:color w:val="34943E"/>
                          <w:sz w:val="48"/>
                          <w:szCs w:val="48"/>
                        </w:rPr>
                        <w:br/>
                      </w:r>
                      <w:r w:rsidRPr="00F74778">
                        <w:rPr>
                          <w:rFonts w:ascii="Arial" w:hAnsi="Arial" w:cs="Arial"/>
                          <w:color w:val="34943E"/>
                          <w:sz w:val="48"/>
                          <w:szCs w:val="48"/>
                        </w:rPr>
                        <w:t>Operačního programu Výzkum a vývoj pro inovace</w:t>
                      </w:r>
                    </w:p>
                    <w:p w:rsidR="00796A79" w:rsidRPr="00F77425" w:rsidRDefault="00796A79" w:rsidP="0029588B">
                      <w:pPr>
                        <w:spacing w:line="660" w:lineRule="exact"/>
                        <w:ind w:right="572"/>
                        <w:rPr>
                          <w:rFonts w:ascii="Arial" w:hAnsi="Arial" w:cs="Arial"/>
                          <w:color w:val="34943E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B54FE8" w:rsidRPr="009D74D4">
        <w:tab/>
      </w:r>
    </w:p>
    <w:p w:rsidR="00E22202" w:rsidRPr="009D74D4" w:rsidRDefault="00F11B05" w:rsidP="006210E0">
      <w:pPr>
        <w:pStyle w:val="Nadpis1"/>
        <w:numPr>
          <w:ilvl w:val="0"/>
          <w:numId w:val="0"/>
        </w:numPr>
      </w:pPr>
      <w:bookmarkStart w:id="8" w:name="_Toc417393008"/>
      <w:r w:rsidRPr="009D74D4">
        <w:lastRenderedPageBreak/>
        <w:t>Obsah</w:t>
      </w:r>
      <w:bookmarkEnd w:id="8"/>
    </w:p>
    <w:p w:rsidR="00CA5FB1" w:rsidRPr="009D74D4" w:rsidRDefault="00CA5FB1" w:rsidP="00CA5FB1">
      <w:pPr>
        <w:rPr>
          <w:lang w:eastAsia="x-none"/>
        </w:rPr>
      </w:pPr>
    </w:p>
    <w:p w:rsidR="0008201C" w:rsidRDefault="00CA5FB1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9D74D4">
        <w:rPr>
          <w:lang w:eastAsia="x-none"/>
        </w:rPr>
        <w:fldChar w:fldCharType="begin"/>
      </w:r>
      <w:r w:rsidRPr="009D74D4">
        <w:rPr>
          <w:lang w:eastAsia="x-none"/>
        </w:rPr>
        <w:instrText xml:space="preserve"> TOC \o "1-3" \h \z \u </w:instrText>
      </w:r>
      <w:r w:rsidRPr="009D74D4">
        <w:rPr>
          <w:lang w:eastAsia="x-none"/>
        </w:rPr>
        <w:fldChar w:fldCharType="separate"/>
      </w:r>
      <w:hyperlink w:anchor="_Toc417393008" w:history="1">
        <w:r w:rsidR="0008201C" w:rsidRPr="00216EE6">
          <w:rPr>
            <w:rStyle w:val="Hypertextovodkaz"/>
            <w:noProof/>
          </w:rPr>
          <w:t>Obsah</w:t>
        </w:r>
        <w:r w:rsidR="0008201C">
          <w:rPr>
            <w:noProof/>
            <w:webHidden/>
          </w:rPr>
          <w:tab/>
        </w:r>
        <w:r w:rsidR="0008201C">
          <w:rPr>
            <w:noProof/>
            <w:webHidden/>
          </w:rPr>
          <w:fldChar w:fldCharType="begin"/>
        </w:r>
        <w:r w:rsidR="0008201C">
          <w:rPr>
            <w:noProof/>
            <w:webHidden/>
          </w:rPr>
          <w:instrText xml:space="preserve"> PAGEREF _Toc417393008 \h </w:instrText>
        </w:r>
        <w:r w:rsidR="0008201C">
          <w:rPr>
            <w:noProof/>
            <w:webHidden/>
          </w:rPr>
        </w:r>
        <w:r w:rsidR="0008201C">
          <w:rPr>
            <w:noProof/>
            <w:webHidden/>
          </w:rPr>
          <w:fldChar w:fldCharType="separate"/>
        </w:r>
        <w:r w:rsidR="0008201C">
          <w:rPr>
            <w:noProof/>
            <w:webHidden/>
          </w:rPr>
          <w:t>2</w:t>
        </w:r>
        <w:r w:rsidR="0008201C">
          <w:rPr>
            <w:noProof/>
            <w:webHidden/>
          </w:rPr>
          <w:fldChar w:fldCharType="end"/>
        </w:r>
      </w:hyperlink>
    </w:p>
    <w:p w:rsidR="0008201C" w:rsidRDefault="000B44EC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17393009" w:history="1">
        <w:r w:rsidR="0008201C" w:rsidRPr="00216EE6">
          <w:rPr>
            <w:rStyle w:val="Hypertextovodkaz"/>
            <w:noProof/>
          </w:rPr>
          <w:t>Úvod</w:t>
        </w:r>
        <w:r w:rsidR="0008201C">
          <w:rPr>
            <w:noProof/>
            <w:webHidden/>
          </w:rPr>
          <w:tab/>
        </w:r>
        <w:r w:rsidR="0008201C">
          <w:rPr>
            <w:noProof/>
            <w:webHidden/>
          </w:rPr>
          <w:fldChar w:fldCharType="begin"/>
        </w:r>
        <w:r w:rsidR="0008201C">
          <w:rPr>
            <w:noProof/>
            <w:webHidden/>
          </w:rPr>
          <w:instrText xml:space="preserve"> PAGEREF _Toc417393009 \h </w:instrText>
        </w:r>
        <w:r w:rsidR="0008201C">
          <w:rPr>
            <w:noProof/>
            <w:webHidden/>
          </w:rPr>
        </w:r>
        <w:r w:rsidR="0008201C">
          <w:rPr>
            <w:noProof/>
            <w:webHidden/>
          </w:rPr>
          <w:fldChar w:fldCharType="separate"/>
        </w:r>
        <w:r w:rsidR="0008201C">
          <w:rPr>
            <w:noProof/>
            <w:webHidden/>
          </w:rPr>
          <w:t>3</w:t>
        </w:r>
        <w:r w:rsidR="0008201C">
          <w:rPr>
            <w:noProof/>
            <w:webHidden/>
          </w:rPr>
          <w:fldChar w:fldCharType="end"/>
        </w:r>
      </w:hyperlink>
    </w:p>
    <w:p w:rsidR="0008201C" w:rsidRDefault="000B44EC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17393010" w:history="1">
        <w:r w:rsidR="0008201C" w:rsidRPr="00216EE6">
          <w:rPr>
            <w:rStyle w:val="Hypertextovodkaz"/>
            <w:rFonts w:ascii="Arial" w:hAnsi="Arial"/>
            <w:noProof/>
          </w:rPr>
          <w:t>1.</w:t>
        </w:r>
        <w:r w:rsidR="000820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08201C" w:rsidRPr="00216EE6">
          <w:rPr>
            <w:rStyle w:val="Hypertextovodkaz"/>
            <w:noProof/>
          </w:rPr>
          <w:t>Vývoj řízení alokace OP VaVpI</w:t>
        </w:r>
        <w:r w:rsidR="0008201C">
          <w:rPr>
            <w:noProof/>
            <w:webHidden/>
          </w:rPr>
          <w:tab/>
        </w:r>
        <w:r w:rsidR="0008201C">
          <w:rPr>
            <w:noProof/>
            <w:webHidden/>
          </w:rPr>
          <w:fldChar w:fldCharType="begin"/>
        </w:r>
        <w:r w:rsidR="0008201C">
          <w:rPr>
            <w:noProof/>
            <w:webHidden/>
          </w:rPr>
          <w:instrText xml:space="preserve"> PAGEREF _Toc417393010 \h </w:instrText>
        </w:r>
        <w:r w:rsidR="0008201C">
          <w:rPr>
            <w:noProof/>
            <w:webHidden/>
          </w:rPr>
        </w:r>
        <w:r w:rsidR="0008201C">
          <w:rPr>
            <w:noProof/>
            <w:webHidden/>
          </w:rPr>
          <w:fldChar w:fldCharType="separate"/>
        </w:r>
        <w:r w:rsidR="0008201C">
          <w:rPr>
            <w:noProof/>
            <w:webHidden/>
          </w:rPr>
          <w:t>4</w:t>
        </w:r>
        <w:r w:rsidR="0008201C">
          <w:rPr>
            <w:noProof/>
            <w:webHidden/>
          </w:rPr>
          <w:fldChar w:fldCharType="end"/>
        </w:r>
      </w:hyperlink>
    </w:p>
    <w:p w:rsidR="0008201C" w:rsidRDefault="000B44EC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17393013" w:history="1">
        <w:r w:rsidR="0008201C" w:rsidRPr="00216EE6">
          <w:rPr>
            <w:rStyle w:val="Hypertextovodkaz"/>
            <w:noProof/>
          </w:rPr>
          <w:t>1.1</w:t>
        </w:r>
        <w:r w:rsidR="000820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08201C" w:rsidRPr="00216EE6">
          <w:rPr>
            <w:rStyle w:val="Hypertextovodkaz"/>
            <w:noProof/>
          </w:rPr>
          <w:t>Změna alokace OP VaVpI v závislosti na kurzu CZK/EUR</w:t>
        </w:r>
        <w:r w:rsidR="0008201C">
          <w:rPr>
            <w:noProof/>
            <w:webHidden/>
          </w:rPr>
          <w:tab/>
        </w:r>
        <w:r w:rsidR="0008201C">
          <w:rPr>
            <w:noProof/>
            <w:webHidden/>
          </w:rPr>
          <w:fldChar w:fldCharType="begin"/>
        </w:r>
        <w:r w:rsidR="0008201C">
          <w:rPr>
            <w:noProof/>
            <w:webHidden/>
          </w:rPr>
          <w:instrText xml:space="preserve"> PAGEREF _Toc417393013 \h </w:instrText>
        </w:r>
        <w:r w:rsidR="0008201C">
          <w:rPr>
            <w:noProof/>
            <w:webHidden/>
          </w:rPr>
        </w:r>
        <w:r w:rsidR="0008201C">
          <w:rPr>
            <w:noProof/>
            <w:webHidden/>
          </w:rPr>
          <w:fldChar w:fldCharType="separate"/>
        </w:r>
        <w:r w:rsidR="0008201C">
          <w:rPr>
            <w:noProof/>
            <w:webHidden/>
          </w:rPr>
          <w:t>5</w:t>
        </w:r>
        <w:r w:rsidR="0008201C">
          <w:rPr>
            <w:noProof/>
            <w:webHidden/>
          </w:rPr>
          <w:fldChar w:fldCharType="end"/>
        </w:r>
      </w:hyperlink>
    </w:p>
    <w:p w:rsidR="0008201C" w:rsidRDefault="000B44EC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17393014" w:history="1">
        <w:r w:rsidR="0008201C" w:rsidRPr="00216EE6">
          <w:rPr>
            <w:rStyle w:val="Hypertextovodkaz"/>
            <w:noProof/>
          </w:rPr>
          <w:t>1.2</w:t>
        </w:r>
        <w:r w:rsidR="000820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08201C" w:rsidRPr="00216EE6">
          <w:rPr>
            <w:rStyle w:val="Hypertextovodkaz"/>
            <w:noProof/>
          </w:rPr>
          <w:t>Přezávazkování programu</w:t>
        </w:r>
        <w:r w:rsidR="0008201C">
          <w:rPr>
            <w:noProof/>
            <w:webHidden/>
          </w:rPr>
          <w:tab/>
        </w:r>
        <w:r w:rsidR="0008201C">
          <w:rPr>
            <w:noProof/>
            <w:webHidden/>
          </w:rPr>
          <w:fldChar w:fldCharType="begin"/>
        </w:r>
        <w:r w:rsidR="0008201C">
          <w:rPr>
            <w:noProof/>
            <w:webHidden/>
          </w:rPr>
          <w:instrText xml:space="preserve"> PAGEREF _Toc417393014 \h </w:instrText>
        </w:r>
        <w:r w:rsidR="0008201C">
          <w:rPr>
            <w:noProof/>
            <w:webHidden/>
          </w:rPr>
        </w:r>
        <w:r w:rsidR="0008201C">
          <w:rPr>
            <w:noProof/>
            <w:webHidden/>
          </w:rPr>
          <w:fldChar w:fldCharType="separate"/>
        </w:r>
        <w:r w:rsidR="0008201C">
          <w:rPr>
            <w:noProof/>
            <w:webHidden/>
          </w:rPr>
          <w:t>6</w:t>
        </w:r>
        <w:r w:rsidR="0008201C">
          <w:rPr>
            <w:noProof/>
            <w:webHidden/>
          </w:rPr>
          <w:fldChar w:fldCharType="end"/>
        </w:r>
      </w:hyperlink>
    </w:p>
    <w:p w:rsidR="0008201C" w:rsidRDefault="000B44EC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17393015" w:history="1">
        <w:r w:rsidR="0008201C" w:rsidRPr="00216EE6">
          <w:rPr>
            <w:rStyle w:val="Hypertextovodkaz"/>
            <w:noProof/>
          </w:rPr>
          <w:t>1.3</w:t>
        </w:r>
        <w:r w:rsidR="000820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08201C" w:rsidRPr="00216EE6">
          <w:rPr>
            <w:rStyle w:val="Hypertextovodkaz"/>
            <w:noProof/>
          </w:rPr>
          <w:t>Korekce</w:t>
        </w:r>
        <w:r w:rsidR="0008201C">
          <w:rPr>
            <w:noProof/>
            <w:webHidden/>
          </w:rPr>
          <w:tab/>
        </w:r>
        <w:r w:rsidR="0008201C">
          <w:rPr>
            <w:noProof/>
            <w:webHidden/>
          </w:rPr>
          <w:fldChar w:fldCharType="begin"/>
        </w:r>
        <w:r w:rsidR="0008201C">
          <w:rPr>
            <w:noProof/>
            <w:webHidden/>
          </w:rPr>
          <w:instrText xml:space="preserve"> PAGEREF _Toc417393015 \h </w:instrText>
        </w:r>
        <w:r w:rsidR="0008201C">
          <w:rPr>
            <w:noProof/>
            <w:webHidden/>
          </w:rPr>
        </w:r>
        <w:r w:rsidR="0008201C">
          <w:rPr>
            <w:noProof/>
            <w:webHidden/>
          </w:rPr>
          <w:fldChar w:fldCharType="separate"/>
        </w:r>
        <w:r w:rsidR="0008201C">
          <w:rPr>
            <w:noProof/>
            <w:webHidden/>
          </w:rPr>
          <w:t>7</w:t>
        </w:r>
        <w:r w:rsidR="0008201C">
          <w:rPr>
            <w:noProof/>
            <w:webHidden/>
          </w:rPr>
          <w:fldChar w:fldCharType="end"/>
        </w:r>
      </w:hyperlink>
    </w:p>
    <w:p w:rsidR="0008201C" w:rsidRDefault="000B44EC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17393016" w:history="1">
        <w:r w:rsidR="0008201C" w:rsidRPr="00216EE6">
          <w:rPr>
            <w:rStyle w:val="Hypertextovodkaz"/>
            <w:noProof/>
          </w:rPr>
          <w:t>1.4</w:t>
        </w:r>
        <w:r w:rsidR="000820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08201C" w:rsidRPr="00216EE6">
          <w:rPr>
            <w:rStyle w:val="Hypertextovodkaz"/>
            <w:noProof/>
          </w:rPr>
          <w:t>Úspory v projektech</w:t>
        </w:r>
        <w:r w:rsidR="0008201C">
          <w:rPr>
            <w:noProof/>
            <w:webHidden/>
          </w:rPr>
          <w:tab/>
        </w:r>
        <w:r w:rsidR="0008201C">
          <w:rPr>
            <w:noProof/>
            <w:webHidden/>
          </w:rPr>
          <w:fldChar w:fldCharType="begin"/>
        </w:r>
        <w:r w:rsidR="0008201C">
          <w:rPr>
            <w:noProof/>
            <w:webHidden/>
          </w:rPr>
          <w:instrText xml:space="preserve"> PAGEREF _Toc417393016 \h </w:instrText>
        </w:r>
        <w:r w:rsidR="0008201C">
          <w:rPr>
            <w:noProof/>
            <w:webHidden/>
          </w:rPr>
        </w:r>
        <w:r w:rsidR="0008201C">
          <w:rPr>
            <w:noProof/>
            <w:webHidden/>
          </w:rPr>
          <w:fldChar w:fldCharType="separate"/>
        </w:r>
        <w:r w:rsidR="0008201C">
          <w:rPr>
            <w:noProof/>
            <w:webHidden/>
          </w:rPr>
          <w:t>7</w:t>
        </w:r>
        <w:r w:rsidR="0008201C">
          <w:rPr>
            <w:noProof/>
            <w:webHidden/>
          </w:rPr>
          <w:fldChar w:fldCharType="end"/>
        </w:r>
      </w:hyperlink>
    </w:p>
    <w:p w:rsidR="0008201C" w:rsidRDefault="000B44EC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17393017" w:history="1">
        <w:r w:rsidR="0008201C" w:rsidRPr="00216EE6">
          <w:rPr>
            <w:rStyle w:val="Hypertextovodkaz"/>
            <w:rFonts w:ascii="Arial" w:hAnsi="Arial"/>
            <w:noProof/>
          </w:rPr>
          <w:t>2.</w:t>
        </w:r>
        <w:r w:rsidR="000820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08201C" w:rsidRPr="00216EE6">
          <w:rPr>
            <w:rStyle w:val="Hypertextovodkaz"/>
            <w:noProof/>
          </w:rPr>
          <w:t>Finanční objem k dočerpání alokace OP VaVpI</w:t>
        </w:r>
        <w:r w:rsidR="0008201C">
          <w:rPr>
            <w:noProof/>
            <w:webHidden/>
          </w:rPr>
          <w:tab/>
        </w:r>
        <w:r w:rsidR="0008201C">
          <w:rPr>
            <w:noProof/>
            <w:webHidden/>
          </w:rPr>
          <w:fldChar w:fldCharType="begin"/>
        </w:r>
        <w:r w:rsidR="0008201C">
          <w:rPr>
            <w:noProof/>
            <w:webHidden/>
          </w:rPr>
          <w:instrText xml:space="preserve"> PAGEREF _Toc417393017 \h </w:instrText>
        </w:r>
        <w:r w:rsidR="0008201C">
          <w:rPr>
            <w:noProof/>
            <w:webHidden/>
          </w:rPr>
        </w:r>
        <w:r w:rsidR="0008201C">
          <w:rPr>
            <w:noProof/>
            <w:webHidden/>
          </w:rPr>
          <w:fldChar w:fldCharType="separate"/>
        </w:r>
        <w:r w:rsidR="0008201C">
          <w:rPr>
            <w:noProof/>
            <w:webHidden/>
          </w:rPr>
          <w:t>9</w:t>
        </w:r>
        <w:r w:rsidR="0008201C">
          <w:rPr>
            <w:noProof/>
            <w:webHidden/>
          </w:rPr>
          <w:fldChar w:fldCharType="end"/>
        </w:r>
      </w:hyperlink>
    </w:p>
    <w:p w:rsidR="0008201C" w:rsidRDefault="000B44EC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17393018" w:history="1">
        <w:r w:rsidR="0008201C" w:rsidRPr="00216EE6">
          <w:rPr>
            <w:rStyle w:val="Hypertextovodkaz"/>
            <w:rFonts w:ascii="Arial" w:hAnsi="Arial"/>
            <w:noProof/>
          </w:rPr>
          <w:t>3.</w:t>
        </w:r>
        <w:r w:rsidR="000820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08201C" w:rsidRPr="00216EE6">
          <w:rPr>
            <w:rStyle w:val="Hypertextovodkaz"/>
            <w:noProof/>
          </w:rPr>
          <w:t>Strategie dočerpání alokace OP VaVpI</w:t>
        </w:r>
        <w:r w:rsidR="0008201C">
          <w:rPr>
            <w:noProof/>
            <w:webHidden/>
          </w:rPr>
          <w:tab/>
        </w:r>
        <w:r w:rsidR="0008201C">
          <w:rPr>
            <w:noProof/>
            <w:webHidden/>
          </w:rPr>
          <w:fldChar w:fldCharType="begin"/>
        </w:r>
        <w:r w:rsidR="0008201C">
          <w:rPr>
            <w:noProof/>
            <w:webHidden/>
          </w:rPr>
          <w:instrText xml:space="preserve"> PAGEREF _Toc417393018 \h </w:instrText>
        </w:r>
        <w:r w:rsidR="0008201C">
          <w:rPr>
            <w:noProof/>
            <w:webHidden/>
          </w:rPr>
        </w:r>
        <w:r w:rsidR="0008201C">
          <w:rPr>
            <w:noProof/>
            <w:webHidden/>
          </w:rPr>
          <w:fldChar w:fldCharType="separate"/>
        </w:r>
        <w:r w:rsidR="0008201C">
          <w:rPr>
            <w:noProof/>
            <w:webHidden/>
          </w:rPr>
          <w:t>11</w:t>
        </w:r>
        <w:r w:rsidR="0008201C">
          <w:rPr>
            <w:noProof/>
            <w:webHidden/>
          </w:rPr>
          <w:fldChar w:fldCharType="end"/>
        </w:r>
      </w:hyperlink>
    </w:p>
    <w:p w:rsidR="0008201C" w:rsidRDefault="000B44EC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17393023" w:history="1">
        <w:r w:rsidR="0008201C" w:rsidRPr="00216EE6">
          <w:rPr>
            <w:rStyle w:val="Hypertextovodkaz"/>
            <w:noProof/>
          </w:rPr>
          <w:t>3.1</w:t>
        </w:r>
        <w:r w:rsidR="000820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08201C" w:rsidRPr="00216EE6">
          <w:rPr>
            <w:rStyle w:val="Hypertextovodkaz"/>
            <w:noProof/>
          </w:rPr>
          <w:t>Popis plnění opatření v roce 2014</w:t>
        </w:r>
        <w:r w:rsidR="0008201C">
          <w:rPr>
            <w:noProof/>
            <w:webHidden/>
          </w:rPr>
          <w:tab/>
        </w:r>
        <w:r w:rsidR="0008201C">
          <w:rPr>
            <w:noProof/>
            <w:webHidden/>
          </w:rPr>
          <w:fldChar w:fldCharType="begin"/>
        </w:r>
        <w:r w:rsidR="0008201C">
          <w:rPr>
            <w:noProof/>
            <w:webHidden/>
          </w:rPr>
          <w:instrText xml:space="preserve"> PAGEREF _Toc417393023 \h </w:instrText>
        </w:r>
        <w:r w:rsidR="0008201C">
          <w:rPr>
            <w:noProof/>
            <w:webHidden/>
          </w:rPr>
        </w:r>
        <w:r w:rsidR="0008201C">
          <w:rPr>
            <w:noProof/>
            <w:webHidden/>
          </w:rPr>
          <w:fldChar w:fldCharType="separate"/>
        </w:r>
        <w:r w:rsidR="0008201C">
          <w:rPr>
            <w:noProof/>
            <w:webHidden/>
          </w:rPr>
          <w:t>11</w:t>
        </w:r>
        <w:r w:rsidR="0008201C">
          <w:rPr>
            <w:noProof/>
            <w:webHidden/>
          </w:rPr>
          <w:fldChar w:fldCharType="end"/>
        </w:r>
      </w:hyperlink>
    </w:p>
    <w:p w:rsidR="0008201C" w:rsidRDefault="000B44EC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17393024" w:history="1">
        <w:r w:rsidR="0008201C" w:rsidRPr="00216EE6">
          <w:rPr>
            <w:rStyle w:val="Hypertextovodkaz"/>
            <w:noProof/>
          </w:rPr>
          <w:t>3.1.1</w:t>
        </w:r>
        <w:r w:rsidR="000820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08201C" w:rsidRPr="00216EE6">
          <w:rPr>
            <w:rStyle w:val="Hypertextovodkaz"/>
            <w:noProof/>
          </w:rPr>
          <w:t>Opatření směřující ke snížení ztráty alokace OP VaVpI v roce 2014</w:t>
        </w:r>
        <w:r w:rsidR="0008201C">
          <w:rPr>
            <w:noProof/>
            <w:webHidden/>
          </w:rPr>
          <w:tab/>
        </w:r>
        <w:r w:rsidR="0008201C">
          <w:rPr>
            <w:noProof/>
            <w:webHidden/>
          </w:rPr>
          <w:fldChar w:fldCharType="begin"/>
        </w:r>
        <w:r w:rsidR="0008201C">
          <w:rPr>
            <w:noProof/>
            <w:webHidden/>
          </w:rPr>
          <w:instrText xml:space="preserve"> PAGEREF _Toc417393024 \h </w:instrText>
        </w:r>
        <w:r w:rsidR="0008201C">
          <w:rPr>
            <w:noProof/>
            <w:webHidden/>
          </w:rPr>
        </w:r>
        <w:r w:rsidR="0008201C">
          <w:rPr>
            <w:noProof/>
            <w:webHidden/>
          </w:rPr>
          <w:fldChar w:fldCharType="separate"/>
        </w:r>
        <w:r w:rsidR="0008201C">
          <w:rPr>
            <w:noProof/>
            <w:webHidden/>
          </w:rPr>
          <w:t>11</w:t>
        </w:r>
        <w:r w:rsidR="0008201C">
          <w:rPr>
            <w:noProof/>
            <w:webHidden/>
          </w:rPr>
          <w:fldChar w:fldCharType="end"/>
        </w:r>
      </w:hyperlink>
    </w:p>
    <w:p w:rsidR="0008201C" w:rsidRDefault="000B44EC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17393025" w:history="1">
        <w:r w:rsidR="0008201C" w:rsidRPr="00216EE6">
          <w:rPr>
            <w:rStyle w:val="Hypertextovodkaz"/>
            <w:rFonts w:ascii="Arial" w:hAnsi="Arial"/>
            <w:noProof/>
          </w:rPr>
          <w:t>4.</w:t>
        </w:r>
        <w:r w:rsidR="000820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08201C" w:rsidRPr="00216EE6">
          <w:rPr>
            <w:rStyle w:val="Hypertextovodkaz"/>
            <w:noProof/>
          </w:rPr>
          <w:t>Ztráta alokace v roce 2014 v důsledku automatického zrušení závazku (tzv. decommitment) a nová alokace OP VaVpI</w:t>
        </w:r>
        <w:r w:rsidR="0008201C">
          <w:rPr>
            <w:noProof/>
            <w:webHidden/>
          </w:rPr>
          <w:tab/>
        </w:r>
        <w:r w:rsidR="0008201C">
          <w:rPr>
            <w:noProof/>
            <w:webHidden/>
          </w:rPr>
          <w:fldChar w:fldCharType="begin"/>
        </w:r>
        <w:r w:rsidR="0008201C">
          <w:rPr>
            <w:noProof/>
            <w:webHidden/>
          </w:rPr>
          <w:instrText xml:space="preserve"> PAGEREF _Toc417393025 \h </w:instrText>
        </w:r>
        <w:r w:rsidR="0008201C">
          <w:rPr>
            <w:noProof/>
            <w:webHidden/>
          </w:rPr>
        </w:r>
        <w:r w:rsidR="0008201C">
          <w:rPr>
            <w:noProof/>
            <w:webHidden/>
          </w:rPr>
          <w:fldChar w:fldCharType="separate"/>
        </w:r>
        <w:r w:rsidR="0008201C">
          <w:rPr>
            <w:noProof/>
            <w:webHidden/>
          </w:rPr>
          <w:t>13</w:t>
        </w:r>
        <w:r w:rsidR="0008201C">
          <w:rPr>
            <w:noProof/>
            <w:webHidden/>
          </w:rPr>
          <w:fldChar w:fldCharType="end"/>
        </w:r>
      </w:hyperlink>
    </w:p>
    <w:p w:rsidR="0008201C" w:rsidRDefault="000B44EC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17393026" w:history="1">
        <w:r w:rsidR="0008201C" w:rsidRPr="00216EE6">
          <w:rPr>
            <w:rStyle w:val="Hypertextovodkaz"/>
            <w:noProof/>
          </w:rPr>
          <w:t>4.1</w:t>
        </w:r>
        <w:r w:rsidR="0008201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08201C" w:rsidRPr="00216EE6">
          <w:rPr>
            <w:rStyle w:val="Hypertextovodkaz"/>
            <w:noProof/>
          </w:rPr>
          <w:t>Příčiny nedočerpání alokace</w:t>
        </w:r>
        <w:r w:rsidR="0008201C">
          <w:rPr>
            <w:noProof/>
            <w:webHidden/>
          </w:rPr>
          <w:tab/>
        </w:r>
        <w:r w:rsidR="0008201C">
          <w:rPr>
            <w:noProof/>
            <w:webHidden/>
          </w:rPr>
          <w:fldChar w:fldCharType="begin"/>
        </w:r>
        <w:r w:rsidR="0008201C">
          <w:rPr>
            <w:noProof/>
            <w:webHidden/>
          </w:rPr>
          <w:instrText xml:space="preserve"> PAGEREF _Toc417393026 \h </w:instrText>
        </w:r>
        <w:r w:rsidR="0008201C">
          <w:rPr>
            <w:noProof/>
            <w:webHidden/>
          </w:rPr>
        </w:r>
        <w:r w:rsidR="0008201C">
          <w:rPr>
            <w:noProof/>
            <w:webHidden/>
          </w:rPr>
          <w:fldChar w:fldCharType="separate"/>
        </w:r>
        <w:r w:rsidR="0008201C">
          <w:rPr>
            <w:noProof/>
            <w:webHidden/>
          </w:rPr>
          <w:t>15</w:t>
        </w:r>
        <w:r w:rsidR="0008201C">
          <w:rPr>
            <w:noProof/>
            <w:webHidden/>
          </w:rPr>
          <w:fldChar w:fldCharType="end"/>
        </w:r>
      </w:hyperlink>
    </w:p>
    <w:p w:rsidR="0008201C" w:rsidRDefault="000B44EC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17393027" w:history="1">
        <w:r w:rsidR="0008201C" w:rsidRPr="00216EE6">
          <w:rPr>
            <w:rStyle w:val="Hypertextovodkaz"/>
            <w:rFonts w:ascii="Arial" w:hAnsi="Arial"/>
            <w:noProof/>
          </w:rPr>
          <w:t>5.</w:t>
        </w:r>
        <w:r w:rsidR="000820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08201C" w:rsidRPr="00216EE6">
          <w:rPr>
            <w:rStyle w:val="Hypertextovodkaz"/>
            <w:noProof/>
          </w:rPr>
          <w:t>Rizika, která by mohla ovlivnit dočerpání alokace v roce 2015</w:t>
        </w:r>
        <w:r w:rsidR="0008201C">
          <w:rPr>
            <w:noProof/>
            <w:webHidden/>
          </w:rPr>
          <w:tab/>
        </w:r>
        <w:r w:rsidR="0008201C">
          <w:rPr>
            <w:noProof/>
            <w:webHidden/>
          </w:rPr>
          <w:fldChar w:fldCharType="begin"/>
        </w:r>
        <w:r w:rsidR="0008201C">
          <w:rPr>
            <w:noProof/>
            <w:webHidden/>
          </w:rPr>
          <w:instrText xml:space="preserve"> PAGEREF _Toc417393027 \h </w:instrText>
        </w:r>
        <w:r w:rsidR="0008201C">
          <w:rPr>
            <w:noProof/>
            <w:webHidden/>
          </w:rPr>
        </w:r>
        <w:r w:rsidR="0008201C">
          <w:rPr>
            <w:noProof/>
            <w:webHidden/>
          </w:rPr>
          <w:fldChar w:fldCharType="separate"/>
        </w:r>
        <w:r w:rsidR="0008201C">
          <w:rPr>
            <w:noProof/>
            <w:webHidden/>
          </w:rPr>
          <w:t>17</w:t>
        </w:r>
        <w:r w:rsidR="0008201C">
          <w:rPr>
            <w:noProof/>
            <w:webHidden/>
          </w:rPr>
          <w:fldChar w:fldCharType="end"/>
        </w:r>
      </w:hyperlink>
    </w:p>
    <w:p w:rsidR="0008201C" w:rsidRDefault="000B44EC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17393028" w:history="1">
        <w:r w:rsidR="0008201C" w:rsidRPr="00216EE6">
          <w:rPr>
            <w:rStyle w:val="Hypertextovodkaz"/>
            <w:rFonts w:ascii="Arial" w:hAnsi="Arial"/>
            <w:noProof/>
          </w:rPr>
          <w:t>6.</w:t>
        </w:r>
        <w:r w:rsidR="000820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08201C" w:rsidRPr="00216EE6">
          <w:rPr>
            <w:rStyle w:val="Hypertextovodkaz"/>
            <w:noProof/>
          </w:rPr>
          <w:t>Opatření směřující k dočerpání alokace OP VaVpI v roce 2015</w:t>
        </w:r>
        <w:r w:rsidR="0008201C">
          <w:rPr>
            <w:noProof/>
            <w:webHidden/>
          </w:rPr>
          <w:tab/>
        </w:r>
        <w:r w:rsidR="0008201C">
          <w:rPr>
            <w:noProof/>
            <w:webHidden/>
          </w:rPr>
          <w:fldChar w:fldCharType="begin"/>
        </w:r>
        <w:r w:rsidR="0008201C">
          <w:rPr>
            <w:noProof/>
            <w:webHidden/>
          </w:rPr>
          <w:instrText xml:space="preserve"> PAGEREF _Toc417393028 \h </w:instrText>
        </w:r>
        <w:r w:rsidR="0008201C">
          <w:rPr>
            <w:noProof/>
            <w:webHidden/>
          </w:rPr>
        </w:r>
        <w:r w:rsidR="0008201C">
          <w:rPr>
            <w:noProof/>
            <w:webHidden/>
          </w:rPr>
          <w:fldChar w:fldCharType="separate"/>
        </w:r>
        <w:r w:rsidR="0008201C">
          <w:rPr>
            <w:noProof/>
            <w:webHidden/>
          </w:rPr>
          <w:t>17</w:t>
        </w:r>
        <w:r w:rsidR="0008201C">
          <w:rPr>
            <w:noProof/>
            <w:webHidden/>
          </w:rPr>
          <w:fldChar w:fldCharType="end"/>
        </w:r>
      </w:hyperlink>
    </w:p>
    <w:p w:rsidR="0008201C" w:rsidRDefault="000B44EC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17393029" w:history="1">
        <w:r w:rsidR="0008201C" w:rsidRPr="00216EE6">
          <w:rPr>
            <w:rStyle w:val="Hypertextovodkaz"/>
            <w:noProof/>
          </w:rPr>
          <w:t>Seznam zkratek</w:t>
        </w:r>
        <w:r w:rsidR="0008201C">
          <w:rPr>
            <w:noProof/>
            <w:webHidden/>
          </w:rPr>
          <w:tab/>
        </w:r>
        <w:r w:rsidR="0008201C">
          <w:rPr>
            <w:noProof/>
            <w:webHidden/>
          </w:rPr>
          <w:fldChar w:fldCharType="begin"/>
        </w:r>
        <w:r w:rsidR="0008201C">
          <w:rPr>
            <w:noProof/>
            <w:webHidden/>
          </w:rPr>
          <w:instrText xml:space="preserve"> PAGEREF _Toc417393029 \h </w:instrText>
        </w:r>
        <w:r w:rsidR="0008201C">
          <w:rPr>
            <w:noProof/>
            <w:webHidden/>
          </w:rPr>
        </w:r>
        <w:r w:rsidR="0008201C">
          <w:rPr>
            <w:noProof/>
            <w:webHidden/>
          </w:rPr>
          <w:fldChar w:fldCharType="separate"/>
        </w:r>
        <w:r w:rsidR="0008201C">
          <w:rPr>
            <w:noProof/>
            <w:webHidden/>
          </w:rPr>
          <w:t>21</w:t>
        </w:r>
        <w:r w:rsidR="0008201C">
          <w:rPr>
            <w:noProof/>
            <w:webHidden/>
          </w:rPr>
          <w:fldChar w:fldCharType="end"/>
        </w:r>
      </w:hyperlink>
    </w:p>
    <w:p w:rsidR="0008201C" w:rsidRDefault="000B44EC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17393030" w:history="1">
        <w:r w:rsidR="0008201C" w:rsidRPr="00216EE6">
          <w:rPr>
            <w:rStyle w:val="Hypertextovodkaz"/>
            <w:noProof/>
          </w:rPr>
          <w:t>Seznam grafů</w:t>
        </w:r>
        <w:r w:rsidR="0008201C">
          <w:rPr>
            <w:noProof/>
            <w:webHidden/>
          </w:rPr>
          <w:tab/>
        </w:r>
        <w:r w:rsidR="0008201C">
          <w:rPr>
            <w:noProof/>
            <w:webHidden/>
          </w:rPr>
          <w:fldChar w:fldCharType="begin"/>
        </w:r>
        <w:r w:rsidR="0008201C">
          <w:rPr>
            <w:noProof/>
            <w:webHidden/>
          </w:rPr>
          <w:instrText xml:space="preserve"> PAGEREF _Toc417393030 \h </w:instrText>
        </w:r>
        <w:r w:rsidR="0008201C">
          <w:rPr>
            <w:noProof/>
            <w:webHidden/>
          </w:rPr>
        </w:r>
        <w:r w:rsidR="0008201C">
          <w:rPr>
            <w:noProof/>
            <w:webHidden/>
          </w:rPr>
          <w:fldChar w:fldCharType="separate"/>
        </w:r>
        <w:r w:rsidR="0008201C">
          <w:rPr>
            <w:noProof/>
            <w:webHidden/>
          </w:rPr>
          <w:t>23</w:t>
        </w:r>
        <w:r w:rsidR="0008201C">
          <w:rPr>
            <w:noProof/>
            <w:webHidden/>
          </w:rPr>
          <w:fldChar w:fldCharType="end"/>
        </w:r>
      </w:hyperlink>
    </w:p>
    <w:p w:rsidR="00CA5FB1" w:rsidRPr="009D74D4" w:rsidRDefault="00CA5FB1" w:rsidP="00CA5FB1">
      <w:pPr>
        <w:rPr>
          <w:lang w:eastAsia="x-none"/>
        </w:rPr>
      </w:pPr>
      <w:r w:rsidRPr="009D74D4">
        <w:rPr>
          <w:lang w:eastAsia="x-none"/>
        </w:rPr>
        <w:fldChar w:fldCharType="end"/>
      </w:r>
    </w:p>
    <w:p w:rsidR="006210E0" w:rsidRPr="009D74D4" w:rsidRDefault="006210E0" w:rsidP="006210E0">
      <w:pPr>
        <w:pStyle w:val="Nadpis1"/>
        <w:sectPr w:rsidR="006210E0" w:rsidRPr="009D74D4" w:rsidSect="00F23CA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276" w:right="1418" w:bottom="1418" w:left="1418" w:header="709" w:footer="0" w:gutter="0"/>
          <w:cols w:space="708"/>
          <w:titlePg/>
          <w:docGrid w:linePitch="360"/>
        </w:sectPr>
      </w:pPr>
    </w:p>
    <w:p w:rsidR="00B424FD" w:rsidRPr="009D74D4" w:rsidRDefault="00B424FD" w:rsidP="00CE2B01">
      <w:pPr>
        <w:pStyle w:val="Nadpis1"/>
        <w:numPr>
          <w:ilvl w:val="0"/>
          <w:numId w:val="0"/>
        </w:numPr>
        <w:ind w:left="360"/>
      </w:pPr>
      <w:bookmarkStart w:id="10" w:name="_Toc417393009"/>
      <w:r w:rsidRPr="009D74D4">
        <w:lastRenderedPageBreak/>
        <w:t>Úvod</w:t>
      </w:r>
      <w:bookmarkEnd w:id="10"/>
    </w:p>
    <w:p w:rsidR="00B424FD" w:rsidRPr="009D74D4" w:rsidRDefault="00B424FD" w:rsidP="00DD4C93">
      <w:pPr>
        <w:spacing w:after="120"/>
        <w:jc w:val="both"/>
        <w:rPr>
          <w:rFonts w:cs="Arial"/>
          <w:lang w:eastAsia="x-none"/>
        </w:rPr>
      </w:pPr>
      <w:r w:rsidRPr="009D74D4">
        <w:rPr>
          <w:rFonts w:cs="Arial"/>
          <w:lang w:eastAsia="x-none"/>
        </w:rPr>
        <w:t xml:space="preserve">Globálním cílem Operačního programu Výzkum a vývoj pro inovace (dále jen „OP </w:t>
      </w:r>
      <w:proofErr w:type="spellStart"/>
      <w:r w:rsidRPr="009D74D4">
        <w:rPr>
          <w:rFonts w:cs="Arial"/>
          <w:lang w:eastAsia="x-none"/>
        </w:rPr>
        <w:t>V</w:t>
      </w:r>
      <w:r w:rsidR="002963AC">
        <w:rPr>
          <w:rFonts w:cs="Arial"/>
          <w:lang w:eastAsia="x-none"/>
        </w:rPr>
        <w:t>aVpI</w:t>
      </w:r>
      <w:proofErr w:type="spellEnd"/>
      <w:r w:rsidR="002963AC">
        <w:rPr>
          <w:rFonts w:cs="Arial"/>
          <w:lang w:eastAsia="x-none"/>
        </w:rPr>
        <w:t>“) je </w:t>
      </w:r>
      <w:r w:rsidRPr="009D74D4">
        <w:rPr>
          <w:rFonts w:cs="Arial"/>
          <w:lang w:eastAsia="x-none"/>
        </w:rPr>
        <w:t>posilování výzkumného, vývojového a inovačního potenciálu ČR, který přispěje k růstu konkurenceschopnosti a k vytváření vysoce kvalifikovan</w:t>
      </w:r>
      <w:r w:rsidR="006055EF">
        <w:rPr>
          <w:rFonts w:cs="Arial"/>
          <w:lang w:eastAsia="x-none"/>
        </w:rPr>
        <w:t>ých pracovních míst tak, aby se </w:t>
      </w:r>
      <w:r w:rsidRPr="009D74D4">
        <w:rPr>
          <w:rFonts w:cs="Arial"/>
          <w:lang w:eastAsia="x-none"/>
        </w:rPr>
        <w:t>regiony ČR staly významnými místy koncentrace těchto aktivit v Evropě.</w:t>
      </w:r>
    </w:p>
    <w:p w:rsidR="00B424FD" w:rsidRPr="009D74D4" w:rsidRDefault="00B41652" w:rsidP="00DD4C93">
      <w:pPr>
        <w:spacing w:after="120"/>
        <w:jc w:val="both"/>
        <w:rPr>
          <w:rFonts w:cs="Arial"/>
          <w:lang w:eastAsia="x-none"/>
        </w:rPr>
      </w:pPr>
      <w:r>
        <w:rPr>
          <w:rFonts w:cs="Arial"/>
          <w:lang w:eastAsia="x-none"/>
        </w:rPr>
        <w:t>V</w:t>
      </w:r>
      <w:r w:rsidR="00631FB4">
        <w:rPr>
          <w:rFonts w:cs="Arial"/>
          <w:lang w:eastAsia="x-none"/>
        </w:rPr>
        <w:t xml:space="preserve"> </w:t>
      </w:r>
      <w:proofErr w:type="gramStart"/>
      <w:r w:rsidR="00631FB4">
        <w:rPr>
          <w:rFonts w:cs="Arial"/>
          <w:lang w:eastAsia="x-none"/>
        </w:rPr>
        <w:t>OP</w:t>
      </w:r>
      <w:proofErr w:type="gramEnd"/>
      <w:r w:rsidR="00631FB4">
        <w:rPr>
          <w:rFonts w:cs="Arial"/>
          <w:lang w:eastAsia="x-none"/>
        </w:rPr>
        <w:t xml:space="preserve"> </w:t>
      </w:r>
      <w:proofErr w:type="spellStart"/>
      <w:r w:rsidR="00631FB4">
        <w:rPr>
          <w:rFonts w:cs="Arial"/>
          <w:lang w:eastAsia="x-none"/>
        </w:rPr>
        <w:t>VaVpI</w:t>
      </w:r>
      <w:proofErr w:type="spellEnd"/>
      <w:r w:rsidR="00631FB4">
        <w:rPr>
          <w:rFonts w:cs="Arial"/>
          <w:lang w:eastAsia="x-none"/>
        </w:rPr>
        <w:t xml:space="preserve"> je </w:t>
      </w:r>
      <w:r w:rsidR="00B424FD" w:rsidRPr="009D74D4">
        <w:rPr>
          <w:rFonts w:cs="Arial"/>
          <w:lang w:eastAsia="x-none"/>
        </w:rPr>
        <w:t>alokováno 2 070 680 884 EUR z Evropského fondu pro regionální rozvoj</w:t>
      </w:r>
      <w:r w:rsidR="00311BB4">
        <w:rPr>
          <w:rFonts w:cs="Arial"/>
          <w:lang w:eastAsia="x-none"/>
        </w:rPr>
        <w:t xml:space="preserve"> (dále jen „</w:t>
      </w:r>
      <w:r w:rsidR="00B61540" w:rsidRPr="009D74D4">
        <w:rPr>
          <w:rFonts w:cs="Arial"/>
          <w:lang w:eastAsia="x-none"/>
        </w:rPr>
        <w:t>ERDF“)</w:t>
      </w:r>
      <w:r w:rsidR="00B424FD" w:rsidRPr="009D74D4">
        <w:rPr>
          <w:rFonts w:cs="Arial"/>
          <w:lang w:eastAsia="x-none"/>
        </w:rPr>
        <w:t xml:space="preserve">. Celková alokace včetně národních zdrojů činí 2 436 095 160 EUR. Tato částka tvoří 8 % finančního plánu alokace ČR pro cíl Konvergence v letech 2007–2013. </w:t>
      </w:r>
    </w:p>
    <w:p w:rsidR="00B424FD" w:rsidRPr="009D74D4" w:rsidRDefault="00B424FD" w:rsidP="00DD4C93">
      <w:pPr>
        <w:spacing w:after="120"/>
        <w:jc w:val="both"/>
        <w:rPr>
          <w:rFonts w:cs="Arial"/>
          <w:lang w:eastAsia="x-none"/>
        </w:rPr>
      </w:pPr>
      <w:r w:rsidRPr="009D74D4">
        <w:rPr>
          <w:rFonts w:cs="Arial"/>
          <w:lang w:eastAsia="x-none"/>
        </w:rPr>
        <w:t xml:space="preserve">Na konci roku 2014 přišel ŘO OP </w:t>
      </w:r>
      <w:proofErr w:type="spellStart"/>
      <w:r w:rsidRPr="009D74D4">
        <w:rPr>
          <w:rFonts w:cs="Arial"/>
          <w:lang w:eastAsia="x-none"/>
        </w:rPr>
        <w:t>VaVpI</w:t>
      </w:r>
      <w:proofErr w:type="spellEnd"/>
      <w:r w:rsidRPr="009D74D4">
        <w:rPr>
          <w:rFonts w:cs="Arial"/>
          <w:lang w:eastAsia="x-none"/>
        </w:rPr>
        <w:t xml:space="preserve"> </w:t>
      </w:r>
      <w:r w:rsidR="004E110D" w:rsidRPr="009D74D4">
        <w:rPr>
          <w:rFonts w:cs="Arial"/>
          <w:lang w:eastAsia="x-none"/>
        </w:rPr>
        <w:t xml:space="preserve">v důsledku nesplnění limitu pravidla n+2 pro závazek roku 2012 </w:t>
      </w:r>
      <w:r w:rsidRPr="009D74D4">
        <w:rPr>
          <w:rFonts w:cs="Arial"/>
          <w:lang w:eastAsia="x-none"/>
        </w:rPr>
        <w:t>o alokaci v celkové výši</w:t>
      </w:r>
      <w:r w:rsidR="00B61540" w:rsidRPr="009D74D4">
        <w:rPr>
          <w:rFonts w:cs="Arial"/>
          <w:lang w:eastAsia="x-none"/>
        </w:rPr>
        <w:t xml:space="preserve"> </w:t>
      </w:r>
      <w:r w:rsidRPr="009D74D4">
        <w:rPr>
          <w:rFonts w:cs="Arial"/>
          <w:lang w:eastAsia="x-none"/>
        </w:rPr>
        <w:t>242 528 153 EUR</w:t>
      </w:r>
      <w:r w:rsidR="004E110D" w:rsidRPr="009D74D4">
        <w:rPr>
          <w:rStyle w:val="Znakapoznpodarou"/>
          <w:rFonts w:cs="Arial"/>
          <w:lang w:eastAsia="x-none"/>
        </w:rPr>
        <w:footnoteReference w:id="1"/>
      </w:r>
      <w:r w:rsidRPr="009D74D4">
        <w:rPr>
          <w:rFonts w:cs="Arial"/>
          <w:lang w:eastAsia="x-none"/>
        </w:rPr>
        <w:t xml:space="preserve"> z </w:t>
      </w:r>
      <w:r w:rsidR="00B61540" w:rsidRPr="009D74D4">
        <w:rPr>
          <w:rFonts w:cs="Arial"/>
          <w:lang w:eastAsia="x-none"/>
        </w:rPr>
        <w:t>ERDF</w:t>
      </w:r>
      <w:r w:rsidRPr="009D74D4">
        <w:rPr>
          <w:rFonts w:cs="Arial"/>
          <w:lang w:eastAsia="x-none"/>
        </w:rPr>
        <w:t xml:space="preserve">. V současné době ŘO OP </w:t>
      </w:r>
      <w:proofErr w:type="spellStart"/>
      <w:r w:rsidRPr="009D74D4">
        <w:rPr>
          <w:rFonts w:cs="Arial"/>
          <w:lang w:eastAsia="x-none"/>
        </w:rPr>
        <w:t>VaVpI</w:t>
      </w:r>
      <w:proofErr w:type="spellEnd"/>
      <w:r w:rsidRPr="009D74D4">
        <w:rPr>
          <w:rFonts w:cs="Arial"/>
          <w:lang w:eastAsia="x-none"/>
        </w:rPr>
        <w:t xml:space="preserve"> ve spolupráci s </w:t>
      </w:r>
      <w:proofErr w:type="gramStart"/>
      <w:r w:rsidRPr="009D74D4">
        <w:rPr>
          <w:rFonts w:cs="Arial"/>
          <w:lang w:eastAsia="x-none"/>
        </w:rPr>
        <w:t>MMR</w:t>
      </w:r>
      <w:proofErr w:type="gramEnd"/>
      <w:r w:rsidRPr="009D74D4">
        <w:rPr>
          <w:rFonts w:cs="Arial"/>
          <w:lang w:eastAsia="x-none"/>
        </w:rPr>
        <w:t>–</w:t>
      </w:r>
      <w:proofErr w:type="gramStart"/>
      <w:r w:rsidRPr="009D74D4">
        <w:rPr>
          <w:rFonts w:cs="Arial"/>
          <w:lang w:eastAsia="x-none"/>
        </w:rPr>
        <w:t>NOK</w:t>
      </w:r>
      <w:proofErr w:type="gramEnd"/>
      <w:r w:rsidRPr="009D74D4">
        <w:rPr>
          <w:rFonts w:cs="Arial"/>
          <w:lang w:eastAsia="x-none"/>
        </w:rPr>
        <w:t xml:space="preserve"> a MF–PCO administruje </w:t>
      </w:r>
      <w:r w:rsidR="003678C8" w:rsidRPr="009D74D4">
        <w:rPr>
          <w:rFonts w:cs="Arial"/>
          <w:lang w:eastAsia="x-none"/>
        </w:rPr>
        <w:t>činnosti vedoucí k revizi programového dokument</w:t>
      </w:r>
      <w:r w:rsidR="00433044" w:rsidRPr="009D74D4">
        <w:rPr>
          <w:rFonts w:cs="Arial"/>
          <w:lang w:eastAsia="x-none"/>
        </w:rPr>
        <w:t>u.</w:t>
      </w:r>
      <w:r w:rsidR="003678C8" w:rsidRPr="009D74D4">
        <w:rPr>
          <w:rFonts w:cs="Arial"/>
          <w:lang w:eastAsia="x-none"/>
        </w:rPr>
        <w:t xml:space="preserve"> Nová alokace OP </w:t>
      </w:r>
      <w:proofErr w:type="spellStart"/>
      <w:r w:rsidR="003678C8" w:rsidRPr="009D74D4">
        <w:rPr>
          <w:rFonts w:cs="Arial"/>
          <w:lang w:eastAsia="x-none"/>
        </w:rPr>
        <w:t>VaVpI</w:t>
      </w:r>
      <w:proofErr w:type="spellEnd"/>
      <w:r w:rsidR="003678C8" w:rsidRPr="009D74D4">
        <w:rPr>
          <w:rFonts w:cs="Arial"/>
          <w:lang w:eastAsia="x-none"/>
        </w:rPr>
        <w:t xml:space="preserve"> na všechny p</w:t>
      </w:r>
      <w:r w:rsidR="006055EF">
        <w:rPr>
          <w:rFonts w:cs="Arial"/>
          <w:lang w:eastAsia="x-none"/>
        </w:rPr>
        <w:t>rioritní osy představuje částku</w:t>
      </w:r>
      <w:r w:rsidR="006055EF">
        <w:rPr>
          <w:rFonts w:cs="Arial"/>
          <w:lang w:eastAsia="x-none"/>
        </w:rPr>
        <w:br/>
      </w:r>
      <w:r w:rsidR="003678C8" w:rsidRPr="009D74D4">
        <w:rPr>
          <w:rFonts w:cs="Arial"/>
          <w:lang w:eastAsia="x-none"/>
        </w:rPr>
        <w:t xml:space="preserve">1 828 152 731 EUR z </w:t>
      </w:r>
      <w:r w:rsidR="00433044" w:rsidRPr="009D74D4">
        <w:rPr>
          <w:rFonts w:cs="Arial"/>
          <w:lang w:eastAsia="x-none"/>
        </w:rPr>
        <w:t>ERDF</w:t>
      </w:r>
      <w:r w:rsidR="003678C8" w:rsidRPr="009D74D4">
        <w:rPr>
          <w:rFonts w:cs="Arial"/>
          <w:lang w:eastAsia="x-none"/>
        </w:rPr>
        <w:t xml:space="preserve">. </w:t>
      </w:r>
      <w:r w:rsidR="009D74D4" w:rsidRPr="009D74D4">
        <w:rPr>
          <w:rFonts w:cs="Arial"/>
          <w:lang w:eastAsia="x-none"/>
        </w:rPr>
        <w:t>Celková alokace včetně národní</w:t>
      </w:r>
      <w:r w:rsidR="009D74D4">
        <w:rPr>
          <w:rFonts w:cs="Arial"/>
          <w:lang w:eastAsia="x-none"/>
        </w:rPr>
        <w:t>ch zdrojů bude po revizi OP</w:t>
      </w:r>
      <w:r w:rsidR="009D74D4" w:rsidRPr="009D74D4">
        <w:rPr>
          <w:rFonts w:cs="Arial"/>
          <w:lang w:eastAsia="x-none"/>
        </w:rPr>
        <w:t xml:space="preserve"> p</w:t>
      </w:r>
      <w:r w:rsidR="006055EF">
        <w:rPr>
          <w:rFonts w:cs="Arial"/>
          <w:lang w:eastAsia="x-none"/>
        </w:rPr>
        <w:t>ředstavovat částku 2 150 767 920</w:t>
      </w:r>
      <w:r w:rsidR="009D74D4" w:rsidRPr="009D74D4">
        <w:rPr>
          <w:rFonts w:cs="Arial"/>
          <w:lang w:eastAsia="x-none"/>
        </w:rPr>
        <w:t xml:space="preserve"> EUR.  </w:t>
      </w:r>
    </w:p>
    <w:p w:rsidR="00631FB4" w:rsidRDefault="00B424FD" w:rsidP="00DD4C93">
      <w:pPr>
        <w:spacing w:after="120"/>
        <w:jc w:val="both"/>
        <w:rPr>
          <w:rFonts w:cs="Arial"/>
          <w:lang w:eastAsia="x-none"/>
        </w:rPr>
      </w:pPr>
      <w:r w:rsidRPr="009D74D4">
        <w:rPr>
          <w:rFonts w:cs="Arial"/>
          <w:lang w:eastAsia="x-none"/>
        </w:rPr>
        <w:t>Strategie dočerpání finančních prostředků Operačního programu Výzkum a vývoj pro inovace</w:t>
      </w:r>
      <w:r w:rsidR="00FE4158">
        <w:rPr>
          <w:rFonts w:cs="Arial"/>
          <w:lang w:eastAsia="x-none"/>
        </w:rPr>
        <w:t xml:space="preserve"> byla zpracována v</w:t>
      </w:r>
      <w:r w:rsidR="00631FB4">
        <w:rPr>
          <w:rFonts w:cs="Arial"/>
          <w:lang w:eastAsia="x-none"/>
        </w:rPr>
        <w:t xml:space="preserve"> souvislosti </w:t>
      </w:r>
      <w:r w:rsidR="00A724B6">
        <w:rPr>
          <w:rFonts w:cs="Arial"/>
          <w:lang w:eastAsia="x-none"/>
        </w:rPr>
        <w:t xml:space="preserve">s riziky identifikovanými </w:t>
      </w:r>
      <w:r w:rsidR="00771BBB">
        <w:rPr>
          <w:rFonts w:cs="Arial"/>
          <w:lang w:eastAsia="x-none"/>
        </w:rPr>
        <w:t>v závěru implementace operačního programu. Strategie je průběžně aktu</w:t>
      </w:r>
      <w:r w:rsidR="00FE4158">
        <w:rPr>
          <w:rFonts w:cs="Arial"/>
          <w:lang w:eastAsia="x-none"/>
        </w:rPr>
        <w:t>ali</w:t>
      </w:r>
      <w:r w:rsidR="00771BBB">
        <w:rPr>
          <w:rFonts w:cs="Arial"/>
          <w:lang w:eastAsia="x-none"/>
        </w:rPr>
        <w:t xml:space="preserve">zována, jsou </w:t>
      </w:r>
      <w:r w:rsidR="00FE4158">
        <w:rPr>
          <w:rFonts w:cs="Arial"/>
          <w:lang w:eastAsia="x-none"/>
        </w:rPr>
        <w:t>přijímána a vyhodnocována opatření k dosažení co největšího dočerpání.</w:t>
      </w:r>
    </w:p>
    <w:p w:rsidR="00F17A68" w:rsidRPr="009D74D4" w:rsidRDefault="00B424FD" w:rsidP="00DD4C93">
      <w:pPr>
        <w:spacing w:after="120"/>
        <w:jc w:val="both"/>
        <w:rPr>
          <w:rFonts w:cs="Arial"/>
        </w:rPr>
      </w:pPr>
      <w:r w:rsidRPr="009D74D4">
        <w:rPr>
          <w:rFonts w:cs="Arial"/>
          <w:lang w:eastAsia="x-none"/>
        </w:rPr>
        <w:t>Materiál dále informuje o výši ztráty alokace</w:t>
      </w:r>
      <w:r w:rsidR="00F34088" w:rsidRPr="009D74D4">
        <w:rPr>
          <w:rFonts w:cs="Arial"/>
          <w:lang w:eastAsia="x-none"/>
        </w:rPr>
        <w:t xml:space="preserve"> </w:t>
      </w:r>
      <w:r w:rsidR="00B41652">
        <w:rPr>
          <w:rFonts w:cs="Arial"/>
          <w:lang w:eastAsia="x-none"/>
        </w:rPr>
        <w:t>v roce</w:t>
      </w:r>
      <w:r w:rsidR="00F34088" w:rsidRPr="009D74D4">
        <w:rPr>
          <w:rFonts w:cs="Arial"/>
          <w:lang w:eastAsia="x-none"/>
        </w:rPr>
        <w:t xml:space="preserve"> 2014</w:t>
      </w:r>
      <w:r w:rsidRPr="009D74D4">
        <w:rPr>
          <w:rFonts w:cs="Arial"/>
          <w:lang w:eastAsia="x-none"/>
        </w:rPr>
        <w:t xml:space="preserve"> a výši </w:t>
      </w:r>
      <w:r w:rsidR="008F2BE7">
        <w:rPr>
          <w:rFonts w:cs="Arial"/>
          <w:lang w:eastAsia="x-none"/>
        </w:rPr>
        <w:t xml:space="preserve">odhadovaného </w:t>
      </w:r>
      <w:r w:rsidRPr="009D74D4">
        <w:rPr>
          <w:rFonts w:cs="Arial"/>
          <w:lang w:eastAsia="x-none"/>
        </w:rPr>
        <w:t xml:space="preserve">nedočerpání OP </w:t>
      </w:r>
      <w:proofErr w:type="spellStart"/>
      <w:r w:rsidRPr="009D74D4">
        <w:rPr>
          <w:rFonts w:cs="Arial"/>
          <w:lang w:eastAsia="x-none"/>
        </w:rPr>
        <w:t>VaVpI</w:t>
      </w:r>
      <w:proofErr w:type="spellEnd"/>
      <w:r w:rsidR="008F2BE7">
        <w:rPr>
          <w:rFonts w:cs="Arial"/>
          <w:lang w:eastAsia="x-none"/>
        </w:rPr>
        <w:t xml:space="preserve"> na konci programového období</w:t>
      </w:r>
      <w:r w:rsidR="00A724B6">
        <w:rPr>
          <w:rFonts w:cs="Arial"/>
          <w:lang w:eastAsia="x-none"/>
        </w:rPr>
        <w:t xml:space="preserve">. </w:t>
      </w:r>
      <w:r w:rsidR="00B41652">
        <w:rPr>
          <w:rFonts w:cs="Arial"/>
          <w:lang w:eastAsia="x-none"/>
        </w:rPr>
        <w:t>Zároveň obsahuje Řídi</w:t>
      </w:r>
      <w:r w:rsidRPr="009D74D4">
        <w:rPr>
          <w:rFonts w:cs="Arial"/>
          <w:lang w:eastAsia="x-none"/>
        </w:rPr>
        <w:t xml:space="preserve">cím orgánem (dále jen „ŘO) OP </w:t>
      </w:r>
      <w:proofErr w:type="spellStart"/>
      <w:r w:rsidRPr="009D74D4">
        <w:rPr>
          <w:rFonts w:cs="Arial"/>
          <w:lang w:eastAsia="x-none"/>
        </w:rPr>
        <w:t>VaVpI</w:t>
      </w:r>
      <w:proofErr w:type="spellEnd"/>
      <w:r w:rsidRPr="009D74D4">
        <w:rPr>
          <w:rFonts w:cs="Arial"/>
          <w:lang w:eastAsia="x-none"/>
        </w:rPr>
        <w:t xml:space="preserve"> navržené rozložení výše ztráty alokace v </w:t>
      </w:r>
      <w:r w:rsidR="00B41652">
        <w:rPr>
          <w:rFonts w:cs="Arial"/>
          <w:lang w:eastAsia="x-none"/>
        </w:rPr>
        <w:t xml:space="preserve">jednotlivých prioritních osách. </w:t>
      </w:r>
    </w:p>
    <w:p w:rsidR="00A70AB6" w:rsidRDefault="00A70AB6" w:rsidP="00DD4C93">
      <w:pPr>
        <w:spacing w:after="120"/>
        <w:jc w:val="both"/>
        <w:rPr>
          <w:rFonts w:cs="Arial"/>
        </w:rPr>
      </w:pPr>
    </w:p>
    <w:p w:rsidR="002412ED" w:rsidRDefault="002412ED" w:rsidP="00DD4C93">
      <w:pPr>
        <w:spacing w:after="120"/>
        <w:jc w:val="both"/>
        <w:rPr>
          <w:rFonts w:cs="Arial"/>
        </w:rPr>
      </w:pPr>
    </w:p>
    <w:p w:rsidR="006E5152" w:rsidRPr="0001098E" w:rsidRDefault="002412ED" w:rsidP="0001098E">
      <w:pPr>
        <w:pStyle w:val="Nadpis1"/>
      </w:pPr>
      <w:r>
        <w:rPr>
          <w:rFonts w:cs="Arial"/>
        </w:rPr>
        <w:br w:type="page"/>
      </w:r>
      <w:bookmarkStart w:id="11" w:name="_Toc417393010"/>
      <w:r w:rsidR="000642D0" w:rsidRPr="0001098E">
        <w:lastRenderedPageBreak/>
        <w:t xml:space="preserve">Vývoj řízení alokace OP </w:t>
      </w:r>
      <w:proofErr w:type="spellStart"/>
      <w:r w:rsidR="000642D0" w:rsidRPr="0001098E">
        <w:t>V</w:t>
      </w:r>
      <w:r w:rsidR="006210E0" w:rsidRPr="0001098E">
        <w:t>aVpI</w:t>
      </w:r>
      <w:bookmarkEnd w:id="11"/>
      <w:proofErr w:type="spellEnd"/>
    </w:p>
    <w:p w:rsidR="00F37042" w:rsidRDefault="00F23174" w:rsidP="0012290F">
      <w:pPr>
        <w:jc w:val="both"/>
        <w:rPr>
          <w:lang w:eastAsia="x-none"/>
        </w:rPr>
      </w:pPr>
      <w:r w:rsidRPr="009D74D4">
        <w:rPr>
          <w:lang w:eastAsia="x-none"/>
        </w:rPr>
        <w:t>Od počátku programového období 2007 – 2013 prošlo f</w:t>
      </w:r>
      <w:r w:rsidR="00A70AB6" w:rsidRPr="009D74D4">
        <w:rPr>
          <w:lang w:eastAsia="x-none"/>
        </w:rPr>
        <w:t xml:space="preserve">inanční řízení OP </w:t>
      </w:r>
      <w:proofErr w:type="spellStart"/>
      <w:r w:rsidR="00A70AB6" w:rsidRPr="009D74D4">
        <w:rPr>
          <w:lang w:eastAsia="x-none"/>
        </w:rPr>
        <w:t>VaVpI</w:t>
      </w:r>
      <w:proofErr w:type="spellEnd"/>
      <w:r w:rsidR="00A70AB6" w:rsidRPr="009D74D4">
        <w:rPr>
          <w:lang w:eastAsia="x-none"/>
        </w:rPr>
        <w:t xml:space="preserve"> několika etapami</w:t>
      </w:r>
      <w:r w:rsidRPr="009D74D4">
        <w:rPr>
          <w:lang w:eastAsia="x-none"/>
        </w:rPr>
        <w:t>,</w:t>
      </w:r>
      <w:r w:rsidR="00B41652">
        <w:rPr>
          <w:lang w:eastAsia="x-none"/>
        </w:rPr>
        <w:t xml:space="preserve"> ve kterých </w:t>
      </w:r>
      <w:r w:rsidR="006E5152">
        <w:rPr>
          <w:lang w:eastAsia="x-none"/>
        </w:rPr>
        <w:t xml:space="preserve">se </w:t>
      </w:r>
      <w:r w:rsidR="00B44BC5">
        <w:rPr>
          <w:lang w:eastAsia="x-none"/>
        </w:rPr>
        <w:t>ŘO</w:t>
      </w:r>
      <w:r w:rsidR="006E5152">
        <w:rPr>
          <w:lang w:eastAsia="x-none"/>
        </w:rPr>
        <w:t xml:space="preserve"> </w:t>
      </w:r>
      <w:r w:rsidR="00B44BC5">
        <w:rPr>
          <w:lang w:eastAsia="x-none"/>
        </w:rPr>
        <w:t>potýkal</w:t>
      </w:r>
      <w:r w:rsidR="006E5152">
        <w:rPr>
          <w:lang w:eastAsia="x-none"/>
        </w:rPr>
        <w:t xml:space="preserve"> s</w:t>
      </w:r>
      <w:r w:rsidR="00FE609B">
        <w:rPr>
          <w:lang w:eastAsia="x-none"/>
        </w:rPr>
        <w:t xml:space="preserve"> odliš</w:t>
      </w:r>
      <w:r w:rsidR="006E5152">
        <w:rPr>
          <w:lang w:eastAsia="x-none"/>
        </w:rPr>
        <w:t xml:space="preserve">nými typy problémů a musel </w:t>
      </w:r>
      <w:r w:rsidR="00FE609B">
        <w:rPr>
          <w:lang w:eastAsia="x-none"/>
        </w:rPr>
        <w:t xml:space="preserve">tak </w:t>
      </w:r>
      <w:r w:rsidR="006E5152">
        <w:rPr>
          <w:lang w:eastAsia="x-none"/>
        </w:rPr>
        <w:t xml:space="preserve">způsob finančního řízení </w:t>
      </w:r>
      <w:r w:rsidR="00FE609B">
        <w:rPr>
          <w:lang w:eastAsia="x-none"/>
        </w:rPr>
        <w:t xml:space="preserve">přizpůsobovat </w:t>
      </w:r>
      <w:r w:rsidR="006E5152">
        <w:rPr>
          <w:lang w:eastAsia="x-none"/>
        </w:rPr>
        <w:t xml:space="preserve">neustále se měnícím podmínkám. </w:t>
      </w:r>
      <w:r w:rsidR="006E5152" w:rsidRPr="009D74D4">
        <w:rPr>
          <w:bCs/>
          <w:lang w:eastAsia="x-none"/>
        </w:rPr>
        <w:t xml:space="preserve">OP </w:t>
      </w:r>
      <w:proofErr w:type="spellStart"/>
      <w:r w:rsidR="006E5152" w:rsidRPr="009D74D4">
        <w:rPr>
          <w:bCs/>
          <w:lang w:eastAsia="x-none"/>
        </w:rPr>
        <w:t>VaVpI</w:t>
      </w:r>
      <w:proofErr w:type="spellEnd"/>
      <w:r w:rsidR="006E5152" w:rsidRPr="009D74D4">
        <w:rPr>
          <w:bCs/>
          <w:lang w:eastAsia="x-none"/>
        </w:rPr>
        <w:t xml:space="preserve"> byl Evropskou komisí schválen až 25. 9. 2008. </w:t>
      </w:r>
      <w:r w:rsidR="006E5152">
        <w:rPr>
          <w:bCs/>
          <w:lang w:eastAsia="x-none"/>
        </w:rPr>
        <w:t>Toto pozdní schválení p</w:t>
      </w:r>
      <w:r w:rsidR="006055EF">
        <w:rPr>
          <w:bCs/>
          <w:lang w:eastAsia="x-none"/>
        </w:rPr>
        <w:t>rogramu znamenalo komplikace ve </w:t>
      </w:r>
      <w:r w:rsidR="006E5152">
        <w:rPr>
          <w:bCs/>
          <w:lang w:eastAsia="x-none"/>
        </w:rPr>
        <w:t xml:space="preserve">finančním řízení OP </w:t>
      </w:r>
      <w:proofErr w:type="spellStart"/>
      <w:r w:rsidR="006E5152">
        <w:rPr>
          <w:bCs/>
          <w:lang w:eastAsia="x-none"/>
        </w:rPr>
        <w:t>VaVpI</w:t>
      </w:r>
      <w:proofErr w:type="spellEnd"/>
      <w:r w:rsidR="006E5152">
        <w:rPr>
          <w:bCs/>
          <w:lang w:eastAsia="x-none"/>
        </w:rPr>
        <w:t xml:space="preserve"> již od samého začátku. Dalším faktorem, který </w:t>
      </w:r>
      <w:r w:rsidR="00E16AE4">
        <w:rPr>
          <w:bCs/>
          <w:lang w:eastAsia="x-none"/>
        </w:rPr>
        <w:t xml:space="preserve">významně </w:t>
      </w:r>
      <w:r w:rsidR="006E5152">
        <w:rPr>
          <w:bCs/>
          <w:lang w:eastAsia="x-none"/>
        </w:rPr>
        <w:t xml:space="preserve">ovlivnil vývoj řízení alokace OP </w:t>
      </w:r>
      <w:proofErr w:type="spellStart"/>
      <w:r w:rsidR="006E5152">
        <w:rPr>
          <w:bCs/>
          <w:lang w:eastAsia="x-none"/>
        </w:rPr>
        <w:t>VaVpI</w:t>
      </w:r>
      <w:proofErr w:type="spellEnd"/>
      <w:r w:rsidR="006E5152">
        <w:rPr>
          <w:bCs/>
          <w:lang w:eastAsia="x-none"/>
        </w:rPr>
        <w:t xml:space="preserve"> a b</w:t>
      </w:r>
      <w:r w:rsidR="00C21E20">
        <w:rPr>
          <w:bCs/>
          <w:lang w:eastAsia="x-none"/>
        </w:rPr>
        <w:t>ylo na něj nutné reagovat, byla měnová intervence České národní banky</w:t>
      </w:r>
      <w:r w:rsidR="00B26B90">
        <w:rPr>
          <w:bCs/>
          <w:lang w:eastAsia="x-none"/>
        </w:rPr>
        <w:t xml:space="preserve"> z listopadu roku 2013</w:t>
      </w:r>
      <w:r w:rsidR="00C21E20">
        <w:rPr>
          <w:bCs/>
          <w:lang w:eastAsia="x-none"/>
        </w:rPr>
        <w:t xml:space="preserve"> a v neposlední řadě také</w:t>
      </w:r>
      <w:r w:rsidR="00F37042">
        <w:rPr>
          <w:bCs/>
          <w:lang w:eastAsia="x-none"/>
        </w:rPr>
        <w:t xml:space="preserve"> </w:t>
      </w:r>
      <w:r w:rsidR="00F37042">
        <w:rPr>
          <w:lang w:eastAsia="x-none"/>
        </w:rPr>
        <w:t>neustále se měnící právní</w:t>
      </w:r>
      <w:r w:rsidR="0012290F" w:rsidRPr="009D74D4">
        <w:rPr>
          <w:lang w:eastAsia="x-none"/>
        </w:rPr>
        <w:t xml:space="preserve"> prostředí</w:t>
      </w:r>
      <w:r w:rsidR="00F37042">
        <w:rPr>
          <w:lang w:eastAsia="x-none"/>
        </w:rPr>
        <w:t>.</w:t>
      </w:r>
      <w:r w:rsidR="0012290F" w:rsidRPr="009D74D4">
        <w:rPr>
          <w:lang w:eastAsia="x-none"/>
        </w:rPr>
        <w:t xml:space="preserve"> </w:t>
      </w:r>
    </w:p>
    <w:p w:rsidR="00E4641D" w:rsidRPr="009D74D4" w:rsidRDefault="00F44F7F" w:rsidP="0012290F">
      <w:pPr>
        <w:jc w:val="both"/>
        <w:rPr>
          <w:lang w:eastAsia="x-none"/>
        </w:rPr>
      </w:pPr>
      <w:r>
        <w:rPr>
          <w:bCs/>
          <w:lang w:eastAsia="x-none"/>
        </w:rPr>
        <w:t>V přípravné fázi operačního programu</w:t>
      </w:r>
      <w:r w:rsidR="00CB27C7" w:rsidRPr="009D74D4">
        <w:rPr>
          <w:bCs/>
          <w:lang w:eastAsia="x-none"/>
        </w:rPr>
        <w:t xml:space="preserve"> bylo klíčovým </w:t>
      </w:r>
      <w:r w:rsidR="00E16AE4">
        <w:rPr>
          <w:bCs/>
          <w:lang w:eastAsia="x-none"/>
        </w:rPr>
        <w:t>úkolem</w:t>
      </w:r>
      <w:r w:rsidR="009D74D4" w:rsidRPr="009D74D4">
        <w:rPr>
          <w:bCs/>
          <w:lang w:eastAsia="x-none"/>
        </w:rPr>
        <w:t xml:space="preserve"> co</w:t>
      </w:r>
      <w:r>
        <w:rPr>
          <w:bCs/>
          <w:lang w:eastAsia="x-none"/>
        </w:rPr>
        <w:t xml:space="preserve"> nejefektivněji určit poměr</w:t>
      </w:r>
      <w:r w:rsidR="00CB27C7" w:rsidRPr="009D74D4">
        <w:rPr>
          <w:bCs/>
          <w:lang w:eastAsia="x-none"/>
        </w:rPr>
        <w:t xml:space="preserve"> rozdělení zdrojů celkové alokace na jednotlivé prioritní osy</w:t>
      </w:r>
      <w:r w:rsidR="009656B6" w:rsidRPr="009D74D4">
        <w:rPr>
          <w:rStyle w:val="Znakapoznpodarou"/>
          <w:bCs/>
          <w:lang w:eastAsia="x-none"/>
        </w:rPr>
        <w:footnoteReference w:id="2"/>
      </w:r>
      <w:r w:rsidR="00B20688" w:rsidRPr="009D74D4">
        <w:rPr>
          <w:bCs/>
          <w:lang w:eastAsia="x-none"/>
        </w:rPr>
        <w:t xml:space="preserve"> a </w:t>
      </w:r>
      <w:r w:rsidR="003C61C0" w:rsidRPr="009D74D4">
        <w:rPr>
          <w:bCs/>
          <w:lang w:eastAsia="x-none"/>
        </w:rPr>
        <w:t>oblasti podpor</w:t>
      </w:r>
      <w:r w:rsidR="00B20688" w:rsidRPr="009D74D4">
        <w:rPr>
          <w:bCs/>
          <w:lang w:eastAsia="x-none"/>
        </w:rPr>
        <w:t>y,</w:t>
      </w:r>
      <w:r w:rsidR="00CB27C7" w:rsidRPr="009D74D4">
        <w:rPr>
          <w:bCs/>
          <w:lang w:eastAsia="x-none"/>
        </w:rPr>
        <w:t xml:space="preserve"> v návaznosti na to sestavit finanční plán OP v rozdělení na jednotlivé roky programového období</w:t>
      </w:r>
      <w:r w:rsidR="001D793C" w:rsidRPr="009D74D4">
        <w:rPr>
          <w:bCs/>
          <w:lang w:eastAsia="x-none"/>
        </w:rPr>
        <w:t xml:space="preserve"> a plán plnění pravidla n+3, resp. n+2</w:t>
      </w:r>
      <w:r w:rsidR="00CB27C7" w:rsidRPr="009D74D4">
        <w:rPr>
          <w:bCs/>
          <w:lang w:eastAsia="x-none"/>
        </w:rPr>
        <w:t xml:space="preserve">. </w:t>
      </w:r>
      <w:r w:rsidR="00E4641D" w:rsidRPr="009D74D4">
        <w:rPr>
          <w:bCs/>
          <w:lang w:eastAsia="x-none"/>
        </w:rPr>
        <w:t xml:space="preserve">Vzhledem k tomu, že OP </w:t>
      </w:r>
      <w:proofErr w:type="spellStart"/>
      <w:r w:rsidR="00E4641D" w:rsidRPr="009D74D4">
        <w:rPr>
          <w:bCs/>
          <w:lang w:eastAsia="x-none"/>
        </w:rPr>
        <w:t>VaVpI</w:t>
      </w:r>
      <w:proofErr w:type="spellEnd"/>
      <w:r w:rsidR="00E4641D" w:rsidRPr="009D74D4">
        <w:rPr>
          <w:bCs/>
          <w:lang w:eastAsia="x-none"/>
        </w:rPr>
        <w:t xml:space="preserve"> byl </w:t>
      </w:r>
      <w:r w:rsidR="00FE609B">
        <w:rPr>
          <w:bCs/>
          <w:lang w:eastAsia="x-none"/>
        </w:rPr>
        <w:t xml:space="preserve">Evropskou komisí schválen </w:t>
      </w:r>
      <w:r w:rsidR="00B41652">
        <w:rPr>
          <w:bCs/>
          <w:lang w:eastAsia="x-none"/>
        </w:rPr>
        <w:t>až</w:t>
      </w:r>
      <w:r w:rsidR="00FE609B">
        <w:rPr>
          <w:bCs/>
          <w:lang w:eastAsia="x-none"/>
        </w:rPr>
        <w:t xml:space="preserve"> na konci roku</w:t>
      </w:r>
      <w:r w:rsidR="00E4641D" w:rsidRPr="009D74D4">
        <w:rPr>
          <w:bCs/>
          <w:lang w:eastAsia="x-none"/>
        </w:rPr>
        <w:t xml:space="preserve"> 2008</w:t>
      </w:r>
      <w:r w:rsidR="00BF4B89" w:rsidRPr="009D74D4">
        <w:rPr>
          <w:bCs/>
          <w:lang w:eastAsia="x-none"/>
        </w:rPr>
        <w:t xml:space="preserve">, </w:t>
      </w:r>
      <w:r w:rsidR="00FE609B">
        <w:rPr>
          <w:bCs/>
          <w:lang w:eastAsia="x-none"/>
        </w:rPr>
        <w:t>v </w:t>
      </w:r>
      <w:r w:rsidR="003A2FF7">
        <w:rPr>
          <w:bCs/>
          <w:lang w:eastAsia="x-none"/>
        </w:rPr>
        <w:t xml:space="preserve">prvních </w:t>
      </w:r>
      <w:r w:rsidR="00311BB4">
        <w:rPr>
          <w:bCs/>
          <w:lang w:eastAsia="x-none"/>
        </w:rPr>
        <w:t xml:space="preserve">letech programového období </w:t>
      </w:r>
      <w:r w:rsidR="00311BB4" w:rsidRPr="009D74D4">
        <w:rPr>
          <w:lang w:eastAsia="x-none"/>
        </w:rPr>
        <w:t xml:space="preserve">2007 – 2013 </w:t>
      </w:r>
      <w:r w:rsidR="003A2FF7">
        <w:rPr>
          <w:bCs/>
          <w:lang w:eastAsia="x-none"/>
        </w:rPr>
        <w:t xml:space="preserve">se </w:t>
      </w:r>
      <w:r w:rsidR="002716A7">
        <w:rPr>
          <w:bCs/>
          <w:lang w:eastAsia="x-none"/>
        </w:rPr>
        <w:t>řídicí orgán</w:t>
      </w:r>
      <w:r w:rsidR="003A2FF7">
        <w:rPr>
          <w:bCs/>
          <w:lang w:eastAsia="x-none"/>
        </w:rPr>
        <w:t xml:space="preserve"> </w:t>
      </w:r>
      <w:r w:rsidR="002963AC">
        <w:rPr>
          <w:bCs/>
          <w:lang w:eastAsia="x-none"/>
        </w:rPr>
        <w:t>OP </w:t>
      </w:r>
      <w:proofErr w:type="spellStart"/>
      <w:r w:rsidR="003A2FF7" w:rsidRPr="009D74D4">
        <w:rPr>
          <w:bCs/>
          <w:lang w:eastAsia="x-none"/>
        </w:rPr>
        <w:t>VaVpI</w:t>
      </w:r>
      <w:proofErr w:type="spellEnd"/>
      <w:r w:rsidR="003A2FF7" w:rsidRPr="009D74D4">
        <w:rPr>
          <w:bCs/>
          <w:lang w:eastAsia="x-none"/>
        </w:rPr>
        <w:t xml:space="preserve"> </w:t>
      </w:r>
      <w:r w:rsidR="002716A7">
        <w:rPr>
          <w:bCs/>
          <w:lang w:eastAsia="x-none"/>
        </w:rPr>
        <w:t>soustředil</w:t>
      </w:r>
      <w:r w:rsidR="003A2FF7">
        <w:rPr>
          <w:bCs/>
          <w:lang w:eastAsia="x-none"/>
        </w:rPr>
        <w:t xml:space="preserve"> zejména na </w:t>
      </w:r>
      <w:r w:rsidR="00E4641D" w:rsidRPr="009D74D4">
        <w:rPr>
          <w:bCs/>
          <w:lang w:eastAsia="x-none"/>
        </w:rPr>
        <w:t>nastavení celkové strategie operačního programu, zpracování klíčových pro</w:t>
      </w:r>
      <w:r w:rsidR="003A2FF7">
        <w:rPr>
          <w:bCs/>
          <w:lang w:eastAsia="x-none"/>
        </w:rPr>
        <w:t>gramových dokumentů a přípravu a následné vyhlášení</w:t>
      </w:r>
      <w:r w:rsidR="00E4641D" w:rsidRPr="009D74D4">
        <w:rPr>
          <w:bCs/>
          <w:lang w:eastAsia="x-none"/>
        </w:rPr>
        <w:t xml:space="preserve"> výzev. Celková alokace vyhlášených výzev </w:t>
      </w:r>
      <w:r w:rsidR="0082268A" w:rsidRPr="009D74D4">
        <w:rPr>
          <w:bCs/>
          <w:lang w:eastAsia="x-none"/>
        </w:rPr>
        <w:t xml:space="preserve">za rok 2009 </w:t>
      </w:r>
      <w:r w:rsidR="00E4641D" w:rsidRPr="009D74D4">
        <w:rPr>
          <w:bCs/>
          <w:lang w:eastAsia="x-none"/>
        </w:rPr>
        <w:t>činila 44 mld. Kč, což předsta</w:t>
      </w:r>
      <w:r w:rsidR="00EB39AC">
        <w:rPr>
          <w:bCs/>
          <w:lang w:eastAsia="x-none"/>
        </w:rPr>
        <w:t>vovalo přibližně 75% alokace na </w:t>
      </w:r>
      <w:r w:rsidR="00E4641D" w:rsidRPr="009D74D4">
        <w:rPr>
          <w:bCs/>
          <w:lang w:eastAsia="x-none"/>
        </w:rPr>
        <w:t>celý operační program.</w:t>
      </w:r>
    </w:p>
    <w:p w:rsidR="00BF4B89" w:rsidRPr="009D74D4" w:rsidRDefault="002716A7" w:rsidP="0012290F">
      <w:pPr>
        <w:jc w:val="both"/>
        <w:rPr>
          <w:lang w:eastAsia="x-none"/>
        </w:rPr>
      </w:pPr>
      <w:r>
        <w:rPr>
          <w:lang w:eastAsia="x-none"/>
        </w:rPr>
        <w:t xml:space="preserve">Z pohledu finančního řízení bylo hlavním úkolem na začátku programového období zejména </w:t>
      </w:r>
      <w:r w:rsidR="00F44F7F">
        <w:rPr>
          <w:lang w:eastAsia="x-none"/>
        </w:rPr>
        <w:t xml:space="preserve">co nejpřesnější </w:t>
      </w:r>
      <w:r>
        <w:rPr>
          <w:lang w:eastAsia="x-none"/>
        </w:rPr>
        <w:t xml:space="preserve">odhadnutí budoucího vývoje čerpání a s tím související </w:t>
      </w:r>
      <w:r w:rsidR="00F44F7F">
        <w:rPr>
          <w:lang w:eastAsia="x-none"/>
        </w:rPr>
        <w:t xml:space="preserve">zajištění odpovídajících zdrojů ze státního rozpočtu jak v prvním roce realizace, tak </w:t>
      </w:r>
      <w:r w:rsidR="002F6FA9">
        <w:rPr>
          <w:lang w:eastAsia="x-none"/>
        </w:rPr>
        <w:t xml:space="preserve">i </w:t>
      </w:r>
      <w:r w:rsidR="00F44F7F">
        <w:rPr>
          <w:lang w:eastAsia="x-none"/>
        </w:rPr>
        <w:t>ve střednědobém výhledu</w:t>
      </w:r>
      <w:r w:rsidR="0012290F" w:rsidRPr="009D74D4">
        <w:rPr>
          <w:lang w:eastAsia="x-none"/>
        </w:rPr>
        <w:t>.</w:t>
      </w:r>
      <w:r w:rsidR="00AA2F41" w:rsidRPr="009D74D4">
        <w:rPr>
          <w:lang w:eastAsia="x-none"/>
        </w:rPr>
        <w:t xml:space="preserve"> </w:t>
      </w:r>
      <w:r w:rsidR="00BF4B89" w:rsidRPr="00DE019E">
        <w:rPr>
          <w:lang w:eastAsia="x-none"/>
        </w:rPr>
        <w:t>Postupem času bylo potřeba provést několik úprav finančního plánu prostřednictvím přesunů pr</w:t>
      </w:r>
      <w:r w:rsidR="00DE019E" w:rsidRPr="00DE019E">
        <w:rPr>
          <w:lang w:eastAsia="x-none"/>
        </w:rPr>
        <w:t>ostředků mezi prioritními osami</w:t>
      </w:r>
      <w:r w:rsidR="00BF4B89" w:rsidRPr="00DE019E">
        <w:rPr>
          <w:lang w:eastAsia="x-none"/>
        </w:rPr>
        <w:t xml:space="preserve"> nebo oblastmi podpory</w:t>
      </w:r>
      <w:r w:rsidR="008B7D21" w:rsidRPr="00DE019E">
        <w:rPr>
          <w:rStyle w:val="Znakapoznpodarou"/>
          <w:lang w:eastAsia="x-none"/>
        </w:rPr>
        <w:footnoteReference w:id="3"/>
      </w:r>
      <w:r w:rsidR="00BF4B89" w:rsidRPr="00DE019E">
        <w:rPr>
          <w:lang w:eastAsia="x-none"/>
        </w:rPr>
        <w:t>.</w:t>
      </w:r>
    </w:p>
    <w:p w:rsidR="00505056" w:rsidRPr="009D74D4" w:rsidRDefault="002447D4" w:rsidP="0012290F">
      <w:pPr>
        <w:jc w:val="both"/>
        <w:rPr>
          <w:lang w:eastAsia="x-none"/>
        </w:rPr>
      </w:pPr>
      <w:r>
        <w:rPr>
          <w:lang w:eastAsia="x-none"/>
        </w:rPr>
        <w:t>Po zahájení</w:t>
      </w:r>
      <w:r w:rsidR="00BF4B89" w:rsidRPr="009D74D4">
        <w:rPr>
          <w:lang w:eastAsia="x-none"/>
        </w:rPr>
        <w:t xml:space="preserve"> realizace a samotného čerpání OP se ŘO soustředil na zabezpečení </w:t>
      </w:r>
      <w:r w:rsidR="009D74D4" w:rsidRPr="009D74D4">
        <w:rPr>
          <w:lang w:eastAsia="x-none"/>
        </w:rPr>
        <w:t>plnění</w:t>
      </w:r>
      <w:r w:rsidR="00BF4B89" w:rsidRPr="009D74D4">
        <w:rPr>
          <w:lang w:eastAsia="x-none"/>
        </w:rPr>
        <w:t xml:space="preserve"> termínů a limitů </w:t>
      </w:r>
      <w:r w:rsidR="00BC0399" w:rsidRPr="009D74D4">
        <w:rPr>
          <w:lang w:eastAsia="x-none"/>
        </w:rPr>
        <w:t>vycházejících z Obecného nařízení</w:t>
      </w:r>
      <w:r w:rsidR="00BC0399" w:rsidRPr="009D74D4">
        <w:rPr>
          <w:rStyle w:val="Znakapoznpodarou"/>
          <w:lang w:eastAsia="x-none"/>
        </w:rPr>
        <w:footnoteReference w:id="4"/>
      </w:r>
      <w:r w:rsidR="00BC0399" w:rsidRPr="009D74D4">
        <w:rPr>
          <w:lang w:eastAsia="x-none"/>
        </w:rPr>
        <w:t xml:space="preserve"> (dále jen „ON“)</w:t>
      </w:r>
      <w:r w:rsidR="004C5770" w:rsidRPr="009D74D4">
        <w:rPr>
          <w:lang w:eastAsia="x-none"/>
        </w:rPr>
        <w:t xml:space="preserve">. </w:t>
      </w:r>
      <w:r w:rsidR="00EB39AC">
        <w:rPr>
          <w:lang w:eastAsia="x-none"/>
        </w:rPr>
        <w:t>Ve smyslu ustanovení čl. </w:t>
      </w:r>
      <w:r w:rsidR="00596FAB" w:rsidRPr="009D74D4">
        <w:rPr>
          <w:lang w:eastAsia="x-none"/>
        </w:rPr>
        <w:t xml:space="preserve">82 ON </w:t>
      </w:r>
      <w:r w:rsidR="002F6FA9" w:rsidRPr="009D74D4">
        <w:rPr>
          <w:lang w:eastAsia="x-none"/>
        </w:rPr>
        <w:t>bylo prvním</w:t>
      </w:r>
      <w:r w:rsidR="004C5770" w:rsidRPr="009D74D4">
        <w:rPr>
          <w:lang w:eastAsia="x-none"/>
        </w:rPr>
        <w:t xml:space="preserve"> závazným termínem pro ŘO </w:t>
      </w:r>
      <w:r w:rsidR="00596FAB" w:rsidRPr="009D74D4">
        <w:rPr>
          <w:lang w:eastAsia="x-none"/>
        </w:rPr>
        <w:t>předložení ja</w:t>
      </w:r>
      <w:r w:rsidR="00FB185B" w:rsidRPr="009D74D4">
        <w:rPr>
          <w:lang w:eastAsia="x-none"/>
        </w:rPr>
        <w:t>kékoliv ž</w:t>
      </w:r>
      <w:r w:rsidR="00596FAB" w:rsidRPr="009D74D4">
        <w:rPr>
          <w:lang w:eastAsia="x-none"/>
        </w:rPr>
        <w:t xml:space="preserve">ádosti o platbu </w:t>
      </w:r>
      <w:r w:rsidR="002F6FA9">
        <w:rPr>
          <w:lang w:eastAsia="x-none"/>
        </w:rPr>
        <w:t xml:space="preserve">Evropské </w:t>
      </w:r>
      <w:r w:rsidR="00FB185B" w:rsidRPr="009D74D4">
        <w:rPr>
          <w:lang w:eastAsia="x-none"/>
        </w:rPr>
        <w:t xml:space="preserve">Komisi </w:t>
      </w:r>
      <w:r w:rsidR="00596FAB" w:rsidRPr="009D74D4">
        <w:rPr>
          <w:lang w:eastAsia="x-none"/>
        </w:rPr>
        <w:t>do 24 měsíců</w:t>
      </w:r>
      <w:r w:rsidR="00FB185B" w:rsidRPr="009D74D4">
        <w:rPr>
          <w:lang w:eastAsia="x-none"/>
        </w:rPr>
        <w:t xml:space="preserve"> od obdržení první zálohové platby. První zálohová platba byla Komisí poskytnuta dne 14. 10. </w:t>
      </w:r>
      <w:r w:rsidR="009D74D4" w:rsidRPr="009D74D4">
        <w:rPr>
          <w:lang w:eastAsia="x-none"/>
        </w:rPr>
        <w:t>2008 a první</w:t>
      </w:r>
      <w:r w:rsidR="00FB185B" w:rsidRPr="009D74D4">
        <w:rPr>
          <w:lang w:eastAsia="x-none"/>
        </w:rPr>
        <w:t xml:space="preserve"> žádost o platbu (dále jen „</w:t>
      </w:r>
      <w:proofErr w:type="spellStart"/>
      <w:r w:rsidR="002F6FA9">
        <w:rPr>
          <w:lang w:eastAsia="x-none"/>
        </w:rPr>
        <w:t>ŽoP</w:t>
      </w:r>
      <w:proofErr w:type="spellEnd"/>
      <w:r w:rsidR="002F6FA9">
        <w:rPr>
          <w:lang w:eastAsia="x-none"/>
        </w:rPr>
        <w:t>“) byla řídicím orgánem předložena 23. 7. 2010 – pr</w:t>
      </w:r>
      <w:r w:rsidR="00311BB4">
        <w:rPr>
          <w:lang w:eastAsia="x-none"/>
        </w:rPr>
        <w:t xml:space="preserve">avidlo N+24 tedy bylo splněno, </w:t>
      </w:r>
      <w:r w:rsidR="002F6FA9">
        <w:rPr>
          <w:lang w:eastAsia="x-none"/>
        </w:rPr>
        <w:t>pla</w:t>
      </w:r>
      <w:r w:rsidR="00311BB4">
        <w:rPr>
          <w:lang w:eastAsia="x-none"/>
        </w:rPr>
        <w:t>tební orgán</w:t>
      </w:r>
      <w:r w:rsidR="002F6FA9">
        <w:rPr>
          <w:lang w:eastAsia="x-none"/>
        </w:rPr>
        <w:t xml:space="preserve"> nemusel poskytnutou zálohu vrátit a nedošlo tak</w:t>
      </w:r>
      <w:r w:rsidR="00A9331D" w:rsidRPr="009D74D4">
        <w:rPr>
          <w:lang w:eastAsia="x-none"/>
        </w:rPr>
        <w:t xml:space="preserve"> k ohrožení plynulosti finančních toků a snížení schopnosti platebního orgánu proplácet ŘO zaúčtované souh</w:t>
      </w:r>
      <w:r w:rsidR="002963AC">
        <w:rPr>
          <w:lang w:eastAsia="x-none"/>
        </w:rPr>
        <w:t>rnné žádosti o platbu (dále jen </w:t>
      </w:r>
      <w:r w:rsidR="00A9331D" w:rsidRPr="009D74D4">
        <w:rPr>
          <w:lang w:eastAsia="x-none"/>
        </w:rPr>
        <w:t>„</w:t>
      </w:r>
      <w:proofErr w:type="spellStart"/>
      <w:r w:rsidR="00A9331D" w:rsidRPr="009D74D4">
        <w:rPr>
          <w:lang w:eastAsia="x-none"/>
        </w:rPr>
        <w:t>SŽoP</w:t>
      </w:r>
      <w:proofErr w:type="spellEnd"/>
      <w:r w:rsidR="00A9331D" w:rsidRPr="009D74D4">
        <w:rPr>
          <w:lang w:eastAsia="x-none"/>
        </w:rPr>
        <w:t>“)</w:t>
      </w:r>
      <w:r w:rsidR="00505056" w:rsidRPr="009D74D4">
        <w:rPr>
          <w:lang w:eastAsia="x-none"/>
        </w:rPr>
        <w:t>.</w:t>
      </w:r>
    </w:p>
    <w:p w:rsidR="006052B3" w:rsidRPr="009D74D4" w:rsidRDefault="00B61F59" w:rsidP="00621C8A">
      <w:pPr>
        <w:jc w:val="both"/>
        <w:rPr>
          <w:lang w:eastAsia="x-none"/>
        </w:rPr>
      </w:pPr>
      <w:r>
        <w:rPr>
          <w:lang w:eastAsia="x-none"/>
        </w:rPr>
        <w:lastRenderedPageBreak/>
        <w:t>Dalším klíčovým úkolem</w:t>
      </w:r>
      <w:r w:rsidR="00072845" w:rsidRPr="009D74D4">
        <w:rPr>
          <w:lang w:eastAsia="x-none"/>
        </w:rPr>
        <w:t xml:space="preserve"> z pohledu finančního řízení OP </w:t>
      </w:r>
      <w:r>
        <w:rPr>
          <w:lang w:eastAsia="x-none"/>
        </w:rPr>
        <w:t xml:space="preserve">je </w:t>
      </w:r>
      <w:r w:rsidR="00072845" w:rsidRPr="009D74D4">
        <w:rPr>
          <w:lang w:eastAsia="x-none"/>
        </w:rPr>
        <w:t>zabezpečení plnění limitů čerpání v jednotlivých letech stanovených dle pravidel n+3</w:t>
      </w:r>
      <w:r w:rsidR="001D793C" w:rsidRPr="009D74D4">
        <w:rPr>
          <w:lang w:eastAsia="x-none"/>
        </w:rPr>
        <w:t>, resp.</w:t>
      </w:r>
      <w:r w:rsidR="00072845" w:rsidRPr="009D74D4">
        <w:rPr>
          <w:lang w:eastAsia="x-none"/>
        </w:rPr>
        <w:t xml:space="preserve"> n+2</w:t>
      </w:r>
      <w:r w:rsidR="00621C8A" w:rsidRPr="009D74D4">
        <w:rPr>
          <w:lang w:eastAsia="x-none"/>
        </w:rPr>
        <w:t xml:space="preserve"> (tzv. pravidlo finanční disciplíny)</w:t>
      </w:r>
      <w:r w:rsidR="00072845" w:rsidRPr="009D74D4">
        <w:rPr>
          <w:lang w:eastAsia="x-none"/>
        </w:rPr>
        <w:t xml:space="preserve">. </w:t>
      </w:r>
      <w:r w:rsidR="00621C8A" w:rsidRPr="009D74D4">
        <w:rPr>
          <w:lang w:eastAsia="x-none"/>
        </w:rPr>
        <w:t>Toto pravidlo představ</w:t>
      </w:r>
      <w:r>
        <w:rPr>
          <w:lang w:eastAsia="x-none"/>
        </w:rPr>
        <w:t>uje hnací sílu implementace a zjednodušeně</w:t>
      </w:r>
      <w:r w:rsidR="00EB39AC">
        <w:rPr>
          <w:lang w:eastAsia="x-none"/>
        </w:rPr>
        <w:t xml:space="preserve"> znamená, že </w:t>
      </w:r>
      <w:r w:rsidR="00BB5D91" w:rsidRPr="009D74D4">
        <w:rPr>
          <w:lang w:eastAsia="x-none"/>
        </w:rPr>
        <w:t xml:space="preserve">pokud není část ročního rozpočtového závazku daného OP použita na předběžné nebo průběžné platby do konce kalendářního roku n+3 (platí pro alokace roku 2008, 2009 a 2010), resp. n+2 (platí pro alokace roku 2011, 2012 a 2013), snižuje se </w:t>
      </w:r>
      <w:r w:rsidRPr="009D74D4">
        <w:rPr>
          <w:lang w:eastAsia="x-none"/>
        </w:rPr>
        <w:t xml:space="preserve">o tuto nevyčerpanou část finančních prostředků </w:t>
      </w:r>
      <w:r w:rsidR="00BB5D91" w:rsidRPr="009D74D4">
        <w:rPr>
          <w:lang w:eastAsia="x-none"/>
        </w:rPr>
        <w:t xml:space="preserve">alokace </w:t>
      </w:r>
      <w:r>
        <w:rPr>
          <w:lang w:eastAsia="x-none"/>
        </w:rPr>
        <w:t xml:space="preserve">OP </w:t>
      </w:r>
      <w:r w:rsidR="00BB5D91" w:rsidRPr="009D74D4">
        <w:rPr>
          <w:lang w:eastAsia="x-none"/>
        </w:rPr>
        <w:t xml:space="preserve">na </w:t>
      </w:r>
      <w:r>
        <w:rPr>
          <w:lang w:eastAsia="x-none"/>
        </w:rPr>
        <w:t>dotyčný kalendářní rok</w:t>
      </w:r>
      <w:r w:rsidR="00BB5D91" w:rsidRPr="009D74D4">
        <w:rPr>
          <w:lang w:eastAsia="x-none"/>
        </w:rPr>
        <w:t xml:space="preserve">. </w:t>
      </w:r>
      <w:r w:rsidR="005C2C06" w:rsidRPr="009D74D4">
        <w:rPr>
          <w:lang w:eastAsia="x-none"/>
        </w:rPr>
        <w:t xml:space="preserve">Vzhledem k tomu, že </w:t>
      </w:r>
      <w:r w:rsidR="00B37948">
        <w:rPr>
          <w:lang w:eastAsia="x-none"/>
        </w:rPr>
        <w:t xml:space="preserve">všechny </w:t>
      </w:r>
      <w:r w:rsidR="005C2C06" w:rsidRPr="009D74D4">
        <w:rPr>
          <w:lang w:eastAsia="x-none"/>
        </w:rPr>
        <w:t>operační program</w:t>
      </w:r>
      <w:r w:rsidR="00B37948">
        <w:rPr>
          <w:lang w:eastAsia="x-none"/>
        </w:rPr>
        <w:t xml:space="preserve">y byly oproti původním očekáváním zahájeny pomaleji a </w:t>
      </w:r>
      <w:r w:rsidR="005C2C06" w:rsidRPr="009D74D4">
        <w:rPr>
          <w:lang w:eastAsia="x-none"/>
        </w:rPr>
        <w:t>schváleny později</w:t>
      </w:r>
      <w:r w:rsidR="00B37948">
        <w:rPr>
          <w:lang w:eastAsia="x-none"/>
        </w:rPr>
        <w:t>, byl závazek roku 2007 rovnoměrně rozdělen mezi závazky let následujících</w:t>
      </w:r>
      <w:r w:rsidR="00621C8A" w:rsidRPr="009D74D4">
        <w:rPr>
          <w:lang w:eastAsia="x-none"/>
        </w:rPr>
        <w:t>.</w:t>
      </w:r>
      <w:r w:rsidR="002E65A7" w:rsidRPr="009D74D4">
        <w:rPr>
          <w:lang w:eastAsia="x-none"/>
        </w:rPr>
        <w:t xml:space="preserve"> </w:t>
      </w:r>
      <w:r w:rsidR="002E65A7" w:rsidRPr="007B68B3">
        <w:rPr>
          <w:lang w:eastAsia="x-none"/>
        </w:rPr>
        <w:t xml:space="preserve">OP </w:t>
      </w:r>
      <w:proofErr w:type="spellStart"/>
      <w:r w:rsidR="002E65A7" w:rsidRPr="007B68B3">
        <w:rPr>
          <w:lang w:eastAsia="x-none"/>
        </w:rPr>
        <w:t>VaVpI</w:t>
      </w:r>
      <w:proofErr w:type="spellEnd"/>
      <w:r w:rsidR="002E65A7" w:rsidRPr="007B68B3">
        <w:rPr>
          <w:lang w:eastAsia="x-none"/>
        </w:rPr>
        <w:t xml:space="preserve"> </w:t>
      </w:r>
      <w:r w:rsidR="00B37948" w:rsidRPr="007B68B3">
        <w:rPr>
          <w:lang w:eastAsia="x-none"/>
        </w:rPr>
        <w:t xml:space="preserve">byl schválen ještě později, </w:t>
      </w:r>
      <w:r w:rsidR="002E65A7" w:rsidRPr="007B68B3">
        <w:rPr>
          <w:lang w:eastAsia="x-none"/>
        </w:rPr>
        <w:t xml:space="preserve">alokace </w:t>
      </w:r>
      <w:r w:rsidR="000257A5" w:rsidRPr="007B68B3">
        <w:rPr>
          <w:lang w:eastAsia="x-none"/>
        </w:rPr>
        <w:t>roku 2007</w:t>
      </w:r>
      <w:r w:rsidR="002E65A7" w:rsidRPr="007B68B3">
        <w:rPr>
          <w:lang w:eastAsia="x-none"/>
        </w:rPr>
        <w:t xml:space="preserve"> </w:t>
      </w:r>
      <w:r w:rsidR="00B37948" w:rsidRPr="007B68B3">
        <w:rPr>
          <w:lang w:eastAsia="x-none"/>
        </w:rPr>
        <w:t xml:space="preserve">proto byla </w:t>
      </w:r>
      <w:r w:rsidR="002E65A7" w:rsidRPr="007B68B3">
        <w:rPr>
          <w:lang w:eastAsia="x-none"/>
        </w:rPr>
        <w:t>slouč</w:t>
      </w:r>
      <w:r w:rsidR="000257A5" w:rsidRPr="007B68B3">
        <w:rPr>
          <w:lang w:eastAsia="x-none"/>
        </w:rPr>
        <w:t>ena s alokací roku 2008</w:t>
      </w:r>
      <w:r w:rsidR="000B2580">
        <w:rPr>
          <w:lang w:eastAsia="x-none"/>
        </w:rPr>
        <w:t>. N</w:t>
      </w:r>
      <w:r w:rsidR="00574C95" w:rsidRPr="007B68B3">
        <w:rPr>
          <w:lang w:eastAsia="x-none"/>
        </w:rPr>
        <w:t>ásledně došlo k rovnoměrnému rozdělení rozpočtovéh</w:t>
      </w:r>
      <w:r w:rsidR="00B37948" w:rsidRPr="007B68B3">
        <w:rPr>
          <w:lang w:eastAsia="x-none"/>
        </w:rPr>
        <w:t>o závazku alokace</w:t>
      </w:r>
      <w:r w:rsidR="000B2580">
        <w:rPr>
          <w:lang w:eastAsia="x-none"/>
        </w:rPr>
        <w:t xml:space="preserve"> roku 2007</w:t>
      </w:r>
      <w:r w:rsidR="00B37948" w:rsidRPr="007B68B3">
        <w:rPr>
          <w:lang w:eastAsia="x-none"/>
        </w:rPr>
        <w:t xml:space="preserve"> do </w:t>
      </w:r>
      <w:r w:rsidR="00574C95" w:rsidRPr="007B68B3">
        <w:rPr>
          <w:lang w:eastAsia="x-none"/>
        </w:rPr>
        <w:t>následujících let programového období</w:t>
      </w:r>
      <w:r w:rsidR="009F4B8F" w:rsidRPr="007B68B3">
        <w:rPr>
          <w:lang w:eastAsia="x-none"/>
        </w:rPr>
        <w:t>.</w:t>
      </w:r>
      <w:r w:rsidR="00B37948" w:rsidRPr="007B68B3">
        <w:rPr>
          <w:lang w:eastAsia="x-none"/>
        </w:rPr>
        <w:t xml:space="preserve"> </w:t>
      </w:r>
      <w:r w:rsidR="00072845" w:rsidRPr="007B68B3">
        <w:rPr>
          <w:lang w:eastAsia="x-none"/>
        </w:rPr>
        <w:t>Nepln</w:t>
      </w:r>
      <w:r w:rsidR="00072845" w:rsidRPr="009D74D4">
        <w:rPr>
          <w:lang w:eastAsia="x-none"/>
        </w:rPr>
        <w:t xml:space="preserve">ění limitů </w:t>
      </w:r>
      <w:r w:rsidR="00621C8A" w:rsidRPr="009D74D4">
        <w:rPr>
          <w:lang w:eastAsia="x-none"/>
        </w:rPr>
        <w:t>stanovených pravidlem n+3, resp. n+2</w:t>
      </w:r>
      <w:r w:rsidR="00311BB4">
        <w:rPr>
          <w:lang w:eastAsia="x-none"/>
        </w:rPr>
        <w:t>,</w:t>
      </w:r>
      <w:r w:rsidR="00621C8A" w:rsidRPr="009D74D4">
        <w:rPr>
          <w:lang w:eastAsia="x-none"/>
        </w:rPr>
        <w:t xml:space="preserve"> </w:t>
      </w:r>
      <w:r w:rsidR="00072845" w:rsidRPr="009D74D4">
        <w:rPr>
          <w:lang w:eastAsia="x-none"/>
        </w:rPr>
        <w:t xml:space="preserve">vede </w:t>
      </w:r>
      <w:r w:rsidR="002963AC">
        <w:rPr>
          <w:lang w:eastAsia="x-none"/>
        </w:rPr>
        <w:t>dle </w:t>
      </w:r>
      <w:r w:rsidR="00EB39AC">
        <w:rPr>
          <w:lang w:eastAsia="x-none"/>
        </w:rPr>
        <w:t>čl. </w:t>
      </w:r>
      <w:r w:rsidR="005830BF" w:rsidRPr="009D74D4">
        <w:rPr>
          <w:lang w:eastAsia="x-none"/>
        </w:rPr>
        <w:t>93 ON k automatickému zrušení závazku</w:t>
      </w:r>
      <w:r w:rsidR="00B135E1" w:rsidRPr="009D74D4">
        <w:rPr>
          <w:lang w:eastAsia="x-none"/>
        </w:rPr>
        <w:t xml:space="preserve"> (tzv. </w:t>
      </w:r>
      <w:proofErr w:type="spellStart"/>
      <w:r w:rsidR="00B135E1" w:rsidRPr="009D74D4">
        <w:rPr>
          <w:lang w:eastAsia="x-none"/>
        </w:rPr>
        <w:t>decommitmentu</w:t>
      </w:r>
      <w:proofErr w:type="spellEnd"/>
      <w:r w:rsidR="00B135E1" w:rsidRPr="009D74D4">
        <w:rPr>
          <w:lang w:eastAsia="x-none"/>
        </w:rPr>
        <w:t>)</w:t>
      </w:r>
      <w:r w:rsidR="00B37948">
        <w:rPr>
          <w:lang w:eastAsia="x-none"/>
        </w:rPr>
        <w:t>, což v konečném důsledku znamená ztrátu části alokace operačního programu.</w:t>
      </w:r>
    </w:p>
    <w:p w:rsidR="00014416" w:rsidRDefault="0073084A" w:rsidP="00E55465">
      <w:pPr>
        <w:jc w:val="both"/>
        <w:rPr>
          <w:lang w:eastAsia="x-none"/>
        </w:rPr>
      </w:pPr>
      <w:r w:rsidRPr="009D74D4">
        <w:rPr>
          <w:lang w:eastAsia="x-none"/>
        </w:rPr>
        <w:t>Hlavní prioritou ŘO n</w:t>
      </w:r>
      <w:r w:rsidR="00212925" w:rsidRPr="009D74D4">
        <w:rPr>
          <w:lang w:eastAsia="x-none"/>
        </w:rPr>
        <w:t xml:space="preserve">a konci programového období </w:t>
      </w:r>
      <w:r w:rsidRPr="009D74D4">
        <w:rPr>
          <w:lang w:eastAsia="x-none"/>
        </w:rPr>
        <w:t>zůstává dočerpání alokace OP</w:t>
      </w:r>
      <w:r w:rsidR="00EB39AC">
        <w:rPr>
          <w:lang w:eastAsia="x-none"/>
        </w:rPr>
        <w:t xml:space="preserve"> </w:t>
      </w:r>
      <w:proofErr w:type="spellStart"/>
      <w:r w:rsidR="00EB39AC">
        <w:rPr>
          <w:lang w:eastAsia="x-none"/>
        </w:rPr>
        <w:t>VaVpI</w:t>
      </w:r>
      <w:proofErr w:type="spellEnd"/>
      <w:r w:rsidR="00EB39AC">
        <w:rPr>
          <w:lang w:eastAsia="x-none"/>
        </w:rPr>
        <w:t>. Ke </w:t>
      </w:r>
      <w:r w:rsidR="00160707" w:rsidRPr="009D74D4">
        <w:rPr>
          <w:lang w:eastAsia="x-none"/>
        </w:rPr>
        <w:t>splnění tohoto cíle ŘO neustále an</w:t>
      </w:r>
      <w:r w:rsidR="009D74D4">
        <w:rPr>
          <w:lang w:eastAsia="x-none"/>
        </w:rPr>
        <w:t>al</w:t>
      </w:r>
      <w:r w:rsidR="00160707" w:rsidRPr="009D74D4">
        <w:rPr>
          <w:lang w:eastAsia="x-none"/>
        </w:rPr>
        <w:t>yzuje a vyhodnocuje aktuální vývoj čerpání OP</w:t>
      </w:r>
      <w:r w:rsidR="00014416">
        <w:rPr>
          <w:lang w:eastAsia="x-none"/>
        </w:rPr>
        <w:t xml:space="preserve"> a s tím související </w:t>
      </w:r>
      <w:r w:rsidR="00160707" w:rsidRPr="009D74D4">
        <w:rPr>
          <w:lang w:eastAsia="x-none"/>
        </w:rPr>
        <w:t>stav</w:t>
      </w:r>
      <w:r w:rsidR="00137C35" w:rsidRPr="009D74D4">
        <w:rPr>
          <w:lang w:eastAsia="x-none"/>
        </w:rPr>
        <w:t xml:space="preserve"> disponibilní alokace</w:t>
      </w:r>
      <w:r w:rsidR="00014416">
        <w:rPr>
          <w:lang w:eastAsia="x-none"/>
        </w:rPr>
        <w:t>. V návaznosti na zjiště</w:t>
      </w:r>
      <w:r w:rsidR="00B26B90">
        <w:rPr>
          <w:lang w:eastAsia="x-none"/>
        </w:rPr>
        <w:t>ní vzešlá těchto analýz jsou</w:t>
      </w:r>
      <w:r w:rsidR="00014416">
        <w:rPr>
          <w:lang w:eastAsia="x-none"/>
        </w:rPr>
        <w:t xml:space="preserve"> přijímána opatření</w:t>
      </w:r>
      <w:r w:rsidR="00B26B90">
        <w:rPr>
          <w:lang w:eastAsia="x-none"/>
        </w:rPr>
        <w:t xml:space="preserve">, směřující nejen </w:t>
      </w:r>
      <w:r w:rsidR="00014416">
        <w:rPr>
          <w:lang w:eastAsia="x-none"/>
        </w:rPr>
        <w:t>k využití volné alokace</w:t>
      </w:r>
      <w:r w:rsidR="00B26B90">
        <w:rPr>
          <w:lang w:eastAsia="x-none"/>
        </w:rPr>
        <w:t xml:space="preserve">, ale také </w:t>
      </w:r>
      <w:r w:rsidR="00986889">
        <w:rPr>
          <w:lang w:eastAsia="x-none"/>
        </w:rPr>
        <w:t>ke snížení úspor</w:t>
      </w:r>
      <w:r w:rsidR="00986889">
        <w:rPr>
          <w:lang w:eastAsia="x-none"/>
        </w:rPr>
        <w:br/>
      </w:r>
      <w:r w:rsidR="00014416">
        <w:rPr>
          <w:lang w:eastAsia="x-none"/>
        </w:rPr>
        <w:t>v již běžících projektech.</w:t>
      </w:r>
    </w:p>
    <w:p w:rsidR="000642D0" w:rsidRPr="009D74D4" w:rsidRDefault="000642D0" w:rsidP="00E55465">
      <w:pPr>
        <w:jc w:val="both"/>
        <w:rPr>
          <w:lang w:eastAsia="x-none"/>
        </w:rPr>
      </w:pPr>
    </w:p>
    <w:p w:rsidR="005E747E" w:rsidRPr="009D74D4" w:rsidRDefault="005E747E" w:rsidP="005E747E">
      <w:pPr>
        <w:pStyle w:val="Odstavecseseznamem"/>
        <w:keepNext/>
        <w:keepLines/>
        <w:numPr>
          <w:ilvl w:val="0"/>
          <w:numId w:val="1"/>
        </w:numPr>
        <w:spacing w:before="200" w:after="0"/>
        <w:contextualSpacing w:val="0"/>
        <w:outlineLvl w:val="1"/>
        <w:rPr>
          <w:rFonts w:ascii="Cambria" w:eastAsia="Times New Roman" w:hAnsi="Cambria"/>
          <w:b/>
          <w:vanish/>
          <w:color w:val="000000"/>
          <w:sz w:val="26"/>
          <w:szCs w:val="26"/>
          <w:lang w:eastAsia="x-none"/>
        </w:rPr>
      </w:pPr>
      <w:bookmarkStart w:id="12" w:name="_Toc415765802"/>
      <w:bookmarkStart w:id="13" w:name="_Toc415843809"/>
      <w:bookmarkStart w:id="14" w:name="_Toc415950018"/>
      <w:bookmarkStart w:id="15" w:name="_Toc415952050"/>
      <w:bookmarkStart w:id="16" w:name="_Toc415953025"/>
      <w:bookmarkStart w:id="17" w:name="_Toc415977077"/>
      <w:bookmarkStart w:id="18" w:name="_Toc415977102"/>
      <w:bookmarkStart w:id="19" w:name="_Toc416201178"/>
      <w:bookmarkStart w:id="20" w:name="_Toc416201231"/>
      <w:bookmarkStart w:id="21" w:name="_Toc416245278"/>
      <w:bookmarkStart w:id="22" w:name="_Toc416245302"/>
      <w:bookmarkStart w:id="23" w:name="_Toc416855256"/>
      <w:bookmarkStart w:id="24" w:name="_Toc416856004"/>
      <w:bookmarkStart w:id="25" w:name="_Toc417339752"/>
      <w:bookmarkStart w:id="26" w:name="_Toc417392988"/>
      <w:bookmarkStart w:id="27" w:name="_Toc4173930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5E747E" w:rsidRPr="009D74D4" w:rsidRDefault="005E747E" w:rsidP="005E747E">
      <w:pPr>
        <w:pStyle w:val="Odstavecseseznamem"/>
        <w:keepNext/>
        <w:keepLines/>
        <w:numPr>
          <w:ilvl w:val="0"/>
          <w:numId w:val="1"/>
        </w:numPr>
        <w:spacing w:before="200" w:after="0"/>
        <w:contextualSpacing w:val="0"/>
        <w:outlineLvl w:val="1"/>
        <w:rPr>
          <w:rFonts w:ascii="Cambria" w:eastAsia="Times New Roman" w:hAnsi="Cambria"/>
          <w:b/>
          <w:vanish/>
          <w:color w:val="000000"/>
          <w:sz w:val="26"/>
          <w:szCs w:val="26"/>
          <w:lang w:eastAsia="x-none"/>
        </w:rPr>
      </w:pPr>
      <w:bookmarkStart w:id="28" w:name="_Toc415765803"/>
      <w:bookmarkStart w:id="29" w:name="_Toc415843810"/>
      <w:bookmarkStart w:id="30" w:name="_Toc415950019"/>
      <w:bookmarkStart w:id="31" w:name="_Toc415952051"/>
      <w:bookmarkStart w:id="32" w:name="_Toc415953026"/>
      <w:bookmarkStart w:id="33" w:name="_Toc415977078"/>
      <w:bookmarkStart w:id="34" w:name="_Toc415977103"/>
      <w:bookmarkStart w:id="35" w:name="_Toc416201179"/>
      <w:bookmarkStart w:id="36" w:name="_Toc416201232"/>
      <w:bookmarkStart w:id="37" w:name="_Toc416245279"/>
      <w:bookmarkStart w:id="38" w:name="_Toc416245303"/>
      <w:bookmarkStart w:id="39" w:name="_Toc416855257"/>
      <w:bookmarkStart w:id="40" w:name="_Toc416856005"/>
      <w:bookmarkStart w:id="41" w:name="_Toc417339753"/>
      <w:bookmarkStart w:id="42" w:name="_Toc417392989"/>
      <w:bookmarkStart w:id="43" w:name="_Toc417393012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:rsidR="00310D04" w:rsidRPr="009D74D4" w:rsidRDefault="006210E0" w:rsidP="00EB6414">
      <w:pPr>
        <w:pStyle w:val="N2Report"/>
      </w:pPr>
      <w:bookmarkStart w:id="44" w:name="_Toc417393013"/>
      <w:r w:rsidRPr="009D74D4">
        <w:t xml:space="preserve">Změna alokace OP </w:t>
      </w:r>
      <w:proofErr w:type="spellStart"/>
      <w:r w:rsidRPr="009D74D4">
        <w:t>VaVpI</w:t>
      </w:r>
      <w:proofErr w:type="spellEnd"/>
      <w:r w:rsidR="000642D0" w:rsidRPr="009D74D4">
        <w:t xml:space="preserve"> v závislosti na kurzu CZK/EUR</w:t>
      </w:r>
      <w:bookmarkEnd w:id="44"/>
    </w:p>
    <w:p w:rsidR="00F369DA" w:rsidRPr="009D74D4" w:rsidRDefault="002F07C6" w:rsidP="002A7E23">
      <w:pPr>
        <w:jc w:val="both"/>
        <w:rPr>
          <w:lang w:eastAsia="x-none"/>
        </w:rPr>
      </w:pPr>
      <w:r w:rsidRPr="009D74D4">
        <w:rPr>
          <w:lang w:eastAsia="x-none"/>
        </w:rPr>
        <w:t xml:space="preserve">Finanční řízení OP </w:t>
      </w:r>
      <w:proofErr w:type="spellStart"/>
      <w:r w:rsidRPr="009D74D4">
        <w:rPr>
          <w:lang w:eastAsia="x-none"/>
        </w:rPr>
        <w:t>VaVpI</w:t>
      </w:r>
      <w:proofErr w:type="spellEnd"/>
      <w:r w:rsidRPr="009D74D4">
        <w:rPr>
          <w:lang w:eastAsia="x-none"/>
        </w:rPr>
        <w:t xml:space="preserve"> je po celou dobu programového období 2007 – 2013 komplikováno vývojem kurzu </w:t>
      </w:r>
      <w:r w:rsidR="00F07A3A" w:rsidRPr="00F07A3A">
        <w:rPr>
          <w:lang w:eastAsia="x-none"/>
        </w:rPr>
        <w:t>CZK/</w:t>
      </w:r>
      <w:r w:rsidRPr="00F07A3A">
        <w:rPr>
          <w:lang w:eastAsia="x-none"/>
        </w:rPr>
        <w:t>EUR, který</w:t>
      </w:r>
      <w:r w:rsidRPr="009D74D4">
        <w:rPr>
          <w:lang w:eastAsia="x-none"/>
        </w:rPr>
        <w:t xml:space="preserve"> neustále </w:t>
      </w:r>
      <w:r w:rsidR="00DE7810" w:rsidRPr="009D74D4">
        <w:rPr>
          <w:lang w:eastAsia="x-none"/>
        </w:rPr>
        <w:t>ovlivňuje</w:t>
      </w:r>
      <w:r w:rsidRPr="009D74D4">
        <w:rPr>
          <w:lang w:eastAsia="x-none"/>
        </w:rPr>
        <w:t xml:space="preserve"> celkovou alokaci OP v českých korunách.</w:t>
      </w:r>
      <w:r w:rsidR="002447D4">
        <w:rPr>
          <w:lang w:eastAsia="x-none"/>
        </w:rPr>
        <w:t xml:space="preserve"> V programovém dokumentu</w:t>
      </w:r>
      <w:r w:rsidR="00D062F0" w:rsidRPr="009D74D4">
        <w:rPr>
          <w:lang w:eastAsia="x-none"/>
        </w:rPr>
        <w:t xml:space="preserve"> i </w:t>
      </w:r>
      <w:r w:rsidR="005B7EC0" w:rsidRPr="009D74D4">
        <w:rPr>
          <w:lang w:eastAsia="x-none"/>
        </w:rPr>
        <w:t xml:space="preserve">ve </w:t>
      </w:r>
      <w:r w:rsidR="002447D4">
        <w:rPr>
          <w:lang w:eastAsia="x-none"/>
        </w:rPr>
        <w:t>finančním plánu operačního programu</w:t>
      </w:r>
      <w:r w:rsidR="00D062F0" w:rsidRPr="009D74D4">
        <w:rPr>
          <w:lang w:eastAsia="x-none"/>
        </w:rPr>
        <w:t xml:space="preserve"> j</w:t>
      </w:r>
      <w:r w:rsidR="003D69F9">
        <w:rPr>
          <w:lang w:eastAsia="x-none"/>
        </w:rPr>
        <w:t>e pevně dána</w:t>
      </w:r>
      <w:r w:rsidR="002447D4">
        <w:rPr>
          <w:lang w:eastAsia="x-none"/>
        </w:rPr>
        <w:t xml:space="preserve"> </w:t>
      </w:r>
      <w:r w:rsidR="00634BC4">
        <w:rPr>
          <w:lang w:eastAsia="x-none"/>
        </w:rPr>
        <w:t xml:space="preserve">pouze </w:t>
      </w:r>
      <w:r w:rsidR="00D062F0" w:rsidRPr="009D74D4">
        <w:rPr>
          <w:lang w:eastAsia="x-none"/>
        </w:rPr>
        <w:t>alokace v</w:t>
      </w:r>
      <w:r w:rsidR="002447D4">
        <w:rPr>
          <w:lang w:eastAsia="x-none"/>
        </w:rPr>
        <w:t> </w:t>
      </w:r>
      <w:r w:rsidR="00C54A24">
        <w:rPr>
          <w:lang w:eastAsia="x-none"/>
        </w:rPr>
        <w:t>e</w:t>
      </w:r>
      <w:r w:rsidR="00D062F0" w:rsidRPr="009D74D4">
        <w:rPr>
          <w:lang w:eastAsia="x-none"/>
        </w:rPr>
        <w:t>urech</w:t>
      </w:r>
      <w:r w:rsidR="002447D4">
        <w:rPr>
          <w:lang w:eastAsia="x-none"/>
        </w:rPr>
        <w:t xml:space="preserve"> – alokace v </w:t>
      </w:r>
      <w:r w:rsidR="005B7EC0" w:rsidRPr="009D74D4">
        <w:rPr>
          <w:lang w:eastAsia="x-none"/>
        </w:rPr>
        <w:t xml:space="preserve">korunovém </w:t>
      </w:r>
      <w:r w:rsidR="00541167" w:rsidRPr="009D74D4">
        <w:rPr>
          <w:lang w:eastAsia="x-none"/>
        </w:rPr>
        <w:t>vyjádření j</w:t>
      </w:r>
      <w:r w:rsidR="005B7EC0" w:rsidRPr="009D74D4">
        <w:rPr>
          <w:lang w:eastAsia="x-none"/>
        </w:rPr>
        <w:t xml:space="preserve">e </w:t>
      </w:r>
      <w:r w:rsidR="00634BC4">
        <w:rPr>
          <w:lang w:eastAsia="x-none"/>
        </w:rPr>
        <w:t>tedy</w:t>
      </w:r>
      <w:r w:rsidR="00A82059">
        <w:rPr>
          <w:lang w:eastAsia="x-none"/>
        </w:rPr>
        <w:t xml:space="preserve"> proměnlivá v závisl</w:t>
      </w:r>
      <w:r w:rsidR="00634BC4">
        <w:rPr>
          <w:lang w:eastAsia="x-none"/>
        </w:rPr>
        <w:t>osti</w:t>
      </w:r>
      <w:r w:rsidR="002447D4">
        <w:rPr>
          <w:lang w:eastAsia="x-none"/>
        </w:rPr>
        <w:t xml:space="preserve"> na vývoji</w:t>
      </w:r>
      <w:r w:rsidR="00E55465" w:rsidRPr="009D74D4">
        <w:rPr>
          <w:lang w:eastAsia="x-none"/>
        </w:rPr>
        <w:t xml:space="preserve"> kurzu CZK/EUR. </w:t>
      </w:r>
    </w:p>
    <w:p w:rsidR="008B3399" w:rsidRDefault="00A82059" w:rsidP="00125D99">
      <w:pPr>
        <w:jc w:val="both"/>
        <w:rPr>
          <w:lang w:eastAsia="x-none"/>
        </w:rPr>
      </w:pPr>
      <w:r>
        <w:rPr>
          <w:lang w:eastAsia="x-none"/>
        </w:rPr>
        <w:t xml:space="preserve">Významnou roli v této oblasti sehrála Česká národní banka (ČNB). V listopadu </w:t>
      </w:r>
      <w:r w:rsidR="003D69F9">
        <w:rPr>
          <w:lang w:eastAsia="x-none"/>
        </w:rPr>
        <w:t xml:space="preserve">roku </w:t>
      </w:r>
      <w:r>
        <w:rPr>
          <w:lang w:eastAsia="x-none"/>
        </w:rPr>
        <w:t>2013 zahájila devizovou intervenci s cílem oslabit k</w:t>
      </w:r>
      <w:r w:rsidR="003D69F9">
        <w:rPr>
          <w:lang w:eastAsia="x-none"/>
        </w:rPr>
        <w:t xml:space="preserve">urz koruny k euru. Od této doby </w:t>
      </w:r>
      <w:r>
        <w:rPr>
          <w:lang w:eastAsia="x-none"/>
        </w:rPr>
        <w:t xml:space="preserve">trvá závazek banky držet kurz koruny vůči euru na hladině minimálně 27 CZK/EUR, přičemž horní hranici nehodlá ČNB stanovovat. Kurz </w:t>
      </w:r>
      <w:r w:rsidR="003D69F9">
        <w:rPr>
          <w:lang w:eastAsia="x-none"/>
        </w:rPr>
        <w:t xml:space="preserve">koruny se do </w:t>
      </w:r>
      <w:r>
        <w:rPr>
          <w:lang w:eastAsia="x-none"/>
        </w:rPr>
        <w:t xml:space="preserve">doby </w:t>
      </w:r>
      <w:r w:rsidR="003D69F9">
        <w:rPr>
          <w:lang w:eastAsia="x-none"/>
        </w:rPr>
        <w:t xml:space="preserve">intervence </w:t>
      </w:r>
      <w:r>
        <w:rPr>
          <w:lang w:eastAsia="x-none"/>
        </w:rPr>
        <w:t>pohybov</w:t>
      </w:r>
      <w:r w:rsidR="00EB39AC">
        <w:rPr>
          <w:lang w:eastAsia="x-none"/>
        </w:rPr>
        <w:t>al v rozmezí zhruba</w:t>
      </w:r>
      <w:r w:rsidR="00EB39AC">
        <w:rPr>
          <w:lang w:eastAsia="x-none"/>
        </w:rPr>
        <w:br/>
      </w:r>
      <w:r>
        <w:rPr>
          <w:lang w:eastAsia="x-none"/>
        </w:rPr>
        <w:t xml:space="preserve">25-26 CZK/EUR a makroekonomický výhled ministerstva financí do budoucna </w:t>
      </w:r>
      <w:r w:rsidR="003D69F9">
        <w:rPr>
          <w:lang w:eastAsia="x-none"/>
        </w:rPr>
        <w:t xml:space="preserve">počítal </w:t>
      </w:r>
      <w:r>
        <w:rPr>
          <w:lang w:eastAsia="x-none"/>
        </w:rPr>
        <w:t xml:space="preserve">s dlouhodobým trendem posilování koruny. </w:t>
      </w:r>
      <w:r w:rsidR="0068223E">
        <w:rPr>
          <w:lang w:eastAsia="x-none"/>
        </w:rPr>
        <w:t xml:space="preserve">Z očekávaného makroekonomického vývoje MF </w:t>
      </w:r>
      <w:proofErr w:type="gramStart"/>
      <w:r w:rsidR="002963AC">
        <w:rPr>
          <w:lang w:eastAsia="x-none"/>
        </w:rPr>
        <w:t>vycházely</w:t>
      </w:r>
      <w:proofErr w:type="gramEnd"/>
      <w:r w:rsidR="0068223E">
        <w:rPr>
          <w:lang w:eastAsia="x-none"/>
        </w:rPr>
        <w:t xml:space="preserve"> také predikce řídicího orgánu OP </w:t>
      </w:r>
      <w:proofErr w:type="spellStart"/>
      <w:r w:rsidR="0068223E">
        <w:rPr>
          <w:lang w:eastAsia="x-none"/>
        </w:rPr>
        <w:t>VaVpI</w:t>
      </w:r>
      <w:proofErr w:type="spellEnd"/>
      <w:r w:rsidR="0068223E">
        <w:rPr>
          <w:lang w:eastAsia="x-none"/>
        </w:rPr>
        <w:t>.</w:t>
      </w:r>
    </w:p>
    <w:p w:rsidR="002A5C54" w:rsidRDefault="00ED0603" w:rsidP="00125D99">
      <w:pPr>
        <w:jc w:val="both"/>
        <w:rPr>
          <w:lang w:eastAsia="x-none"/>
        </w:rPr>
      </w:pPr>
      <w:r>
        <w:rPr>
          <w:lang w:eastAsia="x-none"/>
        </w:rPr>
        <w:t xml:space="preserve">Původní záměr ČNB počítal s ukončením intervence na začátku roku 2015, v současné chvíli je tento termín o rok posunut. </w:t>
      </w:r>
      <w:r w:rsidR="005B3D30">
        <w:rPr>
          <w:lang w:eastAsia="x-none"/>
        </w:rPr>
        <w:t xml:space="preserve">Prodloužení intervence </w:t>
      </w:r>
      <w:r w:rsidR="00441A92">
        <w:rPr>
          <w:lang w:eastAsia="x-none"/>
        </w:rPr>
        <w:t xml:space="preserve">tedy přispělo k opětovnému nárůstu alokace OP </w:t>
      </w:r>
      <w:proofErr w:type="spellStart"/>
      <w:r w:rsidR="00441A92">
        <w:rPr>
          <w:lang w:eastAsia="x-none"/>
        </w:rPr>
        <w:t>VaVpI</w:t>
      </w:r>
      <w:proofErr w:type="spellEnd"/>
      <w:r w:rsidR="00441A92">
        <w:rPr>
          <w:lang w:eastAsia="x-none"/>
        </w:rPr>
        <w:t xml:space="preserve"> a vzhledem k predikcím ČNB se </w:t>
      </w:r>
      <w:r w:rsidR="00F3500E">
        <w:rPr>
          <w:lang w:eastAsia="x-none"/>
        </w:rPr>
        <w:t>do konce roku 2015</w:t>
      </w:r>
      <w:r w:rsidR="00C54A24">
        <w:rPr>
          <w:lang w:eastAsia="x-none"/>
        </w:rPr>
        <w:t xml:space="preserve"> již nedá počítat s</w:t>
      </w:r>
      <w:r w:rsidR="00441A92">
        <w:rPr>
          <w:lang w:eastAsia="x-none"/>
        </w:rPr>
        <w:t> posílení</w:t>
      </w:r>
      <w:r w:rsidR="00F3500E">
        <w:rPr>
          <w:lang w:eastAsia="x-none"/>
        </w:rPr>
        <w:t>m</w:t>
      </w:r>
      <w:r w:rsidR="00441A92">
        <w:rPr>
          <w:lang w:eastAsia="x-none"/>
        </w:rPr>
        <w:t xml:space="preserve"> koruny a s tím souvisejícím pozitivním dopadem na dočerpání celkové alokace OP </w:t>
      </w:r>
      <w:proofErr w:type="spellStart"/>
      <w:r w:rsidR="00441A92">
        <w:rPr>
          <w:lang w:eastAsia="x-none"/>
        </w:rPr>
        <w:t>VaV</w:t>
      </w:r>
      <w:r w:rsidR="003D69F9">
        <w:rPr>
          <w:lang w:eastAsia="x-none"/>
        </w:rPr>
        <w:t>pI</w:t>
      </w:r>
      <w:proofErr w:type="spellEnd"/>
      <w:r w:rsidR="003D69F9">
        <w:rPr>
          <w:lang w:eastAsia="x-none"/>
        </w:rPr>
        <w:t xml:space="preserve">. Celkový dopad intervencí </w:t>
      </w:r>
      <w:r w:rsidR="00441A92">
        <w:rPr>
          <w:lang w:eastAsia="x-none"/>
        </w:rPr>
        <w:t xml:space="preserve">ČNB na navýšení alokace nelze zcela přesně vyčíslit, řídicí orgán ale odhaduje částku mezi </w:t>
      </w:r>
      <w:r w:rsidR="008F53BF">
        <w:rPr>
          <w:lang w:eastAsia="x-none"/>
        </w:rPr>
        <w:t xml:space="preserve">1,9 </w:t>
      </w:r>
      <w:r w:rsidR="00441A92">
        <w:rPr>
          <w:lang w:eastAsia="x-none"/>
        </w:rPr>
        <w:t>-</w:t>
      </w:r>
      <w:r w:rsidR="008F53BF">
        <w:rPr>
          <w:lang w:eastAsia="x-none"/>
        </w:rPr>
        <w:t xml:space="preserve"> 2,3</w:t>
      </w:r>
      <w:r w:rsidR="00441A92">
        <w:rPr>
          <w:lang w:eastAsia="x-none"/>
        </w:rPr>
        <w:t xml:space="preserve"> mld. Kč. </w:t>
      </w:r>
    </w:p>
    <w:p w:rsidR="00F3500E" w:rsidRDefault="0094148A" w:rsidP="00125D99">
      <w:pPr>
        <w:jc w:val="both"/>
        <w:rPr>
          <w:lang w:eastAsia="x-none"/>
        </w:rPr>
      </w:pPr>
      <w:r w:rsidRPr="009D74D4">
        <w:rPr>
          <w:lang w:eastAsia="x-none"/>
        </w:rPr>
        <w:t xml:space="preserve">Z pohledu příjemce </w:t>
      </w:r>
      <w:r w:rsidR="004802A8" w:rsidRPr="009D74D4">
        <w:rPr>
          <w:lang w:eastAsia="x-none"/>
        </w:rPr>
        <w:t>dota</w:t>
      </w:r>
      <w:r w:rsidRPr="009D74D4">
        <w:rPr>
          <w:lang w:eastAsia="x-none"/>
        </w:rPr>
        <w:t>ce z </w:t>
      </w:r>
      <w:proofErr w:type="gramStart"/>
      <w:r w:rsidRPr="009D74D4">
        <w:rPr>
          <w:lang w:eastAsia="x-none"/>
        </w:rPr>
        <w:t>OP</w:t>
      </w:r>
      <w:proofErr w:type="gramEnd"/>
      <w:r w:rsidRPr="009D74D4">
        <w:rPr>
          <w:lang w:eastAsia="x-none"/>
        </w:rPr>
        <w:t xml:space="preserve"> </w:t>
      </w:r>
      <w:proofErr w:type="spellStart"/>
      <w:r w:rsidRPr="009D74D4">
        <w:rPr>
          <w:lang w:eastAsia="x-none"/>
        </w:rPr>
        <w:t>VaVpI</w:t>
      </w:r>
      <w:proofErr w:type="spellEnd"/>
      <w:r w:rsidRPr="009D74D4">
        <w:rPr>
          <w:lang w:eastAsia="x-none"/>
        </w:rPr>
        <w:t xml:space="preserve"> intervence ČNB způsobila</w:t>
      </w:r>
      <w:r w:rsidR="00B57CF3" w:rsidRPr="009D74D4">
        <w:rPr>
          <w:lang w:eastAsia="x-none"/>
        </w:rPr>
        <w:t xml:space="preserve"> </w:t>
      </w:r>
      <w:r w:rsidRPr="009D74D4">
        <w:rPr>
          <w:lang w:eastAsia="x-none"/>
        </w:rPr>
        <w:t xml:space="preserve">nárůst cen především dovozního zboží. </w:t>
      </w:r>
      <w:r w:rsidR="004802A8" w:rsidRPr="009D74D4">
        <w:rPr>
          <w:lang w:eastAsia="x-none"/>
        </w:rPr>
        <w:t xml:space="preserve">Neočekávaná kurzová změna se obecně </w:t>
      </w:r>
      <w:r w:rsidR="00DE7810">
        <w:rPr>
          <w:lang w:eastAsia="x-none"/>
        </w:rPr>
        <w:t>pro</w:t>
      </w:r>
      <w:r w:rsidR="00DE7810" w:rsidRPr="009D74D4">
        <w:rPr>
          <w:lang w:eastAsia="x-none"/>
        </w:rPr>
        <w:t>jevila</w:t>
      </w:r>
      <w:r w:rsidR="004802A8" w:rsidRPr="009D74D4">
        <w:rPr>
          <w:lang w:eastAsia="x-none"/>
        </w:rPr>
        <w:t xml:space="preserve"> velkou nejistotou, </w:t>
      </w:r>
      <w:r w:rsidR="002963AC">
        <w:rPr>
          <w:lang w:eastAsia="x-none"/>
        </w:rPr>
        <w:t>a </w:t>
      </w:r>
      <w:r w:rsidR="004802A8" w:rsidRPr="009D74D4">
        <w:rPr>
          <w:lang w:eastAsia="x-none"/>
        </w:rPr>
        <w:t>narušením stability podnikatelského prostředí</w:t>
      </w:r>
      <w:r w:rsidR="00F3500E" w:rsidRPr="005A1937">
        <w:rPr>
          <w:lang w:eastAsia="x-none"/>
        </w:rPr>
        <w:t>.</w:t>
      </w:r>
      <w:r w:rsidR="004802A8" w:rsidRPr="009D74D4">
        <w:rPr>
          <w:lang w:eastAsia="x-none"/>
        </w:rPr>
        <w:t xml:space="preserve"> Nejistota se odrazila i v chování </w:t>
      </w:r>
      <w:r w:rsidR="00DE7810" w:rsidRPr="009D74D4">
        <w:rPr>
          <w:lang w:eastAsia="x-none"/>
        </w:rPr>
        <w:t>dodavatelů</w:t>
      </w:r>
      <w:r w:rsidR="00514EBA">
        <w:rPr>
          <w:lang w:eastAsia="x-none"/>
        </w:rPr>
        <w:t xml:space="preserve">, </w:t>
      </w:r>
      <w:r w:rsidR="00514EBA">
        <w:rPr>
          <w:lang w:eastAsia="x-none"/>
        </w:rPr>
        <w:lastRenderedPageBreak/>
        <w:t>což</w:t>
      </w:r>
      <w:r w:rsidR="00DE7810" w:rsidRPr="009D74D4">
        <w:rPr>
          <w:lang w:eastAsia="x-none"/>
        </w:rPr>
        <w:t xml:space="preserve"> mělo</w:t>
      </w:r>
      <w:r w:rsidRPr="009D74D4">
        <w:rPr>
          <w:lang w:eastAsia="x-none"/>
        </w:rPr>
        <w:t xml:space="preserve"> </w:t>
      </w:r>
      <w:r w:rsidR="00DF0947">
        <w:rPr>
          <w:lang w:eastAsia="x-none"/>
        </w:rPr>
        <w:t xml:space="preserve">dopad </w:t>
      </w:r>
      <w:r w:rsidR="00F3500E">
        <w:rPr>
          <w:lang w:eastAsia="x-none"/>
        </w:rPr>
        <w:t>na ty</w:t>
      </w:r>
      <w:r w:rsidR="004802A8" w:rsidRPr="009D74D4">
        <w:rPr>
          <w:lang w:eastAsia="x-none"/>
        </w:rPr>
        <w:t xml:space="preserve"> příjemce, </w:t>
      </w:r>
      <w:r w:rsidR="00441A92">
        <w:rPr>
          <w:lang w:eastAsia="x-none"/>
        </w:rPr>
        <w:t>u nichž</w:t>
      </w:r>
      <w:r w:rsidR="004802A8" w:rsidRPr="009D74D4">
        <w:rPr>
          <w:lang w:eastAsia="x-none"/>
        </w:rPr>
        <w:t xml:space="preserve"> </w:t>
      </w:r>
      <w:r w:rsidR="00F3500E">
        <w:rPr>
          <w:lang w:eastAsia="x-none"/>
        </w:rPr>
        <w:t xml:space="preserve">je </w:t>
      </w:r>
      <w:r w:rsidR="00514EBA">
        <w:rPr>
          <w:lang w:eastAsia="x-none"/>
        </w:rPr>
        <w:t xml:space="preserve">úspěšná realizace projektů </w:t>
      </w:r>
      <w:r w:rsidR="00F3500E">
        <w:rPr>
          <w:lang w:eastAsia="x-none"/>
        </w:rPr>
        <w:t xml:space="preserve">podmíněna </w:t>
      </w:r>
      <w:r w:rsidR="004802A8" w:rsidRPr="009D74D4">
        <w:rPr>
          <w:lang w:eastAsia="x-none"/>
        </w:rPr>
        <w:t>nákup</w:t>
      </w:r>
      <w:r w:rsidR="00F3500E">
        <w:rPr>
          <w:lang w:eastAsia="x-none"/>
        </w:rPr>
        <w:t>em</w:t>
      </w:r>
      <w:r w:rsidR="004802A8" w:rsidRPr="009D74D4">
        <w:rPr>
          <w:lang w:eastAsia="x-none"/>
        </w:rPr>
        <w:t xml:space="preserve"> </w:t>
      </w:r>
      <w:r w:rsidR="00DF0947">
        <w:rPr>
          <w:lang w:eastAsia="x-none"/>
        </w:rPr>
        <w:t xml:space="preserve">technologií, </w:t>
      </w:r>
      <w:r w:rsidR="00514EBA">
        <w:rPr>
          <w:lang w:eastAsia="x-none"/>
        </w:rPr>
        <w:t>resp. jejich části</w:t>
      </w:r>
      <w:r w:rsidR="004802A8" w:rsidRPr="009D74D4">
        <w:rPr>
          <w:lang w:eastAsia="x-none"/>
        </w:rPr>
        <w:t xml:space="preserve"> ze zahraničí s úhradou v jiných měnách než CZK</w:t>
      </w:r>
      <w:r w:rsidR="00514EBA">
        <w:rPr>
          <w:lang w:eastAsia="x-none"/>
        </w:rPr>
        <w:t xml:space="preserve">. </w:t>
      </w:r>
      <w:r w:rsidR="00F3500E">
        <w:rPr>
          <w:lang w:eastAsia="x-none"/>
        </w:rPr>
        <w:t>Pokrytí možného dalšího kurzového rizika dodavatele v podobě p</w:t>
      </w:r>
      <w:r w:rsidR="002963AC">
        <w:rPr>
          <w:lang w:eastAsia="x-none"/>
        </w:rPr>
        <w:t>okračující intervence ČNB se </w:t>
      </w:r>
      <w:r w:rsidR="00F3500E">
        <w:rPr>
          <w:lang w:eastAsia="x-none"/>
        </w:rPr>
        <w:t>projevilo v</w:t>
      </w:r>
      <w:r w:rsidR="009207F8">
        <w:rPr>
          <w:lang w:eastAsia="x-none"/>
        </w:rPr>
        <w:t xml:space="preserve"> nárůstu cen technologií a </w:t>
      </w:r>
      <w:r w:rsidR="00514EBA">
        <w:rPr>
          <w:lang w:eastAsia="x-none"/>
        </w:rPr>
        <w:t>přístro</w:t>
      </w:r>
      <w:r w:rsidR="009207F8">
        <w:rPr>
          <w:lang w:eastAsia="x-none"/>
        </w:rPr>
        <w:t xml:space="preserve">jů kupovaných ze zahraničí nebo v cizích </w:t>
      </w:r>
      <w:r w:rsidR="00514EBA">
        <w:rPr>
          <w:lang w:eastAsia="x-none"/>
        </w:rPr>
        <w:t>měnách</w:t>
      </w:r>
      <w:r w:rsidR="009207F8">
        <w:rPr>
          <w:lang w:eastAsia="x-none"/>
        </w:rPr>
        <w:t xml:space="preserve">. Tento </w:t>
      </w:r>
      <w:r w:rsidR="0041045A" w:rsidRPr="009D74D4">
        <w:rPr>
          <w:lang w:eastAsia="x-none"/>
        </w:rPr>
        <w:t>negativní</w:t>
      </w:r>
      <w:r w:rsidR="009207F8">
        <w:rPr>
          <w:lang w:eastAsia="x-none"/>
        </w:rPr>
        <w:t xml:space="preserve"> dopad se </w:t>
      </w:r>
      <w:r w:rsidR="0041045A">
        <w:rPr>
          <w:lang w:eastAsia="x-none"/>
        </w:rPr>
        <w:t>projevil</w:t>
      </w:r>
      <w:r w:rsidR="009207F8">
        <w:rPr>
          <w:lang w:eastAsia="x-none"/>
        </w:rPr>
        <w:t xml:space="preserve"> </w:t>
      </w:r>
      <w:r w:rsidR="00F3500E">
        <w:rPr>
          <w:lang w:eastAsia="x-none"/>
        </w:rPr>
        <w:t>zejména</w:t>
      </w:r>
      <w:r w:rsidR="009207F8">
        <w:rPr>
          <w:lang w:eastAsia="x-none"/>
        </w:rPr>
        <w:t xml:space="preserve"> </w:t>
      </w:r>
      <w:r w:rsidR="00696F2C">
        <w:rPr>
          <w:lang w:eastAsia="x-none"/>
        </w:rPr>
        <w:t>u </w:t>
      </w:r>
      <w:r w:rsidR="0041045A">
        <w:rPr>
          <w:lang w:eastAsia="x-none"/>
        </w:rPr>
        <w:t>velkých</w:t>
      </w:r>
      <w:r w:rsidR="00696F2C">
        <w:rPr>
          <w:lang w:eastAsia="x-none"/>
        </w:rPr>
        <w:t> </w:t>
      </w:r>
      <w:r w:rsidR="0041045A">
        <w:rPr>
          <w:lang w:eastAsia="x-none"/>
        </w:rPr>
        <w:t>projektů</w:t>
      </w:r>
      <w:r w:rsidRPr="009D74D4">
        <w:rPr>
          <w:lang w:eastAsia="x-none"/>
        </w:rPr>
        <w:t>.</w:t>
      </w:r>
      <w:r w:rsidR="00696F2C">
        <w:rPr>
          <w:lang w:eastAsia="x-none"/>
        </w:rPr>
        <w:t xml:space="preserve">  </w:t>
      </w:r>
    </w:p>
    <w:p w:rsidR="00125D99" w:rsidRDefault="00696F2C" w:rsidP="00125D99">
      <w:pPr>
        <w:jc w:val="both"/>
        <w:rPr>
          <w:lang w:eastAsia="x-none"/>
        </w:rPr>
      </w:pPr>
      <w:r>
        <w:rPr>
          <w:lang w:eastAsia="x-none"/>
        </w:rPr>
        <w:t xml:space="preserve"> </w:t>
      </w:r>
      <w:r w:rsidRPr="00696F2C">
        <w:rPr>
          <w:lang w:eastAsia="x-none"/>
        </w:rPr>
        <w:t xml:space="preserve">V </w:t>
      </w:r>
      <w:r w:rsidR="00410B8E" w:rsidRPr="00696F2C">
        <w:rPr>
          <w:lang w:eastAsia="x-none"/>
        </w:rPr>
        <w:t>současné</w:t>
      </w:r>
      <w:r w:rsidRPr="00696F2C">
        <w:rPr>
          <w:lang w:eastAsia="x-none"/>
        </w:rPr>
        <w:t xml:space="preserve"> době ŘO OP </w:t>
      </w:r>
      <w:proofErr w:type="spellStart"/>
      <w:r w:rsidRPr="00696F2C">
        <w:rPr>
          <w:lang w:eastAsia="x-none"/>
        </w:rPr>
        <w:t>VaVpI</w:t>
      </w:r>
      <w:proofErr w:type="spellEnd"/>
      <w:r w:rsidRPr="00696F2C">
        <w:rPr>
          <w:lang w:eastAsia="x-none"/>
        </w:rPr>
        <w:t xml:space="preserve"> průběžně analyzuje s</w:t>
      </w:r>
      <w:r w:rsidR="00410B8E">
        <w:rPr>
          <w:lang w:eastAsia="x-none"/>
        </w:rPr>
        <w:t>ituaci u příjemců s cílem přesně vyčíslit</w:t>
      </w:r>
      <w:r w:rsidR="00F3500E">
        <w:rPr>
          <w:lang w:eastAsia="x-none"/>
        </w:rPr>
        <w:t xml:space="preserve"> dopad kurzové intervence</w:t>
      </w:r>
      <w:r w:rsidRPr="00696F2C">
        <w:rPr>
          <w:lang w:eastAsia="x-none"/>
        </w:rPr>
        <w:t xml:space="preserve"> </w:t>
      </w:r>
      <w:r w:rsidR="00410B8E">
        <w:rPr>
          <w:lang w:eastAsia="x-none"/>
        </w:rPr>
        <w:t>v projektech</w:t>
      </w:r>
      <w:r w:rsidRPr="00696F2C">
        <w:rPr>
          <w:lang w:eastAsia="x-none"/>
        </w:rPr>
        <w:t xml:space="preserve">. V relevantních případech přistoupí ŘO v roce 2015 </w:t>
      </w:r>
      <w:r w:rsidR="000D23C8">
        <w:rPr>
          <w:lang w:eastAsia="x-none"/>
        </w:rPr>
        <w:t xml:space="preserve">na žádost příjemce </w:t>
      </w:r>
      <w:r w:rsidRPr="00696F2C">
        <w:rPr>
          <w:lang w:eastAsia="x-none"/>
        </w:rPr>
        <w:t>k navýšení původní částky dotace uvedené ve vydaném Rozhodnutí (</w:t>
      </w:r>
      <w:r w:rsidR="00883CDF">
        <w:rPr>
          <w:lang w:eastAsia="x-none"/>
        </w:rPr>
        <w:t>dále také „</w:t>
      </w:r>
      <w:proofErr w:type="spellStart"/>
      <w:r w:rsidRPr="00696F2C">
        <w:rPr>
          <w:lang w:eastAsia="x-none"/>
        </w:rPr>
        <w:t>RoPD</w:t>
      </w:r>
      <w:proofErr w:type="spellEnd"/>
      <w:r w:rsidR="00883CDF">
        <w:rPr>
          <w:lang w:eastAsia="x-none"/>
        </w:rPr>
        <w:t>“</w:t>
      </w:r>
      <w:r w:rsidRPr="00696F2C">
        <w:rPr>
          <w:lang w:eastAsia="x-none"/>
        </w:rPr>
        <w:t>)</w:t>
      </w:r>
      <w:r w:rsidR="00D7774E">
        <w:rPr>
          <w:lang w:eastAsia="x-none"/>
        </w:rPr>
        <w:t>.</w:t>
      </w:r>
    </w:p>
    <w:p w:rsidR="00676248" w:rsidRDefault="006E77B4" w:rsidP="007C4C1B">
      <w:pPr>
        <w:jc w:val="both"/>
        <w:rPr>
          <w:bCs/>
          <w:lang w:eastAsia="x-none"/>
        </w:rPr>
      </w:pPr>
      <w:r w:rsidRPr="006E77B4">
        <w:rPr>
          <w:bCs/>
          <w:lang w:eastAsia="x-none"/>
        </w:rPr>
        <w:t>K</w:t>
      </w:r>
      <w:r w:rsidR="00676248">
        <w:rPr>
          <w:bCs/>
          <w:lang w:eastAsia="x-none"/>
        </w:rPr>
        <w:t>olísání směnného kurzu CZK/EU</w:t>
      </w:r>
      <w:r w:rsidR="006F094A">
        <w:rPr>
          <w:bCs/>
          <w:lang w:eastAsia="x-none"/>
        </w:rPr>
        <w:t>R</w:t>
      </w:r>
      <w:r w:rsidR="00676248">
        <w:rPr>
          <w:bCs/>
          <w:lang w:eastAsia="x-none"/>
        </w:rPr>
        <w:t xml:space="preserve"> </w:t>
      </w:r>
      <w:r w:rsidR="00F8051D">
        <w:rPr>
          <w:bCs/>
          <w:lang w:eastAsia="x-none"/>
        </w:rPr>
        <w:t>představuje</w:t>
      </w:r>
      <w:r w:rsidR="00676248">
        <w:rPr>
          <w:bCs/>
          <w:lang w:eastAsia="x-none"/>
        </w:rPr>
        <w:t xml:space="preserve"> pro řídicí orgán z hlediska finančního řízení poměrně v</w:t>
      </w:r>
      <w:r w:rsidR="00F8051D">
        <w:rPr>
          <w:bCs/>
          <w:lang w:eastAsia="x-none"/>
        </w:rPr>
        <w:t>elkou komplikaci</w:t>
      </w:r>
      <w:r w:rsidR="00676248">
        <w:rPr>
          <w:bCs/>
          <w:lang w:eastAsia="x-none"/>
        </w:rPr>
        <w:t xml:space="preserve"> – náhlé posílení koruny může v konečném důsledku znamenat </w:t>
      </w:r>
      <w:proofErr w:type="spellStart"/>
      <w:r w:rsidR="00676248">
        <w:rPr>
          <w:bCs/>
          <w:lang w:eastAsia="x-none"/>
        </w:rPr>
        <w:t>přezávazkování</w:t>
      </w:r>
      <w:proofErr w:type="spellEnd"/>
      <w:r w:rsidR="00676248">
        <w:rPr>
          <w:bCs/>
          <w:lang w:eastAsia="x-none"/>
        </w:rPr>
        <w:t xml:space="preserve"> a s tím související finanční dopad </w:t>
      </w:r>
      <w:r w:rsidR="00676248" w:rsidRPr="005A1937">
        <w:rPr>
          <w:bCs/>
          <w:lang w:eastAsia="x-none"/>
        </w:rPr>
        <w:t>n</w:t>
      </w:r>
      <w:r w:rsidR="00ED0B9C" w:rsidRPr="005A1937">
        <w:rPr>
          <w:bCs/>
          <w:lang w:eastAsia="x-none"/>
        </w:rPr>
        <w:t>a kapitolu</w:t>
      </w:r>
      <w:r w:rsidR="00D7774E" w:rsidRPr="005A1937">
        <w:rPr>
          <w:bCs/>
          <w:lang w:eastAsia="x-none"/>
        </w:rPr>
        <w:t xml:space="preserve"> </w:t>
      </w:r>
      <w:r w:rsidR="006F094A" w:rsidRPr="005A1937">
        <w:rPr>
          <w:bCs/>
          <w:lang w:eastAsia="x-none"/>
        </w:rPr>
        <w:t xml:space="preserve">MŠMT, resp. na </w:t>
      </w:r>
      <w:r w:rsidR="00ED0B9C" w:rsidRPr="005A1937">
        <w:rPr>
          <w:bCs/>
          <w:lang w:eastAsia="x-none"/>
        </w:rPr>
        <w:t xml:space="preserve">státní rozpočet. Na </w:t>
      </w:r>
      <w:r w:rsidR="00676248" w:rsidRPr="005A1937">
        <w:rPr>
          <w:bCs/>
          <w:lang w:eastAsia="x-none"/>
        </w:rPr>
        <w:t>druhé straně oslabení koruny má za následek skok</w:t>
      </w:r>
      <w:r w:rsidR="002963AC">
        <w:rPr>
          <w:bCs/>
          <w:lang w:eastAsia="x-none"/>
        </w:rPr>
        <w:t xml:space="preserve">ové navýšení alokace </w:t>
      </w:r>
      <w:proofErr w:type="gramStart"/>
      <w:r w:rsidR="002963AC">
        <w:rPr>
          <w:bCs/>
          <w:lang w:eastAsia="x-none"/>
        </w:rPr>
        <w:t>programu</w:t>
      </w:r>
      <w:proofErr w:type="gramEnd"/>
      <w:r w:rsidR="002963AC">
        <w:rPr>
          <w:bCs/>
          <w:lang w:eastAsia="x-none"/>
        </w:rPr>
        <w:t xml:space="preserve"> - </w:t>
      </w:r>
      <w:proofErr w:type="gramStart"/>
      <w:r w:rsidR="00676248" w:rsidRPr="005A1937">
        <w:rPr>
          <w:bCs/>
          <w:lang w:eastAsia="x-none"/>
        </w:rPr>
        <w:t>pokud</w:t>
      </w:r>
      <w:proofErr w:type="gramEnd"/>
      <w:r w:rsidR="00676248" w:rsidRPr="005A1937">
        <w:rPr>
          <w:bCs/>
          <w:lang w:eastAsia="x-none"/>
        </w:rPr>
        <w:t xml:space="preserve"> k takovému</w:t>
      </w:r>
      <w:r w:rsidR="00F8051D" w:rsidRPr="005A1937">
        <w:rPr>
          <w:bCs/>
          <w:lang w:eastAsia="x-none"/>
        </w:rPr>
        <w:t>to</w:t>
      </w:r>
      <w:r w:rsidR="00676248" w:rsidRPr="005A1937">
        <w:rPr>
          <w:bCs/>
          <w:lang w:eastAsia="x-none"/>
        </w:rPr>
        <w:t xml:space="preserve"> nárůstu dojde</w:t>
      </w:r>
      <w:r w:rsidR="00ED0B9C" w:rsidRPr="005A1937">
        <w:rPr>
          <w:bCs/>
          <w:lang w:eastAsia="x-none"/>
        </w:rPr>
        <w:t xml:space="preserve"> v</w:t>
      </w:r>
      <w:r w:rsidR="002963AC">
        <w:rPr>
          <w:bCs/>
          <w:lang w:eastAsia="x-none"/>
        </w:rPr>
        <w:t> závěru programového období</w:t>
      </w:r>
      <w:r w:rsidR="00ED0B9C" w:rsidRPr="005A1937">
        <w:rPr>
          <w:bCs/>
          <w:lang w:eastAsia="x-none"/>
        </w:rPr>
        <w:t>, je</w:t>
      </w:r>
      <w:r w:rsidR="00ED0B9C">
        <w:rPr>
          <w:bCs/>
          <w:lang w:eastAsia="x-none"/>
        </w:rPr>
        <w:t xml:space="preserve"> z časových důvodů velmi problematické tyto prostředky smysluplně rozdělit mezi příjemce a dočerpat tak celou alokaci.</w:t>
      </w:r>
    </w:p>
    <w:p w:rsidR="007C4C1B" w:rsidRPr="007C4C1B" w:rsidRDefault="00FC6152" w:rsidP="007C4C1B">
      <w:pPr>
        <w:jc w:val="both"/>
        <w:rPr>
          <w:lang w:eastAsia="x-none"/>
        </w:rPr>
      </w:pPr>
      <w:r>
        <w:rPr>
          <w:lang w:eastAsia="x-none"/>
        </w:rPr>
        <w:t xml:space="preserve">ŘO nemá </w:t>
      </w:r>
      <w:r w:rsidR="00F8051D">
        <w:rPr>
          <w:lang w:eastAsia="x-none"/>
        </w:rPr>
        <w:t xml:space="preserve">prakticky žádnou </w:t>
      </w:r>
      <w:r>
        <w:rPr>
          <w:lang w:eastAsia="x-none"/>
        </w:rPr>
        <w:t xml:space="preserve">možnost zajistit kurz čerpání alokace, </w:t>
      </w:r>
      <w:r w:rsidR="007C4C1B">
        <w:rPr>
          <w:lang w:eastAsia="x-none"/>
        </w:rPr>
        <w:t xml:space="preserve">protože </w:t>
      </w:r>
      <w:r w:rsidR="00F8051D">
        <w:rPr>
          <w:lang w:eastAsia="x-none"/>
        </w:rPr>
        <w:t xml:space="preserve">princip </w:t>
      </w:r>
      <w:r w:rsidR="007C4C1B">
        <w:rPr>
          <w:lang w:eastAsia="x-none"/>
        </w:rPr>
        <w:t>používání eura u členských států</w:t>
      </w:r>
      <w:r w:rsidR="007C4C1B" w:rsidRPr="007C4C1B">
        <w:rPr>
          <w:lang w:eastAsia="x-none"/>
        </w:rPr>
        <w:t>, které ke dni podání žádosti o platbu nepř</w:t>
      </w:r>
      <w:r w:rsidR="007C4C1B">
        <w:rPr>
          <w:lang w:eastAsia="x-none"/>
        </w:rPr>
        <w:t>i</w:t>
      </w:r>
      <w:r w:rsidR="007C4C1B" w:rsidRPr="007C4C1B">
        <w:rPr>
          <w:lang w:eastAsia="x-none"/>
        </w:rPr>
        <w:t>jaly euro</w:t>
      </w:r>
      <w:r w:rsidR="007C4C1B">
        <w:rPr>
          <w:lang w:eastAsia="x-none"/>
        </w:rPr>
        <w:t xml:space="preserve"> </w:t>
      </w:r>
      <w:r w:rsidR="007C4C1B" w:rsidRPr="007C4C1B">
        <w:rPr>
          <w:lang w:eastAsia="x-none"/>
        </w:rPr>
        <w:t>jako svou měnu</w:t>
      </w:r>
      <w:r w:rsidR="007C4C1B">
        <w:rPr>
          <w:lang w:eastAsia="x-none"/>
        </w:rPr>
        <w:t xml:space="preserve"> (tj. i ČR) je striktně stanoven v</w:t>
      </w:r>
      <w:r w:rsidR="00F8051D">
        <w:rPr>
          <w:lang w:eastAsia="x-none"/>
        </w:rPr>
        <w:t> čl. 81 </w:t>
      </w:r>
      <w:r w:rsidR="007C4C1B">
        <w:rPr>
          <w:lang w:eastAsia="x-none"/>
        </w:rPr>
        <w:t>O</w:t>
      </w:r>
      <w:r w:rsidR="00F8051D">
        <w:rPr>
          <w:lang w:eastAsia="x-none"/>
        </w:rPr>
        <w:t>becného nařízení</w:t>
      </w:r>
      <w:r w:rsidR="007C4C1B">
        <w:rPr>
          <w:rStyle w:val="Znakapoznpodarou"/>
          <w:lang w:eastAsia="x-none"/>
        </w:rPr>
        <w:footnoteReference w:id="5"/>
      </w:r>
      <w:r w:rsidR="007C4C1B">
        <w:rPr>
          <w:lang w:eastAsia="x-none"/>
        </w:rPr>
        <w:t>.</w:t>
      </w:r>
      <w:r w:rsidR="00B74507">
        <w:rPr>
          <w:lang w:eastAsia="x-none"/>
        </w:rPr>
        <w:t xml:space="preserve"> ŘO </w:t>
      </w:r>
      <w:r w:rsidR="00F8051D">
        <w:rPr>
          <w:lang w:eastAsia="x-none"/>
        </w:rPr>
        <w:t xml:space="preserve">tak </w:t>
      </w:r>
      <w:r w:rsidR="00B74507">
        <w:rPr>
          <w:lang w:eastAsia="x-none"/>
        </w:rPr>
        <w:t xml:space="preserve">disponuje jedinou možností, jak nepřímo ovlivnit kurz </w:t>
      </w:r>
      <w:r w:rsidR="00312C84">
        <w:rPr>
          <w:lang w:eastAsia="x-none"/>
        </w:rPr>
        <w:t>a to</w:t>
      </w:r>
      <w:r w:rsidR="00F8051D">
        <w:rPr>
          <w:lang w:eastAsia="x-none"/>
        </w:rPr>
        <w:t>u</w:t>
      </w:r>
      <w:r w:rsidR="00312C84">
        <w:rPr>
          <w:lang w:eastAsia="x-none"/>
        </w:rPr>
        <w:t xml:space="preserve"> </w:t>
      </w:r>
      <w:r w:rsidR="00B74507">
        <w:rPr>
          <w:lang w:eastAsia="x-none"/>
        </w:rPr>
        <w:t xml:space="preserve">je výběr okamžiku </w:t>
      </w:r>
      <w:r w:rsidR="00312C84">
        <w:rPr>
          <w:lang w:eastAsia="x-none"/>
        </w:rPr>
        <w:t xml:space="preserve">předložení </w:t>
      </w:r>
      <w:proofErr w:type="spellStart"/>
      <w:r w:rsidR="00312C84">
        <w:rPr>
          <w:lang w:eastAsia="x-none"/>
        </w:rPr>
        <w:t>SŽoP</w:t>
      </w:r>
      <w:proofErr w:type="spellEnd"/>
      <w:r w:rsidR="00312C84">
        <w:rPr>
          <w:lang w:eastAsia="x-none"/>
        </w:rPr>
        <w:t xml:space="preserve"> na MF-PCO, </w:t>
      </w:r>
      <w:r w:rsidR="00F8051D">
        <w:rPr>
          <w:lang w:eastAsia="x-none"/>
        </w:rPr>
        <w:t>které provádí zaúčtování výdajů, což ale vzhledem k nejistému vývoji kurzu</w:t>
      </w:r>
      <w:r w:rsidR="00B74507">
        <w:rPr>
          <w:lang w:eastAsia="x-none"/>
        </w:rPr>
        <w:t xml:space="preserve"> </w:t>
      </w:r>
      <w:r w:rsidR="00F8051D">
        <w:rPr>
          <w:lang w:eastAsia="x-none"/>
        </w:rPr>
        <w:t>nelze</w:t>
      </w:r>
      <w:r w:rsidR="00B74507">
        <w:rPr>
          <w:lang w:eastAsia="x-none"/>
        </w:rPr>
        <w:t xml:space="preserve"> považovat za </w:t>
      </w:r>
      <w:r w:rsidR="00623E7E">
        <w:rPr>
          <w:lang w:eastAsia="x-none"/>
        </w:rPr>
        <w:t>efektivní</w:t>
      </w:r>
      <w:r w:rsidR="00312C84">
        <w:rPr>
          <w:lang w:eastAsia="x-none"/>
        </w:rPr>
        <w:t xml:space="preserve"> nástroj</w:t>
      </w:r>
      <w:r w:rsidR="00B74507">
        <w:rPr>
          <w:lang w:eastAsia="x-none"/>
        </w:rPr>
        <w:t xml:space="preserve"> kurzové</w:t>
      </w:r>
      <w:r w:rsidR="00312C84">
        <w:rPr>
          <w:lang w:eastAsia="x-none"/>
        </w:rPr>
        <w:t>ho</w:t>
      </w:r>
      <w:r w:rsidR="00B74507">
        <w:rPr>
          <w:lang w:eastAsia="x-none"/>
        </w:rPr>
        <w:t xml:space="preserve"> zajištění</w:t>
      </w:r>
      <w:r w:rsidR="00F8051D">
        <w:rPr>
          <w:lang w:eastAsia="x-none"/>
        </w:rPr>
        <w:t xml:space="preserve">. </w:t>
      </w:r>
      <w:r w:rsidR="00BD7F5B">
        <w:rPr>
          <w:lang w:eastAsia="x-none"/>
        </w:rPr>
        <w:t xml:space="preserve">Nečekaná změna kurzu má tedy </w:t>
      </w:r>
      <w:r w:rsidR="0099005B">
        <w:rPr>
          <w:lang w:eastAsia="x-none"/>
        </w:rPr>
        <w:t xml:space="preserve">jednoznačně </w:t>
      </w:r>
      <w:r w:rsidR="00BD7F5B">
        <w:rPr>
          <w:lang w:eastAsia="x-none"/>
        </w:rPr>
        <w:t>negativ</w:t>
      </w:r>
      <w:r w:rsidR="00EB39AC">
        <w:rPr>
          <w:lang w:eastAsia="x-none"/>
        </w:rPr>
        <w:t>ní dopad na </w:t>
      </w:r>
      <w:r w:rsidR="00BD7F5B">
        <w:rPr>
          <w:lang w:eastAsia="x-none"/>
        </w:rPr>
        <w:t xml:space="preserve">řízení alokace OP. </w:t>
      </w:r>
    </w:p>
    <w:p w:rsidR="00310D04" w:rsidRPr="009D74D4" w:rsidRDefault="00310D04" w:rsidP="00310D04">
      <w:pPr>
        <w:rPr>
          <w:lang w:eastAsia="x-none"/>
        </w:rPr>
      </w:pPr>
    </w:p>
    <w:p w:rsidR="00310D04" w:rsidRPr="004C24DA" w:rsidRDefault="00310D04" w:rsidP="00EB6414">
      <w:pPr>
        <w:pStyle w:val="N2Report"/>
      </w:pPr>
      <w:bookmarkStart w:id="45" w:name="_Toc417393014"/>
      <w:proofErr w:type="spellStart"/>
      <w:r w:rsidRPr="009D74D4">
        <w:t>Přezávazkování</w:t>
      </w:r>
      <w:proofErr w:type="spellEnd"/>
      <w:r w:rsidRPr="009D74D4">
        <w:t xml:space="preserve"> programu</w:t>
      </w:r>
      <w:bookmarkEnd w:id="45"/>
    </w:p>
    <w:p w:rsidR="00B137A2" w:rsidRPr="00B137A2" w:rsidRDefault="00616A07" w:rsidP="00B137A2">
      <w:pPr>
        <w:jc w:val="both"/>
        <w:rPr>
          <w:rFonts w:eastAsia="Times New Roman"/>
          <w:lang w:eastAsia="cs-CZ"/>
        </w:rPr>
      </w:pPr>
      <w:proofErr w:type="spellStart"/>
      <w:r>
        <w:rPr>
          <w:lang w:eastAsia="x-none"/>
        </w:rPr>
        <w:t>Přezávazkování</w:t>
      </w:r>
      <w:proofErr w:type="spellEnd"/>
      <w:r>
        <w:rPr>
          <w:lang w:eastAsia="x-none"/>
        </w:rPr>
        <w:t xml:space="preserve"> programu je jedním z nástrojů řízení alokace</w:t>
      </w:r>
      <w:r w:rsidR="00B137A2">
        <w:rPr>
          <w:lang w:eastAsia="x-none"/>
        </w:rPr>
        <w:t xml:space="preserve"> OP</w:t>
      </w:r>
      <w:r>
        <w:rPr>
          <w:lang w:eastAsia="x-none"/>
        </w:rPr>
        <w:t xml:space="preserve">. Tuto problematiku </w:t>
      </w:r>
      <w:r w:rsidR="00D25598">
        <w:rPr>
          <w:lang w:eastAsia="x-none"/>
        </w:rPr>
        <w:t>částečně</w:t>
      </w:r>
      <w:r w:rsidR="00C55B0C">
        <w:rPr>
          <w:lang w:eastAsia="x-none"/>
        </w:rPr>
        <w:t xml:space="preserve"> upravuje</w:t>
      </w:r>
      <w:r>
        <w:rPr>
          <w:lang w:eastAsia="x-none"/>
        </w:rPr>
        <w:t xml:space="preserve"> Metodika finančních toků a kontroly</w:t>
      </w:r>
      <w:r w:rsidR="00EB39AC">
        <w:rPr>
          <w:lang w:eastAsia="x-none"/>
        </w:rPr>
        <w:t xml:space="preserve"> programů spolufinancovaných </w:t>
      </w:r>
      <w:r w:rsidR="00EB39AC" w:rsidRPr="00EB39AC">
        <w:t>ze</w:t>
      </w:r>
      <w:r w:rsidR="00EB39AC">
        <w:t> </w:t>
      </w:r>
      <w:r w:rsidRPr="00EB39AC">
        <w:t>strukturálních</w:t>
      </w:r>
      <w:r>
        <w:rPr>
          <w:lang w:eastAsia="x-none"/>
        </w:rPr>
        <w:t xml:space="preserve"> fondů, Fondu soudržnosti a Evropského rybářského fondu na programové období 2007 – 2013 (dále jen „MFTK“).</w:t>
      </w:r>
      <w:r w:rsidR="0077731E">
        <w:rPr>
          <w:lang w:eastAsia="x-none"/>
        </w:rPr>
        <w:t xml:space="preserve"> Dle tohoto dokumentu MF doporučuje využít </w:t>
      </w:r>
      <w:proofErr w:type="spellStart"/>
      <w:r w:rsidR="0077731E">
        <w:rPr>
          <w:lang w:eastAsia="x-none"/>
        </w:rPr>
        <w:t>přezávazkování</w:t>
      </w:r>
      <w:proofErr w:type="spellEnd"/>
      <w:r w:rsidR="0077731E">
        <w:rPr>
          <w:lang w:eastAsia="x-none"/>
        </w:rPr>
        <w:t xml:space="preserve"> nejvýše do 5 % alokace OP </w:t>
      </w:r>
      <w:proofErr w:type="spellStart"/>
      <w:r w:rsidR="0077731E">
        <w:rPr>
          <w:lang w:eastAsia="x-none"/>
        </w:rPr>
        <w:t>VaVpI</w:t>
      </w:r>
      <w:proofErr w:type="spellEnd"/>
      <w:r w:rsidR="006F094A">
        <w:rPr>
          <w:lang w:eastAsia="x-none"/>
        </w:rPr>
        <w:t xml:space="preserve"> na rok 2013</w:t>
      </w:r>
      <w:r w:rsidR="0077731E">
        <w:rPr>
          <w:lang w:eastAsia="x-none"/>
        </w:rPr>
        <w:t>. V podmínkách O</w:t>
      </w:r>
      <w:r w:rsidR="00D25598">
        <w:rPr>
          <w:lang w:eastAsia="x-none"/>
        </w:rPr>
        <w:t xml:space="preserve">P </w:t>
      </w:r>
      <w:proofErr w:type="spellStart"/>
      <w:r w:rsidR="00D25598">
        <w:rPr>
          <w:lang w:eastAsia="x-none"/>
        </w:rPr>
        <w:t>VaVpI</w:t>
      </w:r>
      <w:proofErr w:type="spellEnd"/>
      <w:r w:rsidR="00D25598">
        <w:rPr>
          <w:lang w:eastAsia="x-none"/>
        </w:rPr>
        <w:t>, kdy</w:t>
      </w:r>
      <w:r w:rsidR="002963AC">
        <w:rPr>
          <w:lang w:eastAsia="x-none"/>
        </w:rPr>
        <w:t> </w:t>
      </w:r>
      <w:r w:rsidR="0077731E">
        <w:rPr>
          <w:lang w:eastAsia="x-none"/>
        </w:rPr>
        <w:t xml:space="preserve">alokace roku 2013 odpovídá </w:t>
      </w:r>
      <w:r w:rsidR="0077731E" w:rsidRPr="0077731E">
        <w:rPr>
          <w:rFonts w:eastAsia="Times New Roman"/>
          <w:lang w:eastAsia="cs-CZ"/>
        </w:rPr>
        <w:t>335 541</w:t>
      </w:r>
      <w:r w:rsidR="0077731E">
        <w:rPr>
          <w:rFonts w:eastAsia="Times New Roman"/>
          <w:lang w:eastAsia="cs-CZ"/>
        </w:rPr>
        <w:t> </w:t>
      </w:r>
      <w:r w:rsidR="0077731E" w:rsidRPr="0077731E">
        <w:rPr>
          <w:rFonts w:eastAsia="Times New Roman"/>
          <w:lang w:eastAsia="cs-CZ"/>
        </w:rPr>
        <w:t>779</w:t>
      </w:r>
      <w:r w:rsidR="0077731E">
        <w:rPr>
          <w:rFonts w:eastAsia="Times New Roman"/>
          <w:lang w:eastAsia="cs-CZ"/>
        </w:rPr>
        <w:t xml:space="preserve"> EUR (EU podíl)</w:t>
      </w:r>
      <w:r w:rsidR="00B137A2">
        <w:rPr>
          <w:rFonts w:eastAsia="Times New Roman"/>
          <w:lang w:eastAsia="cs-CZ"/>
        </w:rPr>
        <w:t>,</w:t>
      </w:r>
      <w:r w:rsidR="0077731E">
        <w:rPr>
          <w:rFonts w:eastAsia="Times New Roman"/>
          <w:lang w:eastAsia="cs-CZ"/>
        </w:rPr>
        <w:t xml:space="preserve"> by tedy míra </w:t>
      </w:r>
      <w:proofErr w:type="spellStart"/>
      <w:r w:rsidR="0077731E">
        <w:rPr>
          <w:rFonts w:eastAsia="Times New Roman"/>
          <w:lang w:eastAsia="cs-CZ"/>
        </w:rPr>
        <w:t>přezávazkování</w:t>
      </w:r>
      <w:proofErr w:type="spellEnd"/>
      <w:r w:rsidR="0077731E">
        <w:rPr>
          <w:rFonts w:eastAsia="Times New Roman"/>
          <w:lang w:eastAsia="cs-CZ"/>
        </w:rPr>
        <w:t xml:space="preserve"> </w:t>
      </w:r>
      <w:r w:rsidR="00D25598">
        <w:rPr>
          <w:rFonts w:eastAsia="Times New Roman"/>
          <w:lang w:eastAsia="cs-CZ"/>
        </w:rPr>
        <w:t>ne</w:t>
      </w:r>
      <w:r w:rsidR="0077731E">
        <w:rPr>
          <w:rFonts w:eastAsia="Times New Roman"/>
          <w:lang w:eastAsia="cs-CZ"/>
        </w:rPr>
        <w:t xml:space="preserve">měla přesáhnout </w:t>
      </w:r>
      <w:r w:rsidR="00B137A2" w:rsidRPr="00B137A2">
        <w:rPr>
          <w:rFonts w:eastAsia="Times New Roman"/>
          <w:lang w:eastAsia="cs-CZ"/>
        </w:rPr>
        <w:t>16</w:t>
      </w:r>
      <w:r w:rsidR="00B137A2">
        <w:rPr>
          <w:rFonts w:eastAsia="Times New Roman"/>
          <w:lang w:eastAsia="cs-CZ"/>
        </w:rPr>
        <w:t xml:space="preserve">,7 mil. EUR (EU podíl), což je cca </w:t>
      </w:r>
      <w:r w:rsidR="008D1469">
        <w:rPr>
          <w:rFonts w:eastAsia="Times New Roman"/>
          <w:lang w:eastAsia="cs-CZ"/>
        </w:rPr>
        <w:t>463</w:t>
      </w:r>
      <w:r w:rsidR="00B137A2" w:rsidRPr="00B137A2">
        <w:rPr>
          <w:rFonts w:eastAsia="Times New Roman"/>
          <w:lang w:eastAsia="cs-CZ"/>
        </w:rPr>
        <w:t xml:space="preserve"> </w:t>
      </w:r>
      <w:r w:rsidR="00B137A2">
        <w:rPr>
          <w:rFonts w:eastAsia="Times New Roman"/>
          <w:lang w:eastAsia="cs-CZ"/>
        </w:rPr>
        <w:t>mil. Kč.</w:t>
      </w:r>
      <w:r w:rsidR="000B3861">
        <w:rPr>
          <w:rFonts w:eastAsia="Times New Roman"/>
          <w:lang w:eastAsia="cs-CZ"/>
        </w:rPr>
        <w:t xml:space="preserve"> </w:t>
      </w:r>
      <w:r w:rsidR="002963AC">
        <w:rPr>
          <w:rFonts w:eastAsia="Times New Roman"/>
          <w:lang w:eastAsia="cs-CZ"/>
        </w:rPr>
        <w:t>Vzhledem k tomu, že </w:t>
      </w:r>
      <w:r w:rsidR="000B3861" w:rsidRPr="005A1937">
        <w:rPr>
          <w:rFonts w:eastAsia="Times New Roman"/>
          <w:lang w:eastAsia="cs-CZ"/>
        </w:rPr>
        <w:t>v současné době zůstává v </w:t>
      </w:r>
      <w:proofErr w:type="gramStart"/>
      <w:r w:rsidR="000B3861" w:rsidRPr="005A1937">
        <w:rPr>
          <w:rFonts w:eastAsia="Times New Roman"/>
          <w:lang w:eastAsia="cs-CZ"/>
        </w:rPr>
        <w:t>OP</w:t>
      </w:r>
      <w:proofErr w:type="gramEnd"/>
      <w:r w:rsidR="000B3861" w:rsidRPr="005A1937">
        <w:rPr>
          <w:rFonts w:eastAsia="Times New Roman"/>
          <w:lang w:eastAsia="cs-CZ"/>
        </w:rPr>
        <w:t xml:space="preserve"> </w:t>
      </w:r>
      <w:proofErr w:type="spellStart"/>
      <w:r w:rsidR="000B3861" w:rsidRPr="005A1937">
        <w:rPr>
          <w:rFonts w:eastAsia="Times New Roman"/>
          <w:lang w:eastAsia="cs-CZ"/>
        </w:rPr>
        <w:t>VaVpI</w:t>
      </w:r>
      <w:proofErr w:type="spellEnd"/>
      <w:r w:rsidR="000B3861" w:rsidRPr="005A1937">
        <w:rPr>
          <w:rFonts w:eastAsia="Times New Roman"/>
          <w:lang w:eastAsia="cs-CZ"/>
        </w:rPr>
        <w:t xml:space="preserve"> neukončeno zhruba 69,5 % </w:t>
      </w:r>
      <w:r w:rsidR="008D1469" w:rsidRPr="005A1937">
        <w:rPr>
          <w:rFonts w:eastAsia="Times New Roman"/>
          <w:lang w:eastAsia="cs-CZ"/>
        </w:rPr>
        <w:t xml:space="preserve">schválených </w:t>
      </w:r>
      <w:r w:rsidR="000B3861" w:rsidRPr="005A1937">
        <w:rPr>
          <w:rFonts w:eastAsia="Times New Roman"/>
          <w:lang w:eastAsia="cs-CZ"/>
        </w:rPr>
        <w:t xml:space="preserve">projektů </w:t>
      </w:r>
      <w:r w:rsidR="00EB39AC" w:rsidRPr="005A1937">
        <w:rPr>
          <w:rFonts w:eastAsia="Times New Roman"/>
          <w:lang w:eastAsia="cs-CZ"/>
        </w:rPr>
        <w:t>(vyjádřeno ve </w:t>
      </w:r>
      <w:r w:rsidR="00D25598" w:rsidRPr="005A1937">
        <w:rPr>
          <w:rFonts w:eastAsia="Times New Roman"/>
          <w:lang w:eastAsia="cs-CZ"/>
        </w:rPr>
        <w:t xml:space="preserve">finančním objemu), </w:t>
      </w:r>
      <w:r w:rsidR="008D1469" w:rsidRPr="005A1937">
        <w:rPr>
          <w:rFonts w:eastAsia="Times New Roman"/>
          <w:lang w:eastAsia="cs-CZ"/>
        </w:rPr>
        <w:t>ani nejvyšší doporu</w:t>
      </w:r>
      <w:r w:rsidR="00D25598" w:rsidRPr="005A1937">
        <w:rPr>
          <w:rFonts w:eastAsia="Times New Roman"/>
          <w:lang w:eastAsia="cs-CZ"/>
        </w:rPr>
        <w:t xml:space="preserve">čená míra </w:t>
      </w:r>
      <w:proofErr w:type="spellStart"/>
      <w:r w:rsidR="00D25598" w:rsidRPr="005A1937">
        <w:rPr>
          <w:rFonts w:eastAsia="Times New Roman"/>
          <w:lang w:eastAsia="cs-CZ"/>
        </w:rPr>
        <w:t>přezávazkování</w:t>
      </w:r>
      <w:proofErr w:type="spellEnd"/>
      <w:r w:rsidR="00D25598" w:rsidRPr="005A1937">
        <w:rPr>
          <w:rFonts w:eastAsia="Times New Roman"/>
          <w:lang w:eastAsia="cs-CZ"/>
        </w:rPr>
        <w:t xml:space="preserve"> by</w:t>
      </w:r>
      <w:r w:rsidR="002963AC">
        <w:rPr>
          <w:rFonts w:eastAsia="Times New Roman"/>
          <w:lang w:eastAsia="cs-CZ"/>
        </w:rPr>
        <w:t> při </w:t>
      </w:r>
      <w:r w:rsidR="008D1469" w:rsidRPr="005A1937">
        <w:rPr>
          <w:rFonts w:eastAsia="Times New Roman"/>
          <w:lang w:eastAsia="cs-CZ"/>
        </w:rPr>
        <w:t xml:space="preserve">odhadovaném nedočerpání realizovaných projektů </w:t>
      </w:r>
      <w:r w:rsidR="00E0511C" w:rsidRPr="005A1937">
        <w:rPr>
          <w:rFonts w:eastAsia="Times New Roman"/>
          <w:lang w:eastAsia="cs-CZ"/>
        </w:rPr>
        <w:t>(</w:t>
      </w:r>
      <w:r w:rsidR="00463243" w:rsidRPr="005A1937">
        <w:rPr>
          <w:rFonts w:eastAsia="Times New Roman"/>
          <w:lang w:eastAsia="cs-CZ"/>
        </w:rPr>
        <w:t>s</w:t>
      </w:r>
      <w:r w:rsidR="00E0511C" w:rsidRPr="005A1937">
        <w:rPr>
          <w:rFonts w:eastAsia="Times New Roman"/>
          <w:lang w:eastAsia="cs-CZ"/>
        </w:rPr>
        <w:t xml:space="preserve"> negativní tendencí </w:t>
      </w:r>
      <w:r w:rsidR="00463243" w:rsidRPr="005A1937">
        <w:rPr>
          <w:rFonts w:eastAsia="Times New Roman"/>
          <w:lang w:eastAsia="cs-CZ"/>
        </w:rPr>
        <w:t>vývoje</w:t>
      </w:r>
      <w:r w:rsidR="00E0511C" w:rsidRPr="005A1937">
        <w:rPr>
          <w:rFonts w:eastAsia="Times New Roman"/>
          <w:lang w:eastAsia="cs-CZ"/>
        </w:rPr>
        <w:t>)</w:t>
      </w:r>
      <w:r w:rsidR="005C4DCF" w:rsidRPr="005A1937">
        <w:rPr>
          <w:rFonts w:eastAsia="Times New Roman"/>
          <w:lang w:eastAsia="cs-CZ"/>
        </w:rPr>
        <w:t xml:space="preserve"> </w:t>
      </w:r>
      <w:r w:rsidR="002963AC">
        <w:rPr>
          <w:rFonts w:eastAsia="Times New Roman"/>
          <w:lang w:eastAsia="cs-CZ"/>
        </w:rPr>
        <w:t>na </w:t>
      </w:r>
      <w:r w:rsidR="005C4DCF" w:rsidRPr="005A1937">
        <w:rPr>
          <w:rFonts w:eastAsia="Times New Roman"/>
          <w:lang w:eastAsia="cs-CZ"/>
        </w:rPr>
        <w:t>odstranění vlivu úspor nestačila.</w:t>
      </w:r>
    </w:p>
    <w:p w:rsidR="00D25598" w:rsidRDefault="00B137A2" w:rsidP="00E67D85">
      <w:pPr>
        <w:jc w:val="both"/>
        <w:rPr>
          <w:lang w:eastAsia="x-none"/>
        </w:rPr>
      </w:pPr>
      <w:r>
        <w:rPr>
          <w:lang w:eastAsia="x-none"/>
        </w:rPr>
        <w:t xml:space="preserve">MFTK dále ukládá, že na </w:t>
      </w:r>
      <w:proofErr w:type="spellStart"/>
      <w:r>
        <w:rPr>
          <w:lang w:eastAsia="x-none"/>
        </w:rPr>
        <w:t>přezávazkované</w:t>
      </w:r>
      <w:proofErr w:type="spellEnd"/>
      <w:r>
        <w:rPr>
          <w:lang w:eastAsia="x-none"/>
        </w:rPr>
        <w:t xml:space="preserve"> projekty nelze po</w:t>
      </w:r>
      <w:r w:rsidR="00EB39AC">
        <w:rPr>
          <w:lang w:eastAsia="x-none"/>
        </w:rPr>
        <w:t>užít prostředky rozpočtované na </w:t>
      </w:r>
      <w:r>
        <w:rPr>
          <w:lang w:eastAsia="x-none"/>
        </w:rPr>
        <w:t xml:space="preserve">předfinancování a spolufinancování projektů EU a je nutné využít volné prostředky </w:t>
      </w:r>
      <w:r>
        <w:rPr>
          <w:lang w:eastAsia="x-none"/>
        </w:rPr>
        <w:lastRenderedPageBreak/>
        <w:t xml:space="preserve">kapitoly, úspory z jiných rozpočtových výdajů nebo z nároků z nespotřebovaných neprofilujících výdajů. </w:t>
      </w:r>
      <w:proofErr w:type="spellStart"/>
      <w:r w:rsidR="00D25598">
        <w:rPr>
          <w:lang w:eastAsia="x-none"/>
        </w:rPr>
        <w:t>Přezávazkování</w:t>
      </w:r>
      <w:proofErr w:type="spellEnd"/>
      <w:r w:rsidR="00D25598">
        <w:rPr>
          <w:lang w:eastAsia="x-none"/>
        </w:rPr>
        <w:t xml:space="preserve"> tedy v konečném důsledku může mít velmi vážný finanční dopad na rozpočtovou kapitolu – </w:t>
      </w:r>
      <w:r w:rsidR="00AE212F">
        <w:rPr>
          <w:lang w:eastAsia="x-none"/>
        </w:rPr>
        <w:t xml:space="preserve">při rozhodování o využití tohoto nástroje řízení alokace </w:t>
      </w:r>
      <w:r w:rsidR="00D25598">
        <w:rPr>
          <w:lang w:eastAsia="x-none"/>
        </w:rPr>
        <w:t xml:space="preserve">je </w:t>
      </w:r>
      <w:r w:rsidR="00AE212F">
        <w:rPr>
          <w:lang w:eastAsia="x-none"/>
        </w:rPr>
        <w:t xml:space="preserve">tedy nutné brát uvedené </w:t>
      </w:r>
      <w:r w:rsidR="00D25598">
        <w:rPr>
          <w:lang w:eastAsia="x-none"/>
        </w:rPr>
        <w:t>riziko</w:t>
      </w:r>
      <w:r w:rsidR="00AE212F">
        <w:rPr>
          <w:lang w:eastAsia="x-none"/>
        </w:rPr>
        <w:t xml:space="preserve"> v úvahu.</w:t>
      </w:r>
      <w:r w:rsidR="00D25598">
        <w:rPr>
          <w:lang w:eastAsia="x-none"/>
        </w:rPr>
        <w:t xml:space="preserve"> </w:t>
      </w:r>
    </w:p>
    <w:p w:rsidR="00D25598" w:rsidRDefault="00D25598" w:rsidP="00E67D85">
      <w:pPr>
        <w:jc w:val="both"/>
        <w:rPr>
          <w:lang w:eastAsia="x-none"/>
        </w:rPr>
      </w:pPr>
    </w:p>
    <w:p w:rsidR="00C62570" w:rsidRDefault="00DB28E8" w:rsidP="00E67D85">
      <w:pPr>
        <w:jc w:val="both"/>
        <w:rPr>
          <w:lang w:eastAsia="x-none"/>
        </w:rPr>
      </w:pPr>
      <w:r>
        <w:rPr>
          <w:lang w:eastAsia="x-none"/>
        </w:rPr>
        <w:t xml:space="preserve">ŘO </w:t>
      </w:r>
      <w:r w:rsidR="00B929BC" w:rsidRPr="001F17A8">
        <w:rPr>
          <w:lang w:eastAsia="x-none"/>
        </w:rPr>
        <w:t xml:space="preserve">v prosinci 2014 predikoval </w:t>
      </w:r>
      <w:proofErr w:type="spellStart"/>
      <w:r w:rsidR="00B929BC" w:rsidRPr="001F17A8">
        <w:rPr>
          <w:lang w:eastAsia="x-none"/>
        </w:rPr>
        <w:t>přezávazkování</w:t>
      </w:r>
      <w:proofErr w:type="spellEnd"/>
      <w:r w:rsidR="00B929BC" w:rsidRPr="001F17A8">
        <w:rPr>
          <w:lang w:eastAsia="x-none"/>
        </w:rPr>
        <w:t xml:space="preserve"> programu ve výši 262 mil. Kč</w:t>
      </w:r>
      <w:r>
        <w:rPr>
          <w:lang w:eastAsia="x-none"/>
        </w:rPr>
        <w:t xml:space="preserve">. V době zpracování této Strategie již OP </w:t>
      </w:r>
      <w:proofErr w:type="spellStart"/>
      <w:r>
        <w:rPr>
          <w:lang w:eastAsia="x-none"/>
        </w:rPr>
        <w:t>VaVpI</w:t>
      </w:r>
      <w:proofErr w:type="spellEnd"/>
      <w:r>
        <w:rPr>
          <w:lang w:eastAsia="x-none"/>
        </w:rPr>
        <w:t xml:space="preserve"> </w:t>
      </w:r>
      <w:r w:rsidR="001F17A8" w:rsidRPr="001F17A8">
        <w:rPr>
          <w:lang w:eastAsia="x-none"/>
        </w:rPr>
        <w:t xml:space="preserve">není </w:t>
      </w:r>
      <w:proofErr w:type="spellStart"/>
      <w:r w:rsidR="001F17A8" w:rsidRPr="001F17A8">
        <w:rPr>
          <w:lang w:eastAsia="x-none"/>
        </w:rPr>
        <w:t>přezávazkován</w:t>
      </w:r>
      <w:proofErr w:type="spellEnd"/>
      <w:r w:rsidR="001F17A8" w:rsidRPr="001F17A8">
        <w:rPr>
          <w:lang w:eastAsia="x-none"/>
        </w:rPr>
        <w:t>, naopak došlo k n</w:t>
      </w:r>
      <w:r w:rsidR="001F17A8">
        <w:rPr>
          <w:lang w:eastAsia="x-none"/>
        </w:rPr>
        <w:t xml:space="preserve">árůstu disponibilní alokace </w:t>
      </w:r>
      <w:r w:rsidR="001F17A8" w:rsidRPr="001F17A8">
        <w:rPr>
          <w:lang w:eastAsia="x-none"/>
        </w:rPr>
        <w:t xml:space="preserve">a OP </w:t>
      </w:r>
      <w:proofErr w:type="spellStart"/>
      <w:r w:rsidR="001F17A8" w:rsidRPr="001F17A8">
        <w:rPr>
          <w:lang w:eastAsia="x-none"/>
        </w:rPr>
        <w:t>VaVpI</w:t>
      </w:r>
      <w:proofErr w:type="spellEnd"/>
      <w:r w:rsidR="001F17A8" w:rsidRPr="001F17A8">
        <w:rPr>
          <w:lang w:eastAsia="x-none"/>
        </w:rPr>
        <w:t xml:space="preserve"> čelí</w:t>
      </w:r>
      <w:r w:rsidR="00B929BC" w:rsidRPr="001F17A8">
        <w:rPr>
          <w:lang w:eastAsia="x-none"/>
        </w:rPr>
        <w:t xml:space="preserve"> </w:t>
      </w:r>
      <w:r w:rsidR="003D0BE5">
        <w:rPr>
          <w:lang w:eastAsia="x-none"/>
        </w:rPr>
        <w:t xml:space="preserve">riziku </w:t>
      </w:r>
      <w:r w:rsidR="001F17A8" w:rsidRPr="001F17A8">
        <w:rPr>
          <w:lang w:eastAsia="x-none"/>
        </w:rPr>
        <w:t>nedočerpání dotace ve výši nejméně</w:t>
      </w:r>
      <w:r w:rsidR="00C62570" w:rsidRPr="001F17A8">
        <w:rPr>
          <w:lang w:eastAsia="x-none"/>
        </w:rPr>
        <w:t xml:space="preserve"> 474</w:t>
      </w:r>
      <w:r w:rsidR="001F17A8" w:rsidRPr="001F17A8">
        <w:rPr>
          <w:lang w:eastAsia="x-none"/>
        </w:rPr>
        <w:t xml:space="preserve"> mil. Kč (EU</w:t>
      </w:r>
      <w:r w:rsidR="00E72A3D">
        <w:rPr>
          <w:lang w:eastAsia="x-none"/>
        </w:rPr>
        <w:t> </w:t>
      </w:r>
      <w:r w:rsidR="00C62570" w:rsidRPr="001F17A8">
        <w:rPr>
          <w:lang w:eastAsia="x-none"/>
        </w:rPr>
        <w:t xml:space="preserve">podíl). </w:t>
      </w:r>
      <w:r w:rsidR="001F17A8" w:rsidRPr="001F17A8">
        <w:rPr>
          <w:lang w:eastAsia="x-none"/>
        </w:rPr>
        <w:t>K</w:t>
      </w:r>
      <w:r w:rsidR="001F17A8">
        <w:rPr>
          <w:lang w:eastAsia="x-none"/>
        </w:rPr>
        <w:t>e</w:t>
      </w:r>
      <w:r w:rsidR="001F17A8" w:rsidRPr="001F17A8">
        <w:rPr>
          <w:lang w:eastAsia="x-none"/>
        </w:rPr>
        <w:t xml:space="preserve"> změně došlo </w:t>
      </w:r>
      <w:r w:rsidR="00C62570" w:rsidRPr="001F17A8">
        <w:rPr>
          <w:lang w:eastAsia="x-none"/>
        </w:rPr>
        <w:t>z důvodu provedené aktualiza</w:t>
      </w:r>
      <w:r w:rsidR="00EB39AC">
        <w:rPr>
          <w:lang w:eastAsia="x-none"/>
        </w:rPr>
        <w:t>ce finančních plánů příjemců na </w:t>
      </w:r>
      <w:r w:rsidR="00C62570" w:rsidRPr="001F17A8">
        <w:rPr>
          <w:lang w:eastAsia="x-none"/>
        </w:rPr>
        <w:t>začátku ledna tohoto roku</w:t>
      </w:r>
      <w:r w:rsidR="00796A79">
        <w:rPr>
          <w:lang w:eastAsia="x-none"/>
        </w:rPr>
        <w:t>, kdy z</w:t>
      </w:r>
      <w:r w:rsidR="00C62570" w:rsidRPr="001F17A8">
        <w:rPr>
          <w:lang w:eastAsia="x-none"/>
        </w:rPr>
        <w:t>e strany příjemců došlo k navýšení předpokládané částky nedočerpání.</w:t>
      </w:r>
      <w:r w:rsidR="00796A79">
        <w:rPr>
          <w:lang w:eastAsia="x-none"/>
        </w:rPr>
        <w:t xml:space="preserve"> </w:t>
      </w:r>
      <w:r w:rsidR="002E7942">
        <w:rPr>
          <w:lang w:eastAsia="x-none"/>
        </w:rPr>
        <w:t>Tyto úspory v projektech jsou způsobeny zejména nadhodnocenými rozpočty projektů ze strany příjemců, úsporami z veřejných zakázek, odložením (v případě závěru realizace projektu i zrušením) některých výběrových řízení z důvodu nutnosti jejich opakování.</w:t>
      </w:r>
      <w:r w:rsidR="001F17A8">
        <w:rPr>
          <w:lang w:eastAsia="x-none"/>
        </w:rPr>
        <w:t xml:space="preserve"> ŘO odhaduje, že částka nedočerpá</w:t>
      </w:r>
      <w:r w:rsidR="00E82BD9">
        <w:rPr>
          <w:lang w:eastAsia="x-none"/>
        </w:rPr>
        <w:t xml:space="preserve">ní se bude v průběhu roku 2015 </w:t>
      </w:r>
      <w:r>
        <w:rPr>
          <w:lang w:eastAsia="x-none"/>
        </w:rPr>
        <w:t xml:space="preserve">i přes všechna přijatá opatření dále </w:t>
      </w:r>
      <w:r w:rsidR="00E82BD9">
        <w:rPr>
          <w:lang w:eastAsia="x-none"/>
        </w:rPr>
        <w:t>na</w:t>
      </w:r>
      <w:r w:rsidR="001F17A8">
        <w:rPr>
          <w:lang w:eastAsia="x-none"/>
        </w:rPr>
        <w:t>vyšovat.</w:t>
      </w:r>
      <w:r w:rsidR="00796A79">
        <w:rPr>
          <w:lang w:eastAsia="x-none"/>
        </w:rPr>
        <w:t xml:space="preserve"> </w:t>
      </w:r>
    </w:p>
    <w:p w:rsidR="00310D04" w:rsidRPr="009D74D4" w:rsidRDefault="00310D04" w:rsidP="00310D04">
      <w:pPr>
        <w:rPr>
          <w:lang w:eastAsia="x-none"/>
        </w:rPr>
      </w:pPr>
    </w:p>
    <w:p w:rsidR="00310D04" w:rsidRPr="009D74D4" w:rsidRDefault="00310D04" w:rsidP="00EB6414">
      <w:pPr>
        <w:pStyle w:val="N2Report"/>
      </w:pPr>
      <w:bookmarkStart w:id="46" w:name="_Toc417393015"/>
      <w:r w:rsidRPr="009D74D4">
        <w:t>Korekce</w:t>
      </w:r>
      <w:bookmarkEnd w:id="46"/>
    </w:p>
    <w:p w:rsidR="00A37B19" w:rsidRDefault="00D15BDB" w:rsidP="00E67D85">
      <w:pPr>
        <w:jc w:val="both"/>
        <w:rPr>
          <w:lang w:eastAsia="x-none"/>
        </w:rPr>
      </w:pPr>
      <w:r w:rsidRPr="00D15BDB">
        <w:rPr>
          <w:iCs/>
          <w:lang w:eastAsia="x-none"/>
        </w:rPr>
        <w:t xml:space="preserve">Na základě identifikované chybovosti ve Výroční kontrolní zprávě za rok 2013, jež přesáhla 2% hranici, byl dne 31. 1. 2014 ŘO OP </w:t>
      </w:r>
      <w:proofErr w:type="spellStart"/>
      <w:r w:rsidRPr="00D15BDB">
        <w:rPr>
          <w:iCs/>
          <w:lang w:eastAsia="x-none"/>
        </w:rPr>
        <w:t>VaVpI</w:t>
      </w:r>
      <w:proofErr w:type="spellEnd"/>
      <w:r w:rsidRPr="00D15BDB">
        <w:rPr>
          <w:iCs/>
          <w:lang w:eastAsia="x-none"/>
        </w:rPr>
        <w:t xml:space="preserve">  informován o skutečnosti, že PCO nebude provádět certifikaci výdajů OP </w:t>
      </w:r>
      <w:proofErr w:type="spellStart"/>
      <w:r w:rsidRPr="00D15BDB">
        <w:rPr>
          <w:iCs/>
          <w:lang w:eastAsia="x-none"/>
        </w:rPr>
        <w:t>VaVpI</w:t>
      </w:r>
      <w:proofErr w:type="spellEnd"/>
      <w:r w:rsidRPr="00D15BDB">
        <w:rPr>
          <w:iCs/>
          <w:lang w:eastAsia="x-none"/>
        </w:rPr>
        <w:t xml:space="preserve"> k datu 31. 1. 2014. Evropskou ko</w:t>
      </w:r>
      <w:r>
        <w:rPr>
          <w:iCs/>
          <w:lang w:eastAsia="x-none"/>
        </w:rPr>
        <w:t>misí (EK) byla</w:t>
      </w:r>
      <w:r w:rsidRPr="00D15BDB">
        <w:rPr>
          <w:iCs/>
          <w:lang w:eastAsia="x-none"/>
        </w:rPr>
        <w:t xml:space="preserve"> </w:t>
      </w:r>
      <w:r>
        <w:rPr>
          <w:iCs/>
          <w:lang w:eastAsia="x-none"/>
        </w:rPr>
        <w:t xml:space="preserve">na výdaje OP </w:t>
      </w:r>
      <w:proofErr w:type="spellStart"/>
      <w:r>
        <w:rPr>
          <w:iCs/>
          <w:lang w:eastAsia="x-none"/>
        </w:rPr>
        <w:t>VaVpI</w:t>
      </w:r>
      <w:proofErr w:type="spellEnd"/>
      <w:r>
        <w:rPr>
          <w:iCs/>
          <w:lang w:eastAsia="x-none"/>
        </w:rPr>
        <w:t xml:space="preserve"> </w:t>
      </w:r>
      <w:r w:rsidR="007169BA" w:rsidRPr="00D15BDB">
        <w:rPr>
          <w:iCs/>
          <w:lang w:eastAsia="x-none"/>
        </w:rPr>
        <w:t xml:space="preserve">stanovena </w:t>
      </w:r>
      <w:r w:rsidRPr="00D15BDB">
        <w:rPr>
          <w:iCs/>
          <w:lang w:eastAsia="x-none"/>
        </w:rPr>
        <w:t>plošná finanční korekce ve výši 1 3</w:t>
      </w:r>
      <w:r w:rsidR="00D00F7C">
        <w:rPr>
          <w:iCs/>
          <w:lang w:eastAsia="x-none"/>
        </w:rPr>
        <w:t>58 480,68 EUR, která byla ŘO OP </w:t>
      </w:r>
      <w:proofErr w:type="spellStart"/>
      <w:r w:rsidRPr="00D15BDB">
        <w:rPr>
          <w:iCs/>
          <w:lang w:eastAsia="x-none"/>
        </w:rPr>
        <w:t>VaVpI</w:t>
      </w:r>
      <w:proofErr w:type="spellEnd"/>
      <w:r w:rsidRPr="00D15BDB">
        <w:rPr>
          <w:iCs/>
          <w:lang w:eastAsia="x-none"/>
        </w:rPr>
        <w:t xml:space="preserve"> akceptována a následně ze strany PCO zaúčtována.</w:t>
      </w:r>
    </w:p>
    <w:p w:rsidR="00303CA4" w:rsidRDefault="00883CDF" w:rsidP="00303CA4">
      <w:pPr>
        <w:spacing w:after="0"/>
        <w:jc w:val="both"/>
        <w:rPr>
          <w:lang w:eastAsia="x-none"/>
        </w:rPr>
      </w:pPr>
      <w:r>
        <w:rPr>
          <w:lang w:eastAsia="x-none"/>
        </w:rPr>
        <w:t xml:space="preserve">V současné době hrozí riziko další korekce </w:t>
      </w:r>
      <w:r w:rsidR="00303CA4">
        <w:rPr>
          <w:lang w:eastAsia="x-none"/>
        </w:rPr>
        <w:t xml:space="preserve">na základě auditu EÚD z roku 2014 </w:t>
      </w:r>
      <w:r w:rsidR="00AA1F4C">
        <w:rPr>
          <w:lang w:eastAsia="x-none"/>
        </w:rPr>
        <w:t>ve výši cca 591 </w:t>
      </w:r>
      <w:r w:rsidRPr="00883CDF">
        <w:rPr>
          <w:lang w:eastAsia="x-none"/>
        </w:rPr>
        <w:t>mil. Kč</w:t>
      </w:r>
      <w:r w:rsidR="00303CA4">
        <w:rPr>
          <w:lang w:eastAsia="x-none"/>
        </w:rPr>
        <w:t xml:space="preserve">. </w:t>
      </w:r>
      <w:r>
        <w:rPr>
          <w:lang w:eastAsia="x-none"/>
        </w:rPr>
        <w:t>R</w:t>
      </w:r>
      <w:r w:rsidR="00E67D85" w:rsidRPr="00E67D85">
        <w:rPr>
          <w:lang w:eastAsia="x-none"/>
        </w:rPr>
        <w:t xml:space="preserve">eálnost výskytu rizika korekce </w:t>
      </w:r>
      <w:r>
        <w:rPr>
          <w:lang w:eastAsia="x-none"/>
        </w:rPr>
        <w:t xml:space="preserve">ŘO nyní odhaduje na </w:t>
      </w:r>
      <w:r w:rsidR="00E67D85" w:rsidRPr="00E67D85">
        <w:rPr>
          <w:lang w:eastAsia="x-none"/>
        </w:rPr>
        <w:t xml:space="preserve">50%. ŘO OP </w:t>
      </w:r>
      <w:proofErr w:type="spellStart"/>
      <w:r w:rsidR="00E67D85" w:rsidRPr="00E67D85">
        <w:rPr>
          <w:lang w:eastAsia="x-none"/>
        </w:rPr>
        <w:t>VaVpI</w:t>
      </w:r>
      <w:proofErr w:type="spellEnd"/>
      <w:r w:rsidR="00E67D85" w:rsidRPr="00E67D85">
        <w:rPr>
          <w:lang w:eastAsia="x-none"/>
        </w:rPr>
        <w:t xml:space="preserve"> </w:t>
      </w:r>
      <w:r w:rsidR="00E67D85" w:rsidRPr="00303CA4">
        <w:rPr>
          <w:lang w:eastAsia="x-none"/>
        </w:rPr>
        <w:t>odeslal</w:t>
      </w:r>
      <w:r w:rsidR="00303CA4">
        <w:rPr>
          <w:lang w:eastAsia="x-none"/>
        </w:rPr>
        <w:t xml:space="preserve"> prostřednictvím NKÚ na EÚD </w:t>
      </w:r>
      <w:r w:rsidR="00E67D85" w:rsidRPr="00E67D85">
        <w:rPr>
          <w:lang w:eastAsia="x-none"/>
        </w:rPr>
        <w:t>nesouhlasn</w:t>
      </w:r>
      <w:r w:rsidR="00303CA4">
        <w:rPr>
          <w:lang w:eastAsia="x-none"/>
        </w:rPr>
        <w:t xml:space="preserve">é stanovisko s tímto předběžným zjištěním. </w:t>
      </w:r>
    </w:p>
    <w:p w:rsidR="00310D04" w:rsidRPr="009D74D4" w:rsidRDefault="00883CDF" w:rsidP="00303CA4">
      <w:pPr>
        <w:spacing w:after="0"/>
        <w:jc w:val="both"/>
        <w:rPr>
          <w:lang w:eastAsia="x-none"/>
        </w:rPr>
      </w:pPr>
      <w:r>
        <w:rPr>
          <w:lang w:eastAsia="x-none"/>
        </w:rPr>
        <w:br/>
      </w:r>
      <w:r w:rsidR="002C5123">
        <w:rPr>
          <w:lang w:eastAsia="x-none"/>
        </w:rPr>
        <w:t>O k</w:t>
      </w:r>
      <w:r w:rsidR="003C2BE1">
        <w:rPr>
          <w:lang w:eastAsia="x-none"/>
        </w:rPr>
        <w:t>orekce</w:t>
      </w:r>
      <w:r w:rsidR="00417034">
        <w:rPr>
          <w:rStyle w:val="Znakapoznpodarou"/>
          <w:lang w:eastAsia="x-none"/>
        </w:rPr>
        <w:footnoteReference w:id="6"/>
      </w:r>
      <w:r w:rsidR="00891E28">
        <w:rPr>
          <w:lang w:eastAsia="x-none"/>
        </w:rPr>
        <w:t>,</w:t>
      </w:r>
      <w:r w:rsidR="003C2BE1">
        <w:rPr>
          <w:lang w:eastAsia="x-none"/>
        </w:rPr>
        <w:t xml:space="preserve"> </w:t>
      </w:r>
      <w:r w:rsidR="00891E28">
        <w:rPr>
          <w:lang w:eastAsia="x-none"/>
        </w:rPr>
        <w:t>které byly uplatněn</w:t>
      </w:r>
      <w:r w:rsidR="002C5123">
        <w:rPr>
          <w:lang w:eastAsia="x-none"/>
        </w:rPr>
        <w:t>y na úrovni členského státu (</w:t>
      </w:r>
      <w:r w:rsidR="00891E28">
        <w:rPr>
          <w:lang w:eastAsia="x-none"/>
        </w:rPr>
        <w:t xml:space="preserve">tedy i </w:t>
      </w:r>
      <w:r w:rsidR="002C5123">
        <w:rPr>
          <w:lang w:eastAsia="x-none"/>
        </w:rPr>
        <w:t>o výše zmíněnou plošnou korekci)</w:t>
      </w:r>
      <w:r w:rsidR="00891E28">
        <w:rPr>
          <w:lang w:eastAsia="x-none"/>
        </w:rPr>
        <w:t xml:space="preserve">, </w:t>
      </w:r>
      <w:r w:rsidR="003C2BE1">
        <w:rPr>
          <w:lang w:eastAsia="x-none"/>
        </w:rPr>
        <w:t xml:space="preserve">bez </w:t>
      </w:r>
      <w:r w:rsidR="002C5123">
        <w:rPr>
          <w:lang w:eastAsia="x-none"/>
        </w:rPr>
        <w:t>ohledu na subjekt, který ji</w:t>
      </w:r>
      <w:r w:rsidR="003C2BE1">
        <w:rPr>
          <w:lang w:eastAsia="x-none"/>
        </w:rPr>
        <w:t xml:space="preserve"> zjistil (</w:t>
      </w:r>
      <w:r w:rsidR="002C5123">
        <w:rPr>
          <w:lang w:eastAsia="x-none"/>
        </w:rPr>
        <w:t xml:space="preserve">národní i Evropské auditní orgány, NKÚ, </w:t>
      </w:r>
      <w:r w:rsidR="003C2BE1">
        <w:rPr>
          <w:lang w:eastAsia="x-none"/>
        </w:rPr>
        <w:t xml:space="preserve">kontrola na místě ŘO, kontroly </w:t>
      </w:r>
      <w:proofErr w:type="spellStart"/>
      <w:r w:rsidR="003C2BE1">
        <w:rPr>
          <w:lang w:eastAsia="x-none"/>
        </w:rPr>
        <w:t>ŽoP</w:t>
      </w:r>
      <w:proofErr w:type="spellEnd"/>
      <w:r w:rsidR="003C2BE1">
        <w:rPr>
          <w:lang w:eastAsia="x-none"/>
        </w:rPr>
        <w:t xml:space="preserve"> ze strany ŘO)</w:t>
      </w:r>
      <w:r w:rsidR="00891E28">
        <w:rPr>
          <w:lang w:eastAsia="x-none"/>
        </w:rPr>
        <w:t xml:space="preserve">, </w:t>
      </w:r>
      <w:r w:rsidR="002C5123">
        <w:rPr>
          <w:lang w:eastAsia="x-none"/>
        </w:rPr>
        <w:t xml:space="preserve">je možné </w:t>
      </w:r>
      <w:r w:rsidR="003C2BE1">
        <w:rPr>
          <w:lang w:eastAsia="x-none"/>
        </w:rPr>
        <w:t>disponibilní alokaci</w:t>
      </w:r>
      <w:r w:rsidR="002C5123">
        <w:rPr>
          <w:lang w:eastAsia="x-none"/>
        </w:rPr>
        <w:t xml:space="preserve"> operačního programu navýšit. </w:t>
      </w:r>
      <w:r w:rsidR="00891E28">
        <w:rPr>
          <w:lang w:eastAsia="x-none"/>
        </w:rPr>
        <w:t>Korek</w:t>
      </w:r>
      <w:r w:rsidR="009835E4">
        <w:rPr>
          <w:lang w:eastAsia="x-none"/>
        </w:rPr>
        <w:t>ce iden</w:t>
      </w:r>
      <w:r w:rsidR="002C5123">
        <w:rPr>
          <w:lang w:eastAsia="x-none"/>
        </w:rPr>
        <w:t>tifikované v sam</w:t>
      </w:r>
      <w:r w:rsidR="009835E4">
        <w:rPr>
          <w:lang w:eastAsia="x-none"/>
        </w:rPr>
        <w:t xml:space="preserve">ém závěru </w:t>
      </w:r>
      <w:r w:rsidR="00891E28">
        <w:rPr>
          <w:lang w:eastAsia="x-none"/>
        </w:rPr>
        <w:t>období způsobilosti</w:t>
      </w:r>
      <w:r w:rsidR="009835E4">
        <w:rPr>
          <w:lang w:eastAsia="x-none"/>
        </w:rPr>
        <w:t xml:space="preserve"> výdajů </w:t>
      </w:r>
      <w:r w:rsidR="0092338A">
        <w:rPr>
          <w:lang w:eastAsia="x-none"/>
        </w:rPr>
        <w:t xml:space="preserve">však </w:t>
      </w:r>
      <w:r w:rsidR="002C5123">
        <w:rPr>
          <w:lang w:eastAsia="x-none"/>
        </w:rPr>
        <w:t>znamenají</w:t>
      </w:r>
      <w:r w:rsidR="00E64868">
        <w:rPr>
          <w:lang w:eastAsia="x-none"/>
        </w:rPr>
        <w:t xml:space="preserve"> </w:t>
      </w:r>
      <w:r w:rsidR="009835E4">
        <w:rPr>
          <w:lang w:eastAsia="x-none"/>
        </w:rPr>
        <w:t>čá</w:t>
      </w:r>
      <w:r w:rsidR="0092338A">
        <w:rPr>
          <w:lang w:eastAsia="x-none"/>
        </w:rPr>
        <w:t>stku nedočerpání, protože takto navýšenou alokaci již z časových důvodů není možné využít.</w:t>
      </w:r>
    </w:p>
    <w:p w:rsidR="00C8298D" w:rsidRPr="009D74D4" w:rsidRDefault="00C8298D" w:rsidP="00310D04">
      <w:pPr>
        <w:rPr>
          <w:lang w:eastAsia="x-none"/>
        </w:rPr>
      </w:pPr>
    </w:p>
    <w:p w:rsidR="00310D04" w:rsidRPr="009D74D4" w:rsidRDefault="00310D04" w:rsidP="00EB6414">
      <w:pPr>
        <w:pStyle w:val="N2Report"/>
      </w:pPr>
      <w:bookmarkStart w:id="47" w:name="_Toc417393016"/>
      <w:r w:rsidRPr="009D74D4">
        <w:t>Úspory v projektech</w:t>
      </w:r>
      <w:bookmarkEnd w:id="47"/>
    </w:p>
    <w:p w:rsidR="00524C94" w:rsidRDefault="00955333" w:rsidP="006B7DF8">
      <w:pPr>
        <w:jc w:val="both"/>
        <w:rPr>
          <w:lang w:eastAsia="x-none"/>
        </w:rPr>
      </w:pPr>
      <w:r>
        <w:rPr>
          <w:lang w:eastAsia="x-none"/>
        </w:rPr>
        <w:t xml:space="preserve">Nedočerpání rozpočtu jednotlivých projektů (neboli úspory v projektech) znamená potenciální navýšení disponibilní alokace operačního programu. </w:t>
      </w:r>
      <w:r w:rsidR="00524C94">
        <w:rPr>
          <w:lang w:eastAsia="x-none"/>
        </w:rPr>
        <w:t>Úspory</w:t>
      </w:r>
      <w:r>
        <w:rPr>
          <w:lang w:eastAsia="x-none"/>
        </w:rPr>
        <w:t xml:space="preserve"> v projektech mohou vznikat z různých příčin -</w:t>
      </w:r>
      <w:r w:rsidR="00524C94">
        <w:rPr>
          <w:lang w:eastAsia="x-none"/>
        </w:rPr>
        <w:t xml:space="preserve"> nejčastěji jsou způsobeny nižšími výdaji, než</w:t>
      </w:r>
      <w:r>
        <w:rPr>
          <w:lang w:eastAsia="x-none"/>
        </w:rPr>
        <w:t xml:space="preserve"> jaké</w:t>
      </w:r>
      <w:r w:rsidR="00524C94">
        <w:rPr>
          <w:lang w:eastAsia="x-none"/>
        </w:rPr>
        <w:t xml:space="preserve"> byly v rozpočtu </w:t>
      </w:r>
      <w:r>
        <w:rPr>
          <w:lang w:eastAsia="x-none"/>
        </w:rPr>
        <w:t>projektu původně plánovány</w:t>
      </w:r>
      <w:r w:rsidR="00524C94">
        <w:rPr>
          <w:lang w:eastAsia="x-none"/>
        </w:rPr>
        <w:t xml:space="preserve">. K tomu dochází např. snížením </w:t>
      </w:r>
      <w:r>
        <w:rPr>
          <w:lang w:eastAsia="x-none"/>
        </w:rPr>
        <w:t>pořizovacích cen, úsporami</w:t>
      </w:r>
      <w:r w:rsidR="00524C94">
        <w:rPr>
          <w:lang w:eastAsia="x-none"/>
        </w:rPr>
        <w:t xml:space="preserve"> </w:t>
      </w:r>
      <w:r w:rsidR="00524C94">
        <w:rPr>
          <w:lang w:eastAsia="x-none"/>
        </w:rPr>
        <w:lastRenderedPageBreak/>
        <w:t>ve</w:t>
      </w:r>
      <w:r w:rsidR="00EB39AC">
        <w:rPr>
          <w:lang w:eastAsia="x-none"/>
        </w:rPr>
        <w:t> </w:t>
      </w:r>
      <w:r w:rsidR="00524C94">
        <w:rPr>
          <w:lang w:eastAsia="x-none"/>
        </w:rPr>
        <w:t>veřejných zakázkách (na zakázky dodávek a služeb</w:t>
      </w:r>
      <w:r>
        <w:rPr>
          <w:lang w:eastAsia="x-none"/>
        </w:rPr>
        <w:t>, na stavební zakázky), úsporami</w:t>
      </w:r>
      <w:r w:rsidR="00EB39AC">
        <w:rPr>
          <w:lang w:eastAsia="x-none"/>
        </w:rPr>
        <w:t xml:space="preserve"> na </w:t>
      </w:r>
      <w:r w:rsidR="00524C94">
        <w:rPr>
          <w:lang w:eastAsia="x-none"/>
        </w:rPr>
        <w:t>platech, spotřebním materiálu apod.</w:t>
      </w:r>
    </w:p>
    <w:p w:rsidR="00A74525" w:rsidRDefault="00955333" w:rsidP="006B7DF8">
      <w:pPr>
        <w:jc w:val="both"/>
        <w:rPr>
          <w:lang w:eastAsia="x-none"/>
        </w:rPr>
      </w:pPr>
      <w:r>
        <w:rPr>
          <w:lang w:eastAsia="x-none"/>
        </w:rPr>
        <w:t xml:space="preserve">Pokud úspory vzniknou na začátku programového období, je možné takto nově vzniklou </w:t>
      </w:r>
      <w:r w:rsidR="00201947">
        <w:rPr>
          <w:lang w:eastAsia="x-none"/>
        </w:rPr>
        <w:t xml:space="preserve">disponibilní </w:t>
      </w:r>
      <w:r>
        <w:rPr>
          <w:lang w:eastAsia="x-none"/>
        </w:rPr>
        <w:t xml:space="preserve">alokaci efektivně využít pro další projekty/výzvy. </w:t>
      </w:r>
      <w:r w:rsidR="00A74525">
        <w:rPr>
          <w:lang w:eastAsia="x-none"/>
        </w:rPr>
        <w:t>S</w:t>
      </w:r>
      <w:r>
        <w:rPr>
          <w:lang w:eastAsia="x-none"/>
        </w:rPr>
        <w:t xml:space="preserve"> blížícím se </w:t>
      </w:r>
      <w:r w:rsidR="00A74525">
        <w:rPr>
          <w:lang w:eastAsia="x-none"/>
        </w:rPr>
        <w:t xml:space="preserve">koncem období způsobilosti výdajů se </w:t>
      </w:r>
      <w:r>
        <w:rPr>
          <w:lang w:eastAsia="x-none"/>
        </w:rPr>
        <w:t xml:space="preserve">však </w:t>
      </w:r>
      <w:r w:rsidR="00A74525">
        <w:rPr>
          <w:lang w:eastAsia="x-none"/>
        </w:rPr>
        <w:t>schopnost adekvátní reakce ŘO na nově vznikl</w:t>
      </w:r>
      <w:r>
        <w:rPr>
          <w:lang w:eastAsia="x-none"/>
        </w:rPr>
        <w:t>é úspory v ukončených projektech snižuje</w:t>
      </w:r>
      <w:r w:rsidR="00A74525">
        <w:rPr>
          <w:lang w:eastAsia="x-none"/>
        </w:rPr>
        <w:t xml:space="preserve">. </w:t>
      </w:r>
      <w:r>
        <w:rPr>
          <w:lang w:eastAsia="x-none"/>
        </w:rPr>
        <w:t>Podobně jako v případě korekcí, identifikovaných</w:t>
      </w:r>
      <w:r w:rsidR="00A74525" w:rsidRPr="00A74525">
        <w:rPr>
          <w:lang w:eastAsia="x-none"/>
        </w:rPr>
        <w:t xml:space="preserve"> v těsném závěru období způsobilosti výdajů</w:t>
      </w:r>
      <w:r>
        <w:rPr>
          <w:lang w:eastAsia="x-none"/>
        </w:rPr>
        <w:t>,</w:t>
      </w:r>
      <w:r w:rsidR="00A74525" w:rsidRPr="00A74525">
        <w:rPr>
          <w:lang w:eastAsia="x-none"/>
        </w:rPr>
        <w:t xml:space="preserve"> znamenají pro ŘO </w:t>
      </w:r>
      <w:r w:rsidR="00A74525">
        <w:rPr>
          <w:lang w:eastAsia="x-none"/>
        </w:rPr>
        <w:t xml:space="preserve">i </w:t>
      </w:r>
      <w:r>
        <w:rPr>
          <w:lang w:eastAsia="x-none"/>
        </w:rPr>
        <w:t xml:space="preserve">tyto </w:t>
      </w:r>
      <w:r w:rsidR="00A74525">
        <w:rPr>
          <w:lang w:eastAsia="x-none"/>
        </w:rPr>
        <w:t xml:space="preserve">úspory </w:t>
      </w:r>
      <w:r>
        <w:rPr>
          <w:lang w:eastAsia="x-none"/>
        </w:rPr>
        <w:t>nedočerpání alokace OP, které ŘO nemůže zabránit.</w:t>
      </w:r>
    </w:p>
    <w:p w:rsidR="00283D25" w:rsidRDefault="00283D25" w:rsidP="006B7DF8">
      <w:pPr>
        <w:jc w:val="both"/>
        <w:rPr>
          <w:lang w:eastAsia="x-none"/>
        </w:rPr>
      </w:pPr>
      <w:r>
        <w:rPr>
          <w:lang w:eastAsia="x-none"/>
        </w:rPr>
        <w:t xml:space="preserve">ŘO nedokáže dostatečně přesně odhadnout výši budoucích úspor v projektech, protože výši úspor může </w:t>
      </w:r>
      <w:r w:rsidR="00BE31D5">
        <w:rPr>
          <w:lang w:eastAsia="x-none"/>
        </w:rPr>
        <w:t>v průběhu re</w:t>
      </w:r>
      <w:r w:rsidR="00700289">
        <w:rPr>
          <w:lang w:eastAsia="x-none"/>
        </w:rPr>
        <w:t xml:space="preserve">alizace projektu </w:t>
      </w:r>
      <w:r>
        <w:rPr>
          <w:lang w:eastAsia="x-none"/>
        </w:rPr>
        <w:t>ovlivni</w:t>
      </w:r>
      <w:r w:rsidR="00700289">
        <w:rPr>
          <w:lang w:eastAsia="x-none"/>
        </w:rPr>
        <w:t xml:space="preserve">t mnoho faktorů </w:t>
      </w:r>
      <w:r>
        <w:rPr>
          <w:lang w:eastAsia="x-none"/>
        </w:rPr>
        <w:t>(legislativa, pomalé rozhodování FÚ nebo</w:t>
      </w:r>
      <w:r w:rsidR="00700289">
        <w:rPr>
          <w:lang w:eastAsia="x-none"/>
        </w:rPr>
        <w:t xml:space="preserve"> ÚOHS, </w:t>
      </w:r>
      <w:r>
        <w:rPr>
          <w:lang w:eastAsia="x-none"/>
        </w:rPr>
        <w:t>nedostatečné finanční</w:t>
      </w:r>
      <w:r w:rsidRPr="00283D25">
        <w:rPr>
          <w:lang w:eastAsia="x-none"/>
        </w:rPr>
        <w:t xml:space="preserve"> řízení projektů</w:t>
      </w:r>
      <w:r w:rsidR="00700289">
        <w:rPr>
          <w:lang w:eastAsia="x-none"/>
        </w:rPr>
        <w:t xml:space="preserve">, </w:t>
      </w:r>
      <w:r>
        <w:rPr>
          <w:lang w:eastAsia="x-none"/>
        </w:rPr>
        <w:t>nadhodnocené výdaje v rozpočtech, pomal</w:t>
      </w:r>
      <w:r w:rsidR="006A6746">
        <w:rPr>
          <w:lang w:eastAsia="x-none"/>
        </w:rPr>
        <w:t>á</w:t>
      </w:r>
      <w:r w:rsidR="00ED3C1F">
        <w:rPr>
          <w:lang w:eastAsia="x-none"/>
        </w:rPr>
        <w:t>/opakující</w:t>
      </w:r>
      <w:r w:rsidR="00700289">
        <w:rPr>
          <w:lang w:eastAsia="x-none"/>
        </w:rPr>
        <w:t xml:space="preserve"> se výběrová řízení, zpoždění staveb atd.). ŘO sice na základě již ukončených projektů dokáže alespoň přibližně odhadnout </w:t>
      </w:r>
      <w:r w:rsidR="00146358">
        <w:rPr>
          <w:lang w:eastAsia="x-none"/>
        </w:rPr>
        <w:t xml:space="preserve">předpokládanou </w:t>
      </w:r>
      <w:r w:rsidR="00700289">
        <w:rPr>
          <w:lang w:eastAsia="x-none"/>
        </w:rPr>
        <w:t>výši budoucích</w:t>
      </w:r>
      <w:r w:rsidR="00146358">
        <w:rPr>
          <w:lang w:eastAsia="x-none"/>
        </w:rPr>
        <w:t xml:space="preserve"> úspor </w:t>
      </w:r>
      <w:r w:rsidR="00700289">
        <w:rPr>
          <w:lang w:eastAsia="x-none"/>
        </w:rPr>
        <w:t>(s přihlédnutím ke specifikům jednotlivých výzev, vel</w:t>
      </w:r>
      <w:r w:rsidR="006A6746">
        <w:rPr>
          <w:lang w:eastAsia="x-none"/>
        </w:rPr>
        <w:t>i</w:t>
      </w:r>
      <w:r w:rsidR="00700289">
        <w:rPr>
          <w:lang w:eastAsia="x-none"/>
        </w:rPr>
        <w:t xml:space="preserve">kosti projektů apod., využití této potenciální budoucí disponibilní alokace je ale z důvodu možného dopadu na rozpočet kapitoly problematické. </w:t>
      </w:r>
      <w:r w:rsidR="008C3938">
        <w:rPr>
          <w:lang w:eastAsia="x-none"/>
        </w:rPr>
        <w:t>Obecně se hodnota</w:t>
      </w:r>
      <w:r w:rsidR="00E315E4">
        <w:rPr>
          <w:lang w:eastAsia="x-none"/>
        </w:rPr>
        <w:t xml:space="preserve"> úspor</w:t>
      </w:r>
      <w:r w:rsidR="008C3938">
        <w:rPr>
          <w:lang w:eastAsia="x-none"/>
        </w:rPr>
        <w:t xml:space="preserve"> v ukončených projektech pohybuje v průměru kolem 10 %</w:t>
      </w:r>
      <w:r w:rsidR="008C3938">
        <w:rPr>
          <w:rStyle w:val="Znakapoznpodarou"/>
          <w:lang w:eastAsia="x-none"/>
        </w:rPr>
        <w:footnoteReference w:id="7"/>
      </w:r>
      <w:r w:rsidR="008C3938">
        <w:rPr>
          <w:lang w:eastAsia="x-none"/>
        </w:rPr>
        <w:t xml:space="preserve"> rozpočtu.</w:t>
      </w:r>
      <w:r w:rsidR="00146358">
        <w:rPr>
          <w:lang w:eastAsia="x-none"/>
        </w:rPr>
        <w:t xml:space="preserve">  </w:t>
      </w:r>
    </w:p>
    <w:p w:rsidR="00A502AC" w:rsidRDefault="00F02CA0" w:rsidP="00E315E4">
      <w:pPr>
        <w:jc w:val="both"/>
        <w:rPr>
          <w:lang w:eastAsia="x-none"/>
        </w:rPr>
      </w:pPr>
      <w:r>
        <w:rPr>
          <w:lang w:eastAsia="x-none"/>
        </w:rPr>
        <w:t xml:space="preserve">Svůj podíl na </w:t>
      </w:r>
      <w:r w:rsidR="00700289">
        <w:rPr>
          <w:lang w:eastAsia="x-none"/>
        </w:rPr>
        <w:t>problematickém</w:t>
      </w:r>
      <w:r>
        <w:rPr>
          <w:lang w:eastAsia="x-none"/>
        </w:rPr>
        <w:t xml:space="preserve"> odhadu </w:t>
      </w:r>
      <w:r w:rsidR="00700289">
        <w:rPr>
          <w:lang w:eastAsia="x-none"/>
        </w:rPr>
        <w:t xml:space="preserve">budoucích </w:t>
      </w:r>
      <w:r>
        <w:rPr>
          <w:lang w:eastAsia="x-none"/>
        </w:rPr>
        <w:t>úspor</w:t>
      </w:r>
      <w:r w:rsidR="00700289">
        <w:rPr>
          <w:lang w:eastAsia="x-none"/>
        </w:rPr>
        <w:t xml:space="preserve"> v projektech a tedy i celkovém</w:t>
      </w:r>
      <w:r>
        <w:rPr>
          <w:lang w:eastAsia="x-none"/>
        </w:rPr>
        <w:t xml:space="preserve"> nedočerpání alokace OP má i chování příjemců, kteří ve většině p</w:t>
      </w:r>
      <w:r w:rsidR="00700289">
        <w:rPr>
          <w:lang w:eastAsia="x-none"/>
        </w:rPr>
        <w:t>řípadů do posledního okamžiku řídicímu orgánu deklarují</w:t>
      </w:r>
      <w:r>
        <w:rPr>
          <w:lang w:eastAsia="x-none"/>
        </w:rPr>
        <w:t xml:space="preserve">, že se jim podaří dočerpat </w:t>
      </w:r>
      <w:r w:rsidR="00700289">
        <w:rPr>
          <w:lang w:eastAsia="x-none"/>
        </w:rPr>
        <w:t>celou</w:t>
      </w:r>
      <w:r>
        <w:rPr>
          <w:lang w:eastAsia="x-none"/>
        </w:rPr>
        <w:t xml:space="preserve"> výši dotace a částku nedočerpání </w:t>
      </w:r>
      <w:r w:rsidR="00700289">
        <w:rPr>
          <w:lang w:eastAsia="x-none"/>
        </w:rPr>
        <w:t>přiznají až</w:t>
      </w:r>
      <w:r>
        <w:rPr>
          <w:lang w:eastAsia="x-none"/>
        </w:rPr>
        <w:t xml:space="preserve"> </w:t>
      </w:r>
      <w:r w:rsidR="00A1739D">
        <w:rPr>
          <w:lang w:eastAsia="x-none"/>
        </w:rPr>
        <w:t>těsně</w:t>
      </w:r>
      <w:r>
        <w:rPr>
          <w:lang w:eastAsia="x-none"/>
        </w:rPr>
        <w:t xml:space="preserve"> před ukončením realizace projektu, resp. ŘO zjistí čás</w:t>
      </w:r>
      <w:r w:rsidR="00C62570">
        <w:rPr>
          <w:lang w:eastAsia="x-none"/>
        </w:rPr>
        <w:t>tku nedočerpání dotace projektu</w:t>
      </w:r>
      <w:r>
        <w:rPr>
          <w:lang w:eastAsia="x-none"/>
        </w:rPr>
        <w:t xml:space="preserve"> až po podání</w:t>
      </w:r>
      <w:r w:rsidR="006B7DF8">
        <w:rPr>
          <w:lang w:eastAsia="x-none"/>
        </w:rPr>
        <w:t xml:space="preserve"> závěrečné </w:t>
      </w:r>
      <w:proofErr w:type="spellStart"/>
      <w:r w:rsidR="006B7DF8">
        <w:rPr>
          <w:lang w:eastAsia="x-none"/>
        </w:rPr>
        <w:t>ŽoP</w:t>
      </w:r>
      <w:proofErr w:type="spellEnd"/>
      <w:r w:rsidR="006B7DF8">
        <w:rPr>
          <w:lang w:eastAsia="x-none"/>
        </w:rPr>
        <w:t xml:space="preserve">. </w:t>
      </w:r>
    </w:p>
    <w:p w:rsidR="00DC0461" w:rsidRDefault="00DC0461" w:rsidP="00E315E4">
      <w:pPr>
        <w:jc w:val="both"/>
        <w:rPr>
          <w:lang w:eastAsia="x-none"/>
        </w:rPr>
      </w:pPr>
    </w:p>
    <w:p w:rsidR="00573371" w:rsidRDefault="00573371" w:rsidP="00E315E4">
      <w:pPr>
        <w:jc w:val="both"/>
        <w:rPr>
          <w:lang w:eastAsia="x-none"/>
        </w:rPr>
      </w:pPr>
    </w:p>
    <w:p w:rsidR="00573371" w:rsidRDefault="00573371" w:rsidP="00E315E4">
      <w:pPr>
        <w:jc w:val="both"/>
        <w:rPr>
          <w:lang w:eastAsia="x-none"/>
        </w:rPr>
      </w:pPr>
    </w:p>
    <w:p w:rsidR="00573371" w:rsidRDefault="00573371" w:rsidP="00E315E4">
      <w:pPr>
        <w:jc w:val="both"/>
        <w:rPr>
          <w:lang w:eastAsia="x-none"/>
        </w:rPr>
      </w:pPr>
    </w:p>
    <w:p w:rsidR="00573371" w:rsidRDefault="00573371" w:rsidP="00E315E4">
      <w:pPr>
        <w:jc w:val="both"/>
        <w:rPr>
          <w:lang w:eastAsia="x-none"/>
        </w:rPr>
      </w:pPr>
    </w:p>
    <w:p w:rsidR="00573371" w:rsidRDefault="00573371" w:rsidP="00E315E4">
      <w:pPr>
        <w:jc w:val="both"/>
        <w:rPr>
          <w:lang w:eastAsia="x-none"/>
        </w:rPr>
      </w:pPr>
    </w:p>
    <w:p w:rsidR="00573371" w:rsidRDefault="00573371" w:rsidP="00E315E4">
      <w:pPr>
        <w:jc w:val="both"/>
        <w:rPr>
          <w:lang w:eastAsia="x-none"/>
        </w:rPr>
      </w:pPr>
    </w:p>
    <w:p w:rsidR="00573371" w:rsidRDefault="00573371" w:rsidP="00E315E4">
      <w:pPr>
        <w:jc w:val="both"/>
        <w:rPr>
          <w:lang w:eastAsia="x-none"/>
        </w:rPr>
      </w:pPr>
    </w:p>
    <w:p w:rsidR="00687F12" w:rsidRDefault="00573371" w:rsidP="00687F12">
      <w:pPr>
        <w:pStyle w:val="Nadpis1"/>
      </w:pPr>
      <w:r>
        <w:br w:type="page"/>
      </w:r>
      <w:bookmarkStart w:id="48" w:name="_Toc417393017"/>
      <w:r w:rsidR="00AF3B3C" w:rsidRPr="009D74D4">
        <w:lastRenderedPageBreak/>
        <w:t xml:space="preserve">Finanční objem k dočerpání alokace OP </w:t>
      </w:r>
      <w:proofErr w:type="spellStart"/>
      <w:r w:rsidR="00AF3B3C" w:rsidRPr="009D74D4">
        <w:t>VaVpI</w:t>
      </w:r>
      <w:bookmarkEnd w:id="48"/>
      <w:proofErr w:type="spellEnd"/>
    </w:p>
    <w:p w:rsidR="007E5E48" w:rsidRPr="008A2D14" w:rsidRDefault="008A2D14" w:rsidP="00FB4EB1">
      <w:pPr>
        <w:jc w:val="both"/>
        <w:rPr>
          <w:lang w:eastAsia="x-none"/>
        </w:rPr>
      </w:pPr>
      <w:r w:rsidRPr="008A2D14">
        <w:rPr>
          <w:lang w:eastAsia="x-none"/>
        </w:rPr>
        <w:t>Od začátku programového období do konce roku 2014 příjemci</w:t>
      </w:r>
      <w:r w:rsidR="00E57617">
        <w:rPr>
          <w:lang w:eastAsia="x-none"/>
        </w:rPr>
        <w:t xml:space="preserve"> vyúčtovali </w:t>
      </w:r>
      <w:r w:rsidR="00B05202">
        <w:rPr>
          <w:lang w:eastAsia="x-none"/>
        </w:rPr>
        <w:t>víc</w:t>
      </w:r>
      <w:r w:rsidR="00A35280">
        <w:rPr>
          <w:lang w:eastAsia="x-none"/>
        </w:rPr>
        <w:t>e</w:t>
      </w:r>
      <w:r w:rsidR="002963AC">
        <w:rPr>
          <w:lang w:eastAsia="x-none"/>
        </w:rPr>
        <w:t xml:space="preserve"> než </w:t>
      </w:r>
      <w:r w:rsidR="00EB39AC">
        <w:rPr>
          <w:lang w:eastAsia="x-none"/>
        </w:rPr>
        <w:t>33,29 </w:t>
      </w:r>
      <w:r w:rsidR="00B05202">
        <w:rPr>
          <w:lang w:eastAsia="x-none"/>
        </w:rPr>
        <w:t>mld. Kč (cca 1,26 mld. EUR).</w:t>
      </w:r>
      <w:r w:rsidRPr="008A2D14">
        <w:rPr>
          <w:lang w:eastAsia="x-none"/>
        </w:rPr>
        <w:t xml:space="preserve"> </w:t>
      </w:r>
      <w:r w:rsidR="00B05202">
        <w:rPr>
          <w:lang w:eastAsia="x-none"/>
        </w:rPr>
        <w:t>Objem prostředků</w:t>
      </w:r>
      <w:r w:rsidR="00E20F03">
        <w:rPr>
          <w:lang w:eastAsia="x-none"/>
        </w:rPr>
        <w:t xml:space="preserve"> předložených</w:t>
      </w:r>
      <w:r w:rsidR="00B942F6">
        <w:rPr>
          <w:lang w:eastAsia="x-none"/>
        </w:rPr>
        <w:t xml:space="preserve"> v </w:t>
      </w:r>
      <w:proofErr w:type="spellStart"/>
      <w:r w:rsidR="00B942F6">
        <w:rPr>
          <w:lang w:eastAsia="x-none"/>
        </w:rPr>
        <w:t>SŽ</w:t>
      </w:r>
      <w:r w:rsidR="00B05202">
        <w:rPr>
          <w:lang w:eastAsia="x-none"/>
        </w:rPr>
        <w:t>oP</w:t>
      </w:r>
      <w:proofErr w:type="spellEnd"/>
      <w:r w:rsidR="00B05202">
        <w:rPr>
          <w:lang w:eastAsia="x-none"/>
        </w:rPr>
        <w:t xml:space="preserve">, </w:t>
      </w:r>
      <w:r w:rsidR="00B05202" w:rsidRPr="00B05202">
        <w:rPr>
          <w:lang w:eastAsia="x-none"/>
        </w:rPr>
        <w:t xml:space="preserve">který byl </w:t>
      </w:r>
      <w:r w:rsidR="00B05202">
        <w:rPr>
          <w:lang w:eastAsia="x-none"/>
        </w:rPr>
        <w:t>doposud zaúčtován PCO v jednotlivých let</w:t>
      </w:r>
      <w:r w:rsidR="00CB6A3F">
        <w:rPr>
          <w:lang w:eastAsia="x-none"/>
        </w:rPr>
        <w:t>ech realizace OP</w:t>
      </w:r>
      <w:r w:rsidR="00B942F6">
        <w:rPr>
          <w:lang w:eastAsia="x-none"/>
        </w:rPr>
        <w:t>,</w:t>
      </w:r>
      <w:r w:rsidR="00CB6A3F">
        <w:rPr>
          <w:lang w:eastAsia="x-none"/>
        </w:rPr>
        <w:t xml:space="preserve"> ilustruje graf</w:t>
      </w:r>
      <w:r w:rsidR="00B05202">
        <w:rPr>
          <w:lang w:eastAsia="x-none"/>
        </w:rPr>
        <w:t xml:space="preserve"> č. 1. P</w:t>
      </w:r>
      <w:r w:rsidRPr="008A2D14">
        <w:rPr>
          <w:lang w:eastAsia="x-none"/>
        </w:rPr>
        <w:t>o zohlednění finančních oprav vyúčtovali</w:t>
      </w:r>
      <w:r w:rsidR="008C062B">
        <w:rPr>
          <w:lang w:eastAsia="x-none"/>
        </w:rPr>
        <w:t xml:space="preserve"> příjemci </w:t>
      </w:r>
      <w:r w:rsidRPr="008A2D14">
        <w:rPr>
          <w:lang w:eastAsia="x-none"/>
        </w:rPr>
        <w:t>33,0 mld. Kč</w:t>
      </w:r>
      <w:r w:rsidR="008C062B">
        <w:rPr>
          <w:lang w:eastAsia="x-none"/>
        </w:rPr>
        <w:t xml:space="preserve"> (víc než </w:t>
      </w:r>
      <w:r w:rsidR="008C062B" w:rsidRPr="008C062B">
        <w:rPr>
          <w:lang w:eastAsia="x-none"/>
        </w:rPr>
        <w:t>1,25 mld. EUR</w:t>
      </w:r>
      <w:r w:rsidR="008C062B">
        <w:rPr>
          <w:lang w:eastAsia="x-none"/>
        </w:rPr>
        <w:t>)</w:t>
      </w:r>
      <w:r w:rsidRPr="008A2D14">
        <w:rPr>
          <w:lang w:eastAsia="x-none"/>
        </w:rPr>
        <w:t xml:space="preserve">, což je </w:t>
      </w:r>
      <w:r w:rsidR="005A0B1D">
        <w:rPr>
          <w:lang w:eastAsia="x-none"/>
        </w:rPr>
        <w:t>68,89</w:t>
      </w:r>
      <w:r w:rsidRPr="008A2D14">
        <w:rPr>
          <w:lang w:eastAsia="x-none"/>
        </w:rPr>
        <w:t xml:space="preserve"> % celkové alokace OP ponížené o včas nevyčerpané prostředky v roce 2014</w:t>
      </w:r>
      <w:r w:rsidR="005A0B1D">
        <w:rPr>
          <w:rStyle w:val="Znakapoznpodarou"/>
          <w:lang w:eastAsia="x-none"/>
        </w:rPr>
        <w:footnoteReference w:id="8"/>
      </w:r>
      <w:r w:rsidRPr="008A2D14">
        <w:rPr>
          <w:lang w:eastAsia="x-none"/>
        </w:rPr>
        <w:t xml:space="preserve">. Při zohlednění této ztráty zbývá do konce programového období </w:t>
      </w:r>
      <w:r w:rsidR="008C062B">
        <w:rPr>
          <w:lang w:eastAsia="x-none"/>
        </w:rPr>
        <w:t>certifikovat</w:t>
      </w:r>
      <w:r w:rsidRPr="008A2D14">
        <w:rPr>
          <w:lang w:eastAsia="x-none"/>
        </w:rPr>
        <w:t xml:space="preserve"> </w:t>
      </w:r>
      <w:r w:rsidR="00E57617">
        <w:rPr>
          <w:lang w:eastAsia="x-none"/>
        </w:rPr>
        <w:t>víc</w:t>
      </w:r>
      <w:r w:rsidR="000562B2">
        <w:rPr>
          <w:lang w:eastAsia="x-none"/>
        </w:rPr>
        <w:t>e</w:t>
      </w:r>
      <w:r w:rsidR="00E57617">
        <w:rPr>
          <w:lang w:eastAsia="x-none"/>
        </w:rPr>
        <w:t xml:space="preserve"> než 568,7 mil. EUR</w:t>
      </w:r>
      <w:r w:rsidR="002963AC">
        <w:rPr>
          <w:lang w:eastAsia="x-none"/>
        </w:rPr>
        <w:t xml:space="preserve"> (viz. </w:t>
      </w:r>
      <w:proofErr w:type="gramStart"/>
      <w:r w:rsidR="00E20F03">
        <w:rPr>
          <w:lang w:eastAsia="x-none"/>
        </w:rPr>
        <w:t>graf</w:t>
      </w:r>
      <w:proofErr w:type="gramEnd"/>
      <w:r w:rsidR="00E20F03">
        <w:rPr>
          <w:lang w:eastAsia="x-none"/>
        </w:rPr>
        <w:t xml:space="preserve"> č. 2)</w:t>
      </w:r>
      <w:r w:rsidR="00E57617">
        <w:rPr>
          <w:lang w:eastAsia="x-none"/>
        </w:rPr>
        <w:t xml:space="preserve">, což v přepočtu na </w:t>
      </w:r>
      <w:r w:rsidR="008C062B">
        <w:rPr>
          <w:lang w:eastAsia="x-none"/>
        </w:rPr>
        <w:t xml:space="preserve">CZK </w:t>
      </w:r>
      <w:r w:rsidR="000562B2">
        <w:rPr>
          <w:lang w:eastAsia="x-none"/>
        </w:rPr>
        <w:t>představuje částku</w:t>
      </w:r>
      <w:r w:rsidR="008C062B">
        <w:rPr>
          <w:lang w:eastAsia="x-none"/>
        </w:rPr>
        <w:t xml:space="preserve"> </w:t>
      </w:r>
      <w:r w:rsidR="000562B2">
        <w:rPr>
          <w:lang w:eastAsia="x-none"/>
        </w:rPr>
        <w:t xml:space="preserve">přibližně </w:t>
      </w:r>
      <w:r w:rsidR="000455B4">
        <w:rPr>
          <w:lang w:eastAsia="x-none"/>
        </w:rPr>
        <w:t>15,6</w:t>
      </w:r>
      <w:r w:rsidRPr="008A2D14">
        <w:rPr>
          <w:lang w:eastAsia="x-none"/>
        </w:rPr>
        <w:t xml:space="preserve"> </w:t>
      </w:r>
      <w:r w:rsidR="000455B4">
        <w:rPr>
          <w:lang w:eastAsia="x-none"/>
        </w:rPr>
        <w:t>-</w:t>
      </w:r>
      <w:r w:rsidR="00D84C33">
        <w:rPr>
          <w:lang w:eastAsia="x-none"/>
        </w:rPr>
        <w:t xml:space="preserve"> </w:t>
      </w:r>
      <w:r w:rsidR="000455B4">
        <w:rPr>
          <w:lang w:eastAsia="x-none"/>
        </w:rPr>
        <w:t xml:space="preserve">15,8 </w:t>
      </w:r>
      <w:r w:rsidRPr="008A2D14">
        <w:rPr>
          <w:lang w:eastAsia="x-none"/>
        </w:rPr>
        <w:t>mld. Kč</w:t>
      </w:r>
      <w:r w:rsidR="000455B4">
        <w:rPr>
          <w:lang w:eastAsia="x-none"/>
        </w:rPr>
        <w:t xml:space="preserve"> v závislosti na vývoji kurzu CZK/EUR</w:t>
      </w:r>
      <w:r w:rsidRPr="008A2D14">
        <w:rPr>
          <w:lang w:eastAsia="x-none"/>
        </w:rPr>
        <w:t xml:space="preserve">. </w:t>
      </w:r>
    </w:p>
    <w:p w:rsidR="0049467B" w:rsidRPr="00A926A8" w:rsidRDefault="0049467B" w:rsidP="00A926A8">
      <w:pPr>
        <w:pStyle w:val="TabReport"/>
      </w:pPr>
      <w:bookmarkStart w:id="49" w:name="_Toc417339659"/>
      <w:r w:rsidRPr="00A926A8">
        <w:t xml:space="preserve">Graf č. </w:t>
      </w:r>
      <w:r w:rsidR="00B05202" w:rsidRPr="00A926A8">
        <w:t>1</w:t>
      </w:r>
      <w:r w:rsidRPr="00A926A8">
        <w:t xml:space="preserve"> Částka </w:t>
      </w:r>
      <w:proofErr w:type="spellStart"/>
      <w:r w:rsidRPr="00A926A8">
        <w:t>SŽoP</w:t>
      </w:r>
      <w:proofErr w:type="spellEnd"/>
      <w:r w:rsidRPr="00A926A8">
        <w:t xml:space="preserve"> doposud zaúčtovaných ze strany PCO v mil. Kč a </w:t>
      </w:r>
      <w:r w:rsidR="0052168C" w:rsidRPr="00A926A8">
        <w:t xml:space="preserve">mil. </w:t>
      </w:r>
      <w:r w:rsidRPr="00A926A8">
        <w:t>EUR (EU podíl)</w:t>
      </w:r>
      <w:bookmarkEnd w:id="49"/>
    </w:p>
    <w:p w:rsidR="00AA536F" w:rsidRPr="00AA536F" w:rsidRDefault="00C54A24" w:rsidP="00AA536F">
      <w:pPr>
        <w:spacing w:after="0"/>
        <w:rPr>
          <w:noProof/>
          <w:sz w:val="16"/>
          <w:szCs w:val="16"/>
          <w:lang w:eastAsia="cs-CZ"/>
        </w:rPr>
      </w:pPr>
      <w:r>
        <w:rPr>
          <w:noProof/>
          <w:lang w:eastAsia="cs-CZ"/>
        </w:rPr>
        <w:drawing>
          <wp:inline distT="0" distB="0" distL="0" distR="0" wp14:anchorId="04BE4489" wp14:editId="1257F6AB">
            <wp:extent cx="5743575" cy="4942840"/>
            <wp:effectExtent l="0" t="0" r="9525" b="10160"/>
            <wp:docPr id="6" name="Graf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 w:rsidR="00AA536F">
        <w:rPr>
          <w:noProof/>
          <w:sz w:val="16"/>
          <w:szCs w:val="16"/>
          <w:lang w:eastAsia="cs-CZ"/>
        </w:rPr>
        <w:t>Zdroj: MSC 2007 – stav k 4. 4. 2015</w:t>
      </w:r>
    </w:p>
    <w:p w:rsidR="00AA536F" w:rsidRPr="002D768F" w:rsidRDefault="00AA536F" w:rsidP="00AA536F">
      <w:pPr>
        <w:spacing w:after="0"/>
        <w:rPr>
          <w:bCs/>
          <w:iCs/>
          <w:lang w:eastAsia="x-none"/>
        </w:rPr>
      </w:pPr>
    </w:p>
    <w:p w:rsidR="00972167" w:rsidRPr="00972167" w:rsidRDefault="00250EC4" w:rsidP="00972167">
      <w:pPr>
        <w:jc w:val="both"/>
        <w:rPr>
          <w:bCs/>
          <w:iCs/>
          <w:lang w:eastAsia="x-none"/>
        </w:rPr>
      </w:pPr>
      <w:r>
        <w:rPr>
          <w:bCs/>
          <w:iCs/>
          <w:lang w:eastAsia="x-none"/>
        </w:rPr>
        <w:t xml:space="preserve">Částka </w:t>
      </w:r>
      <w:proofErr w:type="spellStart"/>
      <w:r>
        <w:rPr>
          <w:bCs/>
          <w:iCs/>
          <w:lang w:eastAsia="x-none"/>
        </w:rPr>
        <w:t>S</w:t>
      </w:r>
      <w:r w:rsidR="00972167" w:rsidRPr="00972167">
        <w:rPr>
          <w:bCs/>
          <w:iCs/>
          <w:lang w:eastAsia="x-none"/>
        </w:rPr>
        <w:t>ŽoP</w:t>
      </w:r>
      <w:proofErr w:type="spellEnd"/>
      <w:r w:rsidR="00972167" w:rsidRPr="00972167">
        <w:rPr>
          <w:bCs/>
          <w:iCs/>
          <w:lang w:eastAsia="x-none"/>
        </w:rPr>
        <w:t xml:space="preserve"> </w:t>
      </w:r>
      <w:r w:rsidR="005A0B1D">
        <w:rPr>
          <w:bCs/>
          <w:iCs/>
          <w:lang w:eastAsia="x-none"/>
        </w:rPr>
        <w:t xml:space="preserve">doposud zaúčtovaných ze strany </w:t>
      </w:r>
      <w:r w:rsidR="005A0B1D" w:rsidRPr="00972167">
        <w:rPr>
          <w:bCs/>
          <w:iCs/>
          <w:lang w:eastAsia="x-none"/>
        </w:rPr>
        <w:t>MF-PCO</w:t>
      </w:r>
      <w:r w:rsidR="005A0B1D">
        <w:rPr>
          <w:bCs/>
          <w:iCs/>
          <w:lang w:eastAsia="x-none"/>
        </w:rPr>
        <w:t xml:space="preserve"> </w:t>
      </w:r>
      <w:r w:rsidR="009F5EF4">
        <w:rPr>
          <w:bCs/>
          <w:iCs/>
          <w:lang w:eastAsia="x-none"/>
        </w:rPr>
        <w:t xml:space="preserve">v roce 2015 </w:t>
      </w:r>
      <w:r w:rsidR="005A0B1D">
        <w:rPr>
          <w:bCs/>
          <w:iCs/>
          <w:lang w:eastAsia="x-none"/>
        </w:rPr>
        <w:t>v</w:t>
      </w:r>
      <w:r w:rsidR="009F5EF4">
        <w:rPr>
          <w:bCs/>
          <w:iCs/>
          <w:lang w:eastAsia="x-none"/>
        </w:rPr>
        <w:t>e výši</w:t>
      </w:r>
      <w:r w:rsidR="005A0B1D">
        <w:rPr>
          <w:bCs/>
          <w:iCs/>
          <w:lang w:eastAsia="x-none"/>
        </w:rPr>
        <w:t xml:space="preserve"> </w:t>
      </w:r>
      <w:r w:rsidR="009F5EF4">
        <w:rPr>
          <w:bCs/>
          <w:iCs/>
          <w:lang w:eastAsia="x-none"/>
        </w:rPr>
        <w:t>uvedené</w:t>
      </w:r>
      <w:r w:rsidR="006055EF">
        <w:rPr>
          <w:bCs/>
          <w:iCs/>
          <w:lang w:eastAsia="x-none"/>
        </w:rPr>
        <w:t xml:space="preserve"> v grafu č. </w:t>
      </w:r>
      <w:r w:rsidR="009F5EF4">
        <w:rPr>
          <w:bCs/>
          <w:iCs/>
          <w:lang w:eastAsia="x-none"/>
        </w:rPr>
        <w:t>1</w:t>
      </w:r>
      <w:r w:rsidR="005A0B1D">
        <w:rPr>
          <w:bCs/>
          <w:iCs/>
          <w:color w:val="FF0000"/>
          <w:lang w:eastAsia="x-none"/>
        </w:rPr>
        <w:t xml:space="preserve"> </w:t>
      </w:r>
      <w:r w:rsidR="00972167">
        <w:rPr>
          <w:bCs/>
          <w:iCs/>
          <w:lang w:eastAsia="x-none"/>
        </w:rPr>
        <w:t>bude vstupovat do příští</w:t>
      </w:r>
      <w:r w:rsidR="009F5EF4">
        <w:rPr>
          <w:bCs/>
          <w:iCs/>
          <w:lang w:eastAsia="x-none"/>
        </w:rPr>
        <w:t xml:space="preserve"> certifikace, tj. </w:t>
      </w:r>
      <w:r w:rsidR="00972167">
        <w:rPr>
          <w:bCs/>
          <w:iCs/>
          <w:lang w:eastAsia="x-none"/>
        </w:rPr>
        <w:t>v červnu 2015.</w:t>
      </w:r>
      <w:r w:rsidR="005A0B1D">
        <w:rPr>
          <w:bCs/>
          <w:iCs/>
          <w:lang w:eastAsia="x-none"/>
        </w:rPr>
        <w:t xml:space="preserve"> </w:t>
      </w:r>
      <w:r w:rsidR="009F5EF4">
        <w:rPr>
          <w:bCs/>
          <w:iCs/>
          <w:lang w:eastAsia="x-none"/>
        </w:rPr>
        <w:t>V certifi</w:t>
      </w:r>
      <w:r w:rsidR="000562B2">
        <w:rPr>
          <w:bCs/>
          <w:iCs/>
          <w:lang w:eastAsia="x-none"/>
        </w:rPr>
        <w:t xml:space="preserve">kované částce se následně </w:t>
      </w:r>
      <w:r w:rsidR="009F5EF4">
        <w:rPr>
          <w:bCs/>
          <w:iCs/>
          <w:lang w:eastAsia="x-none"/>
        </w:rPr>
        <w:lastRenderedPageBreak/>
        <w:t xml:space="preserve">projeví </w:t>
      </w:r>
      <w:r w:rsidR="000562B2">
        <w:rPr>
          <w:bCs/>
          <w:iCs/>
          <w:lang w:eastAsia="x-none"/>
        </w:rPr>
        <w:t xml:space="preserve">i </w:t>
      </w:r>
      <w:r w:rsidR="009F5EF4">
        <w:rPr>
          <w:bCs/>
          <w:iCs/>
          <w:lang w:eastAsia="x-none"/>
        </w:rPr>
        <w:t>finanční opravy</w:t>
      </w:r>
      <w:r w:rsidR="006F5FE5">
        <w:rPr>
          <w:bCs/>
          <w:iCs/>
          <w:lang w:eastAsia="x-none"/>
        </w:rPr>
        <w:t xml:space="preserve"> </w:t>
      </w:r>
      <w:r w:rsidR="000562B2">
        <w:rPr>
          <w:bCs/>
          <w:iCs/>
          <w:lang w:eastAsia="x-none"/>
        </w:rPr>
        <w:t xml:space="preserve">a to </w:t>
      </w:r>
      <w:r w:rsidR="006F5FE5">
        <w:rPr>
          <w:bCs/>
          <w:iCs/>
          <w:lang w:eastAsia="x-none"/>
        </w:rPr>
        <w:t xml:space="preserve">včetně těch, </w:t>
      </w:r>
      <w:r w:rsidR="000562B2">
        <w:rPr>
          <w:bCs/>
          <w:iCs/>
          <w:lang w:eastAsia="x-none"/>
        </w:rPr>
        <w:t>jejichž</w:t>
      </w:r>
      <w:r w:rsidR="006F5FE5">
        <w:rPr>
          <w:bCs/>
          <w:iCs/>
          <w:lang w:eastAsia="x-none"/>
        </w:rPr>
        <w:t xml:space="preserve"> zaúčtování PCO na žádost ŘO v zájmu zvýšení objemu certifikovaných výdajů na konci roku 2014 a snížení ztráty alokace odložilo. </w:t>
      </w:r>
    </w:p>
    <w:p w:rsidR="00284317" w:rsidRPr="00284317" w:rsidRDefault="00284317" w:rsidP="00426E2C">
      <w:pPr>
        <w:pStyle w:val="TabReport"/>
      </w:pPr>
      <w:bookmarkStart w:id="50" w:name="_Toc417339660"/>
      <w:r w:rsidRPr="00284317">
        <w:t xml:space="preserve">Graf </w:t>
      </w:r>
      <w:proofErr w:type="gramStart"/>
      <w:r w:rsidRPr="00284317">
        <w:t xml:space="preserve">č. </w:t>
      </w:r>
      <w:r>
        <w:t>2</w:t>
      </w:r>
      <w:r w:rsidRPr="00284317">
        <w:t xml:space="preserve"> </w:t>
      </w:r>
      <w:r>
        <w:t>Objem</w:t>
      </w:r>
      <w:proofErr w:type="gramEnd"/>
      <w:r>
        <w:t xml:space="preserve"> certifikovaných výdajů do 31.</w:t>
      </w:r>
      <w:r w:rsidR="00BF7836">
        <w:t xml:space="preserve"> </w:t>
      </w:r>
      <w:r>
        <w:t>12.</w:t>
      </w:r>
      <w:r w:rsidR="00BF7836">
        <w:t xml:space="preserve"> </w:t>
      </w:r>
      <w:r>
        <w:t>2014</w:t>
      </w:r>
      <w:r w:rsidRPr="00284317">
        <w:t xml:space="preserve"> v mil. EUR (EU podíl)</w:t>
      </w:r>
      <w:bookmarkEnd w:id="50"/>
    </w:p>
    <w:p w:rsidR="00284317" w:rsidRDefault="00C54A24" w:rsidP="000913C8">
      <w:pPr>
        <w:spacing w:after="0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539EA8C1" wp14:editId="08BCDB85">
            <wp:extent cx="5743575" cy="1656080"/>
            <wp:effectExtent l="0" t="0" r="9525" b="20320"/>
            <wp:docPr id="5" name="Graf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0913C8" w:rsidRDefault="000913C8" w:rsidP="00DF45D8">
      <w:pPr>
        <w:rPr>
          <w:noProof/>
          <w:sz w:val="16"/>
          <w:szCs w:val="16"/>
          <w:lang w:eastAsia="cs-CZ"/>
        </w:rPr>
      </w:pPr>
      <w:r w:rsidRPr="000913C8">
        <w:rPr>
          <w:noProof/>
          <w:sz w:val="16"/>
          <w:szCs w:val="16"/>
          <w:lang w:eastAsia="cs-CZ"/>
        </w:rPr>
        <w:t>Zdroj: MSC 2007 – stav k </w:t>
      </w:r>
      <w:r w:rsidR="00E80B69">
        <w:rPr>
          <w:noProof/>
          <w:sz w:val="16"/>
          <w:szCs w:val="16"/>
          <w:lang w:eastAsia="cs-CZ"/>
        </w:rPr>
        <w:t>31</w:t>
      </w:r>
      <w:r w:rsidRPr="000913C8">
        <w:rPr>
          <w:noProof/>
          <w:sz w:val="16"/>
          <w:szCs w:val="16"/>
          <w:lang w:eastAsia="cs-CZ"/>
        </w:rPr>
        <w:t xml:space="preserve">. </w:t>
      </w:r>
      <w:r w:rsidR="00E80B69">
        <w:rPr>
          <w:noProof/>
          <w:sz w:val="16"/>
          <w:szCs w:val="16"/>
          <w:lang w:eastAsia="cs-CZ"/>
        </w:rPr>
        <w:t>12</w:t>
      </w:r>
      <w:r w:rsidRPr="000913C8">
        <w:rPr>
          <w:noProof/>
          <w:sz w:val="16"/>
          <w:szCs w:val="16"/>
          <w:lang w:eastAsia="cs-CZ"/>
        </w:rPr>
        <w:t xml:space="preserve">. </w:t>
      </w:r>
      <w:r w:rsidR="00E80B69">
        <w:rPr>
          <w:noProof/>
          <w:sz w:val="16"/>
          <w:szCs w:val="16"/>
          <w:lang w:eastAsia="cs-CZ"/>
        </w:rPr>
        <w:t>2014</w:t>
      </w:r>
    </w:p>
    <w:p w:rsidR="001B11C0" w:rsidRPr="000913C8" w:rsidRDefault="001B11C0" w:rsidP="00DF45D8">
      <w:pPr>
        <w:rPr>
          <w:noProof/>
          <w:sz w:val="16"/>
          <w:szCs w:val="16"/>
          <w:lang w:eastAsia="cs-CZ"/>
        </w:rPr>
      </w:pPr>
    </w:p>
    <w:p w:rsidR="00DF45D8" w:rsidRPr="00554EA4" w:rsidRDefault="00E23117" w:rsidP="00DF45D8">
      <w:pPr>
        <w:jc w:val="both"/>
        <w:rPr>
          <w:bCs/>
          <w:iCs/>
          <w:lang w:eastAsia="x-none"/>
        </w:rPr>
      </w:pPr>
      <w:r>
        <w:rPr>
          <w:bCs/>
          <w:iCs/>
          <w:lang w:eastAsia="x-none"/>
        </w:rPr>
        <w:t xml:space="preserve">Graf </w:t>
      </w:r>
      <w:r w:rsidR="00976871">
        <w:rPr>
          <w:bCs/>
          <w:iCs/>
          <w:lang w:eastAsia="x-none"/>
        </w:rPr>
        <w:t xml:space="preserve">č. 2 </w:t>
      </w:r>
      <w:r>
        <w:rPr>
          <w:bCs/>
          <w:iCs/>
          <w:lang w:eastAsia="x-none"/>
        </w:rPr>
        <w:t xml:space="preserve">znázorňuje stav objemu certifikovaných prostředků do konce roku 2014. V důsledku nesplnění pravidla n+2 pro závazek roku 2012 ŘO </w:t>
      </w:r>
      <w:r w:rsidR="00976871">
        <w:rPr>
          <w:bCs/>
          <w:iCs/>
          <w:lang w:eastAsia="x-none"/>
        </w:rPr>
        <w:t xml:space="preserve">přišel </w:t>
      </w:r>
      <w:r>
        <w:rPr>
          <w:bCs/>
          <w:iCs/>
          <w:lang w:eastAsia="x-none"/>
        </w:rPr>
        <w:t>o nedočerpanou část alokace OP stanovenou limitem</w:t>
      </w:r>
      <w:r w:rsidR="00976871">
        <w:rPr>
          <w:bCs/>
          <w:iCs/>
          <w:lang w:eastAsia="x-none"/>
        </w:rPr>
        <w:t xml:space="preserve"> n+2</w:t>
      </w:r>
      <w:r w:rsidR="00B942F6">
        <w:rPr>
          <w:bCs/>
          <w:iCs/>
          <w:lang w:eastAsia="x-none"/>
        </w:rPr>
        <w:t>. Možnost využití čl. 95 Obecného nařízení</w:t>
      </w:r>
      <w:r w:rsidR="00976871">
        <w:rPr>
          <w:bCs/>
          <w:iCs/>
          <w:lang w:eastAsia="x-none"/>
        </w:rPr>
        <w:t xml:space="preserve">, kterou </w:t>
      </w:r>
      <w:r w:rsidR="00EE2EE8">
        <w:rPr>
          <w:bCs/>
          <w:iCs/>
          <w:lang w:eastAsia="x-none"/>
        </w:rPr>
        <w:t xml:space="preserve">ŘO využil, </w:t>
      </w:r>
      <w:r w:rsidR="00B942F6">
        <w:rPr>
          <w:bCs/>
          <w:iCs/>
          <w:lang w:eastAsia="x-none"/>
        </w:rPr>
        <w:t>znamenala snížení výše</w:t>
      </w:r>
      <w:r>
        <w:rPr>
          <w:bCs/>
          <w:iCs/>
          <w:lang w:eastAsia="x-none"/>
        </w:rPr>
        <w:t xml:space="preserve"> ztráty alokace na konci rok</w:t>
      </w:r>
      <w:r w:rsidR="00B942F6">
        <w:rPr>
          <w:bCs/>
          <w:iCs/>
          <w:lang w:eastAsia="x-none"/>
        </w:rPr>
        <w:t xml:space="preserve">u 2014 o </w:t>
      </w:r>
      <w:r w:rsidR="00B942F6" w:rsidRPr="00A970EF">
        <w:rPr>
          <w:bCs/>
          <w:iCs/>
          <w:lang w:eastAsia="x-none"/>
        </w:rPr>
        <w:t>4</w:t>
      </w:r>
      <w:r w:rsidR="001224A2" w:rsidRPr="00A970EF">
        <w:rPr>
          <w:bCs/>
          <w:iCs/>
          <w:lang w:eastAsia="x-none"/>
        </w:rPr>
        <w:t> </w:t>
      </w:r>
      <w:r w:rsidR="00B942F6" w:rsidRPr="00A970EF">
        <w:rPr>
          <w:bCs/>
          <w:iCs/>
          <w:lang w:eastAsia="x-none"/>
        </w:rPr>
        <w:t>0</w:t>
      </w:r>
      <w:r w:rsidR="001224A2" w:rsidRPr="00A970EF">
        <w:rPr>
          <w:bCs/>
          <w:iCs/>
          <w:lang w:eastAsia="x-none"/>
        </w:rPr>
        <w:t>69 </w:t>
      </w:r>
      <w:r w:rsidR="00B942F6" w:rsidRPr="00A970EF">
        <w:rPr>
          <w:bCs/>
          <w:iCs/>
          <w:lang w:eastAsia="x-none"/>
        </w:rPr>
        <w:t>8</w:t>
      </w:r>
      <w:r w:rsidR="001224A2" w:rsidRPr="00A970EF">
        <w:rPr>
          <w:bCs/>
          <w:iCs/>
          <w:lang w:eastAsia="x-none"/>
        </w:rPr>
        <w:t>1</w:t>
      </w:r>
      <w:r w:rsidR="00B942F6" w:rsidRPr="00A970EF">
        <w:rPr>
          <w:bCs/>
          <w:iCs/>
          <w:lang w:eastAsia="x-none"/>
        </w:rPr>
        <w:t xml:space="preserve">3,11 </w:t>
      </w:r>
      <w:r w:rsidR="00B942F6">
        <w:rPr>
          <w:bCs/>
          <w:iCs/>
          <w:lang w:eastAsia="x-none"/>
        </w:rPr>
        <w:t>EUR (EU podíl</w:t>
      </w:r>
      <w:r>
        <w:rPr>
          <w:bCs/>
          <w:iCs/>
          <w:lang w:eastAsia="x-none"/>
        </w:rPr>
        <w:t>)</w:t>
      </w:r>
      <w:r w:rsidR="00DF45D8">
        <w:rPr>
          <w:bCs/>
          <w:iCs/>
          <w:lang w:eastAsia="x-none"/>
        </w:rPr>
        <w:t xml:space="preserve">, finální částka ztráty alokace schválená ze strany EK </w:t>
      </w:r>
      <w:r w:rsidR="00B942F6">
        <w:rPr>
          <w:bCs/>
          <w:iCs/>
          <w:lang w:eastAsia="x-none"/>
        </w:rPr>
        <w:t xml:space="preserve">tedy </w:t>
      </w:r>
      <w:r w:rsidR="00DF45D8">
        <w:rPr>
          <w:bCs/>
          <w:iCs/>
          <w:lang w:eastAsia="x-none"/>
        </w:rPr>
        <w:t xml:space="preserve">činí 242 528 153 EUR. Následkem </w:t>
      </w:r>
      <w:r w:rsidR="00B942F6">
        <w:rPr>
          <w:bCs/>
          <w:iCs/>
          <w:lang w:eastAsia="x-none"/>
        </w:rPr>
        <w:t xml:space="preserve">tohoto automatického zrušení závazku, neboli </w:t>
      </w:r>
      <w:proofErr w:type="spellStart"/>
      <w:r w:rsidR="00B942F6">
        <w:rPr>
          <w:bCs/>
          <w:iCs/>
          <w:lang w:eastAsia="x-none"/>
        </w:rPr>
        <w:t>decommitmentu</w:t>
      </w:r>
      <w:proofErr w:type="spellEnd"/>
      <w:r w:rsidR="00B942F6">
        <w:rPr>
          <w:bCs/>
          <w:iCs/>
          <w:lang w:eastAsia="x-none"/>
        </w:rPr>
        <w:t xml:space="preserve">, </w:t>
      </w:r>
      <w:r w:rsidR="00DF45D8">
        <w:rPr>
          <w:bCs/>
          <w:iCs/>
          <w:lang w:eastAsia="x-none"/>
        </w:rPr>
        <w:t xml:space="preserve">se </w:t>
      </w:r>
      <w:r w:rsidR="00B942F6">
        <w:rPr>
          <w:bCs/>
          <w:iCs/>
          <w:lang w:eastAsia="x-none"/>
        </w:rPr>
        <w:t xml:space="preserve">celková alokace OP </w:t>
      </w:r>
      <w:proofErr w:type="spellStart"/>
      <w:r w:rsidR="00B942F6">
        <w:rPr>
          <w:bCs/>
          <w:iCs/>
          <w:lang w:eastAsia="x-none"/>
        </w:rPr>
        <w:t>VaVpI</w:t>
      </w:r>
      <w:proofErr w:type="spellEnd"/>
      <w:r w:rsidR="00B942F6">
        <w:rPr>
          <w:bCs/>
          <w:iCs/>
          <w:lang w:eastAsia="x-none"/>
        </w:rPr>
        <w:t xml:space="preserve"> snížila</w:t>
      </w:r>
      <w:r w:rsidR="00DF45D8">
        <w:rPr>
          <w:bCs/>
          <w:iCs/>
          <w:lang w:eastAsia="x-none"/>
        </w:rPr>
        <w:t xml:space="preserve"> na </w:t>
      </w:r>
      <w:r w:rsidR="00DF45D8" w:rsidRPr="00486BFF">
        <w:rPr>
          <w:b/>
          <w:bCs/>
          <w:iCs/>
          <w:lang w:eastAsia="x-none"/>
        </w:rPr>
        <w:t>1 828 152 731 EUR</w:t>
      </w:r>
      <w:r w:rsidR="00DF45D8">
        <w:rPr>
          <w:bCs/>
          <w:iCs/>
          <w:lang w:eastAsia="x-none"/>
        </w:rPr>
        <w:t>. Do ko</w:t>
      </w:r>
      <w:r w:rsidR="00B942F6">
        <w:rPr>
          <w:bCs/>
          <w:iCs/>
          <w:lang w:eastAsia="x-none"/>
        </w:rPr>
        <w:t>nce programového období zbývá certifikovat částku</w:t>
      </w:r>
      <w:r w:rsidR="006055EF">
        <w:rPr>
          <w:bCs/>
          <w:iCs/>
          <w:lang w:eastAsia="x-none"/>
        </w:rPr>
        <w:t xml:space="preserve"> 568,79 mil. </w:t>
      </w:r>
      <w:r w:rsidR="00DF45D8">
        <w:rPr>
          <w:bCs/>
          <w:iCs/>
          <w:lang w:eastAsia="x-none"/>
        </w:rPr>
        <w:t>EUR</w:t>
      </w:r>
      <w:r w:rsidR="00B942F6">
        <w:rPr>
          <w:bCs/>
          <w:iCs/>
          <w:lang w:eastAsia="x-none"/>
        </w:rPr>
        <w:t xml:space="preserve">, což představuje </w:t>
      </w:r>
      <w:r w:rsidR="009F4845">
        <w:rPr>
          <w:bCs/>
          <w:iCs/>
          <w:lang w:eastAsia="x-none"/>
        </w:rPr>
        <w:t xml:space="preserve">cca </w:t>
      </w:r>
      <w:r w:rsidR="009F4845" w:rsidRPr="009F4845">
        <w:rPr>
          <w:bCs/>
          <w:iCs/>
          <w:lang w:eastAsia="x-none"/>
        </w:rPr>
        <w:t>15,6 - 15,8 mld. Kč</w:t>
      </w:r>
      <w:r w:rsidR="009F4845">
        <w:rPr>
          <w:bCs/>
          <w:iCs/>
          <w:lang w:eastAsia="x-none"/>
        </w:rPr>
        <w:t xml:space="preserve"> (EU podíl).</w:t>
      </w:r>
      <w:r w:rsidR="00456FB5">
        <w:rPr>
          <w:bCs/>
          <w:iCs/>
          <w:lang w:eastAsia="x-none"/>
        </w:rPr>
        <w:t xml:space="preserve"> Tento objem bude nutné </w:t>
      </w:r>
      <w:r w:rsidR="001B11C0">
        <w:rPr>
          <w:bCs/>
          <w:iCs/>
          <w:lang w:eastAsia="x-none"/>
        </w:rPr>
        <w:t xml:space="preserve">dle </w:t>
      </w:r>
      <w:r w:rsidR="002E7942">
        <w:rPr>
          <w:bCs/>
          <w:iCs/>
          <w:lang w:eastAsia="x-none"/>
        </w:rPr>
        <w:t xml:space="preserve">metodiky </w:t>
      </w:r>
      <w:r w:rsidR="001B11C0">
        <w:rPr>
          <w:bCs/>
          <w:iCs/>
          <w:lang w:eastAsia="x-none"/>
        </w:rPr>
        <w:t xml:space="preserve">platné </w:t>
      </w:r>
      <w:r w:rsidR="002E7942">
        <w:rPr>
          <w:bCs/>
          <w:iCs/>
          <w:lang w:eastAsia="x-none"/>
        </w:rPr>
        <w:t xml:space="preserve">od 20. 4. 2015 </w:t>
      </w:r>
      <w:r w:rsidR="00456FB5">
        <w:rPr>
          <w:bCs/>
          <w:iCs/>
          <w:lang w:eastAsia="x-none"/>
        </w:rPr>
        <w:t>předložit MF-PCO v </w:t>
      </w:r>
      <w:proofErr w:type="spellStart"/>
      <w:r w:rsidR="00456FB5">
        <w:rPr>
          <w:bCs/>
          <w:iCs/>
          <w:lang w:eastAsia="x-none"/>
        </w:rPr>
        <w:t>SŽoP</w:t>
      </w:r>
      <w:proofErr w:type="spellEnd"/>
      <w:r w:rsidR="00456FB5">
        <w:rPr>
          <w:bCs/>
          <w:iCs/>
          <w:lang w:eastAsia="x-none"/>
        </w:rPr>
        <w:t xml:space="preserve"> do 3</w:t>
      </w:r>
      <w:r w:rsidR="001224A2">
        <w:rPr>
          <w:bCs/>
          <w:iCs/>
          <w:lang w:eastAsia="x-none"/>
        </w:rPr>
        <w:t>0</w:t>
      </w:r>
      <w:r w:rsidR="001B11C0">
        <w:rPr>
          <w:bCs/>
          <w:iCs/>
          <w:lang w:eastAsia="x-none"/>
        </w:rPr>
        <w:t xml:space="preserve">. </w:t>
      </w:r>
      <w:r w:rsidR="001224A2">
        <w:rPr>
          <w:bCs/>
          <w:iCs/>
          <w:lang w:eastAsia="x-none"/>
        </w:rPr>
        <w:t>4</w:t>
      </w:r>
      <w:r w:rsidR="001B11C0">
        <w:rPr>
          <w:bCs/>
          <w:iCs/>
          <w:lang w:eastAsia="x-none"/>
        </w:rPr>
        <w:t>.</w:t>
      </w:r>
      <w:r w:rsidR="00456FB5">
        <w:rPr>
          <w:bCs/>
          <w:iCs/>
          <w:lang w:eastAsia="x-none"/>
        </w:rPr>
        <w:t xml:space="preserve"> 201</w:t>
      </w:r>
      <w:r w:rsidR="001B11C0">
        <w:rPr>
          <w:bCs/>
          <w:iCs/>
          <w:lang w:eastAsia="x-none"/>
        </w:rPr>
        <w:t>6</w:t>
      </w:r>
      <w:r w:rsidR="00456FB5">
        <w:rPr>
          <w:bCs/>
          <w:iCs/>
          <w:lang w:eastAsia="x-none"/>
        </w:rPr>
        <w:t>.</w:t>
      </w:r>
    </w:p>
    <w:p w:rsidR="002000C4" w:rsidRDefault="002000C4" w:rsidP="002000C4">
      <w:pPr>
        <w:jc w:val="both"/>
        <w:rPr>
          <w:lang w:eastAsia="x-none"/>
        </w:rPr>
      </w:pPr>
      <w:r>
        <w:rPr>
          <w:lang w:eastAsia="x-none"/>
        </w:rPr>
        <w:t>Cílem řídicího orgánu</w:t>
      </w:r>
      <w:r w:rsidR="006E2EFB">
        <w:rPr>
          <w:lang w:eastAsia="x-none"/>
        </w:rPr>
        <w:t xml:space="preserve"> OP </w:t>
      </w:r>
      <w:proofErr w:type="spellStart"/>
      <w:r w:rsidR="006E2EFB">
        <w:rPr>
          <w:lang w:eastAsia="x-none"/>
        </w:rPr>
        <w:t>VaVpI</w:t>
      </w:r>
      <w:proofErr w:type="spellEnd"/>
      <w:r w:rsidR="006E2EFB">
        <w:rPr>
          <w:lang w:eastAsia="x-none"/>
        </w:rPr>
        <w:t xml:space="preserve"> </w:t>
      </w:r>
      <w:r>
        <w:rPr>
          <w:lang w:eastAsia="x-none"/>
        </w:rPr>
        <w:t>zůstává</w:t>
      </w:r>
      <w:r w:rsidR="00CF4DD3">
        <w:rPr>
          <w:lang w:eastAsia="x-none"/>
        </w:rPr>
        <w:t xml:space="preserve"> i nadále </w:t>
      </w:r>
      <w:r w:rsidR="006E2EFB">
        <w:rPr>
          <w:lang w:eastAsia="x-none"/>
        </w:rPr>
        <w:t>co nejvyšší mír</w:t>
      </w:r>
      <w:r>
        <w:rPr>
          <w:lang w:eastAsia="x-none"/>
        </w:rPr>
        <w:t>a dočerpání přidělené alokace OP</w:t>
      </w:r>
      <w:r w:rsidR="006E2EFB">
        <w:rPr>
          <w:lang w:eastAsia="x-none"/>
        </w:rPr>
        <w:t xml:space="preserve">. </w:t>
      </w:r>
      <w:r>
        <w:rPr>
          <w:lang w:eastAsia="x-none"/>
        </w:rPr>
        <w:t xml:space="preserve">Dle aktuálních odhadů hrozí </w:t>
      </w:r>
      <w:r w:rsidR="00CF4DD3">
        <w:rPr>
          <w:lang w:eastAsia="x-none"/>
        </w:rPr>
        <w:t>na konci programového období nedočerpání</w:t>
      </w:r>
      <w:r>
        <w:rPr>
          <w:lang w:eastAsia="x-none"/>
        </w:rPr>
        <w:t xml:space="preserve"> alokace ve</w:t>
      </w:r>
      <w:r w:rsidR="00CF4DD3">
        <w:rPr>
          <w:lang w:eastAsia="x-none"/>
        </w:rPr>
        <w:t xml:space="preserve"> výši 474 mil. Kč</w:t>
      </w:r>
      <w:r>
        <w:rPr>
          <w:lang w:eastAsia="x-none"/>
        </w:rPr>
        <w:t xml:space="preserve"> (EU </w:t>
      </w:r>
      <w:r w:rsidR="009B2A9A">
        <w:rPr>
          <w:lang w:eastAsia="x-none"/>
        </w:rPr>
        <w:t>podíl)</w:t>
      </w:r>
      <w:r w:rsidR="00CF4DD3">
        <w:rPr>
          <w:lang w:eastAsia="x-none"/>
        </w:rPr>
        <w:t xml:space="preserve">. </w:t>
      </w:r>
    </w:p>
    <w:p w:rsidR="002000C4" w:rsidRDefault="002000C4" w:rsidP="004914E5">
      <w:pPr>
        <w:jc w:val="both"/>
        <w:rPr>
          <w:lang w:eastAsia="x-none"/>
        </w:rPr>
      </w:pPr>
      <w:r>
        <w:rPr>
          <w:lang w:eastAsia="x-none"/>
        </w:rPr>
        <w:t xml:space="preserve">V rámci usilovné snahy ŘO o co největší snížení ztráty alokace v předchozím roce byly některé </w:t>
      </w:r>
      <w:proofErr w:type="spellStart"/>
      <w:r>
        <w:rPr>
          <w:lang w:eastAsia="x-none"/>
        </w:rPr>
        <w:t>ŽoP</w:t>
      </w:r>
      <w:proofErr w:type="spellEnd"/>
      <w:r>
        <w:rPr>
          <w:lang w:eastAsia="x-none"/>
        </w:rPr>
        <w:t>, které by za normálních okolností byly schváleny na začátku roku 2015, přesunuty na konec roku 2014. Tento fakt se odrazil v</w:t>
      </w:r>
      <w:r w:rsidR="002D383B">
        <w:rPr>
          <w:lang w:eastAsia="x-none"/>
        </w:rPr>
        <w:t> relativně nízkém objemu</w:t>
      </w:r>
      <w:r>
        <w:rPr>
          <w:lang w:eastAsia="x-none"/>
        </w:rPr>
        <w:t xml:space="preserve"> schválených </w:t>
      </w:r>
      <w:proofErr w:type="spellStart"/>
      <w:r>
        <w:rPr>
          <w:lang w:eastAsia="x-none"/>
        </w:rPr>
        <w:t>ŽoP</w:t>
      </w:r>
      <w:proofErr w:type="spellEnd"/>
      <w:r>
        <w:rPr>
          <w:lang w:eastAsia="x-none"/>
        </w:rPr>
        <w:t xml:space="preserve"> na začátku roku 2015 (</w:t>
      </w:r>
      <w:r w:rsidR="003569E5">
        <w:rPr>
          <w:lang w:eastAsia="x-none"/>
        </w:rPr>
        <w:t>ob</w:t>
      </w:r>
      <w:r>
        <w:rPr>
          <w:lang w:eastAsia="x-none"/>
        </w:rPr>
        <w:t xml:space="preserve">jem schválených výdajů činí </w:t>
      </w:r>
      <w:r w:rsidR="003569E5">
        <w:rPr>
          <w:lang w:eastAsia="x-none"/>
        </w:rPr>
        <w:t>72,03 mil. Kč (2,62 mil. EUR) v </w:t>
      </w:r>
      <w:r w:rsidR="00EA7F99">
        <w:rPr>
          <w:lang w:eastAsia="x-none"/>
        </w:rPr>
        <w:t>podílu</w:t>
      </w:r>
      <w:r w:rsidR="003569E5">
        <w:rPr>
          <w:lang w:eastAsia="x-none"/>
        </w:rPr>
        <w:t xml:space="preserve"> EU (viz graf č. 1).</w:t>
      </w:r>
      <w:r>
        <w:rPr>
          <w:lang w:eastAsia="x-none"/>
        </w:rPr>
        <w:t xml:space="preserve"> </w:t>
      </w:r>
      <w:r w:rsidR="004A0D9B">
        <w:rPr>
          <w:lang w:eastAsia="x-none"/>
        </w:rPr>
        <w:t>V průběhu roku však dojde k opětovnému nárůstu čerpání.</w:t>
      </w:r>
    </w:p>
    <w:p w:rsidR="002000C4" w:rsidRDefault="002D383B" w:rsidP="004914E5">
      <w:pPr>
        <w:jc w:val="both"/>
        <w:rPr>
          <w:lang w:eastAsia="x-none"/>
        </w:rPr>
      </w:pPr>
      <w:r>
        <w:rPr>
          <w:lang w:eastAsia="x-none"/>
        </w:rPr>
        <w:t xml:space="preserve">Velké části běžících projektů OP </w:t>
      </w:r>
      <w:proofErr w:type="spellStart"/>
      <w:r>
        <w:rPr>
          <w:lang w:eastAsia="x-none"/>
        </w:rPr>
        <w:t>VaVpI</w:t>
      </w:r>
      <w:proofErr w:type="spellEnd"/>
      <w:r>
        <w:rPr>
          <w:lang w:eastAsia="x-none"/>
        </w:rPr>
        <w:t xml:space="preserve"> končí období realizace 31. 12. 2015, řídicí orgán tedy u těchto projektů bude mít poměrně krátký prostor pro administrativní kontrolu závěrečných žádostí o platbu</w:t>
      </w:r>
      <w:r w:rsidR="00575867">
        <w:rPr>
          <w:lang w:eastAsia="x-none"/>
        </w:rPr>
        <w:t xml:space="preserve"> (</w:t>
      </w:r>
      <w:proofErr w:type="spellStart"/>
      <w:r w:rsidR="00575867">
        <w:rPr>
          <w:lang w:eastAsia="x-none"/>
        </w:rPr>
        <w:t>ZŽoP</w:t>
      </w:r>
      <w:proofErr w:type="spellEnd"/>
      <w:r w:rsidR="00575867">
        <w:rPr>
          <w:lang w:eastAsia="x-none"/>
        </w:rPr>
        <w:t>)</w:t>
      </w:r>
      <w:r>
        <w:rPr>
          <w:lang w:eastAsia="x-none"/>
        </w:rPr>
        <w:t xml:space="preserve">. Z tohoto důvodu přistoupil řídicí orgán </w:t>
      </w:r>
      <w:r w:rsidR="00575867">
        <w:rPr>
          <w:lang w:eastAsia="x-none"/>
        </w:rPr>
        <w:t xml:space="preserve">vydáním metodického pokynu (MP) č. 35 ke zkrácení standardní lhůty na předložení závěrečné monitorovací zprávy (ZMZ) a závěrečné </w:t>
      </w:r>
      <w:proofErr w:type="spellStart"/>
      <w:r w:rsidR="00E15357">
        <w:rPr>
          <w:lang w:eastAsia="x-none"/>
        </w:rPr>
        <w:t>Ž</w:t>
      </w:r>
      <w:r w:rsidR="00575867">
        <w:rPr>
          <w:lang w:eastAsia="x-none"/>
        </w:rPr>
        <w:t>o</w:t>
      </w:r>
      <w:r w:rsidR="00E15357">
        <w:rPr>
          <w:lang w:eastAsia="x-none"/>
        </w:rPr>
        <w:t>P</w:t>
      </w:r>
      <w:proofErr w:type="spellEnd"/>
      <w:r w:rsidR="00575867">
        <w:rPr>
          <w:lang w:eastAsia="x-none"/>
        </w:rPr>
        <w:t xml:space="preserve"> o měsíc. Příjemce, jehož projekt končí realizaci k 31. 12. 2015, má </w:t>
      </w:r>
      <w:r w:rsidR="00415AC6">
        <w:rPr>
          <w:lang w:eastAsia="x-none"/>
        </w:rPr>
        <w:t>díky tomuto metodickému pokynu</w:t>
      </w:r>
      <w:r w:rsidR="00022E01">
        <w:rPr>
          <w:lang w:eastAsia="x-none"/>
        </w:rPr>
        <w:t xml:space="preserve"> povinnost předložit závěrečnou monitorovací zprávu a závěrečnou žádost o platbu do 1 měsíce od data ukončení realizace projektu, tj. do 31. 1. 2016. Touto metodickou úpravou získá řídicí orgán dostatečný prostor pro kontrolu a následné zahrnutí výdajů do </w:t>
      </w:r>
      <w:proofErr w:type="spellStart"/>
      <w:r w:rsidR="00022E01">
        <w:rPr>
          <w:lang w:eastAsia="x-none"/>
        </w:rPr>
        <w:t>SŽoP</w:t>
      </w:r>
      <w:proofErr w:type="spellEnd"/>
      <w:r w:rsidR="00022E01">
        <w:rPr>
          <w:lang w:eastAsia="x-none"/>
        </w:rPr>
        <w:t xml:space="preserve"> k 3</w:t>
      </w:r>
      <w:r w:rsidR="00E15357">
        <w:rPr>
          <w:lang w:eastAsia="x-none"/>
        </w:rPr>
        <w:t>0</w:t>
      </w:r>
      <w:r w:rsidR="00022E01">
        <w:rPr>
          <w:lang w:eastAsia="x-none"/>
        </w:rPr>
        <w:t xml:space="preserve">. </w:t>
      </w:r>
      <w:r w:rsidR="00E15357">
        <w:rPr>
          <w:lang w:eastAsia="x-none"/>
        </w:rPr>
        <w:t>4</w:t>
      </w:r>
      <w:r w:rsidR="00022E01">
        <w:rPr>
          <w:lang w:eastAsia="x-none"/>
        </w:rPr>
        <w:t>. 2016.</w:t>
      </w:r>
    </w:p>
    <w:p w:rsidR="00022E01" w:rsidRDefault="00022E01" w:rsidP="004914E5">
      <w:pPr>
        <w:jc w:val="both"/>
        <w:rPr>
          <w:lang w:eastAsia="x-none"/>
        </w:rPr>
      </w:pPr>
      <w:r>
        <w:rPr>
          <w:lang w:eastAsia="x-none"/>
        </w:rPr>
        <w:t xml:space="preserve">Na základě zkušeností z předchozích let očekává řídicí orgán podstatnou část předložených </w:t>
      </w:r>
      <w:proofErr w:type="spellStart"/>
      <w:r>
        <w:rPr>
          <w:lang w:eastAsia="x-none"/>
        </w:rPr>
        <w:t>ŽoP</w:t>
      </w:r>
      <w:proofErr w:type="spellEnd"/>
      <w:r>
        <w:rPr>
          <w:lang w:eastAsia="x-none"/>
        </w:rPr>
        <w:t xml:space="preserve"> až</w:t>
      </w:r>
      <w:r w:rsidR="00A80872">
        <w:rPr>
          <w:lang w:eastAsia="x-none"/>
        </w:rPr>
        <w:t xml:space="preserve"> v</w:t>
      </w:r>
      <w:r>
        <w:rPr>
          <w:lang w:eastAsia="x-none"/>
        </w:rPr>
        <w:t>e druhém pololetí</w:t>
      </w:r>
      <w:r w:rsidR="00A80872">
        <w:rPr>
          <w:lang w:eastAsia="x-none"/>
        </w:rPr>
        <w:t xml:space="preserve"> roku 2015. </w:t>
      </w:r>
      <w:r>
        <w:rPr>
          <w:lang w:eastAsia="x-none"/>
        </w:rPr>
        <w:t xml:space="preserve">V případě nízkého objemu předložených </w:t>
      </w:r>
      <w:proofErr w:type="spellStart"/>
      <w:r>
        <w:rPr>
          <w:lang w:eastAsia="x-none"/>
        </w:rPr>
        <w:t>ŽoP</w:t>
      </w:r>
      <w:proofErr w:type="spellEnd"/>
      <w:r>
        <w:rPr>
          <w:lang w:eastAsia="x-none"/>
        </w:rPr>
        <w:t xml:space="preserve"> ze strany </w:t>
      </w:r>
      <w:r>
        <w:rPr>
          <w:lang w:eastAsia="x-none"/>
        </w:rPr>
        <w:lastRenderedPageBreak/>
        <w:t>příjemců však řídicí orgán již nebude mít prakticky žádnou možnost využití takto nově vzniklé disponibilní alokace</w:t>
      </w:r>
      <w:r w:rsidR="00A80872">
        <w:rPr>
          <w:lang w:eastAsia="x-none"/>
        </w:rPr>
        <w:t xml:space="preserve">. </w:t>
      </w:r>
    </w:p>
    <w:p w:rsidR="005E747E" w:rsidRPr="0028342A" w:rsidRDefault="005E074E" w:rsidP="0028342A">
      <w:pPr>
        <w:pStyle w:val="Nadpis1"/>
      </w:pPr>
      <w:bookmarkStart w:id="51" w:name="_Toc417393018"/>
      <w:r w:rsidRPr="0028342A">
        <w:t>Strategie dočerpání alokace</w:t>
      </w:r>
      <w:r w:rsidR="00684C74">
        <w:t xml:space="preserve"> OP </w:t>
      </w:r>
      <w:proofErr w:type="spellStart"/>
      <w:r w:rsidR="00684C74">
        <w:t>VaVpI</w:t>
      </w:r>
      <w:bookmarkEnd w:id="51"/>
      <w:proofErr w:type="spellEnd"/>
      <w:r w:rsidRPr="0028342A">
        <w:t xml:space="preserve"> </w:t>
      </w:r>
    </w:p>
    <w:p w:rsidR="005E747E" w:rsidRPr="009D74D4" w:rsidRDefault="005E747E" w:rsidP="00676287">
      <w:pPr>
        <w:pStyle w:val="Odstavecseseznamem"/>
        <w:keepNext/>
        <w:keepLines/>
        <w:numPr>
          <w:ilvl w:val="0"/>
          <w:numId w:val="8"/>
        </w:numPr>
        <w:spacing w:before="200" w:after="0"/>
        <w:contextualSpacing w:val="0"/>
        <w:outlineLvl w:val="1"/>
        <w:rPr>
          <w:rFonts w:ascii="Cambria" w:eastAsia="Times New Roman" w:hAnsi="Cambria"/>
          <w:b/>
          <w:vanish/>
          <w:color w:val="000000"/>
          <w:sz w:val="26"/>
          <w:szCs w:val="26"/>
          <w:lang w:eastAsia="x-none"/>
        </w:rPr>
      </w:pPr>
      <w:bookmarkStart w:id="52" w:name="_Toc415765810"/>
      <w:bookmarkStart w:id="53" w:name="_Toc415843817"/>
      <w:bookmarkStart w:id="54" w:name="_Toc415950026"/>
      <w:bookmarkStart w:id="55" w:name="_Toc415952058"/>
      <w:bookmarkStart w:id="56" w:name="_Toc415953033"/>
      <w:bookmarkStart w:id="57" w:name="_Toc415977085"/>
      <w:bookmarkStart w:id="58" w:name="_Toc415977110"/>
      <w:bookmarkStart w:id="59" w:name="_Toc416201186"/>
      <w:bookmarkStart w:id="60" w:name="_Toc416201239"/>
      <w:bookmarkStart w:id="61" w:name="_Toc416245286"/>
      <w:bookmarkStart w:id="62" w:name="_Toc416245310"/>
      <w:bookmarkStart w:id="63" w:name="_Toc416855264"/>
      <w:bookmarkStart w:id="64" w:name="_Toc416856012"/>
      <w:bookmarkStart w:id="65" w:name="_Toc417339760"/>
      <w:bookmarkStart w:id="66" w:name="_Toc417392996"/>
      <w:bookmarkStart w:id="67" w:name="_Toc417393019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5E747E" w:rsidRPr="009D74D4" w:rsidRDefault="005E747E" w:rsidP="00676287">
      <w:pPr>
        <w:pStyle w:val="Odstavecseseznamem"/>
        <w:keepNext/>
        <w:keepLines/>
        <w:numPr>
          <w:ilvl w:val="0"/>
          <w:numId w:val="8"/>
        </w:numPr>
        <w:spacing w:before="200" w:after="0"/>
        <w:contextualSpacing w:val="0"/>
        <w:outlineLvl w:val="1"/>
        <w:rPr>
          <w:rFonts w:ascii="Cambria" w:eastAsia="Times New Roman" w:hAnsi="Cambria"/>
          <w:b/>
          <w:vanish/>
          <w:color w:val="000000"/>
          <w:sz w:val="26"/>
          <w:szCs w:val="26"/>
          <w:lang w:eastAsia="x-none"/>
        </w:rPr>
      </w:pPr>
      <w:bookmarkStart w:id="68" w:name="_Toc415765811"/>
      <w:bookmarkStart w:id="69" w:name="_Toc415843818"/>
      <w:bookmarkStart w:id="70" w:name="_Toc415950027"/>
      <w:bookmarkStart w:id="71" w:name="_Toc415952059"/>
      <w:bookmarkStart w:id="72" w:name="_Toc415953034"/>
      <w:bookmarkStart w:id="73" w:name="_Toc415977086"/>
      <w:bookmarkStart w:id="74" w:name="_Toc415977111"/>
      <w:bookmarkStart w:id="75" w:name="_Toc416201187"/>
      <w:bookmarkStart w:id="76" w:name="_Toc416201240"/>
      <w:bookmarkStart w:id="77" w:name="_Toc416245287"/>
      <w:bookmarkStart w:id="78" w:name="_Toc416245311"/>
      <w:bookmarkStart w:id="79" w:name="_Toc416855265"/>
      <w:bookmarkStart w:id="80" w:name="_Toc416856013"/>
      <w:bookmarkStart w:id="81" w:name="_Toc417339761"/>
      <w:bookmarkStart w:id="82" w:name="_Toc417392997"/>
      <w:bookmarkStart w:id="83" w:name="_Toc417393020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5E747E" w:rsidRPr="009D74D4" w:rsidRDefault="005E747E" w:rsidP="00676287">
      <w:pPr>
        <w:pStyle w:val="Odstavecseseznamem"/>
        <w:keepNext/>
        <w:keepLines/>
        <w:numPr>
          <w:ilvl w:val="0"/>
          <w:numId w:val="8"/>
        </w:numPr>
        <w:spacing w:before="200" w:after="0"/>
        <w:contextualSpacing w:val="0"/>
        <w:outlineLvl w:val="1"/>
        <w:rPr>
          <w:rFonts w:ascii="Cambria" w:eastAsia="Times New Roman" w:hAnsi="Cambria"/>
          <w:b/>
          <w:vanish/>
          <w:color w:val="000000"/>
          <w:sz w:val="26"/>
          <w:szCs w:val="26"/>
          <w:lang w:eastAsia="x-none"/>
        </w:rPr>
      </w:pPr>
      <w:bookmarkStart w:id="84" w:name="_Toc415765812"/>
      <w:bookmarkStart w:id="85" w:name="_Toc415843819"/>
      <w:bookmarkStart w:id="86" w:name="_Toc415950028"/>
      <w:bookmarkStart w:id="87" w:name="_Toc415952060"/>
      <w:bookmarkStart w:id="88" w:name="_Toc415953035"/>
      <w:bookmarkStart w:id="89" w:name="_Toc415977087"/>
      <w:bookmarkStart w:id="90" w:name="_Toc415977112"/>
      <w:bookmarkStart w:id="91" w:name="_Toc416201188"/>
      <w:bookmarkStart w:id="92" w:name="_Toc416201241"/>
      <w:bookmarkStart w:id="93" w:name="_Toc416245288"/>
      <w:bookmarkStart w:id="94" w:name="_Toc416245312"/>
      <w:bookmarkStart w:id="95" w:name="_Toc416855266"/>
      <w:bookmarkStart w:id="96" w:name="_Toc416856014"/>
      <w:bookmarkStart w:id="97" w:name="_Toc417339762"/>
      <w:bookmarkStart w:id="98" w:name="_Toc417392998"/>
      <w:bookmarkStart w:id="99" w:name="_Toc417393021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5E747E" w:rsidRPr="009D74D4" w:rsidRDefault="005E747E" w:rsidP="00676287">
      <w:pPr>
        <w:pStyle w:val="Odstavecseseznamem"/>
        <w:keepNext/>
        <w:keepLines/>
        <w:numPr>
          <w:ilvl w:val="0"/>
          <w:numId w:val="8"/>
        </w:numPr>
        <w:spacing w:before="200" w:after="0"/>
        <w:contextualSpacing w:val="0"/>
        <w:outlineLvl w:val="1"/>
        <w:rPr>
          <w:rFonts w:ascii="Cambria" w:eastAsia="Times New Roman" w:hAnsi="Cambria"/>
          <w:b/>
          <w:vanish/>
          <w:color w:val="000000"/>
          <w:sz w:val="26"/>
          <w:szCs w:val="26"/>
          <w:lang w:eastAsia="x-none"/>
        </w:rPr>
      </w:pPr>
      <w:bookmarkStart w:id="100" w:name="_Toc415765813"/>
      <w:bookmarkStart w:id="101" w:name="_Toc415843820"/>
      <w:bookmarkStart w:id="102" w:name="_Toc415950029"/>
      <w:bookmarkStart w:id="103" w:name="_Toc415952061"/>
      <w:bookmarkStart w:id="104" w:name="_Toc415953036"/>
      <w:bookmarkStart w:id="105" w:name="_Toc415977088"/>
      <w:bookmarkStart w:id="106" w:name="_Toc415977113"/>
      <w:bookmarkStart w:id="107" w:name="_Toc416201189"/>
      <w:bookmarkStart w:id="108" w:name="_Toc416201242"/>
      <w:bookmarkStart w:id="109" w:name="_Toc416245289"/>
      <w:bookmarkStart w:id="110" w:name="_Toc416245313"/>
      <w:bookmarkStart w:id="111" w:name="_Toc416855267"/>
      <w:bookmarkStart w:id="112" w:name="_Toc416856015"/>
      <w:bookmarkStart w:id="113" w:name="_Toc417339763"/>
      <w:bookmarkStart w:id="114" w:name="_Toc417392999"/>
      <w:bookmarkStart w:id="115" w:name="_Toc417393022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</w:p>
    <w:p w:rsidR="005F23E8" w:rsidRPr="009D74D4" w:rsidRDefault="005F23E8" w:rsidP="00D062F0">
      <w:pPr>
        <w:jc w:val="both"/>
        <w:rPr>
          <w:lang w:eastAsia="x-none"/>
        </w:rPr>
      </w:pPr>
    </w:p>
    <w:p w:rsidR="00661C15" w:rsidRPr="009D74D4" w:rsidRDefault="00661C15" w:rsidP="00EB6414">
      <w:pPr>
        <w:pStyle w:val="N2Report"/>
      </w:pPr>
      <w:bookmarkStart w:id="116" w:name="_Toc417393023"/>
      <w:r w:rsidRPr="009D74D4">
        <w:t>Popis plnění opatření</w:t>
      </w:r>
      <w:r w:rsidR="0015117F">
        <w:t xml:space="preserve"> v roce 2014</w:t>
      </w:r>
      <w:bookmarkEnd w:id="116"/>
    </w:p>
    <w:p w:rsidR="00911315" w:rsidRPr="00911315" w:rsidRDefault="00911315" w:rsidP="00911315">
      <w:pPr>
        <w:jc w:val="both"/>
        <w:rPr>
          <w:bCs/>
          <w:lang w:eastAsia="x-none"/>
        </w:rPr>
      </w:pPr>
      <w:r w:rsidRPr="00911315">
        <w:rPr>
          <w:bCs/>
          <w:lang w:eastAsia="x-none"/>
        </w:rPr>
        <w:t xml:space="preserve">ŘO OP </w:t>
      </w:r>
      <w:proofErr w:type="spellStart"/>
      <w:r w:rsidRPr="00911315">
        <w:rPr>
          <w:bCs/>
          <w:lang w:eastAsia="x-none"/>
        </w:rPr>
        <w:t>VaVpI</w:t>
      </w:r>
      <w:proofErr w:type="spellEnd"/>
      <w:r w:rsidRPr="00911315">
        <w:rPr>
          <w:bCs/>
          <w:lang w:eastAsia="x-none"/>
        </w:rPr>
        <w:t xml:space="preserve"> si ve </w:t>
      </w:r>
      <w:r w:rsidR="005F23E8">
        <w:rPr>
          <w:bCs/>
          <w:lang w:eastAsia="x-none"/>
        </w:rPr>
        <w:t xml:space="preserve">své </w:t>
      </w:r>
      <w:r w:rsidRPr="00911315">
        <w:rPr>
          <w:bCs/>
          <w:lang w:eastAsia="x-none"/>
        </w:rPr>
        <w:t>strategii dočerpání určil tři níže uvedená hlavní opatření, která označil jako stěž</w:t>
      </w:r>
      <w:r w:rsidR="00A35280">
        <w:rPr>
          <w:bCs/>
          <w:lang w:eastAsia="x-none"/>
        </w:rPr>
        <w:t>ejní pro snižování ztráty v roce</w:t>
      </w:r>
      <w:r w:rsidRPr="00911315">
        <w:rPr>
          <w:bCs/>
          <w:lang w:eastAsia="x-none"/>
        </w:rPr>
        <w:t xml:space="preserve"> 2014</w:t>
      </w:r>
      <w:r w:rsidR="00C0141A">
        <w:rPr>
          <w:bCs/>
          <w:lang w:eastAsia="x-none"/>
        </w:rPr>
        <w:t>:</w:t>
      </w:r>
    </w:p>
    <w:p w:rsidR="00911315" w:rsidRPr="00C0141A" w:rsidRDefault="00911315" w:rsidP="00676287">
      <w:pPr>
        <w:numPr>
          <w:ilvl w:val="0"/>
          <w:numId w:val="10"/>
        </w:numPr>
        <w:spacing w:after="0"/>
        <w:ind w:left="426"/>
        <w:jc w:val="both"/>
        <w:rPr>
          <w:bCs/>
          <w:lang w:eastAsia="x-none"/>
        </w:rPr>
      </w:pPr>
      <w:r w:rsidRPr="00C0141A">
        <w:rPr>
          <w:bCs/>
          <w:lang w:eastAsia="x-none"/>
        </w:rPr>
        <w:t>využití čl. 94 Nařízení Rady (ES) č. 1083/2</w:t>
      </w:r>
      <w:r w:rsidR="005F23E8">
        <w:rPr>
          <w:bCs/>
          <w:lang w:eastAsia="x-none"/>
        </w:rPr>
        <w:t>006 - ŘO v průběhu roku 2014 zvá</w:t>
      </w:r>
      <w:r w:rsidRPr="00C0141A">
        <w:rPr>
          <w:bCs/>
          <w:lang w:eastAsia="x-none"/>
        </w:rPr>
        <w:t>ži</w:t>
      </w:r>
      <w:r w:rsidR="005F23E8">
        <w:rPr>
          <w:bCs/>
          <w:lang w:eastAsia="x-none"/>
        </w:rPr>
        <w:t xml:space="preserve">l identifikaci dalších </w:t>
      </w:r>
      <w:r w:rsidRPr="00C0141A">
        <w:rPr>
          <w:bCs/>
          <w:lang w:eastAsia="x-none"/>
        </w:rPr>
        <w:t>nových velkých projektů, u kterých by mohl využít odpočet alokace v rámci plnění pravidla n+2 pro závazek roku 2012</w:t>
      </w:r>
    </w:p>
    <w:p w:rsidR="00911315" w:rsidRPr="00C0141A" w:rsidRDefault="00911315" w:rsidP="00676287">
      <w:pPr>
        <w:numPr>
          <w:ilvl w:val="0"/>
          <w:numId w:val="10"/>
        </w:numPr>
        <w:spacing w:after="0"/>
        <w:ind w:left="426"/>
        <w:jc w:val="both"/>
        <w:rPr>
          <w:bCs/>
          <w:lang w:eastAsia="x-none"/>
        </w:rPr>
      </w:pPr>
      <w:r w:rsidRPr="00C0141A">
        <w:rPr>
          <w:bCs/>
          <w:lang w:eastAsia="x-none"/>
        </w:rPr>
        <w:t>fázování projektů – p</w:t>
      </w:r>
      <w:r w:rsidRPr="00C0141A">
        <w:rPr>
          <w:lang w:eastAsia="x-none"/>
        </w:rPr>
        <w:t xml:space="preserve">rimárně by se týkalo projektů v PO 1 a PO </w:t>
      </w:r>
      <w:r w:rsidR="0015117F" w:rsidRPr="00C0141A">
        <w:rPr>
          <w:lang w:eastAsia="x-none"/>
        </w:rPr>
        <w:t>2</w:t>
      </w:r>
    </w:p>
    <w:p w:rsidR="00787A49" w:rsidRPr="005F23E8" w:rsidRDefault="00911315" w:rsidP="00676287">
      <w:pPr>
        <w:numPr>
          <w:ilvl w:val="0"/>
          <w:numId w:val="10"/>
        </w:numPr>
        <w:spacing w:after="120"/>
        <w:ind w:left="426"/>
        <w:jc w:val="both"/>
        <w:rPr>
          <w:rFonts w:eastAsia="Times New Roman" w:cs="Arial"/>
          <w:color w:val="000000"/>
          <w:lang w:eastAsia="cs-CZ"/>
        </w:rPr>
      </w:pPr>
      <w:r w:rsidRPr="005F23E8">
        <w:rPr>
          <w:bCs/>
          <w:lang w:eastAsia="x-none"/>
        </w:rPr>
        <w:t>příprava metodiky a nastavení pravidel pro možnost využití až 100% úspor ze stavebních z</w:t>
      </w:r>
      <w:r w:rsidR="0015117F" w:rsidRPr="005F23E8">
        <w:rPr>
          <w:bCs/>
          <w:lang w:eastAsia="x-none"/>
        </w:rPr>
        <w:t xml:space="preserve">akázek </w:t>
      </w:r>
    </w:p>
    <w:p w:rsidR="005F23E8" w:rsidRPr="005F23E8" w:rsidRDefault="005F23E8" w:rsidP="005F23E8">
      <w:pPr>
        <w:spacing w:after="120"/>
        <w:ind w:left="426"/>
        <w:jc w:val="both"/>
        <w:rPr>
          <w:rFonts w:eastAsia="Times New Roman" w:cs="Arial"/>
          <w:color w:val="000000"/>
          <w:lang w:eastAsia="cs-CZ"/>
        </w:rPr>
      </w:pPr>
    </w:p>
    <w:p w:rsidR="00787A49" w:rsidRPr="00A910F4" w:rsidRDefault="00787A49" w:rsidP="00676287">
      <w:pPr>
        <w:pStyle w:val="N3Report"/>
        <w:numPr>
          <w:ilvl w:val="2"/>
          <w:numId w:val="7"/>
        </w:numPr>
      </w:pPr>
      <w:bookmarkStart w:id="117" w:name="_Toc417393024"/>
      <w:r w:rsidRPr="00A910F4">
        <w:t xml:space="preserve">Opatření směřující ke snížení ztráty alokace OP </w:t>
      </w:r>
      <w:proofErr w:type="spellStart"/>
      <w:r w:rsidRPr="00A910F4">
        <w:t>VaVpI</w:t>
      </w:r>
      <w:proofErr w:type="spellEnd"/>
      <w:r w:rsidRPr="00A910F4">
        <w:t xml:space="preserve"> v roce 2014</w:t>
      </w:r>
      <w:bookmarkEnd w:id="117"/>
    </w:p>
    <w:p w:rsidR="005F23E8" w:rsidRDefault="005F23E8" w:rsidP="00AC76D2">
      <w:pPr>
        <w:spacing w:after="0"/>
        <w:jc w:val="both"/>
      </w:pPr>
      <w:r>
        <w:t>V souvislosti se snahou řídicího orgánu o snížení částky ztráty alokace v důsledku nesplnění pravidla</w:t>
      </w:r>
      <w:r w:rsidR="00641CF7">
        <w:t xml:space="preserve"> n+2 byla přijata a realizována následující opatření:</w:t>
      </w:r>
      <w:r>
        <w:t xml:space="preserve"> </w:t>
      </w:r>
    </w:p>
    <w:p w:rsidR="005F23E8" w:rsidRPr="00A910F4" w:rsidRDefault="005F23E8" w:rsidP="00AC76D2">
      <w:pPr>
        <w:pStyle w:val="NorReport"/>
        <w:spacing w:before="0" w:after="0"/>
        <w:rPr>
          <w:rFonts w:ascii="Calibri" w:hAnsi="Calibri"/>
          <w:lang w:val="cs-CZ"/>
        </w:rPr>
      </w:pPr>
    </w:p>
    <w:p w:rsidR="00787A49" w:rsidRDefault="00641CF7" w:rsidP="00AC76D2">
      <w:pPr>
        <w:pStyle w:val="NorReport"/>
        <w:numPr>
          <w:ilvl w:val="0"/>
          <w:numId w:val="2"/>
        </w:numPr>
        <w:spacing w:before="0" w:after="0"/>
        <w:ind w:left="426"/>
        <w:rPr>
          <w:rFonts w:ascii="Calibri" w:hAnsi="Calibri"/>
          <w:b/>
          <w:i/>
          <w:iCs/>
          <w:lang w:val="cs-CZ"/>
        </w:rPr>
      </w:pPr>
      <w:r>
        <w:rPr>
          <w:rFonts w:ascii="Calibri" w:hAnsi="Calibri"/>
          <w:b/>
          <w:i/>
          <w:iCs/>
          <w:lang w:val="cs-CZ"/>
        </w:rPr>
        <w:t>Úspěšné plnění opatření daných Auditním orgánem</w:t>
      </w:r>
      <w:r w:rsidR="00787A49" w:rsidRPr="00A910F4">
        <w:rPr>
          <w:rFonts w:ascii="Calibri" w:hAnsi="Calibri"/>
          <w:b/>
          <w:i/>
          <w:iCs/>
          <w:lang w:val="cs-CZ"/>
        </w:rPr>
        <w:t xml:space="preserve"> (v rámci auditu systému na</w:t>
      </w:r>
      <w:r w:rsidR="002963AC">
        <w:rPr>
          <w:rFonts w:ascii="Calibri" w:hAnsi="Calibri"/>
          <w:b/>
          <w:i/>
          <w:iCs/>
          <w:lang w:val="cs-CZ"/>
        </w:rPr>
        <w:t> rok </w:t>
      </w:r>
      <w:r>
        <w:rPr>
          <w:rFonts w:ascii="Calibri" w:hAnsi="Calibri"/>
          <w:b/>
          <w:i/>
          <w:iCs/>
          <w:lang w:val="cs-CZ"/>
        </w:rPr>
        <w:t xml:space="preserve">2013) a s tím související </w:t>
      </w:r>
      <w:r w:rsidR="00787A49" w:rsidRPr="00A910F4">
        <w:rPr>
          <w:rFonts w:ascii="Calibri" w:hAnsi="Calibri"/>
          <w:b/>
          <w:i/>
          <w:iCs/>
          <w:lang w:val="cs-CZ"/>
        </w:rPr>
        <w:t>obnovení certifikace výdajů v září 2014</w:t>
      </w:r>
    </w:p>
    <w:p w:rsidR="00641CF7" w:rsidRPr="00A910F4" w:rsidRDefault="00641CF7" w:rsidP="00AC76D2">
      <w:pPr>
        <w:pStyle w:val="NorReport"/>
        <w:spacing w:before="0" w:after="0"/>
        <w:ind w:left="720"/>
        <w:rPr>
          <w:rFonts w:ascii="Calibri" w:hAnsi="Calibri"/>
          <w:b/>
          <w:i/>
          <w:iCs/>
          <w:lang w:val="cs-CZ"/>
        </w:rPr>
      </w:pPr>
    </w:p>
    <w:p w:rsidR="00787A49" w:rsidRDefault="0076128A" w:rsidP="00787A49">
      <w:pPr>
        <w:pStyle w:val="NorReport"/>
        <w:rPr>
          <w:rFonts w:ascii="Calibri" w:hAnsi="Calibri"/>
          <w:iCs/>
          <w:lang w:val="cs-CZ"/>
        </w:rPr>
      </w:pPr>
      <w:r w:rsidRPr="00A910F4">
        <w:rPr>
          <w:rFonts w:ascii="Calibri" w:hAnsi="Calibri"/>
          <w:iCs/>
          <w:lang w:val="cs-CZ"/>
        </w:rPr>
        <w:t xml:space="preserve">Na základě identifikované chybovosti ve Výroční kontrolní zprávě za rok 2013, jež přesáhla 2% hranici, byl ŘO OP </w:t>
      </w:r>
      <w:proofErr w:type="spellStart"/>
      <w:r w:rsidRPr="00A910F4">
        <w:rPr>
          <w:rFonts w:ascii="Calibri" w:hAnsi="Calibri"/>
          <w:iCs/>
          <w:lang w:val="cs-CZ"/>
        </w:rPr>
        <w:t>VaVpI</w:t>
      </w:r>
      <w:proofErr w:type="spellEnd"/>
      <w:r w:rsidRPr="00A910F4">
        <w:rPr>
          <w:rFonts w:ascii="Calibri" w:hAnsi="Calibri"/>
          <w:iCs/>
          <w:lang w:val="cs-CZ"/>
        </w:rPr>
        <w:t xml:space="preserve">  informován o skutečnosti, že PCO nebude provádět certifikaci výdajů OP </w:t>
      </w:r>
      <w:proofErr w:type="spellStart"/>
      <w:r w:rsidRPr="00A910F4">
        <w:rPr>
          <w:rFonts w:ascii="Calibri" w:hAnsi="Calibri"/>
          <w:iCs/>
          <w:lang w:val="cs-CZ"/>
        </w:rPr>
        <w:t>VaVpI</w:t>
      </w:r>
      <w:proofErr w:type="spellEnd"/>
      <w:r w:rsidRPr="00A910F4">
        <w:rPr>
          <w:rFonts w:ascii="Calibri" w:hAnsi="Calibri"/>
          <w:iCs/>
          <w:lang w:val="cs-CZ"/>
        </w:rPr>
        <w:t xml:space="preserve"> k datu 31. 1. 2014. Evropskou komisí (EK) byla stanovena plošná finanční korekce ve výši 1 358 480</w:t>
      </w:r>
      <w:r w:rsidR="00CF400D">
        <w:rPr>
          <w:rFonts w:ascii="Calibri" w:hAnsi="Calibri"/>
          <w:iCs/>
          <w:lang w:val="cs-CZ"/>
        </w:rPr>
        <w:t xml:space="preserve">,68 EUR, která byla ŘO </w:t>
      </w:r>
      <w:r w:rsidRPr="00A910F4">
        <w:rPr>
          <w:rFonts w:ascii="Calibri" w:hAnsi="Calibri"/>
          <w:iCs/>
          <w:lang w:val="cs-CZ"/>
        </w:rPr>
        <w:t>akceptována a následně ze strany PCO zaúčtována. ŘO byl vyzván PCO k provedení certifikace výdajů ve standardních lhůtách</w:t>
      </w:r>
      <w:r w:rsidR="006055EF">
        <w:rPr>
          <w:rFonts w:ascii="Calibri" w:hAnsi="Calibri"/>
          <w:iCs/>
          <w:lang w:val="cs-CZ"/>
        </w:rPr>
        <w:br/>
      </w:r>
      <w:r w:rsidRPr="00A910F4">
        <w:rPr>
          <w:rFonts w:ascii="Calibri" w:hAnsi="Calibri"/>
          <w:iCs/>
          <w:lang w:val="cs-CZ"/>
        </w:rPr>
        <w:t>(k 1. 6. 2014</w:t>
      </w:r>
      <w:r w:rsidRPr="00A910F4">
        <w:rPr>
          <w:rFonts w:ascii="Calibri" w:hAnsi="Calibri"/>
          <w:iCs/>
          <w:vertAlign w:val="superscript"/>
          <w:lang w:val="cs-CZ"/>
        </w:rPr>
        <w:footnoteReference w:id="9"/>
      </w:r>
      <w:r w:rsidRPr="00A910F4">
        <w:rPr>
          <w:rFonts w:ascii="Calibri" w:hAnsi="Calibri"/>
          <w:iCs/>
          <w:lang w:val="cs-CZ"/>
        </w:rPr>
        <w:t xml:space="preserve">). Dne 9. 7. 2014 informoval PCO ŘO OP </w:t>
      </w:r>
      <w:proofErr w:type="spellStart"/>
      <w:r w:rsidRPr="00A910F4">
        <w:rPr>
          <w:rFonts w:ascii="Calibri" w:hAnsi="Calibri"/>
          <w:iCs/>
          <w:lang w:val="cs-CZ"/>
        </w:rPr>
        <w:t>VaVpI</w:t>
      </w:r>
      <w:proofErr w:type="spellEnd"/>
      <w:r w:rsidRPr="00A910F4">
        <w:rPr>
          <w:rFonts w:ascii="Calibri" w:hAnsi="Calibri"/>
          <w:iCs/>
          <w:lang w:val="cs-CZ"/>
        </w:rPr>
        <w:t xml:space="preserve"> o pozastavení certifikace výdajů. Důvodem rozhodnutí bylo, že PCO obdržel finální zpráv</w:t>
      </w:r>
      <w:r w:rsidR="006055EF">
        <w:rPr>
          <w:rFonts w:ascii="Calibri" w:hAnsi="Calibri"/>
          <w:iCs/>
          <w:lang w:val="cs-CZ"/>
        </w:rPr>
        <w:t xml:space="preserve">u z Auditu systému OP </w:t>
      </w:r>
      <w:proofErr w:type="spellStart"/>
      <w:r w:rsidR="006055EF">
        <w:rPr>
          <w:rFonts w:ascii="Calibri" w:hAnsi="Calibri"/>
          <w:iCs/>
          <w:lang w:val="cs-CZ"/>
        </w:rPr>
        <w:t>VaVpI</w:t>
      </w:r>
      <w:proofErr w:type="spellEnd"/>
      <w:r w:rsidR="006055EF">
        <w:rPr>
          <w:rFonts w:ascii="Calibri" w:hAnsi="Calibri"/>
          <w:iCs/>
          <w:lang w:val="cs-CZ"/>
        </w:rPr>
        <w:t>, ve </w:t>
      </w:r>
      <w:r w:rsidRPr="00A910F4">
        <w:rPr>
          <w:rFonts w:ascii="Calibri" w:hAnsi="Calibri"/>
          <w:iCs/>
          <w:lang w:val="cs-CZ"/>
        </w:rPr>
        <w:t>které bylo uvedeno zařazení fungování řídicího a kontroln</w:t>
      </w:r>
      <w:r w:rsidR="002963AC">
        <w:rPr>
          <w:rFonts w:ascii="Calibri" w:hAnsi="Calibri"/>
          <w:iCs/>
          <w:lang w:val="cs-CZ"/>
        </w:rPr>
        <w:t>ího systému do kategorie 3. Dne </w:t>
      </w:r>
      <w:r w:rsidRPr="00A910F4">
        <w:rPr>
          <w:rFonts w:ascii="Calibri" w:hAnsi="Calibri"/>
          <w:iCs/>
          <w:lang w:val="cs-CZ"/>
        </w:rPr>
        <w:t>18. 9. 2014 ŘO</w:t>
      </w:r>
      <w:r w:rsidR="00CF400D">
        <w:rPr>
          <w:rFonts w:ascii="Calibri" w:hAnsi="Calibri"/>
          <w:iCs/>
          <w:lang w:val="cs-CZ"/>
        </w:rPr>
        <w:t xml:space="preserve"> OP </w:t>
      </w:r>
      <w:proofErr w:type="spellStart"/>
      <w:r w:rsidR="00CF400D">
        <w:rPr>
          <w:rFonts w:ascii="Calibri" w:hAnsi="Calibri"/>
          <w:iCs/>
          <w:lang w:val="cs-CZ"/>
        </w:rPr>
        <w:t>VaVpI</w:t>
      </w:r>
      <w:proofErr w:type="spellEnd"/>
      <w:r w:rsidR="00CF400D">
        <w:rPr>
          <w:rFonts w:ascii="Calibri" w:hAnsi="Calibri"/>
          <w:iCs/>
          <w:lang w:val="cs-CZ"/>
        </w:rPr>
        <w:t xml:space="preserve"> obdržel od </w:t>
      </w:r>
      <w:r w:rsidRPr="00A910F4">
        <w:rPr>
          <w:rFonts w:ascii="Calibri" w:hAnsi="Calibri"/>
          <w:iCs/>
          <w:lang w:val="cs-CZ"/>
        </w:rPr>
        <w:t>PCO dopis s informací o obnovení certifi</w:t>
      </w:r>
      <w:r w:rsidR="00DC5D83">
        <w:rPr>
          <w:rFonts w:ascii="Calibri" w:hAnsi="Calibri"/>
          <w:iCs/>
          <w:lang w:val="cs-CZ"/>
        </w:rPr>
        <w:t>kace výdajů OP </w:t>
      </w:r>
      <w:proofErr w:type="spellStart"/>
      <w:r w:rsidR="00AA60F8">
        <w:rPr>
          <w:rFonts w:ascii="Calibri" w:hAnsi="Calibri"/>
          <w:iCs/>
          <w:lang w:val="cs-CZ"/>
        </w:rPr>
        <w:t>VaVpI</w:t>
      </w:r>
      <w:proofErr w:type="spellEnd"/>
      <w:r w:rsidR="00AA60F8">
        <w:rPr>
          <w:rFonts w:ascii="Calibri" w:hAnsi="Calibri"/>
          <w:iCs/>
          <w:lang w:val="cs-CZ"/>
        </w:rPr>
        <w:t xml:space="preserve"> na základě konstatování Auditního orgánu</w:t>
      </w:r>
      <w:r w:rsidRPr="00A910F4">
        <w:rPr>
          <w:rFonts w:ascii="Calibri" w:hAnsi="Calibri"/>
          <w:iCs/>
          <w:lang w:val="cs-CZ"/>
        </w:rPr>
        <w:t xml:space="preserve">, že pro účely obnovení certifikace výdajů OP </w:t>
      </w:r>
      <w:proofErr w:type="spellStart"/>
      <w:r w:rsidRPr="00A910F4">
        <w:rPr>
          <w:rFonts w:ascii="Calibri" w:hAnsi="Calibri"/>
          <w:iCs/>
          <w:lang w:val="cs-CZ"/>
        </w:rPr>
        <w:t>VaVpI</w:t>
      </w:r>
      <w:proofErr w:type="spellEnd"/>
      <w:r w:rsidRPr="00A910F4">
        <w:rPr>
          <w:rFonts w:ascii="Calibri" w:hAnsi="Calibri"/>
          <w:iCs/>
          <w:lang w:val="cs-CZ"/>
        </w:rPr>
        <w:t xml:space="preserve"> byla ze strany </w:t>
      </w:r>
      <w:r w:rsidR="00AA60F8">
        <w:rPr>
          <w:rFonts w:ascii="Calibri" w:hAnsi="Calibri"/>
          <w:iCs/>
          <w:lang w:val="cs-CZ"/>
        </w:rPr>
        <w:t xml:space="preserve">ŘO přijata </w:t>
      </w:r>
      <w:r w:rsidRPr="00A910F4">
        <w:rPr>
          <w:rFonts w:ascii="Calibri" w:hAnsi="Calibri"/>
          <w:iCs/>
          <w:lang w:val="cs-CZ"/>
        </w:rPr>
        <w:t>dostatečná opatření k </w:t>
      </w:r>
      <w:r w:rsidR="006055EF">
        <w:rPr>
          <w:rFonts w:ascii="Calibri" w:hAnsi="Calibri"/>
          <w:iCs/>
          <w:lang w:val="cs-CZ"/>
        </w:rPr>
        <w:t>nápravě zjištěných nedostatků z </w:t>
      </w:r>
      <w:r w:rsidRPr="00A910F4">
        <w:rPr>
          <w:rFonts w:ascii="Calibri" w:hAnsi="Calibri"/>
          <w:iCs/>
          <w:lang w:val="cs-CZ"/>
        </w:rPr>
        <w:t>A</w:t>
      </w:r>
      <w:r w:rsidR="00641CF7">
        <w:rPr>
          <w:rFonts w:ascii="Calibri" w:hAnsi="Calibri"/>
          <w:iCs/>
          <w:lang w:val="cs-CZ"/>
        </w:rPr>
        <w:t>uditu systému č. VAVPI/2013/S/1</w:t>
      </w:r>
      <w:r w:rsidRPr="00A910F4">
        <w:rPr>
          <w:rFonts w:ascii="Calibri" w:hAnsi="Calibri"/>
          <w:iCs/>
          <w:lang w:val="cs-CZ"/>
        </w:rPr>
        <w:t>. K úspěšnému obnovení certifikace došlo d</w:t>
      </w:r>
      <w:r w:rsidR="006055EF">
        <w:rPr>
          <w:rFonts w:ascii="Calibri" w:hAnsi="Calibri"/>
          <w:iCs/>
          <w:lang w:val="cs-CZ"/>
        </w:rPr>
        <w:t>ne 17. 9. </w:t>
      </w:r>
      <w:r w:rsidR="00787A49" w:rsidRPr="00A910F4">
        <w:rPr>
          <w:rFonts w:ascii="Calibri" w:hAnsi="Calibri"/>
          <w:iCs/>
          <w:lang w:val="cs-CZ"/>
        </w:rPr>
        <w:t>2014.</w:t>
      </w:r>
    </w:p>
    <w:p w:rsidR="00641CF7" w:rsidRPr="00A910F4" w:rsidRDefault="00641CF7" w:rsidP="00AC76D2">
      <w:pPr>
        <w:pStyle w:val="NorReport"/>
        <w:spacing w:before="0" w:after="0"/>
        <w:rPr>
          <w:rFonts w:ascii="Calibri" w:hAnsi="Calibri"/>
          <w:iCs/>
          <w:lang w:val="cs-CZ"/>
        </w:rPr>
      </w:pPr>
    </w:p>
    <w:p w:rsidR="00787A49" w:rsidRDefault="00787A49" w:rsidP="00AC76D2">
      <w:pPr>
        <w:pStyle w:val="NorReport"/>
        <w:numPr>
          <w:ilvl w:val="0"/>
          <w:numId w:val="2"/>
        </w:numPr>
        <w:spacing w:before="0" w:after="0"/>
        <w:ind w:left="426"/>
        <w:rPr>
          <w:rFonts w:ascii="Calibri" w:hAnsi="Calibri"/>
          <w:b/>
          <w:i/>
          <w:iCs/>
          <w:lang w:val="cs-CZ"/>
        </w:rPr>
      </w:pPr>
      <w:r w:rsidRPr="00A910F4">
        <w:rPr>
          <w:rFonts w:ascii="Calibri" w:hAnsi="Calibri"/>
          <w:b/>
          <w:i/>
          <w:iCs/>
          <w:lang w:val="cs-CZ"/>
        </w:rPr>
        <w:t>Individuální a intenzivní komunikace s příjem</w:t>
      </w:r>
      <w:r w:rsidR="00576590">
        <w:rPr>
          <w:rFonts w:ascii="Calibri" w:hAnsi="Calibri"/>
          <w:b/>
          <w:i/>
          <w:iCs/>
          <w:lang w:val="cs-CZ"/>
        </w:rPr>
        <w:t>ci - ú</w:t>
      </w:r>
      <w:r w:rsidR="006055EF">
        <w:rPr>
          <w:rFonts w:ascii="Calibri" w:hAnsi="Calibri"/>
          <w:b/>
          <w:i/>
          <w:iCs/>
          <w:lang w:val="cs-CZ"/>
        </w:rPr>
        <w:t>prava harmonogramů u </w:t>
      </w:r>
      <w:r w:rsidRPr="00A910F4">
        <w:rPr>
          <w:rFonts w:ascii="Calibri" w:hAnsi="Calibri"/>
          <w:b/>
          <w:i/>
          <w:iCs/>
          <w:lang w:val="cs-CZ"/>
        </w:rPr>
        <w:t>konkrétních projektů na konci roku 2014</w:t>
      </w:r>
    </w:p>
    <w:p w:rsidR="00576590" w:rsidRPr="00A910F4" w:rsidRDefault="00576590" w:rsidP="00AC76D2">
      <w:pPr>
        <w:pStyle w:val="NorReport"/>
        <w:spacing w:before="0" w:after="0"/>
        <w:ind w:left="720"/>
        <w:rPr>
          <w:rFonts w:ascii="Calibri" w:hAnsi="Calibri"/>
          <w:b/>
          <w:i/>
          <w:iCs/>
          <w:lang w:val="cs-CZ"/>
        </w:rPr>
      </w:pPr>
    </w:p>
    <w:p w:rsidR="00787A49" w:rsidRDefault="008F01BD" w:rsidP="00787A49">
      <w:pPr>
        <w:pStyle w:val="NorReport"/>
        <w:rPr>
          <w:rFonts w:ascii="Calibri" w:hAnsi="Calibri"/>
          <w:iCs/>
          <w:lang w:val="cs-CZ"/>
        </w:rPr>
      </w:pPr>
      <w:r>
        <w:rPr>
          <w:rFonts w:ascii="Calibri" w:hAnsi="Calibri"/>
          <w:iCs/>
          <w:lang w:val="cs-CZ"/>
        </w:rPr>
        <w:lastRenderedPageBreak/>
        <w:t xml:space="preserve">Díky intenzivní komunikaci a spolupráci s příjemci </w:t>
      </w:r>
      <w:r w:rsidR="00787A49" w:rsidRPr="00A910F4">
        <w:rPr>
          <w:rFonts w:ascii="Calibri" w:hAnsi="Calibri"/>
          <w:iCs/>
          <w:lang w:val="cs-CZ"/>
        </w:rPr>
        <w:t>došlo k </w:t>
      </w:r>
      <w:r>
        <w:rPr>
          <w:rFonts w:ascii="Calibri" w:hAnsi="Calibri"/>
          <w:iCs/>
          <w:lang w:val="cs-CZ"/>
        </w:rPr>
        <w:t xml:space="preserve">identifikování </w:t>
      </w:r>
      <w:r w:rsidR="00787A49" w:rsidRPr="00A910F4">
        <w:rPr>
          <w:rFonts w:ascii="Calibri" w:hAnsi="Calibri"/>
          <w:iCs/>
          <w:lang w:val="cs-CZ"/>
        </w:rPr>
        <w:t>výdajů, které bylo možné uskutečnit a řádně vyúčtovat j</w:t>
      </w:r>
      <w:r w:rsidR="005B733F" w:rsidRPr="00A910F4">
        <w:rPr>
          <w:rFonts w:ascii="Calibri" w:hAnsi="Calibri"/>
          <w:iCs/>
          <w:lang w:val="cs-CZ"/>
        </w:rPr>
        <w:t xml:space="preserve">eště </w:t>
      </w:r>
      <w:r w:rsidR="00787A49" w:rsidRPr="00A910F4">
        <w:rPr>
          <w:rFonts w:ascii="Calibri" w:hAnsi="Calibri"/>
          <w:iCs/>
          <w:lang w:val="cs-CZ"/>
        </w:rPr>
        <w:t>v roce 2014.</w:t>
      </w:r>
      <w:r w:rsidR="00F51CE0" w:rsidRPr="00A910F4">
        <w:rPr>
          <w:rFonts w:ascii="Calibri" w:hAnsi="Calibri"/>
          <w:iCs/>
          <w:lang w:val="cs-CZ"/>
        </w:rPr>
        <w:t xml:space="preserve"> </w:t>
      </w:r>
      <w:r w:rsidR="0090750F">
        <w:rPr>
          <w:rFonts w:ascii="Calibri" w:hAnsi="Calibri"/>
          <w:iCs/>
          <w:lang w:val="cs-CZ"/>
        </w:rPr>
        <w:t>Část vý</w:t>
      </w:r>
      <w:r w:rsidR="00F17BD0">
        <w:rPr>
          <w:rFonts w:ascii="Calibri" w:hAnsi="Calibri"/>
          <w:iCs/>
          <w:lang w:val="cs-CZ"/>
        </w:rPr>
        <w:t>dajů proto byla po konzultaci s </w:t>
      </w:r>
      <w:r w:rsidR="0090750F">
        <w:rPr>
          <w:rFonts w:ascii="Calibri" w:hAnsi="Calibri"/>
          <w:iCs/>
          <w:lang w:val="cs-CZ"/>
        </w:rPr>
        <w:t xml:space="preserve">příjemci přesunuta na konec roku 2014, což přispělo ke snížení </w:t>
      </w:r>
      <w:proofErr w:type="spellStart"/>
      <w:r w:rsidR="0090750F">
        <w:rPr>
          <w:rFonts w:ascii="Calibri" w:hAnsi="Calibri"/>
          <w:iCs/>
          <w:lang w:val="cs-CZ"/>
        </w:rPr>
        <w:t>decommitmentu</w:t>
      </w:r>
      <w:proofErr w:type="spellEnd"/>
      <w:r w:rsidR="0090750F">
        <w:rPr>
          <w:rFonts w:ascii="Calibri" w:hAnsi="Calibri"/>
          <w:iCs/>
          <w:lang w:val="cs-CZ"/>
        </w:rPr>
        <w:t xml:space="preserve">. </w:t>
      </w:r>
    </w:p>
    <w:p w:rsidR="00576590" w:rsidRPr="00A910F4" w:rsidRDefault="00576590" w:rsidP="00AC76D2">
      <w:pPr>
        <w:pStyle w:val="NorReport"/>
        <w:spacing w:before="0" w:after="0"/>
        <w:rPr>
          <w:rFonts w:ascii="Calibri" w:hAnsi="Calibri"/>
          <w:iCs/>
          <w:lang w:val="cs-CZ"/>
        </w:rPr>
      </w:pPr>
    </w:p>
    <w:p w:rsidR="00787A49" w:rsidRDefault="00787A49" w:rsidP="00AC76D2">
      <w:pPr>
        <w:pStyle w:val="NorReport"/>
        <w:numPr>
          <w:ilvl w:val="0"/>
          <w:numId w:val="2"/>
        </w:numPr>
        <w:spacing w:before="0" w:after="0"/>
        <w:ind w:left="426"/>
        <w:rPr>
          <w:rFonts w:ascii="Calibri" w:hAnsi="Calibri"/>
          <w:b/>
          <w:i/>
          <w:iCs/>
          <w:lang w:val="cs-CZ"/>
        </w:rPr>
      </w:pPr>
      <w:r w:rsidRPr="00A910F4">
        <w:rPr>
          <w:rFonts w:ascii="Calibri" w:hAnsi="Calibri"/>
          <w:b/>
          <w:i/>
          <w:iCs/>
          <w:lang w:val="cs-CZ"/>
        </w:rPr>
        <w:t xml:space="preserve">Umožnění využití až 100% úspor ze zakázek na stavební práce </w:t>
      </w:r>
      <w:r w:rsidR="006055EF">
        <w:rPr>
          <w:rFonts w:ascii="Calibri" w:hAnsi="Calibri"/>
          <w:b/>
          <w:i/>
          <w:iCs/>
          <w:lang w:val="cs-CZ"/>
        </w:rPr>
        <w:t>- Metodický pokyn č. </w:t>
      </w:r>
      <w:r w:rsidR="00BF5AA0" w:rsidRPr="00A910F4">
        <w:rPr>
          <w:rFonts w:ascii="Calibri" w:hAnsi="Calibri"/>
          <w:b/>
          <w:i/>
          <w:iCs/>
          <w:lang w:val="cs-CZ"/>
        </w:rPr>
        <w:t>24</w:t>
      </w:r>
    </w:p>
    <w:p w:rsidR="008F01BD" w:rsidRPr="00A910F4" w:rsidRDefault="008F01BD" w:rsidP="00AC76D2">
      <w:pPr>
        <w:pStyle w:val="NorReport"/>
        <w:spacing w:before="0" w:after="0"/>
        <w:ind w:left="720"/>
        <w:rPr>
          <w:rFonts w:ascii="Calibri" w:hAnsi="Calibri"/>
          <w:b/>
          <w:i/>
          <w:iCs/>
          <w:lang w:val="cs-CZ"/>
        </w:rPr>
      </w:pPr>
    </w:p>
    <w:p w:rsidR="00787A49" w:rsidRDefault="0095745A" w:rsidP="00787A49">
      <w:pPr>
        <w:pStyle w:val="NorReport"/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>Řídicí orgán vydal</w:t>
      </w:r>
      <w:r w:rsidR="008F01BD">
        <w:rPr>
          <w:rFonts w:ascii="Calibri" w:hAnsi="Calibri"/>
          <w:lang w:val="cs-CZ"/>
        </w:rPr>
        <w:t xml:space="preserve"> </w:t>
      </w:r>
      <w:r w:rsidR="003A47A9" w:rsidRPr="00A910F4">
        <w:rPr>
          <w:rFonts w:ascii="Calibri" w:hAnsi="Calibri"/>
          <w:lang w:val="cs-CZ"/>
        </w:rPr>
        <w:t xml:space="preserve">dne 1. 7. 2014 </w:t>
      </w:r>
      <w:r w:rsidR="008F01BD">
        <w:rPr>
          <w:rFonts w:ascii="Calibri" w:hAnsi="Calibri"/>
          <w:lang w:val="cs-CZ"/>
        </w:rPr>
        <w:t>metodický pokyn č. 24, který v případě dodržení určitých podmínek</w:t>
      </w:r>
      <w:r w:rsidR="003A47A9" w:rsidRPr="00A910F4">
        <w:rPr>
          <w:rFonts w:ascii="Calibri" w:hAnsi="Calibri"/>
          <w:lang w:val="cs-CZ"/>
        </w:rPr>
        <w:t xml:space="preserve"> (</w:t>
      </w:r>
      <w:r w:rsidR="008F01BD">
        <w:rPr>
          <w:rFonts w:ascii="Calibri" w:hAnsi="Calibri"/>
          <w:lang w:val="cs-CZ"/>
        </w:rPr>
        <w:t>věcné a časové omezení</w:t>
      </w:r>
      <w:r w:rsidR="003A47A9" w:rsidRPr="00A910F4">
        <w:rPr>
          <w:rFonts w:ascii="Calibri" w:hAnsi="Calibri"/>
          <w:lang w:val="cs-CZ"/>
        </w:rPr>
        <w:t xml:space="preserve">, dodržení principu 3E), </w:t>
      </w:r>
      <w:r>
        <w:rPr>
          <w:rFonts w:ascii="Calibri" w:hAnsi="Calibri"/>
          <w:lang w:val="cs-CZ"/>
        </w:rPr>
        <w:t xml:space="preserve">umožňuje </w:t>
      </w:r>
      <w:r w:rsidR="003A47A9" w:rsidRPr="00A910F4">
        <w:rPr>
          <w:rFonts w:ascii="Calibri" w:hAnsi="Calibri"/>
          <w:lang w:val="cs-CZ"/>
        </w:rPr>
        <w:t xml:space="preserve">využití až 100% úspor ze stavebních prací (tyto úspory obvykle tvoří v průměru až 25% předpokládané hodnoty veřejných zakázek). </w:t>
      </w:r>
      <w:r>
        <w:rPr>
          <w:rFonts w:ascii="Calibri" w:hAnsi="Calibri"/>
          <w:lang w:val="cs-CZ"/>
        </w:rPr>
        <w:t xml:space="preserve">Toto opatření mělo za následek navýšení </w:t>
      </w:r>
      <w:r w:rsidR="00787A49" w:rsidRPr="00A910F4">
        <w:rPr>
          <w:rFonts w:ascii="Calibri" w:hAnsi="Calibri"/>
          <w:lang w:val="cs-CZ"/>
        </w:rPr>
        <w:t xml:space="preserve">poslední mimořádné certifikace výdajů </w:t>
      </w:r>
      <w:r w:rsidR="00BA464F">
        <w:rPr>
          <w:rFonts w:ascii="Calibri" w:hAnsi="Calibri"/>
          <w:lang w:val="cs-CZ"/>
        </w:rPr>
        <w:t>o 402 mil. Kč (EU podíl).</w:t>
      </w:r>
    </w:p>
    <w:p w:rsidR="00576590" w:rsidRPr="00863302" w:rsidRDefault="00576590" w:rsidP="00AC76D2">
      <w:pPr>
        <w:pStyle w:val="NorReport"/>
        <w:spacing w:before="0" w:after="0"/>
        <w:ind w:left="720"/>
        <w:rPr>
          <w:rFonts w:ascii="Calibri" w:hAnsi="Calibri"/>
          <w:b/>
          <w:i/>
          <w:iCs/>
          <w:lang w:val="cs-CZ"/>
        </w:rPr>
      </w:pPr>
    </w:p>
    <w:p w:rsidR="00787A49" w:rsidRDefault="00787A49" w:rsidP="00AC76D2">
      <w:pPr>
        <w:pStyle w:val="NorReport"/>
        <w:numPr>
          <w:ilvl w:val="0"/>
          <w:numId w:val="2"/>
        </w:numPr>
        <w:spacing w:before="0" w:after="0"/>
        <w:ind w:left="426"/>
        <w:rPr>
          <w:rFonts w:ascii="Calibri" w:hAnsi="Calibri"/>
          <w:b/>
          <w:i/>
          <w:iCs/>
          <w:lang w:val="cs-CZ"/>
        </w:rPr>
      </w:pPr>
      <w:r w:rsidRPr="00A910F4">
        <w:rPr>
          <w:rFonts w:ascii="Calibri" w:hAnsi="Calibri"/>
          <w:b/>
          <w:i/>
          <w:iCs/>
          <w:lang w:val="cs-CZ"/>
        </w:rPr>
        <w:t>Využití článku 95 NAŘÍZENÍ RADY (ES) č. 1083/2006</w:t>
      </w:r>
      <w:r w:rsidRPr="00AC76D2">
        <w:rPr>
          <w:rFonts w:ascii="Calibri" w:hAnsi="Calibri"/>
          <w:b/>
          <w:i/>
          <w:iCs/>
          <w:vertAlign w:val="superscript"/>
          <w:lang w:val="cs-CZ"/>
        </w:rPr>
        <w:footnoteReference w:id="10"/>
      </w:r>
      <w:r w:rsidRPr="00D53D28">
        <w:rPr>
          <w:rFonts w:ascii="Calibri" w:hAnsi="Calibri"/>
          <w:b/>
          <w:i/>
          <w:iCs/>
          <w:lang w:val="cs-CZ"/>
        </w:rPr>
        <w:t xml:space="preserve"> </w:t>
      </w:r>
    </w:p>
    <w:p w:rsidR="0095745A" w:rsidRPr="00A910F4" w:rsidRDefault="0095745A" w:rsidP="00AC76D2">
      <w:pPr>
        <w:pStyle w:val="NorReport"/>
        <w:spacing w:before="0" w:after="0"/>
        <w:ind w:left="720"/>
        <w:rPr>
          <w:rFonts w:ascii="Calibri" w:hAnsi="Calibri"/>
          <w:b/>
          <w:i/>
          <w:iCs/>
          <w:lang w:val="cs-CZ"/>
        </w:rPr>
      </w:pPr>
    </w:p>
    <w:p w:rsidR="00787A49" w:rsidRDefault="00B53AA2" w:rsidP="00787A49">
      <w:pPr>
        <w:pStyle w:val="NorReport"/>
        <w:rPr>
          <w:rFonts w:ascii="Calibri" w:hAnsi="Calibri"/>
          <w:iCs/>
          <w:lang w:val="cs-CZ"/>
        </w:rPr>
      </w:pPr>
      <w:r>
        <w:rPr>
          <w:rFonts w:ascii="Calibri" w:hAnsi="Calibri"/>
          <w:iCs/>
          <w:lang w:val="cs-CZ"/>
        </w:rPr>
        <w:t>Využití</w:t>
      </w:r>
      <w:r w:rsidR="00787A49" w:rsidRPr="00A910F4">
        <w:rPr>
          <w:rFonts w:ascii="Calibri" w:hAnsi="Calibri"/>
          <w:iCs/>
          <w:lang w:val="cs-CZ"/>
        </w:rPr>
        <w:t xml:space="preserve"> čl. 95 </w:t>
      </w:r>
      <w:r>
        <w:rPr>
          <w:rFonts w:ascii="Calibri" w:hAnsi="Calibri"/>
          <w:iCs/>
          <w:lang w:val="cs-CZ"/>
        </w:rPr>
        <w:t xml:space="preserve">znamená možnost snížení ztráty o výdaje, pozastavené </w:t>
      </w:r>
      <w:r w:rsidR="0095745A">
        <w:rPr>
          <w:rFonts w:ascii="Calibri" w:hAnsi="Calibri"/>
          <w:iCs/>
          <w:lang w:val="cs-CZ"/>
        </w:rPr>
        <w:t xml:space="preserve">ve </w:t>
      </w:r>
      <w:r w:rsidR="00787A49" w:rsidRPr="00A910F4">
        <w:rPr>
          <w:rFonts w:ascii="Calibri" w:hAnsi="Calibri"/>
          <w:iCs/>
          <w:lang w:val="cs-CZ"/>
        </w:rPr>
        <w:t>správních řízení</w:t>
      </w:r>
      <w:r w:rsidR="00BA464F">
        <w:rPr>
          <w:rFonts w:ascii="Calibri" w:hAnsi="Calibri"/>
          <w:iCs/>
          <w:lang w:val="cs-CZ"/>
        </w:rPr>
        <w:t>ch</w:t>
      </w:r>
      <w:r w:rsidR="004B41F2">
        <w:rPr>
          <w:rFonts w:ascii="Calibri" w:hAnsi="Calibri"/>
          <w:iCs/>
          <w:lang w:val="cs-CZ"/>
        </w:rPr>
        <w:t xml:space="preserve"> v </w:t>
      </w:r>
      <w:r w:rsidR="00787A49" w:rsidRPr="00A910F4">
        <w:rPr>
          <w:rFonts w:ascii="Calibri" w:hAnsi="Calibri"/>
          <w:iCs/>
          <w:lang w:val="cs-CZ"/>
        </w:rPr>
        <w:t>případě, kdy ÚOHS vydal předběžné opatření/rozklad (pozastavení zadávacího řízení nebo zákaz uzavření smlouvy) na základě finančních plánů navázaných na jednotlivé etapy zakázky/smlouvy, v případě neexistence těchto plánů</w:t>
      </w:r>
      <w:r w:rsidR="002963AC">
        <w:rPr>
          <w:rFonts w:ascii="Calibri" w:hAnsi="Calibri"/>
          <w:iCs/>
          <w:lang w:val="cs-CZ"/>
        </w:rPr>
        <w:t xml:space="preserve"> pak metodou pro-</w:t>
      </w:r>
      <w:proofErr w:type="spellStart"/>
      <w:r w:rsidR="002963AC">
        <w:rPr>
          <w:rFonts w:ascii="Calibri" w:hAnsi="Calibri"/>
          <w:iCs/>
          <w:lang w:val="cs-CZ"/>
        </w:rPr>
        <w:t>rata</w:t>
      </w:r>
      <w:proofErr w:type="spellEnd"/>
      <w:r w:rsidR="002963AC">
        <w:rPr>
          <w:rFonts w:ascii="Calibri" w:hAnsi="Calibri"/>
          <w:iCs/>
          <w:lang w:val="cs-CZ"/>
        </w:rPr>
        <w:t>, která je </w:t>
      </w:r>
      <w:r w:rsidR="00787A49" w:rsidRPr="00A910F4">
        <w:rPr>
          <w:rFonts w:ascii="Calibri" w:hAnsi="Calibri"/>
          <w:iCs/>
          <w:lang w:val="cs-CZ"/>
        </w:rPr>
        <w:t>definována vzorcem: dotčená částka = smluvní cena * (počet pozastavených dní/doba trvání kontraktu ve dnech). V rámci aplika</w:t>
      </w:r>
      <w:r w:rsidR="009F6ED2">
        <w:rPr>
          <w:rFonts w:ascii="Calibri" w:hAnsi="Calibri"/>
          <w:iCs/>
          <w:lang w:val="cs-CZ"/>
        </w:rPr>
        <w:t xml:space="preserve">ce článku 95 byla OP </w:t>
      </w:r>
      <w:proofErr w:type="spellStart"/>
      <w:r w:rsidR="009F6ED2">
        <w:rPr>
          <w:rFonts w:ascii="Calibri" w:hAnsi="Calibri"/>
          <w:iCs/>
          <w:lang w:val="cs-CZ"/>
        </w:rPr>
        <w:t>VaVpI</w:t>
      </w:r>
      <w:proofErr w:type="spellEnd"/>
      <w:r w:rsidR="009F6ED2">
        <w:rPr>
          <w:rFonts w:ascii="Calibri" w:hAnsi="Calibri"/>
          <w:iCs/>
          <w:lang w:val="cs-CZ"/>
        </w:rPr>
        <w:t xml:space="preserve"> uznána částka</w:t>
      </w:r>
      <w:r w:rsidR="006F664C">
        <w:rPr>
          <w:rFonts w:ascii="Calibri" w:hAnsi="Calibri"/>
          <w:iCs/>
          <w:lang w:val="cs-CZ"/>
        </w:rPr>
        <w:t xml:space="preserve"> ve výši cca </w:t>
      </w:r>
      <w:r w:rsidR="00787A49" w:rsidRPr="00A910F4">
        <w:rPr>
          <w:rFonts w:ascii="Calibri" w:hAnsi="Calibri"/>
          <w:iCs/>
          <w:lang w:val="cs-CZ"/>
        </w:rPr>
        <w:t>112,8 mil. Kč (</w:t>
      </w:r>
      <w:r w:rsidR="009F6ED2">
        <w:rPr>
          <w:rFonts w:ascii="Calibri" w:hAnsi="Calibri"/>
          <w:iCs/>
          <w:lang w:val="cs-CZ"/>
        </w:rPr>
        <w:t>EU</w:t>
      </w:r>
      <w:r w:rsidR="00787A49" w:rsidRPr="00A910F4">
        <w:rPr>
          <w:rFonts w:ascii="Calibri" w:hAnsi="Calibri"/>
          <w:iCs/>
          <w:lang w:val="cs-CZ"/>
        </w:rPr>
        <w:t xml:space="preserve"> podíl).</w:t>
      </w:r>
    </w:p>
    <w:p w:rsidR="009F6ED2" w:rsidRDefault="009F6ED2" w:rsidP="005D1219">
      <w:pPr>
        <w:pStyle w:val="NorReport"/>
        <w:spacing w:before="0" w:after="0"/>
        <w:rPr>
          <w:rFonts w:ascii="Calibri" w:hAnsi="Calibri"/>
          <w:iCs/>
          <w:lang w:val="cs-CZ"/>
        </w:rPr>
      </w:pPr>
    </w:p>
    <w:p w:rsidR="00576590" w:rsidRDefault="00787A49" w:rsidP="005D1219">
      <w:pPr>
        <w:pStyle w:val="NorReport"/>
        <w:numPr>
          <w:ilvl w:val="0"/>
          <w:numId w:val="2"/>
        </w:numPr>
        <w:spacing w:before="0" w:after="0"/>
        <w:ind w:left="426"/>
        <w:rPr>
          <w:rFonts w:ascii="Calibri" w:hAnsi="Calibri"/>
          <w:b/>
          <w:i/>
          <w:iCs/>
          <w:lang w:val="cs-CZ"/>
        </w:rPr>
      </w:pPr>
      <w:r w:rsidRPr="00BA464F">
        <w:rPr>
          <w:rFonts w:ascii="Calibri" w:hAnsi="Calibri"/>
          <w:b/>
          <w:i/>
          <w:iCs/>
          <w:lang w:val="cs-CZ"/>
        </w:rPr>
        <w:t>Proběhly 2 mimořádné certifikace výdajů</w:t>
      </w:r>
    </w:p>
    <w:p w:rsidR="00BA464F" w:rsidRPr="00BA464F" w:rsidRDefault="00BA464F" w:rsidP="005D1219">
      <w:pPr>
        <w:pStyle w:val="NorReport"/>
        <w:spacing w:before="0" w:after="0"/>
        <w:ind w:left="720"/>
        <w:rPr>
          <w:rFonts w:ascii="Calibri" w:hAnsi="Calibri"/>
          <w:b/>
          <w:i/>
          <w:iCs/>
          <w:lang w:val="cs-CZ"/>
        </w:rPr>
      </w:pPr>
    </w:p>
    <w:p w:rsidR="00576590" w:rsidRDefault="00787A49" w:rsidP="005D1219">
      <w:pPr>
        <w:pStyle w:val="NorReport"/>
        <w:numPr>
          <w:ilvl w:val="0"/>
          <w:numId w:val="2"/>
        </w:numPr>
        <w:spacing w:before="0" w:after="0"/>
        <w:ind w:left="426"/>
        <w:rPr>
          <w:rFonts w:ascii="Calibri" w:hAnsi="Calibri"/>
          <w:b/>
          <w:i/>
          <w:iCs/>
          <w:lang w:val="cs-CZ"/>
        </w:rPr>
      </w:pPr>
      <w:r w:rsidRPr="00A910F4">
        <w:rPr>
          <w:rFonts w:ascii="Calibri" w:hAnsi="Calibri"/>
          <w:b/>
          <w:i/>
          <w:iCs/>
          <w:lang w:val="cs-CZ"/>
        </w:rPr>
        <w:t>Posunutí termínu mimořádné 16. certifikace výdaj</w:t>
      </w:r>
      <w:r w:rsidR="00D53D28">
        <w:rPr>
          <w:rFonts w:ascii="Calibri" w:hAnsi="Calibri"/>
          <w:b/>
          <w:i/>
          <w:iCs/>
          <w:lang w:val="cs-CZ"/>
        </w:rPr>
        <w:t xml:space="preserve">ů OP </w:t>
      </w:r>
      <w:proofErr w:type="spellStart"/>
      <w:r w:rsidR="00D53D28">
        <w:rPr>
          <w:rFonts w:ascii="Calibri" w:hAnsi="Calibri"/>
          <w:b/>
          <w:i/>
          <w:iCs/>
          <w:lang w:val="cs-CZ"/>
        </w:rPr>
        <w:t>VaVpI</w:t>
      </w:r>
      <w:proofErr w:type="spellEnd"/>
      <w:r w:rsidR="00D53D28">
        <w:rPr>
          <w:rFonts w:ascii="Calibri" w:hAnsi="Calibri"/>
          <w:b/>
          <w:i/>
          <w:iCs/>
          <w:lang w:val="cs-CZ"/>
        </w:rPr>
        <w:t xml:space="preserve"> z 5. 12. 2014 na  12. 12. </w:t>
      </w:r>
      <w:r w:rsidRPr="00A910F4">
        <w:rPr>
          <w:rFonts w:ascii="Calibri" w:hAnsi="Calibri"/>
          <w:b/>
          <w:i/>
          <w:iCs/>
          <w:lang w:val="cs-CZ"/>
        </w:rPr>
        <w:t>2014</w:t>
      </w:r>
    </w:p>
    <w:p w:rsidR="00D53D28" w:rsidRPr="00863302" w:rsidRDefault="00D53D28" w:rsidP="005D1219">
      <w:pPr>
        <w:pStyle w:val="NorReport"/>
        <w:spacing w:before="0" w:after="0"/>
        <w:ind w:left="426"/>
        <w:rPr>
          <w:rFonts w:ascii="Calibri" w:hAnsi="Calibri"/>
          <w:b/>
          <w:i/>
          <w:iCs/>
          <w:lang w:val="cs-CZ"/>
        </w:rPr>
      </w:pPr>
    </w:p>
    <w:p w:rsidR="00576590" w:rsidRDefault="00C27D89" w:rsidP="00787A49">
      <w:pPr>
        <w:pStyle w:val="NorReport"/>
        <w:rPr>
          <w:rFonts w:ascii="Calibri" w:hAnsi="Calibri"/>
          <w:iCs/>
          <w:lang w:val="cs-CZ"/>
        </w:rPr>
      </w:pPr>
      <w:r>
        <w:rPr>
          <w:rFonts w:ascii="Calibri" w:hAnsi="Calibri"/>
          <w:iCs/>
          <w:lang w:val="cs-CZ"/>
        </w:rPr>
        <w:t>Tento časový posun opět znamenal navýšení certifikovaných výdajů a umožnil tak snížit ztrátu alokace.</w:t>
      </w:r>
    </w:p>
    <w:p w:rsidR="00C27D89" w:rsidRPr="00863302" w:rsidRDefault="00C27D89" w:rsidP="005D1219">
      <w:pPr>
        <w:pStyle w:val="NorReport"/>
        <w:spacing w:before="0" w:after="0"/>
        <w:ind w:left="720"/>
        <w:rPr>
          <w:rFonts w:ascii="Calibri" w:hAnsi="Calibri"/>
          <w:b/>
          <w:i/>
          <w:iCs/>
          <w:lang w:val="cs-CZ"/>
        </w:rPr>
      </w:pPr>
    </w:p>
    <w:p w:rsidR="00787A49" w:rsidRDefault="00787A49" w:rsidP="005D1219">
      <w:pPr>
        <w:pStyle w:val="NorReport"/>
        <w:numPr>
          <w:ilvl w:val="0"/>
          <w:numId w:val="2"/>
        </w:numPr>
        <w:spacing w:before="0" w:after="0"/>
        <w:ind w:left="426"/>
        <w:rPr>
          <w:rFonts w:ascii="Calibri" w:hAnsi="Calibri"/>
          <w:b/>
          <w:i/>
          <w:iCs/>
          <w:lang w:val="cs-CZ"/>
        </w:rPr>
      </w:pPr>
      <w:r w:rsidRPr="00A910F4">
        <w:rPr>
          <w:rFonts w:ascii="Calibri" w:hAnsi="Calibri"/>
          <w:b/>
          <w:i/>
          <w:iCs/>
          <w:lang w:val="cs-CZ"/>
        </w:rPr>
        <w:t>Urych</w:t>
      </w:r>
      <w:r w:rsidR="00F3265A">
        <w:rPr>
          <w:rFonts w:ascii="Calibri" w:hAnsi="Calibri"/>
          <w:b/>
          <w:i/>
          <w:iCs/>
          <w:lang w:val="cs-CZ"/>
        </w:rPr>
        <w:t>lení procesu schvalování změn v</w:t>
      </w:r>
      <w:r w:rsidRPr="00A910F4">
        <w:rPr>
          <w:rFonts w:ascii="Calibri" w:hAnsi="Calibri"/>
          <w:b/>
          <w:i/>
          <w:iCs/>
          <w:lang w:val="cs-CZ"/>
        </w:rPr>
        <w:t xml:space="preserve"> projektech a vydání metodických úprav: </w:t>
      </w:r>
    </w:p>
    <w:p w:rsidR="00576590" w:rsidRPr="00A910F4" w:rsidRDefault="00576590" w:rsidP="005D1219">
      <w:pPr>
        <w:pStyle w:val="NorReport"/>
        <w:spacing w:before="0" w:after="0"/>
        <w:ind w:left="720"/>
        <w:rPr>
          <w:rFonts w:ascii="Calibri" w:hAnsi="Calibri"/>
          <w:b/>
          <w:i/>
          <w:iCs/>
          <w:lang w:val="cs-CZ"/>
        </w:rPr>
      </w:pPr>
    </w:p>
    <w:p w:rsidR="006C179D" w:rsidRPr="006C179D" w:rsidRDefault="00F3265A" w:rsidP="00676287">
      <w:pPr>
        <w:numPr>
          <w:ilvl w:val="0"/>
          <w:numId w:val="14"/>
        </w:numPr>
        <w:spacing w:after="0"/>
        <w:ind w:left="425" w:hanging="357"/>
      </w:pPr>
      <w:r>
        <w:t>Aktualizace</w:t>
      </w:r>
      <w:r w:rsidR="006C179D">
        <w:t xml:space="preserve"> částí </w:t>
      </w:r>
      <w:r>
        <w:t>Operačního manuálu</w:t>
      </w:r>
      <w:r w:rsidR="006C179D">
        <w:t xml:space="preserve"> (</w:t>
      </w:r>
      <w:r w:rsidR="006C179D" w:rsidRPr="006C179D">
        <w:t>kontrola</w:t>
      </w:r>
      <w:r w:rsidR="006C179D">
        <w:t xml:space="preserve"> a audit, nesrovnalosti)</w:t>
      </w:r>
    </w:p>
    <w:p w:rsidR="00787A49" w:rsidRPr="00A910F4" w:rsidRDefault="006C179D" w:rsidP="00676287">
      <w:pPr>
        <w:numPr>
          <w:ilvl w:val="0"/>
          <w:numId w:val="14"/>
        </w:numPr>
        <w:spacing w:after="0"/>
        <w:ind w:left="425" w:hanging="357"/>
      </w:pPr>
      <w:r>
        <w:t>Aktualizace příručky pro kontrolu projektů a souvisejících příloh</w:t>
      </w:r>
    </w:p>
    <w:p w:rsidR="00787A49" w:rsidRPr="00A910F4" w:rsidRDefault="006C179D" w:rsidP="00676287">
      <w:pPr>
        <w:numPr>
          <w:ilvl w:val="0"/>
          <w:numId w:val="14"/>
        </w:numPr>
        <w:spacing w:after="0"/>
        <w:ind w:left="425" w:hanging="357"/>
      </w:pPr>
      <w:r>
        <w:t xml:space="preserve">Vydání </w:t>
      </w:r>
      <w:r w:rsidR="00787A49" w:rsidRPr="00A910F4">
        <w:t>metodické</w:t>
      </w:r>
      <w:r>
        <w:t>ho pokynu ke</w:t>
      </w:r>
      <w:r w:rsidR="00787A49" w:rsidRPr="00A910F4">
        <w:t xml:space="preserve"> zjednodušení administrace kontrol na místě</w:t>
      </w:r>
    </w:p>
    <w:p w:rsidR="00787A49" w:rsidRPr="00A910F4" w:rsidRDefault="00787A49" w:rsidP="00676287">
      <w:pPr>
        <w:numPr>
          <w:ilvl w:val="0"/>
          <w:numId w:val="14"/>
        </w:numPr>
        <w:spacing w:after="0"/>
        <w:ind w:left="425" w:hanging="357"/>
      </w:pPr>
      <w:r w:rsidRPr="00A910F4">
        <w:t>Vydán</w:t>
      </w:r>
      <w:r w:rsidR="006C179D">
        <w:t xml:space="preserve">í metodického </w:t>
      </w:r>
      <w:r w:rsidRPr="00A910F4">
        <w:t>pokyn</w:t>
      </w:r>
      <w:r w:rsidR="006C179D">
        <w:t>u k</w:t>
      </w:r>
      <w:r w:rsidRPr="00A910F4">
        <w:t xml:space="preserve"> možnost</w:t>
      </w:r>
      <w:r w:rsidR="006C179D">
        <w:t>i</w:t>
      </w:r>
      <w:r w:rsidRPr="00A910F4">
        <w:t xml:space="preserve"> využití až 100% úspor ze stavebních zakázek</w:t>
      </w:r>
    </w:p>
    <w:p w:rsidR="00787A49" w:rsidRPr="00A910F4" w:rsidRDefault="00787A49" w:rsidP="00676287">
      <w:pPr>
        <w:numPr>
          <w:ilvl w:val="0"/>
          <w:numId w:val="14"/>
        </w:numPr>
        <w:spacing w:after="0"/>
        <w:ind w:left="425" w:hanging="357"/>
      </w:pPr>
      <w:r w:rsidRPr="00A910F4">
        <w:t>Vydán</w:t>
      </w:r>
      <w:r w:rsidR="00AE725C">
        <w:t>í</w:t>
      </w:r>
      <w:r w:rsidRPr="00A910F4">
        <w:t xml:space="preserve"> materiál</w:t>
      </w:r>
      <w:r w:rsidR="006C179D">
        <w:t>u</w:t>
      </w:r>
      <w:r w:rsidRPr="00A910F4">
        <w:t xml:space="preserve"> </w:t>
      </w:r>
      <w:r w:rsidRPr="00555564">
        <w:t>Informace k veřejné podpoře</w:t>
      </w:r>
    </w:p>
    <w:p w:rsidR="00787A49" w:rsidRDefault="006C179D" w:rsidP="00676287">
      <w:pPr>
        <w:numPr>
          <w:ilvl w:val="0"/>
          <w:numId w:val="14"/>
        </w:numPr>
        <w:spacing w:after="0"/>
        <w:ind w:left="425" w:hanging="357"/>
      </w:pPr>
      <w:r>
        <w:t>Vydání</w:t>
      </w:r>
      <w:r w:rsidR="00787A49" w:rsidRPr="00A910F4">
        <w:t xml:space="preserve"> metodické</w:t>
      </w:r>
      <w:r>
        <w:t>ho pokynu ke</w:t>
      </w:r>
      <w:r w:rsidR="00787A49" w:rsidRPr="00A910F4">
        <w:t xml:space="preserve"> zryc</w:t>
      </w:r>
      <w:r w:rsidR="00AE725C">
        <w:t xml:space="preserve">hlení procesu akceptace </w:t>
      </w:r>
      <w:r w:rsidR="00787A49" w:rsidRPr="00A910F4">
        <w:t>změn na projektu</w:t>
      </w:r>
    </w:p>
    <w:p w:rsidR="006C179D" w:rsidRPr="00A910F4" w:rsidRDefault="006C179D" w:rsidP="005D1219">
      <w:pPr>
        <w:pStyle w:val="NorReport"/>
        <w:spacing w:before="0" w:after="0"/>
        <w:ind w:left="426"/>
        <w:rPr>
          <w:rFonts w:ascii="Calibri" w:hAnsi="Calibri"/>
          <w:lang w:val="cs-CZ"/>
        </w:rPr>
      </w:pPr>
    </w:p>
    <w:p w:rsidR="00787A49" w:rsidRDefault="00787A49" w:rsidP="005D1219">
      <w:pPr>
        <w:pStyle w:val="NorReport"/>
        <w:numPr>
          <w:ilvl w:val="0"/>
          <w:numId w:val="2"/>
        </w:numPr>
        <w:spacing w:before="0" w:after="0"/>
        <w:ind w:left="426"/>
        <w:rPr>
          <w:rFonts w:ascii="Calibri" w:hAnsi="Calibri"/>
          <w:b/>
          <w:i/>
          <w:iCs/>
          <w:lang w:val="cs-CZ"/>
        </w:rPr>
      </w:pPr>
      <w:r w:rsidRPr="00A910F4">
        <w:rPr>
          <w:rFonts w:ascii="Calibri" w:hAnsi="Calibri"/>
          <w:b/>
          <w:i/>
          <w:iCs/>
          <w:lang w:val="cs-CZ"/>
        </w:rPr>
        <w:t xml:space="preserve">Změna systému kontroly </w:t>
      </w:r>
      <w:r w:rsidR="00A1690A">
        <w:rPr>
          <w:rFonts w:ascii="Calibri" w:hAnsi="Calibri"/>
          <w:b/>
          <w:i/>
          <w:iCs/>
          <w:lang w:val="cs-CZ"/>
        </w:rPr>
        <w:t>vyúčtovaných způsobilých výdajů</w:t>
      </w:r>
    </w:p>
    <w:p w:rsidR="00576590" w:rsidRPr="00A910F4" w:rsidRDefault="00576590" w:rsidP="005D1219">
      <w:pPr>
        <w:pStyle w:val="NorReport"/>
        <w:spacing w:before="0" w:after="0"/>
        <w:ind w:left="720"/>
        <w:rPr>
          <w:rFonts w:ascii="Calibri" w:hAnsi="Calibri"/>
          <w:b/>
          <w:i/>
          <w:iCs/>
          <w:lang w:val="cs-CZ"/>
        </w:rPr>
      </w:pPr>
    </w:p>
    <w:p w:rsidR="00787A49" w:rsidRPr="00676287" w:rsidRDefault="00787A49" w:rsidP="00676287">
      <w:pPr>
        <w:numPr>
          <w:ilvl w:val="0"/>
          <w:numId w:val="14"/>
        </w:numPr>
        <w:spacing w:after="0"/>
        <w:ind w:left="425" w:hanging="357"/>
      </w:pPr>
      <w:r w:rsidRPr="00676287">
        <w:t>Zkrácena délka věcné kontroly</w:t>
      </w:r>
    </w:p>
    <w:p w:rsidR="00787A49" w:rsidRPr="00676287" w:rsidRDefault="00787A49" w:rsidP="00676287">
      <w:pPr>
        <w:numPr>
          <w:ilvl w:val="0"/>
          <w:numId w:val="14"/>
        </w:numPr>
        <w:spacing w:after="0"/>
        <w:ind w:left="425" w:hanging="357"/>
      </w:pPr>
      <w:r w:rsidRPr="00676287">
        <w:lastRenderedPageBreak/>
        <w:t xml:space="preserve">Zkrácena délka schválení podkladů pro </w:t>
      </w:r>
      <w:proofErr w:type="gramStart"/>
      <w:r w:rsidRPr="00676287">
        <w:t>vyúčtování z</w:t>
      </w:r>
      <w:r w:rsidR="00A1690A" w:rsidRPr="00676287">
        <w:t> </w:t>
      </w:r>
      <w:r w:rsidRPr="00676287">
        <w:t>5</w:t>
      </w:r>
      <w:r w:rsidR="00A1690A" w:rsidRPr="00676287">
        <w:t>-ti</w:t>
      </w:r>
      <w:proofErr w:type="gramEnd"/>
      <w:r w:rsidRPr="00676287">
        <w:t xml:space="preserve"> na 3 měsíce</w:t>
      </w:r>
    </w:p>
    <w:p w:rsidR="00576590" w:rsidRPr="00A910F4" w:rsidRDefault="00576590" w:rsidP="005D1219">
      <w:pPr>
        <w:pStyle w:val="NorReport"/>
        <w:spacing w:before="0" w:after="0"/>
        <w:ind w:left="426"/>
        <w:rPr>
          <w:rFonts w:ascii="Calibri" w:hAnsi="Calibri"/>
          <w:lang w:val="cs-CZ"/>
        </w:rPr>
      </w:pPr>
    </w:p>
    <w:p w:rsidR="00787A49" w:rsidRPr="00863302" w:rsidRDefault="00787A49" w:rsidP="005D1219">
      <w:pPr>
        <w:pStyle w:val="NorReport"/>
        <w:numPr>
          <w:ilvl w:val="0"/>
          <w:numId w:val="2"/>
        </w:numPr>
        <w:spacing w:before="0" w:after="0"/>
        <w:ind w:left="426"/>
        <w:rPr>
          <w:rFonts w:ascii="Calibri" w:hAnsi="Calibri"/>
          <w:b/>
          <w:i/>
          <w:iCs/>
          <w:lang w:val="cs-CZ"/>
        </w:rPr>
      </w:pPr>
      <w:r w:rsidRPr="00A910F4">
        <w:rPr>
          <w:rFonts w:ascii="Calibri" w:hAnsi="Calibri"/>
          <w:b/>
          <w:i/>
          <w:iCs/>
          <w:lang w:val="cs-CZ"/>
        </w:rPr>
        <w:t>Přenastavení kontrol veřejných zakázek</w:t>
      </w:r>
      <w:r w:rsidRPr="00863302">
        <w:rPr>
          <w:rFonts w:ascii="Calibri" w:hAnsi="Calibri"/>
          <w:b/>
          <w:i/>
          <w:iCs/>
          <w:lang w:val="cs-CZ"/>
        </w:rPr>
        <w:t xml:space="preserve"> </w:t>
      </w:r>
    </w:p>
    <w:p w:rsidR="00576590" w:rsidRPr="00A910F4" w:rsidRDefault="00576590" w:rsidP="005D1219">
      <w:pPr>
        <w:pStyle w:val="NorReport"/>
        <w:spacing w:before="0" w:after="0"/>
        <w:ind w:left="720"/>
        <w:rPr>
          <w:rFonts w:ascii="Calibri" w:hAnsi="Calibri"/>
          <w:b/>
          <w:i/>
          <w:lang w:val="cs-CZ"/>
        </w:rPr>
      </w:pPr>
    </w:p>
    <w:p w:rsidR="00787A49" w:rsidRDefault="00787A49" w:rsidP="00863302">
      <w:pPr>
        <w:spacing w:after="0"/>
        <w:jc w:val="both"/>
      </w:pPr>
      <w:r w:rsidRPr="00A910F4">
        <w:t xml:space="preserve">Veřejné zakázky malého rozsahu </w:t>
      </w:r>
      <w:r w:rsidR="00957406">
        <w:t>jsou kontrolovány projektovými manažery</w:t>
      </w:r>
      <w:r w:rsidRPr="00A910F4">
        <w:t>, kapacity právníků</w:t>
      </w:r>
      <w:r w:rsidR="00957406">
        <w:t xml:space="preserve"> jsou tak více využívány pro ex-</w:t>
      </w:r>
      <w:r w:rsidRPr="00A910F4">
        <w:t>ante konzultace a konzultace obecně.</w:t>
      </w:r>
    </w:p>
    <w:p w:rsidR="00576590" w:rsidRPr="00A910F4" w:rsidRDefault="00576590" w:rsidP="005D1219">
      <w:pPr>
        <w:pStyle w:val="NorReport"/>
        <w:spacing w:before="0" w:after="0"/>
        <w:rPr>
          <w:rFonts w:ascii="Calibri" w:hAnsi="Calibri"/>
          <w:b/>
          <w:u w:val="single"/>
          <w:lang w:val="cs-CZ"/>
        </w:rPr>
      </w:pPr>
    </w:p>
    <w:p w:rsidR="00576590" w:rsidRPr="00863302" w:rsidRDefault="00957406" w:rsidP="005D1219">
      <w:pPr>
        <w:pStyle w:val="NorReport"/>
        <w:numPr>
          <w:ilvl w:val="0"/>
          <w:numId w:val="2"/>
        </w:numPr>
        <w:spacing w:before="0" w:after="0"/>
        <w:ind w:left="426"/>
        <w:rPr>
          <w:rFonts w:ascii="Calibri" w:hAnsi="Calibri"/>
          <w:b/>
          <w:i/>
          <w:iCs/>
          <w:lang w:val="cs-CZ"/>
        </w:rPr>
      </w:pPr>
      <w:r w:rsidRPr="00957406">
        <w:rPr>
          <w:rFonts w:ascii="Calibri" w:hAnsi="Calibri"/>
          <w:b/>
          <w:i/>
          <w:iCs/>
          <w:lang w:val="cs-CZ"/>
        </w:rPr>
        <w:t>Pravidelné</w:t>
      </w:r>
      <w:r w:rsidR="00787A49" w:rsidRPr="00957406">
        <w:rPr>
          <w:rFonts w:ascii="Calibri" w:hAnsi="Calibri"/>
          <w:b/>
          <w:i/>
          <w:iCs/>
          <w:lang w:val="cs-CZ"/>
        </w:rPr>
        <w:t xml:space="preserve"> </w:t>
      </w:r>
      <w:r>
        <w:rPr>
          <w:rFonts w:ascii="Calibri" w:hAnsi="Calibri"/>
          <w:b/>
          <w:i/>
          <w:iCs/>
          <w:lang w:val="cs-CZ"/>
        </w:rPr>
        <w:t>vyhodnocování predikcí čerpání</w:t>
      </w:r>
    </w:p>
    <w:p w:rsidR="00957406" w:rsidRPr="00957406" w:rsidRDefault="00957406" w:rsidP="005D1219">
      <w:pPr>
        <w:pStyle w:val="NorReport"/>
        <w:spacing w:before="0" w:after="0"/>
        <w:ind w:left="720"/>
        <w:rPr>
          <w:rFonts w:ascii="Calibri" w:hAnsi="Calibri"/>
          <w:b/>
          <w:i/>
          <w:lang w:val="cs-CZ"/>
        </w:rPr>
      </w:pPr>
    </w:p>
    <w:p w:rsidR="00787A49" w:rsidRPr="00AE725C" w:rsidRDefault="00F017F5" w:rsidP="007C095D">
      <w:pPr>
        <w:jc w:val="both"/>
        <w:rPr>
          <w:lang w:eastAsia="x-none"/>
        </w:rPr>
      </w:pPr>
      <w:r w:rsidRPr="00A910F4">
        <w:rPr>
          <w:lang w:eastAsia="x-none"/>
        </w:rPr>
        <w:t>ŘO</w:t>
      </w:r>
      <w:r w:rsidR="00787A49" w:rsidRPr="00A910F4">
        <w:rPr>
          <w:lang w:val="x-none" w:eastAsia="x-none"/>
        </w:rPr>
        <w:t xml:space="preserve"> důsledně monitoruje pokrok </w:t>
      </w:r>
      <w:r w:rsidR="00957406">
        <w:rPr>
          <w:lang w:eastAsia="x-none"/>
        </w:rPr>
        <w:t xml:space="preserve">v </w:t>
      </w:r>
      <w:r w:rsidR="00AE725C">
        <w:rPr>
          <w:lang w:val="x-none" w:eastAsia="x-none"/>
        </w:rPr>
        <w:t xml:space="preserve">čerpání finančních prostředků </w:t>
      </w:r>
      <w:r w:rsidR="00AE725C">
        <w:rPr>
          <w:lang w:eastAsia="x-none"/>
        </w:rPr>
        <w:t>až na úroveň</w:t>
      </w:r>
      <w:r w:rsidR="00AE725C">
        <w:rPr>
          <w:lang w:val="x-none" w:eastAsia="x-none"/>
        </w:rPr>
        <w:t> jednotlivých projektů</w:t>
      </w:r>
      <w:r w:rsidR="00957406">
        <w:rPr>
          <w:lang w:eastAsia="x-none"/>
        </w:rPr>
        <w:t>,</w:t>
      </w:r>
      <w:r w:rsidRPr="00A910F4">
        <w:rPr>
          <w:lang w:eastAsia="x-none"/>
        </w:rPr>
        <w:t xml:space="preserve"> </w:t>
      </w:r>
      <w:r w:rsidR="00787A49" w:rsidRPr="00A910F4">
        <w:rPr>
          <w:lang w:val="x-none" w:eastAsia="x-none"/>
        </w:rPr>
        <w:t xml:space="preserve">v této souvislosti jsou </w:t>
      </w:r>
      <w:r w:rsidR="00AE725C">
        <w:rPr>
          <w:lang w:eastAsia="x-none"/>
        </w:rPr>
        <w:t xml:space="preserve">minimálně jedenkrát </w:t>
      </w:r>
      <w:r w:rsidR="00787A49" w:rsidRPr="00A910F4">
        <w:rPr>
          <w:lang w:val="x-none" w:eastAsia="x-none"/>
        </w:rPr>
        <w:t xml:space="preserve">měsíčně aktualizovány predikce </w:t>
      </w:r>
      <w:r w:rsidR="00957406">
        <w:rPr>
          <w:lang w:eastAsia="x-none"/>
        </w:rPr>
        <w:t>předfinancování a</w:t>
      </w:r>
      <w:r w:rsidR="00AE725C">
        <w:rPr>
          <w:lang w:eastAsia="x-none"/>
        </w:rPr>
        <w:t xml:space="preserve"> </w:t>
      </w:r>
      <w:r w:rsidR="00957406">
        <w:rPr>
          <w:lang w:eastAsia="x-none"/>
        </w:rPr>
        <w:t xml:space="preserve">vyúčtování, </w:t>
      </w:r>
      <w:r w:rsidR="00AE725C">
        <w:rPr>
          <w:lang w:eastAsia="x-none"/>
        </w:rPr>
        <w:t xml:space="preserve">v případě identifikací problémů </w:t>
      </w:r>
      <w:r w:rsidR="00957406">
        <w:rPr>
          <w:lang w:eastAsia="x-none"/>
        </w:rPr>
        <w:t>jsou přijímána</w:t>
      </w:r>
      <w:r w:rsidR="00787A49" w:rsidRPr="00A910F4">
        <w:rPr>
          <w:lang w:val="x-none" w:eastAsia="x-none"/>
        </w:rPr>
        <w:t xml:space="preserve"> opatření</w:t>
      </w:r>
      <w:r w:rsidR="00AE725C">
        <w:rPr>
          <w:lang w:eastAsia="x-none"/>
        </w:rPr>
        <w:t xml:space="preserve"> směřující k co největšímu dočerpání alokace.</w:t>
      </w:r>
    </w:p>
    <w:p w:rsidR="00787A49" w:rsidRPr="00A910F4" w:rsidRDefault="00AE725C" w:rsidP="008577A6">
      <w:pPr>
        <w:jc w:val="both"/>
        <w:rPr>
          <w:iCs/>
        </w:rPr>
      </w:pPr>
      <w:r>
        <w:t>Úspěšnou realizací</w:t>
      </w:r>
      <w:r w:rsidR="00787A49" w:rsidRPr="00A910F4">
        <w:t xml:space="preserve"> výše uvedených opatření se ŘO OP </w:t>
      </w:r>
      <w:proofErr w:type="spellStart"/>
      <w:r w:rsidR="00787A49" w:rsidRPr="00A910F4">
        <w:t>VaVpI</w:t>
      </w:r>
      <w:proofErr w:type="spellEnd"/>
      <w:r w:rsidR="00787A49" w:rsidRPr="00A910F4">
        <w:t xml:space="preserve"> podařilo snížit </w:t>
      </w:r>
      <w:proofErr w:type="spellStart"/>
      <w:r w:rsidR="00787A49" w:rsidRPr="00A910F4">
        <w:t>decommitment</w:t>
      </w:r>
      <w:proofErr w:type="spellEnd"/>
      <w:r>
        <w:t xml:space="preserve"> neboli ztrátu alokace</w:t>
      </w:r>
      <w:r w:rsidR="00787A49" w:rsidRPr="00A910F4">
        <w:t xml:space="preserve"> </w:t>
      </w:r>
      <w:r>
        <w:t>z</w:t>
      </w:r>
      <w:r w:rsidR="0069681F">
        <w:t xml:space="preserve"> původně </w:t>
      </w:r>
      <w:r>
        <w:t xml:space="preserve">avizovaných </w:t>
      </w:r>
      <w:r w:rsidR="0069681F">
        <w:t>9,8 mld. Kč (EU podíl)</w:t>
      </w:r>
      <w:r>
        <w:t xml:space="preserve"> na konečných </w:t>
      </w:r>
      <w:r w:rsidR="0069681F">
        <w:t xml:space="preserve">6,7 mld. Kč </w:t>
      </w:r>
      <w:r w:rsidR="006055EF">
        <w:t>(</w:t>
      </w:r>
      <w:r w:rsidR="0069681F">
        <w:t>EU podíl).</w:t>
      </w:r>
    </w:p>
    <w:p w:rsidR="00787A49" w:rsidRPr="00A910F4" w:rsidRDefault="00787A49" w:rsidP="00787A49">
      <w:pPr>
        <w:pStyle w:val="NorReport"/>
        <w:spacing w:after="0"/>
        <w:rPr>
          <w:rFonts w:ascii="Calibri" w:hAnsi="Calibri"/>
          <w:bCs/>
          <w:iCs/>
          <w:lang w:val="cs-CZ"/>
        </w:rPr>
      </w:pPr>
      <w:r w:rsidRPr="00A910F4">
        <w:rPr>
          <w:rFonts w:ascii="Calibri" w:hAnsi="Calibri"/>
          <w:bCs/>
          <w:iCs/>
          <w:lang w:val="cs-CZ"/>
        </w:rPr>
        <w:t xml:space="preserve">ŘO OP </w:t>
      </w:r>
      <w:proofErr w:type="spellStart"/>
      <w:r w:rsidRPr="00A910F4">
        <w:rPr>
          <w:rFonts w:ascii="Calibri" w:hAnsi="Calibri"/>
          <w:bCs/>
          <w:iCs/>
          <w:lang w:val="cs-CZ"/>
        </w:rPr>
        <w:t>VaVpI</w:t>
      </w:r>
      <w:proofErr w:type="spellEnd"/>
      <w:r w:rsidRPr="00A910F4">
        <w:rPr>
          <w:rFonts w:ascii="Calibri" w:hAnsi="Calibri"/>
          <w:bCs/>
          <w:iCs/>
          <w:lang w:val="cs-CZ"/>
        </w:rPr>
        <w:t xml:space="preserve"> zvažoval ke s</w:t>
      </w:r>
      <w:r w:rsidR="00AE725C">
        <w:rPr>
          <w:rFonts w:ascii="Calibri" w:hAnsi="Calibri"/>
          <w:bCs/>
          <w:iCs/>
          <w:lang w:val="cs-CZ"/>
        </w:rPr>
        <w:t xml:space="preserve">nížení výše </w:t>
      </w:r>
      <w:proofErr w:type="spellStart"/>
      <w:r w:rsidR="00AE725C">
        <w:rPr>
          <w:rFonts w:ascii="Calibri" w:hAnsi="Calibri"/>
          <w:bCs/>
          <w:iCs/>
          <w:lang w:val="cs-CZ"/>
        </w:rPr>
        <w:t>decommitmentu</w:t>
      </w:r>
      <w:proofErr w:type="spellEnd"/>
      <w:r w:rsidR="00AE725C">
        <w:rPr>
          <w:rFonts w:ascii="Calibri" w:hAnsi="Calibri"/>
          <w:bCs/>
          <w:iCs/>
          <w:lang w:val="cs-CZ"/>
        </w:rPr>
        <w:t xml:space="preserve"> také využití </w:t>
      </w:r>
      <w:r w:rsidRPr="00A910F4">
        <w:rPr>
          <w:rFonts w:ascii="Calibri" w:hAnsi="Calibri"/>
          <w:bCs/>
          <w:iCs/>
          <w:lang w:val="cs-CZ"/>
        </w:rPr>
        <w:t xml:space="preserve">čl. 94 Nařízení Rady (ES) </w:t>
      </w:r>
      <w:r w:rsidRPr="00A910F4">
        <w:rPr>
          <w:rFonts w:ascii="Calibri" w:hAnsi="Calibri"/>
          <w:bCs/>
          <w:iCs/>
          <w:lang w:val="cs-CZ"/>
        </w:rPr>
        <w:br/>
        <w:t>č. 1083/2006</w:t>
      </w:r>
      <w:r w:rsidR="00AE725C">
        <w:rPr>
          <w:rFonts w:ascii="Calibri" w:hAnsi="Calibri"/>
          <w:bCs/>
          <w:iCs/>
          <w:lang w:val="cs-CZ"/>
        </w:rPr>
        <w:t>. Aplikace tohoto článku by znamenala</w:t>
      </w:r>
      <w:r w:rsidRPr="00A910F4">
        <w:rPr>
          <w:rFonts w:ascii="Calibri" w:hAnsi="Calibri"/>
          <w:bCs/>
          <w:iCs/>
          <w:lang w:val="cs-CZ"/>
        </w:rPr>
        <w:t xml:space="preserve"> </w:t>
      </w:r>
      <w:proofErr w:type="spellStart"/>
      <w:r w:rsidR="000924A9">
        <w:rPr>
          <w:rFonts w:ascii="Calibri" w:hAnsi="Calibri"/>
          <w:bCs/>
          <w:iCs/>
          <w:lang w:val="cs-CZ"/>
        </w:rPr>
        <w:t>překlasifikování</w:t>
      </w:r>
      <w:proofErr w:type="spellEnd"/>
      <w:r w:rsidR="000924A9">
        <w:rPr>
          <w:rFonts w:ascii="Calibri" w:hAnsi="Calibri"/>
          <w:bCs/>
          <w:iCs/>
          <w:lang w:val="cs-CZ"/>
        </w:rPr>
        <w:t xml:space="preserve"> vybraných běžných projektů</w:t>
      </w:r>
      <w:r w:rsidRPr="00A910F4">
        <w:rPr>
          <w:rFonts w:ascii="Calibri" w:hAnsi="Calibri"/>
          <w:bCs/>
          <w:iCs/>
          <w:lang w:val="cs-CZ"/>
        </w:rPr>
        <w:t xml:space="preserve"> na velké projekty a </w:t>
      </w:r>
      <w:r w:rsidR="000924A9">
        <w:rPr>
          <w:rFonts w:ascii="Calibri" w:hAnsi="Calibri"/>
          <w:bCs/>
          <w:iCs/>
          <w:lang w:val="cs-CZ"/>
        </w:rPr>
        <w:t>následné využi</w:t>
      </w:r>
      <w:r w:rsidRPr="00A910F4">
        <w:rPr>
          <w:rFonts w:ascii="Calibri" w:hAnsi="Calibri"/>
          <w:bCs/>
          <w:iCs/>
          <w:lang w:val="cs-CZ"/>
        </w:rPr>
        <w:t>t</w:t>
      </w:r>
      <w:r w:rsidR="000924A9">
        <w:rPr>
          <w:rFonts w:ascii="Calibri" w:hAnsi="Calibri"/>
          <w:bCs/>
          <w:iCs/>
          <w:lang w:val="cs-CZ"/>
        </w:rPr>
        <w:t>í odpočtu</w:t>
      </w:r>
      <w:r w:rsidRPr="00A910F4">
        <w:rPr>
          <w:rFonts w:ascii="Calibri" w:hAnsi="Calibri"/>
          <w:bCs/>
          <w:iCs/>
          <w:lang w:val="cs-CZ"/>
        </w:rPr>
        <w:t xml:space="preserve"> ročních závazků </w:t>
      </w:r>
      <w:r w:rsidR="000924A9">
        <w:rPr>
          <w:rFonts w:ascii="Calibri" w:hAnsi="Calibri"/>
          <w:bCs/>
          <w:iCs/>
          <w:lang w:val="cs-CZ"/>
        </w:rPr>
        <w:t xml:space="preserve">těchto </w:t>
      </w:r>
      <w:r w:rsidRPr="00A910F4">
        <w:rPr>
          <w:rFonts w:ascii="Calibri" w:hAnsi="Calibri"/>
          <w:bCs/>
          <w:iCs/>
          <w:lang w:val="cs-CZ"/>
        </w:rPr>
        <w:t xml:space="preserve">velkých projektů </w:t>
      </w:r>
      <w:r w:rsidR="000924A9">
        <w:rPr>
          <w:rFonts w:ascii="Calibri" w:hAnsi="Calibri"/>
          <w:bCs/>
          <w:iCs/>
          <w:lang w:val="cs-CZ"/>
        </w:rPr>
        <w:t>od limitu</w:t>
      </w:r>
      <w:r w:rsidRPr="00A910F4">
        <w:rPr>
          <w:rFonts w:ascii="Calibri" w:hAnsi="Calibri"/>
          <w:bCs/>
          <w:iCs/>
          <w:lang w:val="cs-CZ"/>
        </w:rPr>
        <w:t xml:space="preserve"> pravidla n+2. ŘO OP </w:t>
      </w:r>
      <w:proofErr w:type="spellStart"/>
      <w:r w:rsidRPr="00A910F4">
        <w:rPr>
          <w:rFonts w:ascii="Calibri" w:hAnsi="Calibri"/>
          <w:bCs/>
          <w:iCs/>
          <w:lang w:val="cs-CZ"/>
        </w:rPr>
        <w:t>VaVpI</w:t>
      </w:r>
      <w:proofErr w:type="spellEnd"/>
      <w:r w:rsidRPr="00A910F4">
        <w:rPr>
          <w:rFonts w:ascii="Calibri" w:hAnsi="Calibri"/>
          <w:bCs/>
          <w:iCs/>
          <w:lang w:val="cs-CZ"/>
        </w:rPr>
        <w:t xml:space="preserve"> po provedené analýze identifikoval 3 nové velké projekty</w:t>
      </w:r>
      <w:r w:rsidR="000924A9">
        <w:rPr>
          <w:rFonts w:ascii="Calibri" w:hAnsi="Calibri"/>
          <w:bCs/>
          <w:iCs/>
          <w:lang w:val="cs-CZ"/>
        </w:rPr>
        <w:t xml:space="preserve"> a</w:t>
      </w:r>
      <w:r w:rsidRPr="00A910F4">
        <w:rPr>
          <w:rFonts w:ascii="Calibri" w:hAnsi="Calibri"/>
          <w:bCs/>
          <w:iCs/>
          <w:lang w:val="cs-CZ"/>
        </w:rPr>
        <w:t xml:space="preserve"> projednal</w:t>
      </w:r>
      <w:r w:rsidR="000924A9">
        <w:rPr>
          <w:rFonts w:ascii="Calibri" w:hAnsi="Calibri"/>
          <w:bCs/>
          <w:iCs/>
          <w:lang w:val="cs-CZ"/>
        </w:rPr>
        <w:t xml:space="preserve"> tento</w:t>
      </w:r>
      <w:r w:rsidRPr="00A910F4">
        <w:rPr>
          <w:rFonts w:ascii="Calibri" w:hAnsi="Calibri"/>
          <w:bCs/>
          <w:iCs/>
          <w:lang w:val="cs-CZ"/>
        </w:rPr>
        <w:t xml:space="preserve"> záměr s EK. Na základě doporučení ze strany EK bylo rozhodnuto, že projekty předloženy nebudou. ŘO OP </w:t>
      </w:r>
      <w:proofErr w:type="spellStart"/>
      <w:r w:rsidRPr="00A910F4">
        <w:rPr>
          <w:rFonts w:ascii="Calibri" w:hAnsi="Calibri"/>
          <w:bCs/>
          <w:iCs/>
          <w:lang w:val="cs-CZ"/>
        </w:rPr>
        <w:t>VaVpI</w:t>
      </w:r>
      <w:proofErr w:type="spellEnd"/>
      <w:r w:rsidRPr="00A910F4">
        <w:rPr>
          <w:rFonts w:ascii="Calibri" w:hAnsi="Calibri"/>
          <w:bCs/>
          <w:iCs/>
          <w:lang w:val="cs-CZ"/>
        </w:rPr>
        <w:t xml:space="preserve"> tedy aplikace čl. 94 </w:t>
      </w:r>
      <w:r w:rsidR="008B4AD2">
        <w:rPr>
          <w:rFonts w:ascii="Calibri" w:hAnsi="Calibri"/>
          <w:bCs/>
          <w:iCs/>
          <w:lang w:val="cs-CZ"/>
        </w:rPr>
        <w:t xml:space="preserve">Nařízení Rady (ES) č. 1083/2006 </w:t>
      </w:r>
      <w:r w:rsidR="008B4AD2" w:rsidRPr="00A910F4">
        <w:rPr>
          <w:rFonts w:ascii="Calibri" w:hAnsi="Calibri"/>
          <w:bCs/>
          <w:iCs/>
          <w:lang w:val="cs-CZ"/>
        </w:rPr>
        <w:t>nevyužil</w:t>
      </w:r>
      <w:r w:rsidR="008B4AD2">
        <w:rPr>
          <w:rFonts w:ascii="Calibri" w:hAnsi="Calibri"/>
          <w:bCs/>
          <w:iCs/>
          <w:lang w:val="cs-CZ"/>
        </w:rPr>
        <w:t>.</w:t>
      </w:r>
    </w:p>
    <w:p w:rsidR="004A39DE" w:rsidRPr="000A229C" w:rsidRDefault="00787A49" w:rsidP="000A229C">
      <w:pPr>
        <w:pStyle w:val="NorReport"/>
        <w:spacing w:after="0"/>
        <w:rPr>
          <w:rFonts w:ascii="Calibri" w:hAnsi="Calibri"/>
          <w:iCs/>
          <w:lang w:val="cs-CZ"/>
        </w:rPr>
      </w:pPr>
      <w:r w:rsidRPr="00A910F4">
        <w:rPr>
          <w:rFonts w:ascii="Calibri" w:hAnsi="Calibri"/>
          <w:iCs/>
          <w:lang w:val="cs-CZ"/>
        </w:rPr>
        <w:t xml:space="preserve">V případě článku 96 </w:t>
      </w:r>
      <w:r w:rsidRPr="00A910F4">
        <w:rPr>
          <w:rFonts w:ascii="Calibri" w:hAnsi="Calibri"/>
          <w:bCs/>
          <w:iCs/>
          <w:lang w:val="cs-CZ"/>
        </w:rPr>
        <w:t>Nařízení Rady (ES) č. 1083/2006</w:t>
      </w:r>
      <w:r w:rsidRPr="00A910F4">
        <w:rPr>
          <w:rFonts w:ascii="Calibri" w:hAnsi="Calibri"/>
          <w:iCs/>
          <w:lang w:val="cs-CZ"/>
        </w:rPr>
        <w:t xml:space="preserve"> vyplynul na základě schůzky zástupců ŘO OP </w:t>
      </w:r>
      <w:proofErr w:type="spellStart"/>
      <w:r w:rsidRPr="00A910F4">
        <w:rPr>
          <w:rFonts w:ascii="Calibri" w:hAnsi="Calibri"/>
          <w:iCs/>
          <w:lang w:val="cs-CZ"/>
        </w:rPr>
        <w:t>VaVpI</w:t>
      </w:r>
      <w:proofErr w:type="spellEnd"/>
      <w:r w:rsidRPr="00A910F4">
        <w:rPr>
          <w:rFonts w:ascii="Calibri" w:hAnsi="Calibri"/>
          <w:iCs/>
          <w:lang w:val="cs-CZ"/>
        </w:rPr>
        <w:t xml:space="preserve"> a EK závěr, že ze strany ŘO OP </w:t>
      </w:r>
      <w:proofErr w:type="spellStart"/>
      <w:r w:rsidRPr="00A910F4">
        <w:rPr>
          <w:rFonts w:ascii="Calibri" w:hAnsi="Calibri"/>
          <w:iCs/>
          <w:lang w:val="cs-CZ"/>
        </w:rPr>
        <w:t>VaVpI</w:t>
      </w:r>
      <w:proofErr w:type="spellEnd"/>
      <w:r w:rsidRPr="00A910F4">
        <w:rPr>
          <w:rFonts w:ascii="Calibri" w:hAnsi="Calibri"/>
          <w:iCs/>
          <w:lang w:val="cs-CZ"/>
        </w:rPr>
        <w:t xml:space="preserve"> jej uplatňovat nelze, neboť důvody vyšší moci nebyly potvrzeny.</w:t>
      </w:r>
    </w:p>
    <w:p w:rsidR="004A39DE" w:rsidRDefault="00236243" w:rsidP="00555564">
      <w:pPr>
        <w:pStyle w:val="Nadpis1"/>
      </w:pPr>
      <w:bookmarkStart w:id="118" w:name="_Toc417393025"/>
      <w:r>
        <w:t xml:space="preserve">Ztráta alokace v roce 2014 </w:t>
      </w:r>
      <w:bookmarkStart w:id="119" w:name="_Toc410023213"/>
      <w:r w:rsidR="00803834">
        <w:t>v důsledku a</w:t>
      </w:r>
      <w:r w:rsidR="00803834" w:rsidRPr="00236243">
        <w:t>utomatické</w:t>
      </w:r>
      <w:r w:rsidR="00803834">
        <w:t>ho</w:t>
      </w:r>
      <w:r w:rsidR="00803834" w:rsidRPr="00236243">
        <w:t xml:space="preserve"> zrušení závazk</w:t>
      </w:r>
      <w:bookmarkEnd w:id="119"/>
      <w:r w:rsidR="00A35280">
        <w:t>u</w:t>
      </w:r>
      <w:r w:rsidR="00803834" w:rsidRPr="00236243">
        <w:t xml:space="preserve"> </w:t>
      </w:r>
      <w:r w:rsidR="00803834">
        <w:t xml:space="preserve">(tzv. </w:t>
      </w:r>
      <w:proofErr w:type="spellStart"/>
      <w:r w:rsidR="00803834">
        <w:t>decommitment</w:t>
      </w:r>
      <w:proofErr w:type="spellEnd"/>
      <w:r w:rsidR="00803834">
        <w:t xml:space="preserve">) </w:t>
      </w:r>
      <w:r>
        <w:t xml:space="preserve">a nová alokace OP </w:t>
      </w:r>
      <w:proofErr w:type="spellStart"/>
      <w:r>
        <w:t>VaVpI</w:t>
      </w:r>
      <w:bookmarkEnd w:id="118"/>
      <w:proofErr w:type="spellEnd"/>
    </w:p>
    <w:p w:rsidR="007B62AB" w:rsidRPr="007B62AB" w:rsidRDefault="007B62AB" w:rsidP="007B62AB">
      <w:pPr>
        <w:rPr>
          <w:lang w:eastAsia="x-none"/>
        </w:rPr>
      </w:pPr>
    </w:p>
    <w:p w:rsidR="0033745A" w:rsidRDefault="00922B8E" w:rsidP="00CE1CBB">
      <w:pPr>
        <w:jc w:val="both"/>
        <w:rPr>
          <w:lang w:eastAsia="x-none"/>
        </w:rPr>
      </w:pPr>
      <w:r>
        <w:rPr>
          <w:lang w:eastAsia="x-none"/>
        </w:rPr>
        <w:t>N</w:t>
      </w:r>
      <w:r w:rsidRPr="00922B8E">
        <w:rPr>
          <w:lang w:eastAsia="x-none"/>
        </w:rPr>
        <w:t>avzdory realizaci opatření</w:t>
      </w:r>
      <w:r>
        <w:rPr>
          <w:lang w:eastAsia="x-none"/>
        </w:rPr>
        <w:t xml:space="preserve"> </w:t>
      </w:r>
      <w:r w:rsidRPr="00922B8E">
        <w:rPr>
          <w:lang w:eastAsia="x-none"/>
        </w:rPr>
        <w:t>blíže popsaných v</w:t>
      </w:r>
      <w:r>
        <w:rPr>
          <w:lang w:eastAsia="x-none"/>
        </w:rPr>
        <w:t> </w:t>
      </w:r>
      <w:r w:rsidRPr="00922B8E">
        <w:rPr>
          <w:lang w:eastAsia="x-none"/>
        </w:rPr>
        <w:t>podkapitole</w:t>
      </w:r>
      <w:r>
        <w:rPr>
          <w:lang w:eastAsia="x-none"/>
        </w:rPr>
        <w:t xml:space="preserve"> č. 3.2.1</w:t>
      </w:r>
      <w:r w:rsidR="00570D13">
        <w:rPr>
          <w:lang w:eastAsia="x-none"/>
        </w:rPr>
        <w:t>, jejichž realizace</w:t>
      </w:r>
      <w:r w:rsidR="0033745A">
        <w:rPr>
          <w:lang w:eastAsia="x-none"/>
        </w:rPr>
        <w:t xml:space="preserve"> </w:t>
      </w:r>
      <w:r w:rsidRPr="00922B8E">
        <w:rPr>
          <w:lang w:eastAsia="x-none"/>
        </w:rPr>
        <w:t>pomohla snížit výši automatického zrušení závazku</w:t>
      </w:r>
      <w:r w:rsidR="00570D13">
        <w:rPr>
          <w:lang w:eastAsia="x-none"/>
        </w:rPr>
        <w:t xml:space="preserve"> plynoucího z nesplnění závazku</w:t>
      </w:r>
      <w:r w:rsidRPr="00922B8E">
        <w:rPr>
          <w:lang w:eastAsia="x-none"/>
        </w:rPr>
        <w:t xml:space="preserve"> roku 2012</w:t>
      </w:r>
      <w:r w:rsidR="00570D13">
        <w:rPr>
          <w:lang w:eastAsia="x-none"/>
        </w:rPr>
        <w:t xml:space="preserve"> (pravidlo n+2), se limit čerpání splnit nepodařilo.</w:t>
      </w:r>
    </w:p>
    <w:p w:rsidR="007B62AB" w:rsidRDefault="00236243" w:rsidP="003D0C7C">
      <w:pPr>
        <w:jc w:val="both"/>
        <w:rPr>
          <w:lang w:eastAsia="x-none"/>
        </w:rPr>
      </w:pPr>
      <w:r w:rsidRPr="00187D08">
        <w:rPr>
          <w:lang w:eastAsia="x-none"/>
        </w:rPr>
        <w:t xml:space="preserve">Celková částka certifikovaných výdajů ŘO OP </w:t>
      </w:r>
      <w:proofErr w:type="spellStart"/>
      <w:r w:rsidRPr="00187D08">
        <w:rPr>
          <w:lang w:eastAsia="x-none"/>
        </w:rPr>
        <w:t>VaVpI</w:t>
      </w:r>
      <w:proofErr w:type="spellEnd"/>
      <w:r w:rsidRPr="00187D08">
        <w:rPr>
          <w:lang w:eastAsia="x-none"/>
        </w:rPr>
        <w:t xml:space="preserve"> k 3</w:t>
      </w:r>
      <w:r w:rsidR="00854397" w:rsidRPr="00187D08">
        <w:rPr>
          <w:lang w:eastAsia="x-none"/>
        </w:rPr>
        <w:t>1. 12. 2014</w:t>
      </w:r>
      <w:r w:rsidR="007B62AB">
        <w:rPr>
          <w:lang w:eastAsia="x-none"/>
        </w:rPr>
        <w:t xml:space="preserve"> představovala</w:t>
      </w:r>
      <w:r w:rsidR="00854397" w:rsidRPr="00187D08">
        <w:rPr>
          <w:lang w:eastAsia="x-none"/>
        </w:rPr>
        <w:t xml:space="preserve"> 1 259 360 539,64</w:t>
      </w:r>
      <w:r w:rsidRPr="00187D08">
        <w:rPr>
          <w:lang w:eastAsia="x-none"/>
        </w:rPr>
        <w:t xml:space="preserve"> EUR. I přes značné navýšení certifikovaných prostře</w:t>
      </w:r>
      <w:r w:rsidR="00854397" w:rsidRPr="00187D08">
        <w:rPr>
          <w:lang w:eastAsia="x-none"/>
        </w:rPr>
        <w:t>dků v</w:t>
      </w:r>
      <w:r w:rsidR="007B62AB">
        <w:rPr>
          <w:lang w:eastAsia="x-none"/>
        </w:rPr>
        <w:t> závěru roku 2014</w:t>
      </w:r>
      <w:r w:rsidRPr="00187D08">
        <w:rPr>
          <w:lang w:eastAsia="x-none"/>
        </w:rPr>
        <w:t xml:space="preserve"> se </w:t>
      </w:r>
      <w:r w:rsidR="007B62AB" w:rsidRPr="00187D08">
        <w:rPr>
          <w:lang w:eastAsia="x-none"/>
        </w:rPr>
        <w:t xml:space="preserve">celkovou </w:t>
      </w:r>
      <w:r w:rsidR="007B62AB">
        <w:rPr>
          <w:lang w:eastAsia="x-none"/>
        </w:rPr>
        <w:t>částku </w:t>
      </w:r>
      <w:r w:rsidR="007B62AB" w:rsidRPr="00187D08">
        <w:rPr>
          <w:lang w:eastAsia="x-none"/>
        </w:rPr>
        <w:t xml:space="preserve"> stanovenou </w:t>
      </w:r>
      <w:r w:rsidR="007B62AB">
        <w:rPr>
          <w:lang w:eastAsia="x-none"/>
        </w:rPr>
        <w:t>pravidlem</w:t>
      </w:r>
      <w:r w:rsidR="007B62AB" w:rsidRPr="00187D08">
        <w:rPr>
          <w:lang w:eastAsia="x-none"/>
        </w:rPr>
        <w:t xml:space="preserve"> n+2</w:t>
      </w:r>
      <w:r w:rsidR="007B62AB">
        <w:rPr>
          <w:lang w:eastAsia="x-none"/>
        </w:rPr>
        <w:t> </w:t>
      </w:r>
      <w:r w:rsidR="007B62AB" w:rsidRPr="00187D08">
        <w:rPr>
          <w:lang w:eastAsia="x-none"/>
        </w:rPr>
        <w:t xml:space="preserve">vyčerpat </w:t>
      </w:r>
      <w:r w:rsidR="007B62AB">
        <w:rPr>
          <w:lang w:eastAsia="x-none"/>
        </w:rPr>
        <w:t xml:space="preserve">nepodařilo a OP </w:t>
      </w:r>
      <w:proofErr w:type="spellStart"/>
      <w:r w:rsidR="007B62AB">
        <w:rPr>
          <w:lang w:eastAsia="x-none"/>
        </w:rPr>
        <w:t>VaVpI</w:t>
      </w:r>
      <w:proofErr w:type="spellEnd"/>
      <w:r w:rsidR="007B62AB">
        <w:rPr>
          <w:lang w:eastAsia="x-none"/>
        </w:rPr>
        <w:t xml:space="preserve"> tak koncem roku 2014 přišel o část své alokace.</w:t>
      </w:r>
      <w:r w:rsidR="007B62AB" w:rsidRPr="00187D08">
        <w:rPr>
          <w:lang w:eastAsia="x-none"/>
        </w:rPr>
        <w:t xml:space="preserve"> </w:t>
      </w:r>
      <w:r w:rsidR="00187D08" w:rsidRPr="00187D08">
        <w:rPr>
          <w:lang w:eastAsia="x-none"/>
        </w:rPr>
        <w:t>V</w:t>
      </w:r>
      <w:r w:rsidR="007B62AB">
        <w:rPr>
          <w:lang w:eastAsia="x-none"/>
        </w:rPr>
        <w:t xml:space="preserve">ýše </w:t>
      </w:r>
      <w:proofErr w:type="spellStart"/>
      <w:r w:rsidR="007B62AB">
        <w:rPr>
          <w:lang w:eastAsia="x-none"/>
        </w:rPr>
        <w:t>decommitmentu</w:t>
      </w:r>
      <w:proofErr w:type="spellEnd"/>
      <w:r w:rsidR="007B62AB">
        <w:rPr>
          <w:lang w:eastAsia="x-none"/>
        </w:rPr>
        <w:t xml:space="preserve"> dosáhla částky </w:t>
      </w:r>
      <w:r w:rsidR="00187D08" w:rsidRPr="00187D08">
        <w:rPr>
          <w:lang w:eastAsia="x-none"/>
        </w:rPr>
        <w:t>2</w:t>
      </w:r>
      <w:r w:rsidR="006055EF">
        <w:rPr>
          <w:lang w:eastAsia="x-none"/>
        </w:rPr>
        <w:t>46 597 966,14 </w:t>
      </w:r>
      <w:r w:rsidR="007B62AB">
        <w:rPr>
          <w:lang w:eastAsia="x-none"/>
        </w:rPr>
        <w:t>EUR (EU podíl). Po zohlednění</w:t>
      </w:r>
      <w:r w:rsidR="00187D08" w:rsidRPr="00187D08">
        <w:rPr>
          <w:lang w:eastAsia="x-none"/>
        </w:rPr>
        <w:t xml:space="preserve"> článku 95 ON </w:t>
      </w:r>
      <w:r w:rsidR="007B62AB">
        <w:rPr>
          <w:lang w:eastAsia="x-none"/>
        </w:rPr>
        <w:t xml:space="preserve">byla </w:t>
      </w:r>
      <w:r w:rsidR="00187D08" w:rsidRPr="00187D08">
        <w:rPr>
          <w:lang w:eastAsia="x-none"/>
        </w:rPr>
        <w:t xml:space="preserve">finální výše </w:t>
      </w:r>
      <w:proofErr w:type="spellStart"/>
      <w:r w:rsidR="00187D08" w:rsidRPr="00187D08">
        <w:rPr>
          <w:lang w:eastAsia="x-none"/>
        </w:rPr>
        <w:t>decommitmentu</w:t>
      </w:r>
      <w:proofErr w:type="spellEnd"/>
      <w:r w:rsidR="00072BCE">
        <w:rPr>
          <w:lang w:eastAsia="x-none"/>
        </w:rPr>
        <w:t xml:space="preserve"> </w:t>
      </w:r>
      <w:r w:rsidR="007B62AB">
        <w:rPr>
          <w:lang w:eastAsia="x-none"/>
        </w:rPr>
        <w:t>stanovena</w:t>
      </w:r>
      <w:r w:rsidR="007B62AB" w:rsidRPr="00187D08">
        <w:rPr>
          <w:lang w:eastAsia="x-none"/>
        </w:rPr>
        <w:t xml:space="preserve"> </w:t>
      </w:r>
      <w:r w:rsidR="007B62AB">
        <w:rPr>
          <w:lang w:eastAsia="x-none"/>
        </w:rPr>
        <w:t xml:space="preserve">na </w:t>
      </w:r>
      <w:r w:rsidR="00187D08" w:rsidRPr="00785829">
        <w:rPr>
          <w:b/>
          <w:lang w:eastAsia="x-none"/>
        </w:rPr>
        <w:t>242 528 153 EUR</w:t>
      </w:r>
      <w:r w:rsidR="007B62AB">
        <w:rPr>
          <w:lang w:eastAsia="x-none"/>
        </w:rPr>
        <w:t xml:space="preserve"> (EU podíl)</w:t>
      </w:r>
      <w:r w:rsidR="00C27D89">
        <w:rPr>
          <w:lang w:eastAsia="x-none"/>
        </w:rPr>
        <w:t>, což odpovídá</w:t>
      </w:r>
      <w:r w:rsidR="00187D08" w:rsidRPr="00187D08">
        <w:rPr>
          <w:lang w:eastAsia="x-none"/>
        </w:rPr>
        <w:t xml:space="preserve"> </w:t>
      </w:r>
      <w:r w:rsidR="007B62AB">
        <w:rPr>
          <w:lang w:eastAsia="x-none"/>
        </w:rPr>
        <w:t>cca</w:t>
      </w:r>
      <w:r w:rsidR="00187D08" w:rsidRPr="00187D08">
        <w:rPr>
          <w:lang w:eastAsia="x-none"/>
        </w:rPr>
        <w:t xml:space="preserve"> </w:t>
      </w:r>
      <w:r w:rsidR="00187D08" w:rsidRPr="00785829">
        <w:rPr>
          <w:lang w:eastAsia="x-none"/>
        </w:rPr>
        <w:t>6,7 mld. Kč</w:t>
      </w:r>
      <w:r w:rsidR="00187D08" w:rsidRPr="00187D08">
        <w:rPr>
          <w:b/>
          <w:lang w:eastAsia="x-none"/>
        </w:rPr>
        <w:t xml:space="preserve"> </w:t>
      </w:r>
      <w:r w:rsidR="006055EF">
        <w:rPr>
          <w:lang w:eastAsia="x-none"/>
        </w:rPr>
        <w:t>(EU </w:t>
      </w:r>
      <w:r w:rsidR="00187D08" w:rsidRPr="00187D08">
        <w:rPr>
          <w:lang w:eastAsia="x-none"/>
        </w:rPr>
        <w:t xml:space="preserve">podíl). Vzhledem k tomu, že závazná výše </w:t>
      </w:r>
      <w:proofErr w:type="spellStart"/>
      <w:r w:rsidR="00187D08" w:rsidRPr="00187D08">
        <w:rPr>
          <w:lang w:eastAsia="x-none"/>
        </w:rPr>
        <w:t>decommitmentu</w:t>
      </w:r>
      <w:proofErr w:type="spellEnd"/>
      <w:r w:rsidR="00187D08" w:rsidRPr="00187D08">
        <w:rPr>
          <w:lang w:eastAsia="x-none"/>
        </w:rPr>
        <w:t xml:space="preserve"> je ze strany EK </w:t>
      </w:r>
      <w:r w:rsidR="007B62AB">
        <w:rPr>
          <w:lang w:eastAsia="x-none"/>
        </w:rPr>
        <w:t>stanovena</w:t>
      </w:r>
      <w:r w:rsidR="00187D08" w:rsidRPr="00187D08">
        <w:rPr>
          <w:lang w:eastAsia="x-none"/>
        </w:rPr>
        <w:t xml:space="preserve"> v </w:t>
      </w:r>
      <w:proofErr w:type="gramStart"/>
      <w:r w:rsidR="00187D08" w:rsidRPr="00187D08">
        <w:rPr>
          <w:lang w:eastAsia="x-none"/>
        </w:rPr>
        <w:t>EUR</w:t>
      </w:r>
      <w:proofErr w:type="gramEnd"/>
      <w:r w:rsidR="00187D08" w:rsidRPr="00187D08">
        <w:rPr>
          <w:lang w:eastAsia="x-none"/>
        </w:rPr>
        <w:t xml:space="preserve">, výše </w:t>
      </w:r>
      <w:proofErr w:type="spellStart"/>
      <w:r w:rsidR="00187D08" w:rsidRPr="00187D08">
        <w:rPr>
          <w:lang w:eastAsia="x-none"/>
        </w:rPr>
        <w:t>decommitmentu</w:t>
      </w:r>
      <w:proofErr w:type="spellEnd"/>
      <w:r w:rsidR="00187D08" w:rsidRPr="00187D08">
        <w:rPr>
          <w:lang w:eastAsia="x-none"/>
        </w:rPr>
        <w:t xml:space="preserve"> v CZK </w:t>
      </w:r>
      <w:r w:rsidR="00072BCE" w:rsidRPr="00187D08">
        <w:rPr>
          <w:lang w:eastAsia="x-none"/>
        </w:rPr>
        <w:t xml:space="preserve">se </w:t>
      </w:r>
      <w:r w:rsidR="00187D08" w:rsidRPr="00187D08">
        <w:rPr>
          <w:lang w:eastAsia="x-none"/>
        </w:rPr>
        <w:t xml:space="preserve">bude </w:t>
      </w:r>
      <w:r w:rsidR="007B62AB">
        <w:rPr>
          <w:lang w:eastAsia="x-none"/>
        </w:rPr>
        <w:t xml:space="preserve">v důsledku </w:t>
      </w:r>
      <w:r w:rsidR="008B3399">
        <w:rPr>
          <w:lang w:eastAsia="x-none"/>
        </w:rPr>
        <w:t>kolísání</w:t>
      </w:r>
      <w:r w:rsidR="007B62AB" w:rsidRPr="00187D08">
        <w:rPr>
          <w:lang w:eastAsia="x-none"/>
        </w:rPr>
        <w:t xml:space="preserve"> kurzu </w:t>
      </w:r>
      <w:r w:rsidR="00187D08" w:rsidRPr="00187D08">
        <w:rPr>
          <w:lang w:eastAsia="x-none"/>
        </w:rPr>
        <w:t>stále měnit.</w:t>
      </w:r>
      <w:r w:rsidR="005E30F4">
        <w:rPr>
          <w:lang w:eastAsia="x-none"/>
        </w:rPr>
        <w:t xml:space="preserve"> </w:t>
      </w:r>
    </w:p>
    <w:p w:rsidR="007B62AB" w:rsidRDefault="007B62AB" w:rsidP="003D0C7C">
      <w:pPr>
        <w:jc w:val="both"/>
        <w:rPr>
          <w:lang w:eastAsia="x-none"/>
        </w:rPr>
      </w:pPr>
      <w:r>
        <w:rPr>
          <w:lang w:eastAsia="x-none"/>
        </w:rPr>
        <w:lastRenderedPageBreak/>
        <w:t xml:space="preserve">V současné chvíli řídicí orgán OP </w:t>
      </w:r>
      <w:proofErr w:type="spellStart"/>
      <w:r>
        <w:rPr>
          <w:lang w:eastAsia="x-none"/>
        </w:rPr>
        <w:t>VaVpI</w:t>
      </w:r>
      <w:proofErr w:type="spellEnd"/>
      <w:r w:rsidR="00CD0A93">
        <w:rPr>
          <w:lang w:eastAsia="x-none"/>
        </w:rPr>
        <w:t xml:space="preserve"> ve spolupráci s MMR-NOK a MF-PCO administruje činnosti vázající se k automatickému zrušení závazku v roce 2014</w:t>
      </w:r>
      <w:r>
        <w:rPr>
          <w:lang w:eastAsia="x-none"/>
        </w:rPr>
        <w:t xml:space="preserve"> a</w:t>
      </w:r>
      <w:r w:rsidR="00CD0A93">
        <w:rPr>
          <w:lang w:eastAsia="x-none"/>
        </w:rPr>
        <w:t xml:space="preserve"> vedoucí</w:t>
      </w:r>
      <w:r w:rsidR="0050155F">
        <w:rPr>
          <w:lang w:eastAsia="x-none"/>
        </w:rPr>
        <w:t xml:space="preserve"> k</w:t>
      </w:r>
      <w:r w:rsidR="00CD0A93">
        <w:rPr>
          <w:lang w:eastAsia="x-none"/>
        </w:rPr>
        <w:t xml:space="preserve"> </w:t>
      </w:r>
      <w:r w:rsidR="0050155F">
        <w:rPr>
          <w:lang w:eastAsia="x-none"/>
        </w:rPr>
        <w:t>revizi</w:t>
      </w:r>
      <w:r w:rsidR="0050155F" w:rsidRPr="00CD0A93">
        <w:rPr>
          <w:lang w:eastAsia="x-none"/>
        </w:rPr>
        <w:t xml:space="preserve"> finančního plánu OP </w:t>
      </w:r>
      <w:proofErr w:type="spellStart"/>
      <w:r w:rsidR="0050155F" w:rsidRPr="00CD0A93">
        <w:rPr>
          <w:lang w:eastAsia="x-none"/>
        </w:rPr>
        <w:t>VaVpI</w:t>
      </w:r>
      <w:proofErr w:type="spellEnd"/>
      <w:r w:rsidR="0050155F">
        <w:rPr>
          <w:lang w:eastAsia="x-none"/>
        </w:rPr>
        <w:t xml:space="preserve">. Dne </w:t>
      </w:r>
      <w:r w:rsidR="002B12EA">
        <w:rPr>
          <w:lang w:eastAsia="x-none"/>
        </w:rPr>
        <w:t>8</w:t>
      </w:r>
      <w:r w:rsidR="0050155F">
        <w:rPr>
          <w:lang w:eastAsia="x-none"/>
        </w:rPr>
        <w:t xml:space="preserve">. 4. 2015 byl v souladu se stanoveným harmonogramem činností doručen na </w:t>
      </w:r>
      <w:r w:rsidR="0050155F" w:rsidRPr="0050155F">
        <w:rPr>
          <w:lang w:eastAsia="x-none"/>
        </w:rPr>
        <w:t>MMR-NOK a MF-PCO</w:t>
      </w:r>
      <w:r w:rsidR="0050155F">
        <w:rPr>
          <w:lang w:eastAsia="x-none"/>
        </w:rPr>
        <w:t xml:space="preserve"> podepsaný dopis</w:t>
      </w:r>
      <w:r w:rsidR="0050155F">
        <w:rPr>
          <w:rStyle w:val="Znakapoznpodarou"/>
          <w:lang w:eastAsia="x-none"/>
        </w:rPr>
        <w:footnoteReference w:id="11"/>
      </w:r>
      <w:r w:rsidR="0050155F">
        <w:rPr>
          <w:lang w:eastAsia="x-none"/>
        </w:rPr>
        <w:t xml:space="preserve"> s návrhem </w:t>
      </w:r>
      <w:r w:rsidR="000D25B1">
        <w:rPr>
          <w:lang w:eastAsia="x-none"/>
        </w:rPr>
        <w:t xml:space="preserve">krácení alokace jednotlivých prioritních </w:t>
      </w:r>
      <w:r w:rsidR="00510178">
        <w:rPr>
          <w:lang w:eastAsia="x-none"/>
        </w:rPr>
        <w:t>os</w:t>
      </w:r>
      <w:r w:rsidR="00EE31D1">
        <w:rPr>
          <w:lang w:eastAsia="x-none"/>
        </w:rPr>
        <w:t>, čím</w:t>
      </w:r>
      <w:r>
        <w:rPr>
          <w:lang w:eastAsia="x-none"/>
        </w:rPr>
        <w:t>ž</w:t>
      </w:r>
      <w:r w:rsidR="00EE31D1">
        <w:rPr>
          <w:lang w:eastAsia="x-none"/>
        </w:rPr>
        <w:t xml:space="preserve"> dochází</w:t>
      </w:r>
      <w:r w:rsidR="000D25B1">
        <w:rPr>
          <w:lang w:eastAsia="x-none"/>
        </w:rPr>
        <w:t xml:space="preserve"> ke stanovení </w:t>
      </w:r>
      <w:r w:rsidR="0050155F">
        <w:rPr>
          <w:lang w:eastAsia="x-none"/>
        </w:rPr>
        <w:t xml:space="preserve">nové alokace </w:t>
      </w:r>
      <w:r w:rsidR="00C745EE">
        <w:rPr>
          <w:lang w:eastAsia="x-none"/>
        </w:rPr>
        <w:t xml:space="preserve">OP </w:t>
      </w:r>
      <w:proofErr w:type="spellStart"/>
      <w:r w:rsidR="00C745EE">
        <w:rPr>
          <w:lang w:eastAsia="x-none"/>
        </w:rPr>
        <w:t>VaVpI</w:t>
      </w:r>
      <w:proofErr w:type="spellEnd"/>
      <w:r w:rsidR="00785829">
        <w:rPr>
          <w:lang w:eastAsia="x-none"/>
        </w:rPr>
        <w:t xml:space="preserve"> ve výši </w:t>
      </w:r>
      <w:r w:rsidR="006055EF">
        <w:rPr>
          <w:b/>
          <w:lang w:eastAsia="x-none"/>
        </w:rPr>
        <w:t>1 828 </w:t>
      </w:r>
      <w:r w:rsidR="00785829" w:rsidRPr="00785829">
        <w:rPr>
          <w:b/>
          <w:lang w:eastAsia="x-none"/>
        </w:rPr>
        <w:t>152 731 EUR</w:t>
      </w:r>
      <w:r w:rsidR="004649C0">
        <w:rPr>
          <w:b/>
          <w:lang w:eastAsia="x-none"/>
        </w:rPr>
        <w:t xml:space="preserve"> </w:t>
      </w:r>
      <w:r w:rsidR="004649C0">
        <w:rPr>
          <w:lang w:eastAsia="x-none"/>
        </w:rPr>
        <w:t>(EU podíl)</w:t>
      </w:r>
      <w:r w:rsidR="00CD0A93">
        <w:rPr>
          <w:lang w:eastAsia="x-none"/>
        </w:rPr>
        <w:t xml:space="preserve">. </w:t>
      </w:r>
      <w:r w:rsidR="007D1910" w:rsidRPr="007D1910">
        <w:rPr>
          <w:lang w:eastAsia="x-none"/>
        </w:rPr>
        <w:t xml:space="preserve">Před zasláním revize programu do EK je nutné zajistit schválení revidované verze členy Monitorovacího výboru a zajistit stanovisko MŽP k SEA. </w:t>
      </w:r>
      <w:r w:rsidR="000D25B1">
        <w:rPr>
          <w:lang w:eastAsia="x-none"/>
        </w:rPr>
        <w:t>Procentuální</w:t>
      </w:r>
      <w:r w:rsidR="002B0DC5">
        <w:rPr>
          <w:lang w:eastAsia="x-none"/>
        </w:rPr>
        <w:t xml:space="preserve"> rozložení </w:t>
      </w:r>
      <w:r w:rsidR="000D25B1">
        <w:rPr>
          <w:lang w:eastAsia="x-none"/>
        </w:rPr>
        <w:t xml:space="preserve">původní alokace a </w:t>
      </w:r>
      <w:r w:rsidR="002B0DC5">
        <w:rPr>
          <w:lang w:eastAsia="x-none"/>
        </w:rPr>
        <w:t>nové alokace</w:t>
      </w:r>
      <w:r w:rsidR="000D25B1">
        <w:rPr>
          <w:lang w:eastAsia="x-none"/>
        </w:rPr>
        <w:t xml:space="preserve"> v prioritních osách je zobrazeno v</w:t>
      </w:r>
      <w:r w:rsidR="003D0C7C">
        <w:rPr>
          <w:lang w:eastAsia="x-none"/>
        </w:rPr>
        <w:t xml:space="preserve"> následujících </w:t>
      </w:r>
      <w:r w:rsidR="007C660E">
        <w:rPr>
          <w:lang w:eastAsia="x-none"/>
        </w:rPr>
        <w:t>grafech č. 3 a 4</w:t>
      </w:r>
      <w:r w:rsidR="003D0C7C">
        <w:rPr>
          <w:lang w:eastAsia="x-none"/>
        </w:rPr>
        <w:t>:</w:t>
      </w:r>
    </w:p>
    <w:p w:rsidR="003D0C7C" w:rsidRDefault="007C660E" w:rsidP="00A67028">
      <w:pPr>
        <w:pStyle w:val="TabReport"/>
      </w:pPr>
      <w:bookmarkStart w:id="120" w:name="_Toc417339661"/>
      <w:r>
        <w:t>Graf č. 3</w:t>
      </w:r>
      <w:r w:rsidR="003D0C7C" w:rsidRPr="00A67028">
        <w:t xml:space="preserve"> Procentuální rozložení alokace OP </w:t>
      </w:r>
      <w:proofErr w:type="spellStart"/>
      <w:r w:rsidR="003D0C7C" w:rsidRPr="00A67028">
        <w:t>VaVpI</w:t>
      </w:r>
      <w:proofErr w:type="spellEnd"/>
      <w:r w:rsidR="003D0C7C" w:rsidRPr="00A67028">
        <w:t xml:space="preserve"> na PO před připravovanou revizí programového dokumentu (EU zdroj)</w:t>
      </w:r>
      <w:bookmarkEnd w:id="120"/>
    </w:p>
    <w:p w:rsidR="003D0C7C" w:rsidRPr="003D0C7C" w:rsidRDefault="00C54A24" w:rsidP="003D0C7C">
      <w:pPr>
        <w:spacing w:after="0"/>
        <w:jc w:val="both"/>
        <w:rPr>
          <w:lang w:eastAsia="x-none"/>
        </w:rPr>
      </w:pPr>
      <w:r>
        <w:rPr>
          <w:noProof/>
          <w:lang w:eastAsia="cs-CZ"/>
        </w:rPr>
        <w:drawing>
          <wp:inline distT="0" distB="0" distL="0" distR="0" wp14:anchorId="503E23E7" wp14:editId="7AF443A9">
            <wp:extent cx="4625340" cy="2593975"/>
            <wp:effectExtent l="0" t="0" r="22860" b="15875"/>
            <wp:docPr id="2" name="Graf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3D0C7C" w:rsidRDefault="003D0C7C" w:rsidP="003D0C7C">
      <w:pPr>
        <w:spacing w:after="0"/>
        <w:jc w:val="both"/>
        <w:rPr>
          <w:b/>
          <w:sz w:val="16"/>
          <w:szCs w:val="16"/>
          <w:lang w:eastAsia="x-none"/>
        </w:rPr>
      </w:pPr>
      <w:r w:rsidRPr="003D0C7C">
        <w:rPr>
          <w:sz w:val="16"/>
          <w:szCs w:val="16"/>
          <w:lang w:eastAsia="x-none"/>
        </w:rPr>
        <w:t>Zdroj: MSC 2007 – stav před připravovanou revizí OP</w:t>
      </w:r>
    </w:p>
    <w:p w:rsidR="005D1219" w:rsidRDefault="005D1219" w:rsidP="00D53D28">
      <w:pPr>
        <w:pStyle w:val="TabReport"/>
      </w:pPr>
      <w:bookmarkStart w:id="121" w:name="_Toc417339662"/>
    </w:p>
    <w:p w:rsidR="007B62AB" w:rsidRDefault="007C660E" w:rsidP="00D53D28">
      <w:pPr>
        <w:pStyle w:val="TabReport"/>
        <w:rPr>
          <w:lang w:eastAsia="x-none"/>
        </w:rPr>
      </w:pPr>
      <w:r>
        <w:t>Graf č. 4</w:t>
      </w:r>
      <w:r w:rsidR="003D0C7C" w:rsidRPr="004B0BEF">
        <w:t xml:space="preserve"> Procentuální rozložení alokace OP </w:t>
      </w:r>
      <w:proofErr w:type="spellStart"/>
      <w:r w:rsidR="003D0C7C" w:rsidRPr="004B0BEF">
        <w:t>VaVpI</w:t>
      </w:r>
      <w:proofErr w:type="spellEnd"/>
      <w:r w:rsidR="003D0C7C" w:rsidRPr="004B0BEF">
        <w:t xml:space="preserve"> na PO </w:t>
      </w:r>
      <w:proofErr w:type="spellStart"/>
      <w:r w:rsidR="003D0C7C" w:rsidRPr="004B0BEF">
        <w:t>po</w:t>
      </w:r>
      <w:proofErr w:type="spellEnd"/>
      <w:r w:rsidR="003D0C7C" w:rsidRPr="004B0BEF">
        <w:t xml:space="preserve"> připravované revizi programového dokumentu (EU zdroj)</w:t>
      </w:r>
      <w:bookmarkEnd w:id="121"/>
      <w:r w:rsidR="00C54A24">
        <w:rPr>
          <w:noProof/>
        </w:rPr>
        <w:drawing>
          <wp:inline distT="0" distB="0" distL="0" distR="0" wp14:anchorId="07D49612" wp14:editId="018DE4C5">
            <wp:extent cx="4638675" cy="2547620"/>
            <wp:effectExtent l="38100" t="0" r="9525" b="24130"/>
            <wp:docPr id="4" name="Graf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C033A0" w:rsidRDefault="00C033A0" w:rsidP="00C033A0">
      <w:pPr>
        <w:spacing w:after="0"/>
        <w:jc w:val="both"/>
      </w:pPr>
    </w:p>
    <w:p w:rsidR="002C0D68" w:rsidRDefault="00C65422" w:rsidP="00B471C5">
      <w:pPr>
        <w:jc w:val="both"/>
      </w:pPr>
      <w:r>
        <w:lastRenderedPageBreak/>
        <w:t>Procentuální r</w:t>
      </w:r>
      <w:r w:rsidR="002C0D68" w:rsidRPr="002C0D68">
        <w:t xml:space="preserve">ozložení </w:t>
      </w:r>
      <w:r w:rsidR="002C0D68">
        <w:t xml:space="preserve">nové </w:t>
      </w:r>
      <w:r w:rsidR="002C0D68" w:rsidRPr="002C0D68">
        <w:t xml:space="preserve">alokace do prioritních os </w:t>
      </w:r>
      <w:r>
        <w:t>odráží ak</w:t>
      </w:r>
      <w:r w:rsidR="002963AC">
        <w:t>tuální predikce čerpání a s tím </w:t>
      </w:r>
      <w:r>
        <w:t>související požadavky na disponibilní alokaci</w:t>
      </w:r>
      <w:r w:rsidR="002C0D68">
        <w:t xml:space="preserve">. </w:t>
      </w:r>
      <w:r w:rsidR="00B17F9E">
        <w:t>Zatímco</w:t>
      </w:r>
      <w:r w:rsidR="00C033A0">
        <w:t xml:space="preserve"> v PO 1, PO 4 a PO 5</w:t>
      </w:r>
      <w:r w:rsidR="002C0D68">
        <w:t xml:space="preserve"> dochází k</w:t>
      </w:r>
      <w:r w:rsidR="002963AC">
        <w:t> </w:t>
      </w:r>
      <w:r w:rsidR="002B12EA">
        <w:t xml:space="preserve">relativnímu </w:t>
      </w:r>
      <w:r w:rsidR="002C0D68">
        <w:t xml:space="preserve">snížení alokovaných prostředků, v </w:t>
      </w:r>
      <w:r w:rsidR="00C033A0">
        <w:t>PO 2 a PO 3</w:t>
      </w:r>
      <w:r w:rsidR="002C0D68">
        <w:t xml:space="preserve"> jsou </w:t>
      </w:r>
      <w:r>
        <w:t xml:space="preserve">prostředky vzhledem k plánované výzvě </w:t>
      </w:r>
      <w:r w:rsidR="002B12EA">
        <w:t xml:space="preserve">relativně </w:t>
      </w:r>
      <w:r w:rsidR="002C0D68">
        <w:t>navýšeny.</w:t>
      </w:r>
    </w:p>
    <w:p w:rsidR="00570D13" w:rsidRDefault="00B17F9E" w:rsidP="00D10831">
      <w:pPr>
        <w:jc w:val="both"/>
        <w:rPr>
          <w:lang w:eastAsia="x-none"/>
        </w:rPr>
      </w:pPr>
      <w:r>
        <w:rPr>
          <w:lang w:eastAsia="x-none"/>
        </w:rPr>
        <w:t>V roce</w:t>
      </w:r>
      <w:r w:rsidR="00AB28EE" w:rsidRPr="00AB28EE">
        <w:rPr>
          <w:lang w:eastAsia="x-none"/>
        </w:rPr>
        <w:t xml:space="preserve"> 2015 by ŘO</w:t>
      </w:r>
      <w:r>
        <w:rPr>
          <w:lang w:eastAsia="x-none"/>
        </w:rPr>
        <w:t xml:space="preserve"> automatickému zrušení závazku</w:t>
      </w:r>
      <w:r w:rsidR="00C65422">
        <w:rPr>
          <w:lang w:eastAsia="x-none"/>
        </w:rPr>
        <w:t xml:space="preserve"> čelil v případě, že by se</w:t>
      </w:r>
      <w:r w:rsidR="00FB4EB1" w:rsidRPr="00AB28EE">
        <w:rPr>
          <w:lang w:eastAsia="x-none"/>
        </w:rPr>
        <w:t xml:space="preserve"> nepodařilo vyčerpat </w:t>
      </w:r>
      <w:r w:rsidR="009E124F">
        <w:rPr>
          <w:lang w:eastAsia="x-none"/>
        </w:rPr>
        <w:t>celou zbývající alokaci.</w:t>
      </w:r>
      <w:r w:rsidR="00FB4EB1" w:rsidRPr="00AB28EE">
        <w:rPr>
          <w:lang w:eastAsia="x-none"/>
        </w:rPr>
        <w:t xml:space="preserve"> Jak bylo zmíněno v předchozí</w:t>
      </w:r>
      <w:r w:rsidR="00AB28EE" w:rsidRPr="00AB28EE">
        <w:rPr>
          <w:lang w:eastAsia="x-none"/>
        </w:rPr>
        <w:t>ch kapitolách</w:t>
      </w:r>
      <w:r w:rsidR="00FB4EB1" w:rsidRPr="00AB28EE">
        <w:rPr>
          <w:lang w:eastAsia="x-none"/>
        </w:rPr>
        <w:t xml:space="preserve">, </w:t>
      </w:r>
      <w:r w:rsidR="00AB28EE" w:rsidRPr="00AB28EE">
        <w:rPr>
          <w:lang w:eastAsia="x-none"/>
        </w:rPr>
        <w:t>ŘO</w:t>
      </w:r>
      <w:r w:rsidR="00FB4EB1" w:rsidRPr="00AB28EE">
        <w:rPr>
          <w:lang w:eastAsia="x-none"/>
        </w:rPr>
        <w:t xml:space="preserve"> bude realizovat opatření vedoucí k maximálnímu snížení nedočerpání</w:t>
      </w:r>
      <w:r>
        <w:rPr>
          <w:lang w:eastAsia="x-none"/>
        </w:rPr>
        <w:t xml:space="preserve"> alokace</w:t>
      </w:r>
      <w:r w:rsidR="00AB28EE">
        <w:rPr>
          <w:lang w:eastAsia="x-none"/>
        </w:rPr>
        <w:t>. Bližší popis opatření je uveden v ka</w:t>
      </w:r>
      <w:r w:rsidR="00071FE8">
        <w:rPr>
          <w:lang w:eastAsia="x-none"/>
        </w:rPr>
        <w:t>pitole č. 6</w:t>
      </w:r>
      <w:r w:rsidR="00AB28EE">
        <w:rPr>
          <w:lang w:eastAsia="x-none"/>
        </w:rPr>
        <w:t xml:space="preserve"> tohoto </w:t>
      </w:r>
      <w:r>
        <w:rPr>
          <w:lang w:eastAsia="x-none"/>
        </w:rPr>
        <w:t>materiálu</w:t>
      </w:r>
      <w:r w:rsidR="00FB4EB1" w:rsidRPr="00AB28EE">
        <w:rPr>
          <w:lang w:eastAsia="x-none"/>
        </w:rPr>
        <w:t xml:space="preserve">. </w:t>
      </w:r>
    </w:p>
    <w:p w:rsidR="002963AC" w:rsidRPr="003033E1" w:rsidRDefault="002963AC" w:rsidP="00D10831">
      <w:pPr>
        <w:jc w:val="both"/>
        <w:rPr>
          <w:lang w:eastAsia="x-none"/>
        </w:rPr>
      </w:pPr>
    </w:p>
    <w:p w:rsidR="00D10831" w:rsidRPr="00A910F4" w:rsidRDefault="009E124F" w:rsidP="007A4F4A">
      <w:pPr>
        <w:pStyle w:val="N2Report"/>
      </w:pPr>
      <w:bookmarkStart w:id="122" w:name="_Toc417393026"/>
      <w:r>
        <w:t>Příčiny</w:t>
      </w:r>
      <w:r w:rsidR="00D10831" w:rsidRPr="00A910F4">
        <w:t xml:space="preserve"> nedočerpání alokace</w:t>
      </w:r>
      <w:bookmarkEnd w:id="122"/>
    </w:p>
    <w:p w:rsidR="00570D13" w:rsidRDefault="009E124F" w:rsidP="00FB7E90">
      <w:pPr>
        <w:spacing w:after="0"/>
        <w:jc w:val="both"/>
        <w:rPr>
          <w:lang w:eastAsia="x-none"/>
        </w:rPr>
      </w:pPr>
      <w:r>
        <w:rPr>
          <w:lang w:eastAsia="x-none"/>
        </w:rPr>
        <w:t>Hrozící nedočerpání alokace je způsobeno zejména následujícími faktory:</w:t>
      </w:r>
    </w:p>
    <w:p w:rsidR="009E124F" w:rsidRDefault="009E124F" w:rsidP="00FB7E90">
      <w:pPr>
        <w:spacing w:after="0"/>
        <w:jc w:val="both"/>
        <w:rPr>
          <w:lang w:eastAsia="x-none"/>
        </w:rPr>
      </w:pPr>
    </w:p>
    <w:p w:rsidR="009E124F" w:rsidRPr="00E42569" w:rsidRDefault="009E124F" w:rsidP="00676287">
      <w:pPr>
        <w:numPr>
          <w:ilvl w:val="0"/>
          <w:numId w:val="3"/>
        </w:numPr>
        <w:spacing w:after="0"/>
        <w:ind w:left="357" w:hanging="357"/>
        <w:jc w:val="both"/>
        <w:rPr>
          <w:lang w:eastAsia="x-none"/>
        </w:rPr>
      </w:pPr>
      <w:r w:rsidRPr="00E42569">
        <w:rPr>
          <w:b/>
          <w:lang w:eastAsia="x-none"/>
        </w:rPr>
        <w:t xml:space="preserve">Pozdní schválení </w:t>
      </w:r>
      <w:r>
        <w:rPr>
          <w:b/>
          <w:lang w:eastAsia="x-none"/>
        </w:rPr>
        <w:t>operačního programu</w:t>
      </w:r>
      <w:r w:rsidRPr="00E42569">
        <w:rPr>
          <w:lang w:eastAsia="x-none"/>
        </w:rPr>
        <w:t xml:space="preserve"> (schválen v září 2008)</w:t>
      </w:r>
      <w:r w:rsidR="00DF0947">
        <w:rPr>
          <w:lang w:eastAsia="x-none"/>
        </w:rPr>
        <w:t>.</w:t>
      </w:r>
    </w:p>
    <w:p w:rsidR="009E124F" w:rsidRPr="00825A3A" w:rsidRDefault="009E124F" w:rsidP="00FB7E90">
      <w:pPr>
        <w:spacing w:after="0"/>
        <w:jc w:val="both"/>
        <w:rPr>
          <w:lang w:eastAsia="x-none"/>
        </w:rPr>
      </w:pPr>
    </w:p>
    <w:p w:rsidR="00570D13" w:rsidRPr="00825A3A" w:rsidRDefault="00570D13" w:rsidP="00676287">
      <w:pPr>
        <w:numPr>
          <w:ilvl w:val="0"/>
          <w:numId w:val="3"/>
        </w:numPr>
        <w:spacing w:after="0"/>
        <w:ind w:left="357" w:hanging="357"/>
        <w:jc w:val="both"/>
        <w:rPr>
          <w:lang w:eastAsia="x-none"/>
        </w:rPr>
      </w:pPr>
      <w:r w:rsidRPr="00825A3A">
        <w:rPr>
          <w:b/>
          <w:lang w:eastAsia="x-none"/>
        </w:rPr>
        <w:t>Dlouhé schvalování velkých projektů</w:t>
      </w:r>
      <w:r w:rsidRPr="00825A3A">
        <w:rPr>
          <w:lang w:eastAsia="x-none"/>
        </w:rPr>
        <w:t xml:space="preserve"> (poslední velký projekt byl schválen </w:t>
      </w:r>
      <w:r w:rsidR="00DF7DB3">
        <w:rPr>
          <w:lang w:eastAsia="x-none"/>
        </w:rPr>
        <w:t xml:space="preserve">až </w:t>
      </w:r>
      <w:r w:rsidRPr="00825A3A">
        <w:rPr>
          <w:lang w:eastAsia="x-none"/>
        </w:rPr>
        <w:t>v lednu 2012)</w:t>
      </w:r>
      <w:r w:rsidR="00DF0947">
        <w:rPr>
          <w:lang w:eastAsia="x-none"/>
        </w:rPr>
        <w:t>.</w:t>
      </w:r>
    </w:p>
    <w:p w:rsidR="009E124F" w:rsidRPr="00825A3A" w:rsidRDefault="009E124F" w:rsidP="00FB7E90">
      <w:pPr>
        <w:spacing w:after="0"/>
        <w:jc w:val="both"/>
        <w:rPr>
          <w:lang w:eastAsia="x-none"/>
        </w:rPr>
      </w:pPr>
    </w:p>
    <w:p w:rsidR="00825A3A" w:rsidRPr="009E124F" w:rsidRDefault="00743DFC" w:rsidP="00676287">
      <w:pPr>
        <w:numPr>
          <w:ilvl w:val="0"/>
          <w:numId w:val="3"/>
        </w:numPr>
        <w:spacing w:after="0"/>
        <w:jc w:val="both"/>
        <w:rPr>
          <w:lang w:eastAsia="x-none"/>
        </w:rPr>
      </w:pPr>
      <w:r w:rsidRPr="00825A3A">
        <w:rPr>
          <w:b/>
          <w:lang w:eastAsia="x-none"/>
        </w:rPr>
        <w:t xml:space="preserve">Fázování </w:t>
      </w:r>
      <w:proofErr w:type="gramStart"/>
      <w:r w:rsidRPr="00825A3A">
        <w:rPr>
          <w:b/>
          <w:lang w:eastAsia="x-none"/>
        </w:rPr>
        <w:t>projektů</w:t>
      </w:r>
      <w:r w:rsidRPr="00825A3A">
        <w:rPr>
          <w:lang w:eastAsia="x-none"/>
        </w:rPr>
        <w:t xml:space="preserve"> - </w:t>
      </w:r>
      <w:r w:rsidR="006055EF">
        <w:rPr>
          <w:lang w:eastAsia="x-none"/>
        </w:rPr>
        <w:t>v</w:t>
      </w:r>
      <w:r w:rsidR="00570D13" w:rsidRPr="00825A3A">
        <w:rPr>
          <w:lang w:eastAsia="x-none"/>
        </w:rPr>
        <w:t xml:space="preserve"> současné</w:t>
      </w:r>
      <w:proofErr w:type="gramEnd"/>
      <w:r w:rsidR="00570D13" w:rsidRPr="00825A3A">
        <w:rPr>
          <w:lang w:eastAsia="x-none"/>
        </w:rPr>
        <w:t xml:space="preserve"> době ŘO OP </w:t>
      </w:r>
      <w:proofErr w:type="spellStart"/>
      <w:r w:rsidR="00570D13" w:rsidRPr="00825A3A">
        <w:rPr>
          <w:lang w:eastAsia="x-none"/>
        </w:rPr>
        <w:t>VaVpI</w:t>
      </w:r>
      <w:proofErr w:type="spellEnd"/>
      <w:r w:rsidR="00570D13" w:rsidRPr="00825A3A">
        <w:rPr>
          <w:lang w:eastAsia="x-none"/>
        </w:rPr>
        <w:t xml:space="preserve"> aktivně </w:t>
      </w:r>
      <w:r w:rsidR="001B4C6B" w:rsidRPr="00825A3A">
        <w:rPr>
          <w:lang w:eastAsia="x-none"/>
        </w:rPr>
        <w:t>připravuje fázová</w:t>
      </w:r>
      <w:r w:rsidR="00DF7DB3">
        <w:rPr>
          <w:lang w:eastAsia="x-none"/>
        </w:rPr>
        <w:t>ní velkých projektů ELI a SUSEN</w:t>
      </w:r>
      <w:r w:rsidR="00DF0947">
        <w:rPr>
          <w:lang w:eastAsia="x-none"/>
        </w:rPr>
        <w:t>.</w:t>
      </w:r>
    </w:p>
    <w:p w:rsidR="009E124F" w:rsidRPr="00825A3A" w:rsidRDefault="009E124F" w:rsidP="009E124F">
      <w:pPr>
        <w:spacing w:after="0"/>
        <w:ind w:left="360"/>
        <w:jc w:val="both"/>
        <w:rPr>
          <w:lang w:eastAsia="x-none"/>
        </w:rPr>
      </w:pPr>
    </w:p>
    <w:p w:rsidR="00570D13" w:rsidRPr="009E124F" w:rsidRDefault="00825A3A" w:rsidP="00676287">
      <w:pPr>
        <w:numPr>
          <w:ilvl w:val="0"/>
          <w:numId w:val="3"/>
        </w:numPr>
        <w:spacing w:after="0"/>
        <w:jc w:val="both"/>
        <w:rPr>
          <w:lang w:eastAsia="x-none"/>
        </w:rPr>
      </w:pPr>
      <w:r w:rsidRPr="00825A3A">
        <w:rPr>
          <w:b/>
          <w:lang w:eastAsia="x-none"/>
        </w:rPr>
        <w:t>Nevyčerpá</w:t>
      </w:r>
      <w:r w:rsidR="00DF7DB3">
        <w:rPr>
          <w:b/>
          <w:lang w:eastAsia="x-none"/>
        </w:rPr>
        <w:t xml:space="preserve">ní </w:t>
      </w:r>
      <w:r w:rsidR="00C65422">
        <w:rPr>
          <w:b/>
          <w:lang w:eastAsia="x-none"/>
        </w:rPr>
        <w:t xml:space="preserve">celé výše </w:t>
      </w:r>
      <w:proofErr w:type="spellStart"/>
      <w:r w:rsidR="00C65422">
        <w:rPr>
          <w:b/>
          <w:lang w:eastAsia="x-none"/>
        </w:rPr>
        <w:t>RoPD</w:t>
      </w:r>
      <w:proofErr w:type="spellEnd"/>
      <w:r w:rsidR="00C65422">
        <w:rPr>
          <w:b/>
          <w:lang w:eastAsia="x-none"/>
        </w:rPr>
        <w:t xml:space="preserve"> </w:t>
      </w:r>
      <w:r w:rsidR="00C65422" w:rsidRPr="00C65422">
        <w:rPr>
          <w:lang w:eastAsia="x-none"/>
        </w:rPr>
        <w:t>(úspory, nadhodnocené rozpočty a finanční plány)</w:t>
      </w:r>
      <w:r w:rsidR="00DF0947">
        <w:rPr>
          <w:lang w:eastAsia="x-none"/>
        </w:rPr>
        <w:t>.</w:t>
      </w:r>
    </w:p>
    <w:p w:rsidR="009E124F" w:rsidRPr="00825A3A" w:rsidRDefault="009E124F" w:rsidP="009E124F">
      <w:pPr>
        <w:spacing w:after="0"/>
        <w:jc w:val="both"/>
        <w:rPr>
          <w:lang w:eastAsia="x-none"/>
        </w:rPr>
      </w:pPr>
    </w:p>
    <w:p w:rsidR="009E124F" w:rsidRDefault="00570D13" w:rsidP="00676287">
      <w:pPr>
        <w:numPr>
          <w:ilvl w:val="0"/>
          <w:numId w:val="3"/>
        </w:numPr>
        <w:spacing w:after="0"/>
        <w:jc w:val="both"/>
        <w:rPr>
          <w:lang w:eastAsia="x-none"/>
        </w:rPr>
      </w:pPr>
      <w:r w:rsidRPr="00825A3A">
        <w:rPr>
          <w:b/>
          <w:lang w:eastAsia="x-none"/>
        </w:rPr>
        <w:t>Pomalé čerpání ze strany příjemců</w:t>
      </w:r>
      <w:r w:rsidR="00825A3A" w:rsidRPr="00825A3A">
        <w:rPr>
          <w:lang w:eastAsia="x-none"/>
        </w:rPr>
        <w:t xml:space="preserve"> </w:t>
      </w:r>
      <w:r w:rsidR="00C65422">
        <w:rPr>
          <w:lang w:eastAsia="x-none"/>
        </w:rPr>
        <w:t>–</w:t>
      </w:r>
      <w:r w:rsidR="00825A3A" w:rsidRPr="00825A3A">
        <w:rPr>
          <w:lang w:eastAsia="x-none"/>
        </w:rPr>
        <w:t xml:space="preserve"> </w:t>
      </w:r>
      <w:r w:rsidR="00C65422">
        <w:rPr>
          <w:lang w:eastAsia="x-none"/>
        </w:rPr>
        <w:t>částečně souvisí i s pozdním</w:t>
      </w:r>
      <w:r w:rsidRPr="00825A3A">
        <w:rPr>
          <w:lang w:eastAsia="x-none"/>
        </w:rPr>
        <w:t xml:space="preserve"> schválení</w:t>
      </w:r>
      <w:r w:rsidR="00C65422">
        <w:rPr>
          <w:lang w:eastAsia="x-none"/>
        </w:rPr>
        <w:t>m</w:t>
      </w:r>
      <w:r w:rsidRPr="00825A3A">
        <w:rPr>
          <w:lang w:eastAsia="x-none"/>
        </w:rPr>
        <w:t xml:space="preserve"> </w:t>
      </w:r>
      <w:r w:rsidR="00C65422">
        <w:rPr>
          <w:lang w:eastAsia="x-none"/>
        </w:rPr>
        <w:t>operačního programu</w:t>
      </w:r>
      <w:r w:rsidRPr="00825A3A">
        <w:rPr>
          <w:lang w:eastAsia="x-none"/>
        </w:rPr>
        <w:t xml:space="preserve"> a pozděj</w:t>
      </w:r>
      <w:r w:rsidR="00C65422">
        <w:rPr>
          <w:lang w:eastAsia="x-none"/>
        </w:rPr>
        <w:t>ším</w:t>
      </w:r>
      <w:r w:rsidR="00825A3A" w:rsidRPr="00825A3A">
        <w:rPr>
          <w:lang w:eastAsia="x-none"/>
        </w:rPr>
        <w:t xml:space="preserve"> schválení</w:t>
      </w:r>
      <w:r w:rsidR="00C65422">
        <w:rPr>
          <w:lang w:eastAsia="x-none"/>
        </w:rPr>
        <w:t>m</w:t>
      </w:r>
      <w:r w:rsidR="00825A3A" w:rsidRPr="00825A3A">
        <w:rPr>
          <w:lang w:eastAsia="x-none"/>
        </w:rPr>
        <w:t xml:space="preserve"> velkých projektů</w:t>
      </w:r>
      <w:r w:rsidR="00DF0947">
        <w:rPr>
          <w:lang w:eastAsia="x-none"/>
        </w:rPr>
        <w:t>.</w:t>
      </w:r>
    </w:p>
    <w:p w:rsidR="009E124F" w:rsidRPr="00825A3A" w:rsidRDefault="009E124F" w:rsidP="009E124F">
      <w:pPr>
        <w:spacing w:after="0"/>
        <w:jc w:val="both"/>
        <w:rPr>
          <w:lang w:eastAsia="x-none"/>
        </w:rPr>
      </w:pPr>
    </w:p>
    <w:p w:rsidR="00570D13" w:rsidRDefault="00570D13" w:rsidP="00676287">
      <w:pPr>
        <w:numPr>
          <w:ilvl w:val="0"/>
          <w:numId w:val="3"/>
        </w:numPr>
        <w:spacing w:after="0"/>
        <w:jc w:val="both"/>
        <w:rPr>
          <w:lang w:eastAsia="x-none"/>
        </w:rPr>
      </w:pPr>
      <w:r w:rsidRPr="00825A3A">
        <w:rPr>
          <w:b/>
          <w:lang w:eastAsia="x-none"/>
        </w:rPr>
        <w:t>Nedostatečná práce s úsporami a nedosta</w:t>
      </w:r>
      <w:r w:rsidR="00D10831" w:rsidRPr="00825A3A">
        <w:rPr>
          <w:b/>
          <w:lang w:eastAsia="x-none"/>
        </w:rPr>
        <w:t xml:space="preserve">tečně včasné vyhlašovaní výzev </w:t>
      </w:r>
      <w:r w:rsidR="008B3399">
        <w:rPr>
          <w:b/>
          <w:lang w:eastAsia="x-none"/>
        </w:rPr>
        <w:t xml:space="preserve">v letech </w:t>
      </w:r>
      <w:proofErr w:type="gramStart"/>
      <w:r w:rsidR="009700EF">
        <w:rPr>
          <w:b/>
          <w:lang w:eastAsia="x-none"/>
        </w:rPr>
        <w:t>2011</w:t>
      </w:r>
      <w:proofErr w:type="gramEnd"/>
      <w:r w:rsidR="009700EF">
        <w:rPr>
          <w:b/>
          <w:lang w:eastAsia="x-none"/>
        </w:rPr>
        <w:t> </w:t>
      </w:r>
      <w:r w:rsidR="008B3399">
        <w:rPr>
          <w:b/>
          <w:lang w:eastAsia="x-none"/>
        </w:rPr>
        <w:t>-</w:t>
      </w:r>
      <w:r w:rsidRPr="00825A3A">
        <w:rPr>
          <w:b/>
          <w:lang w:eastAsia="x-none"/>
        </w:rPr>
        <w:t xml:space="preserve"> </w:t>
      </w:r>
      <w:proofErr w:type="gramStart"/>
      <w:r w:rsidRPr="00825A3A">
        <w:rPr>
          <w:b/>
          <w:lang w:eastAsia="x-none"/>
        </w:rPr>
        <w:t>2013</w:t>
      </w:r>
      <w:proofErr w:type="gramEnd"/>
      <w:r w:rsidR="00825A3A" w:rsidRPr="00825A3A">
        <w:rPr>
          <w:lang w:eastAsia="x-none"/>
        </w:rPr>
        <w:t xml:space="preserve"> - ŘO včas </w:t>
      </w:r>
      <w:r w:rsidR="008B3399">
        <w:rPr>
          <w:lang w:eastAsia="x-none"/>
        </w:rPr>
        <w:t xml:space="preserve">adekvátně </w:t>
      </w:r>
      <w:r w:rsidR="00825A3A" w:rsidRPr="00825A3A">
        <w:rPr>
          <w:lang w:eastAsia="x-none"/>
        </w:rPr>
        <w:t>nereagoval</w:t>
      </w:r>
      <w:r w:rsidRPr="00825A3A">
        <w:rPr>
          <w:lang w:eastAsia="x-none"/>
        </w:rPr>
        <w:t xml:space="preserve"> na možné využití dalšíc</w:t>
      </w:r>
      <w:r w:rsidR="00825A3A" w:rsidRPr="00825A3A">
        <w:rPr>
          <w:lang w:eastAsia="x-none"/>
        </w:rPr>
        <w:t>h volných finančních prostředků</w:t>
      </w:r>
      <w:r w:rsidR="00DF0947">
        <w:rPr>
          <w:lang w:eastAsia="x-none"/>
        </w:rPr>
        <w:t>.</w:t>
      </w:r>
    </w:p>
    <w:p w:rsidR="009E124F" w:rsidRPr="00825A3A" w:rsidRDefault="009E124F" w:rsidP="009E124F">
      <w:pPr>
        <w:spacing w:after="0"/>
        <w:ind w:left="360"/>
        <w:jc w:val="both"/>
        <w:rPr>
          <w:lang w:eastAsia="x-none"/>
        </w:rPr>
      </w:pPr>
    </w:p>
    <w:p w:rsidR="00570D13" w:rsidRDefault="00570D13" w:rsidP="00676287">
      <w:pPr>
        <w:numPr>
          <w:ilvl w:val="0"/>
          <w:numId w:val="3"/>
        </w:numPr>
        <w:spacing w:after="0"/>
        <w:jc w:val="both"/>
        <w:rPr>
          <w:lang w:eastAsia="x-none"/>
        </w:rPr>
      </w:pPr>
      <w:r w:rsidRPr="00825A3A">
        <w:rPr>
          <w:b/>
          <w:lang w:eastAsia="x-none"/>
        </w:rPr>
        <w:t>Novela zákona o veřejných zakázkách – zákon č. 55/2012 Sb.</w:t>
      </w:r>
      <w:r w:rsidR="00825A3A" w:rsidRPr="00825A3A">
        <w:rPr>
          <w:lang w:eastAsia="x-none"/>
        </w:rPr>
        <w:t xml:space="preserve"> - </w:t>
      </w:r>
      <w:r w:rsidR="00916C2C" w:rsidRPr="00825A3A">
        <w:rPr>
          <w:lang w:eastAsia="x-none"/>
        </w:rPr>
        <w:t xml:space="preserve">vzhledem k nastaveným </w:t>
      </w:r>
      <w:r w:rsidRPr="00825A3A">
        <w:rPr>
          <w:lang w:eastAsia="x-none"/>
        </w:rPr>
        <w:t xml:space="preserve">pravidlům </w:t>
      </w:r>
      <w:proofErr w:type="gramStart"/>
      <w:r w:rsidRPr="00825A3A">
        <w:rPr>
          <w:lang w:eastAsia="x-none"/>
        </w:rPr>
        <w:t>došlo</w:t>
      </w:r>
      <w:proofErr w:type="gramEnd"/>
      <w:r w:rsidRPr="00825A3A">
        <w:rPr>
          <w:lang w:eastAsia="x-none"/>
        </w:rPr>
        <w:t xml:space="preserve"> u většiny projektů OP </w:t>
      </w:r>
      <w:proofErr w:type="spellStart"/>
      <w:r w:rsidRPr="00825A3A">
        <w:rPr>
          <w:lang w:eastAsia="x-none"/>
        </w:rPr>
        <w:t>VaVpI</w:t>
      </w:r>
      <w:proofErr w:type="spellEnd"/>
      <w:r w:rsidRPr="00825A3A">
        <w:rPr>
          <w:lang w:eastAsia="x-none"/>
        </w:rPr>
        <w:t xml:space="preserve"> k prodlouže</w:t>
      </w:r>
      <w:r w:rsidR="00D10831" w:rsidRPr="00825A3A">
        <w:rPr>
          <w:lang w:eastAsia="x-none"/>
        </w:rPr>
        <w:t>ní výběrových řízení</w:t>
      </w:r>
      <w:r w:rsidR="006055EF">
        <w:rPr>
          <w:lang w:eastAsia="x-none"/>
        </w:rPr>
        <w:t xml:space="preserve"> a </w:t>
      </w:r>
      <w:r w:rsidR="00C65422">
        <w:rPr>
          <w:lang w:eastAsia="x-none"/>
        </w:rPr>
        <w:t xml:space="preserve">následnému </w:t>
      </w:r>
      <w:r w:rsidRPr="00825A3A">
        <w:rPr>
          <w:lang w:eastAsia="x-none"/>
        </w:rPr>
        <w:t>zpož</w:t>
      </w:r>
      <w:r w:rsidR="00825A3A" w:rsidRPr="00825A3A">
        <w:rPr>
          <w:lang w:eastAsia="x-none"/>
        </w:rPr>
        <w:t>dění samotné realizace projektů</w:t>
      </w:r>
      <w:r w:rsidR="00DF0947">
        <w:rPr>
          <w:lang w:eastAsia="x-none"/>
        </w:rPr>
        <w:t>.</w:t>
      </w:r>
    </w:p>
    <w:p w:rsidR="00576590" w:rsidRPr="00825A3A" w:rsidRDefault="00576590" w:rsidP="00576590">
      <w:pPr>
        <w:spacing w:after="0"/>
        <w:ind w:left="360"/>
        <w:jc w:val="both"/>
        <w:rPr>
          <w:lang w:eastAsia="x-none"/>
        </w:rPr>
      </w:pPr>
    </w:p>
    <w:p w:rsidR="00570D13" w:rsidRDefault="00570D13" w:rsidP="00676287">
      <w:pPr>
        <w:numPr>
          <w:ilvl w:val="0"/>
          <w:numId w:val="3"/>
        </w:numPr>
        <w:spacing w:after="0"/>
        <w:jc w:val="both"/>
        <w:rPr>
          <w:lang w:eastAsia="x-none"/>
        </w:rPr>
      </w:pPr>
      <w:r w:rsidRPr="00825A3A">
        <w:rPr>
          <w:b/>
          <w:lang w:eastAsia="x-none"/>
        </w:rPr>
        <w:t xml:space="preserve">Kurzová intervence ČNB z listopadu </w:t>
      </w:r>
      <w:proofErr w:type="gramStart"/>
      <w:r w:rsidRPr="00825A3A">
        <w:rPr>
          <w:b/>
          <w:lang w:eastAsia="x-none"/>
        </w:rPr>
        <w:t>2013</w:t>
      </w:r>
      <w:proofErr w:type="gramEnd"/>
      <w:r w:rsidR="008B3399">
        <w:rPr>
          <w:lang w:eastAsia="x-none"/>
        </w:rPr>
        <w:t xml:space="preserve"> - </w:t>
      </w:r>
      <w:proofErr w:type="gramStart"/>
      <w:r w:rsidRPr="00825A3A">
        <w:rPr>
          <w:lang w:eastAsia="x-none"/>
        </w:rPr>
        <w:t>došlo</w:t>
      </w:r>
      <w:proofErr w:type="gramEnd"/>
      <w:r w:rsidRPr="00825A3A">
        <w:rPr>
          <w:lang w:eastAsia="x-none"/>
        </w:rPr>
        <w:t xml:space="preserve"> k </w:t>
      </w:r>
      <w:r w:rsidR="008B3399">
        <w:rPr>
          <w:lang w:eastAsia="x-none"/>
        </w:rPr>
        <w:t xml:space="preserve">nárůstu </w:t>
      </w:r>
      <w:r w:rsidR="00C65422">
        <w:rPr>
          <w:lang w:eastAsia="x-none"/>
        </w:rPr>
        <w:t>celk</w:t>
      </w:r>
      <w:r w:rsidR="008B3399">
        <w:rPr>
          <w:lang w:eastAsia="x-none"/>
        </w:rPr>
        <w:t>ové alokace operačního programu</w:t>
      </w:r>
      <w:r w:rsidR="00DF0947">
        <w:rPr>
          <w:lang w:eastAsia="x-none"/>
        </w:rPr>
        <w:t>.</w:t>
      </w:r>
    </w:p>
    <w:p w:rsidR="00576590" w:rsidRPr="00825A3A" w:rsidRDefault="00576590" w:rsidP="00576590">
      <w:pPr>
        <w:spacing w:after="0"/>
        <w:jc w:val="both"/>
        <w:rPr>
          <w:lang w:eastAsia="x-none"/>
        </w:rPr>
      </w:pPr>
    </w:p>
    <w:p w:rsidR="00570D13" w:rsidRDefault="00570D13" w:rsidP="00676287">
      <w:pPr>
        <w:numPr>
          <w:ilvl w:val="0"/>
          <w:numId w:val="3"/>
        </w:numPr>
        <w:spacing w:after="0"/>
        <w:jc w:val="both"/>
        <w:rPr>
          <w:lang w:eastAsia="x-none"/>
        </w:rPr>
      </w:pPr>
      <w:r w:rsidRPr="00825A3A">
        <w:rPr>
          <w:b/>
          <w:lang w:eastAsia="x-none"/>
        </w:rPr>
        <w:t xml:space="preserve">Úspory z veřejných </w:t>
      </w:r>
      <w:proofErr w:type="gramStart"/>
      <w:r w:rsidRPr="00825A3A">
        <w:rPr>
          <w:b/>
          <w:lang w:eastAsia="x-none"/>
        </w:rPr>
        <w:t>zakázek</w:t>
      </w:r>
      <w:r w:rsidR="00825A3A">
        <w:rPr>
          <w:lang w:eastAsia="x-none"/>
        </w:rPr>
        <w:t xml:space="preserve"> - </w:t>
      </w:r>
      <w:r w:rsidRPr="00825A3A">
        <w:rPr>
          <w:lang w:eastAsia="x-none"/>
        </w:rPr>
        <w:t>v době</w:t>
      </w:r>
      <w:proofErr w:type="gramEnd"/>
      <w:r w:rsidRPr="00825A3A">
        <w:rPr>
          <w:lang w:eastAsia="x-none"/>
        </w:rPr>
        <w:t xml:space="preserve"> realizace projekt</w:t>
      </w:r>
      <w:r w:rsidR="009700EF">
        <w:rPr>
          <w:lang w:eastAsia="x-none"/>
        </w:rPr>
        <w:t>ů docházelo k velkým úsporám na </w:t>
      </w:r>
      <w:r w:rsidR="00825A3A">
        <w:rPr>
          <w:lang w:eastAsia="x-none"/>
        </w:rPr>
        <w:t>výběrových řízeních</w:t>
      </w:r>
      <w:r w:rsidR="00C65422">
        <w:rPr>
          <w:lang w:eastAsia="x-none"/>
        </w:rPr>
        <w:t xml:space="preserve"> (tento faktor je sice z hlediska hospodárného a efektivního využití prostředků pozitivní, z hlediska řízení alokace operačního programu ale znamená komplikaci)</w:t>
      </w:r>
      <w:r w:rsidR="00DF0947">
        <w:rPr>
          <w:lang w:eastAsia="x-none"/>
        </w:rPr>
        <w:t>.</w:t>
      </w:r>
    </w:p>
    <w:p w:rsidR="00576590" w:rsidRPr="00825A3A" w:rsidRDefault="00576590" w:rsidP="00576590">
      <w:pPr>
        <w:spacing w:after="0"/>
        <w:jc w:val="both"/>
        <w:rPr>
          <w:lang w:eastAsia="x-none"/>
        </w:rPr>
      </w:pPr>
    </w:p>
    <w:p w:rsidR="00825A3A" w:rsidRDefault="00570D13" w:rsidP="00676287">
      <w:pPr>
        <w:numPr>
          <w:ilvl w:val="0"/>
          <w:numId w:val="3"/>
        </w:numPr>
        <w:spacing w:after="0"/>
        <w:ind w:left="357" w:hanging="357"/>
        <w:jc w:val="both"/>
        <w:rPr>
          <w:lang w:eastAsia="x-none"/>
        </w:rPr>
      </w:pPr>
      <w:r w:rsidRPr="00825A3A">
        <w:rPr>
          <w:b/>
          <w:lang w:eastAsia="x-none"/>
        </w:rPr>
        <w:t xml:space="preserve">Personální destabilizace OP </w:t>
      </w:r>
      <w:proofErr w:type="spellStart"/>
      <w:r w:rsidRPr="00825A3A">
        <w:rPr>
          <w:b/>
          <w:lang w:eastAsia="x-none"/>
        </w:rPr>
        <w:t>VaVpI</w:t>
      </w:r>
      <w:proofErr w:type="spellEnd"/>
      <w:r w:rsidRPr="00825A3A">
        <w:rPr>
          <w:b/>
          <w:lang w:eastAsia="x-none"/>
        </w:rPr>
        <w:t xml:space="preserve"> v roce </w:t>
      </w:r>
      <w:proofErr w:type="gramStart"/>
      <w:r w:rsidRPr="00825A3A">
        <w:rPr>
          <w:b/>
          <w:lang w:eastAsia="x-none"/>
        </w:rPr>
        <w:t>2010</w:t>
      </w:r>
      <w:proofErr w:type="gramEnd"/>
      <w:r w:rsidR="00825A3A">
        <w:rPr>
          <w:lang w:eastAsia="x-none"/>
        </w:rPr>
        <w:t xml:space="preserve"> - </w:t>
      </w:r>
      <w:proofErr w:type="gramStart"/>
      <w:r w:rsidRPr="00825A3A">
        <w:rPr>
          <w:lang w:eastAsia="x-none"/>
        </w:rPr>
        <w:t>proběhl</w:t>
      </w:r>
      <w:proofErr w:type="gramEnd"/>
      <w:r w:rsidRPr="00825A3A">
        <w:rPr>
          <w:lang w:eastAsia="x-none"/>
        </w:rPr>
        <w:t xml:space="preserve"> velký počet personálních změn, které měly za</w:t>
      </w:r>
      <w:r w:rsidR="00825A3A">
        <w:rPr>
          <w:lang w:eastAsia="x-none"/>
        </w:rPr>
        <w:t xml:space="preserve"> </w:t>
      </w:r>
      <w:r w:rsidR="00C65422">
        <w:rPr>
          <w:lang w:eastAsia="x-none"/>
        </w:rPr>
        <w:t>následek</w:t>
      </w:r>
      <w:r w:rsidR="00825A3A">
        <w:rPr>
          <w:lang w:eastAsia="x-none"/>
        </w:rPr>
        <w:t xml:space="preserve"> </w:t>
      </w:r>
      <w:r w:rsidR="0065671C">
        <w:rPr>
          <w:lang w:eastAsia="x-none"/>
        </w:rPr>
        <w:t>komplikace v implementaci OP</w:t>
      </w:r>
      <w:r w:rsidR="00DF0947">
        <w:rPr>
          <w:lang w:eastAsia="x-none"/>
        </w:rPr>
        <w:t>.</w:t>
      </w:r>
    </w:p>
    <w:p w:rsidR="00576590" w:rsidRPr="00E42569" w:rsidRDefault="00576590" w:rsidP="00576590">
      <w:pPr>
        <w:spacing w:after="0"/>
        <w:jc w:val="both"/>
        <w:rPr>
          <w:lang w:eastAsia="x-none"/>
        </w:rPr>
      </w:pPr>
    </w:p>
    <w:p w:rsidR="00570D13" w:rsidRPr="00576590" w:rsidRDefault="00570D13" w:rsidP="00676287">
      <w:pPr>
        <w:numPr>
          <w:ilvl w:val="0"/>
          <w:numId w:val="3"/>
        </w:numPr>
        <w:spacing w:after="0"/>
        <w:ind w:left="357" w:hanging="357"/>
        <w:jc w:val="both"/>
        <w:rPr>
          <w:u w:val="single"/>
          <w:lang w:eastAsia="x-none"/>
        </w:rPr>
      </w:pPr>
      <w:r w:rsidRPr="00E42569">
        <w:rPr>
          <w:b/>
          <w:lang w:eastAsia="x-none"/>
        </w:rPr>
        <w:lastRenderedPageBreak/>
        <w:t xml:space="preserve">Dlouhé rozhodování </w:t>
      </w:r>
      <w:proofErr w:type="gramStart"/>
      <w:r w:rsidRPr="00E42569">
        <w:rPr>
          <w:b/>
          <w:lang w:eastAsia="x-none"/>
        </w:rPr>
        <w:t>ÚOHS</w:t>
      </w:r>
      <w:proofErr w:type="gramEnd"/>
      <w:r w:rsidR="00E42569" w:rsidRPr="00E42569">
        <w:rPr>
          <w:lang w:eastAsia="x-none"/>
        </w:rPr>
        <w:t xml:space="preserve"> - </w:t>
      </w:r>
      <w:proofErr w:type="gramStart"/>
      <w:r w:rsidRPr="00E42569">
        <w:rPr>
          <w:lang w:eastAsia="x-none"/>
        </w:rPr>
        <w:t>délka</w:t>
      </w:r>
      <w:proofErr w:type="gramEnd"/>
      <w:r w:rsidRPr="00E42569">
        <w:rPr>
          <w:lang w:eastAsia="x-none"/>
        </w:rPr>
        <w:t xml:space="preserve"> čekání na vydání rozhodnutí ÚOHS k jednotlivým </w:t>
      </w:r>
      <w:r w:rsidR="00825A3A" w:rsidRPr="00E42569">
        <w:rPr>
          <w:lang w:eastAsia="x-none"/>
        </w:rPr>
        <w:t xml:space="preserve">námitkám </w:t>
      </w:r>
      <w:r w:rsidR="0065671C">
        <w:rPr>
          <w:lang w:eastAsia="x-none"/>
        </w:rPr>
        <w:t>byla, je a bude často velmi</w:t>
      </w:r>
      <w:r w:rsidR="00E42569" w:rsidRPr="00E42569">
        <w:rPr>
          <w:lang w:eastAsia="x-none"/>
        </w:rPr>
        <w:t xml:space="preserve"> dlouhá</w:t>
      </w:r>
      <w:r w:rsidR="00DF0947">
        <w:rPr>
          <w:lang w:eastAsia="x-none"/>
        </w:rPr>
        <w:t>.</w:t>
      </w:r>
    </w:p>
    <w:p w:rsidR="00576590" w:rsidRPr="00E42569" w:rsidRDefault="00576590" w:rsidP="00576590">
      <w:pPr>
        <w:spacing w:after="0"/>
        <w:jc w:val="both"/>
        <w:rPr>
          <w:u w:val="single"/>
          <w:lang w:eastAsia="x-none"/>
        </w:rPr>
      </w:pPr>
    </w:p>
    <w:p w:rsidR="00570D13" w:rsidRPr="00576590" w:rsidRDefault="00570D13" w:rsidP="00676287">
      <w:pPr>
        <w:numPr>
          <w:ilvl w:val="0"/>
          <w:numId w:val="3"/>
        </w:numPr>
        <w:spacing w:after="0"/>
        <w:ind w:left="357" w:hanging="357"/>
        <w:jc w:val="both"/>
        <w:rPr>
          <w:u w:val="single"/>
          <w:lang w:eastAsia="x-none"/>
        </w:rPr>
      </w:pPr>
      <w:r w:rsidRPr="00E42569">
        <w:rPr>
          <w:b/>
          <w:lang w:eastAsia="x-none"/>
        </w:rPr>
        <w:t xml:space="preserve">Nezkušenost s řízením </w:t>
      </w:r>
      <w:r w:rsidR="00E42569" w:rsidRPr="00E42569">
        <w:rPr>
          <w:b/>
          <w:lang w:eastAsia="x-none"/>
        </w:rPr>
        <w:t>OP</w:t>
      </w:r>
      <w:r w:rsidR="00E42569" w:rsidRPr="00E42569">
        <w:rPr>
          <w:lang w:eastAsia="x-none"/>
        </w:rPr>
        <w:t xml:space="preserve"> a projektů jak na straně ŘO</w:t>
      </w:r>
      <w:r w:rsidRPr="00E42569">
        <w:rPr>
          <w:lang w:eastAsia="x-none"/>
        </w:rPr>
        <w:t>, tak na straně příjemců</w:t>
      </w:r>
      <w:r w:rsidR="00DF0947">
        <w:rPr>
          <w:lang w:eastAsia="x-none"/>
        </w:rPr>
        <w:t>.</w:t>
      </w:r>
    </w:p>
    <w:p w:rsidR="00576590" w:rsidRPr="00E42569" w:rsidRDefault="00576590" w:rsidP="00576590">
      <w:pPr>
        <w:spacing w:after="0"/>
        <w:jc w:val="both"/>
        <w:rPr>
          <w:u w:val="single"/>
          <w:lang w:eastAsia="x-none"/>
        </w:rPr>
      </w:pPr>
    </w:p>
    <w:p w:rsidR="00570D13" w:rsidRPr="00570D13" w:rsidRDefault="00570D13" w:rsidP="00E42569">
      <w:pPr>
        <w:spacing w:after="0"/>
        <w:rPr>
          <w:highlight w:val="yellow"/>
          <w:u w:val="single"/>
          <w:lang w:eastAsia="x-none"/>
        </w:rPr>
      </w:pPr>
    </w:p>
    <w:p w:rsidR="00570D13" w:rsidRPr="00570D13" w:rsidRDefault="00570D13" w:rsidP="00570D13">
      <w:pPr>
        <w:rPr>
          <w:highlight w:val="yellow"/>
          <w:lang w:eastAsia="x-none"/>
        </w:rPr>
      </w:pPr>
    </w:p>
    <w:p w:rsidR="00570D13" w:rsidRPr="00570D13" w:rsidRDefault="00570D13" w:rsidP="00570D13">
      <w:pPr>
        <w:rPr>
          <w:highlight w:val="yellow"/>
          <w:lang w:eastAsia="x-none"/>
        </w:rPr>
      </w:pPr>
    </w:p>
    <w:p w:rsidR="00236243" w:rsidRPr="00236243" w:rsidRDefault="00236243" w:rsidP="00236243">
      <w:pPr>
        <w:rPr>
          <w:highlight w:val="yellow"/>
          <w:lang w:eastAsia="x-none"/>
        </w:rPr>
      </w:pPr>
    </w:p>
    <w:p w:rsidR="00C167D3" w:rsidRPr="003A293C" w:rsidRDefault="00C167D3" w:rsidP="00C167D3">
      <w:pPr>
        <w:spacing w:after="0"/>
        <w:rPr>
          <w:lang w:eastAsia="x-none"/>
        </w:rPr>
        <w:sectPr w:rsidR="00C167D3" w:rsidRPr="003A293C" w:rsidSect="00612308">
          <w:headerReference w:type="first" r:id="rId21"/>
          <w:pgSz w:w="11906" w:h="16838" w:code="9"/>
          <w:pgMar w:top="1528" w:right="1418" w:bottom="1418" w:left="1418" w:header="709" w:footer="340" w:gutter="0"/>
          <w:cols w:space="708"/>
          <w:titlePg/>
          <w:docGrid w:linePitch="360"/>
        </w:sectPr>
      </w:pPr>
    </w:p>
    <w:p w:rsidR="003B79B0" w:rsidRPr="00511FF4" w:rsidRDefault="000B4962" w:rsidP="00676287">
      <w:pPr>
        <w:pStyle w:val="Nadpis1"/>
      </w:pPr>
      <w:bookmarkStart w:id="123" w:name="_Toc417393027"/>
      <w:r>
        <w:lastRenderedPageBreak/>
        <w:t>Rizika, která by mohla</w:t>
      </w:r>
      <w:r w:rsidR="00BF78A0">
        <w:t xml:space="preserve"> o</w:t>
      </w:r>
      <w:r>
        <w:t>vlivnit dočerpání alokace v roce</w:t>
      </w:r>
      <w:r w:rsidR="00BF78A0">
        <w:t xml:space="preserve"> 2015</w:t>
      </w:r>
      <w:bookmarkEnd w:id="123"/>
      <w:r w:rsidR="00737134" w:rsidRPr="009D74D4">
        <w:t xml:space="preserve"> </w:t>
      </w:r>
    </w:p>
    <w:p w:rsidR="002B34A1" w:rsidRDefault="002B34A1" w:rsidP="00106C43">
      <w:pPr>
        <w:spacing w:after="120"/>
        <w:jc w:val="both"/>
        <w:rPr>
          <w:rFonts w:cs="Arial"/>
        </w:rPr>
      </w:pPr>
    </w:p>
    <w:p w:rsidR="00EA646A" w:rsidRPr="00EA646A" w:rsidRDefault="00EA646A" w:rsidP="00EA646A">
      <w:pPr>
        <w:spacing w:after="120"/>
        <w:jc w:val="both"/>
        <w:rPr>
          <w:rFonts w:cs="Arial"/>
          <w:b/>
        </w:rPr>
      </w:pPr>
      <w:r w:rsidRPr="00EA646A">
        <w:rPr>
          <w:rFonts w:cs="Arial"/>
        </w:rPr>
        <w:t xml:space="preserve">Na úspěšné dočerpání programu bude mít vliv celá řada faktorů. Riziko představuje zejména nárůst budoucích úspor v projektech, případně nedokončení některých projektů v důsledku prodlužování harmonogramů realizace, nedostatečná absorpční kapacita a aplikace dalších korekcí v závěru programového období. Výše nedočerpání bude také ovlivněna finální částkou fázování u projektů ELI a SUSEN. </w:t>
      </w:r>
    </w:p>
    <w:p w:rsidR="005776AC" w:rsidRDefault="0042100D" w:rsidP="00A26EE2">
      <w:pPr>
        <w:pStyle w:val="Nadpis1"/>
      </w:pPr>
      <w:bookmarkStart w:id="124" w:name="_Toc417393028"/>
      <w:r w:rsidRPr="009D74D4">
        <w:t xml:space="preserve">Opatření </w:t>
      </w:r>
      <w:r w:rsidR="00BF3DE7" w:rsidRPr="009D74D4">
        <w:t xml:space="preserve">směřující </w:t>
      </w:r>
      <w:r w:rsidR="008B3399">
        <w:t xml:space="preserve">k </w:t>
      </w:r>
      <w:r w:rsidR="0042328F" w:rsidRPr="009D74D4">
        <w:t xml:space="preserve">dočerpání </w:t>
      </w:r>
      <w:r w:rsidR="008B3399">
        <w:t xml:space="preserve">alokace </w:t>
      </w:r>
      <w:r w:rsidR="00EA0F70" w:rsidRPr="009D74D4">
        <w:t xml:space="preserve">OP </w:t>
      </w:r>
      <w:proofErr w:type="spellStart"/>
      <w:r w:rsidR="00EA0F70" w:rsidRPr="009D74D4">
        <w:t>VaVpI</w:t>
      </w:r>
      <w:proofErr w:type="spellEnd"/>
      <w:r w:rsidR="0042328F" w:rsidRPr="009D74D4">
        <w:t xml:space="preserve"> v roce 2015</w:t>
      </w:r>
      <w:bookmarkEnd w:id="124"/>
    </w:p>
    <w:p w:rsidR="00F628FE" w:rsidRPr="00F628FE" w:rsidRDefault="00F628FE" w:rsidP="00F628FE">
      <w:pPr>
        <w:rPr>
          <w:lang w:eastAsia="x-none"/>
        </w:rPr>
      </w:pPr>
    </w:p>
    <w:p w:rsidR="00EA646A" w:rsidRPr="00EA646A" w:rsidRDefault="00EA646A" w:rsidP="00EA646A">
      <w:pPr>
        <w:jc w:val="both"/>
      </w:pPr>
      <w:r w:rsidRPr="00EA646A">
        <w:t>Rok 2015 a začátek roku 2016 bude ve znamení snahy o co největší dočerpání alokace operačního programu. ŘO proto svou pozornost musí soustředit na důsledné vyhodnocování stavu čerpání. Dále je nezbytné pokračovat v aplikaci opatření směrem k velkým projektům a</w:t>
      </w:r>
      <w:r w:rsidRPr="00EA646A">
        <w:rPr>
          <w:b/>
        </w:rPr>
        <w:t> </w:t>
      </w:r>
      <w:r w:rsidRPr="00EA646A">
        <w:t>dokončit proces administrace fázování velkých projektů – ELI a SUSEN.</w:t>
      </w:r>
      <w:r w:rsidRPr="00EA646A">
        <w:rPr>
          <w:b/>
        </w:rPr>
        <w:t xml:space="preserve"> </w:t>
      </w:r>
      <w:r w:rsidRPr="00EA646A">
        <w:t xml:space="preserve">Důležitým opatřením bude také zjednodušit a zefektivnit procesy, které se váží </w:t>
      </w:r>
      <w:r>
        <w:t>k</w:t>
      </w:r>
      <w:r w:rsidR="00F4533B">
        <w:t xml:space="preserve"> administraci žádostí o </w:t>
      </w:r>
      <w:r w:rsidRPr="00EA646A">
        <w:t>platbu. Tato opatření se promítla do krizového plánu na rok 2015 a některá z nich již byla ze strany ŘO realizována.</w:t>
      </w:r>
    </w:p>
    <w:p w:rsidR="00EA646A" w:rsidRPr="00EA646A" w:rsidRDefault="00EA646A" w:rsidP="00EA646A">
      <w:pPr>
        <w:jc w:val="both"/>
      </w:pPr>
      <w:r w:rsidRPr="00EA646A">
        <w:t xml:space="preserve">Klíčové oblasti pro ŘO OP </w:t>
      </w:r>
      <w:proofErr w:type="spellStart"/>
      <w:r w:rsidRPr="00EA646A">
        <w:t>VaVpI</w:t>
      </w:r>
      <w:proofErr w:type="spellEnd"/>
      <w:r w:rsidRPr="00EA646A">
        <w:t xml:space="preserve"> v roce 2015 jsou následující:</w:t>
      </w:r>
    </w:p>
    <w:p w:rsidR="00EA646A" w:rsidRPr="00EA646A" w:rsidRDefault="00EA646A" w:rsidP="00EA646A">
      <w:pPr>
        <w:numPr>
          <w:ilvl w:val="0"/>
          <w:numId w:val="9"/>
        </w:numPr>
        <w:jc w:val="both"/>
      </w:pPr>
      <w:r w:rsidRPr="00EA646A">
        <w:t xml:space="preserve">mapování disponibilní alokace a následná snaha o znovuzapojení nevyčerpaných prostředků </w:t>
      </w:r>
    </w:p>
    <w:p w:rsidR="00EA646A" w:rsidRDefault="00EA646A" w:rsidP="00EA646A">
      <w:pPr>
        <w:numPr>
          <w:ilvl w:val="0"/>
          <w:numId w:val="9"/>
        </w:numPr>
        <w:jc w:val="both"/>
      </w:pPr>
      <w:r w:rsidRPr="00EA646A">
        <w:t xml:space="preserve">dokončení procesu fázování projektů ELI a SUSEN ve spolupráci s Evropskou komisí a příjemci intenzivní individuální práce s příjemci ve snaze snížit úspory v projektech </w:t>
      </w:r>
    </w:p>
    <w:p w:rsidR="009B3BBE" w:rsidRDefault="00002F72" w:rsidP="0050182F">
      <w:pPr>
        <w:jc w:val="both"/>
      </w:pPr>
      <w:r>
        <w:t>Po zohlednění fázování řídicí orgán</w:t>
      </w:r>
      <w:r w:rsidR="008B3399">
        <w:t xml:space="preserve"> v roce 2015 </w:t>
      </w:r>
      <w:r>
        <w:t>není</w:t>
      </w:r>
      <w:r w:rsidR="008B3399">
        <w:t xml:space="preserve"> </w:t>
      </w:r>
      <w:proofErr w:type="spellStart"/>
      <w:r w:rsidR="008B3399">
        <w:t>přezávazkován</w:t>
      </w:r>
      <w:proofErr w:type="spellEnd"/>
      <w:r w:rsidR="008B3399">
        <w:t xml:space="preserve"> </w:t>
      </w:r>
      <w:r w:rsidR="009B3BBE" w:rsidRPr="009B3BBE">
        <w:t>a v současné chvíli disponuje volnou alokací. K </w:t>
      </w:r>
      <w:r w:rsidR="008B3399">
        <w:t>tomuto</w:t>
      </w:r>
      <w:r w:rsidR="009B3BBE" w:rsidRPr="009B3BBE">
        <w:t xml:space="preserve"> stavu přispělo mimo jiného i výrazné snížení odhadované ztráty roku 2014. Po provedení detailních analýz ŘO OP </w:t>
      </w:r>
      <w:proofErr w:type="spellStart"/>
      <w:r w:rsidR="009B3BBE" w:rsidRPr="009B3BBE">
        <w:t>VaVpI</w:t>
      </w:r>
      <w:proofErr w:type="spellEnd"/>
      <w:r w:rsidR="009B3BBE" w:rsidRPr="009B3BBE">
        <w:t xml:space="preserve"> </w:t>
      </w:r>
      <w:r w:rsidR="008B3399">
        <w:t>přijal</w:t>
      </w:r>
      <w:r w:rsidR="009B3BBE" w:rsidRPr="009B3BBE">
        <w:t xml:space="preserve"> opatření</w:t>
      </w:r>
      <w:r w:rsidR="008B3399">
        <w:t xml:space="preserve">, která mají za cíl využití volné alokace, zároveň však počítá s ponecháním nutné rezervy celkové alokace programu tak, aby nedošlo k jeho </w:t>
      </w:r>
      <w:proofErr w:type="spellStart"/>
      <w:r w:rsidR="008B3399">
        <w:t>přezávazkování</w:t>
      </w:r>
      <w:proofErr w:type="spellEnd"/>
      <w:r w:rsidR="008B3399">
        <w:t xml:space="preserve">. </w:t>
      </w:r>
      <w:r w:rsidR="009B3BBE" w:rsidRPr="009B3BBE">
        <w:t xml:space="preserve">Opatření byla stanovena na základě vládou schváleného materiálu MMR (usnesení vlády č. 124/2015) </w:t>
      </w:r>
      <w:r w:rsidR="009B3BBE" w:rsidRPr="009B3BBE">
        <w:rPr>
          <w:i/>
        </w:rPr>
        <w:t>Analýza čerpání evropských fondů a krizových plánů 2015</w:t>
      </w:r>
      <w:r w:rsidR="009B3BBE" w:rsidRPr="009B3BBE">
        <w:t>.</w:t>
      </w:r>
    </w:p>
    <w:p w:rsidR="00DE4006" w:rsidRPr="0050182F" w:rsidRDefault="00DE4006" w:rsidP="0050182F">
      <w:pPr>
        <w:jc w:val="both"/>
        <w:rPr>
          <w:lang w:eastAsia="cs-CZ"/>
        </w:rPr>
      </w:pPr>
      <w:r w:rsidRPr="009D74D4">
        <w:rPr>
          <w:lang w:eastAsia="cs-CZ"/>
        </w:rPr>
        <w:t xml:space="preserve">Řídicí orgán navrhl radu opatření </w:t>
      </w:r>
      <w:r w:rsidR="008B3399">
        <w:rPr>
          <w:lang w:eastAsia="cs-CZ"/>
        </w:rPr>
        <w:t>pro</w:t>
      </w:r>
      <w:r w:rsidRPr="009D74D4">
        <w:rPr>
          <w:lang w:eastAsia="cs-CZ"/>
        </w:rPr>
        <w:t xml:space="preserve"> využit</w:t>
      </w:r>
      <w:r w:rsidR="004146DA">
        <w:rPr>
          <w:lang w:eastAsia="cs-CZ"/>
        </w:rPr>
        <w:t>í volné alokace, z nichž některá</w:t>
      </w:r>
      <w:r w:rsidRPr="009D74D4">
        <w:rPr>
          <w:lang w:eastAsia="cs-CZ"/>
        </w:rPr>
        <w:t xml:space="preserve"> bylo nutné projednat s</w:t>
      </w:r>
      <w:r w:rsidR="008B3399">
        <w:rPr>
          <w:lang w:eastAsia="cs-CZ"/>
        </w:rPr>
        <w:t> </w:t>
      </w:r>
      <w:r w:rsidRPr="009D74D4">
        <w:rPr>
          <w:lang w:eastAsia="cs-CZ"/>
        </w:rPr>
        <w:t>E</w:t>
      </w:r>
      <w:r w:rsidR="008B3399">
        <w:rPr>
          <w:lang w:eastAsia="cs-CZ"/>
        </w:rPr>
        <w:t>vropskou komisí</w:t>
      </w:r>
      <w:r w:rsidR="004146DA">
        <w:rPr>
          <w:lang w:eastAsia="cs-CZ"/>
        </w:rPr>
        <w:t>.</w:t>
      </w:r>
    </w:p>
    <w:p w:rsidR="0029098F" w:rsidRDefault="00DE4006" w:rsidP="0029098F">
      <w:pPr>
        <w:jc w:val="both"/>
        <w:rPr>
          <w:rFonts w:eastAsia="Times New Roman"/>
          <w:lang w:eastAsia="cs-CZ"/>
        </w:rPr>
      </w:pPr>
      <w:r w:rsidRPr="009D74D4">
        <w:rPr>
          <w:rFonts w:eastAsia="Times New Roman"/>
          <w:lang w:eastAsia="cs-CZ"/>
        </w:rPr>
        <w:t xml:space="preserve">Dne 26. 1. 2015 se uskutečnilo jednání </w:t>
      </w:r>
      <w:proofErr w:type="spellStart"/>
      <w:r w:rsidRPr="009D74D4">
        <w:rPr>
          <w:rFonts w:eastAsia="Times New Roman"/>
          <w:i/>
          <w:lang w:eastAsia="cs-CZ"/>
        </w:rPr>
        <w:t>Implementation</w:t>
      </w:r>
      <w:proofErr w:type="spellEnd"/>
      <w:r w:rsidRPr="009D74D4">
        <w:rPr>
          <w:rFonts w:eastAsia="Times New Roman"/>
          <w:i/>
          <w:lang w:eastAsia="cs-CZ"/>
        </w:rPr>
        <w:t xml:space="preserve"> </w:t>
      </w:r>
      <w:proofErr w:type="spellStart"/>
      <w:r w:rsidRPr="009D74D4">
        <w:rPr>
          <w:rFonts w:eastAsia="Times New Roman"/>
          <w:i/>
          <w:lang w:eastAsia="cs-CZ"/>
        </w:rPr>
        <w:t>Task</w:t>
      </w:r>
      <w:proofErr w:type="spellEnd"/>
      <w:r w:rsidRPr="009D74D4">
        <w:rPr>
          <w:rFonts w:eastAsia="Times New Roman"/>
          <w:i/>
          <w:lang w:eastAsia="cs-CZ"/>
        </w:rPr>
        <w:t xml:space="preserve"> </w:t>
      </w:r>
      <w:proofErr w:type="spellStart"/>
      <w:r w:rsidRPr="009D74D4">
        <w:rPr>
          <w:rFonts w:eastAsia="Times New Roman"/>
          <w:i/>
          <w:lang w:eastAsia="cs-CZ"/>
        </w:rPr>
        <w:t>Force</w:t>
      </w:r>
      <w:proofErr w:type="spellEnd"/>
      <w:r w:rsidRPr="009D74D4">
        <w:rPr>
          <w:rFonts w:eastAsia="Times New Roman"/>
          <w:lang w:eastAsia="cs-CZ"/>
        </w:rPr>
        <w:t xml:space="preserve">, kde se setkali zástupci řídicích orgánů, </w:t>
      </w:r>
      <w:r w:rsidR="003D10A5">
        <w:rPr>
          <w:rFonts w:eastAsia="Times New Roman"/>
          <w:lang w:eastAsia="cs-CZ"/>
        </w:rPr>
        <w:t>MMR a MF</w:t>
      </w:r>
      <w:r w:rsidRPr="009D74D4">
        <w:rPr>
          <w:rFonts w:eastAsia="Times New Roman"/>
          <w:lang w:eastAsia="cs-CZ"/>
        </w:rPr>
        <w:t xml:space="preserve"> se zástup</w:t>
      </w:r>
      <w:r w:rsidR="003D10A5">
        <w:rPr>
          <w:rFonts w:eastAsia="Times New Roman"/>
          <w:lang w:eastAsia="cs-CZ"/>
        </w:rPr>
        <w:t>ci Evropské komise</w:t>
      </w:r>
      <w:r w:rsidRPr="009D74D4">
        <w:rPr>
          <w:rFonts w:eastAsia="Times New Roman"/>
          <w:lang w:eastAsia="cs-CZ"/>
        </w:rPr>
        <w:t>. Hlavním bodem jednání byla diskuze k dočerpání alokace operačních programů v programovém období 2007</w:t>
      </w:r>
      <w:r w:rsidR="003D10A5">
        <w:rPr>
          <w:rFonts w:eastAsia="Times New Roman"/>
          <w:lang w:eastAsia="cs-CZ"/>
        </w:rPr>
        <w:t xml:space="preserve"> </w:t>
      </w:r>
      <w:r w:rsidRPr="009D74D4">
        <w:rPr>
          <w:rFonts w:eastAsia="Times New Roman"/>
          <w:lang w:eastAsia="cs-CZ"/>
        </w:rPr>
        <w:t>-</w:t>
      </w:r>
      <w:r w:rsidR="003D10A5">
        <w:rPr>
          <w:rFonts w:eastAsia="Times New Roman"/>
          <w:lang w:eastAsia="cs-CZ"/>
        </w:rPr>
        <w:t xml:space="preserve"> </w:t>
      </w:r>
      <w:r w:rsidR="006055EF">
        <w:rPr>
          <w:rFonts w:eastAsia="Times New Roman"/>
          <w:lang w:eastAsia="cs-CZ"/>
        </w:rPr>
        <w:t>2013. Na </w:t>
      </w:r>
      <w:r w:rsidRPr="009D74D4">
        <w:rPr>
          <w:rFonts w:eastAsia="Times New Roman"/>
          <w:lang w:eastAsia="cs-CZ"/>
        </w:rPr>
        <w:t>jednání byla řešena také otázka fázování projektů.</w:t>
      </w:r>
      <w:r w:rsidR="0029098F">
        <w:rPr>
          <w:rFonts w:eastAsia="Times New Roman"/>
          <w:lang w:eastAsia="cs-CZ"/>
        </w:rPr>
        <w:t xml:space="preserve"> </w:t>
      </w:r>
    </w:p>
    <w:p w:rsidR="00DE4006" w:rsidRPr="009D74D4" w:rsidRDefault="0029098F" w:rsidP="0029098F">
      <w:pPr>
        <w:jc w:val="both"/>
        <w:rPr>
          <w:rFonts w:eastAsia="Times New Roman"/>
          <w:lang w:eastAsia="cs-CZ"/>
        </w:rPr>
      </w:pPr>
      <w:r w:rsidRPr="0029098F">
        <w:rPr>
          <w:rFonts w:eastAsia="Times New Roman"/>
          <w:lang w:eastAsia="cs-CZ"/>
        </w:rPr>
        <w:t xml:space="preserve">V </w:t>
      </w:r>
      <w:proofErr w:type="gramStart"/>
      <w:r w:rsidRPr="0029098F">
        <w:rPr>
          <w:rFonts w:eastAsia="Times New Roman"/>
          <w:lang w:eastAsia="cs-CZ"/>
        </w:rPr>
        <w:t>OP</w:t>
      </w:r>
      <w:proofErr w:type="gramEnd"/>
      <w:r w:rsidRPr="0029098F">
        <w:rPr>
          <w:rFonts w:eastAsia="Times New Roman"/>
          <w:lang w:eastAsia="cs-CZ"/>
        </w:rPr>
        <w:t xml:space="preserve"> </w:t>
      </w:r>
      <w:proofErr w:type="spellStart"/>
      <w:r w:rsidRPr="0029098F">
        <w:rPr>
          <w:rFonts w:eastAsia="Times New Roman"/>
          <w:lang w:eastAsia="cs-CZ"/>
        </w:rPr>
        <w:t>VaVpI</w:t>
      </w:r>
      <w:proofErr w:type="spellEnd"/>
      <w:r w:rsidRPr="0029098F">
        <w:rPr>
          <w:rFonts w:eastAsia="Times New Roman"/>
          <w:lang w:eastAsia="cs-CZ"/>
        </w:rPr>
        <w:t xml:space="preserve"> </w:t>
      </w:r>
      <w:r w:rsidR="00002F72">
        <w:rPr>
          <w:rFonts w:eastAsia="Times New Roman"/>
          <w:lang w:eastAsia="cs-CZ"/>
        </w:rPr>
        <w:t>jsou v současné chvíli podnikány administrativní kroky</w:t>
      </w:r>
      <w:r w:rsidRPr="0029098F">
        <w:rPr>
          <w:rFonts w:eastAsia="Times New Roman"/>
          <w:lang w:eastAsia="cs-CZ"/>
        </w:rPr>
        <w:t xml:space="preserve"> k fázování dvou</w:t>
      </w:r>
      <w:r>
        <w:rPr>
          <w:rFonts w:eastAsia="Times New Roman"/>
          <w:lang w:eastAsia="cs-CZ"/>
        </w:rPr>
        <w:t xml:space="preserve"> velkých projektů (ELI, SUSEN). </w:t>
      </w:r>
      <w:r w:rsidRPr="0029098F">
        <w:rPr>
          <w:rFonts w:eastAsia="Times New Roman"/>
          <w:lang w:eastAsia="cs-CZ"/>
        </w:rPr>
        <w:t>U velkých projektů (projekty s celkovým</w:t>
      </w:r>
      <w:r w:rsidR="006055EF">
        <w:rPr>
          <w:rFonts w:eastAsia="Times New Roman"/>
          <w:lang w:eastAsia="cs-CZ"/>
        </w:rPr>
        <w:t>i náklady přesahujícími 50 mil. </w:t>
      </w:r>
      <w:r w:rsidRPr="0029098F">
        <w:rPr>
          <w:rFonts w:eastAsia="Times New Roman"/>
          <w:lang w:eastAsia="cs-CZ"/>
        </w:rPr>
        <w:t xml:space="preserve">EUR) je nutné </w:t>
      </w:r>
      <w:r>
        <w:rPr>
          <w:rFonts w:eastAsia="Times New Roman"/>
          <w:lang w:eastAsia="cs-CZ"/>
        </w:rPr>
        <w:t xml:space="preserve">v rámci procesních postupů </w:t>
      </w:r>
      <w:r w:rsidRPr="0029098F">
        <w:rPr>
          <w:rFonts w:eastAsia="Times New Roman"/>
          <w:lang w:eastAsia="cs-CZ"/>
        </w:rPr>
        <w:t>přepracovat původní dokumen</w:t>
      </w:r>
      <w:r w:rsidR="001B1A1E">
        <w:rPr>
          <w:rFonts w:eastAsia="Times New Roman"/>
          <w:lang w:eastAsia="cs-CZ"/>
        </w:rPr>
        <w:t xml:space="preserve">taci </w:t>
      </w:r>
      <w:r w:rsidR="001B1A1E">
        <w:rPr>
          <w:rFonts w:eastAsia="Times New Roman"/>
          <w:lang w:eastAsia="cs-CZ"/>
        </w:rPr>
        <w:lastRenderedPageBreak/>
        <w:t>k </w:t>
      </w:r>
      <w:r w:rsidRPr="0029098F">
        <w:rPr>
          <w:rFonts w:eastAsia="Times New Roman"/>
          <w:lang w:eastAsia="cs-CZ"/>
        </w:rPr>
        <w:t xml:space="preserve">velkému projektu, </w:t>
      </w:r>
      <w:r w:rsidR="004146DA">
        <w:rPr>
          <w:rFonts w:eastAsia="Times New Roman"/>
          <w:lang w:eastAsia="cs-CZ"/>
        </w:rPr>
        <w:t xml:space="preserve">získat stanovisko </w:t>
      </w:r>
      <w:proofErr w:type="spellStart"/>
      <w:r w:rsidR="004146DA">
        <w:rPr>
          <w:rFonts w:eastAsia="Times New Roman"/>
          <w:lang w:eastAsia="cs-CZ"/>
        </w:rPr>
        <w:t>Jaspers</w:t>
      </w:r>
      <w:proofErr w:type="spellEnd"/>
      <w:r w:rsidR="004146DA">
        <w:rPr>
          <w:rFonts w:eastAsia="Times New Roman"/>
          <w:lang w:eastAsia="cs-CZ"/>
        </w:rPr>
        <w:t xml:space="preserve">, přepracovat </w:t>
      </w:r>
      <w:r w:rsidR="001B1A1E">
        <w:rPr>
          <w:rFonts w:eastAsia="Times New Roman"/>
          <w:lang w:eastAsia="cs-CZ"/>
        </w:rPr>
        <w:t>CBA (</w:t>
      </w:r>
      <w:proofErr w:type="spellStart"/>
      <w:r w:rsidR="001B1A1E">
        <w:rPr>
          <w:rFonts w:eastAsia="Times New Roman"/>
          <w:lang w:eastAsia="cs-CZ"/>
        </w:rPr>
        <w:t>Cost</w:t>
      </w:r>
      <w:proofErr w:type="spellEnd"/>
      <w:r w:rsidR="001B1A1E">
        <w:rPr>
          <w:rFonts w:eastAsia="Times New Roman"/>
          <w:lang w:eastAsia="cs-CZ"/>
        </w:rPr>
        <w:t xml:space="preserve"> benefit </w:t>
      </w:r>
      <w:proofErr w:type="spellStart"/>
      <w:r w:rsidR="001B1A1E">
        <w:rPr>
          <w:rFonts w:eastAsia="Times New Roman"/>
          <w:lang w:eastAsia="cs-CZ"/>
        </w:rPr>
        <w:t>analysis</w:t>
      </w:r>
      <w:proofErr w:type="spellEnd"/>
      <w:r w:rsidR="001B1A1E">
        <w:rPr>
          <w:rFonts w:eastAsia="Times New Roman"/>
          <w:lang w:eastAsia="cs-CZ"/>
        </w:rPr>
        <w:t>) a v </w:t>
      </w:r>
      <w:r w:rsidRPr="0029098F">
        <w:rPr>
          <w:rFonts w:eastAsia="Times New Roman"/>
          <w:lang w:eastAsia="cs-CZ"/>
        </w:rPr>
        <w:t>určitých případ</w:t>
      </w:r>
      <w:r w:rsidR="00002F72">
        <w:rPr>
          <w:rFonts w:eastAsia="Times New Roman"/>
          <w:lang w:eastAsia="cs-CZ"/>
        </w:rPr>
        <w:t xml:space="preserve">ech znovu doložit vliv </w:t>
      </w:r>
      <w:r>
        <w:rPr>
          <w:rFonts w:eastAsia="Times New Roman"/>
          <w:lang w:eastAsia="cs-CZ"/>
        </w:rPr>
        <w:t>projektu </w:t>
      </w:r>
      <w:r w:rsidRPr="0029098F">
        <w:t>na</w:t>
      </w:r>
      <w:r>
        <w:t> </w:t>
      </w:r>
      <w:r w:rsidRPr="0029098F">
        <w:rPr>
          <w:lang w:eastAsia="cs-CZ"/>
        </w:rPr>
        <w:t>životní</w:t>
      </w:r>
      <w:r>
        <w:rPr>
          <w:rFonts w:eastAsia="Times New Roman"/>
          <w:lang w:eastAsia="cs-CZ"/>
        </w:rPr>
        <w:t> </w:t>
      </w:r>
      <w:r w:rsidRPr="0029098F">
        <w:rPr>
          <w:rFonts w:eastAsia="Times New Roman"/>
          <w:lang w:eastAsia="cs-CZ"/>
        </w:rPr>
        <w:t>prostředí</w:t>
      </w:r>
      <w:r>
        <w:rPr>
          <w:rFonts w:eastAsia="Times New Roman"/>
          <w:lang w:eastAsia="cs-CZ"/>
        </w:rPr>
        <w:t> </w:t>
      </w:r>
      <w:r w:rsidRPr="0029098F">
        <w:rPr>
          <w:rFonts w:eastAsia="Times New Roman"/>
          <w:lang w:eastAsia="cs-CZ"/>
        </w:rPr>
        <w:t>(EIA).</w:t>
      </w:r>
      <w:r w:rsidR="00002F72">
        <w:rPr>
          <w:rFonts w:eastAsia="Times New Roman"/>
          <w:lang w:eastAsia="cs-CZ"/>
        </w:rPr>
        <w:t xml:space="preserve"> </w:t>
      </w:r>
      <w:r w:rsidRPr="0029098F">
        <w:rPr>
          <w:rFonts w:eastAsia="Times New Roman"/>
          <w:lang w:eastAsia="cs-CZ"/>
        </w:rPr>
        <w:t>Do 30. června 2015 by měl ŘO předložit seznam velkých projektů, které navrhuj</w:t>
      </w:r>
      <w:r w:rsidR="006B39CB">
        <w:rPr>
          <w:rFonts w:eastAsia="Times New Roman"/>
          <w:lang w:eastAsia="cs-CZ"/>
        </w:rPr>
        <w:t>e</w:t>
      </w:r>
      <w:r w:rsidRPr="0029098F">
        <w:rPr>
          <w:rFonts w:eastAsia="Times New Roman"/>
          <w:lang w:eastAsia="cs-CZ"/>
        </w:rPr>
        <w:t xml:space="preserve"> rozdělit do </w:t>
      </w:r>
      <w:r w:rsidR="00002F72">
        <w:rPr>
          <w:rFonts w:eastAsia="Times New Roman"/>
          <w:lang w:eastAsia="cs-CZ"/>
        </w:rPr>
        <w:t>dvou</w:t>
      </w:r>
      <w:r w:rsidR="003010D3">
        <w:rPr>
          <w:rFonts w:eastAsia="Times New Roman"/>
          <w:lang w:eastAsia="cs-CZ"/>
        </w:rPr>
        <w:t xml:space="preserve"> fází. Žádost o </w:t>
      </w:r>
      <w:r w:rsidRPr="0029098F">
        <w:rPr>
          <w:rFonts w:eastAsia="Times New Roman"/>
          <w:lang w:eastAsia="cs-CZ"/>
        </w:rPr>
        <w:t xml:space="preserve">změnu velkých projektů, resp. žádost o </w:t>
      </w:r>
      <w:r w:rsidR="004146DA">
        <w:rPr>
          <w:rFonts w:eastAsia="Times New Roman"/>
          <w:lang w:eastAsia="cs-CZ"/>
        </w:rPr>
        <w:t xml:space="preserve">fázování musí být Evropské komisi předložena </w:t>
      </w:r>
      <w:r w:rsidRPr="0029098F">
        <w:rPr>
          <w:rFonts w:eastAsia="Times New Roman"/>
          <w:lang w:eastAsia="cs-CZ"/>
        </w:rPr>
        <w:t>nejpozději do 30. září 2015.</w:t>
      </w:r>
      <w:r w:rsidR="00EA646A">
        <w:rPr>
          <w:rFonts w:eastAsia="Times New Roman"/>
          <w:lang w:eastAsia="cs-CZ"/>
        </w:rPr>
        <w:t xml:space="preserve"> ŘO v současné době nepočítá s fázováním dalších velkých projektů.</w:t>
      </w:r>
    </w:p>
    <w:p w:rsidR="00DE4006" w:rsidRDefault="00DE4006" w:rsidP="002C4892">
      <w:pPr>
        <w:spacing w:after="0"/>
        <w:jc w:val="both"/>
        <w:rPr>
          <w:rFonts w:eastAsia="Times New Roman"/>
          <w:lang w:eastAsia="cs-CZ"/>
        </w:rPr>
      </w:pPr>
      <w:r w:rsidRPr="009D74D4">
        <w:rPr>
          <w:rFonts w:eastAsia="Times New Roman"/>
          <w:lang w:eastAsia="cs-CZ"/>
        </w:rPr>
        <w:t xml:space="preserve">Mezi opatření, která ŘO OP </w:t>
      </w:r>
      <w:proofErr w:type="spellStart"/>
      <w:r w:rsidRPr="009D74D4">
        <w:rPr>
          <w:rFonts w:eastAsia="Times New Roman"/>
          <w:lang w:eastAsia="cs-CZ"/>
        </w:rPr>
        <w:t>VaVpI</w:t>
      </w:r>
      <w:proofErr w:type="spellEnd"/>
      <w:r w:rsidRPr="009D74D4">
        <w:rPr>
          <w:rFonts w:eastAsia="Times New Roman"/>
          <w:lang w:eastAsia="cs-CZ"/>
        </w:rPr>
        <w:t xml:space="preserve"> navrhoval EK, patřila:</w:t>
      </w:r>
    </w:p>
    <w:p w:rsidR="00603D80" w:rsidRPr="009D74D4" w:rsidRDefault="00603D80" w:rsidP="002C4892">
      <w:pPr>
        <w:spacing w:after="0"/>
        <w:jc w:val="both"/>
        <w:rPr>
          <w:rFonts w:eastAsia="Times New Roman"/>
          <w:lang w:eastAsia="cs-CZ"/>
        </w:rPr>
      </w:pPr>
    </w:p>
    <w:p w:rsidR="00DE4006" w:rsidRPr="00F23CA1" w:rsidRDefault="00DE4006" w:rsidP="00F23CA1">
      <w:pPr>
        <w:numPr>
          <w:ilvl w:val="0"/>
          <w:numId w:val="11"/>
        </w:numPr>
        <w:spacing w:after="0"/>
        <w:ind w:left="426"/>
        <w:jc w:val="both"/>
        <w:rPr>
          <w:rFonts w:eastAsia="Times New Roman"/>
          <w:lang w:eastAsia="cs-CZ"/>
        </w:rPr>
      </w:pPr>
      <w:r w:rsidRPr="009D74D4">
        <w:rPr>
          <w:rFonts w:eastAsia="Times New Roman"/>
          <w:lang w:eastAsia="cs-CZ"/>
        </w:rPr>
        <w:t>posun období způsobilosti</w:t>
      </w:r>
      <w:r w:rsidR="004146DA">
        <w:rPr>
          <w:rFonts w:eastAsia="Times New Roman"/>
          <w:lang w:eastAsia="cs-CZ"/>
        </w:rPr>
        <w:t xml:space="preserve"> výdajů za hranici 31. 12. 2015</w:t>
      </w:r>
    </w:p>
    <w:p w:rsidR="00DE4006" w:rsidRPr="009D74D4" w:rsidRDefault="00DE4006" w:rsidP="00676287">
      <w:pPr>
        <w:numPr>
          <w:ilvl w:val="0"/>
          <w:numId w:val="11"/>
        </w:numPr>
        <w:spacing w:after="0"/>
        <w:ind w:left="426"/>
        <w:jc w:val="both"/>
        <w:rPr>
          <w:rFonts w:eastAsia="Times New Roman"/>
          <w:lang w:eastAsia="cs-CZ"/>
        </w:rPr>
      </w:pPr>
      <w:r w:rsidRPr="009D74D4">
        <w:rPr>
          <w:rFonts w:eastAsia="Times New Roman"/>
          <w:lang w:eastAsia="cs-CZ"/>
        </w:rPr>
        <w:t>změna principu fázování projektů, tedy možnost financo</w:t>
      </w:r>
      <w:r w:rsidR="003010D3">
        <w:rPr>
          <w:rFonts w:eastAsia="Times New Roman"/>
          <w:lang w:eastAsia="cs-CZ"/>
        </w:rPr>
        <w:t>vat druhou fázi z prostředků OP </w:t>
      </w:r>
      <w:proofErr w:type="spellStart"/>
      <w:r w:rsidRPr="009D74D4">
        <w:rPr>
          <w:rFonts w:eastAsia="Times New Roman"/>
          <w:lang w:eastAsia="cs-CZ"/>
        </w:rPr>
        <w:t>VaVpI</w:t>
      </w:r>
      <w:proofErr w:type="spellEnd"/>
      <w:r w:rsidRPr="009D74D4">
        <w:rPr>
          <w:rFonts w:eastAsia="Times New Roman"/>
          <w:lang w:eastAsia="cs-CZ"/>
        </w:rPr>
        <w:t xml:space="preserve"> (za pod</w:t>
      </w:r>
      <w:r w:rsidR="004146DA">
        <w:rPr>
          <w:rFonts w:eastAsia="Times New Roman"/>
          <w:lang w:eastAsia="cs-CZ"/>
        </w:rPr>
        <w:t>mínky dodržení pravidel OP VVV)</w:t>
      </w:r>
    </w:p>
    <w:p w:rsidR="00DE4006" w:rsidRPr="009D74D4" w:rsidRDefault="00DE4006" w:rsidP="00676287">
      <w:pPr>
        <w:numPr>
          <w:ilvl w:val="0"/>
          <w:numId w:val="11"/>
        </w:numPr>
        <w:ind w:left="426"/>
        <w:jc w:val="both"/>
        <w:rPr>
          <w:rFonts w:eastAsia="Times New Roman"/>
          <w:lang w:eastAsia="cs-CZ"/>
        </w:rPr>
      </w:pPr>
      <w:r w:rsidRPr="009D74D4">
        <w:rPr>
          <w:rFonts w:eastAsia="Times New Roman"/>
          <w:lang w:eastAsia="cs-CZ"/>
        </w:rPr>
        <w:t xml:space="preserve">vytvoření seznamu </w:t>
      </w:r>
      <w:r w:rsidR="004146DA">
        <w:rPr>
          <w:rFonts w:eastAsia="Times New Roman"/>
          <w:lang w:eastAsia="cs-CZ"/>
        </w:rPr>
        <w:t>nefunkčních projektů</w:t>
      </w:r>
    </w:p>
    <w:p w:rsidR="00DE4006" w:rsidRDefault="00DE4006" w:rsidP="003508D9">
      <w:pPr>
        <w:spacing w:after="0"/>
        <w:jc w:val="both"/>
        <w:rPr>
          <w:rFonts w:eastAsia="Times New Roman"/>
          <w:lang w:eastAsia="cs-CZ"/>
        </w:rPr>
      </w:pPr>
      <w:r w:rsidRPr="009D74D4">
        <w:rPr>
          <w:rFonts w:eastAsia="Times New Roman"/>
          <w:lang w:eastAsia="cs-CZ"/>
        </w:rPr>
        <w:t xml:space="preserve">Z navrhovaných opatření k dočerpání disponibilní alokace </w:t>
      </w:r>
      <w:r w:rsidRPr="00F369DA">
        <w:rPr>
          <w:rFonts w:eastAsia="Times New Roman"/>
          <w:b/>
          <w:lang w:eastAsia="cs-CZ"/>
        </w:rPr>
        <w:t>EK neschválila</w:t>
      </w:r>
      <w:r w:rsidRPr="009D74D4">
        <w:rPr>
          <w:rFonts w:eastAsia="Times New Roman"/>
          <w:lang w:eastAsia="cs-CZ"/>
        </w:rPr>
        <w:t>:</w:t>
      </w:r>
    </w:p>
    <w:p w:rsidR="004146DA" w:rsidRPr="009D74D4" w:rsidRDefault="004146DA" w:rsidP="003508D9">
      <w:pPr>
        <w:spacing w:after="0"/>
        <w:jc w:val="both"/>
        <w:rPr>
          <w:rFonts w:eastAsia="Times New Roman"/>
          <w:lang w:eastAsia="cs-CZ"/>
        </w:rPr>
      </w:pPr>
    </w:p>
    <w:p w:rsidR="00DE4006" w:rsidRPr="009D74D4" w:rsidRDefault="00DE4006" w:rsidP="00676287">
      <w:pPr>
        <w:numPr>
          <w:ilvl w:val="0"/>
          <w:numId w:val="12"/>
        </w:numPr>
        <w:spacing w:after="0"/>
        <w:ind w:left="425" w:hanging="357"/>
        <w:jc w:val="both"/>
        <w:rPr>
          <w:rFonts w:eastAsia="Times New Roman"/>
          <w:lang w:eastAsia="cs-CZ"/>
        </w:rPr>
      </w:pPr>
      <w:r w:rsidRPr="009D74D4">
        <w:rPr>
          <w:rFonts w:eastAsia="Times New Roman"/>
          <w:lang w:eastAsia="cs-CZ"/>
        </w:rPr>
        <w:t>posun období způsobilosti výdajů za hranici 31. 12. 2015</w:t>
      </w:r>
    </w:p>
    <w:p w:rsidR="004146DA" w:rsidRDefault="00DE4006" w:rsidP="0050182F">
      <w:pPr>
        <w:numPr>
          <w:ilvl w:val="0"/>
          <w:numId w:val="12"/>
        </w:numPr>
        <w:ind w:left="426"/>
        <w:jc w:val="both"/>
        <w:rPr>
          <w:rFonts w:eastAsia="Times New Roman"/>
          <w:lang w:eastAsia="cs-CZ"/>
        </w:rPr>
      </w:pPr>
      <w:r w:rsidRPr="004146DA">
        <w:rPr>
          <w:rFonts w:eastAsia="Times New Roman"/>
          <w:lang w:eastAsia="cs-CZ"/>
        </w:rPr>
        <w:t>změna principu fázování projektů, tedy možnost financo</w:t>
      </w:r>
      <w:r w:rsidR="003010D3">
        <w:rPr>
          <w:rFonts w:eastAsia="Times New Roman"/>
          <w:lang w:eastAsia="cs-CZ"/>
        </w:rPr>
        <w:t>vat druhou fázi z prostředků OP </w:t>
      </w:r>
      <w:proofErr w:type="spellStart"/>
      <w:r w:rsidRPr="004146DA">
        <w:rPr>
          <w:rFonts w:eastAsia="Times New Roman"/>
          <w:lang w:eastAsia="cs-CZ"/>
        </w:rPr>
        <w:t>VaVpI</w:t>
      </w:r>
      <w:proofErr w:type="spellEnd"/>
      <w:r w:rsidRPr="004146DA">
        <w:rPr>
          <w:rFonts w:eastAsia="Times New Roman"/>
          <w:lang w:eastAsia="cs-CZ"/>
        </w:rPr>
        <w:t xml:space="preserve"> (za podmínky dodržení pravidel OP VVV)</w:t>
      </w:r>
      <w:r w:rsidR="006A0215" w:rsidRPr="004146DA">
        <w:rPr>
          <w:rFonts w:eastAsia="Times New Roman"/>
          <w:lang w:eastAsia="cs-CZ"/>
        </w:rPr>
        <w:t xml:space="preserve"> </w:t>
      </w:r>
    </w:p>
    <w:p w:rsidR="00DE4006" w:rsidRPr="004146DA" w:rsidRDefault="004146DA" w:rsidP="004146DA">
      <w:pPr>
        <w:ind w:left="66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 průběhu vyjednávání s EK došlo k modifikaci opatření - </w:t>
      </w:r>
      <w:r w:rsidR="003010D3">
        <w:rPr>
          <w:rFonts w:eastAsia="Times New Roman"/>
          <w:lang w:eastAsia="cs-CZ"/>
        </w:rPr>
        <w:t xml:space="preserve">ŘO OP </w:t>
      </w:r>
      <w:proofErr w:type="spellStart"/>
      <w:r w:rsidR="003010D3">
        <w:rPr>
          <w:rFonts w:eastAsia="Times New Roman"/>
          <w:lang w:eastAsia="cs-CZ"/>
        </w:rPr>
        <w:t>VaVpI</w:t>
      </w:r>
      <w:proofErr w:type="spellEnd"/>
      <w:r w:rsidR="003010D3">
        <w:rPr>
          <w:rFonts w:eastAsia="Times New Roman"/>
          <w:lang w:eastAsia="cs-CZ"/>
        </w:rPr>
        <w:t xml:space="preserve"> usiloval zejména o </w:t>
      </w:r>
      <w:r w:rsidR="00DE4006" w:rsidRPr="004146DA">
        <w:rPr>
          <w:rFonts w:eastAsia="Times New Roman"/>
          <w:lang w:eastAsia="cs-CZ"/>
        </w:rPr>
        <w:t xml:space="preserve">rozvolnění podmínky pro fázování velkých projektů </w:t>
      </w:r>
      <w:r w:rsidR="003010D3">
        <w:rPr>
          <w:rFonts w:eastAsia="Times New Roman"/>
          <w:lang w:eastAsia="cs-CZ"/>
        </w:rPr>
        <w:t>ve vztahu k časovému hledisku a </w:t>
      </w:r>
      <w:r w:rsidR="00DE4006" w:rsidRPr="004146DA">
        <w:rPr>
          <w:rFonts w:eastAsia="Times New Roman"/>
          <w:lang w:eastAsia="cs-CZ"/>
        </w:rPr>
        <w:t>snížení hranice pro fázování běžných projektů. V</w:t>
      </w:r>
      <w:r w:rsidR="00221F0D">
        <w:rPr>
          <w:rFonts w:eastAsia="Times New Roman"/>
          <w:lang w:eastAsia="cs-CZ"/>
        </w:rPr>
        <w:t xml:space="preserve"> návrhu </w:t>
      </w:r>
      <w:r w:rsidR="00DE4006" w:rsidRPr="004146DA">
        <w:rPr>
          <w:rFonts w:eastAsia="Times New Roman"/>
          <w:lang w:eastAsia="cs-CZ"/>
        </w:rPr>
        <w:t xml:space="preserve">revidovaných </w:t>
      </w:r>
      <w:r w:rsidR="00DE4006" w:rsidRPr="004146DA">
        <w:rPr>
          <w:rFonts w:eastAsia="Times New Roman"/>
          <w:i/>
          <w:lang w:eastAsia="cs-CZ"/>
        </w:rPr>
        <w:t>Pokyn</w:t>
      </w:r>
      <w:r w:rsidR="00221F0D">
        <w:rPr>
          <w:rFonts w:eastAsia="Times New Roman"/>
          <w:i/>
          <w:lang w:eastAsia="cs-CZ"/>
        </w:rPr>
        <w:t>ů</w:t>
      </w:r>
      <w:r w:rsidR="00DF0947">
        <w:rPr>
          <w:rFonts w:eastAsia="Times New Roman"/>
          <w:i/>
          <w:lang w:eastAsia="cs-CZ"/>
        </w:rPr>
        <w:t xml:space="preserve"> pro </w:t>
      </w:r>
      <w:r w:rsidR="00DE4006" w:rsidRPr="004146DA">
        <w:rPr>
          <w:rFonts w:eastAsia="Times New Roman"/>
          <w:i/>
          <w:lang w:eastAsia="cs-CZ"/>
        </w:rPr>
        <w:t xml:space="preserve">ukončování programového období </w:t>
      </w:r>
      <w:proofErr w:type="gramStart"/>
      <w:r w:rsidR="00DE4006" w:rsidRPr="004146DA">
        <w:rPr>
          <w:rFonts w:eastAsia="Times New Roman"/>
          <w:i/>
          <w:lang w:eastAsia="cs-CZ"/>
        </w:rPr>
        <w:t>2007</w:t>
      </w:r>
      <w:proofErr w:type="gramEnd"/>
      <w:r w:rsidR="006A0215" w:rsidRPr="004146DA">
        <w:rPr>
          <w:rFonts w:eastAsia="Times New Roman"/>
          <w:i/>
          <w:lang w:eastAsia="cs-CZ"/>
        </w:rPr>
        <w:t xml:space="preserve"> </w:t>
      </w:r>
      <w:r w:rsidR="00DE4006" w:rsidRPr="004146DA">
        <w:rPr>
          <w:rFonts w:eastAsia="Times New Roman"/>
          <w:i/>
          <w:lang w:eastAsia="cs-CZ"/>
        </w:rPr>
        <w:t>-</w:t>
      </w:r>
      <w:r w:rsidR="006A0215" w:rsidRPr="004146DA">
        <w:rPr>
          <w:rFonts w:eastAsia="Times New Roman"/>
          <w:i/>
          <w:lang w:eastAsia="cs-CZ"/>
        </w:rPr>
        <w:t xml:space="preserve"> </w:t>
      </w:r>
      <w:proofErr w:type="gramStart"/>
      <w:r w:rsidR="00DE4006" w:rsidRPr="004146DA">
        <w:rPr>
          <w:rFonts w:eastAsia="Times New Roman"/>
          <w:i/>
          <w:lang w:eastAsia="cs-CZ"/>
        </w:rPr>
        <w:t>2013</w:t>
      </w:r>
      <w:proofErr w:type="gramEnd"/>
      <w:r w:rsidR="00DE4006" w:rsidRPr="004146DA">
        <w:rPr>
          <w:rFonts w:eastAsia="Times New Roman"/>
          <w:lang w:eastAsia="cs-CZ"/>
        </w:rPr>
        <w:t xml:space="preserve"> je navrženo rozvol</w:t>
      </w:r>
      <w:r w:rsidR="00DF0947">
        <w:rPr>
          <w:rFonts w:eastAsia="Times New Roman"/>
          <w:lang w:eastAsia="cs-CZ"/>
        </w:rPr>
        <w:t>nění podmínky pro </w:t>
      </w:r>
      <w:r w:rsidR="003010D3">
        <w:rPr>
          <w:rFonts w:eastAsia="Times New Roman"/>
          <w:lang w:eastAsia="cs-CZ"/>
        </w:rPr>
        <w:t>fázování, tj. </w:t>
      </w:r>
      <w:r w:rsidR="00DE4006" w:rsidRPr="004146DA">
        <w:rPr>
          <w:rFonts w:eastAsia="Times New Roman"/>
          <w:lang w:eastAsia="cs-CZ"/>
        </w:rPr>
        <w:t xml:space="preserve">vypuštění formulace </w:t>
      </w:r>
      <w:proofErr w:type="spellStart"/>
      <w:r w:rsidR="00DE4006" w:rsidRPr="004146DA">
        <w:rPr>
          <w:rFonts w:eastAsia="Times New Roman"/>
          <w:lang w:eastAsia="cs-CZ"/>
        </w:rPr>
        <w:t>ready</w:t>
      </w:r>
      <w:proofErr w:type="spellEnd"/>
      <w:r w:rsidR="00DE4006" w:rsidRPr="004146DA">
        <w:rPr>
          <w:rFonts w:eastAsia="Times New Roman"/>
          <w:lang w:eastAsia="cs-CZ"/>
        </w:rPr>
        <w:t xml:space="preserve"> to </w:t>
      </w:r>
      <w:proofErr w:type="spellStart"/>
      <w:r w:rsidR="00DE4006" w:rsidRPr="004146DA">
        <w:rPr>
          <w:rFonts w:eastAsia="Times New Roman"/>
          <w:lang w:eastAsia="cs-CZ"/>
        </w:rPr>
        <w:t>be</w:t>
      </w:r>
      <w:proofErr w:type="spellEnd"/>
      <w:r w:rsidR="00DE4006" w:rsidRPr="004146DA">
        <w:rPr>
          <w:rFonts w:eastAsia="Times New Roman"/>
          <w:lang w:eastAsia="cs-CZ"/>
        </w:rPr>
        <w:t xml:space="preserve"> </w:t>
      </w:r>
      <w:proofErr w:type="spellStart"/>
      <w:r w:rsidR="00DE4006" w:rsidRPr="004146DA">
        <w:rPr>
          <w:rFonts w:eastAsia="Times New Roman"/>
          <w:lang w:eastAsia="cs-CZ"/>
        </w:rPr>
        <w:t>used</w:t>
      </w:r>
      <w:proofErr w:type="spellEnd"/>
      <w:r w:rsidR="00DE4006" w:rsidRPr="004146DA">
        <w:rPr>
          <w:rFonts w:eastAsia="Times New Roman"/>
          <w:lang w:eastAsia="cs-CZ"/>
        </w:rPr>
        <w:t xml:space="preserve"> – tzn., že 1. fáze nemusí být funkční („</w:t>
      </w:r>
      <w:proofErr w:type="spellStart"/>
      <w:r w:rsidR="00DE4006" w:rsidRPr="004146DA">
        <w:rPr>
          <w:rFonts w:eastAsia="Times New Roman"/>
          <w:lang w:eastAsia="cs-CZ"/>
        </w:rPr>
        <w:t>ready</w:t>
      </w:r>
      <w:proofErr w:type="spellEnd"/>
      <w:r w:rsidR="00DE4006" w:rsidRPr="004146DA">
        <w:rPr>
          <w:rFonts w:eastAsia="Times New Roman"/>
          <w:lang w:eastAsia="cs-CZ"/>
        </w:rPr>
        <w:t xml:space="preserve"> to </w:t>
      </w:r>
      <w:proofErr w:type="spellStart"/>
      <w:r w:rsidR="00DE4006" w:rsidRPr="004146DA">
        <w:rPr>
          <w:rFonts w:eastAsia="Times New Roman"/>
          <w:lang w:eastAsia="cs-CZ"/>
        </w:rPr>
        <w:t>be</w:t>
      </w:r>
      <w:proofErr w:type="spellEnd"/>
      <w:r w:rsidR="00DE4006" w:rsidRPr="004146DA">
        <w:rPr>
          <w:rFonts w:eastAsia="Times New Roman"/>
          <w:lang w:eastAsia="cs-CZ"/>
        </w:rPr>
        <w:t xml:space="preserve"> </w:t>
      </w:r>
      <w:proofErr w:type="spellStart"/>
      <w:r w:rsidR="00DE4006" w:rsidRPr="004146DA">
        <w:rPr>
          <w:rFonts w:eastAsia="Times New Roman"/>
          <w:lang w:eastAsia="cs-CZ"/>
        </w:rPr>
        <w:t>used</w:t>
      </w:r>
      <w:proofErr w:type="spellEnd"/>
      <w:r w:rsidR="00DE4006" w:rsidRPr="004146DA">
        <w:rPr>
          <w:rFonts w:eastAsia="Times New Roman"/>
          <w:lang w:eastAsia="cs-CZ"/>
        </w:rPr>
        <w:t>“), přičemž nadále bude platit, že obě fáze musí t</w:t>
      </w:r>
      <w:r w:rsidR="003010D3">
        <w:rPr>
          <w:rFonts w:eastAsia="Times New Roman"/>
          <w:lang w:eastAsia="cs-CZ"/>
        </w:rPr>
        <w:t>vořit samostatné celky (věcně i </w:t>
      </w:r>
      <w:r w:rsidR="00DE4006" w:rsidRPr="004146DA">
        <w:rPr>
          <w:rFonts w:eastAsia="Times New Roman"/>
          <w:lang w:eastAsia="cs-CZ"/>
        </w:rPr>
        <w:t>finančně) a musí být dokončeny v rámci způsobilosti daného programového období.</w:t>
      </w:r>
    </w:p>
    <w:p w:rsidR="00DE4006" w:rsidRPr="009D74D4" w:rsidRDefault="006A0215" w:rsidP="006A0215">
      <w:pPr>
        <w:jc w:val="both"/>
        <w:rPr>
          <w:lang w:eastAsia="cs-CZ"/>
        </w:rPr>
      </w:pPr>
      <w:r>
        <w:rPr>
          <w:lang w:eastAsia="cs-CZ"/>
        </w:rPr>
        <w:t>O</w:t>
      </w:r>
      <w:r w:rsidRPr="006A0215">
        <w:rPr>
          <w:lang w:eastAsia="cs-CZ"/>
        </w:rPr>
        <w:t xml:space="preserve">patření </w:t>
      </w:r>
      <w:r w:rsidR="004146DA">
        <w:rPr>
          <w:lang w:eastAsia="cs-CZ"/>
        </w:rPr>
        <w:t>týkající se</w:t>
      </w:r>
      <w:r w:rsidR="00D91E9F">
        <w:rPr>
          <w:lang w:eastAsia="cs-CZ"/>
        </w:rPr>
        <w:t xml:space="preserve"> nefunkčních projektů již</w:t>
      </w:r>
      <w:r w:rsidRPr="006A0215">
        <w:rPr>
          <w:lang w:eastAsia="cs-CZ"/>
        </w:rPr>
        <w:t xml:space="preserve"> ŘO nebude prosazovat. Vzhledem k doplnění Pokynů pro ukončování programového období 2007</w:t>
      </w:r>
      <w:r>
        <w:rPr>
          <w:lang w:eastAsia="cs-CZ"/>
        </w:rPr>
        <w:t xml:space="preserve"> </w:t>
      </w:r>
      <w:r w:rsidRPr="006A0215">
        <w:rPr>
          <w:lang w:eastAsia="cs-CZ"/>
        </w:rPr>
        <w:t>-</w:t>
      </w:r>
      <w:r>
        <w:rPr>
          <w:lang w:eastAsia="cs-CZ"/>
        </w:rPr>
        <w:t xml:space="preserve"> </w:t>
      </w:r>
      <w:r w:rsidRPr="006A0215">
        <w:rPr>
          <w:lang w:eastAsia="cs-CZ"/>
        </w:rPr>
        <w:t>2013 ve vztahu k nefu</w:t>
      </w:r>
      <w:r w:rsidR="003010D3">
        <w:rPr>
          <w:lang w:eastAsia="cs-CZ"/>
        </w:rPr>
        <w:t>nkčním a </w:t>
      </w:r>
      <w:r w:rsidRPr="006A0215">
        <w:rPr>
          <w:lang w:eastAsia="cs-CZ"/>
        </w:rPr>
        <w:t>nedokončeným projektům j</w:t>
      </w:r>
      <w:r>
        <w:rPr>
          <w:lang w:eastAsia="cs-CZ"/>
        </w:rPr>
        <w:t xml:space="preserve">e pro ŘO toto opatření </w:t>
      </w:r>
      <w:r w:rsidRPr="006A0215">
        <w:rPr>
          <w:lang w:eastAsia="cs-CZ"/>
        </w:rPr>
        <w:t xml:space="preserve">nerelevantní. ŘO OP </w:t>
      </w:r>
      <w:proofErr w:type="spellStart"/>
      <w:r w:rsidRPr="006A0215">
        <w:rPr>
          <w:lang w:eastAsia="cs-CZ"/>
        </w:rPr>
        <w:t>VaVpI</w:t>
      </w:r>
      <w:proofErr w:type="spellEnd"/>
      <w:r w:rsidRPr="006A0215">
        <w:rPr>
          <w:lang w:eastAsia="cs-CZ"/>
        </w:rPr>
        <w:t xml:space="preserve"> nepředpokládá existenci nefunkčních projektů </w:t>
      </w:r>
      <w:r w:rsidR="00D91E9F">
        <w:rPr>
          <w:lang w:eastAsia="cs-CZ"/>
        </w:rPr>
        <w:t xml:space="preserve">v </w:t>
      </w:r>
      <w:proofErr w:type="gramStart"/>
      <w:r w:rsidR="00D91E9F">
        <w:rPr>
          <w:lang w:eastAsia="cs-CZ"/>
        </w:rPr>
        <w:t>OP</w:t>
      </w:r>
      <w:proofErr w:type="gramEnd"/>
      <w:r w:rsidR="00D91E9F">
        <w:rPr>
          <w:lang w:eastAsia="cs-CZ"/>
        </w:rPr>
        <w:t xml:space="preserve"> </w:t>
      </w:r>
      <w:proofErr w:type="spellStart"/>
      <w:r w:rsidR="00D91E9F">
        <w:rPr>
          <w:lang w:eastAsia="cs-CZ"/>
        </w:rPr>
        <w:t>VaVpI</w:t>
      </w:r>
      <w:proofErr w:type="spellEnd"/>
      <w:r w:rsidR="00D91E9F">
        <w:rPr>
          <w:lang w:eastAsia="cs-CZ"/>
        </w:rPr>
        <w:t xml:space="preserve"> a v</w:t>
      </w:r>
      <w:r w:rsidR="00A91AC5" w:rsidRPr="00A91AC5">
        <w:rPr>
          <w:lang w:eastAsia="cs-CZ"/>
        </w:rPr>
        <w:t xml:space="preserve"> současné </w:t>
      </w:r>
      <w:r w:rsidR="00D53D28">
        <w:rPr>
          <w:lang w:eastAsia="cs-CZ"/>
        </w:rPr>
        <w:t>chvíli nemá od příjemců potvrzenou ani informaci o existenci</w:t>
      </w:r>
      <w:r w:rsidR="00A91AC5" w:rsidRPr="00A91AC5">
        <w:rPr>
          <w:lang w:eastAsia="cs-CZ"/>
        </w:rPr>
        <w:t xml:space="preserve"> </w:t>
      </w:r>
      <w:r w:rsidR="00A91AC5">
        <w:rPr>
          <w:lang w:eastAsia="cs-CZ"/>
        </w:rPr>
        <w:t>nedokončených projektů</w:t>
      </w:r>
      <w:r w:rsidR="00A91AC5" w:rsidRPr="00A91AC5">
        <w:rPr>
          <w:lang w:eastAsia="cs-CZ"/>
        </w:rPr>
        <w:t>.</w:t>
      </w:r>
      <w:r w:rsidR="00D53D28">
        <w:rPr>
          <w:lang w:eastAsia="cs-CZ"/>
        </w:rPr>
        <w:t xml:space="preserve"> V případě projektů, jejichž realizace končí k 31. 12. 2015, však nelze toto riziko úplně vyloučit.</w:t>
      </w:r>
    </w:p>
    <w:p w:rsidR="00DE4006" w:rsidRDefault="00DE4006" w:rsidP="000F6B2A">
      <w:pPr>
        <w:spacing w:after="0"/>
        <w:jc w:val="both"/>
        <w:rPr>
          <w:rFonts w:eastAsia="Times New Roman"/>
          <w:lang w:eastAsia="cs-CZ"/>
        </w:rPr>
      </w:pPr>
      <w:r w:rsidRPr="009D74D4">
        <w:rPr>
          <w:rFonts w:eastAsia="Times New Roman"/>
          <w:lang w:eastAsia="cs-CZ"/>
        </w:rPr>
        <w:t>Navrhovaná opatření k dočerpání zbývající alokace programu na národní úrovni (nepodléhají souhlasu EK):</w:t>
      </w:r>
    </w:p>
    <w:p w:rsidR="00603D80" w:rsidRPr="001126B8" w:rsidRDefault="00603D80" w:rsidP="003C55EE">
      <w:pPr>
        <w:spacing w:after="0"/>
        <w:jc w:val="both"/>
      </w:pPr>
    </w:p>
    <w:p w:rsidR="00603D80" w:rsidRDefault="00F23CA1" w:rsidP="005E1B42">
      <w:pPr>
        <w:numPr>
          <w:ilvl w:val="0"/>
          <w:numId w:val="13"/>
        </w:numPr>
        <w:spacing w:after="0"/>
        <w:ind w:left="426"/>
        <w:jc w:val="both"/>
      </w:pPr>
      <w:r>
        <w:rPr>
          <w:b/>
          <w:i/>
        </w:rPr>
        <w:t>V</w:t>
      </w:r>
      <w:r w:rsidR="00DE4006" w:rsidRPr="003C55EE">
        <w:rPr>
          <w:b/>
          <w:i/>
        </w:rPr>
        <w:t>yužití úspor u příjemců</w:t>
      </w:r>
      <w:r w:rsidR="003C55EE" w:rsidRPr="003C55EE">
        <w:rPr>
          <w:b/>
          <w:i/>
        </w:rPr>
        <w:t xml:space="preserve"> </w:t>
      </w:r>
      <w:r w:rsidR="000F6B2A">
        <w:t>– ŘO průběžně</w:t>
      </w:r>
      <w:r w:rsidR="003C55EE">
        <w:t xml:space="preserve"> vyhodnocuje </w:t>
      </w:r>
      <w:r w:rsidR="003010D3">
        <w:t>čerpání jednotlivých projektů a </w:t>
      </w:r>
      <w:r w:rsidR="003C55EE">
        <w:t>v případě výskytu úspor hledá možnosti k jejich využití pro výdaje, které původně nebyly zahrnuty v jednotlivých projektových žádostech, ale</w:t>
      </w:r>
      <w:r w:rsidR="005837B5" w:rsidRPr="005837B5">
        <w:t xml:space="preserve"> splňují pravidla způsobilosti a mají vazbu na projekt.</w:t>
      </w:r>
      <w:r w:rsidR="00F12E17">
        <w:t xml:space="preserve"> </w:t>
      </w:r>
    </w:p>
    <w:p w:rsidR="003C55EE" w:rsidRDefault="003C55EE" w:rsidP="003C55EE">
      <w:pPr>
        <w:spacing w:after="0"/>
        <w:ind w:left="426"/>
        <w:jc w:val="both"/>
      </w:pPr>
    </w:p>
    <w:p w:rsidR="00A06EEE" w:rsidRDefault="00F23CA1" w:rsidP="00676287">
      <w:pPr>
        <w:numPr>
          <w:ilvl w:val="0"/>
          <w:numId w:val="13"/>
        </w:numPr>
        <w:spacing w:after="0"/>
        <w:ind w:left="426"/>
        <w:jc w:val="both"/>
      </w:pPr>
      <w:r>
        <w:rPr>
          <w:b/>
          <w:i/>
        </w:rPr>
        <w:t>K</w:t>
      </w:r>
      <w:r w:rsidR="00A06EEE" w:rsidRPr="00A06EEE">
        <w:rPr>
          <w:b/>
          <w:i/>
        </w:rPr>
        <w:t>rácení lhůt daných</w:t>
      </w:r>
      <w:r w:rsidR="00A06EEE">
        <w:rPr>
          <w:b/>
          <w:i/>
        </w:rPr>
        <w:t xml:space="preserve"> Operačním manuálem a zefektivnění</w:t>
      </w:r>
      <w:r w:rsidR="00A06EEE" w:rsidRPr="00A06EEE">
        <w:rPr>
          <w:b/>
          <w:i/>
        </w:rPr>
        <w:t xml:space="preserve"> proces</w:t>
      </w:r>
      <w:r w:rsidR="00A06EEE">
        <w:rPr>
          <w:b/>
          <w:i/>
        </w:rPr>
        <w:t>u</w:t>
      </w:r>
      <w:r w:rsidR="00A06EEE" w:rsidRPr="00A06EEE">
        <w:rPr>
          <w:b/>
          <w:i/>
        </w:rPr>
        <w:t xml:space="preserve"> administrace žádostí o </w:t>
      </w:r>
      <w:proofErr w:type="gramStart"/>
      <w:r w:rsidR="00A06EEE" w:rsidRPr="00A06EEE">
        <w:rPr>
          <w:b/>
          <w:i/>
        </w:rPr>
        <w:t>platbu</w:t>
      </w:r>
      <w:proofErr w:type="gramEnd"/>
      <w:r w:rsidR="00A06EEE">
        <w:t xml:space="preserve"> - </w:t>
      </w:r>
      <w:proofErr w:type="gramStart"/>
      <w:r w:rsidR="00A06EEE" w:rsidRPr="00A06EEE">
        <w:t>ŘO</w:t>
      </w:r>
      <w:proofErr w:type="gramEnd"/>
      <w:r w:rsidR="00A06EEE" w:rsidRPr="00A06EEE">
        <w:t xml:space="preserve"> sjednotil kontrolu formální správnosti a oprávněnosti Žádostí s kontrolou věcné a finanční správnosti, čímž urychlil proces administrace. Zároveň byl zpracován harmonogram schvalování Žádostí o platbu po jednotlivých měsících, jehož dodržování je důsledně sledováno </w:t>
      </w:r>
      <w:r w:rsidR="003C55EE">
        <w:t>až na úroveň jednotlivých projektů</w:t>
      </w:r>
      <w:r w:rsidR="00A06EEE" w:rsidRPr="00A06EEE">
        <w:t xml:space="preserve">. </w:t>
      </w:r>
      <w:r w:rsidR="00A06EEE">
        <w:t>V rámci PO 4</w:t>
      </w:r>
      <w:r w:rsidR="003C55EE">
        <w:t xml:space="preserve"> – výzvy 3.4</w:t>
      </w:r>
      <w:r w:rsidR="00A06EEE">
        <w:t xml:space="preserve"> byla na straně ŘO zkrácena lhůta pro kontrolu a administraci žádosti o platbu o 5 dní. </w:t>
      </w:r>
    </w:p>
    <w:p w:rsidR="00A578AE" w:rsidRDefault="00A578AE" w:rsidP="00A578AE">
      <w:pPr>
        <w:spacing w:after="0"/>
        <w:ind w:left="426"/>
        <w:jc w:val="both"/>
      </w:pPr>
    </w:p>
    <w:p w:rsidR="00A50E2E" w:rsidRDefault="00F23CA1" w:rsidP="00676287">
      <w:pPr>
        <w:numPr>
          <w:ilvl w:val="0"/>
          <w:numId w:val="13"/>
        </w:numPr>
        <w:spacing w:after="0"/>
        <w:ind w:left="426"/>
        <w:jc w:val="both"/>
      </w:pPr>
      <w:r>
        <w:rPr>
          <w:b/>
          <w:i/>
        </w:rPr>
        <w:t>N</w:t>
      </w:r>
      <w:r w:rsidR="00A50E2E" w:rsidRPr="00A50E2E">
        <w:rPr>
          <w:b/>
          <w:i/>
        </w:rPr>
        <w:t>abídnutí pomoci vybraným příjemcům při kompletaci</w:t>
      </w:r>
      <w:r w:rsidR="003010D3">
        <w:rPr>
          <w:b/>
          <w:i/>
        </w:rPr>
        <w:t xml:space="preserve"> podkladů pro žádost o platbu s </w:t>
      </w:r>
      <w:r w:rsidR="00A50E2E" w:rsidRPr="00A50E2E">
        <w:rPr>
          <w:b/>
          <w:i/>
        </w:rPr>
        <w:t>cílem snížit chybovost a urychlit proces kontroly a administrace žádostí o platbu</w:t>
      </w:r>
      <w:r w:rsidR="002000D2">
        <w:t xml:space="preserve"> – v př</w:t>
      </w:r>
      <w:r w:rsidR="003C55EE">
        <w:t>ípadě příjemců výzvy č. 3.4 byla zavedena pravidelná</w:t>
      </w:r>
      <w:r w:rsidR="002000D2">
        <w:t xml:space="preserve"> jednání pracovního týmu, </w:t>
      </w:r>
      <w:r w:rsidR="003010D3">
        <w:t>na </w:t>
      </w:r>
      <w:r w:rsidR="003C55EE">
        <w:t>kterých</w:t>
      </w:r>
      <w:r w:rsidR="002000D2">
        <w:t xml:space="preserve"> jsou řešeny aktuální problémy a pokrok v ha</w:t>
      </w:r>
      <w:r w:rsidR="003010D3">
        <w:t>rmonogramu u jednotlivých VŘ, s </w:t>
      </w:r>
      <w:r w:rsidR="002000D2">
        <w:t xml:space="preserve">příjemcem jsou konzultovány veškeré připomínky ŘO a důsledně </w:t>
      </w:r>
      <w:r w:rsidR="003C55EE">
        <w:t xml:space="preserve">je </w:t>
      </w:r>
      <w:r w:rsidR="002000D2">
        <w:t>sledováno čerpání ZV projektu. Ze strany ŘO je tak poskytnuta maximální podpora při impleme</w:t>
      </w:r>
      <w:r w:rsidR="003C55EE">
        <w:t>n</w:t>
      </w:r>
      <w:r w:rsidR="002000D2">
        <w:t xml:space="preserve">taci projektů. U ostatních příjemců OP </w:t>
      </w:r>
      <w:proofErr w:type="spellStart"/>
      <w:r w:rsidR="002000D2">
        <w:t>VaVpI</w:t>
      </w:r>
      <w:proofErr w:type="spellEnd"/>
      <w:r w:rsidR="002000D2">
        <w:t xml:space="preserve"> jsou</w:t>
      </w:r>
      <w:r w:rsidR="003C55EE">
        <w:t xml:space="preserve"> </w:t>
      </w:r>
      <w:r w:rsidR="002000D2">
        <w:t xml:space="preserve">tyto schůzky </w:t>
      </w:r>
      <w:r w:rsidR="003C55EE">
        <w:t xml:space="preserve">v případě potřeby </w:t>
      </w:r>
      <w:r w:rsidR="002000D2">
        <w:t>také využívány.</w:t>
      </w:r>
      <w:r w:rsidR="001126B8">
        <w:t xml:space="preserve"> </w:t>
      </w:r>
    </w:p>
    <w:p w:rsidR="00A578AE" w:rsidRDefault="00A578AE" w:rsidP="009A5EC9">
      <w:pPr>
        <w:spacing w:after="0"/>
        <w:jc w:val="both"/>
      </w:pPr>
    </w:p>
    <w:p w:rsidR="001126B8" w:rsidRDefault="001126B8" w:rsidP="00676287">
      <w:pPr>
        <w:numPr>
          <w:ilvl w:val="0"/>
          <w:numId w:val="13"/>
        </w:numPr>
        <w:spacing w:after="0"/>
        <w:ind w:left="426"/>
        <w:jc w:val="both"/>
      </w:pPr>
      <w:r>
        <w:rPr>
          <w:b/>
          <w:i/>
        </w:rPr>
        <w:t>Real</w:t>
      </w:r>
      <w:r w:rsidR="000845BE">
        <w:rPr>
          <w:b/>
          <w:i/>
        </w:rPr>
        <w:t>izace seminářů</w:t>
      </w:r>
      <w:r>
        <w:rPr>
          <w:b/>
          <w:i/>
        </w:rPr>
        <w:t xml:space="preserve"> pro příjemce </w:t>
      </w:r>
      <w:r w:rsidRPr="001126B8">
        <w:t>-</w:t>
      </w:r>
      <w:r w:rsidR="000845BE">
        <w:t xml:space="preserve"> p</w:t>
      </w:r>
      <w:r>
        <w:t xml:space="preserve">ro příjemce OP </w:t>
      </w:r>
      <w:proofErr w:type="spellStart"/>
      <w:r>
        <w:t>V</w:t>
      </w:r>
      <w:r w:rsidR="003010D3">
        <w:t>aVpI</w:t>
      </w:r>
      <w:proofErr w:type="spellEnd"/>
      <w:r w:rsidR="003010D3">
        <w:t xml:space="preserve"> byly uspořádány semináře k </w:t>
      </w:r>
      <w:r>
        <w:t>tématu veřejných zakázek (23. 3. a 27. 3. 2015) a semináře k ukončování jednotlivých výzev (</w:t>
      </w:r>
      <w:r w:rsidR="000845BE">
        <w:t>15. 12. 2014</w:t>
      </w:r>
      <w:r>
        <w:t xml:space="preserve">, </w:t>
      </w:r>
      <w:r w:rsidR="000845BE">
        <w:t>20. 1</w:t>
      </w:r>
      <w:r>
        <w:t xml:space="preserve">. a </w:t>
      </w:r>
      <w:r w:rsidR="000845BE">
        <w:t>30. 1</w:t>
      </w:r>
      <w:r>
        <w:t>. 2015), kde b</w:t>
      </w:r>
      <w:r w:rsidR="003010D3">
        <w:t>yly podány podrobné informace o </w:t>
      </w:r>
      <w:r>
        <w:t>administraci ukončování projektů (např. závěrečná žádost o platbu). Pro výzvu 3.4 byl uspořádán seminář pro příjemce k administraci projek</w:t>
      </w:r>
      <w:r w:rsidR="00DF0947">
        <w:t>tů (15. 1. 2015) a proběhly dva </w:t>
      </w:r>
      <w:r>
        <w:t>semináře k tématu veřejné podpory (6. 1. 2015 v Praze a 28. 1. 2015 v Brně).</w:t>
      </w:r>
    </w:p>
    <w:p w:rsidR="00A578AE" w:rsidRPr="001126B8" w:rsidRDefault="00A578AE" w:rsidP="00A578AE">
      <w:pPr>
        <w:spacing w:after="0"/>
        <w:ind w:left="426"/>
        <w:jc w:val="both"/>
      </w:pPr>
    </w:p>
    <w:p w:rsidR="00DE4006" w:rsidRPr="00DB35E9" w:rsidRDefault="00F23CA1" w:rsidP="00DB35E9">
      <w:pPr>
        <w:numPr>
          <w:ilvl w:val="0"/>
          <w:numId w:val="13"/>
        </w:numPr>
        <w:spacing w:after="0"/>
        <w:ind w:left="426"/>
        <w:jc w:val="both"/>
        <w:rPr>
          <w:i/>
          <w:u w:val="single"/>
        </w:rPr>
      </w:pPr>
      <w:r>
        <w:rPr>
          <w:b/>
          <w:i/>
        </w:rPr>
        <w:t>K</w:t>
      </w:r>
      <w:r w:rsidR="00DE4006" w:rsidRPr="009D74D4">
        <w:rPr>
          <w:b/>
          <w:i/>
        </w:rPr>
        <w:t xml:space="preserve">ompenzace vlivu </w:t>
      </w:r>
      <w:r w:rsidR="000845BE">
        <w:rPr>
          <w:b/>
          <w:i/>
        </w:rPr>
        <w:t xml:space="preserve">kurzové </w:t>
      </w:r>
      <w:r w:rsidR="00DE4006" w:rsidRPr="009D74D4">
        <w:rPr>
          <w:b/>
          <w:i/>
        </w:rPr>
        <w:t xml:space="preserve">intervence ČNB </w:t>
      </w:r>
      <w:r w:rsidR="00DE4006" w:rsidRPr="00A26EE2">
        <w:rPr>
          <w:b/>
        </w:rPr>
        <w:t xml:space="preserve">– pokrytí kurzového </w:t>
      </w:r>
      <w:proofErr w:type="gramStart"/>
      <w:r w:rsidR="00DE4006" w:rsidRPr="00031E5A">
        <w:rPr>
          <w:b/>
        </w:rPr>
        <w:t>rozdílu</w:t>
      </w:r>
      <w:proofErr w:type="gramEnd"/>
      <w:r w:rsidR="00031E5A" w:rsidRPr="00031E5A">
        <w:rPr>
          <w:i/>
        </w:rPr>
        <w:t xml:space="preserve"> - </w:t>
      </w:r>
      <w:proofErr w:type="gramStart"/>
      <w:r w:rsidR="000845BE">
        <w:t>d</w:t>
      </w:r>
      <w:r w:rsidR="00DE4006" w:rsidRPr="00031E5A">
        <w:t>otace</w:t>
      </w:r>
      <w:proofErr w:type="gramEnd"/>
      <w:r w:rsidR="00F4533B">
        <w:t xml:space="preserve"> je </w:t>
      </w:r>
      <w:r w:rsidR="00DE4006" w:rsidRPr="009D74D4">
        <w:t xml:space="preserve">příjemcům vyplácena v českých korunách, </w:t>
      </w:r>
      <w:r w:rsidR="000845BE">
        <w:t xml:space="preserve">někteří </w:t>
      </w:r>
      <w:r w:rsidR="00DE4006" w:rsidRPr="009D74D4">
        <w:t xml:space="preserve">příjemci </w:t>
      </w:r>
      <w:r w:rsidR="000845BE">
        <w:t xml:space="preserve">ale </w:t>
      </w:r>
      <w:r w:rsidR="00DE4006" w:rsidRPr="009D74D4">
        <w:t>nakupují např. přístrojové vybavení v </w:t>
      </w:r>
      <w:r w:rsidR="000845BE">
        <w:t>eurech</w:t>
      </w:r>
      <w:r w:rsidR="00DE4006" w:rsidRPr="009D74D4">
        <w:t xml:space="preserve">. Skoková změna kurzu vyvolaná ČNB </w:t>
      </w:r>
      <w:r w:rsidR="000845BE">
        <w:t xml:space="preserve">tak u těchto projektů </w:t>
      </w:r>
      <w:r w:rsidR="00DE4006" w:rsidRPr="009D74D4">
        <w:t>způsobila zdražení n</w:t>
      </w:r>
      <w:r w:rsidR="000845BE">
        <w:t xml:space="preserve">akupovaného vybavení a příjemcům </w:t>
      </w:r>
      <w:r w:rsidR="00DE4006" w:rsidRPr="009D74D4">
        <w:t>v některých případech přidělené dotační prostředky</w:t>
      </w:r>
      <w:r w:rsidR="000845BE" w:rsidRPr="000845BE">
        <w:t xml:space="preserve"> </w:t>
      </w:r>
      <w:r w:rsidR="000845BE" w:rsidRPr="009D74D4">
        <w:t>nestačí</w:t>
      </w:r>
      <w:r w:rsidR="00DB35E9">
        <w:t>. Z tohoto důvodu byla</w:t>
      </w:r>
      <w:r w:rsidR="00DE4006" w:rsidRPr="009D74D4">
        <w:t xml:space="preserve"> </w:t>
      </w:r>
      <w:r w:rsidR="000845BE" w:rsidRPr="009D74D4">
        <w:t xml:space="preserve">s MMR-NOK a MF-PCO </w:t>
      </w:r>
      <w:r w:rsidR="00DB35E9">
        <w:t>konzultována možnost</w:t>
      </w:r>
      <w:r w:rsidR="00DE4006" w:rsidRPr="009D74D4">
        <w:t xml:space="preserve"> </w:t>
      </w:r>
      <w:r w:rsidR="000845BE">
        <w:t xml:space="preserve">navýšení dotace </w:t>
      </w:r>
      <w:r w:rsidR="00BC229D">
        <w:t xml:space="preserve">pro některé </w:t>
      </w:r>
      <w:r w:rsidR="00DE4006" w:rsidRPr="009D74D4">
        <w:t>pro</w:t>
      </w:r>
      <w:r w:rsidR="00BC229D">
        <w:t xml:space="preserve">jekty (na základě </w:t>
      </w:r>
      <w:r w:rsidR="00DB35E9">
        <w:t>žádosti</w:t>
      </w:r>
      <w:r w:rsidR="00BC229D">
        <w:t xml:space="preserve"> příjemce</w:t>
      </w:r>
      <w:r w:rsidR="00DB35E9" w:rsidRPr="00BC229D">
        <w:t>).</w:t>
      </w:r>
      <w:r w:rsidR="00BC229D" w:rsidRPr="00BC229D">
        <w:rPr>
          <w:i/>
        </w:rPr>
        <w:t xml:space="preserve"> </w:t>
      </w:r>
      <w:r w:rsidR="00DE4006" w:rsidRPr="009D74D4">
        <w:t>Dle jejich společného vyjádření doporučují postup, aby k samotnému navýšení původní částky dotace uvedené ve vydaném Rozhodnutí (</w:t>
      </w:r>
      <w:proofErr w:type="spellStart"/>
      <w:r w:rsidR="00DE4006" w:rsidRPr="009D74D4">
        <w:t>RoPD</w:t>
      </w:r>
      <w:proofErr w:type="spellEnd"/>
      <w:r w:rsidR="00DE4006" w:rsidRPr="009D74D4">
        <w:t xml:space="preserve">) došlo v době ukončování projektu, resp. před dočerpáním částky uvedené v původním </w:t>
      </w:r>
      <w:proofErr w:type="spellStart"/>
      <w:r w:rsidR="00DE4006" w:rsidRPr="009D74D4">
        <w:t>RoPD</w:t>
      </w:r>
      <w:proofErr w:type="spellEnd"/>
      <w:r w:rsidR="00DE4006" w:rsidRPr="009D74D4">
        <w:t>, neboť část navýšených výdajů lze pokrýt z př</w:t>
      </w:r>
      <w:r w:rsidR="00DB35E9">
        <w:t>ípadných úspor v rámci projektu.</w:t>
      </w:r>
    </w:p>
    <w:p w:rsidR="00A578AE" w:rsidRPr="00031E5A" w:rsidRDefault="00A578AE" w:rsidP="00A578AE">
      <w:pPr>
        <w:spacing w:after="0"/>
        <w:jc w:val="both"/>
        <w:rPr>
          <w:i/>
          <w:u w:val="single"/>
        </w:rPr>
      </w:pPr>
    </w:p>
    <w:p w:rsidR="00686D16" w:rsidRPr="00A578AE" w:rsidRDefault="00F23CA1" w:rsidP="00676287">
      <w:pPr>
        <w:numPr>
          <w:ilvl w:val="0"/>
          <w:numId w:val="13"/>
        </w:numPr>
        <w:spacing w:after="0"/>
        <w:ind w:left="426"/>
        <w:jc w:val="both"/>
        <w:rPr>
          <w:b/>
          <w:i/>
          <w:u w:val="single"/>
        </w:rPr>
      </w:pPr>
      <w:r>
        <w:rPr>
          <w:b/>
          <w:i/>
        </w:rPr>
        <w:t>P</w:t>
      </w:r>
      <w:r w:rsidR="00DE4006" w:rsidRPr="009D74D4">
        <w:rPr>
          <w:b/>
          <w:i/>
        </w:rPr>
        <w:t xml:space="preserve">rodlužování doby realizace </w:t>
      </w:r>
      <w:proofErr w:type="gramStart"/>
      <w:r w:rsidR="00DE4006" w:rsidRPr="009D74D4">
        <w:rPr>
          <w:b/>
          <w:i/>
        </w:rPr>
        <w:t>projektů</w:t>
      </w:r>
      <w:proofErr w:type="gramEnd"/>
      <w:r w:rsidR="00DE4006" w:rsidRPr="009D74D4">
        <w:rPr>
          <w:b/>
          <w:i/>
        </w:rPr>
        <w:t xml:space="preserve"> </w:t>
      </w:r>
      <w:r w:rsidR="007833E0" w:rsidRPr="007833E0">
        <w:rPr>
          <w:b/>
          <w:i/>
        </w:rPr>
        <w:t xml:space="preserve">- </w:t>
      </w:r>
      <w:proofErr w:type="gramStart"/>
      <w:r w:rsidR="000845BE">
        <w:t>p</w:t>
      </w:r>
      <w:r w:rsidR="00DE4006" w:rsidRPr="007833E0">
        <w:t>řípadné</w:t>
      </w:r>
      <w:proofErr w:type="gramEnd"/>
      <w:r w:rsidR="00DE4006" w:rsidRPr="009D74D4">
        <w:t xml:space="preserve"> </w:t>
      </w:r>
      <w:r w:rsidR="00F4533B">
        <w:t>prodlužování projektů bude vždy </w:t>
      </w:r>
      <w:r w:rsidR="00DE4006" w:rsidRPr="009D74D4">
        <w:t xml:space="preserve">v souladu s pravidly OP </w:t>
      </w:r>
      <w:proofErr w:type="spellStart"/>
      <w:r w:rsidR="00DE4006" w:rsidRPr="009D74D4">
        <w:t>VaVpI</w:t>
      </w:r>
      <w:proofErr w:type="spellEnd"/>
      <w:r w:rsidR="00DE4006" w:rsidRPr="009D74D4">
        <w:t xml:space="preserve"> a s odsouhlasen</w:t>
      </w:r>
      <w:r>
        <w:t>ými pravidly na úrovni MMR a MF</w:t>
      </w:r>
      <w:r w:rsidRPr="00F23CA1">
        <w:t>.</w:t>
      </w:r>
    </w:p>
    <w:p w:rsidR="00A578AE" w:rsidRDefault="00A578AE" w:rsidP="00A578AE">
      <w:pPr>
        <w:spacing w:after="0"/>
        <w:jc w:val="both"/>
        <w:rPr>
          <w:b/>
          <w:i/>
          <w:u w:val="single"/>
        </w:rPr>
      </w:pPr>
    </w:p>
    <w:p w:rsidR="00686D16" w:rsidRPr="00A578AE" w:rsidRDefault="00F23CA1" w:rsidP="00676287">
      <w:pPr>
        <w:numPr>
          <w:ilvl w:val="0"/>
          <w:numId w:val="13"/>
        </w:numPr>
        <w:spacing w:after="0"/>
        <w:ind w:left="426"/>
        <w:jc w:val="both"/>
        <w:rPr>
          <w:b/>
          <w:i/>
          <w:u w:val="single"/>
        </w:rPr>
      </w:pPr>
      <w:r>
        <w:rPr>
          <w:b/>
          <w:i/>
          <w:iCs/>
        </w:rPr>
        <w:t>P</w:t>
      </w:r>
      <w:r w:rsidR="00503FC3" w:rsidRPr="00503FC3">
        <w:rPr>
          <w:b/>
          <w:i/>
          <w:iCs/>
        </w:rPr>
        <w:t>ravidelná aktualizace a vyhodnocování predikcí č</w:t>
      </w:r>
      <w:r w:rsidR="003010D3">
        <w:rPr>
          <w:b/>
          <w:i/>
          <w:iCs/>
        </w:rPr>
        <w:t>erpání finančních prostředků OP </w:t>
      </w:r>
      <w:proofErr w:type="spellStart"/>
      <w:proofErr w:type="gramStart"/>
      <w:r w:rsidR="00503FC3" w:rsidRPr="00503FC3">
        <w:rPr>
          <w:b/>
          <w:i/>
          <w:iCs/>
        </w:rPr>
        <w:t>VaVpI</w:t>
      </w:r>
      <w:proofErr w:type="spellEnd"/>
      <w:proofErr w:type="gramEnd"/>
      <w:r w:rsidR="00503FC3" w:rsidRPr="00503FC3">
        <w:t xml:space="preserve"> </w:t>
      </w:r>
      <w:r w:rsidR="00503FC3">
        <w:t>-</w:t>
      </w:r>
      <w:r w:rsidR="00686D16" w:rsidRPr="00686D16">
        <w:t xml:space="preserve"> </w:t>
      </w:r>
      <w:proofErr w:type="gramStart"/>
      <w:r w:rsidR="00686D16" w:rsidRPr="00686D16">
        <w:t>interní</w:t>
      </w:r>
      <w:proofErr w:type="gramEnd"/>
      <w:r w:rsidR="00686D16" w:rsidRPr="00686D16">
        <w:t xml:space="preserve"> predikce ŘO jsou aktualizované </w:t>
      </w:r>
      <w:r w:rsidR="000845BE">
        <w:t>v měsíčních intervalech.</w:t>
      </w:r>
      <w:r w:rsidR="00503FC3">
        <w:t xml:space="preserve"> V</w:t>
      </w:r>
      <w:r w:rsidR="00686D16" w:rsidRPr="00686D16">
        <w:t xml:space="preserve"> odhadech </w:t>
      </w:r>
      <w:r w:rsidR="00503FC3">
        <w:t xml:space="preserve">ŘO </w:t>
      </w:r>
      <w:r w:rsidR="00686D16" w:rsidRPr="00686D16">
        <w:t>jsou rovněž zohledněny časové posuny projektů (t</w:t>
      </w:r>
      <w:r w:rsidR="001B1A1E">
        <w:t>j. zdržení ze strany příjemců v </w:t>
      </w:r>
      <w:r w:rsidR="00686D16" w:rsidRPr="00686D16">
        <w:t>počátku realizace velkých i běžných projektů, odklady v předložení žádostí o platbu, prostoje způsobené řešením právních překážek projektů, a</w:t>
      </w:r>
      <w:r>
        <w:t>j.). Data v predikcích se  pak </w:t>
      </w:r>
      <w:r w:rsidR="001B1A1E">
        <w:t>v </w:t>
      </w:r>
      <w:r w:rsidR="00686D16" w:rsidRPr="00686D16">
        <w:t xml:space="preserve">závislosti na těchto aspektech v čase mění tak, aby bylo dosaženo co nejvyšší spolehlivosti číselných odhadů, což je klíčové zejména pro kvalitní a </w:t>
      </w:r>
      <w:r w:rsidR="00686D16" w:rsidRPr="00281086">
        <w:t>věrohodné finanční řízení.</w:t>
      </w:r>
    </w:p>
    <w:p w:rsidR="00A578AE" w:rsidRPr="00A55613" w:rsidRDefault="00A578AE" w:rsidP="00A578AE">
      <w:pPr>
        <w:spacing w:after="0"/>
        <w:jc w:val="both"/>
        <w:rPr>
          <w:b/>
          <w:i/>
          <w:u w:val="single"/>
        </w:rPr>
      </w:pPr>
    </w:p>
    <w:p w:rsidR="00F23CA1" w:rsidRDefault="00F23CA1" w:rsidP="00F23CA1">
      <w:pPr>
        <w:numPr>
          <w:ilvl w:val="0"/>
          <w:numId w:val="13"/>
        </w:numPr>
        <w:spacing w:after="0"/>
        <w:ind w:left="426"/>
        <w:jc w:val="both"/>
        <w:rPr>
          <w:b/>
          <w:i/>
        </w:rPr>
      </w:pPr>
      <w:r>
        <w:rPr>
          <w:b/>
          <w:i/>
        </w:rPr>
        <w:t>D</w:t>
      </w:r>
      <w:r w:rsidR="00A55613" w:rsidRPr="00A55613">
        <w:rPr>
          <w:b/>
          <w:i/>
        </w:rPr>
        <w:t xml:space="preserve">okončení administrace fázování </w:t>
      </w:r>
      <w:r w:rsidR="000845BE">
        <w:rPr>
          <w:b/>
          <w:i/>
        </w:rPr>
        <w:t xml:space="preserve">projektů ELI a </w:t>
      </w:r>
      <w:proofErr w:type="gramStart"/>
      <w:r w:rsidR="000845BE">
        <w:rPr>
          <w:b/>
          <w:i/>
        </w:rPr>
        <w:t>SUSEN</w:t>
      </w:r>
      <w:proofErr w:type="gramEnd"/>
      <w:r w:rsidR="000845BE">
        <w:rPr>
          <w:b/>
          <w:i/>
        </w:rPr>
        <w:t xml:space="preserve"> </w:t>
      </w:r>
      <w:r w:rsidR="00F00B38">
        <w:t xml:space="preserve">- </w:t>
      </w:r>
      <w:proofErr w:type="gramStart"/>
      <w:r w:rsidR="00F00B38" w:rsidRPr="00F00B38">
        <w:t>realizace</w:t>
      </w:r>
      <w:proofErr w:type="gramEnd"/>
      <w:r w:rsidR="00F00B38" w:rsidRPr="00F00B38">
        <w:t xml:space="preserve"> fázování</w:t>
      </w:r>
      <w:r w:rsidR="00F00B38">
        <w:t xml:space="preserve"> výrazným způsobem ovlivní disponibilní alokaci OP. </w:t>
      </w:r>
      <w:r w:rsidR="000845BE">
        <w:t xml:space="preserve">V současné chvíli na druhé fáze těchto projektů připadá částka cca </w:t>
      </w:r>
      <w:r w:rsidR="0079487E">
        <w:t>1,667 mld. Kč (EU podíl)</w:t>
      </w:r>
      <w:r w:rsidR="000845BE">
        <w:t>.</w:t>
      </w:r>
      <w:r w:rsidR="00F00B38">
        <w:rPr>
          <w:b/>
          <w:i/>
        </w:rPr>
        <w:t xml:space="preserve"> </w:t>
      </w:r>
    </w:p>
    <w:p w:rsidR="00F23CA1" w:rsidRDefault="00F23CA1" w:rsidP="00F23CA1">
      <w:pPr>
        <w:spacing w:after="0"/>
        <w:ind w:left="426"/>
        <w:jc w:val="both"/>
        <w:rPr>
          <w:b/>
          <w:i/>
        </w:rPr>
      </w:pPr>
    </w:p>
    <w:p w:rsidR="00F23CA1" w:rsidRPr="00F23CA1" w:rsidRDefault="00F23CA1" w:rsidP="00F23CA1">
      <w:pPr>
        <w:numPr>
          <w:ilvl w:val="0"/>
          <w:numId w:val="13"/>
        </w:numPr>
        <w:spacing w:after="0"/>
        <w:ind w:left="426"/>
        <w:jc w:val="both"/>
        <w:rPr>
          <w:b/>
          <w:i/>
        </w:rPr>
      </w:pPr>
      <w:r>
        <w:rPr>
          <w:b/>
          <w:i/>
        </w:rPr>
        <w:t>P</w:t>
      </w:r>
      <w:r w:rsidR="00DE4006" w:rsidRPr="00F23CA1">
        <w:rPr>
          <w:b/>
          <w:i/>
        </w:rPr>
        <w:t>říprava nových výzev na základě komunikace s MMR-NOK a mapování absorpční kapacity u příjemců</w:t>
      </w:r>
      <w:r w:rsidR="00E82947" w:rsidRPr="00F23CA1">
        <w:rPr>
          <w:b/>
          <w:i/>
        </w:rPr>
        <w:t xml:space="preserve"> </w:t>
      </w:r>
      <w:r w:rsidR="00E82947" w:rsidRPr="00281086">
        <w:t xml:space="preserve">– ŘO </w:t>
      </w:r>
      <w:r w:rsidR="000845BE">
        <w:t>zmapoval absorpční kapacitu</w:t>
      </w:r>
      <w:r w:rsidR="0028799E" w:rsidRPr="00281086">
        <w:t xml:space="preserve"> u příjemců OP </w:t>
      </w:r>
      <w:proofErr w:type="spellStart"/>
      <w:r w:rsidR="0028799E" w:rsidRPr="00281086">
        <w:t>VaVpI</w:t>
      </w:r>
      <w:proofErr w:type="spellEnd"/>
      <w:r w:rsidR="00624199" w:rsidRPr="00281086">
        <w:t>.</w:t>
      </w:r>
      <w:r w:rsidR="0028799E" w:rsidRPr="00281086">
        <w:t xml:space="preserve"> </w:t>
      </w:r>
      <w:r w:rsidR="00624199" w:rsidRPr="00281086">
        <w:t xml:space="preserve">Na základě výsledku tohoto průzkumu jsou v současné době připravovány podklady pro vyhlášení </w:t>
      </w:r>
      <w:r w:rsidR="00624199" w:rsidRPr="00281086">
        <w:lastRenderedPageBreak/>
        <w:t xml:space="preserve">dvou výzev, v rámci kterých budou využity </w:t>
      </w:r>
      <w:r w:rsidR="001310D5">
        <w:t>volné finanční prostředky. První výzv</w:t>
      </w:r>
      <w:r w:rsidR="007B68B3">
        <w:t>a</w:t>
      </w:r>
      <w:r w:rsidR="001310D5">
        <w:t xml:space="preserve"> spadá do prioritní osy 2 – Regionální </w:t>
      </w:r>
      <w:proofErr w:type="spellStart"/>
      <w:r w:rsidR="001310D5">
        <w:t>VaV</w:t>
      </w:r>
      <w:proofErr w:type="spellEnd"/>
      <w:r w:rsidR="001310D5">
        <w:t xml:space="preserve"> centra. ŘO počítá s alokací 400 mil. Kč, které budou určen</w:t>
      </w:r>
      <w:r w:rsidR="007B68B3">
        <w:t>y</w:t>
      </w:r>
      <w:r w:rsidR="001310D5">
        <w:t xml:space="preserve"> na posílení pozitivních dopadů realizace OP </w:t>
      </w:r>
      <w:proofErr w:type="spellStart"/>
      <w:r w:rsidR="001310D5">
        <w:t>VaVpI</w:t>
      </w:r>
      <w:proofErr w:type="spellEnd"/>
      <w:r w:rsidR="001310D5">
        <w:t xml:space="preserve"> prostřednictvím podpory rozvoje kvalitně vybavených aplikačně zaměřených pracovišť </w:t>
      </w:r>
      <w:proofErr w:type="spellStart"/>
      <w:r w:rsidR="001310D5">
        <w:t>VaV</w:t>
      </w:r>
      <w:proofErr w:type="spellEnd"/>
      <w:r w:rsidR="001310D5">
        <w:t xml:space="preserve"> v ČR. Druhá připravovaná výzva spadá do prioritní osy 3 – Komercializace a popularizace </w:t>
      </w:r>
      <w:proofErr w:type="spellStart"/>
      <w:r w:rsidR="001310D5">
        <w:t>VaV</w:t>
      </w:r>
      <w:proofErr w:type="spellEnd"/>
      <w:r w:rsidR="001310D5">
        <w:t xml:space="preserve">. Alokace výzvy je 200 mil. Kč a jejím cílem je </w:t>
      </w:r>
      <w:r w:rsidR="001310D5" w:rsidRPr="00281086">
        <w:t xml:space="preserve">podpořit zvýšení atraktivity a rozvoj vzdělávací infrastruktury „Science </w:t>
      </w:r>
      <w:proofErr w:type="spellStart"/>
      <w:r w:rsidR="001310D5" w:rsidRPr="00281086">
        <w:t>Learning</w:t>
      </w:r>
      <w:proofErr w:type="spellEnd"/>
      <w:r w:rsidR="001310D5" w:rsidRPr="00281086">
        <w:t xml:space="preserve"> Center“ jakožto</w:t>
      </w:r>
      <w:r w:rsidR="001310D5" w:rsidRPr="00F23CA1">
        <w:rPr>
          <w:rFonts w:ascii="Arial" w:eastAsia="Times New Roman" w:hAnsi="Arial"/>
          <w:szCs w:val="20"/>
          <w:lang w:eastAsia="cs-CZ"/>
        </w:rPr>
        <w:t xml:space="preserve"> </w:t>
      </w:r>
      <w:r w:rsidR="001310D5" w:rsidRPr="00281086">
        <w:t>významných, vysoce atraktivních center popularizace, propagace a medial</w:t>
      </w:r>
      <w:r w:rsidR="003010D3">
        <w:t>izace vědy a techniky, bádání a </w:t>
      </w:r>
      <w:r w:rsidR="001310D5" w:rsidRPr="00281086">
        <w:t>objevování příro</w:t>
      </w:r>
      <w:r w:rsidR="001310D5">
        <w:t>dních a technických zákonitostí.</w:t>
      </w:r>
    </w:p>
    <w:p w:rsidR="00F23CA1" w:rsidRPr="00F23CA1" w:rsidRDefault="00F23CA1" w:rsidP="00F23CA1">
      <w:pPr>
        <w:spacing w:after="0"/>
        <w:ind w:left="426"/>
        <w:jc w:val="both"/>
        <w:rPr>
          <w:b/>
          <w:i/>
        </w:rPr>
      </w:pPr>
    </w:p>
    <w:p w:rsidR="00221F0D" w:rsidRPr="00F23CA1" w:rsidRDefault="00F23CA1" w:rsidP="00F23CA1">
      <w:pPr>
        <w:numPr>
          <w:ilvl w:val="0"/>
          <w:numId w:val="13"/>
        </w:numPr>
        <w:spacing w:after="0"/>
        <w:ind w:left="426"/>
        <w:jc w:val="both"/>
        <w:rPr>
          <w:rFonts w:eastAsia="Times New Roman"/>
          <w:b/>
          <w:i/>
          <w:szCs w:val="24"/>
          <w:lang w:eastAsia="cs-CZ"/>
        </w:rPr>
      </w:pPr>
      <w:r>
        <w:rPr>
          <w:rFonts w:eastAsia="Times New Roman"/>
          <w:b/>
          <w:i/>
          <w:szCs w:val="24"/>
          <w:lang w:eastAsia="cs-CZ"/>
        </w:rPr>
        <w:t>Z</w:t>
      </w:r>
      <w:r w:rsidR="00981090" w:rsidRPr="00F23CA1">
        <w:rPr>
          <w:rFonts w:eastAsia="Times New Roman"/>
          <w:b/>
          <w:i/>
          <w:szCs w:val="24"/>
          <w:lang w:eastAsia="cs-CZ"/>
        </w:rPr>
        <w:t>ajištění dostatečné administrativní kapacity na dočerpání alokace programu</w:t>
      </w:r>
      <w:r w:rsidR="00981090" w:rsidRPr="00F23CA1">
        <w:rPr>
          <w:rFonts w:eastAsia="Times New Roman"/>
          <w:szCs w:val="24"/>
          <w:lang w:eastAsia="cs-CZ"/>
        </w:rPr>
        <w:t xml:space="preserve"> – k</w:t>
      </w:r>
      <w:r>
        <w:rPr>
          <w:rFonts w:eastAsia="Times New Roman"/>
          <w:szCs w:val="24"/>
          <w:lang w:eastAsia="cs-CZ"/>
        </w:rPr>
        <w:t> </w:t>
      </w:r>
      <w:r w:rsidR="00981090" w:rsidRPr="00F23CA1">
        <w:rPr>
          <w:rFonts w:eastAsia="Times New Roman"/>
          <w:szCs w:val="24"/>
          <w:lang w:eastAsia="cs-CZ"/>
        </w:rPr>
        <w:t>1.</w:t>
      </w:r>
      <w:r>
        <w:rPr>
          <w:rFonts w:eastAsia="Times New Roman"/>
          <w:szCs w:val="24"/>
          <w:lang w:eastAsia="cs-CZ"/>
        </w:rPr>
        <w:t> </w:t>
      </w:r>
      <w:r w:rsidR="00981090" w:rsidRPr="00F23CA1">
        <w:rPr>
          <w:rFonts w:eastAsia="Times New Roman"/>
          <w:szCs w:val="24"/>
          <w:lang w:eastAsia="cs-CZ"/>
        </w:rPr>
        <w:t>3.</w:t>
      </w:r>
      <w:r>
        <w:rPr>
          <w:rFonts w:eastAsia="Times New Roman"/>
          <w:szCs w:val="24"/>
          <w:lang w:eastAsia="cs-CZ"/>
        </w:rPr>
        <w:t> </w:t>
      </w:r>
      <w:r w:rsidR="00981090" w:rsidRPr="00F23CA1">
        <w:rPr>
          <w:rFonts w:eastAsia="Times New Roman"/>
          <w:szCs w:val="24"/>
          <w:lang w:eastAsia="cs-CZ"/>
        </w:rPr>
        <w:t xml:space="preserve">2015 došlo k prodloužení pracovních smluv na dobu neurčitou </w:t>
      </w:r>
      <w:r w:rsidRPr="00F23CA1">
        <w:rPr>
          <w:rFonts w:eastAsia="Times New Roman"/>
          <w:szCs w:val="24"/>
          <w:lang w:eastAsia="cs-CZ"/>
        </w:rPr>
        <w:br/>
      </w:r>
      <w:r w:rsidR="00981090" w:rsidRPr="00F23CA1">
        <w:rPr>
          <w:rFonts w:eastAsia="Times New Roman"/>
          <w:szCs w:val="24"/>
          <w:lang w:eastAsia="cs-CZ"/>
        </w:rPr>
        <w:t>u cca 30</w:t>
      </w:r>
      <w:r w:rsidRPr="00F23CA1">
        <w:rPr>
          <w:rFonts w:eastAsia="Times New Roman"/>
          <w:szCs w:val="24"/>
          <w:lang w:eastAsia="cs-CZ"/>
        </w:rPr>
        <w:t xml:space="preserve"> </w:t>
      </w:r>
      <w:r w:rsidR="00981090" w:rsidRPr="00F23CA1">
        <w:rPr>
          <w:rFonts w:eastAsia="Times New Roman"/>
          <w:szCs w:val="24"/>
          <w:lang w:eastAsia="cs-CZ"/>
        </w:rPr>
        <w:t xml:space="preserve">% zaměstnanců ŘO, do 30. 6. 2015 se uskuteční další prodlužování pracovních smluv </w:t>
      </w:r>
      <w:r w:rsidRPr="00F23CA1">
        <w:rPr>
          <w:rFonts w:eastAsia="Times New Roman"/>
          <w:szCs w:val="24"/>
          <w:lang w:eastAsia="cs-CZ"/>
        </w:rPr>
        <w:t>ve </w:t>
      </w:r>
      <w:r w:rsidR="00981090" w:rsidRPr="00F23CA1">
        <w:rPr>
          <w:rFonts w:eastAsia="Times New Roman"/>
          <w:szCs w:val="24"/>
          <w:lang w:eastAsia="cs-CZ"/>
        </w:rPr>
        <w:t xml:space="preserve">stejném rozsahu. Poslední vlna prodlužování proběhne </w:t>
      </w:r>
      <w:r>
        <w:rPr>
          <w:rFonts w:eastAsia="Times New Roman"/>
          <w:szCs w:val="24"/>
          <w:lang w:eastAsia="cs-CZ"/>
        </w:rPr>
        <w:t>nejpozději do 30.  9. </w:t>
      </w:r>
      <w:r w:rsidR="00981090" w:rsidRPr="00F23CA1">
        <w:rPr>
          <w:rFonts w:eastAsia="Times New Roman"/>
          <w:szCs w:val="24"/>
          <w:lang w:eastAsia="cs-CZ"/>
        </w:rPr>
        <w:t xml:space="preserve">2015. </w:t>
      </w:r>
    </w:p>
    <w:p w:rsidR="00981090" w:rsidRPr="00F23CA1" w:rsidRDefault="00981090" w:rsidP="00F23CA1">
      <w:pPr>
        <w:spacing w:after="0"/>
        <w:ind w:left="426"/>
        <w:jc w:val="both"/>
        <w:rPr>
          <w:rFonts w:eastAsia="Times New Roman"/>
          <w:szCs w:val="24"/>
          <w:lang w:eastAsia="cs-CZ"/>
        </w:rPr>
      </w:pPr>
    </w:p>
    <w:p w:rsidR="004217D7" w:rsidRPr="00E153D6" w:rsidRDefault="00F23CA1" w:rsidP="004B73E8">
      <w:pPr>
        <w:numPr>
          <w:ilvl w:val="0"/>
          <w:numId w:val="13"/>
        </w:numPr>
        <w:spacing w:after="0"/>
        <w:ind w:left="426"/>
        <w:jc w:val="both"/>
        <w:rPr>
          <w:rFonts w:eastAsia="Times New Roman"/>
          <w:szCs w:val="24"/>
          <w:lang w:eastAsia="cs-CZ"/>
        </w:rPr>
      </w:pPr>
      <w:r>
        <w:rPr>
          <w:rFonts w:eastAsia="Times New Roman"/>
          <w:b/>
          <w:i/>
          <w:szCs w:val="24"/>
          <w:lang w:eastAsia="cs-CZ"/>
        </w:rPr>
        <w:t>V</w:t>
      </w:r>
      <w:r w:rsidR="004217D7" w:rsidRPr="004217D7">
        <w:rPr>
          <w:rFonts w:eastAsia="Times New Roman"/>
          <w:b/>
          <w:i/>
          <w:szCs w:val="24"/>
          <w:lang w:eastAsia="cs-CZ"/>
        </w:rPr>
        <w:t xml:space="preserve">yužití pravidla o </w:t>
      </w:r>
      <w:proofErr w:type="gramStart"/>
      <w:r w:rsidR="004217D7" w:rsidRPr="004217D7">
        <w:rPr>
          <w:rFonts w:eastAsia="Times New Roman"/>
          <w:b/>
          <w:i/>
          <w:szCs w:val="24"/>
          <w:lang w:eastAsia="cs-CZ"/>
        </w:rPr>
        <w:t>flexibilitě</w:t>
      </w:r>
      <w:proofErr w:type="gramEnd"/>
      <w:r w:rsidR="004217D7" w:rsidRPr="004217D7">
        <w:rPr>
          <w:rFonts w:eastAsia="Times New Roman"/>
          <w:b/>
          <w:i/>
          <w:szCs w:val="24"/>
          <w:lang w:eastAsia="cs-CZ"/>
        </w:rPr>
        <w:t xml:space="preserve"> </w:t>
      </w:r>
      <w:r w:rsidR="004217D7" w:rsidRPr="004217D7">
        <w:rPr>
          <w:rFonts w:eastAsia="Times New Roman"/>
          <w:szCs w:val="24"/>
          <w:lang w:eastAsia="cs-CZ"/>
        </w:rPr>
        <w:t>-</w:t>
      </w:r>
      <w:r w:rsidR="004217D7" w:rsidRPr="004217D7">
        <w:rPr>
          <w:rFonts w:eastAsia="Times New Roman"/>
          <w:b/>
          <w:i/>
          <w:szCs w:val="24"/>
          <w:lang w:eastAsia="cs-CZ"/>
        </w:rPr>
        <w:t xml:space="preserve"> </w:t>
      </w:r>
      <w:proofErr w:type="gramStart"/>
      <w:r>
        <w:rPr>
          <w:rFonts w:eastAsia="Times New Roman"/>
          <w:szCs w:val="24"/>
          <w:lang w:eastAsia="cs-CZ"/>
        </w:rPr>
        <w:t>n</w:t>
      </w:r>
      <w:r w:rsidR="004217D7" w:rsidRPr="00F23CA1">
        <w:rPr>
          <w:rFonts w:eastAsia="Times New Roman"/>
          <w:szCs w:val="24"/>
          <w:lang w:eastAsia="cs-CZ"/>
        </w:rPr>
        <w:t>a</w:t>
      </w:r>
      <w:proofErr w:type="gramEnd"/>
      <w:r w:rsidR="004217D7" w:rsidRPr="00F23CA1">
        <w:rPr>
          <w:rFonts w:eastAsia="Times New Roman"/>
          <w:szCs w:val="24"/>
          <w:lang w:eastAsia="cs-CZ"/>
        </w:rPr>
        <w:t xml:space="preserve"> konci programového období bude </w:t>
      </w:r>
      <w:r w:rsidR="00981090" w:rsidRPr="00F612DF">
        <w:rPr>
          <w:rFonts w:eastAsia="Times New Roman"/>
          <w:szCs w:val="24"/>
          <w:lang w:eastAsia="cs-CZ"/>
        </w:rPr>
        <w:t xml:space="preserve">ŘO </w:t>
      </w:r>
      <w:r w:rsidR="004217D7" w:rsidRPr="00F23CA1">
        <w:rPr>
          <w:rFonts w:eastAsia="Times New Roman"/>
          <w:szCs w:val="24"/>
          <w:lang w:eastAsia="cs-CZ"/>
        </w:rPr>
        <w:t>moc</w:t>
      </w:r>
      <w:r w:rsidR="00981090">
        <w:rPr>
          <w:rFonts w:eastAsia="Times New Roman"/>
          <w:szCs w:val="24"/>
          <w:lang w:eastAsia="cs-CZ"/>
        </w:rPr>
        <w:t>i</w:t>
      </w:r>
      <w:r w:rsidR="004217D7" w:rsidRPr="00F23CA1">
        <w:rPr>
          <w:rFonts w:eastAsia="Times New Roman"/>
          <w:szCs w:val="24"/>
          <w:lang w:eastAsia="cs-CZ"/>
        </w:rPr>
        <w:t xml:space="preserve"> v</w:t>
      </w:r>
      <w:r>
        <w:rPr>
          <w:rFonts w:eastAsia="Times New Roman"/>
          <w:szCs w:val="24"/>
          <w:lang w:eastAsia="cs-CZ"/>
        </w:rPr>
        <w:t>yužít tzv. </w:t>
      </w:r>
      <w:r w:rsidR="00981090">
        <w:rPr>
          <w:rFonts w:eastAsia="Times New Roman"/>
          <w:szCs w:val="24"/>
          <w:lang w:eastAsia="cs-CZ"/>
        </w:rPr>
        <w:t>flexibilitu, tzn.</w:t>
      </w:r>
      <w:r w:rsidR="00981090" w:rsidRPr="00981090">
        <w:rPr>
          <w:rFonts w:eastAsia="Times New Roman"/>
          <w:szCs w:val="24"/>
          <w:lang w:eastAsia="cs-CZ"/>
        </w:rPr>
        <w:t xml:space="preserve"> možn</w:t>
      </w:r>
      <w:r w:rsidR="00981090">
        <w:rPr>
          <w:rFonts w:eastAsia="Times New Roman"/>
          <w:szCs w:val="24"/>
          <w:lang w:eastAsia="cs-CZ"/>
        </w:rPr>
        <w:t xml:space="preserve">ost </w:t>
      </w:r>
      <w:r w:rsidR="004217D7" w:rsidRPr="00F23CA1">
        <w:rPr>
          <w:rFonts w:eastAsia="Times New Roman"/>
          <w:szCs w:val="24"/>
          <w:lang w:eastAsia="cs-CZ"/>
        </w:rPr>
        <w:t>přesunout až 10 % prostřed</w:t>
      </w:r>
      <w:r>
        <w:rPr>
          <w:rFonts w:eastAsia="Times New Roman"/>
          <w:szCs w:val="24"/>
          <w:lang w:eastAsia="cs-CZ"/>
        </w:rPr>
        <w:t>ků mezi prioritními osami, a </w:t>
      </w:r>
      <w:r w:rsidRPr="00F23CA1">
        <w:rPr>
          <w:rFonts w:eastAsia="Times New Roman"/>
          <w:szCs w:val="24"/>
          <w:lang w:eastAsia="cs-CZ"/>
        </w:rPr>
        <w:t>to</w:t>
      </w:r>
      <w:r>
        <w:rPr>
          <w:rFonts w:eastAsia="Times New Roman"/>
          <w:szCs w:val="24"/>
          <w:lang w:eastAsia="cs-CZ"/>
        </w:rPr>
        <w:t> </w:t>
      </w:r>
      <w:r w:rsidR="004217D7" w:rsidRPr="00F23CA1">
        <w:rPr>
          <w:rFonts w:eastAsia="Times New Roman"/>
          <w:szCs w:val="24"/>
          <w:lang w:eastAsia="cs-CZ"/>
        </w:rPr>
        <w:t xml:space="preserve">tak, že EK proplatí až 110 % částky alokace prioritní osy, pokud tím nedojde k přečerpání alokace celého programu. To znamená, že </w:t>
      </w:r>
      <w:r w:rsidR="004217D7" w:rsidRPr="00F23CA1">
        <w:rPr>
          <w:rFonts w:eastAsia="Times New Roman"/>
          <w:bCs/>
          <w:szCs w:val="24"/>
          <w:lang w:eastAsia="cs-CZ"/>
        </w:rPr>
        <w:t>pokud se nedočerpá</w:t>
      </w:r>
      <w:r w:rsidR="004217D7" w:rsidRPr="00F23CA1">
        <w:rPr>
          <w:rFonts w:eastAsia="Times New Roman"/>
          <w:szCs w:val="24"/>
          <w:lang w:eastAsia="cs-CZ"/>
        </w:rPr>
        <w:t xml:space="preserve"> v nějaké PO, ŘO může v důsledku zvýšené absorpční kapacity v jiné/jiných PO překročit alokaci této/těchto PO až o 10 %, tj. až na 110 % původní hodnoty alokace PO</w:t>
      </w:r>
      <w:r w:rsidR="004217D7">
        <w:rPr>
          <w:rFonts w:eastAsia="Times New Roman"/>
          <w:szCs w:val="24"/>
          <w:lang w:eastAsia="cs-CZ"/>
        </w:rPr>
        <w:t xml:space="preserve">. </w:t>
      </w:r>
      <w:r w:rsidR="004217D7" w:rsidRPr="004217D7">
        <w:rPr>
          <w:rFonts w:eastAsia="Times New Roman"/>
          <w:szCs w:val="24"/>
          <w:lang w:eastAsia="cs-CZ"/>
        </w:rPr>
        <w:t xml:space="preserve">V současné chvíli ŘO OP </w:t>
      </w:r>
      <w:proofErr w:type="spellStart"/>
      <w:r w:rsidR="004217D7" w:rsidRPr="004217D7">
        <w:rPr>
          <w:rFonts w:eastAsia="Times New Roman"/>
          <w:szCs w:val="24"/>
          <w:lang w:eastAsia="cs-CZ"/>
        </w:rPr>
        <w:t>VaVpI</w:t>
      </w:r>
      <w:proofErr w:type="spellEnd"/>
      <w:r w:rsidR="004217D7" w:rsidRPr="004217D7">
        <w:rPr>
          <w:rFonts w:eastAsia="Times New Roman"/>
          <w:szCs w:val="24"/>
          <w:lang w:eastAsia="cs-CZ"/>
        </w:rPr>
        <w:t xml:space="preserve"> neuvažuje o</w:t>
      </w:r>
      <w:r>
        <w:rPr>
          <w:rFonts w:eastAsia="Times New Roman"/>
          <w:szCs w:val="24"/>
          <w:lang w:eastAsia="cs-CZ"/>
        </w:rPr>
        <w:t xml:space="preserve"> využití pravidla o flexibilitě</w:t>
      </w:r>
      <w:r w:rsidR="004217D7" w:rsidRPr="004217D7">
        <w:rPr>
          <w:rFonts w:eastAsia="Times New Roman"/>
          <w:szCs w:val="24"/>
          <w:lang w:eastAsia="cs-CZ"/>
        </w:rPr>
        <w:t>.</w:t>
      </w:r>
    </w:p>
    <w:p w:rsidR="00B31EE5" w:rsidRDefault="00B31EE5" w:rsidP="004B73E8">
      <w:pPr>
        <w:jc w:val="both"/>
        <w:rPr>
          <w:rFonts w:eastAsia="Times New Roman"/>
          <w:szCs w:val="24"/>
          <w:lang w:eastAsia="cs-CZ"/>
        </w:rPr>
      </w:pPr>
    </w:p>
    <w:p w:rsidR="00877AC0" w:rsidRPr="009D74D4" w:rsidRDefault="00B31EE5" w:rsidP="001310D5">
      <w:pPr>
        <w:pStyle w:val="Nadpis1"/>
        <w:numPr>
          <w:ilvl w:val="0"/>
          <w:numId w:val="0"/>
        </w:numPr>
        <w:ind w:left="360"/>
      </w:pPr>
      <w:r>
        <w:rPr>
          <w:rFonts w:eastAsia="Times New Roman"/>
          <w:szCs w:val="24"/>
          <w:lang w:eastAsia="cs-CZ"/>
        </w:rPr>
        <w:br w:type="page"/>
      </w:r>
      <w:bookmarkStart w:id="125" w:name="_Toc415763729"/>
      <w:bookmarkStart w:id="126" w:name="_Toc417393029"/>
      <w:r w:rsidR="00877AC0" w:rsidRPr="009D74D4">
        <w:lastRenderedPageBreak/>
        <w:t xml:space="preserve">Seznam </w:t>
      </w:r>
      <w:bookmarkEnd w:id="125"/>
      <w:r w:rsidR="00100D40" w:rsidRPr="009D74D4">
        <w:t>zkratek</w:t>
      </w:r>
      <w:bookmarkEnd w:id="126"/>
    </w:p>
    <w:p w:rsidR="00342C4C" w:rsidRDefault="00342C4C" w:rsidP="00DD4C93">
      <w:pPr>
        <w:spacing w:after="0"/>
        <w:jc w:val="both"/>
        <w:rPr>
          <w:lang w:eastAsia="x-none"/>
        </w:rPr>
      </w:pPr>
      <w:r w:rsidRPr="003A47A9">
        <w:rPr>
          <w:b/>
          <w:lang w:eastAsia="x-none"/>
        </w:rPr>
        <w:t>AO</w:t>
      </w:r>
      <w:r w:rsidRPr="003A47A9">
        <w:rPr>
          <w:b/>
          <w:lang w:eastAsia="x-none"/>
        </w:rPr>
        <w:tab/>
      </w:r>
      <w:r w:rsidRPr="003A47A9">
        <w:rPr>
          <w:b/>
          <w:lang w:eastAsia="x-none"/>
        </w:rPr>
        <w:tab/>
      </w:r>
      <w:r w:rsidRPr="003A47A9">
        <w:rPr>
          <w:lang w:eastAsia="x-none"/>
        </w:rPr>
        <w:t>Auditní orgán</w:t>
      </w:r>
    </w:p>
    <w:p w:rsidR="003010D3" w:rsidRPr="004F5254" w:rsidRDefault="003010D3" w:rsidP="004F5254">
      <w:pPr>
        <w:spacing w:after="0"/>
        <w:ind w:left="1418" w:hanging="1418"/>
        <w:jc w:val="both"/>
        <w:rPr>
          <w:lang w:eastAsia="x-none"/>
        </w:rPr>
      </w:pPr>
      <w:r w:rsidRPr="003010D3">
        <w:rPr>
          <w:b/>
          <w:lang w:eastAsia="x-none"/>
        </w:rPr>
        <w:t>CBA</w:t>
      </w:r>
      <w:r>
        <w:rPr>
          <w:b/>
          <w:lang w:eastAsia="x-none"/>
        </w:rPr>
        <w:tab/>
      </w:r>
      <w:r w:rsidR="004F5254" w:rsidRPr="004F5254">
        <w:rPr>
          <w:lang w:eastAsia="x-none"/>
        </w:rPr>
        <w:t>Analýza nákladů a přínosů</w:t>
      </w:r>
      <w:r w:rsidR="004F5254" w:rsidRPr="004F5254">
        <w:rPr>
          <w:b/>
          <w:lang w:eastAsia="x-none"/>
        </w:rPr>
        <w:t xml:space="preserve"> </w:t>
      </w:r>
      <w:r w:rsidR="004F5254">
        <w:rPr>
          <w:lang w:eastAsia="x-none"/>
        </w:rPr>
        <w:t xml:space="preserve">- </w:t>
      </w:r>
      <w:r w:rsidR="004F5254" w:rsidRPr="004F5254">
        <w:rPr>
          <w:lang w:eastAsia="x-none"/>
        </w:rPr>
        <w:t>též označována</w:t>
      </w:r>
      <w:r w:rsidR="004F5254">
        <w:rPr>
          <w:lang w:eastAsia="x-none"/>
        </w:rPr>
        <w:t xml:space="preserve"> jako analýza nákladů a výnosů </w:t>
      </w:r>
      <w:r w:rsidR="004F5254" w:rsidRPr="004F5254">
        <w:rPr>
          <w:lang w:eastAsia="x-none"/>
        </w:rPr>
        <w:t xml:space="preserve">(zkratka anglického výrazu </w:t>
      </w:r>
      <w:proofErr w:type="spellStart"/>
      <w:r w:rsidR="004F5254" w:rsidRPr="004F5254">
        <w:rPr>
          <w:lang w:eastAsia="x-none"/>
        </w:rPr>
        <w:t>Cost</w:t>
      </w:r>
      <w:proofErr w:type="spellEnd"/>
      <w:r w:rsidR="004F5254" w:rsidRPr="004F5254">
        <w:rPr>
          <w:lang w:eastAsia="x-none"/>
        </w:rPr>
        <w:t xml:space="preserve"> benefit </w:t>
      </w:r>
      <w:proofErr w:type="spellStart"/>
      <w:r w:rsidR="004F5254" w:rsidRPr="004F5254">
        <w:rPr>
          <w:lang w:eastAsia="x-none"/>
        </w:rPr>
        <w:t>analysis</w:t>
      </w:r>
      <w:proofErr w:type="spellEnd"/>
      <w:r w:rsidR="004F5254" w:rsidRPr="004F5254">
        <w:rPr>
          <w:lang w:eastAsia="x-none"/>
        </w:rPr>
        <w:t>)</w:t>
      </w:r>
    </w:p>
    <w:p w:rsidR="0095035F" w:rsidRPr="009D74D4" w:rsidRDefault="0095035F" w:rsidP="00DD4C93">
      <w:pPr>
        <w:spacing w:after="0"/>
        <w:jc w:val="both"/>
        <w:rPr>
          <w:lang w:eastAsia="x-none"/>
        </w:rPr>
      </w:pPr>
      <w:r w:rsidRPr="009D74D4">
        <w:rPr>
          <w:b/>
          <w:lang w:eastAsia="x-none"/>
        </w:rPr>
        <w:t>ČNB</w:t>
      </w:r>
      <w:r w:rsidRPr="009D74D4">
        <w:rPr>
          <w:lang w:eastAsia="x-none"/>
        </w:rPr>
        <w:tab/>
      </w:r>
      <w:r w:rsidRPr="009D74D4">
        <w:rPr>
          <w:lang w:eastAsia="x-none"/>
        </w:rPr>
        <w:tab/>
        <w:t>Česká národní banka</w:t>
      </w:r>
    </w:p>
    <w:p w:rsidR="003F5155" w:rsidRPr="009D74D4" w:rsidRDefault="003F5155" w:rsidP="00DD4C93">
      <w:pPr>
        <w:spacing w:after="0"/>
        <w:jc w:val="both"/>
        <w:rPr>
          <w:lang w:eastAsia="x-none"/>
        </w:rPr>
      </w:pPr>
      <w:r w:rsidRPr="009D74D4">
        <w:rPr>
          <w:b/>
          <w:lang w:eastAsia="x-none"/>
        </w:rPr>
        <w:t>ČR</w:t>
      </w:r>
      <w:r w:rsidRPr="009D74D4">
        <w:rPr>
          <w:b/>
          <w:lang w:eastAsia="x-none"/>
        </w:rPr>
        <w:tab/>
      </w:r>
      <w:r w:rsidRPr="009D74D4">
        <w:rPr>
          <w:b/>
          <w:lang w:eastAsia="x-none"/>
        </w:rPr>
        <w:tab/>
      </w:r>
      <w:r w:rsidRPr="009D74D4">
        <w:rPr>
          <w:lang w:eastAsia="x-none"/>
        </w:rPr>
        <w:t>Česká republika</w:t>
      </w:r>
    </w:p>
    <w:p w:rsidR="0029729C" w:rsidRDefault="0029729C" w:rsidP="0029729C">
      <w:pPr>
        <w:tabs>
          <w:tab w:val="left" w:pos="1418"/>
        </w:tabs>
        <w:spacing w:after="0"/>
        <w:ind w:left="1418" w:hanging="1418"/>
        <w:jc w:val="both"/>
        <w:rPr>
          <w:b/>
          <w:lang w:eastAsia="x-none"/>
        </w:rPr>
      </w:pPr>
      <w:r>
        <w:rPr>
          <w:b/>
          <w:lang w:eastAsia="x-none"/>
        </w:rPr>
        <w:t>EIA</w:t>
      </w:r>
      <w:r>
        <w:rPr>
          <w:b/>
          <w:lang w:eastAsia="x-none"/>
        </w:rPr>
        <w:tab/>
      </w:r>
      <w:r w:rsidRPr="0029729C">
        <w:rPr>
          <w:lang w:eastAsia="x-none"/>
        </w:rPr>
        <w:t>Vyhodnocení vlivů na životní prostředí</w:t>
      </w:r>
      <w:r w:rsidRPr="0029729C">
        <w:rPr>
          <w:b/>
          <w:lang w:eastAsia="x-none"/>
        </w:rPr>
        <w:t xml:space="preserve"> </w:t>
      </w:r>
      <w:r w:rsidRPr="0029729C">
        <w:rPr>
          <w:lang w:eastAsia="x-none"/>
        </w:rPr>
        <w:t xml:space="preserve">(zkratka anglického výrazu </w:t>
      </w:r>
      <w:proofErr w:type="spellStart"/>
      <w:r w:rsidRPr="0029729C">
        <w:rPr>
          <w:lang w:eastAsia="x-none"/>
        </w:rPr>
        <w:t>Environ</w:t>
      </w:r>
      <w:r>
        <w:rPr>
          <w:lang w:eastAsia="x-none"/>
        </w:rPr>
        <w:t>mental</w:t>
      </w:r>
      <w:proofErr w:type="spellEnd"/>
      <w:r>
        <w:rPr>
          <w:lang w:eastAsia="x-none"/>
        </w:rPr>
        <w:t xml:space="preserve"> </w:t>
      </w:r>
      <w:proofErr w:type="spellStart"/>
      <w:r>
        <w:rPr>
          <w:lang w:eastAsia="x-none"/>
        </w:rPr>
        <w:t>Impact</w:t>
      </w:r>
      <w:proofErr w:type="spellEnd"/>
      <w:r>
        <w:rPr>
          <w:lang w:eastAsia="x-none"/>
        </w:rPr>
        <w:t xml:space="preserve"> </w:t>
      </w:r>
      <w:proofErr w:type="spellStart"/>
      <w:r>
        <w:rPr>
          <w:lang w:eastAsia="x-none"/>
        </w:rPr>
        <w:t>Assessment</w:t>
      </w:r>
      <w:proofErr w:type="spellEnd"/>
      <w:r w:rsidRPr="0029729C">
        <w:rPr>
          <w:lang w:eastAsia="x-none"/>
        </w:rPr>
        <w:t>)</w:t>
      </w:r>
    </w:p>
    <w:p w:rsidR="009D7203" w:rsidRPr="009D74D4" w:rsidRDefault="009D7203" w:rsidP="00DD4C93">
      <w:pPr>
        <w:tabs>
          <w:tab w:val="left" w:pos="1418"/>
        </w:tabs>
        <w:spacing w:after="0"/>
        <w:jc w:val="both"/>
        <w:rPr>
          <w:b/>
          <w:lang w:eastAsia="x-none"/>
        </w:rPr>
      </w:pPr>
      <w:r w:rsidRPr="009D74D4">
        <w:rPr>
          <w:b/>
          <w:lang w:eastAsia="x-none"/>
        </w:rPr>
        <w:t>EL</w:t>
      </w:r>
      <w:r w:rsidR="00C96A5E" w:rsidRPr="009D74D4">
        <w:rPr>
          <w:b/>
          <w:lang w:eastAsia="x-none"/>
        </w:rPr>
        <w:t>I</w:t>
      </w:r>
      <w:r w:rsidR="00C96A5E" w:rsidRPr="009D74D4">
        <w:rPr>
          <w:b/>
          <w:lang w:eastAsia="x-none"/>
        </w:rPr>
        <w:tab/>
      </w:r>
      <w:proofErr w:type="spellStart"/>
      <w:r w:rsidR="00C96A5E" w:rsidRPr="009D74D4">
        <w:rPr>
          <w:lang w:eastAsia="x-none"/>
        </w:rPr>
        <w:t>ELI</w:t>
      </w:r>
      <w:proofErr w:type="spellEnd"/>
      <w:r w:rsidR="00C96A5E" w:rsidRPr="009D74D4">
        <w:rPr>
          <w:lang w:eastAsia="x-none"/>
        </w:rPr>
        <w:t>: EXTREME LIGHT INFRASTRUCTUR</w:t>
      </w:r>
      <w:r w:rsidR="00EC139B">
        <w:rPr>
          <w:lang w:eastAsia="x-none"/>
        </w:rPr>
        <w:t>E – velký projekt realizovaný v</w:t>
      </w:r>
      <w:r w:rsidR="00C96A5E" w:rsidRPr="009D74D4">
        <w:rPr>
          <w:lang w:eastAsia="x-none"/>
        </w:rPr>
        <w:t xml:space="preserve"> PO 1</w:t>
      </w:r>
    </w:p>
    <w:p w:rsidR="009006D2" w:rsidRPr="009D74D4" w:rsidRDefault="009006D2" w:rsidP="00DD4C93">
      <w:pPr>
        <w:spacing w:after="0"/>
        <w:jc w:val="both"/>
        <w:rPr>
          <w:lang w:eastAsia="x-none"/>
        </w:rPr>
      </w:pPr>
      <w:r w:rsidRPr="009D74D4">
        <w:rPr>
          <w:b/>
          <w:lang w:eastAsia="x-none"/>
        </w:rPr>
        <w:t>EK</w:t>
      </w:r>
      <w:r w:rsidRPr="009D74D4">
        <w:rPr>
          <w:b/>
          <w:lang w:eastAsia="x-none"/>
        </w:rPr>
        <w:tab/>
      </w:r>
      <w:r w:rsidRPr="009D74D4">
        <w:rPr>
          <w:b/>
          <w:lang w:eastAsia="x-none"/>
        </w:rPr>
        <w:tab/>
      </w:r>
      <w:r w:rsidRPr="009D74D4">
        <w:rPr>
          <w:lang w:eastAsia="x-none"/>
        </w:rPr>
        <w:t>Evropská komise</w:t>
      </w:r>
    </w:p>
    <w:p w:rsidR="00342C4C" w:rsidRPr="009D74D4" w:rsidRDefault="00B61540" w:rsidP="00DD4C93">
      <w:pPr>
        <w:spacing w:after="0"/>
        <w:ind w:left="1418" w:hanging="1418"/>
        <w:jc w:val="both"/>
        <w:rPr>
          <w:lang w:eastAsia="x-none"/>
        </w:rPr>
      </w:pPr>
      <w:r w:rsidRPr="009D74D4">
        <w:rPr>
          <w:b/>
          <w:lang w:eastAsia="x-none"/>
        </w:rPr>
        <w:t>ERDF</w:t>
      </w:r>
      <w:r w:rsidR="00390BD2" w:rsidRPr="009D74D4">
        <w:rPr>
          <w:lang w:eastAsia="x-none"/>
        </w:rPr>
        <w:tab/>
      </w:r>
      <w:r w:rsidRPr="009D74D4">
        <w:rPr>
          <w:lang w:eastAsia="x-none"/>
        </w:rPr>
        <w:t>Evropský fond pro regionální rozvoj (</w:t>
      </w:r>
      <w:r w:rsidR="00390BD2" w:rsidRPr="009D74D4">
        <w:rPr>
          <w:lang w:eastAsia="x-none"/>
        </w:rPr>
        <w:t xml:space="preserve">zkratka anglického výrazu </w:t>
      </w:r>
      <w:proofErr w:type="spellStart"/>
      <w:r w:rsidRPr="009D74D4">
        <w:rPr>
          <w:lang w:eastAsia="x-none"/>
        </w:rPr>
        <w:t>European</w:t>
      </w:r>
      <w:proofErr w:type="spellEnd"/>
      <w:r w:rsidRPr="009D74D4">
        <w:rPr>
          <w:lang w:eastAsia="x-none"/>
        </w:rPr>
        <w:t xml:space="preserve"> </w:t>
      </w:r>
      <w:proofErr w:type="spellStart"/>
      <w:r w:rsidRPr="009D74D4">
        <w:rPr>
          <w:lang w:eastAsia="x-none"/>
        </w:rPr>
        <w:t>Regional</w:t>
      </w:r>
      <w:proofErr w:type="spellEnd"/>
      <w:r w:rsidRPr="009D74D4">
        <w:rPr>
          <w:lang w:eastAsia="x-none"/>
        </w:rPr>
        <w:t xml:space="preserve"> </w:t>
      </w:r>
      <w:proofErr w:type="spellStart"/>
      <w:r w:rsidRPr="009D74D4">
        <w:rPr>
          <w:lang w:eastAsia="x-none"/>
        </w:rPr>
        <w:t>Development</w:t>
      </w:r>
      <w:proofErr w:type="spellEnd"/>
      <w:r w:rsidRPr="009D74D4">
        <w:rPr>
          <w:lang w:eastAsia="x-none"/>
        </w:rPr>
        <w:t xml:space="preserve"> </w:t>
      </w:r>
      <w:proofErr w:type="spellStart"/>
      <w:r w:rsidRPr="009D74D4">
        <w:rPr>
          <w:lang w:eastAsia="x-none"/>
        </w:rPr>
        <w:t>Fund</w:t>
      </w:r>
      <w:proofErr w:type="spellEnd"/>
      <w:r w:rsidRPr="009D74D4">
        <w:rPr>
          <w:lang w:eastAsia="x-none"/>
        </w:rPr>
        <w:t>)</w:t>
      </w:r>
    </w:p>
    <w:p w:rsidR="004B513F" w:rsidRDefault="00C62DC1" w:rsidP="004B513F">
      <w:pPr>
        <w:spacing w:after="0"/>
        <w:ind w:left="1418" w:hanging="1418"/>
        <w:jc w:val="both"/>
        <w:rPr>
          <w:lang w:eastAsia="x-none"/>
        </w:rPr>
      </w:pPr>
      <w:r w:rsidRPr="009D74D4">
        <w:rPr>
          <w:b/>
          <w:lang w:eastAsia="x-none"/>
        </w:rPr>
        <w:t>ES</w:t>
      </w:r>
      <w:r w:rsidRPr="009D74D4">
        <w:rPr>
          <w:b/>
          <w:lang w:eastAsia="x-none"/>
        </w:rPr>
        <w:tab/>
      </w:r>
      <w:r w:rsidRPr="009D74D4">
        <w:rPr>
          <w:lang w:eastAsia="x-none"/>
        </w:rPr>
        <w:t>Evropské společenství</w:t>
      </w:r>
    </w:p>
    <w:p w:rsidR="00CE7002" w:rsidRPr="00CE7002" w:rsidRDefault="00CE7002" w:rsidP="00DD4C93">
      <w:pPr>
        <w:spacing w:after="0"/>
        <w:ind w:left="1418" w:hanging="1418"/>
        <w:jc w:val="both"/>
        <w:rPr>
          <w:lang w:eastAsia="x-none"/>
        </w:rPr>
      </w:pPr>
      <w:r>
        <w:rPr>
          <w:b/>
          <w:lang w:eastAsia="x-none"/>
        </w:rPr>
        <w:t>EU podíl</w:t>
      </w:r>
      <w:r>
        <w:rPr>
          <w:b/>
          <w:lang w:eastAsia="x-none"/>
        </w:rPr>
        <w:tab/>
      </w:r>
      <w:r>
        <w:rPr>
          <w:lang w:eastAsia="x-none"/>
        </w:rPr>
        <w:t>Příspěvek společenství v</w:t>
      </w:r>
      <w:r w:rsidR="007419A7">
        <w:rPr>
          <w:lang w:eastAsia="x-none"/>
        </w:rPr>
        <w:t>e výši</w:t>
      </w:r>
      <w:r>
        <w:rPr>
          <w:lang w:eastAsia="x-none"/>
        </w:rPr>
        <w:t xml:space="preserve"> 85 %</w:t>
      </w:r>
    </w:p>
    <w:p w:rsidR="00390BD2" w:rsidRDefault="00390BD2" w:rsidP="00DD4C93">
      <w:pPr>
        <w:spacing w:after="0"/>
        <w:jc w:val="both"/>
        <w:rPr>
          <w:lang w:eastAsia="x-none"/>
        </w:rPr>
      </w:pPr>
      <w:r w:rsidRPr="009D74D4">
        <w:rPr>
          <w:b/>
          <w:lang w:eastAsia="x-none"/>
        </w:rPr>
        <w:t>FAQ</w:t>
      </w:r>
      <w:r w:rsidRPr="009D74D4">
        <w:rPr>
          <w:b/>
          <w:lang w:eastAsia="x-none"/>
        </w:rPr>
        <w:tab/>
      </w:r>
      <w:r w:rsidRPr="009D74D4">
        <w:rPr>
          <w:b/>
          <w:lang w:eastAsia="x-none"/>
        </w:rPr>
        <w:tab/>
      </w:r>
      <w:r w:rsidR="0076561B" w:rsidRPr="009D74D4">
        <w:rPr>
          <w:lang w:eastAsia="x-none"/>
        </w:rPr>
        <w:t>Č</w:t>
      </w:r>
      <w:r w:rsidRPr="009D74D4">
        <w:rPr>
          <w:lang w:eastAsia="x-none"/>
        </w:rPr>
        <w:t xml:space="preserve">asto kladené dotazy (zkratka anglického výrazu </w:t>
      </w:r>
      <w:proofErr w:type="spellStart"/>
      <w:r w:rsidRPr="009D74D4">
        <w:rPr>
          <w:lang w:eastAsia="x-none"/>
        </w:rPr>
        <w:t>Frequently</w:t>
      </w:r>
      <w:proofErr w:type="spellEnd"/>
      <w:r w:rsidRPr="009D74D4">
        <w:rPr>
          <w:lang w:eastAsia="x-none"/>
        </w:rPr>
        <w:t xml:space="preserve"> </w:t>
      </w:r>
      <w:proofErr w:type="spellStart"/>
      <w:r w:rsidRPr="009D74D4">
        <w:rPr>
          <w:lang w:eastAsia="x-none"/>
        </w:rPr>
        <w:t>Asked</w:t>
      </w:r>
      <w:proofErr w:type="spellEnd"/>
      <w:r w:rsidRPr="009D74D4">
        <w:rPr>
          <w:lang w:eastAsia="x-none"/>
        </w:rPr>
        <w:t xml:space="preserve"> </w:t>
      </w:r>
      <w:proofErr w:type="spellStart"/>
      <w:r w:rsidRPr="009D74D4">
        <w:rPr>
          <w:lang w:eastAsia="x-none"/>
        </w:rPr>
        <w:t>Questions</w:t>
      </w:r>
      <w:proofErr w:type="spellEnd"/>
      <w:r w:rsidRPr="009D74D4">
        <w:rPr>
          <w:lang w:eastAsia="x-none"/>
        </w:rPr>
        <w:t>)</w:t>
      </w:r>
    </w:p>
    <w:p w:rsidR="007267A1" w:rsidRPr="009D74D4" w:rsidRDefault="007267A1" w:rsidP="00DD4C93">
      <w:pPr>
        <w:spacing w:after="0"/>
        <w:jc w:val="both"/>
        <w:rPr>
          <w:lang w:eastAsia="x-none"/>
        </w:rPr>
      </w:pPr>
      <w:r w:rsidRPr="007267A1">
        <w:rPr>
          <w:b/>
          <w:lang w:eastAsia="x-none"/>
        </w:rPr>
        <w:t>FM</w:t>
      </w:r>
      <w:r w:rsidR="00A578AE">
        <w:rPr>
          <w:lang w:eastAsia="x-none"/>
        </w:rPr>
        <w:tab/>
      </w:r>
      <w:r w:rsidR="00A578AE">
        <w:rPr>
          <w:lang w:eastAsia="x-none"/>
        </w:rPr>
        <w:tab/>
        <w:t>Finanční manaže</w:t>
      </w:r>
      <w:r>
        <w:rPr>
          <w:lang w:eastAsia="x-none"/>
        </w:rPr>
        <w:t>r</w:t>
      </w:r>
    </w:p>
    <w:p w:rsidR="005956E4" w:rsidRPr="009D74D4" w:rsidRDefault="005956E4" w:rsidP="00DD4C93">
      <w:pPr>
        <w:spacing w:after="0"/>
        <w:jc w:val="both"/>
        <w:rPr>
          <w:b/>
          <w:lang w:eastAsia="x-none"/>
        </w:rPr>
      </w:pPr>
      <w:r w:rsidRPr="009D74D4">
        <w:rPr>
          <w:b/>
          <w:bCs/>
          <w:lang w:eastAsia="x-none"/>
        </w:rPr>
        <w:t>MF ČR</w:t>
      </w:r>
      <w:r w:rsidR="001B3ACD" w:rsidRPr="009D74D4">
        <w:rPr>
          <w:b/>
          <w:bCs/>
          <w:lang w:eastAsia="x-none"/>
        </w:rPr>
        <w:t>/MF</w:t>
      </w:r>
      <w:r w:rsidRPr="009D74D4">
        <w:rPr>
          <w:b/>
          <w:bCs/>
          <w:lang w:eastAsia="x-none"/>
        </w:rPr>
        <w:tab/>
      </w:r>
      <w:r w:rsidRPr="009D74D4">
        <w:rPr>
          <w:bCs/>
          <w:lang w:eastAsia="x-none"/>
        </w:rPr>
        <w:t>Ministerstvo financí České republiky</w:t>
      </w:r>
    </w:p>
    <w:p w:rsidR="00342C4C" w:rsidRPr="009D74D4" w:rsidRDefault="00342C4C" w:rsidP="00DD4C93">
      <w:pPr>
        <w:spacing w:after="0"/>
        <w:jc w:val="both"/>
        <w:rPr>
          <w:lang w:eastAsia="x-none"/>
        </w:rPr>
      </w:pPr>
      <w:r w:rsidRPr="009D74D4">
        <w:rPr>
          <w:b/>
          <w:lang w:eastAsia="x-none"/>
        </w:rPr>
        <w:t>MF-PCO</w:t>
      </w:r>
      <w:r w:rsidRPr="009D74D4">
        <w:rPr>
          <w:lang w:eastAsia="x-none"/>
        </w:rPr>
        <w:tab/>
        <w:t>Ministerstvo financí – Platební a certifikační orgán</w:t>
      </w:r>
    </w:p>
    <w:p w:rsidR="00753DFA" w:rsidRPr="009D74D4" w:rsidRDefault="00753DFA" w:rsidP="00DD4C93">
      <w:pPr>
        <w:spacing w:after="0"/>
        <w:ind w:left="1418" w:hanging="1418"/>
        <w:jc w:val="both"/>
        <w:rPr>
          <w:lang w:eastAsia="x-none"/>
        </w:rPr>
      </w:pPr>
      <w:r w:rsidRPr="009D74D4">
        <w:rPr>
          <w:b/>
          <w:lang w:eastAsia="x-none"/>
        </w:rPr>
        <w:t>MFTK</w:t>
      </w:r>
      <w:r w:rsidRPr="009D74D4">
        <w:rPr>
          <w:lang w:eastAsia="x-none"/>
        </w:rPr>
        <w:tab/>
        <w:t>Metodika finančních toků a kontroly</w:t>
      </w:r>
      <w:r w:rsidR="00442BB4">
        <w:rPr>
          <w:lang w:eastAsia="x-none"/>
        </w:rPr>
        <w:t xml:space="preserve"> programů spolufinancovaných ze </w:t>
      </w:r>
      <w:r w:rsidRPr="009D74D4">
        <w:rPr>
          <w:lang w:eastAsia="x-none"/>
        </w:rPr>
        <w:t>strukturálních fondů, Fondu soudržnosti a</w:t>
      </w:r>
      <w:r w:rsidR="00442BB4">
        <w:rPr>
          <w:lang w:eastAsia="x-none"/>
        </w:rPr>
        <w:t xml:space="preserve"> Evropského rybářského fondu na </w:t>
      </w:r>
      <w:r w:rsidRPr="009D74D4">
        <w:rPr>
          <w:lang w:eastAsia="x-none"/>
        </w:rPr>
        <w:t>programové období</w:t>
      </w:r>
    </w:p>
    <w:p w:rsidR="00934E8B" w:rsidRPr="009D74D4" w:rsidRDefault="00934E8B" w:rsidP="00DD4C93">
      <w:pPr>
        <w:spacing w:after="0"/>
        <w:jc w:val="both"/>
        <w:rPr>
          <w:lang w:eastAsia="x-none"/>
        </w:rPr>
      </w:pPr>
      <w:proofErr w:type="gramStart"/>
      <w:r w:rsidRPr="009D74D4">
        <w:rPr>
          <w:b/>
          <w:lang w:eastAsia="x-none"/>
        </w:rPr>
        <w:t>MI</w:t>
      </w:r>
      <w:proofErr w:type="gramEnd"/>
      <w:r w:rsidRPr="009D74D4">
        <w:rPr>
          <w:lang w:eastAsia="x-none"/>
        </w:rPr>
        <w:tab/>
      </w:r>
      <w:r w:rsidRPr="009D74D4">
        <w:rPr>
          <w:lang w:eastAsia="x-none"/>
        </w:rPr>
        <w:tab/>
        <w:t>Monitorovací indikátor</w:t>
      </w:r>
    </w:p>
    <w:p w:rsidR="00243B12" w:rsidRPr="009D74D4" w:rsidRDefault="00243B12" w:rsidP="00DD4C93">
      <w:pPr>
        <w:spacing w:after="0"/>
        <w:jc w:val="both"/>
        <w:rPr>
          <w:b/>
          <w:lang w:eastAsia="x-none"/>
        </w:rPr>
      </w:pPr>
      <w:r w:rsidRPr="009D74D4">
        <w:rPr>
          <w:b/>
          <w:lang w:eastAsia="x-none"/>
        </w:rPr>
        <w:t>MMR</w:t>
      </w:r>
      <w:r w:rsidRPr="009D74D4">
        <w:rPr>
          <w:b/>
          <w:lang w:eastAsia="x-none"/>
        </w:rPr>
        <w:tab/>
      </w:r>
      <w:r w:rsidRPr="009D74D4">
        <w:rPr>
          <w:b/>
          <w:lang w:eastAsia="x-none"/>
        </w:rPr>
        <w:tab/>
      </w:r>
      <w:r w:rsidRPr="009D74D4">
        <w:rPr>
          <w:lang w:eastAsia="x-none"/>
        </w:rPr>
        <w:t>Ministerstvo pro místní rozvoj</w:t>
      </w:r>
    </w:p>
    <w:p w:rsidR="00342C4C" w:rsidRDefault="00342C4C" w:rsidP="00DD4C93">
      <w:pPr>
        <w:spacing w:after="0"/>
        <w:jc w:val="both"/>
        <w:rPr>
          <w:lang w:eastAsia="x-none"/>
        </w:rPr>
      </w:pPr>
      <w:r w:rsidRPr="009D74D4">
        <w:rPr>
          <w:b/>
          <w:lang w:eastAsia="x-none"/>
        </w:rPr>
        <w:t>MMR-NOK</w:t>
      </w:r>
      <w:r w:rsidRPr="009D74D4">
        <w:rPr>
          <w:lang w:eastAsia="x-none"/>
        </w:rPr>
        <w:tab/>
        <w:t>Ministerstvo pro místní rozvoj – Národní orgán pro koordinaci</w:t>
      </w:r>
    </w:p>
    <w:p w:rsidR="00426846" w:rsidRPr="00426846" w:rsidRDefault="00426846" w:rsidP="00DD4C93">
      <w:pPr>
        <w:spacing w:after="0"/>
        <w:jc w:val="both"/>
        <w:rPr>
          <w:lang w:eastAsia="x-none"/>
        </w:rPr>
      </w:pPr>
      <w:r w:rsidRPr="00426846">
        <w:rPr>
          <w:b/>
          <w:lang w:eastAsia="x-none"/>
        </w:rPr>
        <w:t>MP</w:t>
      </w:r>
      <w:r>
        <w:rPr>
          <w:b/>
          <w:lang w:eastAsia="x-none"/>
        </w:rPr>
        <w:tab/>
      </w:r>
      <w:r>
        <w:rPr>
          <w:b/>
          <w:lang w:eastAsia="x-none"/>
        </w:rPr>
        <w:tab/>
      </w:r>
      <w:r>
        <w:rPr>
          <w:lang w:eastAsia="x-none"/>
        </w:rPr>
        <w:t>Metodický pokyn</w:t>
      </w:r>
    </w:p>
    <w:p w:rsidR="001A1BBD" w:rsidRDefault="001A1BBD" w:rsidP="00DD4C93">
      <w:pPr>
        <w:spacing w:after="0"/>
        <w:jc w:val="both"/>
        <w:rPr>
          <w:lang w:eastAsia="x-none"/>
        </w:rPr>
      </w:pPr>
      <w:r w:rsidRPr="009D74D4">
        <w:rPr>
          <w:b/>
          <w:lang w:eastAsia="x-none"/>
        </w:rPr>
        <w:t>MŠMT</w:t>
      </w:r>
      <w:r w:rsidRPr="009D74D4">
        <w:rPr>
          <w:b/>
          <w:lang w:eastAsia="x-none"/>
        </w:rPr>
        <w:tab/>
      </w:r>
      <w:r w:rsidRPr="009D74D4">
        <w:rPr>
          <w:b/>
          <w:lang w:eastAsia="x-none"/>
        </w:rPr>
        <w:tab/>
      </w:r>
      <w:r w:rsidRPr="009D74D4">
        <w:rPr>
          <w:lang w:eastAsia="x-none"/>
        </w:rPr>
        <w:t>Ministerstvo školství, mládeže a tělovýchovy</w:t>
      </w:r>
    </w:p>
    <w:p w:rsidR="004914E5" w:rsidRPr="009F0B6E" w:rsidRDefault="004914E5" w:rsidP="00DD4C93">
      <w:pPr>
        <w:spacing w:after="0"/>
        <w:jc w:val="both"/>
        <w:rPr>
          <w:b/>
          <w:lang w:eastAsia="x-none"/>
        </w:rPr>
      </w:pPr>
      <w:r>
        <w:rPr>
          <w:b/>
          <w:lang w:eastAsia="x-none"/>
        </w:rPr>
        <w:t>MZ</w:t>
      </w:r>
      <w:r w:rsidR="009F0B6E">
        <w:rPr>
          <w:b/>
          <w:lang w:eastAsia="x-none"/>
        </w:rPr>
        <w:tab/>
      </w:r>
      <w:r w:rsidR="009F0B6E">
        <w:rPr>
          <w:b/>
          <w:lang w:eastAsia="x-none"/>
        </w:rPr>
        <w:tab/>
      </w:r>
      <w:r w:rsidRPr="004914E5">
        <w:rPr>
          <w:lang w:eastAsia="x-none"/>
        </w:rPr>
        <w:t>Monitorovací</w:t>
      </w:r>
      <w:r>
        <w:rPr>
          <w:lang w:eastAsia="x-none"/>
        </w:rPr>
        <w:t xml:space="preserve"> zpráva</w:t>
      </w:r>
    </w:p>
    <w:p w:rsidR="004C5770" w:rsidRPr="009D74D4" w:rsidRDefault="004C5770" w:rsidP="00DD4C93">
      <w:pPr>
        <w:spacing w:after="0"/>
        <w:jc w:val="both"/>
        <w:rPr>
          <w:lang w:eastAsia="x-none"/>
        </w:rPr>
      </w:pPr>
      <w:r w:rsidRPr="009D74D4">
        <w:rPr>
          <w:b/>
          <w:lang w:eastAsia="x-none"/>
        </w:rPr>
        <w:t>ON</w:t>
      </w:r>
      <w:r w:rsidRPr="009D74D4">
        <w:rPr>
          <w:b/>
          <w:lang w:eastAsia="x-none"/>
        </w:rPr>
        <w:tab/>
      </w:r>
      <w:r w:rsidRPr="009D74D4">
        <w:rPr>
          <w:b/>
          <w:lang w:eastAsia="x-none"/>
        </w:rPr>
        <w:tab/>
      </w:r>
      <w:r w:rsidRPr="009D74D4">
        <w:rPr>
          <w:lang w:eastAsia="x-none"/>
        </w:rPr>
        <w:t xml:space="preserve">Obecné nařízení - </w:t>
      </w:r>
      <w:r w:rsidRPr="009D74D4">
        <w:rPr>
          <w:bCs/>
          <w:iCs/>
          <w:lang w:eastAsia="x-none"/>
        </w:rPr>
        <w:t>Nařízení Rady (ES) č. 1083/2006</w:t>
      </w:r>
    </w:p>
    <w:p w:rsidR="00B61540" w:rsidRPr="009D74D4" w:rsidRDefault="00B61540" w:rsidP="00DD4C93">
      <w:pPr>
        <w:spacing w:after="0"/>
        <w:jc w:val="both"/>
        <w:rPr>
          <w:lang w:eastAsia="x-none"/>
        </w:rPr>
      </w:pPr>
      <w:r w:rsidRPr="009D74D4">
        <w:rPr>
          <w:b/>
          <w:lang w:eastAsia="x-none"/>
        </w:rPr>
        <w:t>OP</w:t>
      </w:r>
      <w:r w:rsidRPr="009D74D4">
        <w:rPr>
          <w:lang w:eastAsia="x-none"/>
        </w:rPr>
        <w:tab/>
      </w:r>
      <w:r w:rsidRPr="009D74D4">
        <w:rPr>
          <w:lang w:eastAsia="x-none"/>
        </w:rPr>
        <w:tab/>
        <w:t>Operační program</w:t>
      </w:r>
    </w:p>
    <w:p w:rsidR="00877AC0" w:rsidRPr="009D74D4" w:rsidRDefault="00B61540" w:rsidP="00DD4C93">
      <w:pPr>
        <w:spacing w:after="0"/>
        <w:jc w:val="both"/>
        <w:rPr>
          <w:lang w:eastAsia="x-none"/>
        </w:rPr>
      </w:pPr>
      <w:r w:rsidRPr="009D74D4">
        <w:rPr>
          <w:b/>
          <w:lang w:eastAsia="x-none"/>
        </w:rPr>
        <w:t xml:space="preserve">OP </w:t>
      </w:r>
      <w:proofErr w:type="spellStart"/>
      <w:r w:rsidRPr="009D74D4">
        <w:rPr>
          <w:b/>
          <w:lang w:eastAsia="x-none"/>
        </w:rPr>
        <w:t>VaVpI</w:t>
      </w:r>
      <w:proofErr w:type="spellEnd"/>
      <w:r w:rsidRPr="009D74D4">
        <w:rPr>
          <w:lang w:eastAsia="x-none"/>
        </w:rPr>
        <w:tab/>
        <w:t>Operační program Výzkum a vývoj pro inovace</w:t>
      </w:r>
    </w:p>
    <w:p w:rsidR="00EC0E82" w:rsidRPr="009D74D4" w:rsidRDefault="00EC0E82" w:rsidP="00DD4C93">
      <w:pPr>
        <w:spacing w:after="0"/>
        <w:jc w:val="both"/>
        <w:rPr>
          <w:lang w:eastAsia="x-none"/>
        </w:rPr>
      </w:pPr>
      <w:r w:rsidRPr="009D74D4">
        <w:rPr>
          <w:b/>
          <w:lang w:eastAsia="x-none"/>
        </w:rPr>
        <w:t>OP VVV</w:t>
      </w:r>
      <w:r w:rsidR="00E47748">
        <w:rPr>
          <w:lang w:eastAsia="x-none"/>
        </w:rPr>
        <w:tab/>
      </w:r>
      <w:r w:rsidRPr="009D74D4">
        <w:rPr>
          <w:lang w:eastAsia="x-none"/>
        </w:rPr>
        <w:t>Operační program Výzkum, vývoj a vzdělávání</w:t>
      </w:r>
    </w:p>
    <w:p w:rsidR="0095035F" w:rsidRPr="009D74D4" w:rsidRDefault="0095035F" w:rsidP="00DD4C93">
      <w:pPr>
        <w:spacing w:after="0"/>
        <w:jc w:val="both"/>
        <w:rPr>
          <w:bCs/>
          <w:lang w:eastAsia="x-none"/>
        </w:rPr>
      </w:pPr>
      <w:r w:rsidRPr="009D74D4">
        <w:rPr>
          <w:b/>
          <w:bCs/>
          <w:lang w:eastAsia="x-none"/>
        </w:rPr>
        <w:t>PCO</w:t>
      </w:r>
      <w:r w:rsidRPr="009D74D4">
        <w:rPr>
          <w:bCs/>
          <w:lang w:eastAsia="x-none"/>
        </w:rPr>
        <w:tab/>
      </w:r>
      <w:r w:rsidRPr="009D74D4">
        <w:rPr>
          <w:bCs/>
          <w:lang w:eastAsia="x-none"/>
        </w:rPr>
        <w:tab/>
        <w:t>Platební a certifikační orgán (Ministerstvo financí)</w:t>
      </w:r>
    </w:p>
    <w:p w:rsidR="007267A1" w:rsidRPr="007267A1" w:rsidRDefault="007267A1" w:rsidP="00DD4C93">
      <w:pPr>
        <w:spacing w:after="0"/>
        <w:jc w:val="both"/>
        <w:rPr>
          <w:bCs/>
          <w:lang w:eastAsia="x-none"/>
        </w:rPr>
      </w:pPr>
      <w:r w:rsidRPr="007267A1">
        <w:rPr>
          <w:b/>
          <w:bCs/>
          <w:lang w:eastAsia="x-none"/>
        </w:rPr>
        <w:t>PM</w:t>
      </w:r>
      <w:r>
        <w:rPr>
          <w:b/>
          <w:bCs/>
          <w:lang w:eastAsia="x-none"/>
        </w:rPr>
        <w:tab/>
      </w:r>
      <w:r>
        <w:rPr>
          <w:b/>
          <w:bCs/>
          <w:lang w:eastAsia="x-none"/>
        </w:rPr>
        <w:tab/>
      </w:r>
      <w:r w:rsidR="00A578AE">
        <w:rPr>
          <w:bCs/>
          <w:lang w:eastAsia="x-none"/>
        </w:rPr>
        <w:t>Projektový manaže</w:t>
      </w:r>
      <w:r>
        <w:rPr>
          <w:bCs/>
          <w:lang w:eastAsia="x-none"/>
        </w:rPr>
        <w:t>r</w:t>
      </w:r>
    </w:p>
    <w:p w:rsidR="002614A5" w:rsidRPr="009D74D4" w:rsidRDefault="002614A5" w:rsidP="00DD4C93">
      <w:pPr>
        <w:spacing w:after="0"/>
        <w:jc w:val="both"/>
        <w:rPr>
          <w:bCs/>
          <w:lang w:eastAsia="x-none"/>
        </w:rPr>
      </w:pPr>
      <w:r w:rsidRPr="009D74D4">
        <w:rPr>
          <w:b/>
          <w:bCs/>
          <w:lang w:eastAsia="x-none"/>
        </w:rPr>
        <w:t>PO</w:t>
      </w:r>
      <w:r w:rsidRPr="009D74D4">
        <w:rPr>
          <w:b/>
          <w:bCs/>
          <w:lang w:eastAsia="x-none"/>
        </w:rPr>
        <w:tab/>
      </w:r>
      <w:r w:rsidRPr="009D74D4">
        <w:rPr>
          <w:b/>
          <w:bCs/>
          <w:lang w:eastAsia="x-none"/>
        </w:rPr>
        <w:tab/>
      </w:r>
      <w:r w:rsidRPr="009D74D4">
        <w:rPr>
          <w:bCs/>
          <w:lang w:eastAsia="x-none"/>
        </w:rPr>
        <w:t>Prioritní osa</w:t>
      </w:r>
    </w:p>
    <w:p w:rsidR="00540087" w:rsidRPr="009D74D4" w:rsidRDefault="00540087" w:rsidP="00DD4C93">
      <w:pPr>
        <w:spacing w:after="0"/>
        <w:jc w:val="both"/>
        <w:rPr>
          <w:bCs/>
          <w:lang w:eastAsia="x-none"/>
        </w:rPr>
      </w:pPr>
      <w:proofErr w:type="spellStart"/>
      <w:r w:rsidRPr="009D74D4">
        <w:rPr>
          <w:b/>
          <w:bCs/>
          <w:lang w:eastAsia="x-none"/>
        </w:rPr>
        <w:t>RoPD</w:t>
      </w:r>
      <w:proofErr w:type="spellEnd"/>
      <w:r w:rsidRPr="009D74D4">
        <w:rPr>
          <w:b/>
          <w:bCs/>
          <w:lang w:eastAsia="x-none"/>
        </w:rPr>
        <w:tab/>
      </w:r>
      <w:r w:rsidRPr="009D74D4">
        <w:rPr>
          <w:b/>
          <w:bCs/>
          <w:lang w:eastAsia="x-none"/>
        </w:rPr>
        <w:tab/>
      </w:r>
      <w:r w:rsidRPr="009D74D4">
        <w:rPr>
          <w:bCs/>
          <w:lang w:eastAsia="x-none"/>
        </w:rPr>
        <w:t>Rozhodnutí o poskytnutí dotace</w:t>
      </w:r>
    </w:p>
    <w:p w:rsidR="00BC7758" w:rsidRPr="009D74D4" w:rsidRDefault="00BC7758" w:rsidP="00DD4C93">
      <w:pPr>
        <w:spacing w:after="0"/>
        <w:jc w:val="both"/>
        <w:rPr>
          <w:lang w:eastAsia="x-none"/>
        </w:rPr>
      </w:pPr>
      <w:r w:rsidRPr="009D74D4">
        <w:rPr>
          <w:b/>
          <w:lang w:eastAsia="x-none"/>
        </w:rPr>
        <w:t>ŘO</w:t>
      </w:r>
      <w:r w:rsidRPr="009D74D4">
        <w:rPr>
          <w:lang w:eastAsia="x-none"/>
        </w:rPr>
        <w:tab/>
      </w:r>
      <w:r w:rsidRPr="009D74D4">
        <w:rPr>
          <w:lang w:eastAsia="x-none"/>
        </w:rPr>
        <w:tab/>
        <w:t>Řídicí orgán</w:t>
      </w:r>
      <w:r w:rsidR="00786BDF" w:rsidRPr="009D74D4">
        <w:rPr>
          <w:lang w:eastAsia="x-none"/>
        </w:rPr>
        <w:t xml:space="preserve"> (Ministerstvo školství, mládeže a tělovýchovy)</w:t>
      </w:r>
    </w:p>
    <w:p w:rsidR="00B61540" w:rsidRPr="009D74D4" w:rsidRDefault="00B61540" w:rsidP="00DD4C93">
      <w:pPr>
        <w:spacing w:after="0"/>
        <w:ind w:left="1418" w:hanging="1418"/>
        <w:jc w:val="both"/>
        <w:rPr>
          <w:lang w:eastAsia="x-none"/>
        </w:rPr>
      </w:pPr>
      <w:r w:rsidRPr="009D74D4">
        <w:rPr>
          <w:b/>
          <w:lang w:eastAsia="x-none"/>
        </w:rPr>
        <w:t xml:space="preserve">ŘO OP </w:t>
      </w:r>
      <w:proofErr w:type="spellStart"/>
      <w:r w:rsidRPr="009D74D4">
        <w:rPr>
          <w:b/>
          <w:lang w:eastAsia="x-none"/>
        </w:rPr>
        <w:t>VaVpI</w:t>
      </w:r>
      <w:proofErr w:type="spellEnd"/>
      <w:r w:rsidRPr="009D74D4">
        <w:rPr>
          <w:lang w:eastAsia="x-none"/>
        </w:rPr>
        <w:tab/>
        <w:t>Řídicí orgán pro Operační program Výzkum a vývoj pro inovace</w:t>
      </w:r>
      <w:r w:rsidR="00786BDF" w:rsidRPr="009D74D4">
        <w:rPr>
          <w:lang w:eastAsia="x-none"/>
        </w:rPr>
        <w:t xml:space="preserve"> (Ministerstvo školství, mládeže a tělovýchovy)</w:t>
      </w:r>
    </w:p>
    <w:p w:rsidR="0029729C" w:rsidRDefault="0029729C" w:rsidP="00DD4C93">
      <w:pPr>
        <w:spacing w:after="0"/>
        <w:ind w:left="1418" w:hanging="1418"/>
        <w:jc w:val="both"/>
        <w:rPr>
          <w:b/>
          <w:lang w:eastAsia="x-none"/>
        </w:rPr>
      </w:pPr>
      <w:r>
        <w:rPr>
          <w:b/>
          <w:lang w:eastAsia="x-none"/>
        </w:rPr>
        <w:t>SEA</w:t>
      </w:r>
      <w:r>
        <w:rPr>
          <w:b/>
          <w:lang w:eastAsia="x-none"/>
        </w:rPr>
        <w:tab/>
      </w:r>
      <w:r w:rsidRPr="0029729C">
        <w:rPr>
          <w:lang w:eastAsia="x-none"/>
        </w:rPr>
        <w:t xml:space="preserve">Posuzování vlivu provádění OP </w:t>
      </w:r>
      <w:proofErr w:type="spellStart"/>
      <w:r w:rsidRPr="0029729C">
        <w:rPr>
          <w:lang w:eastAsia="x-none"/>
        </w:rPr>
        <w:t>VaVpI</w:t>
      </w:r>
      <w:proofErr w:type="spellEnd"/>
      <w:r w:rsidRPr="0029729C">
        <w:rPr>
          <w:lang w:eastAsia="x-none"/>
        </w:rPr>
        <w:t xml:space="preserve"> na životní prostředí a veřejné zdraví</w:t>
      </w:r>
    </w:p>
    <w:p w:rsidR="00DA1D68" w:rsidRPr="009D74D4" w:rsidRDefault="003A7DD5" w:rsidP="00DD4C93">
      <w:pPr>
        <w:spacing w:after="0"/>
        <w:ind w:left="1418" w:hanging="1418"/>
        <w:jc w:val="both"/>
        <w:rPr>
          <w:color w:val="FF0000"/>
          <w:lang w:eastAsia="x-none"/>
        </w:rPr>
      </w:pPr>
      <w:r w:rsidRPr="009D74D4">
        <w:rPr>
          <w:b/>
          <w:lang w:eastAsia="x-none"/>
        </w:rPr>
        <w:t>SFC</w:t>
      </w:r>
      <w:r w:rsidR="00F64662" w:rsidRPr="009D74D4">
        <w:rPr>
          <w:b/>
          <w:lang w:eastAsia="x-none"/>
        </w:rPr>
        <w:t>2007</w:t>
      </w:r>
      <w:r w:rsidRPr="009D74D4">
        <w:rPr>
          <w:b/>
          <w:lang w:eastAsia="x-none"/>
        </w:rPr>
        <w:tab/>
      </w:r>
      <w:r w:rsidR="00A578AE">
        <w:rPr>
          <w:lang w:eastAsia="x-none"/>
        </w:rPr>
        <w:t>I</w:t>
      </w:r>
      <w:r w:rsidR="00DA1D68" w:rsidRPr="009D74D4">
        <w:rPr>
          <w:lang w:eastAsia="x-none"/>
        </w:rPr>
        <w:t>nformační systém Evropské komise tvořený Informač</w:t>
      </w:r>
      <w:r w:rsidR="00442BB4">
        <w:rPr>
          <w:lang w:eastAsia="x-none"/>
        </w:rPr>
        <w:t>ním systémem a </w:t>
      </w:r>
      <w:r w:rsidR="00DA1D68" w:rsidRPr="009D74D4">
        <w:rPr>
          <w:lang w:eastAsia="x-none"/>
        </w:rPr>
        <w:t xml:space="preserve">Systémem finančního řízení (zkratka anglického výrazu </w:t>
      </w:r>
      <w:proofErr w:type="spellStart"/>
      <w:r w:rsidR="00DA1D68" w:rsidRPr="009D74D4">
        <w:rPr>
          <w:lang w:eastAsia="x-none"/>
        </w:rPr>
        <w:t>System</w:t>
      </w:r>
      <w:proofErr w:type="spellEnd"/>
      <w:r w:rsidR="00DA1D68" w:rsidRPr="009D74D4">
        <w:rPr>
          <w:lang w:eastAsia="x-none"/>
        </w:rPr>
        <w:t xml:space="preserve"> </w:t>
      </w:r>
      <w:proofErr w:type="spellStart"/>
      <w:r w:rsidR="00DA1D68" w:rsidRPr="009D74D4">
        <w:rPr>
          <w:lang w:eastAsia="x-none"/>
        </w:rPr>
        <w:t>for</w:t>
      </w:r>
      <w:proofErr w:type="spellEnd"/>
      <w:r w:rsidR="00DA1D68" w:rsidRPr="009D74D4">
        <w:rPr>
          <w:lang w:eastAsia="x-none"/>
        </w:rPr>
        <w:t xml:space="preserve"> </w:t>
      </w:r>
      <w:proofErr w:type="spellStart"/>
      <w:r w:rsidR="00DA1D68" w:rsidRPr="009D74D4">
        <w:rPr>
          <w:lang w:eastAsia="x-none"/>
        </w:rPr>
        <w:t>Fund</w:t>
      </w:r>
      <w:proofErr w:type="spellEnd"/>
      <w:r w:rsidR="00DA1D68" w:rsidRPr="009D74D4">
        <w:rPr>
          <w:lang w:eastAsia="x-none"/>
        </w:rPr>
        <w:t xml:space="preserve"> management in </w:t>
      </w:r>
      <w:proofErr w:type="spellStart"/>
      <w:r w:rsidR="00DA1D68" w:rsidRPr="009D74D4">
        <w:rPr>
          <w:lang w:eastAsia="x-none"/>
        </w:rPr>
        <w:t>the</w:t>
      </w:r>
      <w:proofErr w:type="spellEnd"/>
      <w:r w:rsidR="00DA1D68" w:rsidRPr="009D74D4">
        <w:rPr>
          <w:lang w:eastAsia="x-none"/>
        </w:rPr>
        <w:t xml:space="preserve"> </w:t>
      </w:r>
      <w:proofErr w:type="spellStart"/>
      <w:r w:rsidR="00DA1D68" w:rsidRPr="009D74D4">
        <w:rPr>
          <w:lang w:eastAsia="x-none"/>
        </w:rPr>
        <w:t>European</w:t>
      </w:r>
      <w:proofErr w:type="spellEnd"/>
      <w:r w:rsidR="00DA1D68" w:rsidRPr="009D74D4">
        <w:rPr>
          <w:lang w:eastAsia="x-none"/>
        </w:rPr>
        <w:t xml:space="preserve"> </w:t>
      </w:r>
      <w:proofErr w:type="spellStart"/>
      <w:r w:rsidR="00DA1D68" w:rsidRPr="009D74D4">
        <w:rPr>
          <w:lang w:eastAsia="x-none"/>
        </w:rPr>
        <w:t>Community</w:t>
      </w:r>
      <w:proofErr w:type="spellEnd"/>
      <w:r w:rsidR="00DA1D68" w:rsidRPr="009D74D4">
        <w:rPr>
          <w:lang w:eastAsia="x-none"/>
        </w:rPr>
        <w:t xml:space="preserve"> 2007—2013)</w:t>
      </w:r>
      <w:r w:rsidR="00DA1D68" w:rsidRPr="009D74D4">
        <w:rPr>
          <w:b/>
          <w:lang w:eastAsia="x-none"/>
        </w:rPr>
        <w:t xml:space="preserve"> </w:t>
      </w:r>
    </w:p>
    <w:p w:rsidR="009D7203" w:rsidRDefault="009D7203" w:rsidP="00DD4C93">
      <w:pPr>
        <w:spacing w:after="0"/>
        <w:ind w:left="1418" w:hanging="1418"/>
        <w:jc w:val="both"/>
        <w:rPr>
          <w:lang w:eastAsia="x-none"/>
        </w:rPr>
      </w:pPr>
      <w:r w:rsidRPr="009D74D4">
        <w:rPr>
          <w:b/>
          <w:lang w:eastAsia="x-none"/>
        </w:rPr>
        <w:t>SUSEN</w:t>
      </w:r>
      <w:r w:rsidR="00C37669" w:rsidRPr="009D74D4">
        <w:rPr>
          <w:b/>
          <w:lang w:eastAsia="x-none"/>
        </w:rPr>
        <w:tab/>
      </w:r>
      <w:r w:rsidR="00083735" w:rsidRPr="009D74D4">
        <w:rPr>
          <w:lang w:eastAsia="x-none"/>
        </w:rPr>
        <w:t xml:space="preserve">UDRŽITELNÁ ENERGETIKA (SUSTAINABLE ENERGY) </w:t>
      </w:r>
      <w:r w:rsidR="00C37669" w:rsidRPr="009D74D4">
        <w:rPr>
          <w:lang w:eastAsia="x-none"/>
        </w:rPr>
        <w:t>– velký pr</w:t>
      </w:r>
      <w:r w:rsidR="00EC139B">
        <w:rPr>
          <w:lang w:eastAsia="x-none"/>
        </w:rPr>
        <w:t>ojekt realizovaný v</w:t>
      </w:r>
      <w:r w:rsidR="00C37669" w:rsidRPr="009D74D4">
        <w:rPr>
          <w:lang w:eastAsia="x-none"/>
        </w:rPr>
        <w:t xml:space="preserve"> PO 2</w:t>
      </w:r>
    </w:p>
    <w:p w:rsidR="004914E5" w:rsidRDefault="004914E5" w:rsidP="00DD4C93">
      <w:pPr>
        <w:spacing w:after="0"/>
        <w:ind w:left="1418" w:hanging="1418"/>
        <w:jc w:val="both"/>
        <w:rPr>
          <w:lang w:eastAsia="x-none"/>
        </w:rPr>
      </w:pPr>
      <w:proofErr w:type="spellStart"/>
      <w:r>
        <w:rPr>
          <w:b/>
          <w:lang w:eastAsia="x-none"/>
        </w:rPr>
        <w:t>SŽoP</w:t>
      </w:r>
      <w:proofErr w:type="spellEnd"/>
      <w:r>
        <w:rPr>
          <w:b/>
          <w:lang w:eastAsia="x-none"/>
        </w:rPr>
        <w:tab/>
      </w:r>
      <w:r w:rsidR="005625FB">
        <w:rPr>
          <w:lang w:eastAsia="x-none"/>
        </w:rPr>
        <w:t>Souhrnná žádost</w:t>
      </w:r>
      <w:r>
        <w:rPr>
          <w:lang w:eastAsia="x-none"/>
        </w:rPr>
        <w:t xml:space="preserve"> o platbu</w:t>
      </w:r>
    </w:p>
    <w:p w:rsidR="009F0B6E" w:rsidRDefault="009F0B6E" w:rsidP="009F0B6E">
      <w:pPr>
        <w:spacing w:after="0"/>
        <w:ind w:left="1418" w:hanging="1418"/>
        <w:jc w:val="both"/>
        <w:rPr>
          <w:lang w:eastAsia="x-none"/>
        </w:rPr>
      </w:pPr>
      <w:r w:rsidRPr="009F0B6E">
        <w:rPr>
          <w:b/>
          <w:lang w:eastAsia="x-none"/>
        </w:rPr>
        <w:t>ZMZ</w:t>
      </w:r>
      <w:r w:rsidRPr="009F0B6E">
        <w:rPr>
          <w:b/>
          <w:lang w:eastAsia="x-none"/>
        </w:rPr>
        <w:tab/>
      </w:r>
      <w:r w:rsidRPr="009F0B6E">
        <w:rPr>
          <w:lang w:eastAsia="x-none"/>
        </w:rPr>
        <w:t>Závěrečná</w:t>
      </w:r>
      <w:r w:rsidRPr="009F0B6E">
        <w:rPr>
          <w:b/>
          <w:lang w:eastAsia="x-none"/>
        </w:rPr>
        <w:t xml:space="preserve"> </w:t>
      </w:r>
      <w:r w:rsidRPr="009F0B6E">
        <w:rPr>
          <w:lang w:eastAsia="x-none"/>
        </w:rPr>
        <w:t>monitorovací zpráva</w:t>
      </w:r>
    </w:p>
    <w:p w:rsidR="002000D2" w:rsidRPr="002000D2" w:rsidRDefault="002000D2" w:rsidP="009F0B6E">
      <w:pPr>
        <w:spacing w:after="0"/>
        <w:ind w:left="1418" w:hanging="1418"/>
        <w:jc w:val="both"/>
        <w:rPr>
          <w:lang w:eastAsia="x-none"/>
        </w:rPr>
      </w:pPr>
      <w:r w:rsidRPr="002000D2">
        <w:rPr>
          <w:b/>
          <w:lang w:eastAsia="x-none"/>
        </w:rPr>
        <w:lastRenderedPageBreak/>
        <w:t>ZV</w:t>
      </w:r>
      <w:r>
        <w:rPr>
          <w:b/>
          <w:lang w:eastAsia="x-none"/>
        </w:rPr>
        <w:tab/>
      </w:r>
      <w:r>
        <w:rPr>
          <w:lang w:eastAsia="x-none"/>
        </w:rPr>
        <w:t>Způsobilé výdaje</w:t>
      </w:r>
    </w:p>
    <w:p w:rsidR="009F0B6E" w:rsidRPr="009F0B6E" w:rsidRDefault="009F0B6E" w:rsidP="009F0B6E">
      <w:pPr>
        <w:spacing w:after="0"/>
        <w:ind w:left="1418" w:hanging="1418"/>
        <w:jc w:val="both"/>
        <w:rPr>
          <w:b/>
          <w:lang w:eastAsia="x-none"/>
        </w:rPr>
      </w:pPr>
      <w:proofErr w:type="spellStart"/>
      <w:r w:rsidRPr="009F0B6E">
        <w:rPr>
          <w:b/>
          <w:lang w:eastAsia="x-none"/>
        </w:rPr>
        <w:t>ZŽoP</w:t>
      </w:r>
      <w:proofErr w:type="spellEnd"/>
      <w:r w:rsidRPr="009F0B6E">
        <w:rPr>
          <w:b/>
          <w:lang w:eastAsia="x-none"/>
        </w:rPr>
        <w:tab/>
      </w:r>
      <w:r w:rsidRPr="009F0B6E">
        <w:rPr>
          <w:lang w:eastAsia="x-none"/>
        </w:rPr>
        <w:t>Závěrečná žádost o platbu</w:t>
      </w:r>
    </w:p>
    <w:p w:rsidR="009F0B6E" w:rsidRPr="009F0B6E" w:rsidRDefault="009F0B6E" w:rsidP="009F0B6E">
      <w:pPr>
        <w:spacing w:after="0"/>
        <w:ind w:left="1418" w:hanging="1418"/>
        <w:jc w:val="both"/>
        <w:rPr>
          <w:lang w:eastAsia="x-none"/>
        </w:rPr>
      </w:pPr>
      <w:proofErr w:type="spellStart"/>
      <w:r w:rsidRPr="009F0B6E">
        <w:rPr>
          <w:b/>
          <w:lang w:eastAsia="x-none"/>
        </w:rPr>
        <w:t>ŽoP</w:t>
      </w:r>
      <w:proofErr w:type="spellEnd"/>
      <w:r>
        <w:rPr>
          <w:b/>
          <w:lang w:eastAsia="x-none"/>
        </w:rPr>
        <w:tab/>
      </w:r>
      <w:r>
        <w:rPr>
          <w:lang w:eastAsia="x-none"/>
        </w:rPr>
        <w:t>Ž</w:t>
      </w:r>
      <w:r w:rsidRPr="009F0B6E">
        <w:rPr>
          <w:lang w:eastAsia="x-none"/>
        </w:rPr>
        <w:t>ádost o platbu</w:t>
      </w:r>
    </w:p>
    <w:p w:rsidR="009F0B6E" w:rsidRPr="004914E5" w:rsidRDefault="009F0B6E" w:rsidP="00DD4C93">
      <w:pPr>
        <w:spacing w:after="0"/>
        <w:ind w:left="1418" w:hanging="1418"/>
        <w:jc w:val="both"/>
        <w:rPr>
          <w:lang w:eastAsia="x-none"/>
        </w:rPr>
      </w:pPr>
    </w:p>
    <w:p w:rsidR="007101E0" w:rsidRDefault="007101E0" w:rsidP="00D64801">
      <w:pPr>
        <w:pStyle w:val="Nadpis1"/>
        <w:numPr>
          <w:ilvl w:val="0"/>
          <w:numId w:val="0"/>
        </w:numPr>
        <w:ind w:left="360"/>
        <w:sectPr w:rsidR="007101E0" w:rsidSect="00897CF7">
          <w:pgSz w:w="11906" w:h="16838" w:code="9"/>
          <w:pgMar w:top="1276" w:right="1418" w:bottom="1418" w:left="1418" w:header="709" w:footer="340" w:gutter="0"/>
          <w:cols w:space="708"/>
          <w:titlePg/>
          <w:docGrid w:linePitch="360"/>
        </w:sectPr>
      </w:pPr>
    </w:p>
    <w:p w:rsidR="007201B1" w:rsidRPr="00D64801" w:rsidRDefault="007201B1" w:rsidP="00D64801">
      <w:pPr>
        <w:pStyle w:val="Nadpis1"/>
        <w:numPr>
          <w:ilvl w:val="0"/>
          <w:numId w:val="0"/>
        </w:numPr>
        <w:ind w:left="360"/>
      </w:pPr>
      <w:bookmarkStart w:id="127" w:name="_Toc417393030"/>
      <w:r w:rsidRPr="0024790D">
        <w:lastRenderedPageBreak/>
        <w:t>Seznam grafů</w:t>
      </w:r>
      <w:bookmarkEnd w:id="127"/>
    </w:p>
    <w:p w:rsidR="004C0EEB" w:rsidRDefault="00426E2C">
      <w:pPr>
        <w:pStyle w:val="Seznamobrzk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>
        <w:rPr>
          <w:b/>
          <w:lang w:eastAsia="x-none"/>
        </w:rPr>
        <w:fldChar w:fldCharType="begin"/>
      </w:r>
      <w:r>
        <w:rPr>
          <w:b/>
          <w:lang w:eastAsia="x-none"/>
        </w:rPr>
        <w:instrText xml:space="preserve"> TOC \f F \h \z \t "Tab_Report" \c </w:instrText>
      </w:r>
      <w:r>
        <w:rPr>
          <w:b/>
          <w:lang w:eastAsia="x-none"/>
        </w:rPr>
        <w:fldChar w:fldCharType="separate"/>
      </w:r>
    </w:p>
    <w:p w:rsidR="004C0EEB" w:rsidRDefault="000B44EC">
      <w:pPr>
        <w:pStyle w:val="Seznamobrzk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17339659" w:history="1">
        <w:r w:rsidR="004C0EEB" w:rsidRPr="0079725B">
          <w:rPr>
            <w:rStyle w:val="Hypertextovodkaz"/>
            <w:noProof/>
          </w:rPr>
          <w:t>Graf č. 1 Částka SŽoP doposud zaúčtovaných ze strany PCO v mil. Kč a mil. EUR (EU podíl)</w:t>
        </w:r>
        <w:r w:rsidR="004C0EEB">
          <w:rPr>
            <w:noProof/>
            <w:webHidden/>
          </w:rPr>
          <w:tab/>
        </w:r>
        <w:r w:rsidR="004C0EEB">
          <w:rPr>
            <w:noProof/>
            <w:webHidden/>
          </w:rPr>
          <w:fldChar w:fldCharType="begin"/>
        </w:r>
        <w:r w:rsidR="004C0EEB">
          <w:rPr>
            <w:noProof/>
            <w:webHidden/>
          </w:rPr>
          <w:instrText xml:space="preserve"> PAGEREF _Toc417339659 \h </w:instrText>
        </w:r>
        <w:r w:rsidR="004C0EEB">
          <w:rPr>
            <w:noProof/>
            <w:webHidden/>
          </w:rPr>
        </w:r>
        <w:r w:rsidR="004C0EEB">
          <w:rPr>
            <w:noProof/>
            <w:webHidden/>
          </w:rPr>
          <w:fldChar w:fldCharType="separate"/>
        </w:r>
        <w:r w:rsidR="0008201C">
          <w:rPr>
            <w:noProof/>
            <w:webHidden/>
          </w:rPr>
          <w:t>9</w:t>
        </w:r>
        <w:r w:rsidR="004C0EEB">
          <w:rPr>
            <w:noProof/>
            <w:webHidden/>
          </w:rPr>
          <w:fldChar w:fldCharType="end"/>
        </w:r>
      </w:hyperlink>
    </w:p>
    <w:p w:rsidR="004C0EEB" w:rsidRDefault="000B44EC">
      <w:pPr>
        <w:pStyle w:val="Seznamobrzk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17339660" w:history="1">
        <w:r w:rsidR="004C0EEB" w:rsidRPr="0079725B">
          <w:rPr>
            <w:rStyle w:val="Hypertextovodkaz"/>
            <w:noProof/>
          </w:rPr>
          <w:t>Graf č. 2 Objem certifikovaných výdajů do 31. 12. 2014 v mil. EUR (EU podíl)</w:t>
        </w:r>
        <w:r w:rsidR="004C0EEB">
          <w:rPr>
            <w:noProof/>
            <w:webHidden/>
          </w:rPr>
          <w:tab/>
        </w:r>
        <w:r w:rsidR="004C0EEB">
          <w:rPr>
            <w:noProof/>
            <w:webHidden/>
          </w:rPr>
          <w:fldChar w:fldCharType="begin"/>
        </w:r>
        <w:r w:rsidR="004C0EEB">
          <w:rPr>
            <w:noProof/>
            <w:webHidden/>
          </w:rPr>
          <w:instrText xml:space="preserve"> PAGEREF _Toc417339660 \h </w:instrText>
        </w:r>
        <w:r w:rsidR="004C0EEB">
          <w:rPr>
            <w:noProof/>
            <w:webHidden/>
          </w:rPr>
        </w:r>
        <w:r w:rsidR="004C0EEB">
          <w:rPr>
            <w:noProof/>
            <w:webHidden/>
          </w:rPr>
          <w:fldChar w:fldCharType="separate"/>
        </w:r>
        <w:r w:rsidR="0008201C">
          <w:rPr>
            <w:noProof/>
            <w:webHidden/>
          </w:rPr>
          <w:t>10</w:t>
        </w:r>
        <w:r w:rsidR="004C0EEB">
          <w:rPr>
            <w:noProof/>
            <w:webHidden/>
          </w:rPr>
          <w:fldChar w:fldCharType="end"/>
        </w:r>
      </w:hyperlink>
    </w:p>
    <w:p w:rsidR="004C0EEB" w:rsidRDefault="000B44EC">
      <w:pPr>
        <w:pStyle w:val="Seznamobrzk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17339661" w:history="1">
        <w:r w:rsidR="004C0EEB" w:rsidRPr="0079725B">
          <w:rPr>
            <w:rStyle w:val="Hypertextovodkaz"/>
            <w:noProof/>
          </w:rPr>
          <w:t>Graf č. 3 Procentuální rozložení alokace OP VaVpI na PO před připravovanou revizí programového dokumentu (EU zdroj)</w:t>
        </w:r>
        <w:r w:rsidR="004C0EEB">
          <w:rPr>
            <w:noProof/>
            <w:webHidden/>
          </w:rPr>
          <w:tab/>
        </w:r>
        <w:r w:rsidR="004C0EEB">
          <w:rPr>
            <w:noProof/>
            <w:webHidden/>
          </w:rPr>
          <w:fldChar w:fldCharType="begin"/>
        </w:r>
        <w:r w:rsidR="004C0EEB">
          <w:rPr>
            <w:noProof/>
            <w:webHidden/>
          </w:rPr>
          <w:instrText xml:space="preserve"> PAGEREF _Toc417339661 \h </w:instrText>
        </w:r>
        <w:r w:rsidR="004C0EEB">
          <w:rPr>
            <w:noProof/>
            <w:webHidden/>
          </w:rPr>
        </w:r>
        <w:r w:rsidR="004C0EEB">
          <w:rPr>
            <w:noProof/>
            <w:webHidden/>
          </w:rPr>
          <w:fldChar w:fldCharType="separate"/>
        </w:r>
        <w:r w:rsidR="0008201C">
          <w:rPr>
            <w:noProof/>
            <w:webHidden/>
          </w:rPr>
          <w:t>14</w:t>
        </w:r>
        <w:r w:rsidR="004C0EEB">
          <w:rPr>
            <w:noProof/>
            <w:webHidden/>
          </w:rPr>
          <w:fldChar w:fldCharType="end"/>
        </w:r>
      </w:hyperlink>
    </w:p>
    <w:p w:rsidR="004C0EEB" w:rsidRDefault="000B44EC">
      <w:pPr>
        <w:pStyle w:val="Seznamobrzk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17339662" w:history="1">
        <w:r w:rsidR="004C0EEB" w:rsidRPr="0079725B">
          <w:rPr>
            <w:rStyle w:val="Hypertextovodkaz"/>
            <w:noProof/>
          </w:rPr>
          <w:t>Graf č. 4 Procentuální rozložení alokace OP VaVpI na PO po připravované revizi programového dokumentu (EU zdroj)</w:t>
        </w:r>
        <w:r w:rsidR="004C0EEB">
          <w:rPr>
            <w:noProof/>
            <w:webHidden/>
          </w:rPr>
          <w:tab/>
        </w:r>
        <w:r w:rsidR="004C0EEB">
          <w:rPr>
            <w:noProof/>
            <w:webHidden/>
          </w:rPr>
          <w:fldChar w:fldCharType="begin"/>
        </w:r>
        <w:r w:rsidR="004C0EEB">
          <w:rPr>
            <w:noProof/>
            <w:webHidden/>
          </w:rPr>
          <w:instrText xml:space="preserve"> PAGEREF _Toc417339662 \h </w:instrText>
        </w:r>
        <w:r w:rsidR="004C0EEB">
          <w:rPr>
            <w:noProof/>
            <w:webHidden/>
          </w:rPr>
        </w:r>
        <w:r w:rsidR="004C0EEB">
          <w:rPr>
            <w:noProof/>
            <w:webHidden/>
          </w:rPr>
          <w:fldChar w:fldCharType="separate"/>
        </w:r>
        <w:r w:rsidR="0008201C">
          <w:rPr>
            <w:noProof/>
            <w:webHidden/>
          </w:rPr>
          <w:t>14</w:t>
        </w:r>
        <w:r w:rsidR="004C0EEB">
          <w:rPr>
            <w:noProof/>
            <w:webHidden/>
          </w:rPr>
          <w:fldChar w:fldCharType="end"/>
        </w:r>
      </w:hyperlink>
    </w:p>
    <w:p w:rsidR="007201B1" w:rsidRPr="009D74D4" w:rsidRDefault="00426E2C" w:rsidP="009D7203">
      <w:pPr>
        <w:spacing w:after="0"/>
        <w:ind w:left="1418" w:hanging="1418"/>
        <w:rPr>
          <w:b/>
          <w:lang w:eastAsia="x-none"/>
        </w:rPr>
      </w:pPr>
      <w:r>
        <w:rPr>
          <w:b/>
          <w:lang w:eastAsia="x-none"/>
        </w:rPr>
        <w:fldChar w:fldCharType="end"/>
      </w:r>
    </w:p>
    <w:sectPr w:rsidR="007201B1" w:rsidRPr="009D74D4" w:rsidSect="00897CF7">
      <w:pgSz w:w="11906" w:h="16838" w:code="9"/>
      <w:pgMar w:top="1276" w:right="1418" w:bottom="1418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33D" w:rsidRDefault="0082733D">
      <w:r>
        <w:separator/>
      </w:r>
    </w:p>
  </w:endnote>
  <w:endnote w:type="continuationSeparator" w:id="0">
    <w:p w:rsidR="0082733D" w:rsidRDefault="00827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D03" w:rsidRDefault="002D2D0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A79" w:rsidRPr="00D57D6E" w:rsidRDefault="00796A79">
    <w:pPr>
      <w:pStyle w:val="Zpat"/>
      <w:jc w:val="right"/>
    </w:pPr>
    <w:r>
      <w:rPr>
        <w:noProof/>
        <w:lang w:val="cs-CZ" w:eastAsia="cs-CZ"/>
      </w:rPr>
      <w:drawing>
        <wp:anchor distT="0" distB="0" distL="114300" distR="114300" simplePos="0" relativeHeight="251658240" behindDoc="0" locked="0" layoutInCell="1" allowOverlap="1" wp14:anchorId="302B5537" wp14:editId="0970F29B">
          <wp:simplePos x="0" y="0"/>
          <wp:positionH relativeFrom="column">
            <wp:posOffset>46990</wp:posOffset>
          </wp:positionH>
          <wp:positionV relativeFrom="paragraph">
            <wp:posOffset>-218440</wp:posOffset>
          </wp:positionV>
          <wp:extent cx="5449570" cy="939800"/>
          <wp:effectExtent l="0" t="0" r="0" b="0"/>
          <wp:wrapNone/>
          <wp:docPr id="18" name="obrázek 1" descr="3loga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3loga15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9570" cy="93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57D6E">
      <w:fldChar w:fldCharType="begin"/>
    </w:r>
    <w:r w:rsidRPr="00D57D6E">
      <w:instrText>PAGE   \* MERGEFORMAT</w:instrText>
    </w:r>
    <w:r w:rsidRPr="00D57D6E">
      <w:fldChar w:fldCharType="separate"/>
    </w:r>
    <w:r w:rsidR="002D2D03" w:rsidRPr="002D2D03">
      <w:rPr>
        <w:noProof/>
        <w:lang w:val="cs-CZ"/>
      </w:rPr>
      <w:t>2</w:t>
    </w:r>
    <w:r w:rsidRPr="00D57D6E">
      <w:fldChar w:fldCharType="end"/>
    </w:r>
  </w:p>
  <w:p w:rsidR="00796A79" w:rsidRPr="000C3CED" w:rsidRDefault="00796A79" w:rsidP="000C3CED">
    <w:pPr>
      <w:tabs>
        <w:tab w:val="left" w:pos="180"/>
        <w:tab w:val="right" w:pos="8820"/>
      </w:tabs>
      <w:ind w:right="-33"/>
      <w:rPr>
        <w:rFonts w:ascii="Arial" w:hAnsi="Arial" w:cs="Arial"/>
        <w:b/>
        <w:color w:val="008000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A79" w:rsidRPr="00D57D6E" w:rsidRDefault="00796A79">
    <w:pPr>
      <w:pStyle w:val="Zpat"/>
      <w:jc w:val="right"/>
    </w:pPr>
    <w:r w:rsidRPr="00D57D6E">
      <w:fldChar w:fldCharType="begin"/>
    </w:r>
    <w:r w:rsidRPr="00D57D6E">
      <w:instrText xml:space="preserve"> PAGE  \* Arabic  \* MERGEFORMAT </w:instrText>
    </w:r>
    <w:r w:rsidRPr="00D57D6E">
      <w:fldChar w:fldCharType="separate"/>
    </w:r>
    <w:r w:rsidR="002D2D03">
      <w:rPr>
        <w:noProof/>
      </w:rPr>
      <w:t>1</w:t>
    </w:r>
    <w:r w:rsidRPr="00D57D6E">
      <w:fldChar w:fldCharType="end"/>
    </w:r>
  </w:p>
  <w:p w:rsidR="00796A79" w:rsidRDefault="00796A7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33D" w:rsidRDefault="0082733D">
      <w:r>
        <w:separator/>
      </w:r>
    </w:p>
  </w:footnote>
  <w:footnote w:type="continuationSeparator" w:id="0">
    <w:p w:rsidR="0082733D" w:rsidRDefault="0082733D">
      <w:r>
        <w:continuationSeparator/>
      </w:r>
    </w:p>
  </w:footnote>
  <w:footnote w:id="1">
    <w:p w:rsidR="00796A79" w:rsidRPr="00433044" w:rsidRDefault="00796A79" w:rsidP="00C16778">
      <w:pPr>
        <w:pStyle w:val="Textpoznpodarou"/>
      </w:pPr>
      <w:r w:rsidRPr="000642D0">
        <w:rPr>
          <w:rStyle w:val="Znakapoznpodarou"/>
        </w:rPr>
        <w:footnoteRef/>
      </w:r>
      <w:r w:rsidRPr="00433044">
        <w:t xml:space="preserve"> Částka automa</w:t>
      </w:r>
      <w:r>
        <w:t>tického zrušení závazku (tzv. d</w:t>
      </w:r>
      <w:r>
        <w:rPr>
          <w:lang w:val="cs-CZ"/>
        </w:rPr>
        <w:t>e</w:t>
      </w:r>
      <w:proofErr w:type="spellStart"/>
      <w:r w:rsidRPr="00433044">
        <w:t>commitmentu</w:t>
      </w:r>
      <w:proofErr w:type="spellEnd"/>
      <w:r w:rsidRPr="00433044">
        <w:t>) po zohlednění aplikace článku 95 NAŘÍZENÍ RADY (ES) č. 1083/2006.</w:t>
      </w:r>
    </w:p>
  </w:footnote>
  <w:footnote w:id="2">
    <w:p w:rsidR="00796A79" w:rsidRPr="009C5B10" w:rsidRDefault="00796A79" w:rsidP="007E56D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 xml:space="preserve">Ve smyslu čl. 46 odst. 1, písm. a) </w:t>
      </w:r>
      <w:r>
        <w:t>N</w:t>
      </w:r>
      <w:r>
        <w:rPr>
          <w:lang w:val="cs-CZ"/>
        </w:rPr>
        <w:t>ařízení</w:t>
      </w:r>
      <w:r>
        <w:t xml:space="preserve"> R</w:t>
      </w:r>
      <w:r>
        <w:rPr>
          <w:lang w:val="cs-CZ"/>
        </w:rPr>
        <w:t>ady</w:t>
      </w:r>
      <w:r w:rsidRPr="007F2B75">
        <w:t xml:space="preserve"> (ES) č. 1083/2006</w:t>
      </w:r>
      <w:r>
        <w:rPr>
          <w:lang w:val="cs-CZ"/>
        </w:rPr>
        <w:t xml:space="preserve"> je povoleno v rámci OP alokovat na prioritní osu 5 (Technická pomoc) max. </w:t>
      </w:r>
      <w:r w:rsidRPr="007E56D3">
        <w:t>4 % celkové částky přidělené v rámci cílů „Konvergence“</w:t>
      </w:r>
      <w:r>
        <w:rPr>
          <w:lang w:val="cs-CZ"/>
        </w:rPr>
        <w:t xml:space="preserve"> </w:t>
      </w:r>
      <w:r w:rsidRPr="007E56D3">
        <w:rPr>
          <w:lang w:val="cs-CZ"/>
        </w:rPr>
        <w:t>a „Regionální konkurenceschopnost a zaměstnanost“</w:t>
      </w:r>
      <w:r>
        <w:rPr>
          <w:lang w:val="cs-CZ"/>
        </w:rPr>
        <w:t xml:space="preserve">. </w:t>
      </w:r>
      <w:r w:rsidR="002963AC">
        <w:rPr>
          <w:lang w:val="cs-CZ"/>
        </w:rPr>
        <w:t xml:space="preserve">Podpora z </w:t>
      </w:r>
      <w:proofErr w:type="gramStart"/>
      <w:r w:rsidR="002963AC">
        <w:rPr>
          <w:lang w:val="cs-CZ"/>
        </w:rPr>
        <w:t>OP</w:t>
      </w:r>
      <w:proofErr w:type="gramEnd"/>
      <w:r w:rsidR="002963AC">
        <w:rPr>
          <w:lang w:val="cs-CZ"/>
        </w:rPr>
        <w:t xml:space="preserve"> </w:t>
      </w:r>
      <w:proofErr w:type="spellStart"/>
      <w:r w:rsidR="002963AC">
        <w:rPr>
          <w:lang w:val="cs-CZ"/>
        </w:rPr>
        <w:t>VaVpI</w:t>
      </w:r>
      <w:proofErr w:type="spellEnd"/>
      <w:r w:rsidR="002963AC">
        <w:rPr>
          <w:lang w:val="cs-CZ"/>
        </w:rPr>
        <w:t xml:space="preserve"> je </w:t>
      </w:r>
      <w:r w:rsidRPr="001D793C">
        <w:rPr>
          <w:lang w:val="cs-CZ"/>
        </w:rPr>
        <w:t>poskytována v rámci cíle „Konvergence“</w:t>
      </w:r>
      <w:r>
        <w:rPr>
          <w:lang w:val="cs-CZ"/>
        </w:rPr>
        <w:t xml:space="preserve">. </w:t>
      </w:r>
    </w:p>
  </w:footnote>
  <w:footnote w:id="3">
    <w:p w:rsidR="00796A79" w:rsidRPr="008B7D21" w:rsidRDefault="00796A79" w:rsidP="008B7D21">
      <w:pPr>
        <w:pStyle w:val="Textpoznpodarou"/>
        <w:rPr>
          <w:highlight w:val="yellow"/>
        </w:rPr>
      </w:pPr>
      <w:r w:rsidRPr="007A70FC">
        <w:rPr>
          <w:rStyle w:val="Znakapoznpodarou"/>
        </w:rPr>
        <w:footnoteRef/>
      </w:r>
      <w:r w:rsidRPr="007A70FC">
        <w:t xml:space="preserve"> Dne 13. 6. 2014 byla ze strany Evropské komise (EK) schválena revize OP. S ohledem na končí</w:t>
      </w:r>
      <w:r>
        <w:t>cí programové období 2007–2013</w:t>
      </w:r>
      <w:r>
        <w:rPr>
          <w:lang w:val="cs-CZ"/>
        </w:rPr>
        <w:t xml:space="preserve">, </w:t>
      </w:r>
      <w:r w:rsidRPr="007A70FC">
        <w:t xml:space="preserve"> identifikované úspory v prioritní ose 3 a vyhlášenou výzvu číslo 3.4 Podpora infrastruktury pro výuku spojenou s výzkumem v prioritní ose 4</w:t>
      </w:r>
      <w:r>
        <w:rPr>
          <w:lang w:val="cs-CZ"/>
        </w:rPr>
        <w:t>,</w:t>
      </w:r>
      <w:r w:rsidRPr="007A70FC">
        <w:t xml:space="preserve"> došlo k převedení části finančních prostředků mezi prioritní osou 3 (PO 3) a prioritní osou 4 (PO 4), a to s</w:t>
      </w:r>
      <w:r>
        <w:t>ice realokac</w:t>
      </w:r>
      <w:r>
        <w:rPr>
          <w:lang w:val="cs-CZ"/>
        </w:rPr>
        <w:t>í</w:t>
      </w:r>
      <w:r w:rsidRPr="007A70FC">
        <w:t xml:space="preserve"> ve výši</w:t>
      </w:r>
      <w:r w:rsidRPr="007A70FC">
        <w:rPr>
          <w:lang w:val="cs-CZ"/>
        </w:rPr>
        <w:t xml:space="preserve"> </w:t>
      </w:r>
      <w:r w:rsidR="002963AC">
        <w:t>750</w:t>
      </w:r>
      <w:r w:rsidR="002963AC">
        <w:rPr>
          <w:lang w:val="cs-CZ"/>
        </w:rPr>
        <w:t> </w:t>
      </w:r>
      <w:r w:rsidR="002963AC">
        <w:t>000 000</w:t>
      </w:r>
      <w:r w:rsidR="002963AC">
        <w:rPr>
          <w:lang w:val="cs-CZ"/>
        </w:rPr>
        <w:t> </w:t>
      </w:r>
      <w:r w:rsidRPr="007A70FC">
        <w:t xml:space="preserve">Kč (27,2 mil. EUR) z PO 3 do PO 4. V rámci prioritní osy 5 došlo k přesunu prostředků z oblasti podpory 5.3 Absorpční kapacita OP </w:t>
      </w:r>
      <w:proofErr w:type="spellStart"/>
      <w:r w:rsidRPr="007A70FC">
        <w:t>Va</w:t>
      </w:r>
      <w:r>
        <w:t>VpI</w:t>
      </w:r>
      <w:proofErr w:type="spellEnd"/>
      <w:r>
        <w:t xml:space="preserve"> do</w:t>
      </w:r>
      <w:r>
        <w:rPr>
          <w:lang w:val="cs-CZ"/>
        </w:rPr>
        <w:t> </w:t>
      </w:r>
      <w:r w:rsidRPr="007A70FC">
        <w:t xml:space="preserve">oblasti podpory 5.2 Informovanost a publicita OP </w:t>
      </w:r>
      <w:proofErr w:type="spellStart"/>
      <w:r w:rsidRPr="007A70FC">
        <w:t>VaVpI</w:t>
      </w:r>
      <w:proofErr w:type="spellEnd"/>
      <w:r w:rsidRPr="007A70FC">
        <w:t>, a to ve výši 3 656 384 EUR. Dále došlo k úpravě cílových hodnot monitorovacích indikátorů, k přepočtu části týkající se kategorizace pomoci (rozdělení příspěvku z EU podle kategorie) či k zapracování textu o podpoře pražských veřejných vysokých škol (v souvislosti s podporou projektů z výzvy 3.4).</w:t>
      </w:r>
    </w:p>
  </w:footnote>
  <w:footnote w:id="4">
    <w:p w:rsidR="00796A79" w:rsidRPr="00BC0399" w:rsidRDefault="00796A79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0399">
        <w:rPr>
          <w:lang w:val="cs-CZ"/>
        </w:rPr>
        <w:t>Nařízení Rady (ES) č. 1083/2006</w:t>
      </w:r>
    </w:p>
  </w:footnote>
  <w:footnote w:id="5">
    <w:p w:rsidR="00796A79" w:rsidRPr="007C4C1B" w:rsidRDefault="00796A79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čl. 81</w:t>
      </w:r>
      <w:r w:rsidRPr="007C4C1B">
        <w:rPr>
          <w:lang w:val="cs-CZ"/>
        </w:rPr>
        <w:t xml:space="preserve"> odst. 3 Nařízení Rady (ES) č. 1083/2006</w:t>
      </w:r>
      <w:r>
        <w:rPr>
          <w:lang w:val="cs-CZ"/>
        </w:rPr>
        <w:t xml:space="preserve"> - Č</w:t>
      </w:r>
      <w:r w:rsidRPr="007C4C1B">
        <w:rPr>
          <w:lang w:val="cs-CZ"/>
        </w:rPr>
        <w:t>lensk</w:t>
      </w:r>
      <w:r>
        <w:rPr>
          <w:lang w:val="cs-CZ"/>
        </w:rPr>
        <w:t>é</w:t>
      </w:r>
      <w:r w:rsidRPr="007C4C1B">
        <w:rPr>
          <w:lang w:val="cs-CZ"/>
        </w:rPr>
        <w:t xml:space="preserve"> stát</w:t>
      </w:r>
      <w:r>
        <w:rPr>
          <w:lang w:val="cs-CZ"/>
        </w:rPr>
        <w:t>y</w:t>
      </w:r>
      <w:r w:rsidRPr="007C4C1B">
        <w:rPr>
          <w:lang w:val="cs-CZ"/>
        </w:rPr>
        <w:t>, které ke dni podání žádosti o platbu nepřijaly euro jako svou měnu</w:t>
      </w:r>
      <w:r>
        <w:rPr>
          <w:lang w:val="cs-CZ"/>
        </w:rPr>
        <w:t>,</w:t>
      </w:r>
      <w:r w:rsidRPr="007C4C1B">
        <w:rPr>
          <w:lang w:val="cs-CZ"/>
        </w:rPr>
        <w:t xml:space="preserve"> přepočítají na eura výši výdajů vynaložených v národní měně. Tato částka se přepočítá na eura tak, že se použije měsíční účetní směnný kurs Komise platný v měsíci, v němž výdaj zaúčtuje certifikační orgán daného</w:t>
      </w:r>
      <w:r>
        <w:rPr>
          <w:lang w:val="cs-CZ"/>
        </w:rPr>
        <w:t xml:space="preserve"> operačního programu. Tento kurz</w:t>
      </w:r>
      <w:r w:rsidRPr="007C4C1B">
        <w:rPr>
          <w:lang w:val="cs-CZ"/>
        </w:rPr>
        <w:t xml:space="preserve"> Komise elektronicky zveřejňuje každý měsíc.</w:t>
      </w:r>
    </w:p>
  </w:footnote>
  <w:footnote w:id="6">
    <w:p w:rsidR="00796A79" w:rsidRPr="00417034" w:rsidRDefault="00796A79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 xml:space="preserve">Korekce zahrnují i </w:t>
      </w:r>
      <w:r w:rsidRPr="00417034">
        <w:rPr>
          <w:lang w:val="cs-CZ"/>
        </w:rPr>
        <w:t>vratky bez certifikace</w:t>
      </w:r>
      <w:r>
        <w:rPr>
          <w:lang w:val="cs-CZ"/>
        </w:rPr>
        <w:t xml:space="preserve">. Jedná se o částky korekcí identifikovaných nejčastěji v rámci kontroly </w:t>
      </w:r>
      <w:proofErr w:type="spellStart"/>
      <w:r>
        <w:rPr>
          <w:lang w:val="cs-CZ"/>
        </w:rPr>
        <w:t>ŽoP</w:t>
      </w:r>
      <w:proofErr w:type="spellEnd"/>
      <w:r>
        <w:rPr>
          <w:lang w:val="cs-CZ"/>
        </w:rPr>
        <w:t>, které jsou následně nahlášené na FÚ. V případě, že po konečném rozhodnutí FÚ řídicí orgán rozhodne, že korekce byly opodstatněné, tyto částky výkaz výdajů</w:t>
      </w:r>
      <w:r w:rsidRPr="00303CA4">
        <w:rPr>
          <w:lang w:val="cs-CZ"/>
        </w:rPr>
        <w:t xml:space="preserve"> </w:t>
      </w:r>
      <w:r>
        <w:rPr>
          <w:lang w:val="cs-CZ"/>
        </w:rPr>
        <w:t>nesnižují, nicméně disponibilní alokaci navyšují.</w:t>
      </w:r>
    </w:p>
  </w:footnote>
  <w:footnote w:id="7">
    <w:p w:rsidR="00796A79" w:rsidRPr="008C3938" w:rsidRDefault="00796A79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Do hodnoty nebylo zahrnuto fázování projektů.</w:t>
      </w:r>
    </w:p>
  </w:footnote>
  <w:footnote w:id="8">
    <w:p w:rsidR="00796A79" w:rsidRPr="00E57617" w:rsidRDefault="00796A79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 xml:space="preserve">Částka nové alokace – tedy alokace snížené o částku </w:t>
      </w:r>
      <w:proofErr w:type="spellStart"/>
      <w:r>
        <w:rPr>
          <w:lang w:val="cs-CZ"/>
        </w:rPr>
        <w:t>decommitmentu</w:t>
      </w:r>
      <w:proofErr w:type="spellEnd"/>
      <w:r>
        <w:rPr>
          <w:lang w:val="cs-CZ"/>
        </w:rPr>
        <w:t xml:space="preserve"> na konci roku 2014 se zohledněním částky připadající na aplikaci článku 95 ON.</w:t>
      </w:r>
    </w:p>
  </w:footnote>
  <w:footnote w:id="9">
    <w:p w:rsidR="00796A79" w:rsidRPr="001C44C8" w:rsidRDefault="00796A79" w:rsidP="0076128A">
      <w:pPr>
        <w:pStyle w:val="Textpoznpodarou"/>
        <w:rPr>
          <w:rFonts w:ascii="Arial" w:hAnsi="Arial" w:cs="Arial"/>
        </w:rPr>
      </w:pPr>
      <w:r w:rsidRPr="001C44C8">
        <w:rPr>
          <w:rStyle w:val="Znakapoznpodarou"/>
          <w:rFonts w:ascii="Arial" w:hAnsi="Arial" w:cs="Arial"/>
        </w:rPr>
        <w:footnoteRef/>
      </w:r>
      <w:r w:rsidRPr="001C44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Jednalo se</w:t>
      </w:r>
      <w:r w:rsidRPr="002D4E71">
        <w:rPr>
          <w:rFonts w:ascii="Arial" w:hAnsi="Arial" w:cs="Arial"/>
        </w:rPr>
        <w:t xml:space="preserve"> o certifikační období 3. 12. 2013 - 1. 6. 2014.</w:t>
      </w:r>
    </w:p>
  </w:footnote>
  <w:footnote w:id="10">
    <w:p w:rsidR="00796A79" w:rsidRDefault="00796A79" w:rsidP="00787A49">
      <w:pPr>
        <w:pStyle w:val="Textpoznpodarou"/>
      </w:pPr>
      <w:r>
        <w:rPr>
          <w:rStyle w:val="Znakapoznpodarou"/>
        </w:rPr>
        <w:footnoteRef/>
      </w:r>
      <w:r>
        <w:t xml:space="preserve"> Článek 95 – stavění lhůt v případě soudního řízení a řízení o správním opravném prostředku: uplatnění snížení finančního nevyčerpání alokace z důvodu pozastavených soudních řízení</w:t>
      </w:r>
    </w:p>
  </w:footnote>
  <w:footnote w:id="11">
    <w:p w:rsidR="00796A79" w:rsidRPr="0050155F" w:rsidRDefault="00796A79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Finální verze dopisu schválená ze strany MMR-NOK a PCO.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D03" w:rsidRDefault="002D2D0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A79" w:rsidRPr="00D82C7B" w:rsidRDefault="00452520" w:rsidP="00D82C7B">
    <w:pPr>
      <w:pStyle w:val="Zhlav"/>
      <w:spacing w:after="0"/>
      <w:rPr>
        <w:i/>
        <w:sz w:val="16"/>
        <w:szCs w:val="16"/>
      </w:rPr>
    </w:pPr>
    <w:r>
      <w:rPr>
        <w:rFonts w:ascii="Times New Roman" w:eastAsia="Times New Roman" w:hAnsi="Times New Roman"/>
        <w:b/>
        <w:lang w:val="cs-CZ" w:eastAsia="cs-CZ"/>
      </w:rPr>
      <w:tab/>
    </w:r>
    <w:r>
      <w:rPr>
        <w:rFonts w:ascii="Times New Roman" w:eastAsia="Times New Roman" w:hAnsi="Times New Roman"/>
        <w:b/>
        <w:lang w:val="cs-CZ" w:eastAsia="cs-CZ"/>
      </w:rPr>
      <w:tab/>
    </w:r>
    <w:r w:rsidRPr="007D540D">
      <w:rPr>
        <w:rFonts w:ascii="Times New Roman" w:eastAsia="Times New Roman" w:hAnsi="Times New Roman"/>
        <w:b/>
        <w:lang w:val="cs-CZ" w:eastAsia="cs-CZ"/>
      </w:rPr>
      <w:t>II.</w:t>
    </w:r>
    <w:r w:rsidR="00796A79" w:rsidRPr="00880014">
      <w:rPr>
        <w:i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A79" w:rsidRPr="007D540D" w:rsidRDefault="00796A79" w:rsidP="007D540D">
    <w:pPr>
      <w:pStyle w:val="Zhlav"/>
    </w:pPr>
    <w:bookmarkStart w:id="9" w:name="_GoBack"/>
    <w:bookmarkEnd w:id="9"/>
    <w:r w:rsidRPr="007D540D">
      <w:rPr>
        <w:rFonts w:ascii="Times New Roman" w:eastAsia="Times New Roman" w:hAnsi="Times New Roman"/>
        <w:lang w:val="cs-CZ" w:eastAsia="cs-CZ"/>
      </w:rPr>
      <w:tab/>
    </w:r>
    <w:r w:rsidRPr="007D540D">
      <w:rPr>
        <w:rFonts w:ascii="Times New Roman" w:eastAsia="Times New Roman" w:hAnsi="Times New Roman"/>
        <w:b/>
        <w:lang w:val="cs-CZ" w:eastAsia="cs-CZ"/>
      </w:rPr>
      <w:tab/>
      <w:t xml:space="preserve"> II.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A79" w:rsidRPr="005D2785" w:rsidRDefault="00452520" w:rsidP="005D2785">
    <w:pPr>
      <w:pStyle w:val="Zhlav"/>
    </w:pPr>
    <w:r>
      <w:rPr>
        <w:rFonts w:ascii="Times New Roman" w:eastAsia="Times New Roman" w:hAnsi="Times New Roman"/>
        <w:b/>
        <w:lang w:val="cs-CZ" w:eastAsia="cs-CZ"/>
      </w:rPr>
      <w:tab/>
    </w:r>
    <w:r>
      <w:rPr>
        <w:rFonts w:ascii="Times New Roman" w:eastAsia="Times New Roman" w:hAnsi="Times New Roman"/>
        <w:b/>
        <w:lang w:val="cs-CZ" w:eastAsia="cs-CZ"/>
      </w:rPr>
      <w:tab/>
    </w:r>
    <w:r w:rsidRPr="007D540D">
      <w:rPr>
        <w:rFonts w:ascii="Times New Roman" w:eastAsia="Times New Roman" w:hAnsi="Times New Roman"/>
        <w:b/>
        <w:lang w:val="cs-CZ" w:eastAsia="cs-CZ"/>
      </w:rPr>
      <w:t>II.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EB666F82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711E1CE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4D8004D"/>
    <w:multiLevelType w:val="hybridMultilevel"/>
    <w:tmpl w:val="5054FB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00E5B"/>
    <w:multiLevelType w:val="multilevel"/>
    <w:tmpl w:val="4EE8A54A"/>
    <w:lvl w:ilvl="0">
      <w:start w:val="1"/>
      <w:numFmt w:val="decimal"/>
      <w:pStyle w:val="N1Report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597" w:hanging="171"/>
      </w:pPr>
      <w:rPr>
        <w:rFonts w:ascii="Arial" w:hAnsi="Arial" w:cs="Arial" w:hint="default"/>
        <w:b/>
        <w:i w:val="0"/>
        <w:sz w:val="26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86C2DF6"/>
    <w:multiLevelType w:val="hybridMultilevel"/>
    <w:tmpl w:val="F8EE5E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270A73"/>
    <w:multiLevelType w:val="hybridMultilevel"/>
    <w:tmpl w:val="402C5B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AB0A1C"/>
    <w:multiLevelType w:val="hybridMultilevel"/>
    <w:tmpl w:val="17EE84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525808"/>
    <w:multiLevelType w:val="hybridMultilevel"/>
    <w:tmpl w:val="DAB873B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DD644A7"/>
    <w:multiLevelType w:val="hybridMultilevel"/>
    <w:tmpl w:val="0958EF24"/>
    <w:lvl w:ilvl="0" w:tplc="7D2467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8D0BD6"/>
    <w:multiLevelType w:val="multilevel"/>
    <w:tmpl w:val="F08CE1FA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N2Report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10">
    <w:nsid w:val="53ED7EE8"/>
    <w:multiLevelType w:val="hybridMultilevel"/>
    <w:tmpl w:val="634AA9B6"/>
    <w:lvl w:ilvl="0" w:tplc="85604DBA"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5ED4391F"/>
    <w:multiLevelType w:val="hybridMultilevel"/>
    <w:tmpl w:val="4D86740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6D697B"/>
    <w:multiLevelType w:val="multilevel"/>
    <w:tmpl w:val="3E745AF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171" w:hanging="171"/>
      </w:pPr>
      <w:rPr>
        <w:rFonts w:ascii="Arial" w:hAnsi="Arial" w:cs="Arial" w:hint="default"/>
        <w:b/>
        <w:i w:val="0"/>
        <w:sz w:val="26"/>
      </w:rPr>
    </w:lvl>
    <w:lvl w:ilvl="2">
      <w:start w:val="1"/>
      <w:numFmt w:val="decimal"/>
      <w:pStyle w:val="N3Report"/>
      <w:lvlText w:val="%1.%2.%3"/>
      <w:lvlJc w:val="left"/>
      <w:pPr>
        <w:ind w:left="1224" w:hanging="50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9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1"/>
  </w:num>
  <w:num w:numId="11">
    <w:abstractNumId w:val="6"/>
  </w:num>
  <w:num w:numId="12">
    <w:abstractNumId w:val="2"/>
  </w:num>
  <w:num w:numId="13">
    <w:abstractNumId w:val="8"/>
  </w:num>
  <w:num w:numId="1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cs-CZ" w:vendorID="7" w:dllVersion="514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 style="mso-position-horizontal-relative:page;mso-position-vertical-relative:page" o:allowincell="f" fillcolor="#92d050" stroke="f">
      <v:fill color="#92d050"/>
      <v:stroke on="f"/>
      <v:textbox inset="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EB"/>
    <w:rsid w:val="00000793"/>
    <w:rsid w:val="00001DBE"/>
    <w:rsid w:val="00001EBE"/>
    <w:rsid w:val="0000226E"/>
    <w:rsid w:val="00002503"/>
    <w:rsid w:val="00002F72"/>
    <w:rsid w:val="00003547"/>
    <w:rsid w:val="0000355C"/>
    <w:rsid w:val="000035C7"/>
    <w:rsid w:val="000043FB"/>
    <w:rsid w:val="00004E1A"/>
    <w:rsid w:val="00005267"/>
    <w:rsid w:val="000053A2"/>
    <w:rsid w:val="000054F7"/>
    <w:rsid w:val="00006565"/>
    <w:rsid w:val="0000664C"/>
    <w:rsid w:val="000070F3"/>
    <w:rsid w:val="00007143"/>
    <w:rsid w:val="00007B84"/>
    <w:rsid w:val="00010055"/>
    <w:rsid w:val="000105D1"/>
    <w:rsid w:val="000107D9"/>
    <w:rsid w:val="00010845"/>
    <w:rsid w:val="0001098E"/>
    <w:rsid w:val="00010BBD"/>
    <w:rsid w:val="0001192C"/>
    <w:rsid w:val="00012084"/>
    <w:rsid w:val="00014231"/>
    <w:rsid w:val="000142F0"/>
    <w:rsid w:val="0001438A"/>
    <w:rsid w:val="00014416"/>
    <w:rsid w:val="00014FF4"/>
    <w:rsid w:val="000156C8"/>
    <w:rsid w:val="00016694"/>
    <w:rsid w:val="000166F7"/>
    <w:rsid w:val="0002106C"/>
    <w:rsid w:val="00021BC9"/>
    <w:rsid w:val="000225F3"/>
    <w:rsid w:val="0002277D"/>
    <w:rsid w:val="00022C07"/>
    <w:rsid w:val="00022E01"/>
    <w:rsid w:val="0002373A"/>
    <w:rsid w:val="00023CBF"/>
    <w:rsid w:val="000244D5"/>
    <w:rsid w:val="000249D8"/>
    <w:rsid w:val="0002541D"/>
    <w:rsid w:val="000257A5"/>
    <w:rsid w:val="000262EF"/>
    <w:rsid w:val="00026C58"/>
    <w:rsid w:val="00026E47"/>
    <w:rsid w:val="00027A00"/>
    <w:rsid w:val="00027C83"/>
    <w:rsid w:val="000300C9"/>
    <w:rsid w:val="00030585"/>
    <w:rsid w:val="00030741"/>
    <w:rsid w:val="00030919"/>
    <w:rsid w:val="00030EAB"/>
    <w:rsid w:val="00030EF6"/>
    <w:rsid w:val="000313AD"/>
    <w:rsid w:val="00031677"/>
    <w:rsid w:val="00031C48"/>
    <w:rsid w:val="00031DC0"/>
    <w:rsid w:val="00031E5A"/>
    <w:rsid w:val="000322E7"/>
    <w:rsid w:val="00032549"/>
    <w:rsid w:val="00033822"/>
    <w:rsid w:val="00033966"/>
    <w:rsid w:val="00034447"/>
    <w:rsid w:val="00034BA2"/>
    <w:rsid w:val="00035FB3"/>
    <w:rsid w:val="00036107"/>
    <w:rsid w:val="0003610C"/>
    <w:rsid w:val="00036863"/>
    <w:rsid w:val="00036BF0"/>
    <w:rsid w:val="00037371"/>
    <w:rsid w:val="000373C8"/>
    <w:rsid w:val="000376AD"/>
    <w:rsid w:val="000404F0"/>
    <w:rsid w:val="000423FD"/>
    <w:rsid w:val="00043136"/>
    <w:rsid w:val="000431CD"/>
    <w:rsid w:val="00043780"/>
    <w:rsid w:val="0004399C"/>
    <w:rsid w:val="00044114"/>
    <w:rsid w:val="000449FB"/>
    <w:rsid w:val="00045372"/>
    <w:rsid w:val="000455B0"/>
    <w:rsid w:val="000455B4"/>
    <w:rsid w:val="00045671"/>
    <w:rsid w:val="00045A51"/>
    <w:rsid w:val="000461E5"/>
    <w:rsid w:val="00046A98"/>
    <w:rsid w:val="00046EA8"/>
    <w:rsid w:val="0004769A"/>
    <w:rsid w:val="0005077A"/>
    <w:rsid w:val="00051362"/>
    <w:rsid w:val="000518B2"/>
    <w:rsid w:val="00051F25"/>
    <w:rsid w:val="00051FC5"/>
    <w:rsid w:val="0005243D"/>
    <w:rsid w:val="00052452"/>
    <w:rsid w:val="000529AE"/>
    <w:rsid w:val="00053B5A"/>
    <w:rsid w:val="00053CBF"/>
    <w:rsid w:val="00054783"/>
    <w:rsid w:val="00055257"/>
    <w:rsid w:val="00055A9D"/>
    <w:rsid w:val="00055CEB"/>
    <w:rsid w:val="00055D93"/>
    <w:rsid w:val="000562B2"/>
    <w:rsid w:val="00056531"/>
    <w:rsid w:val="00057375"/>
    <w:rsid w:val="00060069"/>
    <w:rsid w:val="000601D4"/>
    <w:rsid w:val="0006028F"/>
    <w:rsid w:val="000609FB"/>
    <w:rsid w:val="0006147C"/>
    <w:rsid w:val="00061C57"/>
    <w:rsid w:val="00061FBB"/>
    <w:rsid w:val="000622A6"/>
    <w:rsid w:val="00062436"/>
    <w:rsid w:val="000625C8"/>
    <w:rsid w:val="00062643"/>
    <w:rsid w:val="00062CD5"/>
    <w:rsid w:val="00062EFA"/>
    <w:rsid w:val="00063FAC"/>
    <w:rsid w:val="000642D0"/>
    <w:rsid w:val="00064451"/>
    <w:rsid w:val="000648EC"/>
    <w:rsid w:val="00064B27"/>
    <w:rsid w:val="00065104"/>
    <w:rsid w:val="00065654"/>
    <w:rsid w:val="000656C3"/>
    <w:rsid w:val="0006583E"/>
    <w:rsid w:val="000665B9"/>
    <w:rsid w:val="000666EE"/>
    <w:rsid w:val="00066702"/>
    <w:rsid w:val="00067844"/>
    <w:rsid w:val="000678EA"/>
    <w:rsid w:val="00067E95"/>
    <w:rsid w:val="0007024D"/>
    <w:rsid w:val="00070FF4"/>
    <w:rsid w:val="00071116"/>
    <w:rsid w:val="00071FE8"/>
    <w:rsid w:val="000721E1"/>
    <w:rsid w:val="0007259C"/>
    <w:rsid w:val="00072845"/>
    <w:rsid w:val="000728A8"/>
    <w:rsid w:val="00072BCE"/>
    <w:rsid w:val="00073211"/>
    <w:rsid w:val="00074669"/>
    <w:rsid w:val="00074BAC"/>
    <w:rsid w:val="000758DD"/>
    <w:rsid w:val="000763E0"/>
    <w:rsid w:val="000767E4"/>
    <w:rsid w:val="000778C8"/>
    <w:rsid w:val="00077BBF"/>
    <w:rsid w:val="00080AEA"/>
    <w:rsid w:val="00081B8C"/>
    <w:rsid w:val="00081D53"/>
    <w:rsid w:val="00081F28"/>
    <w:rsid w:val="0008201C"/>
    <w:rsid w:val="0008263A"/>
    <w:rsid w:val="00083735"/>
    <w:rsid w:val="00083ECB"/>
    <w:rsid w:val="00083FFB"/>
    <w:rsid w:val="000845BE"/>
    <w:rsid w:val="0008480C"/>
    <w:rsid w:val="000848EA"/>
    <w:rsid w:val="000852AD"/>
    <w:rsid w:val="00085B16"/>
    <w:rsid w:val="00085D79"/>
    <w:rsid w:val="000874F6"/>
    <w:rsid w:val="00087C31"/>
    <w:rsid w:val="00087D0A"/>
    <w:rsid w:val="0009023D"/>
    <w:rsid w:val="000908E3"/>
    <w:rsid w:val="00090AE2"/>
    <w:rsid w:val="00090C60"/>
    <w:rsid w:val="00091032"/>
    <w:rsid w:val="000913C8"/>
    <w:rsid w:val="000914B8"/>
    <w:rsid w:val="0009248D"/>
    <w:rsid w:val="000924A9"/>
    <w:rsid w:val="00092501"/>
    <w:rsid w:val="000926AF"/>
    <w:rsid w:val="00092D73"/>
    <w:rsid w:val="00093454"/>
    <w:rsid w:val="000935B0"/>
    <w:rsid w:val="000935CB"/>
    <w:rsid w:val="00093F21"/>
    <w:rsid w:val="00094989"/>
    <w:rsid w:val="00094B94"/>
    <w:rsid w:val="00094F25"/>
    <w:rsid w:val="00095A27"/>
    <w:rsid w:val="000960A8"/>
    <w:rsid w:val="00096624"/>
    <w:rsid w:val="00096E2F"/>
    <w:rsid w:val="000A0397"/>
    <w:rsid w:val="000A05ED"/>
    <w:rsid w:val="000A09E9"/>
    <w:rsid w:val="000A13FC"/>
    <w:rsid w:val="000A229C"/>
    <w:rsid w:val="000A22DC"/>
    <w:rsid w:val="000A2584"/>
    <w:rsid w:val="000A2C0E"/>
    <w:rsid w:val="000A304D"/>
    <w:rsid w:val="000A3111"/>
    <w:rsid w:val="000A3486"/>
    <w:rsid w:val="000A3707"/>
    <w:rsid w:val="000A3B07"/>
    <w:rsid w:val="000A3DEA"/>
    <w:rsid w:val="000A4A37"/>
    <w:rsid w:val="000A4A9D"/>
    <w:rsid w:val="000A5682"/>
    <w:rsid w:val="000A593A"/>
    <w:rsid w:val="000A5BE8"/>
    <w:rsid w:val="000A6370"/>
    <w:rsid w:val="000A6A82"/>
    <w:rsid w:val="000A770E"/>
    <w:rsid w:val="000A799D"/>
    <w:rsid w:val="000A7C41"/>
    <w:rsid w:val="000A7DD0"/>
    <w:rsid w:val="000B0A3D"/>
    <w:rsid w:val="000B0D4D"/>
    <w:rsid w:val="000B1706"/>
    <w:rsid w:val="000B20ED"/>
    <w:rsid w:val="000B2387"/>
    <w:rsid w:val="000B2580"/>
    <w:rsid w:val="000B28C7"/>
    <w:rsid w:val="000B299B"/>
    <w:rsid w:val="000B2B07"/>
    <w:rsid w:val="000B3861"/>
    <w:rsid w:val="000B38BE"/>
    <w:rsid w:val="000B3C57"/>
    <w:rsid w:val="000B422F"/>
    <w:rsid w:val="000B4962"/>
    <w:rsid w:val="000B4976"/>
    <w:rsid w:val="000B5952"/>
    <w:rsid w:val="000B5955"/>
    <w:rsid w:val="000B5BFC"/>
    <w:rsid w:val="000B5F2C"/>
    <w:rsid w:val="000B7A1C"/>
    <w:rsid w:val="000B7C5F"/>
    <w:rsid w:val="000B7DD5"/>
    <w:rsid w:val="000C0234"/>
    <w:rsid w:val="000C03B1"/>
    <w:rsid w:val="000C08B3"/>
    <w:rsid w:val="000C13A4"/>
    <w:rsid w:val="000C21EF"/>
    <w:rsid w:val="000C2B0C"/>
    <w:rsid w:val="000C2DFD"/>
    <w:rsid w:val="000C3C75"/>
    <w:rsid w:val="000C3CED"/>
    <w:rsid w:val="000C44AF"/>
    <w:rsid w:val="000C50D4"/>
    <w:rsid w:val="000C5266"/>
    <w:rsid w:val="000C6210"/>
    <w:rsid w:val="000C6BEF"/>
    <w:rsid w:val="000C6E9A"/>
    <w:rsid w:val="000C7491"/>
    <w:rsid w:val="000C7AEE"/>
    <w:rsid w:val="000D016F"/>
    <w:rsid w:val="000D05A8"/>
    <w:rsid w:val="000D07F2"/>
    <w:rsid w:val="000D0A28"/>
    <w:rsid w:val="000D0F69"/>
    <w:rsid w:val="000D19EE"/>
    <w:rsid w:val="000D235E"/>
    <w:rsid w:val="000D23C8"/>
    <w:rsid w:val="000D248B"/>
    <w:rsid w:val="000D25B1"/>
    <w:rsid w:val="000D328F"/>
    <w:rsid w:val="000D34AB"/>
    <w:rsid w:val="000D4CCF"/>
    <w:rsid w:val="000D50BF"/>
    <w:rsid w:val="000D5287"/>
    <w:rsid w:val="000D580A"/>
    <w:rsid w:val="000D5E96"/>
    <w:rsid w:val="000D6515"/>
    <w:rsid w:val="000D6D19"/>
    <w:rsid w:val="000D6D27"/>
    <w:rsid w:val="000D76EE"/>
    <w:rsid w:val="000E013B"/>
    <w:rsid w:val="000E095A"/>
    <w:rsid w:val="000E0E9B"/>
    <w:rsid w:val="000E116E"/>
    <w:rsid w:val="000E162A"/>
    <w:rsid w:val="000E1A7B"/>
    <w:rsid w:val="000E1E7C"/>
    <w:rsid w:val="000E1EE4"/>
    <w:rsid w:val="000E22B0"/>
    <w:rsid w:val="000E2757"/>
    <w:rsid w:val="000E2E06"/>
    <w:rsid w:val="000E34E7"/>
    <w:rsid w:val="000E3E09"/>
    <w:rsid w:val="000E5AEC"/>
    <w:rsid w:val="000E6F30"/>
    <w:rsid w:val="000F004C"/>
    <w:rsid w:val="000F0287"/>
    <w:rsid w:val="000F0A32"/>
    <w:rsid w:val="000F0B87"/>
    <w:rsid w:val="000F0E31"/>
    <w:rsid w:val="000F13EC"/>
    <w:rsid w:val="000F16E3"/>
    <w:rsid w:val="000F170F"/>
    <w:rsid w:val="000F24A1"/>
    <w:rsid w:val="000F2585"/>
    <w:rsid w:val="000F25A3"/>
    <w:rsid w:val="000F2C3C"/>
    <w:rsid w:val="000F320F"/>
    <w:rsid w:val="000F352B"/>
    <w:rsid w:val="000F379A"/>
    <w:rsid w:val="000F3DF9"/>
    <w:rsid w:val="000F46B6"/>
    <w:rsid w:val="000F470C"/>
    <w:rsid w:val="000F4BCB"/>
    <w:rsid w:val="000F4CAB"/>
    <w:rsid w:val="000F4DA9"/>
    <w:rsid w:val="000F5897"/>
    <w:rsid w:val="000F58C2"/>
    <w:rsid w:val="000F60F5"/>
    <w:rsid w:val="000F63E6"/>
    <w:rsid w:val="000F6960"/>
    <w:rsid w:val="000F6B2A"/>
    <w:rsid w:val="000F716C"/>
    <w:rsid w:val="000F731B"/>
    <w:rsid w:val="000F794F"/>
    <w:rsid w:val="00100922"/>
    <w:rsid w:val="00100A45"/>
    <w:rsid w:val="00100D40"/>
    <w:rsid w:val="001014CB"/>
    <w:rsid w:val="00102189"/>
    <w:rsid w:val="00102472"/>
    <w:rsid w:val="001024CF"/>
    <w:rsid w:val="00103241"/>
    <w:rsid w:val="00103510"/>
    <w:rsid w:val="00104752"/>
    <w:rsid w:val="00104BE3"/>
    <w:rsid w:val="00104C48"/>
    <w:rsid w:val="00104F72"/>
    <w:rsid w:val="00105025"/>
    <w:rsid w:val="001051A2"/>
    <w:rsid w:val="00105894"/>
    <w:rsid w:val="00105E3D"/>
    <w:rsid w:val="00106C43"/>
    <w:rsid w:val="00106E7C"/>
    <w:rsid w:val="0010774A"/>
    <w:rsid w:val="00110CAF"/>
    <w:rsid w:val="00110EE3"/>
    <w:rsid w:val="00111121"/>
    <w:rsid w:val="00111AD6"/>
    <w:rsid w:val="00111C67"/>
    <w:rsid w:val="001126B8"/>
    <w:rsid w:val="0011277B"/>
    <w:rsid w:val="00113749"/>
    <w:rsid w:val="0011413B"/>
    <w:rsid w:val="0011446E"/>
    <w:rsid w:val="00114B23"/>
    <w:rsid w:val="00115189"/>
    <w:rsid w:val="00115870"/>
    <w:rsid w:val="00115AE0"/>
    <w:rsid w:val="00115AF9"/>
    <w:rsid w:val="00115B1B"/>
    <w:rsid w:val="00115D0D"/>
    <w:rsid w:val="001171BD"/>
    <w:rsid w:val="00117859"/>
    <w:rsid w:val="00120073"/>
    <w:rsid w:val="00122132"/>
    <w:rsid w:val="001224A2"/>
    <w:rsid w:val="001225E0"/>
    <w:rsid w:val="00122692"/>
    <w:rsid w:val="0012290F"/>
    <w:rsid w:val="00122D9F"/>
    <w:rsid w:val="00122FEC"/>
    <w:rsid w:val="00123163"/>
    <w:rsid w:val="00123540"/>
    <w:rsid w:val="00124166"/>
    <w:rsid w:val="0012457A"/>
    <w:rsid w:val="00124842"/>
    <w:rsid w:val="00124B97"/>
    <w:rsid w:val="00125846"/>
    <w:rsid w:val="00125D99"/>
    <w:rsid w:val="0012607D"/>
    <w:rsid w:val="0012663F"/>
    <w:rsid w:val="00127403"/>
    <w:rsid w:val="00127E1D"/>
    <w:rsid w:val="00130DDB"/>
    <w:rsid w:val="001310D5"/>
    <w:rsid w:val="0013130A"/>
    <w:rsid w:val="0013182A"/>
    <w:rsid w:val="00132154"/>
    <w:rsid w:val="00132532"/>
    <w:rsid w:val="00132614"/>
    <w:rsid w:val="0013294B"/>
    <w:rsid w:val="001329DA"/>
    <w:rsid w:val="00133A21"/>
    <w:rsid w:val="00134BF1"/>
    <w:rsid w:val="001352C3"/>
    <w:rsid w:val="00135477"/>
    <w:rsid w:val="00135E1D"/>
    <w:rsid w:val="00136D66"/>
    <w:rsid w:val="00136FB9"/>
    <w:rsid w:val="001377CF"/>
    <w:rsid w:val="00137C35"/>
    <w:rsid w:val="00137CD2"/>
    <w:rsid w:val="0014016B"/>
    <w:rsid w:val="001402C9"/>
    <w:rsid w:val="001406A5"/>
    <w:rsid w:val="00140868"/>
    <w:rsid w:val="0014094E"/>
    <w:rsid w:val="00140B24"/>
    <w:rsid w:val="00141194"/>
    <w:rsid w:val="00142667"/>
    <w:rsid w:val="00142CF2"/>
    <w:rsid w:val="001440F8"/>
    <w:rsid w:val="0014428F"/>
    <w:rsid w:val="0014495F"/>
    <w:rsid w:val="00144E5D"/>
    <w:rsid w:val="00146358"/>
    <w:rsid w:val="00146503"/>
    <w:rsid w:val="00147917"/>
    <w:rsid w:val="00147AB1"/>
    <w:rsid w:val="0015000C"/>
    <w:rsid w:val="00150060"/>
    <w:rsid w:val="0015117F"/>
    <w:rsid w:val="00152078"/>
    <w:rsid w:val="0015288B"/>
    <w:rsid w:val="001539A2"/>
    <w:rsid w:val="00153BC9"/>
    <w:rsid w:val="00153EC1"/>
    <w:rsid w:val="00154144"/>
    <w:rsid w:val="00154DB0"/>
    <w:rsid w:val="00155CB0"/>
    <w:rsid w:val="00156818"/>
    <w:rsid w:val="001579D0"/>
    <w:rsid w:val="00160210"/>
    <w:rsid w:val="00160707"/>
    <w:rsid w:val="00160B6D"/>
    <w:rsid w:val="00160D36"/>
    <w:rsid w:val="001610DD"/>
    <w:rsid w:val="0016110C"/>
    <w:rsid w:val="00161730"/>
    <w:rsid w:val="0016191E"/>
    <w:rsid w:val="00161AD5"/>
    <w:rsid w:val="00161FB0"/>
    <w:rsid w:val="00162348"/>
    <w:rsid w:val="0016273B"/>
    <w:rsid w:val="0016312B"/>
    <w:rsid w:val="00163382"/>
    <w:rsid w:val="00163B52"/>
    <w:rsid w:val="00164039"/>
    <w:rsid w:val="00164323"/>
    <w:rsid w:val="00164B4D"/>
    <w:rsid w:val="00165B6F"/>
    <w:rsid w:val="00165B76"/>
    <w:rsid w:val="00165D54"/>
    <w:rsid w:val="00165D82"/>
    <w:rsid w:val="001660E8"/>
    <w:rsid w:val="001662FD"/>
    <w:rsid w:val="001663B4"/>
    <w:rsid w:val="00166725"/>
    <w:rsid w:val="0016686A"/>
    <w:rsid w:val="0016703E"/>
    <w:rsid w:val="001675B9"/>
    <w:rsid w:val="00167636"/>
    <w:rsid w:val="00167A3E"/>
    <w:rsid w:val="001700A6"/>
    <w:rsid w:val="0017087C"/>
    <w:rsid w:val="00170DA8"/>
    <w:rsid w:val="001718FF"/>
    <w:rsid w:val="00171984"/>
    <w:rsid w:val="001729A7"/>
    <w:rsid w:val="00172B96"/>
    <w:rsid w:val="00172C93"/>
    <w:rsid w:val="00172D4C"/>
    <w:rsid w:val="001734CE"/>
    <w:rsid w:val="00173534"/>
    <w:rsid w:val="00174686"/>
    <w:rsid w:val="001747B6"/>
    <w:rsid w:val="001752C0"/>
    <w:rsid w:val="001755A5"/>
    <w:rsid w:val="0017596C"/>
    <w:rsid w:val="00175BCD"/>
    <w:rsid w:val="00175D64"/>
    <w:rsid w:val="001763F9"/>
    <w:rsid w:val="00176B77"/>
    <w:rsid w:val="00176ED4"/>
    <w:rsid w:val="0017757C"/>
    <w:rsid w:val="00177DCC"/>
    <w:rsid w:val="001803B5"/>
    <w:rsid w:val="00180E0A"/>
    <w:rsid w:val="0018101E"/>
    <w:rsid w:val="00181CE8"/>
    <w:rsid w:val="001820C2"/>
    <w:rsid w:val="0018222C"/>
    <w:rsid w:val="00182B05"/>
    <w:rsid w:val="00183984"/>
    <w:rsid w:val="00184081"/>
    <w:rsid w:val="00184685"/>
    <w:rsid w:val="00185070"/>
    <w:rsid w:val="001856B2"/>
    <w:rsid w:val="0018580A"/>
    <w:rsid w:val="00187B69"/>
    <w:rsid w:val="00187D08"/>
    <w:rsid w:val="0019025F"/>
    <w:rsid w:val="00190AA0"/>
    <w:rsid w:val="00190AA5"/>
    <w:rsid w:val="001915A2"/>
    <w:rsid w:val="00191E0C"/>
    <w:rsid w:val="00191F5C"/>
    <w:rsid w:val="00192CEF"/>
    <w:rsid w:val="00192E44"/>
    <w:rsid w:val="001938C9"/>
    <w:rsid w:val="00193AD5"/>
    <w:rsid w:val="00194FC4"/>
    <w:rsid w:val="00195294"/>
    <w:rsid w:val="0019537B"/>
    <w:rsid w:val="00195A18"/>
    <w:rsid w:val="00196125"/>
    <w:rsid w:val="001A038E"/>
    <w:rsid w:val="001A05CF"/>
    <w:rsid w:val="001A1BBD"/>
    <w:rsid w:val="001A1DDB"/>
    <w:rsid w:val="001A211B"/>
    <w:rsid w:val="001A4247"/>
    <w:rsid w:val="001A4547"/>
    <w:rsid w:val="001A46C5"/>
    <w:rsid w:val="001A489C"/>
    <w:rsid w:val="001A49BB"/>
    <w:rsid w:val="001A4EDD"/>
    <w:rsid w:val="001A55AB"/>
    <w:rsid w:val="001A5E8D"/>
    <w:rsid w:val="001A66B2"/>
    <w:rsid w:val="001A67BE"/>
    <w:rsid w:val="001A696B"/>
    <w:rsid w:val="001A6BFB"/>
    <w:rsid w:val="001A6E68"/>
    <w:rsid w:val="001A7CEF"/>
    <w:rsid w:val="001B0663"/>
    <w:rsid w:val="001B11C0"/>
    <w:rsid w:val="001B1753"/>
    <w:rsid w:val="001B1A1E"/>
    <w:rsid w:val="001B2EA4"/>
    <w:rsid w:val="001B31B5"/>
    <w:rsid w:val="001B366C"/>
    <w:rsid w:val="001B3ACD"/>
    <w:rsid w:val="001B41E5"/>
    <w:rsid w:val="001B4430"/>
    <w:rsid w:val="001B4A7F"/>
    <w:rsid w:val="001B4C6B"/>
    <w:rsid w:val="001B56E4"/>
    <w:rsid w:val="001B6469"/>
    <w:rsid w:val="001B664C"/>
    <w:rsid w:val="001B6FDB"/>
    <w:rsid w:val="001B78AC"/>
    <w:rsid w:val="001C0FE3"/>
    <w:rsid w:val="001C125F"/>
    <w:rsid w:val="001C1C99"/>
    <w:rsid w:val="001C2735"/>
    <w:rsid w:val="001C2830"/>
    <w:rsid w:val="001C2B7F"/>
    <w:rsid w:val="001C2CBF"/>
    <w:rsid w:val="001C2DAF"/>
    <w:rsid w:val="001C43EC"/>
    <w:rsid w:val="001C4446"/>
    <w:rsid w:val="001C4ED7"/>
    <w:rsid w:val="001C4FF4"/>
    <w:rsid w:val="001C53A0"/>
    <w:rsid w:val="001C5802"/>
    <w:rsid w:val="001C6DA5"/>
    <w:rsid w:val="001C75FA"/>
    <w:rsid w:val="001C7CD9"/>
    <w:rsid w:val="001D0635"/>
    <w:rsid w:val="001D0D51"/>
    <w:rsid w:val="001D1631"/>
    <w:rsid w:val="001D1CA0"/>
    <w:rsid w:val="001D2067"/>
    <w:rsid w:val="001D2753"/>
    <w:rsid w:val="001D2CDC"/>
    <w:rsid w:val="001D3102"/>
    <w:rsid w:val="001D4894"/>
    <w:rsid w:val="001D4C7A"/>
    <w:rsid w:val="001D59B4"/>
    <w:rsid w:val="001D6DE2"/>
    <w:rsid w:val="001D74EC"/>
    <w:rsid w:val="001D793C"/>
    <w:rsid w:val="001E0BAF"/>
    <w:rsid w:val="001E0E5B"/>
    <w:rsid w:val="001E129E"/>
    <w:rsid w:val="001E1DB1"/>
    <w:rsid w:val="001E1F8C"/>
    <w:rsid w:val="001E2424"/>
    <w:rsid w:val="001E2EA0"/>
    <w:rsid w:val="001E314E"/>
    <w:rsid w:val="001E4101"/>
    <w:rsid w:val="001E520C"/>
    <w:rsid w:val="001E637C"/>
    <w:rsid w:val="001E65E4"/>
    <w:rsid w:val="001E7D71"/>
    <w:rsid w:val="001F14EC"/>
    <w:rsid w:val="001F17A8"/>
    <w:rsid w:val="001F358E"/>
    <w:rsid w:val="001F3A80"/>
    <w:rsid w:val="001F3ACC"/>
    <w:rsid w:val="001F3CE5"/>
    <w:rsid w:val="001F3EEE"/>
    <w:rsid w:val="001F3FD0"/>
    <w:rsid w:val="001F45AA"/>
    <w:rsid w:val="001F473C"/>
    <w:rsid w:val="001F4D27"/>
    <w:rsid w:val="001F58BF"/>
    <w:rsid w:val="001F590B"/>
    <w:rsid w:val="001F5DF0"/>
    <w:rsid w:val="001F605E"/>
    <w:rsid w:val="001F60BB"/>
    <w:rsid w:val="001F68FB"/>
    <w:rsid w:val="001F6AF3"/>
    <w:rsid w:val="002000C4"/>
    <w:rsid w:val="002000D2"/>
    <w:rsid w:val="0020014F"/>
    <w:rsid w:val="002003BD"/>
    <w:rsid w:val="00200410"/>
    <w:rsid w:val="002006A7"/>
    <w:rsid w:val="00201508"/>
    <w:rsid w:val="002017D8"/>
    <w:rsid w:val="00201947"/>
    <w:rsid w:val="00201E1C"/>
    <w:rsid w:val="00202EA7"/>
    <w:rsid w:val="002036B3"/>
    <w:rsid w:val="0020388C"/>
    <w:rsid w:val="00203AAF"/>
    <w:rsid w:val="00204485"/>
    <w:rsid w:val="00204BCC"/>
    <w:rsid w:val="00204F0F"/>
    <w:rsid w:val="002052C8"/>
    <w:rsid w:val="0020538A"/>
    <w:rsid w:val="00205DA1"/>
    <w:rsid w:val="002062DA"/>
    <w:rsid w:val="002064D4"/>
    <w:rsid w:val="00206B7E"/>
    <w:rsid w:val="00206E0C"/>
    <w:rsid w:val="002073F4"/>
    <w:rsid w:val="002078E7"/>
    <w:rsid w:val="00207AFC"/>
    <w:rsid w:val="00207C56"/>
    <w:rsid w:val="00207FC8"/>
    <w:rsid w:val="002101A6"/>
    <w:rsid w:val="002103FE"/>
    <w:rsid w:val="0021142A"/>
    <w:rsid w:val="0021149F"/>
    <w:rsid w:val="00212925"/>
    <w:rsid w:val="00213396"/>
    <w:rsid w:val="00213543"/>
    <w:rsid w:val="00213F0A"/>
    <w:rsid w:val="0021412C"/>
    <w:rsid w:val="00214186"/>
    <w:rsid w:val="00215590"/>
    <w:rsid w:val="00215BE7"/>
    <w:rsid w:val="002166AC"/>
    <w:rsid w:val="002170F2"/>
    <w:rsid w:val="002179A8"/>
    <w:rsid w:val="00217A15"/>
    <w:rsid w:val="00220242"/>
    <w:rsid w:val="0022085A"/>
    <w:rsid w:val="00220C4F"/>
    <w:rsid w:val="00220D94"/>
    <w:rsid w:val="00221490"/>
    <w:rsid w:val="00221967"/>
    <w:rsid w:val="00221DF3"/>
    <w:rsid w:val="00221E39"/>
    <w:rsid w:val="00221F0D"/>
    <w:rsid w:val="00222227"/>
    <w:rsid w:val="0022223D"/>
    <w:rsid w:val="00222465"/>
    <w:rsid w:val="00223135"/>
    <w:rsid w:val="0022368E"/>
    <w:rsid w:val="00223817"/>
    <w:rsid w:val="00223C22"/>
    <w:rsid w:val="0022452B"/>
    <w:rsid w:val="00224B96"/>
    <w:rsid w:val="00224BAA"/>
    <w:rsid w:val="00225247"/>
    <w:rsid w:val="002254E7"/>
    <w:rsid w:val="002256F9"/>
    <w:rsid w:val="002268FC"/>
    <w:rsid w:val="00227C1D"/>
    <w:rsid w:val="00227E41"/>
    <w:rsid w:val="002303D0"/>
    <w:rsid w:val="002308ED"/>
    <w:rsid w:val="00231141"/>
    <w:rsid w:val="0023126A"/>
    <w:rsid w:val="00231574"/>
    <w:rsid w:val="00231774"/>
    <w:rsid w:val="00232402"/>
    <w:rsid w:val="002325C8"/>
    <w:rsid w:val="00232AC9"/>
    <w:rsid w:val="00232B5A"/>
    <w:rsid w:val="00236006"/>
    <w:rsid w:val="0023603A"/>
    <w:rsid w:val="00236243"/>
    <w:rsid w:val="0023671F"/>
    <w:rsid w:val="00236A8F"/>
    <w:rsid w:val="00236F52"/>
    <w:rsid w:val="00237216"/>
    <w:rsid w:val="002374C8"/>
    <w:rsid w:val="0024055F"/>
    <w:rsid w:val="00240D3E"/>
    <w:rsid w:val="002412ED"/>
    <w:rsid w:val="002418C9"/>
    <w:rsid w:val="002419BD"/>
    <w:rsid w:val="00241F45"/>
    <w:rsid w:val="0024227A"/>
    <w:rsid w:val="002426FC"/>
    <w:rsid w:val="00242BEC"/>
    <w:rsid w:val="00242D99"/>
    <w:rsid w:val="0024373C"/>
    <w:rsid w:val="00243B12"/>
    <w:rsid w:val="00243DC7"/>
    <w:rsid w:val="0024460C"/>
    <w:rsid w:val="002447D4"/>
    <w:rsid w:val="002449AD"/>
    <w:rsid w:val="00244B06"/>
    <w:rsid w:val="00244FA0"/>
    <w:rsid w:val="0024524D"/>
    <w:rsid w:val="00245291"/>
    <w:rsid w:val="002468DF"/>
    <w:rsid w:val="00246A17"/>
    <w:rsid w:val="00246B6E"/>
    <w:rsid w:val="002478DF"/>
    <w:rsid w:val="0024790D"/>
    <w:rsid w:val="0025065C"/>
    <w:rsid w:val="0025094B"/>
    <w:rsid w:val="00250CA8"/>
    <w:rsid w:val="00250EC4"/>
    <w:rsid w:val="00251A8E"/>
    <w:rsid w:val="00251A93"/>
    <w:rsid w:val="00251C0F"/>
    <w:rsid w:val="002528D1"/>
    <w:rsid w:val="002529D7"/>
    <w:rsid w:val="00252F67"/>
    <w:rsid w:val="00253D2C"/>
    <w:rsid w:val="00254849"/>
    <w:rsid w:val="00254E9E"/>
    <w:rsid w:val="002550B3"/>
    <w:rsid w:val="0025520E"/>
    <w:rsid w:val="002560DE"/>
    <w:rsid w:val="00256129"/>
    <w:rsid w:val="00256334"/>
    <w:rsid w:val="0025664F"/>
    <w:rsid w:val="00256FDA"/>
    <w:rsid w:val="00257177"/>
    <w:rsid w:val="002602CE"/>
    <w:rsid w:val="00260CDF"/>
    <w:rsid w:val="0026120C"/>
    <w:rsid w:val="0026145B"/>
    <w:rsid w:val="002614A5"/>
    <w:rsid w:val="002618C9"/>
    <w:rsid w:val="00261AED"/>
    <w:rsid w:val="00261E38"/>
    <w:rsid w:val="00262166"/>
    <w:rsid w:val="00262C8A"/>
    <w:rsid w:val="00263231"/>
    <w:rsid w:val="00263620"/>
    <w:rsid w:val="0026382C"/>
    <w:rsid w:val="00263C72"/>
    <w:rsid w:val="00263D48"/>
    <w:rsid w:val="00263F3C"/>
    <w:rsid w:val="00264C29"/>
    <w:rsid w:val="00264C93"/>
    <w:rsid w:val="00265047"/>
    <w:rsid w:val="00265538"/>
    <w:rsid w:val="00265986"/>
    <w:rsid w:val="002661EB"/>
    <w:rsid w:val="002665FB"/>
    <w:rsid w:val="00266F59"/>
    <w:rsid w:val="0026740E"/>
    <w:rsid w:val="00267499"/>
    <w:rsid w:val="00267505"/>
    <w:rsid w:val="00267B39"/>
    <w:rsid w:val="00267F05"/>
    <w:rsid w:val="002705EA"/>
    <w:rsid w:val="00270B99"/>
    <w:rsid w:val="002711A6"/>
    <w:rsid w:val="00271218"/>
    <w:rsid w:val="002716A7"/>
    <w:rsid w:val="00271E07"/>
    <w:rsid w:val="00271FBD"/>
    <w:rsid w:val="0027215F"/>
    <w:rsid w:val="0027261B"/>
    <w:rsid w:val="00272726"/>
    <w:rsid w:val="00272AEB"/>
    <w:rsid w:val="00272C5C"/>
    <w:rsid w:val="00272CB1"/>
    <w:rsid w:val="00273D5A"/>
    <w:rsid w:val="00274594"/>
    <w:rsid w:val="00274F49"/>
    <w:rsid w:val="00274F4F"/>
    <w:rsid w:val="0027533E"/>
    <w:rsid w:val="00275414"/>
    <w:rsid w:val="0027578D"/>
    <w:rsid w:val="002759A7"/>
    <w:rsid w:val="00275A5B"/>
    <w:rsid w:val="00275D40"/>
    <w:rsid w:val="0027673E"/>
    <w:rsid w:val="00276B2A"/>
    <w:rsid w:val="0027769D"/>
    <w:rsid w:val="00280286"/>
    <w:rsid w:val="0028035D"/>
    <w:rsid w:val="00280394"/>
    <w:rsid w:val="00280788"/>
    <w:rsid w:val="00280801"/>
    <w:rsid w:val="0028095F"/>
    <w:rsid w:val="00281086"/>
    <w:rsid w:val="002810F2"/>
    <w:rsid w:val="002815C8"/>
    <w:rsid w:val="00281CA9"/>
    <w:rsid w:val="00282720"/>
    <w:rsid w:val="002829E5"/>
    <w:rsid w:val="00282C41"/>
    <w:rsid w:val="002833BA"/>
    <w:rsid w:val="0028342A"/>
    <w:rsid w:val="0028384A"/>
    <w:rsid w:val="00283D25"/>
    <w:rsid w:val="00284317"/>
    <w:rsid w:val="002847EB"/>
    <w:rsid w:val="0028529F"/>
    <w:rsid w:val="002868FD"/>
    <w:rsid w:val="0028799E"/>
    <w:rsid w:val="00287CF9"/>
    <w:rsid w:val="002908BC"/>
    <w:rsid w:val="0029098F"/>
    <w:rsid w:val="002910AF"/>
    <w:rsid w:val="0029123E"/>
    <w:rsid w:val="002915EC"/>
    <w:rsid w:val="00291FE0"/>
    <w:rsid w:val="002921E6"/>
    <w:rsid w:val="00292798"/>
    <w:rsid w:val="00294B96"/>
    <w:rsid w:val="00294DBA"/>
    <w:rsid w:val="00295551"/>
    <w:rsid w:val="0029563A"/>
    <w:rsid w:val="0029588B"/>
    <w:rsid w:val="00295F8D"/>
    <w:rsid w:val="002963AC"/>
    <w:rsid w:val="0029665E"/>
    <w:rsid w:val="002968F2"/>
    <w:rsid w:val="0029729C"/>
    <w:rsid w:val="00297414"/>
    <w:rsid w:val="002978E4"/>
    <w:rsid w:val="00297911"/>
    <w:rsid w:val="002A038D"/>
    <w:rsid w:val="002A1A66"/>
    <w:rsid w:val="002A22D8"/>
    <w:rsid w:val="002A24C2"/>
    <w:rsid w:val="002A2776"/>
    <w:rsid w:val="002A27EC"/>
    <w:rsid w:val="002A3891"/>
    <w:rsid w:val="002A42C8"/>
    <w:rsid w:val="002A4BA8"/>
    <w:rsid w:val="002A52BE"/>
    <w:rsid w:val="002A58C5"/>
    <w:rsid w:val="002A5C54"/>
    <w:rsid w:val="002A5EB2"/>
    <w:rsid w:val="002A614C"/>
    <w:rsid w:val="002A6296"/>
    <w:rsid w:val="002A6AF2"/>
    <w:rsid w:val="002A6FDC"/>
    <w:rsid w:val="002A766E"/>
    <w:rsid w:val="002A77A5"/>
    <w:rsid w:val="002A787C"/>
    <w:rsid w:val="002A79BB"/>
    <w:rsid w:val="002A7D6A"/>
    <w:rsid w:val="002A7D6F"/>
    <w:rsid w:val="002A7E23"/>
    <w:rsid w:val="002A7E8E"/>
    <w:rsid w:val="002B0342"/>
    <w:rsid w:val="002B0657"/>
    <w:rsid w:val="002B09C2"/>
    <w:rsid w:val="002B0DC5"/>
    <w:rsid w:val="002B0F97"/>
    <w:rsid w:val="002B10E5"/>
    <w:rsid w:val="002B1117"/>
    <w:rsid w:val="002B12EA"/>
    <w:rsid w:val="002B1EBE"/>
    <w:rsid w:val="002B2227"/>
    <w:rsid w:val="002B25F8"/>
    <w:rsid w:val="002B26BA"/>
    <w:rsid w:val="002B34A1"/>
    <w:rsid w:val="002B3526"/>
    <w:rsid w:val="002B362A"/>
    <w:rsid w:val="002B4040"/>
    <w:rsid w:val="002B4706"/>
    <w:rsid w:val="002B5971"/>
    <w:rsid w:val="002B59A5"/>
    <w:rsid w:val="002B6C83"/>
    <w:rsid w:val="002B6CE3"/>
    <w:rsid w:val="002B73E1"/>
    <w:rsid w:val="002B7F6F"/>
    <w:rsid w:val="002C0D21"/>
    <w:rsid w:val="002C0D68"/>
    <w:rsid w:val="002C10BE"/>
    <w:rsid w:val="002C10CC"/>
    <w:rsid w:val="002C20DB"/>
    <w:rsid w:val="002C218A"/>
    <w:rsid w:val="002C2AA3"/>
    <w:rsid w:val="002C2BE4"/>
    <w:rsid w:val="002C3016"/>
    <w:rsid w:val="002C32AF"/>
    <w:rsid w:val="002C336D"/>
    <w:rsid w:val="002C3675"/>
    <w:rsid w:val="002C380F"/>
    <w:rsid w:val="002C3F76"/>
    <w:rsid w:val="002C460D"/>
    <w:rsid w:val="002C4892"/>
    <w:rsid w:val="002C5123"/>
    <w:rsid w:val="002C5163"/>
    <w:rsid w:val="002C5177"/>
    <w:rsid w:val="002C66DC"/>
    <w:rsid w:val="002C66E0"/>
    <w:rsid w:val="002C67B1"/>
    <w:rsid w:val="002C6CFB"/>
    <w:rsid w:val="002C7B5F"/>
    <w:rsid w:val="002D04DA"/>
    <w:rsid w:val="002D055A"/>
    <w:rsid w:val="002D19A1"/>
    <w:rsid w:val="002D19C7"/>
    <w:rsid w:val="002D1C95"/>
    <w:rsid w:val="002D1DA8"/>
    <w:rsid w:val="002D225E"/>
    <w:rsid w:val="002D24C6"/>
    <w:rsid w:val="002D282B"/>
    <w:rsid w:val="002D2D03"/>
    <w:rsid w:val="002D383B"/>
    <w:rsid w:val="002D3A57"/>
    <w:rsid w:val="002D3CBA"/>
    <w:rsid w:val="002D40A9"/>
    <w:rsid w:val="002D4B66"/>
    <w:rsid w:val="002D5380"/>
    <w:rsid w:val="002D5AF0"/>
    <w:rsid w:val="002D6252"/>
    <w:rsid w:val="002D66EA"/>
    <w:rsid w:val="002D68F6"/>
    <w:rsid w:val="002D6ED9"/>
    <w:rsid w:val="002D735C"/>
    <w:rsid w:val="002D75ED"/>
    <w:rsid w:val="002D768F"/>
    <w:rsid w:val="002D7AAA"/>
    <w:rsid w:val="002E07B9"/>
    <w:rsid w:val="002E16ED"/>
    <w:rsid w:val="002E1E5B"/>
    <w:rsid w:val="002E23EC"/>
    <w:rsid w:val="002E25DC"/>
    <w:rsid w:val="002E27B6"/>
    <w:rsid w:val="002E2A94"/>
    <w:rsid w:val="002E2C2D"/>
    <w:rsid w:val="002E2F25"/>
    <w:rsid w:val="002E33E1"/>
    <w:rsid w:val="002E44FA"/>
    <w:rsid w:val="002E4F9D"/>
    <w:rsid w:val="002E53EE"/>
    <w:rsid w:val="002E54BC"/>
    <w:rsid w:val="002E6017"/>
    <w:rsid w:val="002E65A7"/>
    <w:rsid w:val="002E6E95"/>
    <w:rsid w:val="002E7942"/>
    <w:rsid w:val="002F03EF"/>
    <w:rsid w:val="002F07C6"/>
    <w:rsid w:val="002F0FD4"/>
    <w:rsid w:val="002F14A2"/>
    <w:rsid w:val="002F1C2B"/>
    <w:rsid w:val="002F1EB3"/>
    <w:rsid w:val="002F1F13"/>
    <w:rsid w:val="002F2D08"/>
    <w:rsid w:val="002F352F"/>
    <w:rsid w:val="002F3534"/>
    <w:rsid w:val="002F3D75"/>
    <w:rsid w:val="002F3D89"/>
    <w:rsid w:val="002F481D"/>
    <w:rsid w:val="002F48A8"/>
    <w:rsid w:val="002F49A1"/>
    <w:rsid w:val="002F528F"/>
    <w:rsid w:val="002F5E68"/>
    <w:rsid w:val="002F6064"/>
    <w:rsid w:val="002F67FA"/>
    <w:rsid w:val="002F69AD"/>
    <w:rsid w:val="002F6FA9"/>
    <w:rsid w:val="002F7BC7"/>
    <w:rsid w:val="00300B3B"/>
    <w:rsid w:val="003010D3"/>
    <w:rsid w:val="0030313F"/>
    <w:rsid w:val="00303264"/>
    <w:rsid w:val="003033E1"/>
    <w:rsid w:val="003036D8"/>
    <w:rsid w:val="00303867"/>
    <w:rsid w:val="00303CA4"/>
    <w:rsid w:val="003044E2"/>
    <w:rsid w:val="0030452B"/>
    <w:rsid w:val="00304558"/>
    <w:rsid w:val="00304EFD"/>
    <w:rsid w:val="00304F3E"/>
    <w:rsid w:val="00305964"/>
    <w:rsid w:val="00306B05"/>
    <w:rsid w:val="00306F0D"/>
    <w:rsid w:val="00307213"/>
    <w:rsid w:val="00307A54"/>
    <w:rsid w:val="003101B0"/>
    <w:rsid w:val="00310B09"/>
    <w:rsid w:val="00310D04"/>
    <w:rsid w:val="00311BB4"/>
    <w:rsid w:val="00312C1C"/>
    <w:rsid w:val="00312C84"/>
    <w:rsid w:val="00312EC8"/>
    <w:rsid w:val="00312FA1"/>
    <w:rsid w:val="003133F7"/>
    <w:rsid w:val="00313B98"/>
    <w:rsid w:val="0031429A"/>
    <w:rsid w:val="00314B71"/>
    <w:rsid w:val="003151B6"/>
    <w:rsid w:val="003158D7"/>
    <w:rsid w:val="003160B6"/>
    <w:rsid w:val="0031650D"/>
    <w:rsid w:val="003167F0"/>
    <w:rsid w:val="00316870"/>
    <w:rsid w:val="003174EB"/>
    <w:rsid w:val="003177CC"/>
    <w:rsid w:val="003178F4"/>
    <w:rsid w:val="00317AE4"/>
    <w:rsid w:val="00317D96"/>
    <w:rsid w:val="00317EF2"/>
    <w:rsid w:val="003200FF"/>
    <w:rsid w:val="00320159"/>
    <w:rsid w:val="00320D43"/>
    <w:rsid w:val="003215F3"/>
    <w:rsid w:val="003218DD"/>
    <w:rsid w:val="003221D2"/>
    <w:rsid w:val="003224DA"/>
    <w:rsid w:val="00322BA7"/>
    <w:rsid w:val="00322C36"/>
    <w:rsid w:val="00322D21"/>
    <w:rsid w:val="00323B1B"/>
    <w:rsid w:val="00323C9F"/>
    <w:rsid w:val="00324481"/>
    <w:rsid w:val="00325BFE"/>
    <w:rsid w:val="00326ADA"/>
    <w:rsid w:val="00326D20"/>
    <w:rsid w:val="00327688"/>
    <w:rsid w:val="00330015"/>
    <w:rsid w:val="003310E9"/>
    <w:rsid w:val="003313A2"/>
    <w:rsid w:val="00332933"/>
    <w:rsid w:val="00332DB4"/>
    <w:rsid w:val="00332DE9"/>
    <w:rsid w:val="0033325E"/>
    <w:rsid w:val="003337FB"/>
    <w:rsid w:val="00333952"/>
    <w:rsid w:val="00333E25"/>
    <w:rsid w:val="0033438B"/>
    <w:rsid w:val="00334414"/>
    <w:rsid w:val="00334CD6"/>
    <w:rsid w:val="00335F45"/>
    <w:rsid w:val="00336005"/>
    <w:rsid w:val="00336864"/>
    <w:rsid w:val="0033745A"/>
    <w:rsid w:val="003378A3"/>
    <w:rsid w:val="00337C12"/>
    <w:rsid w:val="00340ECC"/>
    <w:rsid w:val="00340F60"/>
    <w:rsid w:val="00341765"/>
    <w:rsid w:val="00342332"/>
    <w:rsid w:val="00342C4C"/>
    <w:rsid w:val="00343310"/>
    <w:rsid w:val="003434E3"/>
    <w:rsid w:val="0034428C"/>
    <w:rsid w:val="0034473B"/>
    <w:rsid w:val="0034570E"/>
    <w:rsid w:val="00345CCE"/>
    <w:rsid w:val="00345FC7"/>
    <w:rsid w:val="00346304"/>
    <w:rsid w:val="003464B5"/>
    <w:rsid w:val="00346F6B"/>
    <w:rsid w:val="00347CBD"/>
    <w:rsid w:val="00347CF9"/>
    <w:rsid w:val="003508D9"/>
    <w:rsid w:val="0035094F"/>
    <w:rsid w:val="00350AB5"/>
    <w:rsid w:val="00350E8D"/>
    <w:rsid w:val="00351316"/>
    <w:rsid w:val="003513FE"/>
    <w:rsid w:val="00351AF3"/>
    <w:rsid w:val="00351B17"/>
    <w:rsid w:val="0035228E"/>
    <w:rsid w:val="00352A20"/>
    <w:rsid w:val="00352D19"/>
    <w:rsid w:val="00354030"/>
    <w:rsid w:val="003545F1"/>
    <w:rsid w:val="00354D58"/>
    <w:rsid w:val="0035624A"/>
    <w:rsid w:val="003564FA"/>
    <w:rsid w:val="003569E5"/>
    <w:rsid w:val="00356D72"/>
    <w:rsid w:val="00356DFE"/>
    <w:rsid w:val="003576C0"/>
    <w:rsid w:val="00357900"/>
    <w:rsid w:val="00357D65"/>
    <w:rsid w:val="003605A4"/>
    <w:rsid w:val="003614C1"/>
    <w:rsid w:val="0036161C"/>
    <w:rsid w:val="003617FC"/>
    <w:rsid w:val="0036207C"/>
    <w:rsid w:val="00362C2A"/>
    <w:rsid w:val="00362F5B"/>
    <w:rsid w:val="00363451"/>
    <w:rsid w:val="0036414B"/>
    <w:rsid w:val="00364F2C"/>
    <w:rsid w:val="00365D82"/>
    <w:rsid w:val="0036603F"/>
    <w:rsid w:val="003666F9"/>
    <w:rsid w:val="00366B55"/>
    <w:rsid w:val="00367568"/>
    <w:rsid w:val="003678C8"/>
    <w:rsid w:val="00370824"/>
    <w:rsid w:val="003713C2"/>
    <w:rsid w:val="003723EC"/>
    <w:rsid w:val="0037245A"/>
    <w:rsid w:val="00372B2C"/>
    <w:rsid w:val="0037349A"/>
    <w:rsid w:val="00373923"/>
    <w:rsid w:val="00373C6C"/>
    <w:rsid w:val="00373E2F"/>
    <w:rsid w:val="00375288"/>
    <w:rsid w:val="00376983"/>
    <w:rsid w:val="00376F6E"/>
    <w:rsid w:val="003772E1"/>
    <w:rsid w:val="00377C51"/>
    <w:rsid w:val="003809B1"/>
    <w:rsid w:val="00380B7C"/>
    <w:rsid w:val="003814DE"/>
    <w:rsid w:val="0038159D"/>
    <w:rsid w:val="003817E2"/>
    <w:rsid w:val="00381BC6"/>
    <w:rsid w:val="00381FAD"/>
    <w:rsid w:val="0038409D"/>
    <w:rsid w:val="00384115"/>
    <w:rsid w:val="0038441C"/>
    <w:rsid w:val="00384AA2"/>
    <w:rsid w:val="00384C2F"/>
    <w:rsid w:val="003851DA"/>
    <w:rsid w:val="0038604A"/>
    <w:rsid w:val="0038607F"/>
    <w:rsid w:val="003862C3"/>
    <w:rsid w:val="00387170"/>
    <w:rsid w:val="003901ED"/>
    <w:rsid w:val="00390511"/>
    <w:rsid w:val="00390B71"/>
    <w:rsid w:val="00390BD2"/>
    <w:rsid w:val="00391704"/>
    <w:rsid w:val="0039206C"/>
    <w:rsid w:val="00392126"/>
    <w:rsid w:val="0039282F"/>
    <w:rsid w:val="00392BD4"/>
    <w:rsid w:val="00393EC3"/>
    <w:rsid w:val="00394CCA"/>
    <w:rsid w:val="00395D1A"/>
    <w:rsid w:val="00395E5E"/>
    <w:rsid w:val="00396179"/>
    <w:rsid w:val="0039643A"/>
    <w:rsid w:val="00397A49"/>
    <w:rsid w:val="003A01F1"/>
    <w:rsid w:val="003A0789"/>
    <w:rsid w:val="003A0DF4"/>
    <w:rsid w:val="003A1243"/>
    <w:rsid w:val="003A1452"/>
    <w:rsid w:val="003A14C0"/>
    <w:rsid w:val="003A16BD"/>
    <w:rsid w:val="003A187D"/>
    <w:rsid w:val="003A1E9B"/>
    <w:rsid w:val="003A293C"/>
    <w:rsid w:val="003A2D73"/>
    <w:rsid w:val="003A2FF7"/>
    <w:rsid w:val="003A3642"/>
    <w:rsid w:val="003A4051"/>
    <w:rsid w:val="003A47A9"/>
    <w:rsid w:val="003A4E68"/>
    <w:rsid w:val="003A5189"/>
    <w:rsid w:val="003A5798"/>
    <w:rsid w:val="003A5B52"/>
    <w:rsid w:val="003A5C89"/>
    <w:rsid w:val="003A6133"/>
    <w:rsid w:val="003A6602"/>
    <w:rsid w:val="003A69A8"/>
    <w:rsid w:val="003A6E6B"/>
    <w:rsid w:val="003A7700"/>
    <w:rsid w:val="003A7B42"/>
    <w:rsid w:val="003A7DD5"/>
    <w:rsid w:val="003A7F22"/>
    <w:rsid w:val="003B0BED"/>
    <w:rsid w:val="003B0E15"/>
    <w:rsid w:val="003B1346"/>
    <w:rsid w:val="003B1B77"/>
    <w:rsid w:val="003B1EE7"/>
    <w:rsid w:val="003B250D"/>
    <w:rsid w:val="003B3147"/>
    <w:rsid w:val="003B3D04"/>
    <w:rsid w:val="003B5539"/>
    <w:rsid w:val="003B57D3"/>
    <w:rsid w:val="003B5F60"/>
    <w:rsid w:val="003B6495"/>
    <w:rsid w:val="003B6576"/>
    <w:rsid w:val="003B6AFD"/>
    <w:rsid w:val="003B71FF"/>
    <w:rsid w:val="003B7765"/>
    <w:rsid w:val="003B79B0"/>
    <w:rsid w:val="003B7B09"/>
    <w:rsid w:val="003C08E3"/>
    <w:rsid w:val="003C1917"/>
    <w:rsid w:val="003C1BEE"/>
    <w:rsid w:val="003C274C"/>
    <w:rsid w:val="003C2BE1"/>
    <w:rsid w:val="003C4008"/>
    <w:rsid w:val="003C485B"/>
    <w:rsid w:val="003C4C56"/>
    <w:rsid w:val="003C4FC3"/>
    <w:rsid w:val="003C55EE"/>
    <w:rsid w:val="003C61C0"/>
    <w:rsid w:val="003C6302"/>
    <w:rsid w:val="003C644C"/>
    <w:rsid w:val="003C743B"/>
    <w:rsid w:val="003D03A4"/>
    <w:rsid w:val="003D0BE5"/>
    <w:rsid w:val="003D0C7C"/>
    <w:rsid w:val="003D10A5"/>
    <w:rsid w:val="003D12F2"/>
    <w:rsid w:val="003D1B0C"/>
    <w:rsid w:val="003D2522"/>
    <w:rsid w:val="003D3628"/>
    <w:rsid w:val="003D3DDA"/>
    <w:rsid w:val="003D4196"/>
    <w:rsid w:val="003D4A95"/>
    <w:rsid w:val="003D4EC1"/>
    <w:rsid w:val="003D5046"/>
    <w:rsid w:val="003D537C"/>
    <w:rsid w:val="003D54D6"/>
    <w:rsid w:val="003D553A"/>
    <w:rsid w:val="003D593C"/>
    <w:rsid w:val="003D634B"/>
    <w:rsid w:val="003D69F9"/>
    <w:rsid w:val="003D6C66"/>
    <w:rsid w:val="003D70EF"/>
    <w:rsid w:val="003D7D7F"/>
    <w:rsid w:val="003E0350"/>
    <w:rsid w:val="003E106B"/>
    <w:rsid w:val="003E2468"/>
    <w:rsid w:val="003E3616"/>
    <w:rsid w:val="003E3C6E"/>
    <w:rsid w:val="003E4248"/>
    <w:rsid w:val="003E533A"/>
    <w:rsid w:val="003E5CB1"/>
    <w:rsid w:val="003E64B4"/>
    <w:rsid w:val="003E77E7"/>
    <w:rsid w:val="003F0726"/>
    <w:rsid w:val="003F08E4"/>
    <w:rsid w:val="003F0900"/>
    <w:rsid w:val="003F18F9"/>
    <w:rsid w:val="003F1917"/>
    <w:rsid w:val="003F1C20"/>
    <w:rsid w:val="003F1C49"/>
    <w:rsid w:val="003F1CC9"/>
    <w:rsid w:val="003F20D0"/>
    <w:rsid w:val="003F2737"/>
    <w:rsid w:val="003F2DE8"/>
    <w:rsid w:val="003F30A5"/>
    <w:rsid w:val="003F31F3"/>
    <w:rsid w:val="003F39FE"/>
    <w:rsid w:val="003F3A2A"/>
    <w:rsid w:val="003F3F38"/>
    <w:rsid w:val="003F3F4F"/>
    <w:rsid w:val="003F4A4D"/>
    <w:rsid w:val="003F4C2B"/>
    <w:rsid w:val="003F4C7D"/>
    <w:rsid w:val="003F4E48"/>
    <w:rsid w:val="003F5155"/>
    <w:rsid w:val="003F6307"/>
    <w:rsid w:val="003F63EF"/>
    <w:rsid w:val="003F66B3"/>
    <w:rsid w:val="003F6C8E"/>
    <w:rsid w:val="00400578"/>
    <w:rsid w:val="00401245"/>
    <w:rsid w:val="00401AFA"/>
    <w:rsid w:val="00401BE5"/>
    <w:rsid w:val="004020E3"/>
    <w:rsid w:val="00402FA0"/>
    <w:rsid w:val="0040314C"/>
    <w:rsid w:val="00403168"/>
    <w:rsid w:val="00403707"/>
    <w:rsid w:val="00403799"/>
    <w:rsid w:val="004037B1"/>
    <w:rsid w:val="00404CB4"/>
    <w:rsid w:val="00404FC9"/>
    <w:rsid w:val="00405518"/>
    <w:rsid w:val="00405A2F"/>
    <w:rsid w:val="00406369"/>
    <w:rsid w:val="00406CC7"/>
    <w:rsid w:val="00406CF1"/>
    <w:rsid w:val="00407594"/>
    <w:rsid w:val="00407781"/>
    <w:rsid w:val="00407D04"/>
    <w:rsid w:val="00407D09"/>
    <w:rsid w:val="004103E3"/>
    <w:rsid w:val="0041045A"/>
    <w:rsid w:val="00410B38"/>
    <w:rsid w:val="00410B43"/>
    <w:rsid w:val="00410B8E"/>
    <w:rsid w:val="00410D3A"/>
    <w:rsid w:val="00410D5F"/>
    <w:rsid w:val="0041275C"/>
    <w:rsid w:val="00413E81"/>
    <w:rsid w:val="004146DA"/>
    <w:rsid w:val="004148B3"/>
    <w:rsid w:val="0041518B"/>
    <w:rsid w:val="004153B8"/>
    <w:rsid w:val="004155D4"/>
    <w:rsid w:val="00415941"/>
    <w:rsid w:val="00415AC6"/>
    <w:rsid w:val="00415CD0"/>
    <w:rsid w:val="0041614C"/>
    <w:rsid w:val="00416930"/>
    <w:rsid w:val="0041701C"/>
    <w:rsid w:val="00417034"/>
    <w:rsid w:val="004203F0"/>
    <w:rsid w:val="0042065A"/>
    <w:rsid w:val="0042100D"/>
    <w:rsid w:val="004217D7"/>
    <w:rsid w:val="00422237"/>
    <w:rsid w:val="00422282"/>
    <w:rsid w:val="0042328F"/>
    <w:rsid w:val="0042516D"/>
    <w:rsid w:val="00425291"/>
    <w:rsid w:val="004253D5"/>
    <w:rsid w:val="00425577"/>
    <w:rsid w:val="00425CA2"/>
    <w:rsid w:val="00425D31"/>
    <w:rsid w:val="00426846"/>
    <w:rsid w:val="00426A3E"/>
    <w:rsid w:val="00426E2C"/>
    <w:rsid w:val="004271BA"/>
    <w:rsid w:val="004272CA"/>
    <w:rsid w:val="00427764"/>
    <w:rsid w:val="00427C98"/>
    <w:rsid w:val="00430369"/>
    <w:rsid w:val="00430A7C"/>
    <w:rsid w:val="00430C30"/>
    <w:rsid w:val="00431D38"/>
    <w:rsid w:val="0043257A"/>
    <w:rsid w:val="0043270C"/>
    <w:rsid w:val="00432E65"/>
    <w:rsid w:val="00433044"/>
    <w:rsid w:val="00433076"/>
    <w:rsid w:val="004334DE"/>
    <w:rsid w:val="00434922"/>
    <w:rsid w:val="00434AC4"/>
    <w:rsid w:val="00435CD3"/>
    <w:rsid w:val="004372A9"/>
    <w:rsid w:val="00437AA1"/>
    <w:rsid w:val="0044067B"/>
    <w:rsid w:val="004409AB"/>
    <w:rsid w:val="00440D4A"/>
    <w:rsid w:val="00440ED9"/>
    <w:rsid w:val="00441333"/>
    <w:rsid w:val="00441A92"/>
    <w:rsid w:val="0044259C"/>
    <w:rsid w:val="00442BB4"/>
    <w:rsid w:val="00442BB6"/>
    <w:rsid w:val="00442E9E"/>
    <w:rsid w:val="00444F40"/>
    <w:rsid w:val="0044551E"/>
    <w:rsid w:val="00445994"/>
    <w:rsid w:val="00445C00"/>
    <w:rsid w:val="004466D5"/>
    <w:rsid w:val="004467B8"/>
    <w:rsid w:val="00446A6E"/>
    <w:rsid w:val="004477C2"/>
    <w:rsid w:val="0044790B"/>
    <w:rsid w:val="004500AD"/>
    <w:rsid w:val="004503D6"/>
    <w:rsid w:val="00450584"/>
    <w:rsid w:val="004506AE"/>
    <w:rsid w:val="00452520"/>
    <w:rsid w:val="00453151"/>
    <w:rsid w:val="00454176"/>
    <w:rsid w:val="0045464F"/>
    <w:rsid w:val="004546C6"/>
    <w:rsid w:val="004551BA"/>
    <w:rsid w:val="004552B3"/>
    <w:rsid w:val="0045549C"/>
    <w:rsid w:val="0045556D"/>
    <w:rsid w:val="00455B65"/>
    <w:rsid w:val="00456FB5"/>
    <w:rsid w:val="004571EE"/>
    <w:rsid w:val="00457375"/>
    <w:rsid w:val="004577EE"/>
    <w:rsid w:val="00457F37"/>
    <w:rsid w:val="00460DD3"/>
    <w:rsid w:val="004610A5"/>
    <w:rsid w:val="00461663"/>
    <w:rsid w:val="00463243"/>
    <w:rsid w:val="00464004"/>
    <w:rsid w:val="00464892"/>
    <w:rsid w:val="004649C0"/>
    <w:rsid w:val="004653BA"/>
    <w:rsid w:val="004660B6"/>
    <w:rsid w:val="00466109"/>
    <w:rsid w:val="004663B3"/>
    <w:rsid w:val="00467E11"/>
    <w:rsid w:val="00467F65"/>
    <w:rsid w:val="0047003C"/>
    <w:rsid w:val="00470075"/>
    <w:rsid w:val="0047010D"/>
    <w:rsid w:val="004701ED"/>
    <w:rsid w:val="00470EB3"/>
    <w:rsid w:val="00471AD2"/>
    <w:rsid w:val="00471D45"/>
    <w:rsid w:val="004721C9"/>
    <w:rsid w:val="004721F2"/>
    <w:rsid w:val="00472320"/>
    <w:rsid w:val="0047244F"/>
    <w:rsid w:val="00472FB0"/>
    <w:rsid w:val="004733B0"/>
    <w:rsid w:val="00473744"/>
    <w:rsid w:val="00473BC0"/>
    <w:rsid w:val="00473D13"/>
    <w:rsid w:val="0047446C"/>
    <w:rsid w:val="004749DA"/>
    <w:rsid w:val="0047529A"/>
    <w:rsid w:val="00475B4C"/>
    <w:rsid w:val="00476DFF"/>
    <w:rsid w:val="00477905"/>
    <w:rsid w:val="004802A8"/>
    <w:rsid w:val="004826E3"/>
    <w:rsid w:val="004828BC"/>
    <w:rsid w:val="00482DC5"/>
    <w:rsid w:val="004831CA"/>
    <w:rsid w:val="00483B40"/>
    <w:rsid w:val="00483EBC"/>
    <w:rsid w:val="004841EE"/>
    <w:rsid w:val="004843E2"/>
    <w:rsid w:val="00485206"/>
    <w:rsid w:val="00485D1A"/>
    <w:rsid w:val="0048615E"/>
    <w:rsid w:val="004861A3"/>
    <w:rsid w:val="0048656E"/>
    <w:rsid w:val="00486BFF"/>
    <w:rsid w:val="00486EF0"/>
    <w:rsid w:val="00490059"/>
    <w:rsid w:val="00490348"/>
    <w:rsid w:val="004906A5"/>
    <w:rsid w:val="004906FD"/>
    <w:rsid w:val="004914E5"/>
    <w:rsid w:val="0049260F"/>
    <w:rsid w:val="00492DDD"/>
    <w:rsid w:val="004932D4"/>
    <w:rsid w:val="004934D8"/>
    <w:rsid w:val="0049361B"/>
    <w:rsid w:val="004937B2"/>
    <w:rsid w:val="00493F02"/>
    <w:rsid w:val="0049467B"/>
    <w:rsid w:val="00494D6D"/>
    <w:rsid w:val="0049667D"/>
    <w:rsid w:val="00496B48"/>
    <w:rsid w:val="00496E49"/>
    <w:rsid w:val="00496F02"/>
    <w:rsid w:val="00496F07"/>
    <w:rsid w:val="00497C4B"/>
    <w:rsid w:val="00497CAE"/>
    <w:rsid w:val="004A01BA"/>
    <w:rsid w:val="004A06B9"/>
    <w:rsid w:val="004A0C1B"/>
    <w:rsid w:val="004A0D9B"/>
    <w:rsid w:val="004A104D"/>
    <w:rsid w:val="004A1D4C"/>
    <w:rsid w:val="004A2B89"/>
    <w:rsid w:val="004A2C09"/>
    <w:rsid w:val="004A334F"/>
    <w:rsid w:val="004A39DE"/>
    <w:rsid w:val="004A3C0D"/>
    <w:rsid w:val="004A41D1"/>
    <w:rsid w:val="004A473F"/>
    <w:rsid w:val="004A6132"/>
    <w:rsid w:val="004A6324"/>
    <w:rsid w:val="004A7C48"/>
    <w:rsid w:val="004A7CEC"/>
    <w:rsid w:val="004B0075"/>
    <w:rsid w:val="004B07A4"/>
    <w:rsid w:val="004B0BEF"/>
    <w:rsid w:val="004B1063"/>
    <w:rsid w:val="004B1659"/>
    <w:rsid w:val="004B1823"/>
    <w:rsid w:val="004B1946"/>
    <w:rsid w:val="004B19FC"/>
    <w:rsid w:val="004B36B0"/>
    <w:rsid w:val="004B393D"/>
    <w:rsid w:val="004B3ED3"/>
    <w:rsid w:val="004B41F2"/>
    <w:rsid w:val="004B4450"/>
    <w:rsid w:val="004B44F8"/>
    <w:rsid w:val="004B4A2A"/>
    <w:rsid w:val="004B4AB6"/>
    <w:rsid w:val="004B513F"/>
    <w:rsid w:val="004B5F6E"/>
    <w:rsid w:val="004B5FB6"/>
    <w:rsid w:val="004B687E"/>
    <w:rsid w:val="004B69C5"/>
    <w:rsid w:val="004B6C02"/>
    <w:rsid w:val="004B7264"/>
    <w:rsid w:val="004B73E8"/>
    <w:rsid w:val="004B7586"/>
    <w:rsid w:val="004B7AC0"/>
    <w:rsid w:val="004C04E5"/>
    <w:rsid w:val="004C0EEB"/>
    <w:rsid w:val="004C0EED"/>
    <w:rsid w:val="004C1038"/>
    <w:rsid w:val="004C167C"/>
    <w:rsid w:val="004C16D0"/>
    <w:rsid w:val="004C210F"/>
    <w:rsid w:val="004C24DA"/>
    <w:rsid w:val="004C24E7"/>
    <w:rsid w:val="004C26DB"/>
    <w:rsid w:val="004C34F7"/>
    <w:rsid w:val="004C3B8C"/>
    <w:rsid w:val="004C48EA"/>
    <w:rsid w:val="004C4C86"/>
    <w:rsid w:val="004C55E2"/>
    <w:rsid w:val="004C5770"/>
    <w:rsid w:val="004C58AE"/>
    <w:rsid w:val="004C6688"/>
    <w:rsid w:val="004C6CF7"/>
    <w:rsid w:val="004C7866"/>
    <w:rsid w:val="004D0156"/>
    <w:rsid w:val="004D06F5"/>
    <w:rsid w:val="004D1934"/>
    <w:rsid w:val="004D21DA"/>
    <w:rsid w:val="004D361A"/>
    <w:rsid w:val="004D3B72"/>
    <w:rsid w:val="004D3B96"/>
    <w:rsid w:val="004D3D16"/>
    <w:rsid w:val="004D4F6F"/>
    <w:rsid w:val="004D6C92"/>
    <w:rsid w:val="004D7125"/>
    <w:rsid w:val="004D7350"/>
    <w:rsid w:val="004D7EBB"/>
    <w:rsid w:val="004E006B"/>
    <w:rsid w:val="004E00F3"/>
    <w:rsid w:val="004E072B"/>
    <w:rsid w:val="004E0E5E"/>
    <w:rsid w:val="004E110D"/>
    <w:rsid w:val="004E13B9"/>
    <w:rsid w:val="004E17B8"/>
    <w:rsid w:val="004E2D13"/>
    <w:rsid w:val="004E3194"/>
    <w:rsid w:val="004E333F"/>
    <w:rsid w:val="004E3A95"/>
    <w:rsid w:val="004E3CBB"/>
    <w:rsid w:val="004E3D1C"/>
    <w:rsid w:val="004E460B"/>
    <w:rsid w:val="004E4FF9"/>
    <w:rsid w:val="004E552E"/>
    <w:rsid w:val="004E56FA"/>
    <w:rsid w:val="004E6187"/>
    <w:rsid w:val="004F0750"/>
    <w:rsid w:val="004F09D0"/>
    <w:rsid w:val="004F124D"/>
    <w:rsid w:val="004F12E5"/>
    <w:rsid w:val="004F19A0"/>
    <w:rsid w:val="004F2AFB"/>
    <w:rsid w:val="004F2D0F"/>
    <w:rsid w:val="004F2F15"/>
    <w:rsid w:val="004F3478"/>
    <w:rsid w:val="004F3C57"/>
    <w:rsid w:val="004F3C8F"/>
    <w:rsid w:val="004F3D18"/>
    <w:rsid w:val="004F3FE2"/>
    <w:rsid w:val="004F4103"/>
    <w:rsid w:val="004F48CD"/>
    <w:rsid w:val="004F4CDC"/>
    <w:rsid w:val="004F4EEF"/>
    <w:rsid w:val="004F5009"/>
    <w:rsid w:val="004F519E"/>
    <w:rsid w:val="004F5254"/>
    <w:rsid w:val="004F761D"/>
    <w:rsid w:val="004F797B"/>
    <w:rsid w:val="00500AD6"/>
    <w:rsid w:val="00500BAD"/>
    <w:rsid w:val="0050155F"/>
    <w:rsid w:val="005017BC"/>
    <w:rsid w:val="0050182F"/>
    <w:rsid w:val="00502BFD"/>
    <w:rsid w:val="0050381C"/>
    <w:rsid w:val="00503FC3"/>
    <w:rsid w:val="00504319"/>
    <w:rsid w:val="00504DF3"/>
    <w:rsid w:val="00505056"/>
    <w:rsid w:val="005053F2"/>
    <w:rsid w:val="00506704"/>
    <w:rsid w:val="00506C76"/>
    <w:rsid w:val="0050713F"/>
    <w:rsid w:val="0050722F"/>
    <w:rsid w:val="00510178"/>
    <w:rsid w:val="00510416"/>
    <w:rsid w:val="0051053B"/>
    <w:rsid w:val="00511321"/>
    <w:rsid w:val="00511A61"/>
    <w:rsid w:val="00511DF5"/>
    <w:rsid w:val="00511E53"/>
    <w:rsid w:val="00511FF4"/>
    <w:rsid w:val="00512688"/>
    <w:rsid w:val="005126FA"/>
    <w:rsid w:val="00513074"/>
    <w:rsid w:val="00513393"/>
    <w:rsid w:val="005136E6"/>
    <w:rsid w:val="00513E3C"/>
    <w:rsid w:val="00513F7C"/>
    <w:rsid w:val="00514403"/>
    <w:rsid w:val="00514EBA"/>
    <w:rsid w:val="00516533"/>
    <w:rsid w:val="0051709A"/>
    <w:rsid w:val="005176E8"/>
    <w:rsid w:val="00517CC8"/>
    <w:rsid w:val="00520422"/>
    <w:rsid w:val="0052168C"/>
    <w:rsid w:val="00521A0F"/>
    <w:rsid w:val="00522906"/>
    <w:rsid w:val="00522C50"/>
    <w:rsid w:val="00522FD7"/>
    <w:rsid w:val="0052303C"/>
    <w:rsid w:val="00523140"/>
    <w:rsid w:val="00523743"/>
    <w:rsid w:val="00523919"/>
    <w:rsid w:val="00523E10"/>
    <w:rsid w:val="005247ED"/>
    <w:rsid w:val="00524C94"/>
    <w:rsid w:val="00525339"/>
    <w:rsid w:val="00525DC6"/>
    <w:rsid w:val="0052611E"/>
    <w:rsid w:val="005261AB"/>
    <w:rsid w:val="0052636E"/>
    <w:rsid w:val="00527348"/>
    <w:rsid w:val="00527921"/>
    <w:rsid w:val="00527EA6"/>
    <w:rsid w:val="005307FF"/>
    <w:rsid w:val="00530A57"/>
    <w:rsid w:val="00531095"/>
    <w:rsid w:val="0053223D"/>
    <w:rsid w:val="00532328"/>
    <w:rsid w:val="00532609"/>
    <w:rsid w:val="00532C2F"/>
    <w:rsid w:val="00533469"/>
    <w:rsid w:val="005338F8"/>
    <w:rsid w:val="00534472"/>
    <w:rsid w:val="00534FA7"/>
    <w:rsid w:val="00535279"/>
    <w:rsid w:val="005357C1"/>
    <w:rsid w:val="00535E1A"/>
    <w:rsid w:val="00536227"/>
    <w:rsid w:val="005365E2"/>
    <w:rsid w:val="0053705B"/>
    <w:rsid w:val="00537609"/>
    <w:rsid w:val="00537F1C"/>
    <w:rsid w:val="00540087"/>
    <w:rsid w:val="00540B5F"/>
    <w:rsid w:val="005410A8"/>
    <w:rsid w:val="005410B0"/>
    <w:rsid w:val="00541167"/>
    <w:rsid w:val="0054210F"/>
    <w:rsid w:val="00542A1F"/>
    <w:rsid w:val="00542B38"/>
    <w:rsid w:val="00542D28"/>
    <w:rsid w:val="005436A9"/>
    <w:rsid w:val="00543952"/>
    <w:rsid w:val="00543C77"/>
    <w:rsid w:val="005450D3"/>
    <w:rsid w:val="00545A1C"/>
    <w:rsid w:val="00546541"/>
    <w:rsid w:val="00546C94"/>
    <w:rsid w:val="005474E9"/>
    <w:rsid w:val="00547630"/>
    <w:rsid w:val="005479F5"/>
    <w:rsid w:val="0055066F"/>
    <w:rsid w:val="00550BE1"/>
    <w:rsid w:val="00550FC9"/>
    <w:rsid w:val="00552369"/>
    <w:rsid w:val="00552A72"/>
    <w:rsid w:val="005531F1"/>
    <w:rsid w:val="00553D84"/>
    <w:rsid w:val="00554863"/>
    <w:rsid w:val="00554B88"/>
    <w:rsid w:val="00554C14"/>
    <w:rsid w:val="00554EA4"/>
    <w:rsid w:val="00555328"/>
    <w:rsid w:val="00555564"/>
    <w:rsid w:val="00555C36"/>
    <w:rsid w:val="00556833"/>
    <w:rsid w:val="00556BAB"/>
    <w:rsid w:val="005575FF"/>
    <w:rsid w:val="0056176C"/>
    <w:rsid w:val="00561AC4"/>
    <w:rsid w:val="00561EC5"/>
    <w:rsid w:val="005625FB"/>
    <w:rsid w:val="005627AD"/>
    <w:rsid w:val="00563163"/>
    <w:rsid w:val="00563B70"/>
    <w:rsid w:val="00563FA7"/>
    <w:rsid w:val="005640E8"/>
    <w:rsid w:val="00564947"/>
    <w:rsid w:val="00564C5A"/>
    <w:rsid w:val="00564CF1"/>
    <w:rsid w:val="005651DA"/>
    <w:rsid w:val="005652A0"/>
    <w:rsid w:val="005653D8"/>
    <w:rsid w:val="00565E0B"/>
    <w:rsid w:val="00566032"/>
    <w:rsid w:val="005660C5"/>
    <w:rsid w:val="0056682C"/>
    <w:rsid w:val="00566BC1"/>
    <w:rsid w:val="00566D89"/>
    <w:rsid w:val="005672F2"/>
    <w:rsid w:val="005701B9"/>
    <w:rsid w:val="00570554"/>
    <w:rsid w:val="005707A6"/>
    <w:rsid w:val="00570D13"/>
    <w:rsid w:val="0057164E"/>
    <w:rsid w:val="0057205C"/>
    <w:rsid w:val="0057278F"/>
    <w:rsid w:val="005727D7"/>
    <w:rsid w:val="00572800"/>
    <w:rsid w:val="00572E5A"/>
    <w:rsid w:val="00572E64"/>
    <w:rsid w:val="00572F37"/>
    <w:rsid w:val="00573371"/>
    <w:rsid w:val="00573569"/>
    <w:rsid w:val="00573EE1"/>
    <w:rsid w:val="00574226"/>
    <w:rsid w:val="00574B63"/>
    <w:rsid w:val="00574C95"/>
    <w:rsid w:val="00574E86"/>
    <w:rsid w:val="005757E5"/>
    <w:rsid w:val="00575867"/>
    <w:rsid w:val="00576590"/>
    <w:rsid w:val="0057687B"/>
    <w:rsid w:val="005776AC"/>
    <w:rsid w:val="00577CA9"/>
    <w:rsid w:val="005801EF"/>
    <w:rsid w:val="00580B21"/>
    <w:rsid w:val="00581292"/>
    <w:rsid w:val="00581C09"/>
    <w:rsid w:val="00582121"/>
    <w:rsid w:val="00582667"/>
    <w:rsid w:val="005830BF"/>
    <w:rsid w:val="005832B4"/>
    <w:rsid w:val="005837B5"/>
    <w:rsid w:val="00583916"/>
    <w:rsid w:val="00583AE1"/>
    <w:rsid w:val="005850B3"/>
    <w:rsid w:val="00585139"/>
    <w:rsid w:val="005863D6"/>
    <w:rsid w:val="00586530"/>
    <w:rsid w:val="00586614"/>
    <w:rsid w:val="00586837"/>
    <w:rsid w:val="005871D5"/>
    <w:rsid w:val="00590A0C"/>
    <w:rsid w:val="00590C50"/>
    <w:rsid w:val="0059144D"/>
    <w:rsid w:val="005915BA"/>
    <w:rsid w:val="00591694"/>
    <w:rsid w:val="00591847"/>
    <w:rsid w:val="00591AD6"/>
    <w:rsid w:val="00593B1C"/>
    <w:rsid w:val="00593FC7"/>
    <w:rsid w:val="005956E4"/>
    <w:rsid w:val="00595A21"/>
    <w:rsid w:val="0059642B"/>
    <w:rsid w:val="00596AFF"/>
    <w:rsid w:val="00596F20"/>
    <w:rsid w:val="00596FAB"/>
    <w:rsid w:val="0059768F"/>
    <w:rsid w:val="005976AA"/>
    <w:rsid w:val="005978C6"/>
    <w:rsid w:val="005A0131"/>
    <w:rsid w:val="005A07A7"/>
    <w:rsid w:val="005A0B1D"/>
    <w:rsid w:val="005A0DDE"/>
    <w:rsid w:val="005A118B"/>
    <w:rsid w:val="005A1937"/>
    <w:rsid w:val="005A1B2B"/>
    <w:rsid w:val="005A1C8D"/>
    <w:rsid w:val="005A1CCD"/>
    <w:rsid w:val="005A20F6"/>
    <w:rsid w:val="005A30A4"/>
    <w:rsid w:val="005A320D"/>
    <w:rsid w:val="005A3ABD"/>
    <w:rsid w:val="005A4475"/>
    <w:rsid w:val="005A465F"/>
    <w:rsid w:val="005A4DB1"/>
    <w:rsid w:val="005A4F0B"/>
    <w:rsid w:val="005A54EF"/>
    <w:rsid w:val="005A5721"/>
    <w:rsid w:val="005A585C"/>
    <w:rsid w:val="005A5870"/>
    <w:rsid w:val="005A62EA"/>
    <w:rsid w:val="005A631A"/>
    <w:rsid w:val="005A7F58"/>
    <w:rsid w:val="005A7FEE"/>
    <w:rsid w:val="005B15E7"/>
    <w:rsid w:val="005B1B9B"/>
    <w:rsid w:val="005B2B69"/>
    <w:rsid w:val="005B3A39"/>
    <w:rsid w:val="005B3D30"/>
    <w:rsid w:val="005B446A"/>
    <w:rsid w:val="005B446B"/>
    <w:rsid w:val="005B52ED"/>
    <w:rsid w:val="005B5390"/>
    <w:rsid w:val="005B558F"/>
    <w:rsid w:val="005B5C25"/>
    <w:rsid w:val="005B6B6C"/>
    <w:rsid w:val="005B733F"/>
    <w:rsid w:val="005B75E1"/>
    <w:rsid w:val="005B75F9"/>
    <w:rsid w:val="005B7616"/>
    <w:rsid w:val="005B7EC0"/>
    <w:rsid w:val="005C0D90"/>
    <w:rsid w:val="005C1F17"/>
    <w:rsid w:val="005C1F1D"/>
    <w:rsid w:val="005C2C06"/>
    <w:rsid w:val="005C3410"/>
    <w:rsid w:val="005C3887"/>
    <w:rsid w:val="005C3AC3"/>
    <w:rsid w:val="005C4379"/>
    <w:rsid w:val="005C49A3"/>
    <w:rsid w:val="005C4DCF"/>
    <w:rsid w:val="005C5134"/>
    <w:rsid w:val="005C58A7"/>
    <w:rsid w:val="005C5BB6"/>
    <w:rsid w:val="005C5E03"/>
    <w:rsid w:val="005C5E2E"/>
    <w:rsid w:val="005C5EF9"/>
    <w:rsid w:val="005C5FB3"/>
    <w:rsid w:val="005C6089"/>
    <w:rsid w:val="005C63C3"/>
    <w:rsid w:val="005C6513"/>
    <w:rsid w:val="005C669C"/>
    <w:rsid w:val="005C685C"/>
    <w:rsid w:val="005C6B27"/>
    <w:rsid w:val="005C6D7E"/>
    <w:rsid w:val="005D027E"/>
    <w:rsid w:val="005D06F5"/>
    <w:rsid w:val="005D1219"/>
    <w:rsid w:val="005D1531"/>
    <w:rsid w:val="005D15E3"/>
    <w:rsid w:val="005D2322"/>
    <w:rsid w:val="005D234A"/>
    <w:rsid w:val="005D2785"/>
    <w:rsid w:val="005D2910"/>
    <w:rsid w:val="005D2C59"/>
    <w:rsid w:val="005D3029"/>
    <w:rsid w:val="005D3255"/>
    <w:rsid w:val="005D3549"/>
    <w:rsid w:val="005D3712"/>
    <w:rsid w:val="005D500A"/>
    <w:rsid w:val="005D7A7E"/>
    <w:rsid w:val="005D7C22"/>
    <w:rsid w:val="005D7D4E"/>
    <w:rsid w:val="005E074E"/>
    <w:rsid w:val="005E0828"/>
    <w:rsid w:val="005E0A37"/>
    <w:rsid w:val="005E0AA6"/>
    <w:rsid w:val="005E15AC"/>
    <w:rsid w:val="005E1B42"/>
    <w:rsid w:val="005E1FE2"/>
    <w:rsid w:val="005E22D4"/>
    <w:rsid w:val="005E23F7"/>
    <w:rsid w:val="005E2FCF"/>
    <w:rsid w:val="005E3085"/>
    <w:rsid w:val="005E30F4"/>
    <w:rsid w:val="005E3526"/>
    <w:rsid w:val="005E4B57"/>
    <w:rsid w:val="005E4D29"/>
    <w:rsid w:val="005E4E19"/>
    <w:rsid w:val="005E54A1"/>
    <w:rsid w:val="005E5B36"/>
    <w:rsid w:val="005E5D82"/>
    <w:rsid w:val="005E621F"/>
    <w:rsid w:val="005E6AFB"/>
    <w:rsid w:val="005E6DA9"/>
    <w:rsid w:val="005E747E"/>
    <w:rsid w:val="005E7E72"/>
    <w:rsid w:val="005F0549"/>
    <w:rsid w:val="005F0AF1"/>
    <w:rsid w:val="005F0B28"/>
    <w:rsid w:val="005F0C1D"/>
    <w:rsid w:val="005F0D99"/>
    <w:rsid w:val="005F1B5E"/>
    <w:rsid w:val="005F1E7C"/>
    <w:rsid w:val="005F23E8"/>
    <w:rsid w:val="005F286F"/>
    <w:rsid w:val="005F2A68"/>
    <w:rsid w:val="005F2B3C"/>
    <w:rsid w:val="005F2B69"/>
    <w:rsid w:val="005F33A7"/>
    <w:rsid w:val="005F3AD1"/>
    <w:rsid w:val="005F3CB1"/>
    <w:rsid w:val="005F4BA2"/>
    <w:rsid w:val="005F5D68"/>
    <w:rsid w:val="005F69E7"/>
    <w:rsid w:val="005F72A0"/>
    <w:rsid w:val="005F77E8"/>
    <w:rsid w:val="005F7C87"/>
    <w:rsid w:val="00600AC2"/>
    <w:rsid w:val="0060113C"/>
    <w:rsid w:val="00601227"/>
    <w:rsid w:val="0060225F"/>
    <w:rsid w:val="00603241"/>
    <w:rsid w:val="006032AA"/>
    <w:rsid w:val="006033BA"/>
    <w:rsid w:val="006036FF"/>
    <w:rsid w:val="00603D80"/>
    <w:rsid w:val="00603E3E"/>
    <w:rsid w:val="00604ABF"/>
    <w:rsid w:val="006050B6"/>
    <w:rsid w:val="006052B3"/>
    <w:rsid w:val="006055EF"/>
    <w:rsid w:val="00605F37"/>
    <w:rsid w:val="00605F5E"/>
    <w:rsid w:val="006068D9"/>
    <w:rsid w:val="00606B0E"/>
    <w:rsid w:val="006071EC"/>
    <w:rsid w:val="006077FB"/>
    <w:rsid w:val="00607BD3"/>
    <w:rsid w:val="00607C1D"/>
    <w:rsid w:val="00607DD7"/>
    <w:rsid w:val="00607EC7"/>
    <w:rsid w:val="006101DC"/>
    <w:rsid w:val="006104C9"/>
    <w:rsid w:val="006116E2"/>
    <w:rsid w:val="00612308"/>
    <w:rsid w:val="00612310"/>
    <w:rsid w:val="00612F0A"/>
    <w:rsid w:val="0061306B"/>
    <w:rsid w:val="00613537"/>
    <w:rsid w:val="00613B6D"/>
    <w:rsid w:val="00613DF2"/>
    <w:rsid w:val="00614514"/>
    <w:rsid w:val="00614821"/>
    <w:rsid w:val="00614FF8"/>
    <w:rsid w:val="00615018"/>
    <w:rsid w:val="00615279"/>
    <w:rsid w:val="006153EB"/>
    <w:rsid w:val="00615CF5"/>
    <w:rsid w:val="0061619C"/>
    <w:rsid w:val="00616A07"/>
    <w:rsid w:val="00616D38"/>
    <w:rsid w:val="00617289"/>
    <w:rsid w:val="00617622"/>
    <w:rsid w:val="00620CF6"/>
    <w:rsid w:val="006210E0"/>
    <w:rsid w:val="006219DC"/>
    <w:rsid w:val="00621BC7"/>
    <w:rsid w:val="00621C8A"/>
    <w:rsid w:val="00623529"/>
    <w:rsid w:val="00623715"/>
    <w:rsid w:val="00623E7E"/>
    <w:rsid w:val="00624199"/>
    <w:rsid w:val="006245F5"/>
    <w:rsid w:val="006253FC"/>
    <w:rsid w:val="00626272"/>
    <w:rsid w:val="00626435"/>
    <w:rsid w:val="0062682A"/>
    <w:rsid w:val="00627122"/>
    <w:rsid w:val="006276AE"/>
    <w:rsid w:val="00630413"/>
    <w:rsid w:val="0063045D"/>
    <w:rsid w:val="00631E00"/>
    <w:rsid w:val="00631FB4"/>
    <w:rsid w:val="00632437"/>
    <w:rsid w:val="006327C8"/>
    <w:rsid w:val="00634099"/>
    <w:rsid w:val="00634865"/>
    <w:rsid w:val="00634B5D"/>
    <w:rsid w:val="00634BC4"/>
    <w:rsid w:val="00634C5B"/>
    <w:rsid w:val="00635DCF"/>
    <w:rsid w:val="00636D43"/>
    <w:rsid w:val="006371A9"/>
    <w:rsid w:val="006372A8"/>
    <w:rsid w:val="00637D72"/>
    <w:rsid w:val="00640166"/>
    <w:rsid w:val="006405D5"/>
    <w:rsid w:val="006409C4"/>
    <w:rsid w:val="00640B72"/>
    <w:rsid w:val="00640BFA"/>
    <w:rsid w:val="00640E0B"/>
    <w:rsid w:val="00640FB3"/>
    <w:rsid w:val="00641CF7"/>
    <w:rsid w:val="006422F2"/>
    <w:rsid w:val="00642589"/>
    <w:rsid w:val="00642FD3"/>
    <w:rsid w:val="006434C8"/>
    <w:rsid w:val="00643762"/>
    <w:rsid w:val="006438FC"/>
    <w:rsid w:val="00644357"/>
    <w:rsid w:val="0064468A"/>
    <w:rsid w:val="00644CC7"/>
    <w:rsid w:val="00644DCD"/>
    <w:rsid w:val="006450F4"/>
    <w:rsid w:val="0064542C"/>
    <w:rsid w:val="00645637"/>
    <w:rsid w:val="00645653"/>
    <w:rsid w:val="00646249"/>
    <w:rsid w:val="00646C40"/>
    <w:rsid w:val="00646F1D"/>
    <w:rsid w:val="0064739C"/>
    <w:rsid w:val="00647633"/>
    <w:rsid w:val="00647650"/>
    <w:rsid w:val="006476FC"/>
    <w:rsid w:val="006509B9"/>
    <w:rsid w:val="00650DAA"/>
    <w:rsid w:val="00650EC3"/>
    <w:rsid w:val="006524BC"/>
    <w:rsid w:val="00652508"/>
    <w:rsid w:val="00652951"/>
    <w:rsid w:val="006532EA"/>
    <w:rsid w:val="00653837"/>
    <w:rsid w:val="00653B33"/>
    <w:rsid w:val="00654526"/>
    <w:rsid w:val="0065460C"/>
    <w:rsid w:val="006547AF"/>
    <w:rsid w:val="00654B04"/>
    <w:rsid w:val="006552A8"/>
    <w:rsid w:val="0065534B"/>
    <w:rsid w:val="0065574A"/>
    <w:rsid w:val="006557A1"/>
    <w:rsid w:val="0065671C"/>
    <w:rsid w:val="0065671F"/>
    <w:rsid w:val="006570BA"/>
    <w:rsid w:val="00657DDA"/>
    <w:rsid w:val="00660CB4"/>
    <w:rsid w:val="00660F01"/>
    <w:rsid w:val="00661110"/>
    <w:rsid w:val="00661C15"/>
    <w:rsid w:val="00663227"/>
    <w:rsid w:val="00663BB3"/>
    <w:rsid w:val="00663F14"/>
    <w:rsid w:val="00663F15"/>
    <w:rsid w:val="00664966"/>
    <w:rsid w:val="00664EB0"/>
    <w:rsid w:val="00665051"/>
    <w:rsid w:val="00665658"/>
    <w:rsid w:val="00665A57"/>
    <w:rsid w:val="00665D2A"/>
    <w:rsid w:val="0066614E"/>
    <w:rsid w:val="0066673E"/>
    <w:rsid w:val="006668C4"/>
    <w:rsid w:val="00666CFF"/>
    <w:rsid w:val="00667512"/>
    <w:rsid w:val="0066790B"/>
    <w:rsid w:val="006709DB"/>
    <w:rsid w:val="00670A38"/>
    <w:rsid w:val="0067188B"/>
    <w:rsid w:val="0067199C"/>
    <w:rsid w:val="006724BB"/>
    <w:rsid w:val="00672C0E"/>
    <w:rsid w:val="006737BA"/>
    <w:rsid w:val="0067443D"/>
    <w:rsid w:val="00674B15"/>
    <w:rsid w:val="006754FB"/>
    <w:rsid w:val="00676248"/>
    <w:rsid w:val="00676287"/>
    <w:rsid w:val="00677B35"/>
    <w:rsid w:val="00680533"/>
    <w:rsid w:val="00680982"/>
    <w:rsid w:val="006809C1"/>
    <w:rsid w:val="00680E63"/>
    <w:rsid w:val="00682207"/>
    <w:rsid w:val="0068223E"/>
    <w:rsid w:val="00682C03"/>
    <w:rsid w:val="0068309A"/>
    <w:rsid w:val="006841DF"/>
    <w:rsid w:val="00684680"/>
    <w:rsid w:val="00684C74"/>
    <w:rsid w:val="00685425"/>
    <w:rsid w:val="0068548F"/>
    <w:rsid w:val="00685789"/>
    <w:rsid w:val="00685849"/>
    <w:rsid w:val="006869AC"/>
    <w:rsid w:val="00686D16"/>
    <w:rsid w:val="00686ED5"/>
    <w:rsid w:val="006878D3"/>
    <w:rsid w:val="006878FC"/>
    <w:rsid w:val="00687ACE"/>
    <w:rsid w:val="00687F12"/>
    <w:rsid w:val="0069024D"/>
    <w:rsid w:val="00690F5F"/>
    <w:rsid w:val="0069138A"/>
    <w:rsid w:val="006918DF"/>
    <w:rsid w:val="006935D0"/>
    <w:rsid w:val="00693CA1"/>
    <w:rsid w:val="00694864"/>
    <w:rsid w:val="00695214"/>
    <w:rsid w:val="00695872"/>
    <w:rsid w:val="00695C59"/>
    <w:rsid w:val="00696404"/>
    <w:rsid w:val="0069642E"/>
    <w:rsid w:val="0069681F"/>
    <w:rsid w:val="00696CC6"/>
    <w:rsid w:val="00696F2C"/>
    <w:rsid w:val="006971AF"/>
    <w:rsid w:val="00697D71"/>
    <w:rsid w:val="006A0215"/>
    <w:rsid w:val="006A0458"/>
    <w:rsid w:val="006A0AB0"/>
    <w:rsid w:val="006A0E83"/>
    <w:rsid w:val="006A11CF"/>
    <w:rsid w:val="006A26B5"/>
    <w:rsid w:val="006A2FEA"/>
    <w:rsid w:val="006A3086"/>
    <w:rsid w:val="006A37D8"/>
    <w:rsid w:val="006A3A23"/>
    <w:rsid w:val="006A3D4C"/>
    <w:rsid w:val="006A45C1"/>
    <w:rsid w:val="006A5052"/>
    <w:rsid w:val="006A5316"/>
    <w:rsid w:val="006A54C9"/>
    <w:rsid w:val="006A5CF1"/>
    <w:rsid w:val="006A5E3B"/>
    <w:rsid w:val="006A6740"/>
    <w:rsid w:val="006A6746"/>
    <w:rsid w:val="006A7382"/>
    <w:rsid w:val="006A75A3"/>
    <w:rsid w:val="006B0351"/>
    <w:rsid w:val="006B1028"/>
    <w:rsid w:val="006B141D"/>
    <w:rsid w:val="006B24A2"/>
    <w:rsid w:val="006B2A16"/>
    <w:rsid w:val="006B391D"/>
    <w:rsid w:val="006B39CB"/>
    <w:rsid w:val="006B4395"/>
    <w:rsid w:val="006B43A6"/>
    <w:rsid w:val="006B5232"/>
    <w:rsid w:val="006B54F1"/>
    <w:rsid w:val="006B55FD"/>
    <w:rsid w:val="006B5886"/>
    <w:rsid w:val="006B632E"/>
    <w:rsid w:val="006B69B8"/>
    <w:rsid w:val="006B6A26"/>
    <w:rsid w:val="006B6A9F"/>
    <w:rsid w:val="006B73AF"/>
    <w:rsid w:val="006B7696"/>
    <w:rsid w:val="006B7DF8"/>
    <w:rsid w:val="006B7F75"/>
    <w:rsid w:val="006C0177"/>
    <w:rsid w:val="006C10D4"/>
    <w:rsid w:val="006C179D"/>
    <w:rsid w:val="006C2663"/>
    <w:rsid w:val="006C27A6"/>
    <w:rsid w:val="006C2808"/>
    <w:rsid w:val="006C3253"/>
    <w:rsid w:val="006C3356"/>
    <w:rsid w:val="006C4114"/>
    <w:rsid w:val="006C47FF"/>
    <w:rsid w:val="006C4951"/>
    <w:rsid w:val="006C5D63"/>
    <w:rsid w:val="006C6093"/>
    <w:rsid w:val="006C6AA2"/>
    <w:rsid w:val="006C6D37"/>
    <w:rsid w:val="006C6DE2"/>
    <w:rsid w:val="006C7395"/>
    <w:rsid w:val="006C7FB7"/>
    <w:rsid w:val="006D00BA"/>
    <w:rsid w:val="006D0B8A"/>
    <w:rsid w:val="006D0F56"/>
    <w:rsid w:val="006D1AAA"/>
    <w:rsid w:val="006D306D"/>
    <w:rsid w:val="006D30DB"/>
    <w:rsid w:val="006D3189"/>
    <w:rsid w:val="006D32F0"/>
    <w:rsid w:val="006D3784"/>
    <w:rsid w:val="006D4057"/>
    <w:rsid w:val="006D47DD"/>
    <w:rsid w:val="006D5728"/>
    <w:rsid w:val="006D59D4"/>
    <w:rsid w:val="006D61A9"/>
    <w:rsid w:val="006D681E"/>
    <w:rsid w:val="006D74B2"/>
    <w:rsid w:val="006D7AC6"/>
    <w:rsid w:val="006D7B71"/>
    <w:rsid w:val="006E0771"/>
    <w:rsid w:val="006E1E1D"/>
    <w:rsid w:val="006E20AC"/>
    <w:rsid w:val="006E2EFB"/>
    <w:rsid w:val="006E3A4E"/>
    <w:rsid w:val="006E3E66"/>
    <w:rsid w:val="006E4E84"/>
    <w:rsid w:val="006E5152"/>
    <w:rsid w:val="006E5D5F"/>
    <w:rsid w:val="006E672E"/>
    <w:rsid w:val="006E6D62"/>
    <w:rsid w:val="006E7108"/>
    <w:rsid w:val="006E7785"/>
    <w:rsid w:val="006E77B4"/>
    <w:rsid w:val="006F039E"/>
    <w:rsid w:val="006F03E2"/>
    <w:rsid w:val="006F044D"/>
    <w:rsid w:val="006F094A"/>
    <w:rsid w:val="006F0983"/>
    <w:rsid w:val="006F13C2"/>
    <w:rsid w:val="006F1712"/>
    <w:rsid w:val="006F2227"/>
    <w:rsid w:val="006F400D"/>
    <w:rsid w:val="006F49D8"/>
    <w:rsid w:val="006F554E"/>
    <w:rsid w:val="006F5FE5"/>
    <w:rsid w:val="006F60FD"/>
    <w:rsid w:val="006F6362"/>
    <w:rsid w:val="006F6518"/>
    <w:rsid w:val="006F664C"/>
    <w:rsid w:val="006F6802"/>
    <w:rsid w:val="006F6944"/>
    <w:rsid w:val="006F6E0E"/>
    <w:rsid w:val="006F76ED"/>
    <w:rsid w:val="00700289"/>
    <w:rsid w:val="007009FD"/>
    <w:rsid w:val="00701B0A"/>
    <w:rsid w:val="00702D7B"/>
    <w:rsid w:val="00702EBB"/>
    <w:rsid w:val="00703A77"/>
    <w:rsid w:val="00703D77"/>
    <w:rsid w:val="00703F02"/>
    <w:rsid w:val="00703F76"/>
    <w:rsid w:val="007044F6"/>
    <w:rsid w:val="00704736"/>
    <w:rsid w:val="00705526"/>
    <w:rsid w:val="00705686"/>
    <w:rsid w:val="00705A88"/>
    <w:rsid w:val="007060AB"/>
    <w:rsid w:val="00706568"/>
    <w:rsid w:val="0070680C"/>
    <w:rsid w:val="00706BC0"/>
    <w:rsid w:val="00706CD7"/>
    <w:rsid w:val="00707416"/>
    <w:rsid w:val="007074DB"/>
    <w:rsid w:val="007101E0"/>
    <w:rsid w:val="0071078A"/>
    <w:rsid w:val="00710A72"/>
    <w:rsid w:val="00711B53"/>
    <w:rsid w:val="00711F3A"/>
    <w:rsid w:val="0071268A"/>
    <w:rsid w:val="00712842"/>
    <w:rsid w:val="00713C0C"/>
    <w:rsid w:val="00713ED9"/>
    <w:rsid w:val="00714C72"/>
    <w:rsid w:val="00714FEC"/>
    <w:rsid w:val="00715362"/>
    <w:rsid w:val="007154A2"/>
    <w:rsid w:val="0071566C"/>
    <w:rsid w:val="0071584A"/>
    <w:rsid w:val="007160B0"/>
    <w:rsid w:val="007161C8"/>
    <w:rsid w:val="00716277"/>
    <w:rsid w:val="0071691B"/>
    <w:rsid w:val="007169BA"/>
    <w:rsid w:val="00716D92"/>
    <w:rsid w:val="0071776D"/>
    <w:rsid w:val="00717E3D"/>
    <w:rsid w:val="0072017B"/>
    <w:rsid w:val="007201B1"/>
    <w:rsid w:val="0072056B"/>
    <w:rsid w:val="007213D5"/>
    <w:rsid w:val="007214BA"/>
    <w:rsid w:val="007215F2"/>
    <w:rsid w:val="00722303"/>
    <w:rsid w:val="007225A7"/>
    <w:rsid w:val="0072294A"/>
    <w:rsid w:val="007229E9"/>
    <w:rsid w:val="00722BA4"/>
    <w:rsid w:val="00722C94"/>
    <w:rsid w:val="00722F31"/>
    <w:rsid w:val="007235C3"/>
    <w:rsid w:val="00723603"/>
    <w:rsid w:val="00723645"/>
    <w:rsid w:val="007236D8"/>
    <w:rsid w:val="00723854"/>
    <w:rsid w:val="0072395A"/>
    <w:rsid w:val="00724D42"/>
    <w:rsid w:val="00724E8C"/>
    <w:rsid w:val="0072548C"/>
    <w:rsid w:val="007264B5"/>
    <w:rsid w:val="00726734"/>
    <w:rsid w:val="007267A1"/>
    <w:rsid w:val="00726CDD"/>
    <w:rsid w:val="0072798B"/>
    <w:rsid w:val="007279A5"/>
    <w:rsid w:val="0073084A"/>
    <w:rsid w:val="00730D60"/>
    <w:rsid w:val="00731326"/>
    <w:rsid w:val="00732259"/>
    <w:rsid w:val="007343FC"/>
    <w:rsid w:val="00735875"/>
    <w:rsid w:val="00735BDC"/>
    <w:rsid w:val="00736182"/>
    <w:rsid w:val="00736331"/>
    <w:rsid w:val="00736C1F"/>
    <w:rsid w:val="00736D13"/>
    <w:rsid w:val="00736D36"/>
    <w:rsid w:val="00737134"/>
    <w:rsid w:val="007374F4"/>
    <w:rsid w:val="007375B1"/>
    <w:rsid w:val="0073779E"/>
    <w:rsid w:val="00740473"/>
    <w:rsid w:val="0074076B"/>
    <w:rsid w:val="007409A4"/>
    <w:rsid w:val="00740ACA"/>
    <w:rsid w:val="00740B7C"/>
    <w:rsid w:val="00740C2F"/>
    <w:rsid w:val="00740F78"/>
    <w:rsid w:val="007419A7"/>
    <w:rsid w:val="007419F7"/>
    <w:rsid w:val="00742F27"/>
    <w:rsid w:val="00743DFC"/>
    <w:rsid w:val="00744390"/>
    <w:rsid w:val="007446AC"/>
    <w:rsid w:val="00745D68"/>
    <w:rsid w:val="00745FA8"/>
    <w:rsid w:val="00746AA0"/>
    <w:rsid w:val="0074719F"/>
    <w:rsid w:val="00747C85"/>
    <w:rsid w:val="00747DEB"/>
    <w:rsid w:val="0075045D"/>
    <w:rsid w:val="00750510"/>
    <w:rsid w:val="00751121"/>
    <w:rsid w:val="007511A6"/>
    <w:rsid w:val="007517A5"/>
    <w:rsid w:val="00751848"/>
    <w:rsid w:val="00751D42"/>
    <w:rsid w:val="007520BD"/>
    <w:rsid w:val="00752172"/>
    <w:rsid w:val="00752438"/>
    <w:rsid w:val="00752804"/>
    <w:rsid w:val="007530E1"/>
    <w:rsid w:val="00753DFA"/>
    <w:rsid w:val="007540A0"/>
    <w:rsid w:val="00754833"/>
    <w:rsid w:val="00754B0B"/>
    <w:rsid w:val="00754E09"/>
    <w:rsid w:val="00755B72"/>
    <w:rsid w:val="007564AE"/>
    <w:rsid w:val="007564B9"/>
    <w:rsid w:val="00756C39"/>
    <w:rsid w:val="00756F42"/>
    <w:rsid w:val="00760373"/>
    <w:rsid w:val="00760F1F"/>
    <w:rsid w:val="0076128A"/>
    <w:rsid w:val="0076195E"/>
    <w:rsid w:val="00761E59"/>
    <w:rsid w:val="007635B1"/>
    <w:rsid w:val="007637A0"/>
    <w:rsid w:val="00764657"/>
    <w:rsid w:val="007646FF"/>
    <w:rsid w:val="00764ACB"/>
    <w:rsid w:val="00765088"/>
    <w:rsid w:val="0076534E"/>
    <w:rsid w:val="0076561B"/>
    <w:rsid w:val="00766583"/>
    <w:rsid w:val="00766D71"/>
    <w:rsid w:val="00766E73"/>
    <w:rsid w:val="007674FD"/>
    <w:rsid w:val="007709BF"/>
    <w:rsid w:val="00770C6B"/>
    <w:rsid w:val="00771800"/>
    <w:rsid w:val="00771BBB"/>
    <w:rsid w:val="00772042"/>
    <w:rsid w:val="00772DB8"/>
    <w:rsid w:val="007741F3"/>
    <w:rsid w:val="007744F0"/>
    <w:rsid w:val="00774717"/>
    <w:rsid w:val="00774CBC"/>
    <w:rsid w:val="00775769"/>
    <w:rsid w:val="0077605E"/>
    <w:rsid w:val="00776987"/>
    <w:rsid w:val="00776EA3"/>
    <w:rsid w:val="0077731E"/>
    <w:rsid w:val="007803A9"/>
    <w:rsid w:val="00780526"/>
    <w:rsid w:val="0078072B"/>
    <w:rsid w:val="00780B58"/>
    <w:rsid w:val="00780D4A"/>
    <w:rsid w:val="007817E4"/>
    <w:rsid w:val="00781898"/>
    <w:rsid w:val="00781A3D"/>
    <w:rsid w:val="007821E9"/>
    <w:rsid w:val="00782943"/>
    <w:rsid w:val="007831AC"/>
    <w:rsid w:val="007833E0"/>
    <w:rsid w:val="007841B4"/>
    <w:rsid w:val="0078530B"/>
    <w:rsid w:val="00785829"/>
    <w:rsid w:val="00785DA3"/>
    <w:rsid w:val="00786A37"/>
    <w:rsid w:val="00786BDF"/>
    <w:rsid w:val="00786E06"/>
    <w:rsid w:val="00786E1B"/>
    <w:rsid w:val="007878B4"/>
    <w:rsid w:val="00787A49"/>
    <w:rsid w:val="00790450"/>
    <w:rsid w:val="007906ED"/>
    <w:rsid w:val="00790BA6"/>
    <w:rsid w:val="00790E0A"/>
    <w:rsid w:val="00790E2F"/>
    <w:rsid w:val="00791931"/>
    <w:rsid w:val="00791ACB"/>
    <w:rsid w:val="00791F0D"/>
    <w:rsid w:val="007927B9"/>
    <w:rsid w:val="007929DE"/>
    <w:rsid w:val="00792B96"/>
    <w:rsid w:val="00792EAA"/>
    <w:rsid w:val="0079343A"/>
    <w:rsid w:val="0079373E"/>
    <w:rsid w:val="0079441F"/>
    <w:rsid w:val="007945BE"/>
    <w:rsid w:val="0079487E"/>
    <w:rsid w:val="00794D4E"/>
    <w:rsid w:val="00794D64"/>
    <w:rsid w:val="00795302"/>
    <w:rsid w:val="00796343"/>
    <w:rsid w:val="00796A79"/>
    <w:rsid w:val="007970F6"/>
    <w:rsid w:val="00797790"/>
    <w:rsid w:val="007979A0"/>
    <w:rsid w:val="00797B6E"/>
    <w:rsid w:val="00797D19"/>
    <w:rsid w:val="007A0040"/>
    <w:rsid w:val="007A01E4"/>
    <w:rsid w:val="007A09F3"/>
    <w:rsid w:val="007A1AD5"/>
    <w:rsid w:val="007A23D1"/>
    <w:rsid w:val="007A2838"/>
    <w:rsid w:val="007A2D05"/>
    <w:rsid w:val="007A34B9"/>
    <w:rsid w:val="007A39B3"/>
    <w:rsid w:val="007A3A21"/>
    <w:rsid w:val="007A3B3B"/>
    <w:rsid w:val="007A4261"/>
    <w:rsid w:val="007A4827"/>
    <w:rsid w:val="007A4F4A"/>
    <w:rsid w:val="007A50D7"/>
    <w:rsid w:val="007A5176"/>
    <w:rsid w:val="007A51E8"/>
    <w:rsid w:val="007A549D"/>
    <w:rsid w:val="007A6815"/>
    <w:rsid w:val="007A70FC"/>
    <w:rsid w:val="007B14FA"/>
    <w:rsid w:val="007B1508"/>
    <w:rsid w:val="007B156E"/>
    <w:rsid w:val="007B15E1"/>
    <w:rsid w:val="007B1FAE"/>
    <w:rsid w:val="007B303F"/>
    <w:rsid w:val="007B31F3"/>
    <w:rsid w:val="007B39B9"/>
    <w:rsid w:val="007B39BA"/>
    <w:rsid w:val="007B49D2"/>
    <w:rsid w:val="007B4BEB"/>
    <w:rsid w:val="007B5180"/>
    <w:rsid w:val="007B5C61"/>
    <w:rsid w:val="007B5E98"/>
    <w:rsid w:val="007B62AB"/>
    <w:rsid w:val="007B68B3"/>
    <w:rsid w:val="007B6ED7"/>
    <w:rsid w:val="007B74E7"/>
    <w:rsid w:val="007B7BCB"/>
    <w:rsid w:val="007C095D"/>
    <w:rsid w:val="007C0E94"/>
    <w:rsid w:val="007C179C"/>
    <w:rsid w:val="007C1F61"/>
    <w:rsid w:val="007C2217"/>
    <w:rsid w:val="007C22D0"/>
    <w:rsid w:val="007C261B"/>
    <w:rsid w:val="007C2718"/>
    <w:rsid w:val="007C2B2A"/>
    <w:rsid w:val="007C335D"/>
    <w:rsid w:val="007C33C6"/>
    <w:rsid w:val="007C36F8"/>
    <w:rsid w:val="007C4BFF"/>
    <w:rsid w:val="007C4C1B"/>
    <w:rsid w:val="007C5690"/>
    <w:rsid w:val="007C5763"/>
    <w:rsid w:val="007C604A"/>
    <w:rsid w:val="007C61D4"/>
    <w:rsid w:val="007C6467"/>
    <w:rsid w:val="007C660E"/>
    <w:rsid w:val="007C6DB9"/>
    <w:rsid w:val="007C70A2"/>
    <w:rsid w:val="007C72AD"/>
    <w:rsid w:val="007C74BB"/>
    <w:rsid w:val="007D0CE8"/>
    <w:rsid w:val="007D0EA3"/>
    <w:rsid w:val="007D1373"/>
    <w:rsid w:val="007D154E"/>
    <w:rsid w:val="007D1561"/>
    <w:rsid w:val="007D16ED"/>
    <w:rsid w:val="007D1910"/>
    <w:rsid w:val="007D1982"/>
    <w:rsid w:val="007D2715"/>
    <w:rsid w:val="007D2F41"/>
    <w:rsid w:val="007D2FA4"/>
    <w:rsid w:val="007D34FD"/>
    <w:rsid w:val="007D3A70"/>
    <w:rsid w:val="007D44C4"/>
    <w:rsid w:val="007D47C2"/>
    <w:rsid w:val="007D4879"/>
    <w:rsid w:val="007D4A17"/>
    <w:rsid w:val="007D540D"/>
    <w:rsid w:val="007D55DE"/>
    <w:rsid w:val="007D59EA"/>
    <w:rsid w:val="007D5BD0"/>
    <w:rsid w:val="007D658D"/>
    <w:rsid w:val="007D71B4"/>
    <w:rsid w:val="007E02D4"/>
    <w:rsid w:val="007E0450"/>
    <w:rsid w:val="007E0821"/>
    <w:rsid w:val="007E0917"/>
    <w:rsid w:val="007E09F1"/>
    <w:rsid w:val="007E0A35"/>
    <w:rsid w:val="007E1365"/>
    <w:rsid w:val="007E29B8"/>
    <w:rsid w:val="007E3B80"/>
    <w:rsid w:val="007E3FC2"/>
    <w:rsid w:val="007E404C"/>
    <w:rsid w:val="007E454B"/>
    <w:rsid w:val="007E47B7"/>
    <w:rsid w:val="007E4CFA"/>
    <w:rsid w:val="007E4E76"/>
    <w:rsid w:val="007E4F09"/>
    <w:rsid w:val="007E5251"/>
    <w:rsid w:val="007E52C4"/>
    <w:rsid w:val="007E56D3"/>
    <w:rsid w:val="007E5DC8"/>
    <w:rsid w:val="007E5E48"/>
    <w:rsid w:val="007E6639"/>
    <w:rsid w:val="007E69A5"/>
    <w:rsid w:val="007E7A02"/>
    <w:rsid w:val="007F11DC"/>
    <w:rsid w:val="007F190E"/>
    <w:rsid w:val="007F2458"/>
    <w:rsid w:val="007F2644"/>
    <w:rsid w:val="007F29B3"/>
    <w:rsid w:val="007F29FA"/>
    <w:rsid w:val="007F2B75"/>
    <w:rsid w:val="007F2EA0"/>
    <w:rsid w:val="007F30F9"/>
    <w:rsid w:val="007F3A19"/>
    <w:rsid w:val="007F3C9C"/>
    <w:rsid w:val="007F3CDF"/>
    <w:rsid w:val="007F4816"/>
    <w:rsid w:val="007F4EE2"/>
    <w:rsid w:val="007F6A2A"/>
    <w:rsid w:val="007F6E9D"/>
    <w:rsid w:val="007F7E85"/>
    <w:rsid w:val="007F7EB6"/>
    <w:rsid w:val="0080015D"/>
    <w:rsid w:val="00802847"/>
    <w:rsid w:val="00803485"/>
    <w:rsid w:val="00803834"/>
    <w:rsid w:val="00803A97"/>
    <w:rsid w:val="00804327"/>
    <w:rsid w:val="00804524"/>
    <w:rsid w:val="0080484F"/>
    <w:rsid w:val="00804C09"/>
    <w:rsid w:val="0080549C"/>
    <w:rsid w:val="00805628"/>
    <w:rsid w:val="008059E9"/>
    <w:rsid w:val="00806652"/>
    <w:rsid w:val="00806E35"/>
    <w:rsid w:val="0080716B"/>
    <w:rsid w:val="00807F69"/>
    <w:rsid w:val="00810085"/>
    <w:rsid w:val="00810AF4"/>
    <w:rsid w:val="008110B1"/>
    <w:rsid w:val="008113B9"/>
    <w:rsid w:val="008119BE"/>
    <w:rsid w:val="0081248B"/>
    <w:rsid w:val="008128A7"/>
    <w:rsid w:val="00812DF7"/>
    <w:rsid w:val="008135AD"/>
    <w:rsid w:val="00813F52"/>
    <w:rsid w:val="008141E6"/>
    <w:rsid w:val="00815BA2"/>
    <w:rsid w:val="00816423"/>
    <w:rsid w:val="0081658D"/>
    <w:rsid w:val="0081675E"/>
    <w:rsid w:val="00816C6A"/>
    <w:rsid w:val="00816EB7"/>
    <w:rsid w:val="00817474"/>
    <w:rsid w:val="0081756C"/>
    <w:rsid w:val="008175EB"/>
    <w:rsid w:val="008177CE"/>
    <w:rsid w:val="00817C51"/>
    <w:rsid w:val="00817C96"/>
    <w:rsid w:val="0082080F"/>
    <w:rsid w:val="00822399"/>
    <w:rsid w:val="008223DF"/>
    <w:rsid w:val="0082268A"/>
    <w:rsid w:val="00822A1B"/>
    <w:rsid w:val="00822D61"/>
    <w:rsid w:val="00822FDC"/>
    <w:rsid w:val="00823703"/>
    <w:rsid w:val="00823BC2"/>
    <w:rsid w:val="00824A8E"/>
    <w:rsid w:val="00824CE8"/>
    <w:rsid w:val="00825A3A"/>
    <w:rsid w:val="00825D5A"/>
    <w:rsid w:val="008261B9"/>
    <w:rsid w:val="00827067"/>
    <w:rsid w:val="0082733D"/>
    <w:rsid w:val="00827BB5"/>
    <w:rsid w:val="0083006C"/>
    <w:rsid w:val="0083036E"/>
    <w:rsid w:val="00830596"/>
    <w:rsid w:val="00830B7E"/>
    <w:rsid w:val="00830E3C"/>
    <w:rsid w:val="00831097"/>
    <w:rsid w:val="00831386"/>
    <w:rsid w:val="00831AB0"/>
    <w:rsid w:val="00832385"/>
    <w:rsid w:val="00832A95"/>
    <w:rsid w:val="00832C85"/>
    <w:rsid w:val="00833A18"/>
    <w:rsid w:val="00833DDF"/>
    <w:rsid w:val="00835172"/>
    <w:rsid w:val="008354A8"/>
    <w:rsid w:val="008354FD"/>
    <w:rsid w:val="00835603"/>
    <w:rsid w:val="00835C1C"/>
    <w:rsid w:val="0083770C"/>
    <w:rsid w:val="00837C86"/>
    <w:rsid w:val="00837EEA"/>
    <w:rsid w:val="008402D5"/>
    <w:rsid w:val="008403D4"/>
    <w:rsid w:val="008418B4"/>
    <w:rsid w:val="00841AB7"/>
    <w:rsid w:val="0084286C"/>
    <w:rsid w:val="00842BE8"/>
    <w:rsid w:val="008430D2"/>
    <w:rsid w:val="00843143"/>
    <w:rsid w:val="008433A7"/>
    <w:rsid w:val="00843B03"/>
    <w:rsid w:val="0084538A"/>
    <w:rsid w:val="008458F1"/>
    <w:rsid w:val="00845ECB"/>
    <w:rsid w:val="00845F73"/>
    <w:rsid w:val="00846262"/>
    <w:rsid w:val="00846971"/>
    <w:rsid w:val="00846993"/>
    <w:rsid w:val="00846CFE"/>
    <w:rsid w:val="00846FD1"/>
    <w:rsid w:val="00847182"/>
    <w:rsid w:val="008479D7"/>
    <w:rsid w:val="0085006F"/>
    <w:rsid w:val="008508DF"/>
    <w:rsid w:val="0085093C"/>
    <w:rsid w:val="00850B68"/>
    <w:rsid w:val="00850F28"/>
    <w:rsid w:val="00851C40"/>
    <w:rsid w:val="00851F5E"/>
    <w:rsid w:val="00852A7F"/>
    <w:rsid w:val="00852D59"/>
    <w:rsid w:val="00853C32"/>
    <w:rsid w:val="00853CF6"/>
    <w:rsid w:val="00854397"/>
    <w:rsid w:val="008545AD"/>
    <w:rsid w:val="00855805"/>
    <w:rsid w:val="008558BD"/>
    <w:rsid w:val="00855DD1"/>
    <w:rsid w:val="0085657C"/>
    <w:rsid w:val="008577A6"/>
    <w:rsid w:val="0085784E"/>
    <w:rsid w:val="008578B5"/>
    <w:rsid w:val="00857DA1"/>
    <w:rsid w:val="00860E26"/>
    <w:rsid w:val="008625F0"/>
    <w:rsid w:val="00862B74"/>
    <w:rsid w:val="008631DA"/>
    <w:rsid w:val="0086326B"/>
    <w:rsid w:val="00863302"/>
    <w:rsid w:val="00863669"/>
    <w:rsid w:val="00863972"/>
    <w:rsid w:val="00863BE8"/>
    <w:rsid w:val="00863FCF"/>
    <w:rsid w:val="00864406"/>
    <w:rsid w:val="008649CE"/>
    <w:rsid w:val="00864A71"/>
    <w:rsid w:val="00864F47"/>
    <w:rsid w:val="008658AE"/>
    <w:rsid w:val="00866DF9"/>
    <w:rsid w:val="00867417"/>
    <w:rsid w:val="00867E9F"/>
    <w:rsid w:val="008704D5"/>
    <w:rsid w:val="00870AEE"/>
    <w:rsid w:val="00870C67"/>
    <w:rsid w:val="00872037"/>
    <w:rsid w:val="00872C74"/>
    <w:rsid w:val="008731AB"/>
    <w:rsid w:val="008737A9"/>
    <w:rsid w:val="00873B55"/>
    <w:rsid w:val="00874EAA"/>
    <w:rsid w:val="0087583F"/>
    <w:rsid w:val="00875E2C"/>
    <w:rsid w:val="008764F7"/>
    <w:rsid w:val="00876B68"/>
    <w:rsid w:val="0087701C"/>
    <w:rsid w:val="008775FA"/>
    <w:rsid w:val="00877A47"/>
    <w:rsid w:val="00877A4C"/>
    <w:rsid w:val="00877AC0"/>
    <w:rsid w:val="00877AFD"/>
    <w:rsid w:val="00877B16"/>
    <w:rsid w:val="00880014"/>
    <w:rsid w:val="008802B6"/>
    <w:rsid w:val="00880B84"/>
    <w:rsid w:val="00880C9A"/>
    <w:rsid w:val="00880D00"/>
    <w:rsid w:val="00880ED6"/>
    <w:rsid w:val="00881340"/>
    <w:rsid w:val="00882C8E"/>
    <w:rsid w:val="00883CDF"/>
    <w:rsid w:val="00884226"/>
    <w:rsid w:val="00884D4F"/>
    <w:rsid w:val="00884FFA"/>
    <w:rsid w:val="0088519C"/>
    <w:rsid w:val="008855F6"/>
    <w:rsid w:val="008867EF"/>
    <w:rsid w:val="00886857"/>
    <w:rsid w:val="008869F2"/>
    <w:rsid w:val="00886CAC"/>
    <w:rsid w:val="0088744F"/>
    <w:rsid w:val="008877DF"/>
    <w:rsid w:val="008879EC"/>
    <w:rsid w:val="008904A2"/>
    <w:rsid w:val="00891A6A"/>
    <w:rsid w:val="00891E28"/>
    <w:rsid w:val="00892437"/>
    <w:rsid w:val="00892979"/>
    <w:rsid w:val="00892C53"/>
    <w:rsid w:val="008930EB"/>
    <w:rsid w:val="0089357B"/>
    <w:rsid w:val="00893623"/>
    <w:rsid w:val="00893A40"/>
    <w:rsid w:val="0089417F"/>
    <w:rsid w:val="008943C2"/>
    <w:rsid w:val="008947B6"/>
    <w:rsid w:val="00894D39"/>
    <w:rsid w:val="00895703"/>
    <w:rsid w:val="00896159"/>
    <w:rsid w:val="00896299"/>
    <w:rsid w:val="008962F6"/>
    <w:rsid w:val="0089668D"/>
    <w:rsid w:val="00896789"/>
    <w:rsid w:val="00896849"/>
    <w:rsid w:val="008968DE"/>
    <w:rsid w:val="008971A4"/>
    <w:rsid w:val="00897822"/>
    <w:rsid w:val="00897CF7"/>
    <w:rsid w:val="00897D4B"/>
    <w:rsid w:val="008A0269"/>
    <w:rsid w:val="008A1268"/>
    <w:rsid w:val="008A131C"/>
    <w:rsid w:val="008A20B2"/>
    <w:rsid w:val="008A2624"/>
    <w:rsid w:val="008A2D14"/>
    <w:rsid w:val="008A2F44"/>
    <w:rsid w:val="008A30ED"/>
    <w:rsid w:val="008A3CC9"/>
    <w:rsid w:val="008A4605"/>
    <w:rsid w:val="008A4C9E"/>
    <w:rsid w:val="008A50E8"/>
    <w:rsid w:val="008A5156"/>
    <w:rsid w:val="008A5DC4"/>
    <w:rsid w:val="008A635E"/>
    <w:rsid w:val="008A7D6E"/>
    <w:rsid w:val="008A7D9A"/>
    <w:rsid w:val="008B02FD"/>
    <w:rsid w:val="008B047B"/>
    <w:rsid w:val="008B0A4E"/>
    <w:rsid w:val="008B0AAE"/>
    <w:rsid w:val="008B103C"/>
    <w:rsid w:val="008B17BA"/>
    <w:rsid w:val="008B1886"/>
    <w:rsid w:val="008B218F"/>
    <w:rsid w:val="008B2353"/>
    <w:rsid w:val="008B257B"/>
    <w:rsid w:val="008B2C19"/>
    <w:rsid w:val="008B3399"/>
    <w:rsid w:val="008B3596"/>
    <w:rsid w:val="008B3CF8"/>
    <w:rsid w:val="008B4553"/>
    <w:rsid w:val="008B47FD"/>
    <w:rsid w:val="008B4968"/>
    <w:rsid w:val="008B4A27"/>
    <w:rsid w:val="008B4AD2"/>
    <w:rsid w:val="008B4B14"/>
    <w:rsid w:val="008B505F"/>
    <w:rsid w:val="008B5165"/>
    <w:rsid w:val="008B553C"/>
    <w:rsid w:val="008B5FD5"/>
    <w:rsid w:val="008B6BEF"/>
    <w:rsid w:val="008B7305"/>
    <w:rsid w:val="008B77F8"/>
    <w:rsid w:val="008B7978"/>
    <w:rsid w:val="008B7D21"/>
    <w:rsid w:val="008B7DBE"/>
    <w:rsid w:val="008C003D"/>
    <w:rsid w:val="008C02DE"/>
    <w:rsid w:val="008C062B"/>
    <w:rsid w:val="008C24B1"/>
    <w:rsid w:val="008C297D"/>
    <w:rsid w:val="008C2C70"/>
    <w:rsid w:val="008C3938"/>
    <w:rsid w:val="008C5ABE"/>
    <w:rsid w:val="008C5D61"/>
    <w:rsid w:val="008C62DB"/>
    <w:rsid w:val="008C693A"/>
    <w:rsid w:val="008C7365"/>
    <w:rsid w:val="008C7636"/>
    <w:rsid w:val="008C784F"/>
    <w:rsid w:val="008C7BB3"/>
    <w:rsid w:val="008D1469"/>
    <w:rsid w:val="008D23FC"/>
    <w:rsid w:val="008D2C27"/>
    <w:rsid w:val="008D3E70"/>
    <w:rsid w:val="008D40B6"/>
    <w:rsid w:val="008D4839"/>
    <w:rsid w:val="008D49F3"/>
    <w:rsid w:val="008D4BD7"/>
    <w:rsid w:val="008D4F49"/>
    <w:rsid w:val="008D53CF"/>
    <w:rsid w:val="008D5BE1"/>
    <w:rsid w:val="008D6559"/>
    <w:rsid w:val="008D6633"/>
    <w:rsid w:val="008D6E03"/>
    <w:rsid w:val="008D6EEA"/>
    <w:rsid w:val="008E12ED"/>
    <w:rsid w:val="008E14A1"/>
    <w:rsid w:val="008E1C25"/>
    <w:rsid w:val="008E213A"/>
    <w:rsid w:val="008E3003"/>
    <w:rsid w:val="008E3CB3"/>
    <w:rsid w:val="008E437B"/>
    <w:rsid w:val="008E4766"/>
    <w:rsid w:val="008E4777"/>
    <w:rsid w:val="008E491D"/>
    <w:rsid w:val="008E59C0"/>
    <w:rsid w:val="008E5A2F"/>
    <w:rsid w:val="008E6CA1"/>
    <w:rsid w:val="008E6D99"/>
    <w:rsid w:val="008E7B49"/>
    <w:rsid w:val="008F01BD"/>
    <w:rsid w:val="008F08F1"/>
    <w:rsid w:val="008F0B3B"/>
    <w:rsid w:val="008F13A2"/>
    <w:rsid w:val="008F171B"/>
    <w:rsid w:val="008F227A"/>
    <w:rsid w:val="008F2BE7"/>
    <w:rsid w:val="008F2DEB"/>
    <w:rsid w:val="008F3184"/>
    <w:rsid w:val="008F3712"/>
    <w:rsid w:val="008F4768"/>
    <w:rsid w:val="008F4A4E"/>
    <w:rsid w:val="008F4E7C"/>
    <w:rsid w:val="008F52A7"/>
    <w:rsid w:val="008F53BF"/>
    <w:rsid w:val="008F54CF"/>
    <w:rsid w:val="008F5663"/>
    <w:rsid w:val="008F6323"/>
    <w:rsid w:val="008F6CE4"/>
    <w:rsid w:val="008F7518"/>
    <w:rsid w:val="008F76E1"/>
    <w:rsid w:val="008F7804"/>
    <w:rsid w:val="008F7BE4"/>
    <w:rsid w:val="008F7FE8"/>
    <w:rsid w:val="009001B7"/>
    <w:rsid w:val="00900472"/>
    <w:rsid w:val="00900498"/>
    <w:rsid w:val="009006D2"/>
    <w:rsid w:val="00900B2C"/>
    <w:rsid w:val="00900E83"/>
    <w:rsid w:val="0090163F"/>
    <w:rsid w:val="00901CA3"/>
    <w:rsid w:val="0090219A"/>
    <w:rsid w:val="00902410"/>
    <w:rsid w:val="00902FB4"/>
    <w:rsid w:val="009030C5"/>
    <w:rsid w:val="00903148"/>
    <w:rsid w:val="00903FEA"/>
    <w:rsid w:val="0090441E"/>
    <w:rsid w:val="009044FF"/>
    <w:rsid w:val="00905064"/>
    <w:rsid w:val="00905498"/>
    <w:rsid w:val="009057D0"/>
    <w:rsid w:val="00905A28"/>
    <w:rsid w:val="00907311"/>
    <w:rsid w:val="0090750F"/>
    <w:rsid w:val="009075F9"/>
    <w:rsid w:val="00907A09"/>
    <w:rsid w:val="009106FC"/>
    <w:rsid w:val="00910879"/>
    <w:rsid w:val="009109FA"/>
    <w:rsid w:val="00910E28"/>
    <w:rsid w:val="00911315"/>
    <w:rsid w:val="009120D3"/>
    <w:rsid w:val="0091232C"/>
    <w:rsid w:val="00912793"/>
    <w:rsid w:val="0091398F"/>
    <w:rsid w:val="00913F7F"/>
    <w:rsid w:val="00914B3B"/>
    <w:rsid w:val="00914CAB"/>
    <w:rsid w:val="00915E45"/>
    <w:rsid w:val="009163B1"/>
    <w:rsid w:val="00916448"/>
    <w:rsid w:val="00916514"/>
    <w:rsid w:val="00916524"/>
    <w:rsid w:val="00916C2C"/>
    <w:rsid w:val="00916F74"/>
    <w:rsid w:val="0091728D"/>
    <w:rsid w:val="00917B9B"/>
    <w:rsid w:val="00917CBF"/>
    <w:rsid w:val="009207F8"/>
    <w:rsid w:val="009224D3"/>
    <w:rsid w:val="00922B8E"/>
    <w:rsid w:val="0092338A"/>
    <w:rsid w:val="00923AD3"/>
    <w:rsid w:val="00923DF8"/>
    <w:rsid w:val="00923E59"/>
    <w:rsid w:val="00923E6F"/>
    <w:rsid w:val="00924474"/>
    <w:rsid w:val="00924765"/>
    <w:rsid w:val="00924A52"/>
    <w:rsid w:val="00925342"/>
    <w:rsid w:val="00925E3B"/>
    <w:rsid w:val="0092607E"/>
    <w:rsid w:val="00926419"/>
    <w:rsid w:val="0092660A"/>
    <w:rsid w:val="00927364"/>
    <w:rsid w:val="00927C81"/>
    <w:rsid w:val="00927D11"/>
    <w:rsid w:val="00927DCA"/>
    <w:rsid w:val="00930A8F"/>
    <w:rsid w:val="00930D4A"/>
    <w:rsid w:val="00932A97"/>
    <w:rsid w:val="00932FF6"/>
    <w:rsid w:val="009332FF"/>
    <w:rsid w:val="009337DF"/>
    <w:rsid w:val="00933C5A"/>
    <w:rsid w:val="00934214"/>
    <w:rsid w:val="00934719"/>
    <w:rsid w:val="00934CD5"/>
    <w:rsid w:val="00934E8B"/>
    <w:rsid w:val="00935487"/>
    <w:rsid w:val="009354DE"/>
    <w:rsid w:val="00935977"/>
    <w:rsid w:val="0093603A"/>
    <w:rsid w:val="00936721"/>
    <w:rsid w:val="009368AA"/>
    <w:rsid w:val="00936B37"/>
    <w:rsid w:val="00937BF4"/>
    <w:rsid w:val="00940018"/>
    <w:rsid w:val="00940AF8"/>
    <w:rsid w:val="00940BCB"/>
    <w:rsid w:val="00940BF0"/>
    <w:rsid w:val="00940DBB"/>
    <w:rsid w:val="0094138C"/>
    <w:rsid w:val="0094148A"/>
    <w:rsid w:val="0094175F"/>
    <w:rsid w:val="00941940"/>
    <w:rsid w:val="00941E05"/>
    <w:rsid w:val="009434AA"/>
    <w:rsid w:val="00943688"/>
    <w:rsid w:val="009436E4"/>
    <w:rsid w:val="00943CBF"/>
    <w:rsid w:val="009443E1"/>
    <w:rsid w:val="00944EAE"/>
    <w:rsid w:val="00945344"/>
    <w:rsid w:val="00946F73"/>
    <w:rsid w:val="009471B4"/>
    <w:rsid w:val="00947429"/>
    <w:rsid w:val="009500D3"/>
    <w:rsid w:val="0095035F"/>
    <w:rsid w:val="00951A9C"/>
    <w:rsid w:val="0095228C"/>
    <w:rsid w:val="009528AA"/>
    <w:rsid w:val="009534D8"/>
    <w:rsid w:val="00953FFA"/>
    <w:rsid w:val="0095419D"/>
    <w:rsid w:val="009550BA"/>
    <w:rsid w:val="00955333"/>
    <w:rsid w:val="00955496"/>
    <w:rsid w:val="00955BA8"/>
    <w:rsid w:val="00955E41"/>
    <w:rsid w:val="009562B6"/>
    <w:rsid w:val="00956D97"/>
    <w:rsid w:val="0095710F"/>
    <w:rsid w:val="00957406"/>
    <w:rsid w:val="0095745A"/>
    <w:rsid w:val="00957676"/>
    <w:rsid w:val="009576D1"/>
    <w:rsid w:val="00957CC5"/>
    <w:rsid w:val="00960667"/>
    <w:rsid w:val="0096069C"/>
    <w:rsid w:val="00960A7D"/>
    <w:rsid w:val="0096299D"/>
    <w:rsid w:val="009629E9"/>
    <w:rsid w:val="0096345F"/>
    <w:rsid w:val="00964A8B"/>
    <w:rsid w:val="00965402"/>
    <w:rsid w:val="009655C9"/>
    <w:rsid w:val="009656B6"/>
    <w:rsid w:val="00965776"/>
    <w:rsid w:val="00965C56"/>
    <w:rsid w:val="00965D1C"/>
    <w:rsid w:val="00966009"/>
    <w:rsid w:val="009660FB"/>
    <w:rsid w:val="009668FB"/>
    <w:rsid w:val="00966C71"/>
    <w:rsid w:val="00967D09"/>
    <w:rsid w:val="009700EF"/>
    <w:rsid w:val="00970108"/>
    <w:rsid w:val="009708A2"/>
    <w:rsid w:val="00970B3F"/>
    <w:rsid w:val="009711B6"/>
    <w:rsid w:val="009714C9"/>
    <w:rsid w:val="009717ED"/>
    <w:rsid w:val="00971FE5"/>
    <w:rsid w:val="00972167"/>
    <w:rsid w:val="009725E6"/>
    <w:rsid w:val="00975895"/>
    <w:rsid w:val="009759FB"/>
    <w:rsid w:val="00975FAE"/>
    <w:rsid w:val="009762D3"/>
    <w:rsid w:val="00976871"/>
    <w:rsid w:val="0097692E"/>
    <w:rsid w:val="009775BD"/>
    <w:rsid w:val="00981090"/>
    <w:rsid w:val="0098142B"/>
    <w:rsid w:val="009822BE"/>
    <w:rsid w:val="00982FAE"/>
    <w:rsid w:val="00983387"/>
    <w:rsid w:val="009835E4"/>
    <w:rsid w:val="00984D89"/>
    <w:rsid w:val="009853DE"/>
    <w:rsid w:val="009854E8"/>
    <w:rsid w:val="0098595E"/>
    <w:rsid w:val="00985E29"/>
    <w:rsid w:val="00986570"/>
    <w:rsid w:val="00986889"/>
    <w:rsid w:val="00986D44"/>
    <w:rsid w:val="009871FC"/>
    <w:rsid w:val="00987D66"/>
    <w:rsid w:val="0099005B"/>
    <w:rsid w:val="00990472"/>
    <w:rsid w:val="009906C4"/>
    <w:rsid w:val="00990B51"/>
    <w:rsid w:val="00990C6C"/>
    <w:rsid w:val="00990EC2"/>
    <w:rsid w:val="0099127B"/>
    <w:rsid w:val="00992D4C"/>
    <w:rsid w:val="0099357F"/>
    <w:rsid w:val="00993D56"/>
    <w:rsid w:val="0099403F"/>
    <w:rsid w:val="00994A7E"/>
    <w:rsid w:val="00994F2A"/>
    <w:rsid w:val="00995B37"/>
    <w:rsid w:val="00996749"/>
    <w:rsid w:val="00996DCB"/>
    <w:rsid w:val="009975B2"/>
    <w:rsid w:val="00997F43"/>
    <w:rsid w:val="00997F4C"/>
    <w:rsid w:val="009A00EE"/>
    <w:rsid w:val="009A0338"/>
    <w:rsid w:val="009A0425"/>
    <w:rsid w:val="009A054F"/>
    <w:rsid w:val="009A0DF6"/>
    <w:rsid w:val="009A1032"/>
    <w:rsid w:val="009A10CA"/>
    <w:rsid w:val="009A20F1"/>
    <w:rsid w:val="009A30B7"/>
    <w:rsid w:val="009A3A65"/>
    <w:rsid w:val="009A3C95"/>
    <w:rsid w:val="009A418D"/>
    <w:rsid w:val="009A43A1"/>
    <w:rsid w:val="009A476D"/>
    <w:rsid w:val="009A52A2"/>
    <w:rsid w:val="009A5338"/>
    <w:rsid w:val="009A54AD"/>
    <w:rsid w:val="009A5EC9"/>
    <w:rsid w:val="009A6938"/>
    <w:rsid w:val="009A6BE5"/>
    <w:rsid w:val="009A6D04"/>
    <w:rsid w:val="009A72D1"/>
    <w:rsid w:val="009A7691"/>
    <w:rsid w:val="009A76CF"/>
    <w:rsid w:val="009A7DD4"/>
    <w:rsid w:val="009B0278"/>
    <w:rsid w:val="009B11F7"/>
    <w:rsid w:val="009B134B"/>
    <w:rsid w:val="009B1567"/>
    <w:rsid w:val="009B1675"/>
    <w:rsid w:val="009B17C7"/>
    <w:rsid w:val="009B1869"/>
    <w:rsid w:val="009B1A2C"/>
    <w:rsid w:val="009B1F64"/>
    <w:rsid w:val="009B2A9A"/>
    <w:rsid w:val="009B3AF6"/>
    <w:rsid w:val="009B3BBE"/>
    <w:rsid w:val="009B46FA"/>
    <w:rsid w:val="009B5635"/>
    <w:rsid w:val="009B5B3C"/>
    <w:rsid w:val="009B5CD9"/>
    <w:rsid w:val="009B5E63"/>
    <w:rsid w:val="009B64D8"/>
    <w:rsid w:val="009B6850"/>
    <w:rsid w:val="009B6EEC"/>
    <w:rsid w:val="009B7250"/>
    <w:rsid w:val="009B7A6C"/>
    <w:rsid w:val="009C022D"/>
    <w:rsid w:val="009C0D07"/>
    <w:rsid w:val="009C1FAD"/>
    <w:rsid w:val="009C26DD"/>
    <w:rsid w:val="009C2AA9"/>
    <w:rsid w:val="009C3ADB"/>
    <w:rsid w:val="009C3C08"/>
    <w:rsid w:val="009C3C7D"/>
    <w:rsid w:val="009C42A3"/>
    <w:rsid w:val="009C449B"/>
    <w:rsid w:val="009C49B1"/>
    <w:rsid w:val="009C5B10"/>
    <w:rsid w:val="009C6265"/>
    <w:rsid w:val="009C6648"/>
    <w:rsid w:val="009C6761"/>
    <w:rsid w:val="009C68C4"/>
    <w:rsid w:val="009C7C2B"/>
    <w:rsid w:val="009C7C48"/>
    <w:rsid w:val="009D0A83"/>
    <w:rsid w:val="009D10CA"/>
    <w:rsid w:val="009D1411"/>
    <w:rsid w:val="009D1FD9"/>
    <w:rsid w:val="009D2471"/>
    <w:rsid w:val="009D2B01"/>
    <w:rsid w:val="009D3EB3"/>
    <w:rsid w:val="009D438F"/>
    <w:rsid w:val="009D4C5D"/>
    <w:rsid w:val="009D4EAA"/>
    <w:rsid w:val="009D4F50"/>
    <w:rsid w:val="009D4F82"/>
    <w:rsid w:val="009D50BE"/>
    <w:rsid w:val="009D5725"/>
    <w:rsid w:val="009D5982"/>
    <w:rsid w:val="009D5C5D"/>
    <w:rsid w:val="009D5F11"/>
    <w:rsid w:val="009D6163"/>
    <w:rsid w:val="009D6B4E"/>
    <w:rsid w:val="009D6ED9"/>
    <w:rsid w:val="009D7203"/>
    <w:rsid w:val="009D74D4"/>
    <w:rsid w:val="009E00BE"/>
    <w:rsid w:val="009E0CF5"/>
    <w:rsid w:val="009E1087"/>
    <w:rsid w:val="009E124F"/>
    <w:rsid w:val="009E13F6"/>
    <w:rsid w:val="009E2462"/>
    <w:rsid w:val="009E3108"/>
    <w:rsid w:val="009E3BBB"/>
    <w:rsid w:val="009E40EC"/>
    <w:rsid w:val="009E4AB7"/>
    <w:rsid w:val="009E4D9A"/>
    <w:rsid w:val="009E4DB7"/>
    <w:rsid w:val="009E62D4"/>
    <w:rsid w:val="009E6410"/>
    <w:rsid w:val="009E6413"/>
    <w:rsid w:val="009E6473"/>
    <w:rsid w:val="009E68BB"/>
    <w:rsid w:val="009E7298"/>
    <w:rsid w:val="009E7317"/>
    <w:rsid w:val="009E7D15"/>
    <w:rsid w:val="009E7F06"/>
    <w:rsid w:val="009F0B6E"/>
    <w:rsid w:val="009F1C66"/>
    <w:rsid w:val="009F27C4"/>
    <w:rsid w:val="009F4845"/>
    <w:rsid w:val="009F48AF"/>
    <w:rsid w:val="009F49BC"/>
    <w:rsid w:val="009F4B8F"/>
    <w:rsid w:val="009F5221"/>
    <w:rsid w:val="009F523B"/>
    <w:rsid w:val="009F5E30"/>
    <w:rsid w:val="009F5EF4"/>
    <w:rsid w:val="009F65B6"/>
    <w:rsid w:val="009F6ED2"/>
    <w:rsid w:val="009F7458"/>
    <w:rsid w:val="00A016B1"/>
    <w:rsid w:val="00A01AC2"/>
    <w:rsid w:val="00A01ED5"/>
    <w:rsid w:val="00A02233"/>
    <w:rsid w:val="00A02A55"/>
    <w:rsid w:val="00A02BE7"/>
    <w:rsid w:val="00A02E79"/>
    <w:rsid w:val="00A03035"/>
    <w:rsid w:val="00A04257"/>
    <w:rsid w:val="00A04304"/>
    <w:rsid w:val="00A058D9"/>
    <w:rsid w:val="00A05BCE"/>
    <w:rsid w:val="00A05EE4"/>
    <w:rsid w:val="00A063DA"/>
    <w:rsid w:val="00A06449"/>
    <w:rsid w:val="00A0651D"/>
    <w:rsid w:val="00A06BD3"/>
    <w:rsid w:val="00A06EEE"/>
    <w:rsid w:val="00A07599"/>
    <w:rsid w:val="00A07AE5"/>
    <w:rsid w:val="00A07FEB"/>
    <w:rsid w:val="00A1016E"/>
    <w:rsid w:val="00A104F2"/>
    <w:rsid w:val="00A109E2"/>
    <w:rsid w:val="00A11294"/>
    <w:rsid w:val="00A11C36"/>
    <w:rsid w:val="00A11EAA"/>
    <w:rsid w:val="00A11F27"/>
    <w:rsid w:val="00A12361"/>
    <w:rsid w:val="00A1253B"/>
    <w:rsid w:val="00A1267B"/>
    <w:rsid w:val="00A131EA"/>
    <w:rsid w:val="00A13AA2"/>
    <w:rsid w:val="00A13EDE"/>
    <w:rsid w:val="00A1463B"/>
    <w:rsid w:val="00A14A9B"/>
    <w:rsid w:val="00A14C82"/>
    <w:rsid w:val="00A15094"/>
    <w:rsid w:val="00A15494"/>
    <w:rsid w:val="00A15B4D"/>
    <w:rsid w:val="00A1690A"/>
    <w:rsid w:val="00A16B5D"/>
    <w:rsid w:val="00A16E9F"/>
    <w:rsid w:val="00A1739D"/>
    <w:rsid w:val="00A1761A"/>
    <w:rsid w:val="00A178AB"/>
    <w:rsid w:val="00A17B6B"/>
    <w:rsid w:val="00A216C7"/>
    <w:rsid w:val="00A21A42"/>
    <w:rsid w:val="00A21AA2"/>
    <w:rsid w:val="00A21E5E"/>
    <w:rsid w:val="00A22193"/>
    <w:rsid w:val="00A24174"/>
    <w:rsid w:val="00A24519"/>
    <w:rsid w:val="00A258FE"/>
    <w:rsid w:val="00A259EB"/>
    <w:rsid w:val="00A25D89"/>
    <w:rsid w:val="00A25EDE"/>
    <w:rsid w:val="00A26EE2"/>
    <w:rsid w:val="00A27ABC"/>
    <w:rsid w:val="00A27BEC"/>
    <w:rsid w:val="00A3006B"/>
    <w:rsid w:val="00A3020C"/>
    <w:rsid w:val="00A3071B"/>
    <w:rsid w:val="00A3084C"/>
    <w:rsid w:val="00A30D48"/>
    <w:rsid w:val="00A30DAE"/>
    <w:rsid w:val="00A30E13"/>
    <w:rsid w:val="00A30EA6"/>
    <w:rsid w:val="00A31FAE"/>
    <w:rsid w:val="00A32733"/>
    <w:rsid w:val="00A32A1B"/>
    <w:rsid w:val="00A32B32"/>
    <w:rsid w:val="00A3303E"/>
    <w:rsid w:val="00A33ACF"/>
    <w:rsid w:val="00A33EE8"/>
    <w:rsid w:val="00A34A29"/>
    <w:rsid w:val="00A35176"/>
    <w:rsid w:val="00A35280"/>
    <w:rsid w:val="00A35829"/>
    <w:rsid w:val="00A35F47"/>
    <w:rsid w:val="00A35FF4"/>
    <w:rsid w:val="00A364E0"/>
    <w:rsid w:val="00A36FC3"/>
    <w:rsid w:val="00A3726B"/>
    <w:rsid w:val="00A375A9"/>
    <w:rsid w:val="00A37B19"/>
    <w:rsid w:val="00A37E2F"/>
    <w:rsid w:val="00A37EB8"/>
    <w:rsid w:val="00A4028B"/>
    <w:rsid w:val="00A40DCE"/>
    <w:rsid w:val="00A42259"/>
    <w:rsid w:val="00A42EC9"/>
    <w:rsid w:val="00A43EF4"/>
    <w:rsid w:val="00A446B3"/>
    <w:rsid w:val="00A4490F"/>
    <w:rsid w:val="00A4515A"/>
    <w:rsid w:val="00A4519F"/>
    <w:rsid w:val="00A452B4"/>
    <w:rsid w:val="00A457A4"/>
    <w:rsid w:val="00A460A3"/>
    <w:rsid w:val="00A466F1"/>
    <w:rsid w:val="00A502AC"/>
    <w:rsid w:val="00A506BE"/>
    <w:rsid w:val="00A50DBA"/>
    <w:rsid w:val="00A50E25"/>
    <w:rsid w:val="00A50E2E"/>
    <w:rsid w:val="00A50F8E"/>
    <w:rsid w:val="00A51F01"/>
    <w:rsid w:val="00A5203C"/>
    <w:rsid w:val="00A522A2"/>
    <w:rsid w:val="00A531F7"/>
    <w:rsid w:val="00A532FC"/>
    <w:rsid w:val="00A534ED"/>
    <w:rsid w:val="00A536F5"/>
    <w:rsid w:val="00A53D42"/>
    <w:rsid w:val="00A54693"/>
    <w:rsid w:val="00A5472A"/>
    <w:rsid w:val="00A54FC3"/>
    <w:rsid w:val="00A55406"/>
    <w:rsid w:val="00A555CB"/>
    <w:rsid w:val="00A55613"/>
    <w:rsid w:val="00A55B6F"/>
    <w:rsid w:val="00A55B9A"/>
    <w:rsid w:val="00A55F80"/>
    <w:rsid w:val="00A578AE"/>
    <w:rsid w:val="00A57D41"/>
    <w:rsid w:val="00A57EFE"/>
    <w:rsid w:val="00A6034E"/>
    <w:rsid w:val="00A604E7"/>
    <w:rsid w:val="00A6107B"/>
    <w:rsid w:val="00A617C7"/>
    <w:rsid w:val="00A619D9"/>
    <w:rsid w:val="00A61B14"/>
    <w:rsid w:val="00A62A34"/>
    <w:rsid w:val="00A62F88"/>
    <w:rsid w:val="00A634BC"/>
    <w:rsid w:val="00A63C2D"/>
    <w:rsid w:val="00A63C30"/>
    <w:rsid w:val="00A63C4B"/>
    <w:rsid w:val="00A653A0"/>
    <w:rsid w:val="00A655AB"/>
    <w:rsid w:val="00A66416"/>
    <w:rsid w:val="00A67028"/>
    <w:rsid w:val="00A67900"/>
    <w:rsid w:val="00A67AAB"/>
    <w:rsid w:val="00A67DEB"/>
    <w:rsid w:val="00A700DC"/>
    <w:rsid w:val="00A70171"/>
    <w:rsid w:val="00A70AB6"/>
    <w:rsid w:val="00A71116"/>
    <w:rsid w:val="00A718ED"/>
    <w:rsid w:val="00A71D97"/>
    <w:rsid w:val="00A724B6"/>
    <w:rsid w:val="00A72C5E"/>
    <w:rsid w:val="00A7328D"/>
    <w:rsid w:val="00A73E52"/>
    <w:rsid w:val="00A74277"/>
    <w:rsid w:val="00A74525"/>
    <w:rsid w:val="00A748D6"/>
    <w:rsid w:val="00A74EEF"/>
    <w:rsid w:val="00A75081"/>
    <w:rsid w:val="00A751BD"/>
    <w:rsid w:val="00A75974"/>
    <w:rsid w:val="00A75A6E"/>
    <w:rsid w:val="00A76474"/>
    <w:rsid w:val="00A76700"/>
    <w:rsid w:val="00A7683A"/>
    <w:rsid w:val="00A7686C"/>
    <w:rsid w:val="00A769CF"/>
    <w:rsid w:val="00A76A43"/>
    <w:rsid w:val="00A76D72"/>
    <w:rsid w:val="00A76E6A"/>
    <w:rsid w:val="00A77E10"/>
    <w:rsid w:val="00A805F7"/>
    <w:rsid w:val="00A80872"/>
    <w:rsid w:val="00A80B21"/>
    <w:rsid w:val="00A8132C"/>
    <w:rsid w:val="00A818E3"/>
    <w:rsid w:val="00A81FEC"/>
    <w:rsid w:val="00A82059"/>
    <w:rsid w:val="00A829F1"/>
    <w:rsid w:val="00A82DFF"/>
    <w:rsid w:val="00A8307D"/>
    <w:rsid w:val="00A831FF"/>
    <w:rsid w:val="00A83472"/>
    <w:rsid w:val="00A8385F"/>
    <w:rsid w:val="00A83A5E"/>
    <w:rsid w:val="00A84397"/>
    <w:rsid w:val="00A85DC4"/>
    <w:rsid w:val="00A86415"/>
    <w:rsid w:val="00A86CC7"/>
    <w:rsid w:val="00A878F7"/>
    <w:rsid w:val="00A90590"/>
    <w:rsid w:val="00A90B0D"/>
    <w:rsid w:val="00A90ED6"/>
    <w:rsid w:val="00A910F4"/>
    <w:rsid w:val="00A91AC5"/>
    <w:rsid w:val="00A91CCA"/>
    <w:rsid w:val="00A91EA9"/>
    <w:rsid w:val="00A926A8"/>
    <w:rsid w:val="00A92CB9"/>
    <w:rsid w:val="00A92CF8"/>
    <w:rsid w:val="00A93277"/>
    <w:rsid w:val="00A9331D"/>
    <w:rsid w:val="00A935D2"/>
    <w:rsid w:val="00A93BD1"/>
    <w:rsid w:val="00A96524"/>
    <w:rsid w:val="00A96C5A"/>
    <w:rsid w:val="00A97007"/>
    <w:rsid w:val="00A970EF"/>
    <w:rsid w:val="00A97652"/>
    <w:rsid w:val="00A97772"/>
    <w:rsid w:val="00A97CBB"/>
    <w:rsid w:val="00A97DA5"/>
    <w:rsid w:val="00AA0003"/>
    <w:rsid w:val="00AA10EA"/>
    <w:rsid w:val="00AA1110"/>
    <w:rsid w:val="00AA191D"/>
    <w:rsid w:val="00AA1F4C"/>
    <w:rsid w:val="00AA226D"/>
    <w:rsid w:val="00AA22C9"/>
    <w:rsid w:val="00AA25CC"/>
    <w:rsid w:val="00AA2BAC"/>
    <w:rsid w:val="00AA2F41"/>
    <w:rsid w:val="00AA2F64"/>
    <w:rsid w:val="00AA3F9D"/>
    <w:rsid w:val="00AA425F"/>
    <w:rsid w:val="00AA536F"/>
    <w:rsid w:val="00AA583B"/>
    <w:rsid w:val="00AA591B"/>
    <w:rsid w:val="00AA608C"/>
    <w:rsid w:val="00AA60F8"/>
    <w:rsid w:val="00AA6264"/>
    <w:rsid w:val="00AA6492"/>
    <w:rsid w:val="00AA6BFB"/>
    <w:rsid w:val="00AA6CE2"/>
    <w:rsid w:val="00AA6D83"/>
    <w:rsid w:val="00AA7DFE"/>
    <w:rsid w:val="00AB04E4"/>
    <w:rsid w:val="00AB0626"/>
    <w:rsid w:val="00AB0A81"/>
    <w:rsid w:val="00AB0BA8"/>
    <w:rsid w:val="00AB1650"/>
    <w:rsid w:val="00AB19C3"/>
    <w:rsid w:val="00AB1F0E"/>
    <w:rsid w:val="00AB28EE"/>
    <w:rsid w:val="00AB33F1"/>
    <w:rsid w:val="00AB346F"/>
    <w:rsid w:val="00AB34EA"/>
    <w:rsid w:val="00AB3815"/>
    <w:rsid w:val="00AB4AEC"/>
    <w:rsid w:val="00AB4D5A"/>
    <w:rsid w:val="00AB541F"/>
    <w:rsid w:val="00AB60CB"/>
    <w:rsid w:val="00AB703F"/>
    <w:rsid w:val="00AB72E2"/>
    <w:rsid w:val="00AC0235"/>
    <w:rsid w:val="00AC04AB"/>
    <w:rsid w:val="00AC0908"/>
    <w:rsid w:val="00AC0EDE"/>
    <w:rsid w:val="00AC26F8"/>
    <w:rsid w:val="00AC298D"/>
    <w:rsid w:val="00AC416F"/>
    <w:rsid w:val="00AC4250"/>
    <w:rsid w:val="00AC51CA"/>
    <w:rsid w:val="00AC5886"/>
    <w:rsid w:val="00AC5DCD"/>
    <w:rsid w:val="00AC6CD2"/>
    <w:rsid w:val="00AC6DBB"/>
    <w:rsid w:val="00AC744C"/>
    <w:rsid w:val="00AC76D2"/>
    <w:rsid w:val="00AC7FE0"/>
    <w:rsid w:val="00AD0045"/>
    <w:rsid w:val="00AD1366"/>
    <w:rsid w:val="00AD1487"/>
    <w:rsid w:val="00AD1619"/>
    <w:rsid w:val="00AD2260"/>
    <w:rsid w:val="00AD23E7"/>
    <w:rsid w:val="00AD2BA0"/>
    <w:rsid w:val="00AD4209"/>
    <w:rsid w:val="00AD4335"/>
    <w:rsid w:val="00AD49A2"/>
    <w:rsid w:val="00AD4AE0"/>
    <w:rsid w:val="00AD5F5A"/>
    <w:rsid w:val="00AD5F64"/>
    <w:rsid w:val="00AD7397"/>
    <w:rsid w:val="00AD7F71"/>
    <w:rsid w:val="00AE062E"/>
    <w:rsid w:val="00AE064A"/>
    <w:rsid w:val="00AE0927"/>
    <w:rsid w:val="00AE0CD4"/>
    <w:rsid w:val="00AE0D46"/>
    <w:rsid w:val="00AE17F8"/>
    <w:rsid w:val="00AE180D"/>
    <w:rsid w:val="00AE1949"/>
    <w:rsid w:val="00AE1D2C"/>
    <w:rsid w:val="00AE1F8E"/>
    <w:rsid w:val="00AE212F"/>
    <w:rsid w:val="00AE2150"/>
    <w:rsid w:val="00AE31DD"/>
    <w:rsid w:val="00AE374F"/>
    <w:rsid w:val="00AE4946"/>
    <w:rsid w:val="00AE4970"/>
    <w:rsid w:val="00AE551E"/>
    <w:rsid w:val="00AE55C7"/>
    <w:rsid w:val="00AE5E73"/>
    <w:rsid w:val="00AE6759"/>
    <w:rsid w:val="00AE682A"/>
    <w:rsid w:val="00AE6C6F"/>
    <w:rsid w:val="00AE6E2B"/>
    <w:rsid w:val="00AE725C"/>
    <w:rsid w:val="00AE748F"/>
    <w:rsid w:val="00AE77F3"/>
    <w:rsid w:val="00AE7BB0"/>
    <w:rsid w:val="00AE7C4A"/>
    <w:rsid w:val="00AE7CD1"/>
    <w:rsid w:val="00AF01CB"/>
    <w:rsid w:val="00AF0377"/>
    <w:rsid w:val="00AF046A"/>
    <w:rsid w:val="00AF144D"/>
    <w:rsid w:val="00AF15B3"/>
    <w:rsid w:val="00AF18F1"/>
    <w:rsid w:val="00AF2858"/>
    <w:rsid w:val="00AF2DFA"/>
    <w:rsid w:val="00AF2E7E"/>
    <w:rsid w:val="00AF3B3C"/>
    <w:rsid w:val="00AF4D7B"/>
    <w:rsid w:val="00AF4E5B"/>
    <w:rsid w:val="00AF4EF4"/>
    <w:rsid w:val="00AF53F7"/>
    <w:rsid w:val="00AF5F0E"/>
    <w:rsid w:val="00B002F2"/>
    <w:rsid w:val="00B003D0"/>
    <w:rsid w:val="00B00DB9"/>
    <w:rsid w:val="00B01492"/>
    <w:rsid w:val="00B01D34"/>
    <w:rsid w:val="00B0218C"/>
    <w:rsid w:val="00B03A3C"/>
    <w:rsid w:val="00B04782"/>
    <w:rsid w:val="00B04CF8"/>
    <w:rsid w:val="00B04E9F"/>
    <w:rsid w:val="00B04FB9"/>
    <w:rsid w:val="00B05202"/>
    <w:rsid w:val="00B05C0D"/>
    <w:rsid w:val="00B06225"/>
    <w:rsid w:val="00B06397"/>
    <w:rsid w:val="00B06785"/>
    <w:rsid w:val="00B06B1E"/>
    <w:rsid w:val="00B07302"/>
    <w:rsid w:val="00B07710"/>
    <w:rsid w:val="00B07D3E"/>
    <w:rsid w:val="00B07F85"/>
    <w:rsid w:val="00B1048E"/>
    <w:rsid w:val="00B109D9"/>
    <w:rsid w:val="00B10B92"/>
    <w:rsid w:val="00B11285"/>
    <w:rsid w:val="00B11543"/>
    <w:rsid w:val="00B116A2"/>
    <w:rsid w:val="00B12009"/>
    <w:rsid w:val="00B128DC"/>
    <w:rsid w:val="00B129F1"/>
    <w:rsid w:val="00B12E16"/>
    <w:rsid w:val="00B133E8"/>
    <w:rsid w:val="00B135E1"/>
    <w:rsid w:val="00B137A2"/>
    <w:rsid w:val="00B14492"/>
    <w:rsid w:val="00B16329"/>
    <w:rsid w:val="00B16643"/>
    <w:rsid w:val="00B16854"/>
    <w:rsid w:val="00B17CCE"/>
    <w:rsid w:val="00B17F9E"/>
    <w:rsid w:val="00B202DB"/>
    <w:rsid w:val="00B20496"/>
    <w:rsid w:val="00B20688"/>
    <w:rsid w:val="00B224BB"/>
    <w:rsid w:val="00B22613"/>
    <w:rsid w:val="00B226FE"/>
    <w:rsid w:val="00B231DA"/>
    <w:rsid w:val="00B2394B"/>
    <w:rsid w:val="00B24ADD"/>
    <w:rsid w:val="00B250B0"/>
    <w:rsid w:val="00B2564F"/>
    <w:rsid w:val="00B260B0"/>
    <w:rsid w:val="00B26B90"/>
    <w:rsid w:val="00B27142"/>
    <w:rsid w:val="00B27598"/>
    <w:rsid w:val="00B2799F"/>
    <w:rsid w:val="00B279ED"/>
    <w:rsid w:val="00B27B02"/>
    <w:rsid w:val="00B307A5"/>
    <w:rsid w:val="00B30D9F"/>
    <w:rsid w:val="00B313BB"/>
    <w:rsid w:val="00B31EE5"/>
    <w:rsid w:val="00B32703"/>
    <w:rsid w:val="00B3294C"/>
    <w:rsid w:val="00B332A9"/>
    <w:rsid w:val="00B33FBA"/>
    <w:rsid w:val="00B344CF"/>
    <w:rsid w:val="00B3474B"/>
    <w:rsid w:val="00B34964"/>
    <w:rsid w:val="00B34AB6"/>
    <w:rsid w:val="00B34AD8"/>
    <w:rsid w:val="00B34EF2"/>
    <w:rsid w:val="00B35BE0"/>
    <w:rsid w:val="00B3657C"/>
    <w:rsid w:val="00B36581"/>
    <w:rsid w:val="00B36823"/>
    <w:rsid w:val="00B36F95"/>
    <w:rsid w:val="00B37948"/>
    <w:rsid w:val="00B37C17"/>
    <w:rsid w:val="00B40338"/>
    <w:rsid w:val="00B41652"/>
    <w:rsid w:val="00B4195A"/>
    <w:rsid w:val="00B424FD"/>
    <w:rsid w:val="00B4279C"/>
    <w:rsid w:val="00B43430"/>
    <w:rsid w:val="00B442EC"/>
    <w:rsid w:val="00B44552"/>
    <w:rsid w:val="00B4492A"/>
    <w:rsid w:val="00B449FE"/>
    <w:rsid w:val="00B44BC5"/>
    <w:rsid w:val="00B44D41"/>
    <w:rsid w:val="00B451AB"/>
    <w:rsid w:val="00B459DF"/>
    <w:rsid w:val="00B45F1E"/>
    <w:rsid w:val="00B4683A"/>
    <w:rsid w:val="00B471C5"/>
    <w:rsid w:val="00B47EAD"/>
    <w:rsid w:val="00B47FD7"/>
    <w:rsid w:val="00B50F91"/>
    <w:rsid w:val="00B51EA3"/>
    <w:rsid w:val="00B5230E"/>
    <w:rsid w:val="00B53107"/>
    <w:rsid w:val="00B5320B"/>
    <w:rsid w:val="00B53AA2"/>
    <w:rsid w:val="00B54AE5"/>
    <w:rsid w:val="00B54FE8"/>
    <w:rsid w:val="00B5528D"/>
    <w:rsid w:val="00B55397"/>
    <w:rsid w:val="00B556BC"/>
    <w:rsid w:val="00B55D94"/>
    <w:rsid w:val="00B55F5F"/>
    <w:rsid w:val="00B567B6"/>
    <w:rsid w:val="00B56EA6"/>
    <w:rsid w:val="00B57AFE"/>
    <w:rsid w:val="00B57CF3"/>
    <w:rsid w:val="00B60056"/>
    <w:rsid w:val="00B601F1"/>
    <w:rsid w:val="00B602FB"/>
    <w:rsid w:val="00B605AF"/>
    <w:rsid w:val="00B60EF0"/>
    <w:rsid w:val="00B610A1"/>
    <w:rsid w:val="00B61540"/>
    <w:rsid w:val="00B61F59"/>
    <w:rsid w:val="00B62C78"/>
    <w:rsid w:val="00B62F54"/>
    <w:rsid w:val="00B63012"/>
    <w:rsid w:val="00B636A4"/>
    <w:rsid w:val="00B638FD"/>
    <w:rsid w:val="00B64155"/>
    <w:rsid w:val="00B64945"/>
    <w:rsid w:val="00B64B81"/>
    <w:rsid w:val="00B656F3"/>
    <w:rsid w:val="00B65B4A"/>
    <w:rsid w:val="00B65DF6"/>
    <w:rsid w:val="00B66220"/>
    <w:rsid w:val="00B668F9"/>
    <w:rsid w:val="00B669D5"/>
    <w:rsid w:val="00B66D22"/>
    <w:rsid w:val="00B66FE0"/>
    <w:rsid w:val="00B674F5"/>
    <w:rsid w:val="00B70A17"/>
    <w:rsid w:val="00B7115D"/>
    <w:rsid w:val="00B71910"/>
    <w:rsid w:val="00B71A0D"/>
    <w:rsid w:val="00B72410"/>
    <w:rsid w:val="00B72559"/>
    <w:rsid w:val="00B72CDD"/>
    <w:rsid w:val="00B72E4D"/>
    <w:rsid w:val="00B73640"/>
    <w:rsid w:val="00B73BDA"/>
    <w:rsid w:val="00B73C26"/>
    <w:rsid w:val="00B74283"/>
    <w:rsid w:val="00B74507"/>
    <w:rsid w:val="00B747A6"/>
    <w:rsid w:val="00B7499B"/>
    <w:rsid w:val="00B75781"/>
    <w:rsid w:val="00B75DB0"/>
    <w:rsid w:val="00B76A89"/>
    <w:rsid w:val="00B77004"/>
    <w:rsid w:val="00B7738F"/>
    <w:rsid w:val="00B776D6"/>
    <w:rsid w:val="00B77E8C"/>
    <w:rsid w:val="00B82E9D"/>
    <w:rsid w:val="00B832C9"/>
    <w:rsid w:val="00B83CF0"/>
    <w:rsid w:val="00B83E05"/>
    <w:rsid w:val="00B84C07"/>
    <w:rsid w:val="00B85968"/>
    <w:rsid w:val="00B8609C"/>
    <w:rsid w:val="00B864B8"/>
    <w:rsid w:val="00B86A7E"/>
    <w:rsid w:val="00B87D12"/>
    <w:rsid w:val="00B9043C"/>
    <w:rsid w:val="00B9071A"/>
    <w:rsid w:val="00B90B10"/>
    <w:rsid w:val="00B918D6"/>
    <w:rsid w:val="00B91A16"/>
    <w:rsid w:val="00B92719"/>
    <w:rsid w:val="00B929BC"/>
    <w:rsid w:val="00B92A7E"/>
    <w:rsid w:val="00B93041"/>
    <w:rsid w:val="00B93414"/>
    <w:rsid w:val="00B9353E"/>
    <w:rsid w:val="00B93592"/>
    <w:rsid w:val="00B93603"/>
    <w:rsid w:val="00B93C12"/>
    <w:rsid w:val="00B93D97"/>
    <w:rsid w:val="00B94116"/>
    <w:rsid w:val="00B942F6"/>
    <w:rsid w:val="00B9488B"/>
    <w:rsid w:val="00B94C30"/>
    <w:rsid w:val="00B960AC"/>
    <w:rsid w:val="00B967E8"/>
    <w:rsid w:val="00B96923"/>
    <w:rsid w:val="00B977F3"/>
    <w:rsid w:val="00BA01F1"/>
    <w:rsid w:val="00BA0E6D"/>
    <w:rsid w:val="00BA13C5"/>
    <w:rsid w:val="00BA1562"/>
    <w:rsid w:val="00BA18CB"/>
    <w:rsid w:val="00BA22EC"/>
    <w:rsid w:val="00BA2D76"/>
    <w:rsid w:val="00BA3600"/>
    <w:rsid w:val="00BA394D"/>
    <w:rsid w:val="00BA464F"/>
    <w:rsid w:val="00BA508E"/>
    <w:rsid w:val="00BA51D9"/>
    <w:rsid w:val="00BA554E"/>
    <w:rsid w:val="00BA63FB"/>
    <w:rsid w:val="00BA688C"/>
    <w:rsid w:val="00BA6D72"/>
    <w:rsid w:val="00BA6E17"/>
    <w:rsid w:val="00BA6FA8"/>
    <w:rsid w:val="00BA7358"/>
    <w:rsid w:val="00BB0206"/>
    <w:rsid w:val="00BB03EB"/>
    <w:rsid w:val="00BB053D"/>
    <w:rsid w:val="00BB1793"/>
    <w:rsid w:val="00BB3569"/>
    <w:rsid w:val="00BB3685"/>
    <w:rsid w:val="00BB3958"/>
    <w:rsid w:val="00BB40C0"/>
    <w:rsid w:val="00BB5345"/>
    <w:rsid w:val="00BB57FB"/>
    <w:rsid w:val="00BB5D91"/>
    <w:rsid w:val="00BB7BC8"/>
    <w:rsid w:val="00BB7C0B"/>
    <w:rsid w:val="00BC0281"/>
    <w:rsid w:val="00BC0399"/>
    <w:rsid w:val="00BC0D1B"/>
    <w:rsid w:val="00BC0D4D"/>
    <w:rsid w:val="00BC17B0"/>
    <w:rsid w:val="00BC17CB"/>
    <w:rsid w:val="00BC1993"/>
    <w:rsid w:val="00BC1D48"/>
    <w:rsid w:val="00BC229D"/>
    <w:rsid w:val="00BC2395"/>
    <w:rsid w:val="00BC2AC3"/>
    <w:rsid w:val="00BC2D50"/>
    <w:rsid w:val="00BC2FFF"/>
    <w:rsid w:val="00BC3462"/>
    <w:rsid w:val="00BC359E"/>
    <w:rsid w:val="00BC3A1F"/>
    <w:rsid w:val="00BC3C02"/>
    <w:rsid w:val="00BC53DC"/>
    <w:rsid w:val="00BC55E7"/>
    <w:rsid w:val="00BC5E0A"/>
    <w:rsid w:val="00BC6137"/>
    <w:rsid w:val="00BC6633"/>
    <w:rsid w:val="00BC68D8"/>
    <w:rsid w:val="00BC6D3A"/>
    <w:rsid w:val="00BC7068"/>
    <w:rsid w:val="00BC74F8"/>
    <w:rsid w:val="00BC7716"/>
    <w:rsid w:val="00BC7758"/>
    <w:rsid w:val="00BC7E4A"/>
    <w:rsid w:val="00BD0C9A"/>
    <w:rsid w:val="00BD27D1"/>
    <w:rsid w:val="00BD32E4"/>
    <w:rsid w:val="00BD3495"/>
    <w:rsid w:val="00BD3B35"/>
    <w:rsid w:val="00BD4EB1"/>
    <w:rsid w:val="00BD5EC0"/>
    <w:rsid w:val="00BD5F1A"/>
    <w:rsid w:val="00BD63CF"/>
    <w:rsid w:val="00BD65FD"/>
    <w:rsid w:val="00BD66A8"/>
    <w:rsid w:val="00BD7133"/>
    <w:rsid w:val="00BD7E90"/>
    <w:rsid w:val="00BD7F5B"/>
    <w:rsid w:val="00BE0116"/>
    <w:rsid w:val="00BE048D"/>
    <w:rsid w:val="00BE0635"/>
    <w:rsid w:val="00BE084C"/>
    <w:rsid w:val="00BE086B"/>
    <w:rsid w:val="00BE1759"/>
    <w:rsid w:val="00BE18EE"/>
    <w:rsid w:val="00BE1B18"/>
    <w:rsid w:val="00BE2747"/>
    <w:rsid w:val="00BE2945"/>
    <w:rsid w:val="00BE2EBF"/>
    <w:rsid w:val="00BE31D5"/>
    <w:rsid w:val="00BE3293"/>
    <w:rsid w:val="00BE44DA"/>
    <w:rsid w:val="00BE4C5F"/>
    <w:rsid w:val="00BE5048"/>
    <w:rsid w:val="00BE573D"/>
    <w:rsid w:val="00BE5EF7"/>
    <w:rsid w:val="00BE608E"/>
    <w:rsid w:val="00BE6B35"/>
    <w:rsid w:val="00BE7B47"/>
    <w:rsid w:val="00BF0074"/>
    <w:rsid w:val="00BF0273"/>
    <w:rsid w:val="00BF11B0"/>
    <w:rsid w:val="00BF1A54"/>
    <w:rsid w:val="00BF2B05"/>
    <w:rsid w:val="00BF343F"/>
    <w:rsid w:val="00BF3800"/>
    <w:rsid w:val="00BF3DE7"/>
    <w:rsid w:val="00BF3DFF"/>
    <w:rsid w:val="00BF4249"/>
    <w:rsid w:val="00BF4B89"/>
    <w:rsid w:val="00BF4BB2"/>
    <w:rsid w:val="00BF5AA0"/>
    <w:rsid w:val="00BF5D15"/>
    <w:rsid w:val="00BF5DA0"/>
    <w:rsid w:val="00BF609D"/>
    <w:rsid w:val="00BF6397"/>
    <w:rsid w:val="00BF64DC"/>
    <w:rsid w:val="00BF6EF7"/>
    <w:rsid w:val="00BF6F1C"/>
    <w:rsid w:val="00BF7798"/>
    <w:rsid w:val="00BF7836"/>
    <w:rsid w:val="00BF78A0"/>
    <w:rsid w:val="00BF7FB7"/>
    <w:rsid w:val="00C006D1"/>
    <w:rsid w:val="00C00B01"/>
    <w:rsid w:val="00C00E79"/>
    <w:rsid w:val="00C0141A"/>
    <w:rsid w:val="00C01BE7"/>
    <w:rsid w:val="00C02098"/>
    <w:rsid w:val="00C02100"/>
    <w:rsid w:val="00C02268"/>
    <w:rsid w:val="00C02457"/>
    <w:rsid w:val="00C02492"/>
    <w:rsid w:val="00C02EC8"/>
    <w:rsid w:val="00C033A0"/>
    <w:rsid w:val="00C042D9"/>
    <w:rsid w:val="00C0439F"/>
    <w:rsid w:val="00C04A70"/>
    <w:rsid w:val="00C04B5B"/>
    <w:rsid w:val="00C05154"/>
    <w:rsid w:val="00C051E2"/>
    <w:rsid w:val="00C0537A"/>
    <w:rsid w:val="00C06410"/>
    <w:rsid w:val="00C066D5"/>
    <w:rsid w:val="00C06D54"/>
    <w:rsid w:val="00C07637"/>
    <w:rsid w:val="00C07953"/>
    <w:rsid w:val="00C07B1E"/>
    <w:rsid w:val="00C07CD8"/>
    <w:rsid w:val="00C1085F"/>
    <w:rsid w:val="00C1201B"/>
    <w:rsid w:val="00C12EFB"/>
    <w:rsid w:val="00C13690"/>
    <w:rsid w:val="00C1428C"/>
    <w:rsid w:val="00C1431C"/>
    <w:rsid w:val="00C1485D"/>
    <w:rsid w:val="00C14986"/>
    <w:rsid w:val="00C14DFD"/>
    <w:rsid w:val="00C1548E"/>
    <w:rsid w:val="00C15594"/>
    <w:rsid w:val="00C15B0D"/>
    <w:rsid w:val="00C15C00"/>
    <w:rsid w:val="00C15EF4"/>
    <w:rsid w:val="00C1632C"/>
    <w:rsid w:val="00C16778"/>
    <w:rsid w:val="00C167D3"/>
    <w:rsid w:val="00C16CD1"/>
    <w:rsid w:val="00C17555"/>
    <w:rsid w:val="00C1771B"/>
    <w:rsid w:val="00C178CC"/>
    <w:rsid w:val="00C20004"/>
    <w:rsid w:val="00C208C0"/>
    <w:rsid w:val="00C21158"/>
    <w:rsid w:val="00C21388"/>
    <w:rsid w:val="00C21594"/>
    <w:rsid w:val="00C21C1C"/>
    <w:rsid w:val="00C21E20"/>
    <w:rsid w:val="00C21F27"/>
    <w:rsid w:val="00C227AB"/>
    <w:rsid w:val="00C22A56"/>
    <w:rsid w:val="00C22C2C"/>
    <w:rsid w:val="00C22CBB"/>
    <w:rsid w:val="00C230AF"/>
    <w:rsid w:val="00C2368A"/>
    <w:rsid w:val="00C24568"/>
    <w:rsid w:val="00C257C1"/>
    <w:rsid w:val="00C26598"/>
    <w:rsid w:val="00C266C2"/>
    <w:rsid w:val="00C2670E"/>
    <w:rsid w:val="00C27D89"/>
    <w:rsid w:val="00C27F1B"/>
    <w:rsid w:val="00C30171"/>
    <w:rsid w:val="00C30AF7"/>
    <w:rsid w:val="00C30EC7"/>
    <w:rsid w:val="00C311B1"/>
    <w:rsid w:val="00C311FC"/>
    <w:rsid w:val="00C33AE1"/>
    <w:rsid w:val="00C348B7"/>
    <w:rsid w:val="00C34ADB"/>
    <w:rsid w:val="00C34E7F"/>
    <w:rsid w:val="00C36703"/>
    <w:rsid w:val="00C37669"/>
    <w:rsid w:val="00C4073E"/>
    <w:rsid w:val="00C40F9E"/>
    <w:rsid w:val="00C413B1"/>
    <w:rsid w:val="00C42B55"/>
    <w:rsid w:val="00C42DCF"/>
    <w:rsid w:val="00C430B7"/>
    <w:rsid w:val="00C43297"/>
    <w:rsid w:val="00C4375D"/>
    <w:rsid w:val="00C43FAA"/>
    <w:rsid w:val="00C4456F"/>
    <w:rsid w:val="00C44634"/>
    <w:rsid w:val="00C44DE7"/>
    <w:rsid w:val="00C4513B"/>
    <w:rsid w:val="00C45FF2"/>
    <w:rsid w:val="00C462A1"/>
    <w:rsid w:val="00C46D7C"/>
    <w:rsid w:val="00C46DA8"/>
    <w:rsid w:val="00C46E28"/>
    <w:rsid w:val="00C50627"/>
    <w:rsid w:val="00C51127"/>
    <w:rsid w:val="00C51F4F"/>
    <w:rsid w:val="00C52793"/>
    <w:rsid w:val="00C52BC6"/>
    <w:rsid w:val="00C536A2"/>
    <w:rsid w:val="00C540E0"/>
    <w:rsid w:val="00C544C6"/>
    <w:rsid w:val="00C547A7"/>
    <w:rsid w:val="00C54A24"/>
    <w:rsid w:val="00C55061"/>
    <w:rsid w:val="00C55101"/>
    <w:rsid w:val="00C5545C"/>
    <w:rsid w:val="00C555F9"/>
    <w:rsid w:val="00C55681"/>
    <w:rsid w:val="00C55803"/>
    <w:rsid w:val="00C55B0C"/>
    <w:rsid w:val="00C57427"/>
    <w:rsid w:val="00C57B48"/>
    <w:rsid w:val="00C57DAC"/>
    <w:rsid w:val="00C57DE7"/>
    <w:rsid w:val="00C60AA8"/>
    <w:rsid w:val="00C611D9"/>
    <w:rsid w:val="00C6241E"/>
    <w:rsid w:val="00C62570"/>
    <w:rsid w:val="00C627EC"/>
    <w:rsid w:val="00C627F1"/>
    <w:rsid w:val="00C62DC1"/>
    <w:rsid w:val="00C64949"/>
    <w:rsid w:val="00C64995"/>
    <w:rsid w:val="00C65422"/>
    <w:rsid w:val="00C65AE8"/>
    <w:rsid w:val="00C65F98"/>
    <w:rsid w:val="00C65F9F"/>
    <w:rsid w:val="00C671AC"/>
    <w:rsid w:val="00C67C3C"/>
    <w:rsid w:val="00C67C7C"/>
    <w:rsid w:val="00C70FC2"/>
    <w:rsid w:val="00C70FEE"/>
    <w:rsid w:val="00C710A7"/>
    <w:rsid w:val="00C71159"/>
    <w:rsid w:val="00C71260"/>
    <w:rsid w:val="00C7197A"/>
    <w:rsid w:val="00C719EE"/>
    <w:rsid w:val="00C71B7F"/>
    <w:rsid w:val="00C72459"/>
    <w:rsid w:val="00C734EF"/>
    <w:rsid w:val="00C735B6"/>
    <w:rsid w:val="00C73F0A"/>
    <w:rsid w:val="00C745EE"/>
    <w:rsid w:val="00C74632"/>
    <w:rsid w:val="00C7473C"/>
    <w:rsid w:val="00C7503C"/>
    <w:rsid w:val="00C75537"/>
    <w:rsid w:val="00C756AC"/>
    <w:rsid w:val="00C76DEC"/>
    <w:rsid w:val="00C7748F"/>
    <w:rsid w:val="00C77619"/>
    <w:rsid w:val="00C77BC4"/>
    <w:rsid w:val="00C77BCB"/>
    <w:rsid w:val="00C80674"/>
    <w:rsid w:val="00C80ACB"/>
    <w:rsid w:val="00C81BDC"/>
    <w:rsid w:val="00C81FDB"/>
    <w:rsid w:val="00C82236"/>
    <w:rsid w:val="00C826DE"/>
    <w:rsid w:val="00C8298D"/>
    <w:rsid w:val="00C829E3"/>
    <w:rsid w:val="00C82AE6"/>
    <w:rsid w:val="00C82D70"/>
    <w:rsid w:val="00C8327B"/>
    <w:rsid w:val="00C83337"/>
    <w:rsid w:val="00C835AB"/>
    <w:rsid w:val="00C8381B"/>
    <w:rsid w:val="00C83957"/>
    <w:rsid w:val="00C842A7"/>
    <w:rsid w:val="00C84621"/>
    <w:rsid w:val="00C858CC"/>
    <w:rsid w:val="00C8609F"/>
    <w:rsid w:val="00C87D6C"/>
    <w:rsid w:val="00C90890"/>
    <w:rsid w:val="00C91A7A"/>
    <w:rsid w:val="00C92B1E"/>
    <w:rsid w:val="00C92C7A"/>
    <w:rsid w:val="00C92E8D"/>
    <w:rsid w:val="00C93367"/>
    <w:rsid w:val="00C938C0"/>
    <w:rsid w:val="00C93DC5"/>
    <w:rsid w:val="00C9410A"/>
    <w:rsid w:val="00C94F8E"/>
    <w:rsid w:val="00C95B8C"/>
    <w:rsid w:val="00C95F89"/>
    <w:rsid w:val="00C960CB"/>
    <w:rsid w:val="00C962FF"/>
    <w:rsid w:val="00C96A5E"/>
    <w:rsid w:val="00C96B92"/>
    <w:rsid w:val="00CA009B"/>
    <w:rsid w:val="00CA0E20"/>
    <w:rsid w:val="00CA135D"/>
    <w:rsid w:val="00CA1447"/>
    <w:rsid w:val="00CA18A6"/>
    <w:rsid w:val="00CA2560"/>
    <w:rsid w:val="00CA291F"/>
    <w:rsid w:val="00CA3704"/>
    <w:rsid w:val="00CA3809"/>
    <w:rsid w:val="00CA381C"/>
    <w:rsid w:val="00CA3B2F"/>
    <w:rsid w:val="00CA4846"/>
    <w:rsid w:val="00CA5FB1"/>
    <w:rsid w:val="00CA6952"/>
    <w:rsid w:val="00CA6C82"/>
    <w:rsid w:val="00CA6CEB"/>
    <w:rsid w:val="00CA7366"/>
    <w:rsid w:val="00CA7932"/>
    <w:rsid w:val="00CA7A6F"/>
    <w:rsid w:val="00CB041D"/>
    <w:rsid w:val="00CB0515"/>
    <w:rsid w:val="00CB065A"/>
    <w:rsid w:val="00CB1204"/>
    <w:rsid w:val="00CB129F"/>
    <w:rsid w:val="00CB1B32"/>
    <w:rsid w:val="00CB1C5B"/>
    <w:rsid w:val="00CB24E4"/>
    <w:rsid w:val="00CB27C7"/>
    <w:rsid w:val="00CB2E07"/>
    <w:rsid w:val="00CB33E1"/>
    <w:rsid w:val="00CB3BB2"/>
    <w:rsid w:val="00CB3D96"/>
    <w:rsid w:val="00CB3E32"/>
    <w:rsid w:val="00CB4BFE"/>
    <w:rsid w:val="00CB5153"/>
    <w:rsid w:val="00CB51B9"/>
    <w:rsid w:val="00CB5938"/>
    <w:rsid w:val="00CB6A1D"/>
    <w:rsid w:val="00CB6A3F"/>
    <w:rsid w:val="00CB6D62"/>
    <w:rsid w:val="00CB79F7"/>
    <w:rsid w:val="00CB7BD1"/>
    <w:rsid w:val="00CC009A"/>
    <w:rsid w:val="00CC0416"/>
    <w:rsid w:val="00CC0639"/>
    <w:rsid w:val="00CC0F48"/>
    <w:rsid w:val="00CC13ED"/>
    <w:rsid w:val="00CC1BF4"/>
    <w:rsid w:val="00CC30AD"/>
    <w:rsid w:val="00CC3449"/>
    <w:rsid w:val="00CC365E"/>
    <w:rsid w:val="00CC4876"/>
    <w:rsid w:val="00CC4B22"/>
    <w:rsid w:val="00CC4B9E"/>
    <w:rsid w:val="00CC51B4"/>
    <w:rsid w:val="00CC5472"/>
    <w:rsid w:val="00CC54FB"/>
    <w:rsid w:val="00CC6AF3"/>
    <w:rsid w:val="00CC6CF8"/>
    <w:rsid w:val="00CC7143"/>
    <w:rsid w:val="00CC7155"/>
    <w:rsid w:val="00CC76EF"/>
    <w:rsid w:val="00CC7ABD"/>
    <w:rsid w:val="00CC7D75"/>
    <w:rsid w:val="00CD009C"/>
    <w:rsid w:val="00CD0A93"/>
    <w:rsid w:val="00CD0AA9"/>
    <w:rsid w:val="00CD0B31"/>
    <w:rsid w:val="00CD0FB0"/>
    <w:rsid w:val="00CD10DE"/>
    <w:rsid w:val="00CD14A8"/>
    <w:rsid w:val="00CD1636"/>
    <w:rsid w:val="00CD1987"/>
    <w:rsid w:val="00CD1B23"/>
    <w:rsid w:val="00CD2035"/>
    <w:rsid w:val="00CD2551"/>
    <w:rsid w:val="00CD255D"/>
    <w:rsid w:val="00CD266C"/>
    <w:rsid w:val="00CD2D05"/>
    <w:rsid w:val="00CD2F0D"/>
    <w:rsid w:val="00CD3099"/>
    <w:rsid w:val="00CD3288"/>
    <w:rsid w:val="00CD3AD4"/>
    <w:rsid w:val="00CD45C7"/>
    <w:rsid w:val="00CD5D69"/>
    <w:rsid w:val="00CD6CF2"/>
    <w:rsid w:val="00CD6F42"/>
    <w:rsid w:val="00CD71E6"/>
    <w:rsid w:val="00CE04C7"/>
    <w:rsid w:val="00CE180A"/>
    <w:rsid w:val="00CE1CBB"/>
    <w:rsid w:val="00CE1FA6"/>
    <w:rsid w:val="00CE2B01"/>
    <w:rsid w:val="00CE32DD"/>
    <w:rsid w:val="00CE41FF"/>
    <w:rsid w:val="00CE47D3"/>
    <w:rsid w:val="00CE4D6B"/>
    <w:rsid w:val="00CE5ED2"/>
    <w:rsid w:val="00CE5F66"/>
    <w:rsid w:val="00CE65B5"/>
    <w:rsid w:val="00CE6954"/>
    <w:rsid w:val="00CE6F5F"/>
    <w:rsid w:val="00CE7002"/>
    <w:rsid w:val="00CE7027"/>
    <w:rsid w:val="00CE74E8"/>
    <w:rsid w:val="00CE767C"/>
    <w:rsid w:val="00CE76FA"/>
    <w:rsid w:val="00CE7E18"/>
    <w:rsid w:val="00CF0143"/>
    <w:rsid w:val="00CF152A"/>
    <w:rsid w:val="00CF1809"/>
    <w:rsid w:val="00CF1F03"/>
    <w:rsid w:val="00CF2486"/>
    <w:rsid w:val="00CF294C"/>
    <w:rsid w:val="00CF36DC"/>
    <w:rsid w:val="00CF3BD6"/>
    <w:rsid w:val="00CF3C9A"/>
    <w:rsid w:val="00CF3EDF"/>
    <w:rsid w:val="00CF400D"/>
    <w:rsid w:val="00CF4835"/>
    <w:rsid w:val="00CF4C80"/>
    <w:rsid w:val="00CF4D12"/>
    <w:rsid w:val="00CF4DD3"/>
    <w:rsid w:val="00CF551C"/>
    <w:rsid w:val="00CF5E42"/>
    <w:rsid w:val="00CF5F1E"/>
    <w:rsid w:val="00CF62E1"/>
    <w:rsid w:val="00CF664C"/>
    <w:rsid w:val="00CF68DF"/>
    <w:rsid w:val="00CF6E60"/>
    <w:rsid w:val="00CF7072"/>
    <w:rsid w:val="00CF7320"/>
    <w:rsid w:val="00CF7A5E"/>
    <w:rsid w:val="00D0029A"/>
    <w:rsid w:val="00D0029E"/>
    <w:rsid w:val="00D00A90"/>
    <w:rsid w:val="00D00AED"/>
    <w:rsid w:val="00D00B0D"/>
    <w:rsid w:val="00D00BF0"/>
    <w:rsid w:val="00D00F7C"/>
    <w:rsid w:val="00D0135E"/>
    <w:rsid w:val="00D01814"/>
    <w:rsid w:val="00D01B43"/>
    <w:rsid w:val="00D0293A"/>
    <w:rsid w:val="00D02B28"/>
    <w:rsid w:val="00D03293"/>
    <w:rsid w:val="00D033A4"/>
    <w:rsid w:val="00D03577"/>
    <w:rsid w:val="00D03C69"/>
    <w:rsid w:val="00D03E66"/>
    <w:rsid w:val="00D0403B"/>
    <w:rsid w:val="00D0519E"/>
    <w:rsid w:val="00D05219"/>
    <w:rsid w:val="00D0570E"/>
    <w:rsid w:val="00D05936"/>
    <w:rsid w:val="00D0599E"/>
    <w:rsid w:val="00D0622A"/>
    <w:rsid w:val="00D062F0"/>
    <w:rsid w:val="00D0783D"/>
    <w:rsid w:val="00D10831"/>
    <w:rsid w:val="00D10A3F"/>
    <w:rsid w:val="00D10C85"/>
    <w:rsid w:val="00D11385"/>
    <w:rsid w:val="00D1192E"/>
    <w:rsid w:val="00D13B8B"/>
    <w:rsid w:val="00D13BF9"/>
    <w:rsid w:val="00D1562B"/>
    <w:rsid w:val="00D157CE"/>
    <w:rsid w:val="00D158D6"/>
    <w:rsid w:val="00D159C2"/>
    <w:rsid w:val="00D15BDB"/>
    <w:rsid w:val="00D15E58"/>
    <w:rsid w:val="00D1617B"/>
    <w:rsid w:val="00D16596"/>
    <w:rsid w:val="00D16A45"/>
    <w:rsid w:val="00D17532"/>
    <w:rsid w:val="00D17ADC"/>
    <w:rsid w:val="00D17BA4"/>
    <w:rsid w:val="00D17D82"/>
    <w:rsid w:val="00D206EB"/>
    <w:rsid w:val="00D20E23"/>
    <w:rsid w:val="00D217E0"/>
    <w:rsid w:val="00D21800"/>
    <w:rsid w:val="00D226F5"/>
    <w:rsid w:val="00D22E63"/>
    <w:rsid w:val="00D22FEB"/>
    <w:rsid w:val="00D237AE"/>
    <w:rsid w:val="00D24174"/>
    <w:rsid w:val="00D24958"/>
    <w:rsid w:val="00D24A77"/>
    <w:rsid w:val="00D24CA8"/>
    <w:rsid w:val="00D25014"/>
    <w:rsid w:val="00D2511C"/>
    <w:rsid w:val="00D2555D"/>
    <w:rsid w:val="00D25598"/>
    <w:rsid w:val="00D25BD8"/>
    <w:rsid w:val="00D26027"/>
    <w:rsid w:val="00D276F8"/>
    <w:rsid w:val="00D278C7"/>
    <w:rsid w:val="00D27F35"/>
    <w:rsid w:val="00D300A5"/>
    <w:rsid w:val="00D305C0"/>
    <w:rsid w:val="00D30763"/>
    <w:rsid w:val="00D30789"/>
    <w:rsid w:val="00D3086C"/>
    <w:rsid w:val="00D314E8"/>
    <w:rsid w:val="00D32071"/>
    <w:rsid w:val="00D32223"/>
    <w:rsid w:val="00D32380"/>
    <w:rsid w:val="00D3282D"/>
    <w:rsid w:val="00D32E5D"/>
    <w:rsid w:val="00D33033"/>
    <w:rsid w:val="00D3390C"/>
    <w:rsid w:val="00D33D10"/>
    <w:rsid w:val="00D3400D"/>
    <w:rsid w:val="00D340BF"/>
    <w:rsid w:val="00D3629D"/>
    <w:rsid w:val="00D37060"/>
    <w:rsid w:val="00D37C97"/>
    <w:rsid w:val="00D37DE4"/>
    <w:rsid w:val="00D40382"/>
    <w:rsid w:val="00D406FD"/>
    <w:rsid w:val="00D412B4"/>
    <w:rsid w:val="00D4262E"/>
    <w:rsid w:val="00D43B7A"/>
    <w:rsid w:val="00D440FF"/>
    <w:rsid w:val="00D44397"/>
    <w:rsid w:val="00D44A2B"/>
    <w:rsid w:val="00D44D08"/>
    <w:rsid w:val="00D44D76"/>
    <w:rsid w:val="00D44EA1"/>
    <w:rsid w:val="00D44EE2"/>
    <w:rsid w:val="00D44F76"/>
    <w:rsid w:val="00D45349"/>
    <w:rsid w:val="00D46AC7"/>
    <w:rsid w:val="00D47666"/>
    <w:rsid w:val="00D47E25"/>
    <w:rsid w:val="00D5012E"/>
    <w:rsid w:val="00D5135D"/>
    <w:rsid w:val="00D52354"/>
    <w:rsid w:val="00D52891"/>
    <w:rsid w:val="00D5304D"/>
    <w:rsid w:val="00D53840"/>
    <w:rsid w:val="00D53D28"/>
    <w:rsid w:val="00D5520D"/>
    <w:rsid w:val="00D55410"/>
    <w:rsid w:val="00D5560F"/>
    <w:rsid w:val="00D55F44"/>
    <w:rsid w:val="00D5684D"/>
    <w:rsid w:val="00D57D6E"/>
    <w:rsid w:val="00D57F59"/>
    <w:rsid w:val="00D600E4"/>
    <w:rsid w:val="00D60210"/>
    <w:rsid w:val="00D608E7"/>
    <w:rsid w:val="00D61025"/>
    <w:rsid w:val="00D61F9B"/>
    <w:rsid w:val="00D62322"/>
    <w:rsid w:val="00D64801"/>
    <w:rsid w:val="00D64AB3"/>
    <w:rsid w:val="00D6602D"/>
    <w:rsid w:val="00D6650B"/>
    <w:rsid w:val="00D673E8"/>
    <w:rsid w:val="00D70025"/>
    <w:rsid w:val="00D70B38"/>
    <w:rsid w:val="00D70F18"/>
    <w:rsid w:val="00D721BE"/>
    <w:rsid w:val="00D72ACC"/>
    <w:rsid w:val="00D73473"/>
    <w:rsid w:val="00D73E57"/>
    <w:rsid w:val="00D747BF"/>
    <w:rsid w:val="00D74A58"/>
    <w:rsid w:val="00D74C82"/>
    <w:rsid w:val="00D754C2"/>
    <w:rsid w:val="00D76D39"/>
    <w:rsid w:val="00D7774E"/>
    <w:rsid w:val="00D81D3F"/>
    <w:rsid w:val="00D8250B"/>
    <w:rsid w:val="00D82C7B"/>
    <w:rsid w:val="00D83FFF"/>
    <w:rsid w:val="00D84320"/>
    <w:rsid w:val="00D843D6"/>
    <w:rsid w:val="00D848FF"/>
    <w:rsid w:val="00D84C33"/>
    <w:rsid w:val="00D85E39"/>
    <w:rsid w:val="00D861EB"/>
    <w:rsid w:val="00D86BCC"/>
    <w:rsid w:val="00D878C3"/>
    <w:rsid w:val="00D87BBE"/>
    <w:rsid w:val="00D87D1E"/>
    <w:rsid w:val="00D9158D"/>
    <w:rsid w:val="00D91E9F"/>
    <w:rsid w:val="00D92F16"/>
    <w:rsid w:val="00D936FE"/>
    <w:rsid w:val="00D94F89"/>
    <w:rsid w:val="00D95689"/>
    <w:rsid w:val="00D957A2"/>
    <w:rsid w:val="00D95B2A"/>
    <w:rsid w:val="00D95F59"/>
    <w:rsid w:val="00D973C0"/>
    <w:rsid w:val="00D97B50"/>
    <w:rsid w:val="00DA02DB"/>
    <w:rsid w:val="00DA0634"/>
    <w:rsid w:val="00DA09EC"/>
    <w:rsid w:val="00DA189E"/>
    <w:rsid w:val="00DA1C44"/>
    <w:rsid w:val="00DA1CDA"/>
    <w:rsid w:val="00DA1D68"/>
    <w:rsid w:val="00DA2189"/>
    <w:rsid w:val="00DA2327"/>
    <w:rsid w:val="00DA29D5"/>
    <w:rsid w:val="00DA2A89"/>
    <w:rsid w:val="00DA320A"/>
    <w:rsid w:val="00DA5F07"/>
    <w:rsid w:val="00DA5FEE"/>
    <w:rsid w:val="00DA6816"/>
    <w:rsid w:val="00DA699E"/>
    <w:rsid w:val="00DA6EEA"/>
    <w:rsid w:val="00DA7719"/>
    <w:rsid w:val="00DA7C2A"/>
    <w:rsid w:val="00DA7DDE"/>
    <w:rsid w:val="00DA7F23"/>
    <w:rsid w:val="00DA7F74"/>
    <w:rsid w:val="00DB00CC"/>
    <w:rsid w:val="00DB1054"/>
    <w:rsid w:val="00DB1D50"/>
    <w:rsid w:val="00DB2079"/>
    <w:rsid w:val="00DB2443"/>
    <w:rsid w:val="00DB28E8"/>
    <w:rsid w:val="00DB2974"/>
    <w:rsid w:val="00DB2F10"/>
    <w:rsid w:val="00DB35E9"/>
    <w:rsid w:val="00DB499F"/>
    <w:rsid w:val="00DB49D8"/>
    <w:rsid w:val="00DB5EA7"/>
    <w:rsid w:val="00DB71BD"/>
    <w:rsid w:val="00DB79C1"/>
    <w:rsid w:val="00DC02D1"/>
    <w:rsid w:val="00DC0461"/>
    <w:rsid w:val="00DC0535"/>
    <w:rsid w:val="00DC08FB"/>
    <w:rsid w:val="00DC10C4"/>
    <w:rsid w:val="00DC14FA"/>
    <w:rsid w:val="00DC1BD8"/>
    <w:rsid w:val="00DC24A2"/>
    <w:rsid w:val="00DC2DBE"/>
    <w:rsid w:val="00DC387A"/>
    <w:rsid w:val="00DC4589"/>
    <w:rsid w:val="00DC5D83"/>
    <w:rsid w:val="00DC6D0B"/>
    <w:rsid w:val="00DC6F2F"/>
    <w:rsid w:val="00DC728F"/>
    <w:rsid w:val="00DC744F"/>
    <w:rsid w:val="00DC75F2"/>
    <w:rsid w:val="00DC76A1"/>
    <w:rsid w:val="00DD06F4"/>
    <w:rsid w:val="00DD096F"/>
    <w:rsid w:val="00DD0A2E"/>
    <w:rsid w:val="00DD140F"/>
    <w:rsid w:val="00DD231D"/>
    <w:rsid w:val="00DD244E"/>
    <w:rsid w:val="00DD2B43"/>
    <w:rsid w:val="00DD2C98"/>
    <w:rsid w:val="00DD3468"/>
    <w:rsid w:val="00DD4412"/>
    <w:rsid w:val="00DD4841"/>
    <w:rsid w:val="00DD4C93"/>
    <w:rsid w:val="00DD4E6A"/>
    <w:rsid w:val="00DD537B"/>
    <w:rsid w:val="00DD58A0"/>
    <w:rsid w:val="00DD6DC7"/>
    <w:rsid w:val="00DD70C8"/>
    <w:rsid w:val="00DD719F"/>
    <w:rsid w:val="00DD71E0"/>
    <w:rsid w:val="00DD77DD"/>
    <w:rsid w:val="00DD7B4F"/>
    <w:rsid w:val="00DD7F6E"/>
    <w:rsid w:val="00DE000F"/>
    <w:rsid w:val="00DE019E"/>
    <w:rsid w:val="00DE01DE"/>
    <w:rsid w:val="00DE0204"/>
    <w:rsid w:val="00DE0AD2"/>
    <w:rsid w:val="00DE0F7B"/>
    <w:rsid w:val="00DE1CA3"/>
    <w:rsid w:val="00DE2161"/>
    <w:rsid w:val="00DE27A6"/>
    <w:rsid w:val="00DE2951"/>
    <w:rsid w:val="00DE4006"/>
    <w:rsid w:val="00DE4018"/>
    <w:rsid w:val="00DE420C"/>
    <w:rsid w:val="00DE4B6F"/>
    <w:rsid w:val="00DE525B"/>
    <w:rsid w:val="00DE52D8"/>
    <w:rsid w:val="00DE5301"/>
    <w:rsid w:val="00DE5396"/>
    <w:rsid w:val="00DE6A74"/>
    <w:rsid w:val="00DE6DFA"/>
    <w:rsid w:val="00DE7168"/>
    <w:rsid w:val="00DE76F3"/>
    <w:rsid w:val="00DE7810"/>
    <w:rsid w:val="00DF05AD"/>
    <w:rsid w:val="00DF0947"/>
    <w:rsid w:val="00DF0CBE"/>
    <w:rsid w:val="00DF12B0"/>
    <w:rsid w:val="00DF169B"/>
    <w:rsid w:val="00DF2348"/>
    <w:rsid w:val="00DF286E"/>
    <w:rsid w:val="00DF2E62"/>
    <w:rsid w:val="00DF32C7"/>
    <w:rsid w:val="00DF3A71"/>
    <w:rsid w:val="00DF45D8"/>
    <w:rsid w:val="00DF482F"/>
    <w:rsid w:val="00DF5151"/>
    <w:rsid w:val="00DF542D"/>
    <w:rsid w:val="00DF564C"/>
    <w:rsid w:val="00DF580F"/>
    <w:rsid w:val="00DF5DFF"/>
    <w:rsid w:val="00DF62F0"/>
    <w:rsid w:val="00DF66E6"/>
    <w:rsid w:val="00DF694F"/>
    <w:rsid w:val="00DF6A0B"/>
    <w:rsid w:val="00DF7DB3"/>
    <w:rsid w:val="00E00B90"/>
    <w:rsid w:val="00E01008"/>
    <w:rsid w:val="00E01605"/>
    <w:rsid w:val="00E0266E"/>
    <w:rsid w:val="00E04048"/>
    <w:rsid w:val="00E0443F"/>
    <w:rsid w:val="00E0511C"/>
    <w:rsid w:val="00E05DA8"/>
    <w:rsid w:val="00E05E48"/>
    <w:rsid w:val="00E06713"/>
    <w:rsid w:val="00E071E4"/>
    <w:rsid w:val="00E07821"/>
    <w:rsid w:val="00E07B85"/>
    <w:rsid w:val="00E07DCA"/>
    <w:rsid w:val="00E07F70"/>
    <w:rsid w:val="00E1045F"/>
    <w:rsid w:val="00E10C0B"/>
    <w:rsid w:val="00E11132"/>
    <w:rsid w:val="00E117B7"/>
    <w:rsid w:val="00E11C35"/>
    <w:rsid w:val="00E122D9"/>
    <w:rsid w:val="00E123C0"/>
    <w:rsid w:val="00E12633"/>
    <w:rsid w:val="00E139F7"/>
    <w:rsid w:val="00E13D0E"/>
    <w:rsid w:val="00E14357"/>
    <w:rsid w:val="00E14AE1"/>
    <w:rsid w:val="00E15357"/>
    <w:rsid w:val="00E153D6"/>
    <w:rsid w:val="00E15429"/>
    <w:rsid w:val="00E157E0"/>
    <w:rsid w:val="00E15964"/>
    <w:rsid w:val="00E15CA6"/>
    <w:rsid w:val="00E16835"/>
    <w:rsid w:val="00E16ABB"/>
    <w:rsid w:val="00E16AE4"/>
    <w:rsid w:val="00E1760D"/>
    <w:rsid w:val="00E2040F"/>
    <w:rsid w:val="00E20F03"/>
    <w:rsid w:val="00E21C7C"/>
    <w:rsid w:val="00E22202"/>
    <w:rsid w:val="00E222B7"/>
    <w:rsid w:val="00E22F17"/>
    <w:rsid w:val="00E23117"/>
    <w:rsid w:val="00E23355"/>
    <w:rsid w:val="00E2352C"/>
    <w:rsid w:val="00E24580"/>
    <w:rsid w:val="00E24908"/>
    <w:rsid w:val="00E253D0"/>
    <w:rsid w:val="00E255E6"/>
    <w:rsid w:val="00E25BE7"/>
    <w:rsid w:val="00E25F9B"/>
    <w:rsid w:val="00E278A4"/>
    <w:rsid w:val="00E3087C"/>
    <w:rsid w:val="00E313BF"/>
    <w:rsid w:val="00E315E4"/>
    <w:rsid w:val="00E35880"/>
    <w:rsid w:val="00E36645"/>
    <w:rsid w:val="00E366BA"/>
    <w:rsid w:val="00E3699E"/>
    <w:rsid w:val="00E37266"/>
    <w:rsid w:val="00E378B2"/>
    <w:rsid w:val="00E37B26"/>
    <w:rsid w:val="00E37DFA"/>
    <w:rsid w:val="00E40488"/>
    <w:rsid w:val="00E40678"/>
    <w:rsid w:val="00E40705"/>
    <w:rsid w:val="00E40C12"/>
    <w:rsid w:val="00E40EB2"/>
    <w:rsid w:val="00E411C4"/>
    <w:rsid w:val="00E42569"/>
    <w:rsid w:val="00E42815"/>
    <w:rsid w:val="00E42D75"/>
    <w:rsid w:val="00E43206"/>
    <w:rsid w:val="00E4343D"/>
    <w:rsid w:val="00E43536"/>
    <w:rsid w:val="00E4467C"/>
    <w:rsid w:val="00E45C31"/>
    <w:rsid w:val="00E46198"/>
    <w:rsid w:val="00E4641D"/>
    <w:rsid w:val="00E46603"/>
    <w:rsid w:val="00E46E04"/>
    <w:rsid w:val="00E47245"/>
    <w:rsid w:val="00E47429"/>
    <w:rsid w:val="00E47748"/>
    <w:rsid w:val="00E50D51"/>
    <w:rsid w:val="00E511FA"/>
    <w:rsid w:val="00E52669"/>
    <w:rsid w:val="00E52A3E"/>
    <w:rsid w:val="00E5338A"/>
    <w:rsid w:val="00E53B28"/>
    <w:rsid w:val="00E53D2C"/>
    <w:rsid w:val="00E54D19"/>
    <w:rsid w:val="00E55251"/>
    <w:rsid w:val="00E5542B"/>
    <w:rsid w:val="00E55465"/>
    <w:rsid w:val="00E55918"/>
    <w:rsid w:val="00E55E39"/>
    <w:rsid w:val="00E5698B"/>
    <w:rsid w:val="00E56A66"/>
    <w:rsid w:val="00E57617"/>
    <w:rsid w:val="00E57C5B"/>
    <w:rsid w:val="00E57D40"/>
    <w:rsid w:val="00E57FF2"/>
    <w:rsid w:val="00E600CA"/>
    <w:rsid w:val="00E60859"/>
    <w:rsid w:val="00E60FB7"/>
    <w:rsid w:val="00E611F1"/>
    <w:rsid w:val="00E61351"/>
    <w:rsid w:val="00E61A70"/>
    <w:rsid w:val="00E63524"/>
    <w:rsid w:val="00E63855"/>
    <w:rsid w:val="00E63BE3"/>
    <w:rsid w:val="00E64735"/>
    <w:rsid w:val="00E64868"/>
    <w:rsid w:val="00E6524C"/>
    <w:rsid w:val="00E65C3B"/>
    <w:rsid w:val="00E65DA6"/>
    <w:rsid w:val="00E6618C"/>
    <w:rsid w:val="00E66751"/>
    <w:rsid w:val="00E66E9A"/>
    <w:rsid w:val="00E67430"/>
    <w:rsid w:val="00E67928"/>
    <w:rsid w:val="00E67D85"/>
    <w:rsid w:val="00E70110"/>
    <w:rsid w:val="00E7293F"/>
    <w:rsid w:val="00E72A3D"/>
    <w:rsid w:val="00E72E75"/>
    <w:rsid w:val="00E73BEE"/>
    <w:rsid w:val="00E73C88"/>
    <w:rsid w:val="00E7413B"/>
    <w:rsid w:val="00E744D4"/>
    <w:rsid w:val="00E7496A"/>
    <w:rsid w:val="00E75E5A"/>
    <w:rsid w:val="00E762D0"/>
    <w:rsid w:val="00E76944"/>
    <w:rsid w:val="00E76CE2"/>
    <w:rsid w:val="00E777A7"/>
    <w:rsid w:val="00E77978"/>
    <w:rsid w:val="00E77C88"/>
    <w:rsid w:val="00E80152"/>
    <w:rsid w:val="00E803D4"/>
    <w:rsid w:val="00E80B69"/>
    <w:rsid w:val="00E80DA7"/>
    <w:rsid w:val="00E8146F"/>
    <w:rsid w:val="00E81A3A"/>
    <w:rsid w:val="00E82660"/>
    <w:rsid w:val="00E82947"/>
    <w:rsid w:val="00E82B53"/>
    <w:rsid w:val="00E82BD9"/>
    <w:rsid w:val="00E82EFB"/>
    <w:rsid w:val="00E8403E"/>
    <w:rsid w:val="00E84147"/>
    <w:rsid w:val="00E84260"/>
    <w:rsid w:val="00E84341"/>
    <w:rsid w:val="00E85EA0"/>
    <w:rsid w:val="00E90347"/>
    <w:rsid w:val="00E90623"/>
    <w:rsid w:val="00E907E9"/>
    <w:rsid w:val="00E90945"/>
    <w:rsid w:val="00E924C1"/>
    <w:rsid w:val="00E92A85"/>
    <w:rsid w:val="00E9395D"/>
    <w:rsid w:val="00E93B56"/>
    <w:rsid w:val="00E9469F"/>
    <w:rsid w:val="00E94F0A"/>
    <w:rsid w:val="00E95637"/>
    <w:rsid w:val="00E95C06"/>
    <w:rsid w:val="00E964E2"/>
    <w:rsid w:val="00E9650F"/>
    <w:rsid w:val="00E9676A"/>
    <w:rsid w:val="00E96D7F"/>
    <w:rsid w:val="00E96E9A"/>
    <w:rsid w:val="00E97647"/>
    <w:rsid w:val="00E97C77"/>
    <w:rsid w:val="00EA07B0"/>
    <w:rsid w:val="00EA0E24"/>
    <w:rsid w:val="00EA0F70"/>
    <w:rsid w:val="00EA1397"/>
    <w:rsid w:val="00EA1BC8"/>
    <w:rsid w:val="00EA1E1D"/>
    <w:rsid w:val="00EA2004"/>
    <w:rsid w:val="00EA25D3"/>
    <w:rsid w:val="00EA2912"/>
    <w:rsid w:val="00EA2D01"/>
    <w:rsid w:val="00EA2E47"/>
    <w:rsid w:val="00EA3D62"/>
    <w:rsid w:val="00EA4164"/>
    <w:rsid w:val="00EA63DF"/>
    <w:rsid w:val="00EA646A"/>
    <w:rsid w:val="00EA696D"/>
    <w:rsid w:val="00EA7188"/>
    <w:rsid w:val="00EA718E"/>
    <w:rsid w:val="00EA751E"/>
    <w:rsid w:val="00EA78F0"/>
    <w:rsid w:val="00EA7B78"/>
    <w:rsid w:val="00EA7F99"/>
    <w:rsid w:val="00EB0B4B"/>
    <w:rsid w:val="00EB0FD6"/>
    <w:rsid w:val="00EB16B8"/>
    <w:rsid w:val="00EB1F17"/>
    <w:rsid w:val="00EB2CCF"/>
    <w:rsid w:val="00EB2E2E"/>
    <w:rsid w:val="00EB32D3"/>
    <w:rsid w:val="00EB39AC"/>
    <w:rsid w:val="00EB3FB5"/>
    <w:rsid w:val="00EB43BF"/>
    <w:rsid w:val="00EB588E"/>
    <w:rsid w:val="00EB5FD1"/>
    <w:rsid w:val="00EB6414"/>
    <w:rsid w:val="00EB7E58"/>
    <w:rsid w:val="00EB7F1F"/>
    <w:rsid w:val="00EC03D2"/>
    <w:rsid w:val="00EC0502"/>
    <w:rsid w:val="00EC0E82"/>
    <w:rsid w:val="00EC1237"/>
    <w:rsid w:val="00EC139B"/>
    <w:rsid w:val="00EC2B34"/>
    <w:rsid w:val="00EC398F"/>
    <w:rsid w:val="00EC3E93"/>
    <w:rsid w:val="00EC3EF3"/>
    <w:rsid w:val="00EC43D1"/>
    <w:rsid w:val="00EC481C"/>
    <w:rsid w:val="00EC4C1E"/>
    <w:rsid w:val="00EC586D"/>
    <w:rsid w:val="00EC58E6"/>
    <w:rsid w:val="00EC590D"/>
    <w:rsid w:val="00EC6387"/>
    <w:rsid w:val="00EC6815"/>
    <w:rsid w:val="00EC6E0F"/>
    <w:rsid w:val="00EC7ADC"/>
    <w:rsid w:val="00ED0603"/>
    <w:rsid w:val="00ED094D"/>
    <w:rsid w:val="00ED0B55"/>
    <w:rsid w:val="00ED0B9C"/>
    <w:rsid w:val="00ED0F50"/>
    <w:rsid w:val="00ED10AF"/>
    <w:rsid w:val="00ED161D"/>
    <w:rsid w:val="00ED19FC"/>
    <w:rsid w:val="00ED1F19"/>
    <w:rsid w:val="00ED269E"/>
    <w:rsid w:val="00ED2B00"/>
    <w:rsid w:val="00ED3627"/>
    <w:rsid w:val="00ED3C1F"/>
    <w:rsid w:val="00ED4569"/>
    <w:rsid w:val="00ED45F6"/>
    <w:rsid w:val="00ED4952"/>
    <w:rsid w:val="00ED5B54"/>
    <w:rsid w:val="00ED5BD8"/>
    <w:rsid w:val="00ED5BE1"/>
    <w:rsid w:val="00ED735C"/>
    <w:rsid w:val="00EE0B84"/>
    <w:rsid w:val="00EE1248"/>
    <w:rsid w:val="00EE14A7"/>
    <w:rsid w:val="00EE1625"/>
    <w:rsid w:val="00EE1D77"/>
    <w:rsid w:val="00EE2E9D"/>
    <w:rsid w:val="00EE2EE8"/>
    <w:rsid w:val="00EE31D1"/>
    <w:rsid w:val="00EE3AF2"/>
    <w:rsid w:val="00EE413B"/>
    <w:rsid w:val="00EE4195"/>
    <w:rsid w:val="00EE463B"/>
    <w:rsid w:val="00EE4EF5"/>
    <w:rsid w:val="00EE51E2"/>
    <w:rsid w:val="00EE5B0A"/>
    <w:rsid w:val="00EE5FDA"/>
    <w:rsid w:val="00EE60FA"/>
    <w:rsid w:val="00EE67C6"/>
    <w:rsid w:val="00EE68BB"/>
    <w:rsid w:val="00EE69FB"/>
    <w:rsid w:val="00EE6E4A"/>
    <w:rsid w:val="00EE6F52"/>
    <w:rsid w:val="00EF0512"/>
    <w:rsid w:val="00EF06D6"/>
    <w:rsid w:val="00EF1931"/>
    <w:rsid w:val="00EF1B40"/>
    <w:rsid w:val="00EF26C1"/>
    <w:rsid w:val="00EF2E41"/>
    <w:rsid w:val="00EF349D"/>
    <w:rsid w:val="00EF3EE4"/>
    <w:rsid w:val="00EF4175"/>
    <w:rsid w:val="00EF4BCF"/>
    <w:rsid w:val="00EF504F"/>
    <w:rsid w:val="00EF51D5"/>
    <w:rsid w:val="00F00B38"/>
    <w:rsid w:val="00F01003"/>
    <w:rsid w:val="00F0135D"/>
    <w:rsid w:val="00F017F5"/>
    <w:rsid w:val="00F01CA0"/>
    <w:rsid w:val="00F01FF4"/>
    <w:rsid w:val="00F02487"/>
    <w:rsid w:val="00F02CA0"/>
    <w:rsid w:val="00F02FE1"/>
    <w:rsid w:val="00F0431A"/>
    <w:rsid w:val="00F04547"/>
    <w:rsid w:val="00F0484D"/>
    <w:rsid w:val="00F04A35"/>
    <w:rsid w:val="00F05183"/>
    <w:rsid w:val="00F05A31"/>
    <w:rsid w:val="00F06300"/>
    <w:rsid w:val="00F065C7"/>
    <w:rsid w:val="00F065CE"/>
    <w:rsid w:val="00F06675"/>
    <w:rsid w:val="00F06FB5"/>
    <w:rsid w:val="00F075E5"/>
    <w:rsid w:val="00F07673"/>
    <w:rsid w:val="00F07A3A"/>
    <w:rsid w:val="00F10492"/>
    <w:rsid w:val="00F10F31"/>
    <w:rsid w:val="00F11B05"/>
    <w:rsid w:val="00F1212D"/>
    <w:rsid w:val="00F125EA"/>
    <w:rsid w:val="00F12686"/>
    <w:rsid w:val="00F1294B"/>
    <w:rsid w:val="00F12E17"/>
    <w:rsid w:val="00F13726"/>
    <w:rsid w:val="00F13A49"/>
    <w:rsid w:val="00F1403E"/>
    <w:rsid w:val="00F143B0"/>
    <w:rsid w:val="00F178CC"/>
    <w:rsid w:val="00F17A68"/>
    <w:rsid w:val="00F17BD0"/>
    <w:rsid w:val="00F17F1E"/>
    <w:rsid w:val="00F20392"/>
    <w:rsid w:val="00F21219"/>
    <w:rsid w:val="00F2148C"/>
    <w:rsid w:val="00F23174"/>
    <w:rsid w:val="00F23CA1"/>
    <w:rsid w:val="00F24660"/>
    <w:rsid w:val="00F249FF"/>
    <w:rsid w:val="00F25242"/>
    <w:rsid w:val="00F25D8A"/>
    <w:rsid w:val="00F26667"/>
    <w:rsid w:val="00F2682E"/>
    <w:rsid w:val="00F2694B"/>
    <w:rsid w:val="00F27657"/>
    <w:rsid w:val="00F278FF"/>
    <w:rsid w:val="00F27A0E"/>
    <w:rsid w:val="00F30377"/>
    <w:rsid w:val="00F31CBF"/>
    <w:rsid w:val="00F31F85"/>
    <w:rsid w:val="00F3223B"/>
    <w:rsid w:val="00F3242F"/>
    <w:rsid w:val="00F3265A"/>
    <w:rsid w:val="00F32991"/>
    <w:rsid w:val="00F3317E"/>
    <w:rsid w:val="00F34088"/>
    <w:rsid w:val="00F3462F"/>
    <w:rsid w:val="00F34DE6"/>
    <w:rsid w:val="00F34E8F"/>
    <w:rsid w:val="00F3500E"/>
    <w:rsid w:val="00F35247"/>
    <w:rsid w:val="00F360AA"/>
    <w:rsid w:val="00F36122"/>
    <w:rsid w:val="00F36361"/>
    <w:rsid w:val="00F369DA"/>
    <w:rsid w:val="00F36FCD"/>
    <w:rsid w:val="00F37042"/>
    <w:rsid w:val="00F371AB"/>
    <w:rsid w:val="00F37AA7"/>
    <w:rsid w:val="00F4076F"/>
    <w:rsid w:val="00F40CB1"/>
    <w:rsid w:val="00F40DBB"/>
    <w:rsid w:val="00F41B8F"/>
    <w:rsid w:val="00F42061"/>
    <w:rsid w:val="00F4210E"/>
    <w:rsid w:val="00F43737"/>
    <w:rsid w:val="00F44F7F"/>
    <w:rsid w:val="00F44FFB"/>
    <w:rsid w:val="00F4533B"/>
    <w:rsid w:val="00F45BD3"/>
    <w:rsid w:val="00F45C0E"/>
    <w:rsid w:val="00F46D6F"/>
    <w:rsid w:val="00F47531"/>
    <w:rsid w:val="00F4771C"/>
    <w:rsid w:val="00F47818"/>
    <w:rsid w:val="00F4781D"/>
    <w:rsid w:val="00F479C8"/>
    <w:rsid w:val="00F47C70"/>
    <w:rsid w:val="00F47DC3"/>
    <w:rsid w:val="00F505D9"/>
    <w:rsid w:val="00F50803"/>
    <w:rsid w:val="00F5088F"/>
    <w:rsid w:val="00F509E8"/>
    <w:rsid w:val="00F50CB2"/>
    <w:rsid w:val="00F51083"/>
    <w:rsid w:val="00F5194A"/>
    <w:rsid w:val="00F51CE0"/>
    <w:rsid w:val="00F51FE6"/>
    <w:rsid w:val="00F520F5"/>
    <w:rsid w:val="00F5245E"/>
    <w:rsid w:val="00F528F1"/>
    <w:rsid w:val="00F547D7"/>
    <w:rsid w:val="00F54874"/>
    <w:rsid w:val="00F54D9E"/>
    <w:rsid w:val="00F5538B"/>
    <w:rsid w:val="00F5559F"/>
    <w:rsid w:val="00F55A09"/>
    <w:rsid w:val="00F55E97"/>
    <w:rsid w:val="00F561D3"/>
    <w:rsid w:val="00F56D8B"/>
    <w:rsid w:val="00F605CF"/>
    <w:rsid w:val="00F6194B"/>
    <w:rsid w:val="00F62181"/>
    <w:rsid w:val="00F628FE"/>
    <w:rsid w:val="00F62987"/>
    <w:rsid w:val="00F630E1"/>
    <w:rsid w:val="00F638E5"/>
    <w:rsid w:val="00F6458F"/>
    <w:rsid w:val="00F64662"/>
    <w:rsid w:val="00F664BB"/>
    <w:rsid w:val="00F6665E"/>
    <w:rsid w:val="00F6698D"/>
    <w:rsid w:val="00F66D1E"/>
    <w:rsid w:val="00F674E1"/>
    <w:rsid w:val="00F6758F"/>
    <w:rsid w:val="00F67A9E"/>
    <w:rsid w:val="00F713D8"/>
    <w:rsid w:val="00F7252C"/>
    <w:rsid w:val="00F7252D"/>
    <w:rsid w:val="00F7312A"/>
    <w:rsid w:val="00F73BC5"/>
    <w:rsid w:val="00F73FAA"/>
    <w:rsid w:val="00F744D0"/>
    <w:rsid w:val="00F7450E"/>
    <w:rsid w:val="00F74778"/>
    <w:rsid w:val="00F74B1F"/>
    <w:rsid w:val="00F74D0A"/>
    <w:rsid w:val="00F74E35"/>
    <w:rsid w:val="00F751E4"/>
    <w:rsid w:val="00F75698"/>
    <w:rsid w:val="00F756A0"/>
    <w:rsid w:val="00F758B6"/>
    <w:rsid w:val="00F75BDF"/>
    <w:rsid w:val="00F77093"/>
    <w:rsid w:val="00F77223"/>
    <w:rsid w:val="00F7730B"/>
    <w:rsid w:val="00F7737C"/>
    <w:rsid w:val="00F77425"/>
    <w:rsid w:val="00F8051D"/>
    <w:rsid w:val="00F812EA"/>
    <w:rsid w:val="00F818BF"/>
    <w:rsid w:val="00F81B3C"/>
    <w:rsid w:val="00F81EE8"/>
    <w:rsid w:val="00F820E8"/>
    <w:rsid w:val="00F82599"/>
    <w:rsid w:val="00F82CB1"/>
    <w:rsid w:val="00F82CBE"/>
    <w:rsid w:val="00F82E93"/>
    <w:rsid w:val="00F8315A"/>
    <w:rsid w:val="00F84774"/>
    <w:rsid w:val="00F84AD5"/>
    <w:rsid w:val="00F84C18"/>
    <w:rsid w:val="00F84E6E"/>
    <w:rsid w:val="00F84F43"/>
    <w:rsid w:val="00F8524F"/>
    <w:rsid w:val="00F85518"/>
    <w:rsid w:val="00F85A0D"/>
    <w:rsid w:val="00F85EAD"/>
    <w:rsid w:val="00F874A5"/>
    <w:rsid w:val="00F87C1F"/>
    <w:rsid w:val="00F909E3"/>
    <w:rsid w:val="00F91295"/>
    <w:rsid w:val="00F92820"/>
    <w:rsid w:val="00F92A04"/>
    <w:rsid w:val="00F92CB6"/>
    <w:rsid w:val="00F92ECC"/>
    <w:rsid w:val="00F93107"/>
    <w:rsid w:val="00F936CC"/>
    <w:rsid w:val="00F93D74"/>
    <w:rsid w:val="00F9491A"/>
    <w:rsid w:val="00F95A87"/>
    <w:rsid w:val="00F961E4"/>
    <w:rsid w:val="00F97156"/>
    <w:rsid w:val="00F9757D"/>
    <w:rsid w:val="00FA034E"/>
    <w:rsid w:val="00FA0B73"/>
    <w:rsid w:val="00FA10AF"/>
    <w:rsid w:val="00FA1248"/>
    <w:rsid w:val="00FA1FF2"/>
    <w:rsid w:val="00FA27AB"/>
    <w:rsid w:val="00FA2C06"/>
    <w:rsid w:val="00FA34D5"/>
    <w:rsid w:val="00FA38E3"/>
    <w:rsid w:val="00FA3947"/>
    <w:rsid w:val="00FA3BCE"/>
    <w:rsid w:val="00FA4402"/>
    <w:rsid w:val="00FA448B"/>
    <w:rsid w:val="00FA49CD"/>
    <w:rsid w:val="00FA619D"/>
    <w:rsid w:val="00FA61F0"/>
    <w:rsid w:val="00FA6302"/>
    <w:rsid w:val="00FA66D0"/>
    <w:rsid w:val="00FA6923"/>
    <w:rsid w:val="00FA7E6B"/>
    <w:rsid w:val="00FB0364"/>
    <w:rsid w:val="00FB043E"/>
    <w:rsid w:val="00FB07C1"/>
    <w:rsid w:val="00FB1362"/>
    <w:rsid w:val="00FB13CF"/>
    <w:rsid w:val="00FB185B"/>
    <w:rsid w:val="00FB2513"/>
    <w:rsid w:val="00FB2D7D"/>
    <w:rsid w:val="00FB3112"/>
    <w:rsid w:val="00FB3CEA"/>
    <w:rsid w:val="00FB3E76"/>
    <w:rsid w:val="00FB464A"/>
    <w:rsid w:val="00FB48D0"/>
    <w:rsid w:val="00FB4A15"/>
    <w:rsid w:val="00FB4AF9"/>
    <w:rsid w:val="00FB4EB1"/>
    <w:rsid w:val="00FB5900"/>
    <w:rsid w:val="00FB5CC7"/>
    <w:rsid w:val="00FB6CD2"/>
    <w:rsid w:val="00FB7E90"/>
    <w:rsid w:val="00FC0328"/>
    <w:rsid w:val="00FC04E2"/>
    <w:rsid w:val="00FC0B8D"/>
    <w:rsid w:val="00FC1191"/>
    <w:rsid w:val="00FC1234"/>
    <w:rsid w:val="00FC1239"/>
    <w:rsid w:val="00FC1833"/>
    <w:rsid w:val="00FC1885"/>
    <w:rsid w:val="00FC1B95"/>
    <w:rsid w:val="00FC2132"/>
    <w:rsid w:val="00FC21C8"/>
    <w:rsid w:val="00FC24ED"/>
    <w:rsid w:val="00FC2F90"/>
    <w:rsid w:val="00FC3246"/>
    <w:rsid w:val="00FC4985"/>
    <w:rsid w:val="00FC4FB7"/>
    <w:rsid w:val="00FC5AAE"/>
    <w:rsid w:val="00FC6152"/>
    <w:rsid w:val="00FC61F2"/>
    <w:rsid w:val="00FC63A0"/>
    <w:rsid w:val="00FC64E2"/>
    <w:rsid w:val="00FC6692"/>
    <w:rsid w:val="00FC688D"/>
    <w:rsid w:val="00FC77B8"/>
    <w:rsid w:val="00FC7C5F"/>
    <w:rsid w:val="00FD0CE1"/>
    <w:rsid w:val="00FD13CD"/>
    <w:rsid w:val="00FD1E5E"/>
    <w:rsid w:val="00FD20B2"/>
    <w:rsid w:val="00FD3A98"/>
    <w:rsid w:val="00FD3DC8"/>
    <w:rsid w:val="00FD443F"/>
    <w:rsid w:val="00FD4B6E"/>
    <w:rsid w:val="00FD5018"/>
    <w:rsid w:val="00FD531D"/>
    <w:rsid w:val="00FD5592"/>
    <w:rsid w:val="00FD5784"/>
    <w:rsid w:val="00FD6730"/>
    <w:rsid w:val="00FD72C0"/>
    <w:rsid w:val="00FD7915"/>
    <w:rsid w:val="00FD7D4A"/>
    <w:rsid w:val="00FE06F9"/>
    <w:rsid w:val="00FE099B"/>
    <w:rsid w:val="00FE0F0E"/>
    <w:rsid w:val="00FE1417"/>
    <w:rsid w:val="00FE14C9"/>
    <w:rsid w:val="00FE163A"/>
    <w:rsid w:val="00FE20E5"/>
    <w:rsid w:val="00FE2256"/>
    <w:rsid w:val="00FE24D9"/>
    <w:rsid w:val="00FE3968"/>
    <w:rsid w:val="00FE3F98"/>
    <w:rsid w:val="00FE4158"/>
    <w:rsid w:val="00FE4551"/>
    <w:rsid w:val="00FE47F2"/>
    <w:rsid w:val="00FE490D"/>
    <w:rsid w:val="00FE4C4F"/>
    <w:rsid w:val="00FE4D6E"/>
    <w:rsid w:val="00FE515C"/>
    <w:rsid w:val="00FE539F"/>
    <w:rsid w:val="00FE53EB"/>
    <w:rsid w:val="00FE5DDD"/>
    <w:rsid w:val="00FE5F07"/>
    <w:rsid w:val="00FE609B"/>
    <w:rsid w:val="00FE627C"/>
    <w:rsid w:val="00FE6694"/>
    <w:rsid w:val="00FE6A54"/>
    <w:rsid w:val="00FE7267"/>
    <w:rsid w:val="00FE780B"/>
    <w:rsid w:val="00FF0358"/>
    <w:rsid w:val="00FF0C62"/>
    <w:rsid w:val="00FF0CC1"/>
    <w:rsid w:val="00FF106E"/>
    <w:rsid w:val="00FF1758"/>
    <w:rsid w:val="00FF19E8"/>
    <w:rsid w:val="00FF1BBD"/>
    <w:rsid w:val="00FF1FF9"/>
    <w:rsid w:val="00FF2CCF"/>
    <w:rsid w:val="00FF326B"/>
    <w:rsid w:val="00FF3E86"/>
    <w:rsid w:val="00FF3FE8"/>
    <w:rsid w:val="00FF4B79"/>
    <w:rsid w:val="00FF5231"/>
    <w:rsid w:val="00FF5D3F"/>
    <w:rsid w:val="00FF6035"/>
    <w:rsid w:val="00FF6669"/>
    <w:rsid w:val="00FF6722"/>
    <w:rsid w:val="00FF7D1F"/>
    <w:rsid w:val="00FF7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style="mso-position-horizontal-relative:page;mso-position-vertical-relative:page" o:allowincell="f" fillcolor="#92d050" stroke="f">
      <v:fill color="#92d050"/>
      <v:stroke on="f"/>
      <v:textbox inset="0,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Normal Indent" w:semiHidden="1" w:unhideWhenUsed="1"/>
    <w:lsdException w:name="footnote text" w:uiPriority="99" w:qFormat="1"/>
    <w:lsdException w:name="annotation text" w:uiPriority="99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uiPriority="99"/>
    <w:lsdException w:name="envelope address" w:semiHidden="1" w:unhideWhenUsed="1"/>
    <w:lsdException w:name="envelope return" w:semiHidden="1" w:unhideWhenUsed="1"/>
    <w:lsdException w:name="footnote reference" w:uiPriority="99"/>
    <w:lsdException w:name="annotation reference" w:uiPriority="99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B6414"/>
    <w:pPr>
      <w:spacing w:after="200"/>
    </w:pPr>
    <w:rPr>
      <w:sz w:val="24"/>
      <w:szCs w:val="22"/>
      <w:lang w:eastAsia="en-US"/>
    </w:rPr>
  </w:style>
  <w:style w:type="paragraph" w:styleId="Nadpis1">
    <w:name w:val="heading 1"/>
    <w:basedOn w:val="slovanseznam"/>
    <w:next w:val="Normln"/>
    <w:link w:val="Nadpis1Char"/>
    <w:autoRedefine/>
    <w:uiPriority w:val="9"/>
    <w:qFormat/>
    <w:rsid w:val="00442BB4"/>
    <w:pPr>
      <w:keepNext/>
      <w:keepLines/>
      <w:numPr>
        <w:numId w:val="7"/>
      </w:numPr>
      <w:spacing w:before="480" w:after="120"/>
      <w:outlineLvl w:val="0"/>
    </w:pPr>
    <w:rPr>
      <w:b/>
      <w:bCs/>
      <w:sz w:val="28"/>
      <w:szCs w:val="28"/>
      <w:lang w:eastAsia="x-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0593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Nadpis3">
    <w:name w:val="heading 3"/>
    <w:aliases w:val="Report_Nadpis 3"/>
    <w:basedOn w:val="Normln"/>
    <w:link w:val="Nadpis3Char"/>
    <w:uiPriority w:val="9"/>
    <w:semiHidden/>
    <w:unhideWhenUsed/>
    <w:qFormat/>
    <w:rsid w:val="00C938C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7C8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7C88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7C88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7C88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7C88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7C88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Schriftart: 9 pt,Schriftart: 10 pt,Schriftart: 8 pt,Footnote,Text poznámky pod čiarou 007,Fußnotentextf,Geneva 9,Font: Geneva 9,Boston 10,f,pozn. pod čarou Char,pozn. pod čarou,Char1,Char,Text pozn. pod čarou1,Char Char Char1,o"/>
    <w:basedOn w:val="Normln"/>
    <w:link w:val="TextpoznpodarouChar"/>
    <w:autoRedefine/>
    <w:uiPriority w:val="99"/>
    <w:qFormat/>
    <w:rsid w:val="00C16778"/>
    <w:pPr>
      <w:spacing w:after="0"/>
      <w:jc w:val="both"/>
    </w:pPr>
    <w:rPr>
      <w:sz w:val="16"/>
      <w:szCs w:val="16"/>
      <w:lang w:val="x-none" w:eastAsia="x-none"/>
    </w:rPr>
  </w:style>
  <w:style w:type="character" w:styleId="Znakapoznpodarou">
    <w:name w:val="footnote reference"/>
    <w:aliases w:val="EN Footnote Reference,BVI fnr,Footnote symbol,Footnote Reference Superscript,Appel note de bas de p,Appel note de bas de page,Légende,Char Car Car Car Car,Voetnootverwijzing,Légende;Char Car Car Car Car,PGI Fußnote Ziffer"/>
    <w:uiPriority w:val="99"/>
    <w:unhideWhenUsed/>
    <w:rsid w:val="00D24CA8"/>
    <w:rPr>
      <w:vertAlign w:val="superscript"/>
    </w:rPr>
  </w:style>
  <w:style w:type="paragraph" w:styleId="Obsah1">
    <w:name w:val="toc 1"/>
    <w:basedOn w:val="Normln"/>
    <w:next w:val="Normln"/>
    <w:autoRedefine/>
    <w:uiPriority w:val="39"/>
    <w:unhideWhenUsed/>
    <w:rsid w:val="00B967E8"/>
    <w:pPr>
      <w:spacing w:before="120" w:after="120"/>
    </w:pPr>
    <w:rPr>
      <w:b/>
      <w:bCs/>
      <w:caps/>
      <w:sz w:val="20"/>
      <w:szCs w:val="20"/>
    </w:rPr>
  </w:style>
  <w:style w:type="character" w:styleId="Hypertextovodkaz">
    <w:name w:val="Hyperlink"/>
    <w:uiPriority w:val="99"/>
    <w:unhideWhenUsed/>
    <w:rsid w:val="000A7DD0"/>
    <w:rPr>
      <w:color w:val="0000FF"/>
      <w:u w:val="single"/>
    </w:rPr>
  </w:style>
  <w:style w:type="character" w:styleId="Odkaznakoment">
    <w:name w:val="annotation reference"/>
    <w:uiPriority w:val="99"/>
    <w:semiHidden/>
    <w:rsid w:val="000D6D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6D2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D6D27"/>
    <w:rPr>
      <w:b/>
      <w:bCs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0D6D27"/>
    <w:rPr>
      <w:rFonts w:ascii="Tahoma" w:hAnsi="Tahoma"/>
      <w:sz w:val="16"/>
      <w:szCs w:val="16"/>
      <w:lang w:val="x-none" w:eastAsia="x-none"/>
    </w:rPr>
  </w:style>
  <w:style w:type="paragraph" w:styleId="Seznamobrzk">
    <w:name w:val="table of figures"/>
    <w:basedOn w:val="Normln"/>
    <w:next w:val="Normln"/>
    <w:uiPriority w:val="99"/>
    <w:rsid w:val="001A4247"/>
    <w:pPr>
      <w:spacing w:after="0"/>
      <w:ind w:left="440" w:hanging="440"/>
    </w:pPr>
    <w:rPr>
      <w:small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B967E8"/>
    <w:pPr>
      <w:spacing w:after="0"/>
      <w:ind w:left="220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170DA8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70DA8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70DA8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70DA8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70DA8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70DA8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70DA8"/>
    <w:pPr>
      <w:spacing w:after="0"/>
      <w:ind w:left="1760"/>
    </w:pPr>
    <w:rPr>
      <w:sz w:val="18"/>
      <w:szCs w:val="18"/>
    </w:rPr>
  </w:style>
  <w:style w:type="character" w:customStyle="1" w:styleId="Nadpis1Char">
    <w:name w:val="Nadpis 1 Char"/>
    <w:link w:val="Nadpis1"/>
    <w:uiPriority w:val="9"/>
    <w:rsid w:val="00442BB4"/>
    <w:rPr>
      <w:rFonts w:ascii="Calibri" w:hAnsi="Calibri"/>
      <w:b/>
      <w:bCs/>
      <w:sz w:val="28"/>
      <w:szCs w:val="28"/>
      <w:lang w:eastAsia="x-none"/>
    </w:rPr>
  </w:style>
  <w:style w:type="paragraph" w:customStyle="1" w:styleId="N1Report">
    <w:name w:val="N1_Report"/>
    <w:basedOn w:val="slovanseznam"/>
    <w:next w:val="Normln"/>
    <w:link w:val="N1ReportChar"/>
    <w:qFormat/>
    <w:rsid w:val="00433044"/>
    <w:pPr>
      <w:keepNext/>
      <w:pageBreakBefore/>
      <w:numPr>
        <w:numId w:val="6"/>
      </w:numPr>
      <w:spacing w:before="120" w:after="240"/>
    </w:pPr>
    <w:rPr>
      <w:rFonts w:ascii="Cambria" w:hAnsi="Cambria"/>
      <w:b/>
      <w:caps/>
      <w:sz w:val="28"/>
      <w:szCs w:val="20"/>
      <w:lang w:val="x-none" w:eastAsia="x-none"/>
    </w:rPr>
  </w:style>
  <w:style w:type="character" w:customStyle="1" w:styleId="N1ReportChar">
    <w:name w:val="N1_Report Char"/>
    <w:link w:val="N1Report"/>
    <w:rsid w:val="00433044"/>
    <w:rPr>
      <w:rFonts w:ascii="Cambria" w:hAnsi="Cambria"/>
      <w:b/>
      <w:caps/>
      <w:sz w:val="28"/>
      <w:lang w:val="x-none" w:eastAsia="x-none"/>
    </w:rPr>
  </w:style>
  <w:style w:type="paragraph" w:customStyle="1" w:styleId="Poznmka">
    <w:name w:val="Poznámka"/>
    <w:basedOn w:val="Textpoznpodarou"/>
    <w:link w:val="PoznmkaChar"/>
    <w:semiHidden/>
    <w:unhideWhenUsed/>
    <w:rsid w:val="0078072B"/>
    <w:rPr>
      <w:sz w:val="18"/>
      <w:lang w:eastAsia="en-GB"/>
    </w:rPr>
  </w:style>
  <w:style w:type="character" w:customStyle="1" w:styleId="PoznmkaChar">
    <w:name w:val="Poznámka Char"/>
    <w:link w:val="Poznmka"/>
    <w:semiHidden/>
    <w:rsid w:val="00C938C0"/>
    <w:rPr>
      <w:rFonts w:ascii="Arial" w:hAnsi="Arial"/>
      <w:sz w:val="18"/>
      <w:szCs w:val="16"/>
      <w:lang w:eastAsia="en-GB"/>
    </w:rPr>
  </w:style>
  <w:style w:type="paragraph" w:customStyle="1" w:styleId="NorReport">
    <w:name w:val="Nor_Report"/>
    <w:basedOn w:val="Normln"/>
    <w:link w:val="NorReportChar"/>
    <w:qFormat/>
    <w:rsid w:val="00B967E8"/>
    <w:pPr>
      <w:spacing w:before="60" w:after="60"/>
      <w:jc w:val="both"/>
    </w:pPr>
    <w:rPr>
      <w:rFonts w:ascii="Arial" w:hAnsi="Arial"/>
      <w:lang w:val="x-none" w:eastAsia="x-none"/>
    </w:rPr>
  </w:style>
  <w:style w:type="paragraph" w:customStyle="1" w:styleId="N2Report">
    <w:name w:val="N2_Report"/>
    <w:basedOn w:val="Nadpis2"/>
    <w:next w:val="Normln"/>
    <w:link w:val="N2ReportChar"/>
    <w:autoRedefine/>
    <w:qFormat/>
    <w:rsid w:val="00442BB4"/>
    <w:pPr>
      <w:numPr>
        <w:ilvl w:val="1"/>
        <w:numId w:val="7"/>
      </w:numPr>
      <w:spacing w:after="120"/>
      <w:ind w:left="454" w:hanging="170"/>
    </w:pPr>
    <w:rPr>
      <w:rFonts w:ascii="Calibri" w:hAnsi="Calibri"/>
      <w:bCs w:val="0"/>
      <w:color w:val="000000"/>
      <w:lang w:val="cs-CZ"/>
    </w:rPr>
  </w:style>
  <w:style w:type="character" w:customStyle="1" w:styleId="NorReportChar">
    <w:name w:val="Nor_Report Char"/>
    <w:link w:val="NorReport"/>
    <w:rsid w:val="00C938C0"/>
    <w:rPr>
      <w:rFonts w:ascii="Arial" w:hAnsi="Arial" w:cs="Arial"/>
      <w:sz w:val="22"/>
      <w:szCs w:val="22"/>
    </w:rPr>
  </w:style>
  <w:style w:type="paragraph" w:customStyle="1" w:styleId="N3Report">
    <w:name w:val="N3_Report"/>
    <w:basedOn w:val="Nadpis2"/>
    <w:next w:val="Normln"/>
    <w:link w:val="N3ReportChar"/>
    <w:autoRedefine/>
    <w:qFormat/>
    <w:rsid w:val="00442BB4"/>
    <w:pPr>
      <w:numPr>
        <w:ilvl w:val="2"/>
        <w:numId w:val="1"/>
      </w:numPr>
      <w:spacing w:before="120" w:after="120"/>
    </w:pPr>
    <w:rPr>
      <w:rFonts w:ascii="Calibri" w:hAnsi="Calibri"/>
      <w:bCs w:val="0"/>
      <w:smallCaps/>
      <w:color w:val="000000"/>
      <w:sz w:val="24"/>
      <w:szCs w:val="20"/>
    </w:rPr>
  </w:style>
  <w:style w:type="character" w:customStyle="1" w:styleId="Nadpis2Char">
    <w:name w:val="Nadpis 2 Char"/>
    <w:link w:val="Nadpis2"/>
    <w:uiPriority w:val="9"/>
    <w:semiHidden/>
    <w:rsid w:val="00C938C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2ReportChar">
    <w:name w:val="N2_Report Char"/>
    <w:link w:val="N2Report"/>
    <w:rsid w:val="00442BB4"/>
    <w:rPr>
      <w:rFonts w:ascii="Calibri" w:eastAsia="Times New Roman" w:hAnsi="Calibri"/>
      <w:b/>
      <w:color w:val="000000"/>
      <w:sz w:val="26"/>
      <w:szCs w:val="26"/>
      <w:lang w:eastAsia="x-none"/>
    </w:rPr>
  </w:style>
  <w:style w:type="character" w:customStyle="1" w:styleId="Nadpis3Char">
    <w:name w:val="Nadpis 3 Char"/>
    <w:aliases w:val="Report_Nadpis 3 Char"/>
    <w:link w:val="Nadpis3"/>
    <w:uiPriority w:val="9"/>
    <w:semiHidden/>
    <w:rsid w:val="00C938C0"/>
    <w:rPr>
      <w:rFonts w:ascii="Cambria" w:eastAsia="Times New Roman" w:hAnsi="Cambria" w:cs="Times New Roman"/>
      <w:b/>
      <w:bCs/>
      <w:color w:val="4F81BD"/>
    </w:rPr>
  </w:style>
  <w:style w:type="character" w:customStyle="1" w:styleId="N3ReportChar">
    <w:name w:val="N3_Report Char"/>
    <w:link w:val="N3Report"/>
    <w:rsid w:val="00442BB4"/>
    <w:rPr>
      <w:rFonts w:ascii="Calibri" w:eastAsia="Times New Roman" w:hAnsi="Calibri"/>
      <w:b/>
      <w:smallCaps/>
      <w:color w:val="000000"/>
      <w:sz w:val="24"/>
      <w:lang w:val="x-none" w:eastAsia="x-none"/>
    </w:rPr>
  </w:style>
  <w:style w:type="character" w:customStyle="1" w:styleId="TextpoznpodarouChar">
    <w:name w:val="Text pozn. pod čarou Char"/>
    <w:aliases w:val="Schriftart: 9 pt Char,Schriftart: 10 pt Char,Schriftart: 8 pt Char,Footnote Char,Text poznámky pod čiarou 007 Char,Fußnotentextf Char,Geneva 9 Char,Font: Geneva 9 Char,Boston 10 Char,f Char,pozn. pod čarou Char Char,Char1 Char"/>
    <w:link w:val="Textpoznpodarou"/>
    <w:uiPriority w:val="99"/>
    <w:rsid w:val="00C16778"/>
    <w:rPr>
      <w:sz w:val="16"/>
      <w:szCs w:val="16"/>
      <w:lang w:val="x-none" w:eastAsia="x-none"/>
    </w:rPr>
  </w:style>
  <w:style w:type="character" w:customStyle="1" w:styleId="Nadpis4Char">
    <w:name w:val="Nadpis 4 Char"/>
    <w:link w:val="Nadpis4"/>
    <w:uiPriority w:val="9"/>
    <w:semiHidden/>
    <w:rsid w:val="00C938C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"/>
    <w:semiHidden/>
    <w:rsid w:val="00E77C88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link w:val="Nadpis6"/>
    <w:uiPriority w:val="9"/>
    <w:semiHidden/>
    <w:rsid w:val="00E77C88"/>
    <w:rPr>
      <w:rFonts w:ascii="Cambria" w:eastAsia="Times New Roman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"/>
    <w:semiHidden/>
    <w:rsid w:val="00E77C88"/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"/>
    <w:semiHidden/>
    <w:rsid w:val="00E77C88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link w:val="Nadpis9"/>
    <w:uiPriority w:val="9"/>
    <w:semiHidden/>
    <w:rsid w:val="00E77C88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Mkatabulky">
    <w:name w:val="Table Grid"/>
    <w:basedOn w:val="Normlntabulka"/>
    <w:uiPriority w:val="59"/>
    <w:rsid w:val="00E77C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">
    <w:name w:val="Odstavec"/>
    <w:basedOn w:val="Normln"/>
    <w:semiHidden/>
    <w:rsid w:val="00E77C88"/>
    <w:pPr>
      <w:spacing w:before="120"/>
      <w:ind w:firstLine="709"/>
      <w:jc w:val="both"/>
    </w:pPr>
    <w:rPr>
      <w:bCs/>
    </w:rPr>
  </w:style>
  <w:style w:type="character" w:customStyle="1" w:styleId="TextbublinyChar">
    <w:name w:val="Text bubliny Char"/>
    <w:link w:val="Textbubliny"/>
    <w:uiPriority w:val="99"/>
    <w:semiHidden/>
    <w:rsid w:val="00E77C88"/>
    <w:rPr>
      <w:rFonts w:ascii="Tahoma" w:hAnsi="Tahoma" w:cs="Tahoma"/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938C0"/>
  </w:style>
  <w:style w:type="character" w:customStyle="1" w:styleId="PedmtkomenteChar">
    <w:name w:val="Předmět komentáře Char"/>
    <w:link w:val="Pedmtkomente"/>
    <w:uiPriority w:val="99"/>
    <w:semiHidden/>
    <w:rsid w:val="00E77C88"/>
    <w:rPr>
      <w:b/>
      <w:bCs/>
    </w:rPr>
  </w:style>
  <w:style w:type="paragraph" w:styleId="Revize">
    <w:name w:val="Revision"/>
    <w:hidden/>
    <w:uiPriority w:val="99"/>
    <w:semiHidden/>
    <w:rsid w:val="00E77C88"/>
    <w:pPr>
      <w:spacing w:after="200" w:line="276" w:lineRule="auto"/>
    </w:pPr>
    <w:rPr>
      <w:sz w:val="24"/>
      <w:szCs w:val="24"/>
    </w:rPr>
  </w:style>
  <w:style w:type="paragraph" w:customStyle="1" w:styleId="CharChar">
    <w:name w:val="Char Char"/>
    <w:basedOn w:val="Normln"/>
    <w:semiHidden/>
    <w:rsid w:val="00E77C88"/>
    <w:pPr>
      <w:spacing w:after="160" w:line="240" w:lineRule="exact"/>
    </w:pPr>
    <w:rPr>
      <w:rFonts w:ascii="Arial" w:hAnsi="Arial"/>
      <w:szCs w:val="26"/>
      <w:lang w:val="sk-SK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77C88"/>
    <w:pPr>
      <w:outlineLvl w:val="9"/>
    </w:pPr>
  </w:style>
  <w:style w:type="paragraph" w:customStyle="1" w:styleId="TitulekReport">
    <w:name w:val="Titulek_Report"/>
    <w:link w:val="TitulekReportChar"/>
    <w:qFormat/>
    <w:rsid w:val="00FD5592"/>
    <w:pPr>
      <w:keepNext/>
      <w:spacing w:after="200" w:line="276" w:lineRule="auto"/>
    </w:pPr>
    <w:rPr>
      <w:rFonts w:ascii="Arial" w:hAnsi="Arial" w:cs="Arial"/>
      <w:b/>
      <w:sz w:val="22"/>
      <w:szCs w:val="22"/>
    </w:rPr>
  </w:style>
  <w:style w:type="paragraph" w:customStyle="1" w:styleId="TabReport">
    <w:name w:val="Tab_Report"/>
    <w:link w:val="TabReportChar"/>
    <w:autoRedefine/>
    <w:qFormat/>
    <w:rsid w:val="00A926A8"/>
    <w:pPr>
      <w:spacing w:line="276" w:lineRule="auto"/>
    </w:pPr>
    <w:rPr>
      <w:rFonts w:cs="Arial"/>
      <w:b/>
      <w:i/>
      <w:sz w:val="22"/>
      <w:szCs w:val="16"/>
    </w:rPr>
  </w:style>
  <w:style w:type="character" w:customStyle="1" w:styleId="TitulekReportChar">
    <w:name w:val="Titulek_Report Char"/>
    <w:link w:val="TitulekReport"/>
    <w:rsid w:val="00FD5592"/>
    <w:rPr>
      <w:rFonts w:ascii="Arial" w:hAnsi="Arial" w:cs="Arial"/>
      <w:b/>
      <w:sz w:val="22"/>
      <w:szCs w:val="22"/>
      <w:lang w:val="cs-CZ" w:eastAsia="cs-CZ" w:bidi="ar-SA"/>
    </w:rPr>
  </w:style>
  <w:style w:type="character" w:customStyle="1" w:styleId="TabReportChar">
    <w:name w:val="Tab_Report Char"/>
    <w:link w:val="TabReport"/>
    <w:rsid w:val="00A926A8"/>
    <w:rPr>
      <w:rFonts w:ascii="Calibri" w:hAnsi="Calibri" w:cs="Arial"/>
      <w:b/>
      <w:i/>
      <w:sz w:val="22"/>
      <w:szCs w:val="16"/>
    </w:rPr>
  </w:style>
  <w:style w:type="paragraph" w:customStyle="1" w:styleId="N4Report">
    <w:name w:val="N4_Report"/>
    <w:link w:val="N4ReportChar"/>
    <w:qFormat/>
    <w:rsid w:val="00D21800"/>
    <w:pPr>
      <w:keepNext/>
      <w:spacing w:after="200" w:line="276" w:lineRule="auto"/>
    </w:pPr>
    <w:rPr>
      <w:rFonts w:ascii="Arial" w:hAnsi="Arial" w:cs="Arial"/>
      <w:i/>
      <w:iCs/>
      <w:sz w:val="22"/>
      <w:szCs w:val="22"/>
    </w:rPr>
  </w:style>
  <w:style w:type="paragraph" w:styleId="Textvysvtlivek">
    <w:name w:val="endnote text"/>
    <w:basedOn w:val="Normln"/>
    <w:link w:val="TextvysvtlivekChar"/>
    <w:semiHidden/>
    <w:unhideWhenUsed/>
    <w:rsid w:val="00CB129F"/>
    <w:rPr>
      <w:sz w:val="20"/>
      <w:szCs w:val="20"/>
    </w:rPr>
  </w:style>
  <w:style w:type="character" w:customStyle="1" w:styleId="N4ReportChar">
    <w:name w:val="N4_Report Char"/>
    <w:link w:val="N4Report"/>
    <w:rsid w:val="00D21800"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CB129F"/>
  </w:style>
  <w:style w:type="character" w:styleId="Odkaznavysvtlivky">
    <w:name w:val="endnote reference"/>
    <w:semiHidden/>
    <w:unhideWhenUsed/>
    <w:rsid w:val="00CB129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B299B"/>
    <w:pPr>
      <w:tabs>
        <w:tab w:val="center" w:pos="4536"/>
        <w:tab w:val="right" w:pos="9072"/>
      </w:tabs>
    </w:pPr>
    <w:rPr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0B299B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B299B"/>
    <w:pPr>
      <w:tabs>
        <w:tab w:val="center" w:pos="4536"/>
        <w:tab w:val="right" w:pos="9072"/>
      </w:tabs>
    </w:pPr>
    <w:rPr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0B299B"/>
    <w:rPr>
      <w:sz w:val="24"/>
      <w:szCs w:val="24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B299B"/>
    <w:rPr>
      <w:b/>
      <w:bCs/>
      <w:color w:val="4F81BD"/>
      <w:sz w:val="18"/>
      <w:szCs w:val="18"/>
    </w:rPr>
  </w:style>
  <w:style w:type="paragraph" w:styleId="Zkladntext">
    <w:name w:val="Body Text"/>
    <w:basedOn w:val="Normln"/>
    <w:link w:val="ZkladntextChar"/>
    <w:rsid w:val="0064542C"/>
    <w:pPr>
      <w:spacing w:after="60"/>
      <w:ind w:firstLine="709"/>
      <w:jc w:val="both"/>
    </w:pPr>
    <w:rPr>
      <w:szCs w:val="24"/>
      <w:lang w:val="x-none" w:eastAsia="x-none"/>
    </w:rPr>
  </w:style>
  <w:style w:type="character" w:customStyle="1" w:styleId="ZkladntextChar">
    <w:name w:val="Základní text Char"/>
    <w:link w:val="Zkladntext"/>
    <w:rsid w:val="0064542C"/>
    <w:rPr>
      <w:sz w:val="24"/>
      <w:szCs w:val="24"/>
    </w:rPr>
  </w:style>
  <w:style w:type="paragraph" w:customStyle="1" w:styleId="article-perex">
    <w:name w:val="article-perex"/>
    <w:basedOn w:val="Normln"/>
    <w:rsid w:val="0064542C"/>
    <w:pPr>
      <w:spacing w:before="100" w:beforeAutospacing="1" w:after="100" w:afterAutospacing="1"/>
    </w:pPr>
  </w:style>
  <w:style w:type="paragraph" w:customStyle="1" w:styleId="Default">
    <w:name w:val="Default"/>
    <w:rsid w:val="009A3C95"/>
    <w:pPr>
      <w:autoSpaceDE w:val="0"/>
      <w:autoSpaceDN w:val="0"/>
      <w:adjustRightInd w:val="0"/>
      <w:spacing w:after="200" w:line="276" w:lineRule="auto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0A7C41"/>
    <w:pPr>
      <w:spacing w:after="120"/>
      <w:ind w:left="283"/>
    </w:pPr>
    <w:rPr>
      <w:szCs w:val="24"/>
      <w:lang w:val="x-none" w:eastAsia="x-none"/>
    </w:rPr>
  </w:style>
  <w:style w:type="character" w:customStyle="1" w:styleId="ZkladntextodsazenChar">
    <w:name w:val="Základní text odsazený Char"/>
    <w:link w:val="Zkladntextodsazen"/>
    <w:rsid w:val="000A7C41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E95C06"/>
    <w:rPr>
      <w:sz w:val="22"/>
      <w:szCs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E95C06"/>
    <w:pPr>
      <w:ind w:left="720"/>
      <w:contextualSpacing/>
    </w:pPr>
  </w:style>
  <w:style w:type="paragraph" w:styleId="Normlnweb">
    <w:name w:val="Normal (Web)"/>
    <w:basedOn w:val="Normln"/>
    <w:rsid w:val="00E95C06"/>
    <w:pPr>
      <w:spacing w:before="100" w:beforeAutospacing="1" w:after="100" w:afterAutospacing="1"/>
    </w:pPr>
  </w:style>
  <w:style w:type="character" w:styleId="slostrnky">
    <w:name w:val="page number"/>
    <w:uiPriority w:val="99"/>
    <w:unhideWhenUsed/>
    <w:rsid w:val="001A4247"/>
    <w:rPr>
      <w:rFonts w:eastAsia="Times New Roman" w:cs="Times New Roman"/>
      <w:bCs w:val="0"/>
      <w:iCs w:val="0"/>
      <w:szCs w:val="22"/>
      <w:lang w:val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30171"/>
    <w:rPr>
      <w:rFonts w:ascii="Consolas" w:hAnsi="Consolas"/>
      <w:sz w:val="21"/>
      <w:szCs w:val="21"/>
      <w:lang w:val="x-none" w:eastAsia="x-none"/>
    </w:rPr>
  </w:style>
  <w:style w:type="character" w:customStyle="1" w:styleId="ProsttextChar">
    <w:name w:val="Prostý text Char"/>
    <w:link w:val="Prosttext"/>
    <w:uiPriority w:val="99"/>
    <w:semiHidden/>
    <w:rsid w:val="00C30171"/>
    <w:rPr>
      <w:rFonts w:ascii="Consolas" w:hAnsi="Consolas"/>
      <w:sz w:val="21"/>
      <w:szCs w:val="21"/>
    </w:rPr>
  </w:style>
  <w:style w:type="character" w:styleId="Sledovanodkaz">
    <w:name w:val="FollowedHyperlink"/>
    <w:semiHidden/>
    <w:unhideWhenUsed/>
    <w:rsid w:val="00CA6C82"/>
    <w:rPr>
      <w:color w:val="800080"/>
      <w:u w:val="single"/>
    </w:rPr>
  </w:style>
  <w:style w:type="paragraph" w:customStyle="1" w:styleId="Rozvrendokumentu">
    <w:name w:val="Rozvržení dokumentu"/>
    <w:basedOn w:val="Normln"/>
    <w:link w:val="RozvrendokumentuChar"/>
    <w:semiHidden/>
    <w:unhideWhenUsed/>
    <w:rsid w:val="006E1E1D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semiHidden/>
    <w:rsid w:val="006E1E1D"/>
    <w:rPr>
      <w:rFonts w:ascii="Tahoma" w:hAnsi="Tahoma" w:cs="Tahoma"/>
      <w:sz w:val="16"/>
      <w:szCs w:val="16"/>
    </w:rPr>
  </w:style>
  <w:style w:type="character" w:customStyle="1" w:styleId="BezmezerChar">
    <w:name w:val="Bez mezer Char"/>
    <w:link w:val="Bezmezer"/>
    <w:uiPriority w:val="1"/>
    <w:rsid w:val="00701B0A"/>
    <w:rPr>
      <w:sz w:val="22"/>
      <w:szCs w:val="22"/>
      <w:lang w:val="cs-CZ" w:eastAsia="cs-CZ" w:bidi="ar-SA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FD1E5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val="x-none" w:eastAsia="x-none"/>
    </w:rPr>
  </w:style>
  <w:style w:type="character" w:customStyle="1" w:styleId="CitaceintenzivnChar">
    <w:name w:val="Citace – intenzivní Char"/>
    <w:link w:val="Citaceintenzivn"/>
    <w:uiPriority w:val="30"/>
    <w:rsid w:val="00FD1E5E"/>
    <w:rPr>
      <w:b/>
      <w:bCs/>
      <w:i/>
      <w:iCs/>
      <w:color w:val="4F81BD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37134"/>
  </w:style>
  <w:style w:type="paragraph" w:styleId="slovanseznam">
    <w:name w:val="List Number"/>
    <w:basedOn w:val="Normln"/>
    <w:semiHidden/>
    <w:unhideWhenUsed/>
    <w:rsid w:val="00F11B05"/>
    <w:pPr>
      <w:numPr>
        <w:numId w:val="4"/>
      </w:numPr>
      <w:contextualSpacing/>
    </w:pPr>
  </w:style>
  <w:style w:type="paragraph" w:styleId="slovanseznam2">
    <w:name w:val="List Number 2"/>
    <w:basedOn w:val="Normln"/>
    <w:semiHidden/>
    <w:unhideWhenUsed/>
    <w:rsid w:val="00F11B05"/>
    <w:pPr>
      <w:numPr>
        <w:numId w:val="5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Normal Indent" w:semiHidden="1" w:unhideWhenUsed="1"/>
    <w:lsdException w:name="footnote text" w:uiPriority="99" w:qFormat="1"/>
    <w:lsdException w:name="annotation text" w:uiPriority="99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uiPriority="99"/>
    <w:lsdException w:name="envelope address" w:semiHidden="1" w:unhideWhenUsed="1"/>
    <w:lsdException w:name="envelope return" w:semiHidden="1" w:unhideWhenUsed="1"/>
    <w:lsdException w:name="footnote reference" w:uiPriority="99"/>
    <w:lsdException w:name="annotation reference" w:uiPriority="99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B6414"/>
    <w:pPr>
      <w:spacing w:after="200"/>
    </w:pPr>
    <w:rPr>
      <w:sz w:val="24"/>
      <w:szCs w:val="22"/>
      <w:lang w:eastAsia="en-US"/>
    </w:rPr>
  </w:style>
  <w:style w:type="paragraph" w:styleId="Nadpis1">
    <w:name w:val="heading 1"/>
    <w:basedOn w:val="slovanseznam"/>
    <w:next w:val="Normln"/>
    <w:link w:val="Nadpis1Char"/>
    <w:autoRedefine/>
    <w:uiPriority w:val="9"/>
    <w:qFormat/>
    <w:rsid w:val="00442BB4"/>
    <w:pPr>
      <w:keepNext/>
      <w:keepLines/>
      <w:numPr>
        <w:numId w:val="7"/>
      </w:numPr>
      <w:spacing w:before="480" w:after="120"/>
      <w:outlineLvl w:val="0"/>
    </w:pPr>
    <w:rPr>
      <w:b/>
      <w:bCs/>
      <w:sz w:val="28"/>
      <w:szCs w:val="28"/>
      <w:lang w:eastAsia="x-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0593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Nadpis3">
    <w:name w:val="heading 3"/>
    <w:aliases w:val="Report_Nadpis 3"/>
    <w:basedOn w:val="Normln"/>
    <w:link w:val="Nadpis3Char"/>
    <w:uiPriority w:val="9"/>
    <w:semiHidden/>
    <w:unhideWhenUsed/>
    <w:qFormat/>
    <w:rsid w:val="00C938C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7C8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7C88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7C88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7C88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7C88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7C88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Schriftart: 9 pt,Schriftart: 10 pt,Schriftart: 8 pt,Footnote,Text poznámky pod čiarou 007,Fußnotentextf,Geneva 9,Font: Geneva 9,Boston 10,f,pozn. pod čarou Char,pozn. pod čarou,Char1,Char,Text pozn. pod čarou1,Char Char Char1,o"/>
    <w:basedOn w:val="Normln"/>
    <w:link w:val="TextpoznpodarouChar"/>
    <w:autoRedefine/>
    <w:uiPriority w:val="99"/>
    <w:qFormat/>
    <w:rsid w:val="00C16778"/>
    <w:pPr>
      <w:spacing w:after="0"/>
      <w:jc w:val="both"/>
    </w:pPr>
    <w:rPr>
      <w:sz w:val="16"/>
      <w:szCs w:val="16"/>
      <w:lang w:val="x-none" w:eastAsia="x-none"/>
    </w:rPr>
  </w:style>
  <w:style w:type="character" w:styleId="Znakapoznpodarou">
    <w:name w:val="footnote reference"/>
    <w:aliases w:val="EN Footnote Reference,BVI fnr,Footnote symbol,Footnote Reference Superscript,Appel note de bas de p,Appel note de bas de page,Légende,Char Car Car Car Car,Voetnootverwijzing,Légende;Char Car Car Car Car,PGI Fußnote Ziffer"/>
    <w:uiPriority w:val="99"/>
    <w:unhideWhenUsed/>
    <w:rsid w:val="00D24CA8"/>
    <w:rPr>
      <w:vertAlign w:val="superscript"/>
    </w:rPr>
  </w:style>
  <w:style w:type="paragraph" w:styleId="Obsah1">
    <w:name w:val="toc 1"/>
    <w:basedOn w:val="Normln"/>
    <w:next w:val="Normln"/>
    <w:autoRedefine/>
    <w:uiPriority w:val="39"/>
    <w:unhideWhenUsed/>
    <w:rsid w:val="00B967E8"/>
    <w:pPr>
      <w:spacing w:before="120" w:after="120"/>
    </w:pPr>
    <w:rPr>
      <w:b/>
      <w:bCs/>
      <w:caps/>
      <w:sz w:val="20"/>
      <w:szCs w:val="20"/>
    </w:rPr>
  </w:style>
  <w:style w:type="character" w:styleId="Hypertextovodkaz">
    <w:name w:val="Hyperlink"/>
    <w:uiPriority w:val="99"/>
    <w:unhideWhenUsed/>
    <w:rsid w:val="000A7DD0"/>
    <w:rPr>
      <w:color w:val="0000FF"/>
      <w:u w:val="single"/>
    </w:rPr>
  </w:style>
  <w:style w:type="character" w:styleId="Odkaznakoment">
    <w:name w:val="annotation reference"/>
    <w:uiPriority w:val="99"/>
    <w:semiHidden/>
    <w:rsid w:val="000D6D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6D2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D6D27"/>
    <w:rPr>
      <w:b/>
      <w:bCs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0D6D27"/>
    <w:rPr>
      <w:rFonts w:ascii="Tahoma" w:hAnsi="Tahoma"/>
      <w:sz w:val="16"/>
      <w:szCs w:val="16"/>
      <w:lang w:val="x-none" w:eastAsia="x-none"/>
    </w:rPr>
  </w:style>
  <w:style w:type="paragraph" w:styleId="Seznamobrzk">
    <w:name w:val="table of figures"/>
    <w:basedOn w:val="Normln"/>
    <w:next w:val="Normln"/>
    <w:uiPriority w:val="99"/>
    <w:rsid w:val="001A4247"/>
    <w:pPr>
      <w:spacing w:after="0"/>
      <w:ind w:left="440" w:hanging="440"/>
    </w:pPr>
    <w:rPr>
      <w:small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B967E8"/>
    <w:pPr>
      <w:spacing w:after="0"/>
      <w:ind w:left="220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170DA8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70DA8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70DA8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70DA8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70DA8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70DA8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70DA8"/>
    <w:pPr>
      <w:spacing w:after="0"/>
      <w:ind w:left="1760"/>
    </w:pPr>
    <w:rPr>
      <w:sz w:val="18"/>
      <w:szCs w:val="18"/>
    </w:rPr>
  </w:style>
  <w:style w:type="character" w:customStyle="1" w:styleId="Nadpis1Char">
    <w:name w:val="Nadpis 1 Char"/>
    <w:link w:val="Nadpis1"/>
    <w:uiPriority w:val="9"/>
    <w:rsid w:val="00442BB4"/>
    <w:rPr>
      <w:rFonts w:ascii="Calibri" w:hAnsi="Calibri"/>
      <w:b/>
      <w:bCs/>
      <w:sz w:val="28"/>
      <w:szCs w:val="28"/>
      <w:lang w:eastAsia="x-none"/>
    </w:rPr>
  </w:style>
  <w:style w:type="paragraph" w:customStyle="1" w:styleId="N1Report">
    <w:name w:val="N1_Report"/>
    <w:basedOn w:val="slovanseznam"/>
    <w:next w:val="Normln"/>
    <w:link w:val="N1ReportChar"/>
    <w:qFormat/>
    <w:rsid w:val="00433044"/>
    <w:pPr>
      <w:keepNext/>
      <w:pageBreakBefore/>
      <w:numPr>
        <w:numId w:val="6"/>
      </w:numPr>
      <w:spacing w:before="120" w:after="240"/>
    </w:pPr>
    <w:rPr>
      <w:rFonts w:ascii="Cambria" w:hAnsi="Cambria"/>
      <w:b/>
      <w:caps/>
      <w:sz w:val="28"/>
      <w:szCs w:val="20"/>
      <w:lang w:val="x-none" w:eastAsia="x-none"/>
    </w:rPr>
  </w:style>
  <w:style w:type="character" w:customStyle="1" w:styleId="N1ReportChar">
    <w:name w:val="N1_Report Char"/>
    <w:link w:val="N1Report"/>
    <w:rsid w:val="00433044"/>
    <w:rPr>
      <w:rFonts w:ascii="Cambria" w:hAnsi="Cambria"/>
      <w:b/>
      <w:caps/>
      <w:sz w:val="28"/>
      <w:lang w:val="x-none" w:eastAsia="x-none"/>
    </w:rPr>
  </w:style>
  <w:style w:type="paragraph" w:customStyle="1" w:styleId="Poznmka">
    <w:name w:val="Poznámka"/>
    <w:basedOn w:val="Textpoznpodarou"/>
    <w:link w:val="PoznmkaChar"/>
    <w:semiHidden/>
    <w:unhideWhenUsed/>
    <w:rsid w:val="0078072B"/>
    <w:rPr>
      <w:sz w:val="18"/>
      <w:lang w:eastAsia="en-GB"/>
    </w:rPr>
  </w:style>
  <w:style w:type="character" w:customStyle="1" w:styleId="PoznmkaChar">
    <w:name w:val="Poznámka Char"/>
    <w:link w:val="Poznmka"/>
    <w:semiHidden/>
    <w:rsid w:val="00C938C0"/>
    <w:rPr>
      <w:rFonts w:ascii="Arial" w:hAnsi="Arial"/>
      <w:sz w:val="18"/>
      <w:szCs w:val="16"/>
      <w:lang w:eastAsia="en-GB"/>
    </w:rPr>
  </w:style>
  <w:style w:type="paragraph" w:customStyle="1" w:styleId="NorReport">
    <w:name w:val="Nor_Report"/>
    <w:basedOn w:val="Normln"/>
    <w:link w:val="NorReportChar"/>
    <w:qFormat/>
    <w:rsid w:val="00B967E8"/>
    <w:pPr>
      <w:spacing w:before="60" w:after="60"/>
      <w:jc w:val="both"/>
    </w:pPr>
    <w:rPr>
      <w:rFonts w:ascii="Arial" w:hAnsi="Arial"/>
      <w:lang w:val="x-none" w:eastAsia="x-none"/>
    </w:rPr>
  </w:style>
  <w:style w:type="paragraph" w:customStyle="1" w:styleId="N2Report">
    <w:name w:val="N2_Report"/>
    <w:basedOn w:val="Nadpis2"/>
    <w:next w:val="Normln"/>
    <w:link w:val="N2ReportChar"/>
    <w:autoRedefine/>
    <w:qFormat/>
    <w:rsid w:val="00442BB4"/>
    <w:pPr>
      <w:numPr>
        <w:ilvl w:val="1"/>
        <w:numId w:val="7"/>
      </w:numPr>
      <w:spacing w:after="120"/>
      <w:ind w:left="454" w:hanging="170"/>
    </w:pPr>
    <w:rPr>
      <w:rFonts w:ascii="Calibri" w:hAnsi="Calibri"/>
      <w:bCs w:val="0"/>
      <w:color w:val="000000"/>
      <w:lang w:val="cs-CZ"/>
    </w:rPr>
  </w:style>
  <w:style w:type="character" w:customStyle="1" w:styleId="NorReportChar">
    <w:name w:val="Nor_Report Char"/>
    <w:link w:val="NorReport"/>
    <w:rsid w:val="00C938C0"/>
    <w:rPr>
      <w:rFonts w:ascii="Arial" w:hAnsi="Arial" w:cs="Arial"/>
      <w:sz w:val="22"/>
      <w:szCs w:val="22"/>
    </w:rPr>
  </w:style>
  <w:style w:type="paragraph" w:customStyle="1" w:styleId="N3Report">
    <w:name w:val="N3_Report"/>
    <w:basedOn w:val="Nadpis2"/>
    <w:next w:val="Normln"/>
    <w:link w:val="N3ReportChar"/>
    <w:autoRedefine/>
    <w:qFormat/>
    <w:rsid w:val="00442BB4"/>
    <w:pPr>
      <w:numPr>
        <w:ilvl w:val="2"/>
        <w:numId w:val="1"/>
      </w:numPr>
      <w:spacing w:before="120" w:after="120"/>
    </w:pPr>
    <w:rPr>
      <w:rFonts w:ascii="Calibri" w:hAnsi="Calibri"/>
      <w:bCs w:val="0"/>
      <w:smallCaps/>
      <w:color w:val="000000"/>
      <w:sz w:val="24"/>
      <w:szCs w:val="20"/>
    </w:rPr>
  </w:style>
  <w:style w:type="character" w:customStyle="1" w:styleId="Nadpis2Char">
    <w:name w:val="Nadpis 2 Char"/>
    <w:link w:val="Nadpis2"/>
    <w:uiPriority w:val="9"/>
    <w:semiHidden/>
    <w:rsid w:val="00C938C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2ReportChar">
    <w:name w:val="N2_Report Char"/>
    <w:link w:val="N2Report"/>
    <w:rsid w:val="00442BB4"/>
    <w:rPr>
      <w:rFonts w:ascii="Calibri" w:eastAsia="Times New Roman" w:hAnsi="Calibri"/>
      <w:b/>
      <w:color w:val="000000"/>
      <w:sz w:val="26"/>
      <w:szCs w:val="26"/>
      <w:lang w:eastAsia="x-none"/>
    </w:rPr>
  </w:style>
  <w:style w:type="character" w:customStyle="1" w:styleId="Nadpis3Char">
    <w:name w:val="Nadpis 3 Char"/>
    <w:aliases w:val="Report_Nadpis 3 Char"/>
    <w:link w:val="Nadpis3"/>
    <w:uiPriority w:val="9"/>
    <w:semiHidden/>
    <w:rsid w:val="00C938C0"/>
    <w:rPr>
      <w:rFonts w:ascii="Cambria" w:eastAsia="Times New Roman" w:hAnsi="Cambria" w:cs="Times New Roman"/>
      <w:b/>
      <w:bCs/>
      <w:color w:val="4F81BD"/>
    </w:rPr>
  </w:style>
  <w:style w:type="character" w:customStyle="1" w:styleId="N3ReportChar">
    <w:name w:val="N3_Report Char"/>
    <w:link w:val="N3Report"/>
    <w:rsid w:val="00442BB4"/>
    <w:rPr>
      <w:rFonts w:ascii="Calibri" w:eastAsia="Times New Roman" w:hAnsi="Calibri"/>
      <w:b/>
      <w:smallCaps/>
      <w:color w:val="000000"/>
      <w:sz w:val="24"/>
      <w:lang w:val="x-none" w:eastAsia="x-none"/>
    </w:rPr>
  </w:style>
  <w:style w:type="character" w:customStyle="1" w:styleId="TextpoznpodarouChar">
    <w:name w:val="Text pozn. pod čarou Char"/>
    <w:aliases w:val="Schriftart: 9 pt Char,Schriftart: 10 pt Char,Schriftart: 8 pt Char,Footnote Char,Text poznámky pod čiarou 007 Char,Fußnotentextf Char,Geneva 9 Char,Font: Geneva 9 Char,Boston 10 Char,f Char,pozn. pod čarou Char Char,Char1 Char"/>
    <w:link w:val="Textpoznpodarou"/>
    <w:uiPriority w:val="99"/>
    <w:rsid w:val="00C16778"/>
    <w:rPr>
      <w:sz w:val="16"/>
      <w:szCs w:val="16"/>
      <w:lang w:val="x-none" w:eastAsia="x-none"/>
    </w:rPr>
  </w:style>
  <w:style w:type="character" w:customStyle="1" w:styleId="Nadpis4Char">
    <w:name w:val="Nadpis 4 Char"/>
    <w:link w:val="Nadpis4"/>
    <w:uiPriority w:val="9"/>
    <w:semiHidden/>
    <w:rsid w:val="00C938C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"/>
    <w:semiHidden/>
    <w:rsid w:val="00E77C88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link w:val="Nadpis6"/>
    <w:uiPriority w:val="9"/>
    <w:semiHidden/>
    <w:rsid w:val="00E77C88"/>
    <w:rPr>
      <w:rFonts w:ascii="Cambria" w:eastAsia="Times New Roman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"/>
    <w:semiHidden/>
    <w:rsid w:val="00E77C88"/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"/>
    <w:semiHidden/>
    <w:rsid w:val="00E77C88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link w:val="Nadpis9"/>
    <w:uiPriority w:val="9"/>
    <w:semiHidden/>
    <w:rsid w:val="00E77C88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Mkatabulky">
    <w:name w:val="Table Grid"/>
    <w:basedOn w:val="Normlntabulka"/>
    <w:uiPriority w:val="59"/>
    <w:rsid w:val="00E77C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">
    <w:name w:val="Odstavec"/>
    <w:basedOn w:val="Normln"/>
    <w:semiHidden/>
    <w:rsid w:val="00E77C88"/>
    <w:pPr>
      <w:spacing w:before="120"/>
      <w:ind w:firstLine="709"/>
      <w:jc w:val="both"/>
    </w:pPr>
    <w:rPr>
      <w:bCs/>
    </w:rPr>
  </w:style>
  <w:style w:type="character" w:customStyle="1" w:styleId="TextbublinyChar">
    <w:name w:val="Text bubliny Char"/>
    <w:link w:val="Textbubliny"/>
    <w:uiPriority w:val="99"/>
    <w:semiHidden/>
    <w:rsid w:val="00E77C88"/>
    <w:rPr>
      <w:rFonts w:ascii="Tahoma" w:hAnsi="Tahoma" w:cs="Tahoma"/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938C0"/>
  </w:style>
  <w:style w:type="character" w:customStyle="1" w:styleId="PedmtkomenteChar">
    <w:name w:val="Předmět komentáře Char"/>
    <w:link w:val="Pedmtkomente"/>
    <w:uiPriority w:val="99"/>
    <w:semiHidden/>
    <w:rsid w:val="00E77C88"/>
    <w:rPr>
      <w:b/>
      <w:bCs/>
    </w:rPr>
  </w:style>
  <w:style w:type="paragraph" w:styleId="Revize">
    <w:name w:val="Revision"/>
    <w:hidden/>
    <w:uiPriority w:val="99"/>
    <w:semiHidden/>
    <w:rsid w:val="00E77C88"/>
    <w:pPr>
      <w:spacing w:after="200" w:line="276" w:lineRule="auto"/>
    </w:pPr>
    <w:rPr>
      <w:sz w:val="24"/>
      <w:szCs w:val="24"/>
    </w:rPr>
  </w:style>
  <w:style w:type="paragraph" w:customStyle="1" w:styleId="CharChar">
    <w:name w:val="Char Char"/>
    <w:basedOn w:val="Normln"/>
    <w:semiHidden/>
    <w:rsid w:val="00E77C88"/>
    <w:pPr>
      <w:spacing w:after="160" w:line="240" w:lineRule="exact"/>
    </w:pPr>
    <w:rPr>
      <w:rFonts w:ascii="Arial" w:hAnsi="Arial"/>
      <w:szCs w:val="26"/>
      <w:lang w:val="sk-SK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77C88"/>
    <w:pPr>
      <w:outlineLvl w:val="9"/>
    </w:pPr>
  </w:style>
  <w:style w:type="paragraph" w:customStyle="1" w:styleId="TitulekReport">
    <w:name w:val="Titulek_Report"/>
    <w:link w:val="TitulekReportChar"/>
    <w:qFormat/>
    <w:rsid w:val="00FD5592"/>
    <w:pPr>
      <w:keepNext/>
      <w:spacing w:after="200" w:line="276" w:lineRule="auto"/>
    </w:pPr>
    <w:rPr>
      <w:rFonts w:ascii="Arial" w:hAnsi="Arial" w:cs="Arial"/>
      <w:b/>
      <w:sz w:val="22"/>
      <w:szCs w:val="22"/>
    </w:rPr>
  </w:style>
  <w:style w:type="paragraph" w:customStyle="1" w:styleId="TabReport">
    <w:name w:val="Tab_Report"/>
    <w:link w:val="TabReportChar"/>
    <w:autoRedefine/>
    <w:qFormat/>
    <w:rsid w:val="00A926A8"/>
    <w:pPr>
      <w:spacing w:line="276" w:lineRule="auto"/>
    </w:pPr>
    <w:rPr>
      <w:rFonts w:cs="Arial"/>
      <w:b/>
      <w:i/>
      <w:sz w:val="22"/>
      <w:szCs w:val="16"/>
    </w:rPr>
  </w:style>
  <w:style w:type="character" w:customStyle="1" w:styleId="TitulekReportChar">
    <w:name w:val="Titulek_Report Char"/>
    <w:link w:val="TitulekReport"/>
    <w:rsid w:val="00FD5592"/>
    <w:rPr>
      <w:rFonts w:ascii="Arial" w:hAnsi="Arial" w:cs="Arial"/>
      <w:b/>
      <w:sz w:val="22"/>
      <w:szCs w:val="22"/>
      <w:lang w:val="cs-CZ" w:eastAsia="cs-CZ" w:bidi="ar-SA"/>
    </w:rPr>
  </w:style>
  <w:style w:type="character" w:customStyle="1" w:styleId="TabReportChar">
    <w:name w:val="Tab_Report Char"/>
    <w:link w:val="TabReport"/>
    <w:rsid w:val="00A926A8"/>
    <w:rPr>
      <w:rFonts w:ascii="Calibri" w:hAnsi="Calibri" w:cs="Arial"/>
      <w:b/>
      <w:i/>
      <w:sz w:val="22"/>
      <w:szCs w:val="16"/>
    </w:rPr>
  </w:style>
  <w:style w:type="paragraph" w:customStyle="1" w:styleId="N4Report">
    <w:name w:val="N4_Report"/>
    <w:link w:val="N4ReportChar"/>
    <w:qFormat/>
    <w:rsid w:val="00D21800"/>
    <w:pPr>
      <w:keepNext/>
      <w:spacing w:after="200" w:line="276" w:lineRule="auto"/>
    </w:pPr>
    <w:rPr>
      <w:rFonts w:ascii="Arial" w:hAnsi="Arial" w:cs="Arial"/>
      <w:i/>
      <w:iCs/>
      <w:sz w:val="22"/>
      <w:szCs w:val="22"/>
    </w:rPr>
  </w:style>
  <w:style w:type="paragraph" w:styleId="Textvysvtlivek">
    <w:name w:val="endnote text"/>
    <w:basedOn w:val="Normln"/>
    <w:link w:val="TextvysvtlivekChar"/>
    <w:semiHidden/>
    <w:unhideWhenUsed/>
    <w:rsid w:val="00CB129F"/>
    <w:rPr>
      <w:sz w:val="20"/>
      <w:szCs w:val="20"/>
    </w:rPr>
  </w:style>
  <w:style w:type="character" w:customStyle="1" w:styleId="N4ReportChar">
    <w:name w:val="N4_Report Char"/>
    <w:link w:val="N4Report"/>
    <w:rsid w:val="00D21800"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CB129F"/>
  </w:style>
  <w:style w:type="character" w:styleId="Odkaznavysvtlivky">
    <w:name w:val="endnote reference"/>
    <w:semiHidden/>
    <w:unhideWhenUsed/>
    <w:rsid w:val="00CB129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B299B"/>
    <w:pPr>
      <w:tabs>
        <w:tab w:val="center" w:pos="4536"/>
        <w:tab w:val="right" w:pos="9072"/>
      </w:tabs>
    </w:pPr>
    <w:rPr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0B299B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B299B"/>
    <w:pPr>
      <w:tabs>
        <w:tab w:val="center" w:pos="4536"/>
        <w:tab w:val="right" w:pos="9072"/>
      </w:tabs>
    </w:pPr>
    <w:rPr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0B299B"/>
    <w:rPr>
      <w:sz w:val="24"/>
      <w:szCs w:val="24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B299B"/>
    <w:rPr>
      <w:b/>
      <w:bCs/>
      <w:color w:val="4F81BD"/>
      <w:sz w:val="18"/>
      <w:szCs w:val="18"/>
    </w:rPr>
  </w:style>
  <w:style w:type="paragraph" w:styleId="Zkladntext">
    <w:name w:val="Body Text"/>
    <w:basedOn w:val="Normln"/>
    <w:link w:val="ZkladntextChar"/>
    <w:rsid w:val="0064542C"/>
    <w:pPr>
      <w:spacing w:after="60"/>
      <w:ind w:firstLine="709"/>
      <w:jc w:val="both"/>
    </w:pPr>
    <w:rPr>
      <w:szCs w:val="24"/>
      <w:lang w:val="x-none" w:eastAsia="x-none"/>
    </w:rPr>
  </w:style>
  <w:style w:type="character" w:customStyle="1" w:styleId="ZkladntextChar">
    <w:name w:val="Základní text Char"/>
    <w:link w:val="Zkladntext"/>
    <w:rsid w:val="0064542C"/>
    <w:rPr>
      <w:sz w:val="24"/>
      <w:szCs w:val="24"/>
    </w:rPr>
  </w:style>
  <w:style w:type="paragraph" w:customStyle="1" w:styleId="article-perex">
    <w:name w:val="article-perex"/>
    <w:basedOn w:val="Normln"/>
    <w:rsid w:val="0064542C"/>
    <w:pPr>
      <w:spacing w:before="100" w:beforeAutospacing="1" w:after="100" w:afterAutospacing="1"/>
    </w:pPr>
  </w:style>
  <w:style w:type="paragraph" w:customStyle="1" w:styleId="Default">
    <w:name w:val="Default"/>
    <w:rsid w:val="009A3C95"/>
    <w:pPr>
      <w:autoSpaceDE w:val="0"/>
      <w:autoSpaceDN w:val="0"/>
      <w:adjustRightInd w:val="0"/>
      <w:spacing w:after="200" w:line="276" w:lineRule="auto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0A7C41"/>
    <w:pPr>
      <w:spacing w:after="120"/>
      <w:ind w:left="283"/>
    </w:pPr>
    <w:rPr>
      <w:szCs w:val="24"/>
      <w:lang w:val="x-none" w:eastAsia="x-none"/>
    </w:rPr>
  </w:style>
  <w:style w:type="character" w:customStyle="1" w:styleId="ZkladntextodsazenChar">
    <w:name w:val="Základní text odsazený Char"/>
    <w:link w:val="Zkladntextodsazen"/>
    <w:rsid w:val="000A7C41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E95C06"/>
    <w:rPr>
      <w:sz w:val="22"/>
      <w:szCs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E95C06"/>
    <w:pPr>
      <w:ind w:left="720"/>
      <w:contextualSpacing/>
    </w:pPr>
  </w:style>
  <w:style w:type="paragraph" w:styleId="Normlnweb">
    <w:name w:val="Normal (Web)"/>
    <w:basedOn w:val="Normln"/>
    <w:rsid w:val="00E95C06"/>
    <w:pPr>
      <w:spacing w:before="100" w:beforeAutospacing="1" w:after="100" w:afterAutospacing="1"/>
    </w:pPr>
  </w:style>
  <w:style w:type="character" w:styleId="slostrnky">
    <w:name w:val="page number"/>
    <w:uiPriority w:val="99"/>
    <w:unhideWhenUsed/>
    <w:rsid w:val="001A4247"/>
    <w:rPr>
      <w:rFonts w:eastAsia="Times New Roman" w:cs="Times New Roman"/>
      <w:bCs w:val="0"/>
      <w:iCs w:val="0"/>
      <w:szCs w:val="22"/>
      <w:lang w:val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30171"/>
    <w:rPr>
      <w:rFonts w:ascii="Consolas" w:hAnsi="Consolas"/>
      <w:sz w:val="21"/>
      <w:szCs w:val="21"/>
      <w:lang w:val="x-none" w:eastAsia="x-none"/>
    </w:rPr>
  </w:style>
  <w:style w:type="character" w:customStyle="1" w:styleId="ProsttextChar">
    <w:name w:val="Prostý text Char"/>
    <w:link w:val="Prosttext"/>
    <w:uiPriority w:val="99"/>
    <w:semiHidden/>
    <w:rsid w:val="00C30171"/>
    <w:rPr>
      <w:rFonts w:ascii="Consolas" w:hAnsi="Consolas"/>
      <w:sz w:val="21"/>
      <w:szCs w:val="21"/>
    </w:rPr>
  </w:style>
  <w:style w:type="character" w:styleId="Sledovanodkaz">
    <w:name w:val="FollowedHyperlink"/>
    <w:semiHidden/>
    <w:unhideWhenUsed/>
    <w:rsid w:val="00CA6C82"/>
    <w:rPr>
      <w:color w:val="800080"/>
      <w:u w:val="single"/>
    </w:rPr>
  </w:style>
  <w:style w:type="paragraph" w:customStyle="1" w:styleId="Rozvrendokumentu">
    <w:name w:val="Rozvržení dokumentu"/>
    <w:basedOn w:val="Normln"/>
    <w:link w:val="RozvrendokumentuChar"/>
    <w:semiHidden/>
    <w:unhideWhenUsed/>
    <w:rsid w:val="006E1E1D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semiHidden/>
    <w:rsid w:val="006E1E1D"/>
    <w:rPr>
      <w:rFonts w:ascii="Tahoma" w:hAnsi="Tahoma" w:cs="Tahoma"/>
      <w:sz w:val="16"/>
      <w:szCs w:val="16"/>
    </w:rPr>
  </w:style>
  <w:style w:type="character" w:customStyle="1" w:styleId="BezmezerChar">
    <w:name w:val="Bez mezer Char"/>
    <w:link w:val="Bezmezer"/>
    <w:uiPriority w:val="1"/>
    <w:rsid w:val="00701B0A"/>
    <w:rPr>
      <w:sz w:val="22"/>
      <w:szCs w:val="22"/>
      <w:lang w:val="cs-CZ" w:eastAsia="cs-CZ" w:bidi="ar-SA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FD1E5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val="x-none" w:eastAsia="x-none"/>
    </w:rPr>
  </w:style>
  <w:style w:type="character" w:customStyle="1" w:styleId="CitaceintenzivnChar">
    <w:name w:val="Citace – intenzivní Char"/>
    <w:link w:val="Citaceintenzivn"/>
    <w:uiPriority w:val="30"/>
    <w:rsid w:val="00FD1E5E"/>
    <w:rPr>
      <w:b/>
      <w:bCs/>
      <w:i/>
      <w:iCs/>
      <w:color w:val="4F81BD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37134"/>
  </w:style>
  <w:style w:type="paragraph" w:styleId="slovanseznam">
    <w:name w:val="List Number"/>
    <w:basedOn w:val="Normln"/>
    <w:semiHidden/>
    <w:unhideWhenUsed/>
    <w:rsid w:val="00F11B05"/>
    <w:pPr>
      <w:numPr>
        <w:numId w:val="4"/>
      </w:numPr>
      <w:contextualSpacing/>
    </w:pPr>
  </w:style>
  <w:style w:type="paragraph" w:styleId="slovanseznam2">
    <w:name w:val="List Number 2"/>
    <w:basedOn w:val="Normln"/>
    <w:semiHidden/>
    <w:unhideWhenUsed/>
    <w:rsid w:val="00F11B05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1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9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1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8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4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9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0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219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0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13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4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3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4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0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2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8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1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0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2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4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1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8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9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3772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2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4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5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39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81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81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078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247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355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00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951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9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5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2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8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4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1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2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4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150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9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7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0644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09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172372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28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261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8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6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53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82364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01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31382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892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13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7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chart" Target="charts/chart2.xml"/><Relationship Id="rId3" Type="http://schemas.openxmlformats.org/officeDocument/2006/relationships/numbering" Target="numbering.xml"/><Relationship Id="rId21" Type="http://schemas.openxmlformats.org/officeDocument/2006/relationships/header" Target="header4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chart" Target="charts/chart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chart" Target="charts/chart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chart" Target="charts/chart3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teslarovaj\Documents\Projects\agenda%20FA\Strategie%20do&#269;erp&#225;n&#237;%20alokace%20OP%20VaVpI\aktualizace%20k%20b&#345;eznu%202015\OPRAVA\P&#345;ehled%20o%20podan&#253;ch%20S&#381;oP%20nov&#253;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teslarovaj\Documents\Projects\agenda%20FA\Strategie%20do&#269;erp&#225;n&#237;%20alokace%20OP%20VaVpI\aktualizace%20k%20b&#345;eznu%202015\OPRAVA\P&#345;ehled%20o%20podan&#253;ch%20S&#381;oP%20nov&#253;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teslarovaj\Documents\Projects\agenda%20FA\Strategie%20do&#269;erp&#225;n&#237;%20alokace%20OP%20VaVpI\aktualizace%20k%20b&#345;eznu%202015\OPRAVA\Strategie%20do&#269;erp&#225;n&#237;%20alokace%20OP%20VaVpI%20-%20oprava\tabulka%20&#269;.%201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teslarovaj\Documents\Projects\agenda%20FA\Strategie%20do&#269;erp&#225;n&#237;%20alokace%20OP%20VaVpI\aktualizace%20k%20b&#345;eznu%202015\OPRAVA\Strategie%20do&#269;erp&#225;n&#237;%20alokace%20OP%20VaVpI%20-%20oprava\tabulka%20&#269;.%201.xlsx" TargetMode="External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11"/>
    </mc:Choice>
    <mc:Fallback>
      <c:style val="11"/>
    </mc:Fallback>
  </mc:AlternateContent>
  <c:clrMapOvr bg1="lt1" tx1="dk1" bg2="lt2" tx2="dk2" accent1="accent1" accent2="accent2" accent3="accent3" accent4="accent4" accent5="accent5" accent6="accent6" hlink="hlink" folHlink="folHlink"/>
  <c:pivotSource>
    <c:name>[Přehled o podaných SŽoP nový.xlsx]grafy!Kontingenční tabulka 2</c:name>
    <c:fmtId val="-1"/>
  </c:pivotSource>
  <c:chart>
    <c:autoTitleDeleted val="1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</c:pivotFmt>
      <c:pivotFmt>
        <c:idx val="7"/>
        <c:dLbl>
          <c:idx val="0"/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8"/>
        <c:dLbl>
          <c:idx val="0"/>
          <c:layout>
            <c:manualLayout>
              <c:x val="2.6533996683250415E-2"/>
              <c:y val="-4.1666680336837382E-3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9"/>
        <c:dLbl>
          <c:idx val="0"/>
          <c:layout>
            <c:manualLayout>
              <c:x val="2.4322830292979547E-2"/>
              <c:y val="-8.3333360673674764E-3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10"/>
        <c:dLbl>
          <c:idx val="0"/>
          <c:layout>
            <c:manualLayout>
              <c:x val="2.2111663902708679E-2"/>
              <c:y val="-4.1666680336837382E-3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11"/>
        <c:dLbl>
          <c:idx val="0"/>
          <c:layout>
            <c:manualLayout>
              <c:x val="2.6533996683250415E-2"/>
              <c:y val="0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12"/>
        <c:dLbl>
          <c:idx val="0"/>
          <c:layout>
            <c:manualLayout>
              <c:x val="1.9900497512437811E-2"/>
              <c:y val="-8.3333360673674764E-3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13"/>
        <c:dLbl>
          <c:idx val="0"/>
          <c:layout>
            <c:manualLayout>
              <c:x val="2.4322830292979547E-2"/>
              <c:y val="-8.3333360673674764E-3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14"/>
        <c:dLbl>
          <c:idx val="0"/>
          <c:layout>
            <c:manualLayout>
              <c:x val="5.4593184879109656E-2"/>
              <c:y val="-1.4732965009208104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15"/>
        <c:dLbl>
          <c:idx val="0"/>
          <c:layout>
            <c:manualLayout>
              <c:x val="3.3595806079452097E-2"/>
              <c:y val="-1.2277470841006752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16"/>
        <c:dLbl>
          <c:idx val="0"/>
          <c:layout>
            <c:manualLayout>
              <c:x val="3.5695543959417854E-2"/>
              <c:y val="-1.2277470841006752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17"/>
        <c:dLbl>
          <c:idx val="0"/>
          <c:layout>
            <c:manualLayout>
              <c:x val="3.1496068199486339E-2"/>
              <c:y val="-1.4732965009208104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18"/>
        <c:dLbl>
          <c:idx val="0"/>
          <c:layout>
            <c:manualLayout>
              <c:x val="3.3595806079452097E-2"/>
              <c:y val="-1.2277470841006752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19"/>
        <c:dLbl>
          <c:idx val="0"/>
          <c:layout>
            <c:manualLayout>
              <c:x val="5.8792660639041171E-2"/>
              <c:y val="-4.9109883364027006E-3"/>
            </c:manualLayout>
          </c:layout>
          <c:tx>
            <c:rich>
              <a:bodyPr/>
              <a:lstStyle/>
              <a:p>
                <a:r>
                  <a:rPr lang="en-US" sz="1000">
                    <a:solidFill>
                      <a:schemeClr val="tx1"/>
                    </a:solidFill>
                  </a:rPr>
                  <a:t>72,03</a:t>
                </a:r>
                <a:endParaRPr lang="en-US" sz="1000"/>
              </a:p>
            </c:rich>
          </c:tx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20"/>
        <c:spPr>
          <a:effectLst>
            <a:outerShdw blurRad="40000" dist="127000" dir="5400000" rotWithShape="0">
              <a:srgbClr val="000000">
                <a:alpha val="38000"/>
              </a:srgbClr>
            </a:outerShdw>
          </a:effectLst>
        </c:spPr>
        <c:marker>
          <c:symbol val="none"/>
        </c:marker>
        <c:dLbl>
          <c:idx val="0"/>
          <c:spPr/>
          <c:txPr>
            <a:bodyPr/>
            <a:lstStyle/>
            <a:p>
              <a:pPr>
                <a:defRPr sz="1000" b="1">
                  <a:solidFill>
                    <a:schemeClr val="tx1"/>
                  </a:solidFill>
                </a:defRPr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21"/>
        <c:marker>
          <c:symbol val="none"/>
        </c:marker>
        <c:dLbl>
          <c:idx val="0"/>
          <c:numFmt formatCode="#,##0.00" sourceLinked="0"/>
          <c:spPr/>
          <c:txPr>
            <a:bodyPr/>
            <a:lstStyle/>
            <a:p>
              <a:pPr>
                <a:defRPr sz="1000" b="1">
                  <a:solidFill>
                    <a:schemeClr val="tx1"/>
                  </a:solidFill>
                </a:defRPr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22"/>
        <c:dLbl>
          <c:idx val="0"/>
          <c:layout>
            <c:manualLayout>
              <c:x val="6.0892398519006928E-2"/>
              <c:y val="-1.2277470841006752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23"/>
        <c:dLbl>
          <c:idx val="0"/>
          <c:layout>
            <c:manualLayout>
              <c:x val="3.7795281839383611E-2"/>
              <c:y val="-1.4732965009208104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24"/>
        <c:dLbl>
          <c:idx val="0"/>
          <c:layout>
            <c:manualLayout>
              <c:x val="3.7795281839383611E-2"/>
              <c:y val="-1.4732965009208059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25"/>
        <c:dLbl>
          <c:idx val="0"/>
          <c:layout>
            <c:manualLayout>
              <c:x val="5.0393709119178148E-2"/>
              <c:y val="-9.8219766728054013E-3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26"/>
        <c:dLbl>
          <c:idx val="0"/>
          <c:layout>
            <c:manualLayout>
              <c:x val="5.6692922759075413E-2"/>
              <c:y val="-1.4732965009208104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27"/>
        <c:dLbl>
          <c:idx val="0"/>
          <c:layout>
            <c:manualLayout>
              <c:x val="6.2992136398972678E-2"/>
              <c:y val="-1.227766418700425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28"/>
        <c:spPr>
          <a:effectLst>
            <a:outerShdw blurRad="40000" dist="127000" dir="5400000" rotWithShape="0">
              <a:srgbClr val="000000">
                <a:alpha val="38000"/>
              </a:srgbClr>
            </a:outerShdw>
          </a:effectLst>
        </c:spPr>
        <c:marker>
          <c:symbol val="none"/>
        </c:marker>
        <c:dLbl>
          <c:idx val="0"/>
          <c:spPr/>
          <c:txPr>
            <a:bodyPr/>
            <a:lstStyle/>
            <a:p>
              <a:pPr>
                <a:defRPr sz="1000" b="1">
                  <a:solidFill>
                    <a:schemeClr val="tx1"/>
                  </a:solidFill>
                </a:defRPr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29"/>
        <c:dLbl>
          <c:idx val="0"/>
          <c:layout>
            <c:manualLayout>
              <c:x val="5.4593184879109656E-2"/>
              <c:y val="-1.4732965009208104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30"/>
        <c:dLbl>
          <c:idx val="0"/>
          <c:layout>
            <c:manualLayout>
              <c:x val="3.3595806079452097E-2"/>
              <c:y val="-1.2277470841006752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31"/>
        <c:dLbl>
          <c:idx val="0"/>
          <c:layout>
            <c:manualLayout>
              <c:x val="3.5695543959417854E-2"/>
              <c:y val="-1.2277470841006752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32"/>
        <c:dLbl>
          <c:idx val="0"/>
          <c:layout>
            <c:manualLayout>
              <c:x val="3.1496068199486339E-2"/>
              <c:y val="-1.4732965009208104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33"/>
        <c:dLbl>
          <c:idx val="0"/>
          <c:layout>
            <c:manualLayout>
              <c:x val="3.3595806079452097E-2"/>
              <c:y val="-1.2277470841006752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34"/>
        <c:dLbl>
          <c:idx val="0"/>
          <c:layout>
            <c:manualLayout>
              <c:x val="5.8792660639041171E-2"/>
              <c:y val="-4.9109883364027006E-3"/>
            </c:manualLayout>
          </c:layout>
          <c:tx>
            <c:rich>
              <a:bodyPr/>
              <a:lstStyle/>
              <a:p>
                <a:r>
                  <a:rPr lang="en-US" sz="1000">
                    <a:solidFill>
                      <a:schemeClr val="tx1"/>
                    </a:solidFill>
                  </a:rPr>
                  <a:t>72,03</a:t>
                </a:r>
                <a:endParaRPr lang="en-US" sz="1000"/>
              </a:p>
            </c:rich>
          </c:tx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35"/>
        <c:marker>
          <c:symbol val="none"/>
        </c:marker>
        <c:dLbl>
          <c:idx val="0"/>
          <c:numFmt formatCode="#,##0.00" sourceLinked="0"/>
          <c:spPr/>
          <c:txPr>
            <a:bodyPr/>
            <a:lstStyle/>
            <a:p>
              <a:pPr>
                <a:defRPr sz="1000" b="1">
                  <a:solidFill>
                    <a:schemeClr val="tx1"/>
                  </a:solidFill>
                </a:defRPr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36"/>
        <c:dLbl>
          <c:idx val="0"/>
          <c:layout>
            <c:manualLayout>
              <c:x val="6.2992136398972678E-2"/>
              <c:y val="-1.227766418700425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37"/>
        <c:dLbl>
          <c:idx val="0"/>
          <c:layout>
            <c:manualLayout>
              <c:x val="5.6692922759075413E-2"/>
              <c:y val="-1.4732965009208104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38"/>
        <c:dLbl>
          <c:idx val="0"/>
          <c:layout>
            <c:manualLayout>
              <c:x val="5.0393709119178148E-2"/>
              <c:y val="-9.8219766728054013E-3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39"/>
        <c:dLbl>
          <c:idx val="0"/>
          <c:layout>
            <c:manualLayout>
              <c:x val="3.7795281839383611E-2"/>
              <c:y val="-1.4732965009208059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40"/>
        <c:dLbl>
          <c:idx val="0"/>
          <c:layout>
            <c:manualLayout>
              <c:x val="3.7795281839383611E-2"/>
              <c:y val="-1.4732965009208104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41"/>
        <c:dLbl>
          <c:idx val="0"/>
          <c:layout>
            <c:manualLayout>
              <c:x val="6.0892398519006928E-2"/>
              <c:y val="-1.2277470841006752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42"/>
        <c:spPr>
          <a:effectLst>
            <a:outerShdw blurRad="40000" dist="127000" dir="5400000" rotWithShape="0">
              <a:srgbClr val="000000">
                <a:alpha val="38000"/>
              </a:srgbClr>
            </a:outerShdw>
          </a:effectLst>
        </c:spPr>
        <c:marker>
          <c:symbol val="none"/>
        </c:marker>
        <c:dLbl>
          <c:idx val="0"/>
          <c:spPr/>
          <c:txPr>
            <a:bodyPr/>
            <a:lstStyle/>
            <a:p>
              <a:pPr>
                <a:defRPr sz="1000" b="1">
                  <a:solidFill>
                    <a:schemeClr val="tx1"/>
                  </a:solidFill>
                </a:defRPr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43"/>
        <c:dLbl>
          <c:idx val="0"/>
          <c:layout>
            <c:manualLayout>
              <c:x val="5.4593184879109656E-2"/>
              <c:y val="-1.4732965009208104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44"/>
        <c:dLbl>
          <c:idx val="0"/>
          <c:layout>
            <c:manualLayout>
              <c:x val="3.3595806079452097E-2"/>
              <c:y val="-1.2277470841006752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45"/>
        <c:dLbl>
          <c:idx val="0"/>
          <c:layout>
            <c:manualLayout>
              <c:x val="3.5695543959417854E-2"/>
              <c:y val="-1.2277470841006752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46"/>
        <c:dLbl>
          <c:idx val="0"/>
          <c:layout>
            <c:manualLayout>
              <c:x val="3.1496068199486339E-2"/>
              <c:y val="-1.4732965009208104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47"/>
        <c:dLbl>
          <c:idx val="0"/>
          <c:layout>
            <c:manualLayout>
              <c:x val="3.3595806079452097E-2"/>
              <c:y val="-1.2277470841006752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48"/>
        <c:dLbl>
          <c:idx val="0"/>
          <c:layout>
            <c:manualLayout>
              <c:x val="5.8792660639041171E-2"/>
              <c:y val="-4.9109883364027006E-3"/>
            </c:manualLayout>
          </c:layout>
          <c:tx>
            <c:rich>
              <a:bodyPr/>
              <a:lstStyle/>
              <a:p>
                <a:r>
                  <a:rPr lang="en-US" sz="1000">
                    <a:solidFill>
                      <a:schemeClr val="tx1"/>
                    </a:solidFill>
                  </a:rPr>
                  <a:t>72,03</a:t>
                </a:r>
                <a:endParaRPr lang="en-US" sz="1000"/>
              </a:p>
            </c:rich>
          </c:tx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49"/>
        <c:marker>
          <c:symbol val="none"/>
        </c:marker>
        <c:dLbl>
          <c:idx val="0"/>
          <c:numFmt formatCode="#,##0.00" sourceLinked="0"/>
          <c:spPr/>
          <c:txPr>
            <a:bodyPr/>
            <a:lstStyle/>
            <a:p>
              <a:pPr>
                <a:defRPr sz="1000" b="1">
                  <a:solidFill>
                    <a:schemeClr val="tx1"/>
                  </a:solidFill>
                </a:defRPr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50"/>
        <c:dLbl>
          <c:idx val="0"/>
          <c:layout>
            <c:manualLayout>
              <c:x val="6.2992136398972678E-2"/>
              <c:y val="-1.227766418700425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51"/>
        <c:dLbl>
          <c:idx val="0"/>
          <c:layout>
            <c:manualLayout>
              <c:x val="5.6692922759075413E-2"/>
              <c:y val="-1.4732965009208104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52"/>
        <c:dLbl>
          <c:idx val="0"/>
          <c:layout>
            <c:manualLayout>
              <c:x val="5.0393709119178148E-2"/>
              <c:y val="-9.8219766728054013E-3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53"/>
        <c:dLbl>
          <c:idx val="0"/>
          <c:layout>
            <c:manualLayout>
              <c:x val="3.7795281839383611E-2"/>
              <c:y val="-1.4732965009208059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54"/>
        <c:dLbl>
          <c:idx val="0"/>
          <c:layout>
            <c:manualLayout>
              <c:x val="3.7795281839383611E-2"/>
              <c:y val="-1.4732965009208104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55"/>
        <c:dLbl>
          <c:idx val="0"/>
          <c:layout>
            <c:manualLayout>
              <c:x val="6.0892398519006928E-2"/>
              <c:y val="-1.2277470841006752E-2"/>
            </c:manualLayout>
          </c:layout>
          <c:showLegendKey val="0"/>
          <c:showVal val="1"/>
          <c:showCatName val="0"/>
          <c:showSerName val="0"/>
          <c:showPercent val="0"/>
          <c:showBubbleSize val="0"/>
        </c:dLbl>
      </c:pivotFmt>
    </c:pivotFmts>
    <c:view3D>
      <c:rotX val="20"/>
      <c:rotY val="100"/>
      <c:depthPercent val="100"/>
      <c:rAngAx val="1"/>
    </c:view3D>
    <c:floor>
      <c:thickness val="0"/>
      <c:spPr>
        <a:ln w="22225"/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5248646244800802E-2"/>
          <c:y val="2.0752928272025697E-2"/>
          <c:w val="0.82163366004212979"/>
          <c:h val="0.85146773320001667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grafy!$B$1</c:f>
              <c:strCache>
                <c:ptCount val="1"/>
                <c:pt idx="0">
                  <c:v>SŽoP zaúčtované ze strany PCO v mil. CZK (EU podíl)</c:v>
                </c:pt>
              </c:strCache>
            </c:strRef>
          </c:tx>
          <c:spPr>
            <a:effectLst>
              <a:outerShdw blurRad="40000" dist="127000" dir="5400000" rotWithShape="0">
                <a:srgbClr val="000000">
                  <a:alpha val="38000"/>
                </a:srgbClr>
              </a:outerShdw>
            </a:effectLst>
          </c:spPr>
          <c:invertIfNegative val="0"/>
          <c:dLbls>
            <c:dLbl>
              <c:idx val="0"/>
              <c:layout>
                <c:manualLayout>
                  <c:x val="5.4593184879109656E-2"/>
                  <c:y val="-1.47329650092081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3595806079452097E-2"/>
                  <c:y val="-1.22774708410067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3.5695543959417854E-2"/>
                  <c:y val="-1.22774708410067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3.1496068199486339E-2"/>
                  <c:y val="-1.47329650092081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3.3595806079452097E-2"/>
                  <c:y val="-1.22774708410067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5.8792660639041171E-2"/>
                  <c:y val="-4.9109883364027006E-3"/>
                </c:manualLayout>
              </c:layout>
              <c:tx>
                <c:rich>
                  <a:bodyPr/>
                  <a:lstStyle/>
                  <a:p>
                    <a:r>
                      <a:rPr lang="en-US" sz="1000">
                        <a:solidFill>
                          <a:schemeClr val="tx1"/>
                        </a:solidFill>
                      </a:rPr>
                      <a:t>72,03</a:t>
                    </a:r>
                    <a:endParaRPr lang="en-US" sz="100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000" b="1">
                    <a:solidFill>
                      <a:schemeClr val="tx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grafy!$A$2:$A$8</c:f>
              <c:strCache>
                <c:ptCount val="6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</c:strCache>
            </c:strRef>
          </c:cat>
          <c:val>
            <c:numRef>
              <c:f>grafy!$B$2:$B$8</c:f>
              <c:numCache>
                <c:formatCode>#,##0.00</c:formatCode>
                <c:ptCount val="6"/>
                <c:pt idx="0">
                  <c:v>75880464.690000042</c:v>
                </c:pt>
                <c:pt idx="1">
                  <c:v>1237329168.8199992</c:v>
                </c:pt>
                <c:pt idx="2">
                  <c:v>5703673809.0800028</c:v>
                </c:pt>
                <c:pt idx="3">
                  <c:v>12511268222.350006</c:v>
                </c:pt>
                <c:pt idx="4">
                  <c:v>13771780419.789986</c:v>
                </c:pt>
                <c:pt idx="5">
                  <c:v>72032659.060000017</c:v>
                </c:pt>
              </c:numCache>
            </c:numRef>
          </c:val>
        </c:ser>
        <c:ser>
          <c:idx val="1"/>
          <c:order val="1"/>
          <c:tx>
            <c:strRef>
              <c:f>grafy!$C$1</c:f>
              <c:strCache>
                <c:ptCount val="1"/>
                <c:pt idx="0">
                  <c:v>SŽoP zaúčtované ze strany PCO v mil. EUR (EU podíl)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6.2992136398972678E-2"/>
                  <c:y val="-1.227766418700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6692922759075413E-2"/>
                  <c:y val="-1.47329650092081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5.0393709119178148E-2"/>
                  <c:y val="-9.821976672805401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3.7795281839383611E-2"/>
                  <c:y val="-1.47329650092080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3.7795281839383611E-2"/>
                  <c:y val="-1.47329650092081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6.0892398519006928E-2"/>
                  <c:y val="-1.22774708410067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0" sourceLinked="0"/>
            <c:txPr>
              <a:bodyPr/>
              <a:lstStyle/>
              <a:p>
                <a:pPr>
                  <a:defRPr sz="1000" b="1">
                    <a:solidFill>
                      <a:schemeClr val="tx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grafy!$A$2:$A$8</c:f>
              <c:strCache>
                <c:ptCount val="6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</c:strCache>
            </c:strRef>
          </c:cat>
          <c:val>
            <c:numRef>
              <c:f>grafy!$C$2:$C$8</c:f>
              <c:numCache>
                <c:formatCode>#,##0.00</c:formatCode>
                <c:ptCount val="6"/>
                <c:pt idx="0">
                  <c:v>3061480.6600000006</c:v>
                </c:pt>
                <c:pt idx="1">
                  <c:v>50301041.729999982</c:v>
                </c:pt>
                <c:pt idx="2">
                  <c:v>226085020.03999993</c:v>
                </c:pt>
                <c:pt idx="3">
                  <c:v>485776406.71000004</c:v>
                </c:pt>
                <c:pt idx="4">
                  <c:v>499540606.04000026</c:v>
                </c:pt>
                <c:pt idx="5">
                  <c:v>2615459.6800000002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1"/>
        <c:shape val="box"/>
        <c:axId val="43873408"/>
        <c:axId val="126633856"/>
        <c:axId val="0"/>
      </c:bar3DChart>
      <c:catAx>
        <c:axId val="43873408"/>
        <c:scaling>
          <c:orientation val="minMax"/>
        </c:scaling>
        <c:delete val="0"/>
        <c:axPos val="l"/>
        <c:majorTickMark val="out"/>
        <c:minorTickMark val="none"/>
        <c:tickLblPos val="nextTo"/>
        <c:crossAx val="126633856"/>
        <c:crosses val="autoZero"/>
        <c:auto val="1"/>
        <c:lblAlgn val="ctr"/>
        <c:lblOffset val="100"/>
        <c:noMultiLvlLbl val="0"/>
      </c:catAx>
      <c:valAx>
        <c:axId val="126633856"/>
        <c:scaling>
          <c:orientation val="minMax"/>
        </c:scaling>
        <c:delete val="0"/>
        <c:axPos val="b"/>
        <c:majorGridlines/>
        <c:numFmt formatCode="#,##0" sourceLinked="0"/>
        <c:majorTickMark val="out"/>
        <c:minorTickMark val="none"/>
        <c:tickLblPos val="nextTo"/>
        <c:crossAx val="43873408"/>
        <c:crosses val="autoZero"/>
        <c:crossBetween val="between"/>
        <c:dispUnits>
          <c:builtInUnit val="millions"/>
        </c:dispUnits>
      </c:valAx>
      <c:spPr>
        <a:ln w="6350"/>
      </c:spPr>
    </c:plotArea>
    <c:legend>
      <c:legendPos val="b"/>
      <c:layout>
        <c:manualLayout>
          <c:xMode val="edge"/>
          <c:yMode val="edge"/>
          <c:x val="1.220476776072379E-2"/>
          <c:y val="0.9203099129747988"/>
          <c:w val="0.97813337167263137"/>
          <c:h val="6.4958404480015539E-2"/>
        </c:manualLayout>
      </c:layout>
      <c:overlay val="0"/>
      <c:txPr>
        <a:bodyPr/>
        <a:lstStyle/>
        <a:p>
          <a:pPr>
            <a:defRPr sz="900"/>
          </a:pPr>
          <a:endParaRPr lang="cs-CZ"/>
        </a:p>
      </c:txPr>
    </c:legend>
    <c:plotVisOnly val="1"/>
    <c:dispBlanksAs val="gap"/>
    <c:showDLblsOverMax val="0"/>
  </c:chart>
  <c:externalData r:id="rId2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Series val="1"/>
      </c14:pivotOptions>
    </c:ext>
  </c:extLst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9.2386726815225487E-2"/>
          <c:y val="5.0925925925925923E-2"/>
          <c:w val="0.60419491673896319"/>
          <c:h val="0.8330941965587634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grafy!$B$27</c:f>
              <c:strCache>
                <c:ptCount val="1"/>
                <c:pt idx="0">
                  <c:v>vyčerpáno/certifikováno z celkové alokace do konce roku 2014</c:v>
                </c:pt>
              </c:strCache>
            </c:strRef>
          </c:tx>
          <c:invertIfNegative val="0"/>
          <c:dLbls>
            <c:numFmt formatCode="#,##0.00" sourceLinked="0"/>
            <c:txPr>
              <a:bodyPr/>
              <a:lstStyle/>
              <a:p>
                <a:pPr>
                  <a:defRPr sz="105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errBars>
            <c:errBarType val="both"/>
            <c:errValType val="stdDev"/>
            <c:noEndCap val="0"/>
            <c:val val="1"/>
          </c:errBars>
          <c:cat>
            <c:strLit>
              <c:ptCount val="1"/>
              <c:pt idx="0">
                <c:v>OP VaVpI</c:v>
              </c:pt>
            </c:strLit>
          </c:cat>
          <c:val>
            <c:numRef>
              <c:f>grafy!$C$27</c:f>
              <c:numCache>
                <c:formatCode>#,##0.00</c:formatCode>
                <c:ptCount val="1"/>
                <c:pt idx="0">
                  <c:v>1259360539.6400001</c:v>
                </c:pt>
              </c:numCache>
            </c:numRef>
          </c:val>
        </c:ser>
        <c:ser>
          <c:idx val="1"/>
          <c:order val="1"/>
          <c:tx>
            <c:strRef>
              <c:f>grafy!$B$28</c:f>
              <c:strCache>
                <c:ptCount val="1"/>
                <c:pt idx="0">
                  <c:v>zbývá certifikovat do konce období v letech 2015 a 2016</c:v>
                </c:pt>
              </c:strCache>
            </c:strRef>
          </c:tx>
          <c:spPr>
            <a:solidFill>
              <a:srgbClr val="FF0066"/>
            </a:solidFill>
          </c:spPr>
          <c:invertIfNegative val="0"/>
          <c:dLbls>
            <c:numFmt formatCode="#,##0.00" sourceLinked="0"/>
            <c:spPr>
              <a:noFill/>
            </c:spPr>
            <c:txPr>
              <a:bodyPr/>
              <a:lstStyle/>
              <a:p>
                <a:pPr>
                  <a:defRPr sz="105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errBars>
            <c:errBarType val="both"/>
            <c:errValType val="stdDev"/>
            <c:noEndCap val="0"/>
            <c:val val="1"/>
          </c:errBars>
          <c:cat>
            <c:strLit>
              <c:ptCount val="1"/>
              <c:pt idx="0">
                <c:v>OP VaVpI</c:v>
              </c:pt>
            </c:strLit>
          </c:cat>
          <c:val>
            <c:numRef>
              <c:f>grafy!$C$28</c:f>
              <c:numCache>
                <c:formatCode>#,##0.00</c:formatCode>
                <c:ptCount val="1"/>
                <c:pt idx="0">
                  <c:v>568792191.3599999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serLines/>
        <c:axId val="175474176"/>
        <c:axId val="175747072"/>
      </c:barChart>
      <c:catAx>
        <c:axId val="175474176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sz="1050" b="1"/>
            </a:pPr>
            <a:endParaRPr lang="cs-CZ"/>
          </a:p>
        </c:txPr>
        <c:crossAx val="175747072"/>
        <c:crosses val="autoZero"/>
        <c:auto val="1"/>
        <c:lblAlgn val="ctr"/>
        <c:lblOffset val="100"/>
        <c:noMultiLvlLbl val="0"/>
      </c:catAx>
      <c:valAx>
        <c:axId val="175747072"/>
        <c:scaling>
          <c:orientation val="minMax"/>
        </c:scaling>
        <c:delete val="0"/>
        <c:axPos val="b"/>
        <c:majorGridlines/>
        <c:numFmt formatCode="#,##0.00" sourceLinked="1"/>
        <c:majorTickMark val="out"/>
        <c:minorTickMark val="none"/>
        <c:tickLblPos val="nextTo"/>
        <c:crossAx val="175474176"/>
        <c:crosses val="autoZero"/>
        <c:crossBetween val="between"/>
        <c:dispUnits>
          <c:builtInUnit val="millions"/>
          <c:dispUnitsLbl>
            <c:layout/>
          </c:dispUnitsLbl>
        </c:dispUnits>
      </c:valAx>
    </c:plotArea>
    <c:legend>
      <c:legendPos val="r"/>
      <c:layout>
        <c:manualLayout>
          <c:xMode val="edge"/>
          <c:yMode val="edge"/>
          <c:x val="0.69934660497250456"/>
          <c:y val="0.24976332306287802"/>
          <c:w val="0.29061575519540073"/>
          <c:h val="0.5120675567727947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1.964593931931348E-2"/>
          <c:y val="3.6276949868236527E-2"/>
          <c:w val="0.61832345030945202"/>
          <c:h val="0.92947225261600575"/>
        </c:manualLayout>
      </c:layout>
      <c:pie3DChart>
        <c:varyColors val="1"/>
        <c:ser>
          <c:idx val="0"/>
          <c:order val="0"/>
          <c:tx>
            <c:strRef>
              <c:f>' tabulky pro grafy'!$B$41</c:f>
              <c:strCache>
                <c:ptCount val="1"/>
                <c:pt idx="0">
                  <c:v>Celková alokace na osu / oblast podpory</c:v>
                </c:pt>
              </c:strCache>
            </c:strRef>
          </c:tx>
          <c:dLbls>
            <c:dLbl>
              <c:idx val="0"/>
              <c:layout>
                <c:manualLayout>
                  <c:x val="-0.16246967585841893"/>
                  <c:y val="7.3210020188321595E-2"/>
                </c:manualLayout>
              </c:layout>
              <c:tx>
                <c:rich>
                  <a:bodyPr/>
                  <a:lstStyle/>
                  <a:p>
                    <a:r>
                      <a:rPr lang="en-US" b="1"/>
                      <a:t>33,10%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9.129105775358327E-4"/>
                  <c:y val="-0.27075621445853687"/>
                </c:manualLayout>
              </c:layout>
              <c:tx>
                <c:rich>
                  <a:bodyPr/>
                  <a:lstStyle/>
                  <a:p>
                    <a:r>
                      <a:rPr lang="en-US" b="1"/>
                      <a:t>33,10%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7.2973872093148859E-2"/>
                  <c:y val="-0.12360569588065774"/>
                </c:manualLayout>
              </c:layout>
              <c:tx>
                <c:rich>
                  <a:bodyPr/>
                  <a:lstStyle/>
                  <a:p>
                    <a:r>
                      <a:rPr lang="en-US" b="1"/>
                      <a:t>8,90%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0.14651296674335462"/>
                  <c:y val="7.0089691627240366E-2"/>
                </c:manualLayout>
              </c:layout>
              <c:tx>
                <c:rich>
                  <a:bodyPr/>
                  <a:lstStyle/>
                  <a:p>
                    <a:r>
                      <a:rPr lang="en-US" b="1"/>
                      <a:t>21,40%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4.6774677856625944E-2"/>
                  <c:y val="9.0033749942209029E-2"/>
                </c:manualLayout>
              </c:layout>
              <c:tx>
                <c:rich>
                  <a:bodyPr/>
                  <a:lstStyle/>
                  <a:p>
                    <a:r>
                      <a:rPr lang="en-US" b="1"/>
                      <a:t>3,50%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.0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 tabulky pro grafy'!$A$42:$A$46</c:f>
              <c:strCache>
                <c:ptCount val="5"/>
                <c:pt idx="0">
                  <c:v>5.1 Evropská centra excelence</c:v>
                </c:pt>
                <c:pt idx="1">
                  <c:v>5.2 Regionální VaV centra</c:v>
                </c:pt>
                <c:pt idx="2">
                  <c:v>5.3 Komercializace a popularizace VaV</c:v>
                </c:pt>
                <c:pt idx="3">
                  <c:v>5.4 Infrastruktura pro výuku na vysokých školách spojenou s výzkumem</c:v>
                </c:pt>
                <c:pt idx="4">
                  <c:v>5.5 Technická pomoc</c:v>
                </c:pt>
              </c:strCache>
            </c:strRef>
          </c:cat>
          <c:val>
            <c:numRef>
              <c:f>' tabulky pro grafy'!$B$42:$B$46</c:f>
              <c:numCache>
                <c:formatCode>#,##0</c:formatCode>
                <c:ptCount val="5"/>
                <c:pt idx="0">
                  <c:v>685395373</c:v>
                </c:pt>
                <c:pt idx="1">
                  <c:v>685395373</c:v>
                </c:pt>
                <c:pt idx="2">
                  <c:v>184286556</c:v>
                </c:pt>
                <c:pt idx="3">
                  <c:v>443129752</c:v>
                </c:pt>
                <c:pt idx="4">
                  <c:v>72473830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layout/>
      <c:overlay val="0"/>
      <c:txPr>
        <a:bodyPr/>
        <a:lstStyle/>
        <a:p>
          <a:pPr>
            <a:defRPr lang="cs-CZ" sz="800" b="0" i="0" u="none" strike="noStrike" kern="1200" baseline="0">
              <a:solidFill>
                <a:sysClr val="windowText" lastClr="000000"/>
              </a:solidFill>
              <a:latin typeface="Calibri" panose="020F0502020204030204" pitchFamily="34" charset="0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1.2312696654040771E-2"/>
          <c:w val="0.65309231623254482"/>
          <c:h val="0.97617525380317194"/>
        </c:manualLayout>
      </c:layout>
      <c:pie3DChart>
        <c:varyColors val="1"/>
        <c:ser>
          <c:idx val="0"/>
          <c:order val="0"/>
          <c:tx>
            <c:strRef>
              <c:f>' tabulky pro grafy'!$B$49</c:f>
              <c:strCache>
                <c:ptCount val="1"/>
                <c:pt idx="0">
                  <c:v>Celková alokace na osu / oblast podpory</c:v>
                </c:pt>
              </c:strCache>
            </c:strRef>
          </c:tx>
          <c:dLbls>
            <c:dLbl>
              <c:idx val="0"/>
              <c:layout>
                <c:manualLayout>
                  <c:x val="-0.161206055608552"/>
                  <c:y val="6.521349215974166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2.1532657493788635E-2"/>
                  <c:y val="-0.3023208169426348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5.2857766495820468E-2"/>
                  <c:y val="-0.13888009092839348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0.14698281297999968"/>
                  <c:y val="7.5908018206087349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4.9452052579669843E-2"/>
                  <c:y val="0.1046955990704644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.00%" sourceLinked="0"/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' tabulky pro grafy'!$A$50:$A$54</c:f>
              <c:strCache>
                <c:ptCount val="5"/>
                <c:pt idx="0">
                  <c:v>5.1 Evropská centra excelence</c:v>
                </c:pt>
                <c:pt idx="1">
                  <c:v>5.2 Regionální VaV centra</c:v>
                </c:pt>
                <c:pt idx="2">
                  <c:v>5.3 Komercializace a popularizace VaV</c:v>
                </c:pt>
                <c:pt idx="3">
                  <c:v>5.4 Infrastruktura pro výuku na vysokých školách spojenou s výzkumem</c:v>
                </c:pt>
                <c:pt idx="4">
                  <c:v>5.5 Technická pomoc</c:v>
                </c:pt>
              </c:strCache>
            </c:strRef>
          </c:cat>
          <c:val>
            <c:numRef>
              <c:f>' tabulky pro grafy'!$B$50:$B$54</c:f>
              <c:numCache>
                <c:formatCode>#,##0</c:formatCode>
                <c:ptCount val="5"/>
                <c:pt idx="0">
                  <c:v>583439511</c:v>
                </c:pt>
                <c:pt idx="1">
                  <c:v>639022980</c:v>
                </c:pt>
                <c:pt idx="2">
                  <c:v>166438157</c:v>
                </c:pt>
                <c:pt idx="3">
                  <c:v>378050632</c:v>
                </c:pt>
                <c:pt idx="4">
                  <c:v>61201451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</c:pie3DChart>
    </c:plotArea>
    <c:legend>
      <c:legendPos val="r"/>
      <c:layout/>
      <c:overlay val="0"/>
      <c:txPr>
        <a:bodyPr/>
        <a:lstStyle/>
        <a:p>
          <a:pPr>
            <a:defRPr sz="800" baseline="0">
              <a:latin typeface="Calibri" panose="020F0502020204030204" pitchFamily="34" charset="0"/>
            </a:defRPr>
          </a:pPr>
          <a:endParaRPr lang="cs-CZ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19342-9B63-464F-B2FC-DA69817E23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4AE3-3A0D-4AD1-9322-D8BE7BEFB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6366</Words>
  <Characters>37241</Characters>
  <Application>Microsoft Office Word</Application>
  <DocSecurity>0</DocSecurity>
  <Lines>310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Čtvrtletní zpráva</vt:lpstr>
    </vt:vector>
  </TitlesOfParts>
  <Company>MSMT</Company>
  <LinksUpToDate>false</LinksUpToDate>
  <CharactersWithSpaces>43520</CharactersWithSpaces>
  <SharedDoc>false</SharedDoc>
  <HLinks>
    <vt:vector size="132" baseType="variant">
      <vt:variant>
        <vt:i4>2031666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_Toc416857564</vt:lpwstr>
      </vt:variant>
      <vt:variant>
        <vt:i4>2031666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_Toc416857563</vt:lpwstr>
      </vt:variant>
      <vt:variant>
        <vt:i4>2031666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_Toc416857562</vt:lpwstr>
      </vt:variant>
      <vt:variant>
        <vt:i4>2031666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_Toc416857561</vt:lpwstr>
      </vt:variant>
      <vt:variant>
        <vt:i4>1703991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_Toc416856024</vt:lpwstr>
      </vt:variant>
      <vt:variant>
        <vt:i4>1703991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_Toc416856023</vt:lpwstr>
      </vt:variant>
      <vt:variant>
        <vt:i4>1703991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_Toc416856022</vt:lpwstr>
      </vt:variant>
      <vt:variant>
        <vt:i4>1703991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_Toc416856021</vt:lpwstr>
      </vt:variant>
      <vt:variant>
        <vt:i4>1703991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_Toc416856020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_Toc416856019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_Toc416856018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_Toc416856017</vt:lpwstr>
      </vt:variant>
      <vt:variant>
        <vt:i4>1638455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_Toc416856016</vt:lpwstr>
      </vt:variant>
      <vt:variant>
        <vt:i4>1638455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_Toc416856011</vt:lpwstr>
      </vt:variant>
      <vt:variant>
        <vt:i4>1638455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_Toc416856010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_Toc416856009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_Toc416856008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_Toc416856007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_Toc416856006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_Toc416856003</vt:lpwstr>
      </vt:variant>
      <vt:variant>
        <vt:i4>1572919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_Toc416856002</vt:lpwstr>
      </vt:variant>
      <vt:variant>
        <vt:i4>1572919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_Toc416856001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Čtvrtletní zpráva</dc:title>
  <dc:creator>Jana.Teslarova@msmt.cz</dc:creator>
  <cp:lastModifiedBy>Tešlárová Jana</cp:lastModifiedBy>
  <cp:revision>2</cp:revision>
  <cp:lastPrinted>2015-04-16T11:50:00Z</cp:lastPrinted>
  <dcterms:created xsi:type="dcterms:W3CDTF">2015-04-21T15:25:00Z</dcterms:created>
  <dcterms:modified xsi:type="dcterms:W3CDTF">2015-04-21T15:25:00Z</dcterms:modified>
</cp:coreProperties>
</file>