
<file path=[Content_Types].xml><?xml version="1.0" encoding="utf-8"?>
<Types xmlns="http://schemas.openxmlformats.org/package/2006/content-types"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theme/themeOverride7.xml" ContentType="application/vnd.openxmlformats-officedocument.themeOverride+xml"/>
  <Override PartName="/word/drawings/drawing1.xml" ContentType="application/vnd.openxmlformats-officedocument.drawingml.chartshapes+xml"/>
  <Override PartName="/word/charts/chart8.xml" ContentType="application/vnd.openxmlformats-officedocument.drawingml.chart+xml"/>
  <Override PartName="/word/theme/themeOverride8.xml" ContentType="application/vnd.openxmlformats-officedocument.themeOverride+xml"/>
  <Override PartName="/word/drawings/drawing2.xml" ContentType="application/vnd.openxmlformats-officedocument.drawingml.chartshapes+xml"/>
  <Override PartName="/word/charts/chart9.xml" ContentType="application/vnd.openxmlformats-officedocument.drawingml.chart+xml"/>
  <Override PartName="/word/theme/themeOverride9.xml" ContentType="application/vnd.openxmlformats-officedocument.themeOverride+xml"/>
  <Override PartName="/word/drawings/drawing3.xml" ContentType="application/vnd.openxmlformats-officedocument.drawingml.chartshapes+xml"/>
  <Override PartName="/word/charts/chart10.xml" ContentType="application/vnd.openxmlformats-officedocument.drawingml.chart+xml"/>
  <Override PartName="/word/theme/themeOverride10.xml" ContentType="application/vnd.openxmlformats-officedocument.themeOverride+xml"/>
  <Override PartName="/word/drawings/drawing4.xml" ContentType="application/vnd.openxmlformats-officedocument.drawingml.chartshapes+xml"/>
  <Override PartName="/word/charts/chart11.xml" ContentType="application/vnd.openxmlformats-officedocument.drawingml.chart+xml"/>
  <Override PartName="/word/theme/themeOverride11.xml" ContentType="application/vnd.openxmlformats-officedocument.themeOverride+xml"/>
  <Override PartName="/word/drawings/drawing5.xml" ContentType="application/vnd.openxmlformats-officedocument.drawingml.chartshapes+xml"/>
  <Override PartName="/word/charts/chart12.xml" ContentType="application/vnd.openxmlformats-officedocument.drawingml.chart+xml"/>
  <Override PartName="/word/theme/themeOverride12.xml" ContentType="application/vnd.openxmlformats-officedocument.themeOverride+xml"/>
  <Override PartName="/word/drawings/drawing6.xml" ContentType="application/vnd.openxmlformats-officedocument.drawingml.chartshapes+xml"/>
  <Override PartName="/word/charts/chart13.xml" ContentType="application/vnd.openxmlformats-officedocument.drawingml.chart+xml"/>
  <Override PartName="/word/theme/themeOverride13.xml" ContentType="application/vnd.openxmlformats-officedocument.themeOverride+xml"/>
  <Override PartName="/word/charts/chart14.xml" ContentType="application/vnd.openxmlformats-officedocument.drawingml.chart+xml"/>
  <Override PartName="/word/theme/themeOverride14.xml" ContentType="application/vnd.openxmlformats-officedocument.themeOverride+xml"/>
  <Override PartName="/word/charts/chart15.xml" ContentType="application/vnd.openxmlformats-officedocument.drawingml.chart+xml"/>
  <Override PartName="/word/theme/themeOverride15.xml" ContentType="application/vnd.openxmlformats-officedocument.themeOverride+xml"/>
  <Override PartName="/word/charts/chart16.xml" ContentType="application/vnd.openxmlformats-officedocument.drawingml.chart+xml"/>
  <Override PartName="/word/theme/themeOverride16.xml" ContentType="application/vnd.openxmlformats-officedocument.themeOverride+xml"/>
  <Override PartName="/word/charts/chart17.xml" ContentType="application/vnd.openxmlformats-officedocument.drawingml.chart+xml"/>
  <Override PartName="/word/theme/themeOverride17.xml" ContentType="application/vnd.openxmlformats-officedocument.themeOverride+xml"/>
  <Override PartName="/word/charts/chart18.xml" ContentType="application/vnd.openxmlformats-officedocument.drawingml.chart+xml"/>
  <Override PartName="/word/theme/themeOverride18.xml" ContentType="application/vnd.openxmlformats-officedocument.themeOverride+xml"/>
  <Override PartName="/word/charts/chart19.xml" ContentType="application/vnd.openxmlformats-officedocument.drawingml.chart+xml"/>
  <Override PartName="/word/theme/themeOverride19.xml" ContentType="application/vnd.openxmlformats-officedocument.themeOverride+xml"/>
  <Override PartName="/word/charts/chart20.xml" ContentType="application/vnd.openxmlformats-officedocument.drawingml.chart+xml"/>
  <Override PartName="/word/theme/themeOverride20.xml" ContentType="application/vnd.openxmlformats-officedocument.themeOverride+xml"/>
  <Override PartName="/word/charts/chart21.xml" ContentType="application/vnd.openxmlformats-officedocument.drawingml.chart+xml"/>
  <Override PartName="/word/theme/themeOverride21.xml" ContentType="application/vnd.openxmlformats-officedocument.themeOverride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4CBF" w:rsidRDefault="002B1DD3" w:rsidP="00F34CBF">
      <w:pPr>
        <w:spacing w:after="120"/>
        <w:jc w:val="center"/>
        <w:rPr>
          <w:rFonts w:ascii="Arial" w:hAnsi="Arial" w:cs="Arial"/>
          <w:b/>
          <w:color w:val="0070C0"/>
          <w:sz w:val="28"/>
          <w:szCs w:val="28"/>
        </w:rPr>
      </w:pPr>
      <w:bookmarkStart w:id="0" w:name="_Toc396743372"/>
      <w:r w:rsidRPr="002B1DD3">
        <w:rPr>
          <w:rFonts w:ascii="Arial" w:hAnsi="Arial" w:cs="Arial"/>
          <w:b/>
          <w:color w:val="0070C0"/>
          <w:sz w:val="28"/>
          <w:szCs w:val="28"/>
        </w:rPr>
        <w:t xml:space="preserve">Hodnocení poskytovatele podpory </w:t>
      </w:r>
      <w:proofErr w:type="spellStart"/>
      <w:r w:rsidRPr="002B1DD3">
        <w:rPr>
          <w:rFonts w:ascii="Arial" w:hAnsi="Arial" w:cs="Arial"/>
          <w:b/>
          <w:color w:val="0070C0"/>
          <w:sz w:val="28"/>
          <w:szCs w:val="28"/>
        </w:rPr>
        <w:t>VaVaI</w:t>
      </w:r>
      <w:proofErr w:type="spellEnd"/>
    </w:p>
    <w:p w:rsidR="002B1DD3" w:rsidRPr="002B1DD3" w:rsidRDefault="002B1DD3" w:rsidP="00F34CBF">
      <w:pPr>
        <w:spacing w:after="120"/>
        <w:jc w:val="center"/>
        <w:rPr>
          <w:rFonts w:ascii="Arial" w:hAnsi="Arial" w:cs="Arial"/>
          <w:b/>
          <w:color w:val="0070C0"/>
          <w:sz w:val="28"/>
          <w:szCs w:val="28"/>
        </w:rPr>
      </w:pPr>
      <w:r w:rsidRPr="002B1DD3">
        <w:rPr>
          <w:rFonts w:ascii="Arial" w:hAnsi="Arial" w:cs="Arial"/>
          <w:b/>
          <w:color w:val="0070C0"/>
          <w:sz w:val="28"/>
          <w:szCs w:val="28"/>
        </w:rPr>
        <w:t>Ministerstvo zemědělství (Opatření č. 20)</w:t>
      </w:r>
      <w:bookmarkEnd w:id="0"/>
    </w:p>
    <w:p w:rsid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  <w:bookmarkStart w:id="1" w:name="_GoBack"/>
      <w:bookmarkEnd w:id="1"/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 w:cs="Arial"/>
          <w:sz w:val="22"/>
          <w:szCs w:val="22"/>
          <w:lang w:eastAsia="en-US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  <w:bookmarkStart w:id="2" w:name="_Toc425144512"/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C77345" w:rsidRPr="008A5816" w:rsidRDefault="00C77345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>OBSAH</w:t>
      </w:r>
    </w:p>
    <w:p w:rsidR="008A5816" w:rsidRPr="008A5816" w:rsidRDefault="008A5816" w:rsidP="008A5816">
      <w:pPr>
        <w:rPr>
          <w:rFonts w:ascii="Arial" w:eastAsia="Calibri" w:hAnsi="Arial" w:cs="Arial"/>
          <w:b/>
        </w:rPr>
      </w:pPr>
    </w:p>
    <w:tbl>
      <w:tblPr>
        <w:tblStyle w:val="Mkatabulky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567"/>
        <w:gridCol w:w="97"/>
        <w:gridCol w:w="7558"/>
        <w:gridCol w:w="817"/>
      </w:tblGrid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</w:p>
        </w:tc>
        <w:tc>
          <w:tcPr>
            <w:tcW w:w="8222" w:type="dxa"/>
            <w:gridSpan w:val="3"/>
            <w:vAlign w:val="center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Úvod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spacing w:before="120"/>
              <w:jc w:val="right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3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1</w:t>
            </w:r>
          </w:p>
        </w:tc>
        <w:tc>
          <w:tcPr>
            <w:tcW w:w="8222" w:type="dxa"/>
            <w:gridSpan w:val="3"/>
            <w:vAlign w:val="center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Působnost Ministerstva zemědělství a jeho role jako poskytovatele veřejné podpory na výzkum, vývoj a inovace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spacing w:before="120"/>
              <w:jc w:val="right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3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567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1.1</w:t>
            </w:r>
          </w:p>
        </w:tc>
        <w:tc>
          <w:tcPr>
            <w:tcW w:w="7655" w:type="dxa"/>
            <w:gridSpan w:val="2"/>
            <w:vAlign w:val="center"/>
          </w:tcPr>
          <w:p w:rsidR="008A5816" w:rsidRPr="008A5816" w:rsidRDefault="008A5816" w:rsidP="008A5816">
            <w:pPr>
              <w:ind w:firstLine="176"/>
              <w:jc w:val="both"/>
              <w:rPr>
                <w:rFonts w:ascii="Arial" w:hAnsi="Arial" w:cs="Arial"/>
                <w:iCs/>
                <w:lang w:eastAsia="en-US"/>
              </w:rPr>
            </w:pPr>
            <w:r w:rsidRPr="008A5816">
              <w:rPr>
                <w:rFonts w:ascii="Arial" w:hAnsi="Arial" w:cs="Arial"/>
                <w:iCs/>
                <w:lang w:eastAsia="en-US"/>
              </w:rPr>
              <w:t xml:space="preserve">Implementace národních strategických dokumentů 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3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567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1.2</w:t>
            </w:r>
          </w:p>
        </w:tc>
        <w:tc>
          <w:tcPr>
            <w:tcW w:w="7655" w:type="dxa"/>
            <w:gridSpan w:val="2"/>
            <w:vAlign w:val="center"/>
          </w:tcPr>
          <w:p w:rsidR="008A5816" w:rsidRPr="008A5816" w:rsidRDefault="008A5816" w:rsidP="008A5816">
            <w:pPr>
              <w:ind w:firstLine="176"/>
              <w:jc w:val="both"/>
              <w:rPr>
                <w:rFonts w:ascii="Arial" w:hAnsi="Arial" w:cs="Arial"/>
                <w:iCs/>
                <w:lang w:eastAsia="en-US"/>
              </w:rPr>
            </w:pPr>
            <w:r w:rsidRPr="008A5816">
              <w:rPr>
                <w:rFonts w:ascii="Arial" w:hAnsi="Arial" w:cs="Arial"/>
                <w:iCs/>
                <w:lang w:eastAsia="en-US"/>
              </w:rPr>
              <w:t>Koncepce zemědělského aplikovaného výzkumu a vývoje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5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567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1.3</w:t>
            </w:r>
          </w:p>
        </w:tc>
        <w:tc>
          <w:tcPr>
            <w:tcW w:w="7655" w:type="dxa"/>
            <w:gridSpan w:val="2"/>
            <w:vAlign w:val="center"/>
          </w:tcPr>
          <w:p w:rsidR="008A5816" w:rsidRPr="008A5816" w:rsidRDefault="008A5816" w:rsidP="008A5816">
            <w:pPr>
              <w:ind w:firstLine="176"/>
              <w:jc w:val="both"/>
              <w:rPr>
                <w:rFonts w:ascii="Arial" w:hAnsi="Arial" w:cs="Arial"/>
                <w:iCs/>
                <w:lang w:eastAsia="en-US"/>
              </w:rPr>
            </w:pPr>
            <w:r w:rsidRPr="008A5816">
              <w:rPr>
                <w:rFonts w:ascii="Arial" w:hAnsi="Arial" w:cs="Arial"/>
                <w:iCs/>
                <w:lang w:eastAsia="en-US"/>
              </w:rPr>
              <w:t>Závěr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6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8222" w:type="dxa"/>
            <w:gridSpan w:val="3"/>
            <w:vAlign w:val="center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  <w:b/>
              </w:rPr>
              <w:t>Institucionální a účelová podpora Ministerstva zemědělství na výzkum, vývoj a inovace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spacing w:before="120"/>
              <w:jc w:val="right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7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664" w:type="dxa"/>
            <w:gridSpan w:val="2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2.1</w:t>
            </w:r>
          </w:p>
        </w:tc>
        <w:tc>
          <w:tcPr>
            <w:tcW w:w="7558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 xml:space="preserve">Institucionální podpora poskytovaná </w:t>
            </w:r>
            <w:proofErr w:type="spellStart"/>
            <w:r w:rsidRPr="008A5816">
              <w:rPr>
                <w:rFonts w:ascii="Arial" w:eastAsia="Calibri" w:hAnsi="Arial" w:cs="Arial"/>
              </w:rPr>
              <w:t>MZe</w:t>
            </w:r>
            <w:proofErr w:type="spellEnd"/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8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664" w:type="dxa"/>
            <w:gridSpan w:val="2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2.2.</w:t>
            </w:r>
          </w:p>
        </w:tc>
        <w:tc>
          <w:tcPr>
            <w:tcW w:w="7558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 xml:space="preserve">Účelová podpora poskytovaná </w:t>
            </w:r>
            <w:proofErr w:type="spellStart"/>
            <w:r w:rsidRPr="008A5816">
              <w:rPr>
                <w:rFonts w:ascii="Arial" w:eastAsia="Calibri" w:hAnsi="Arial" w:cs="Arial"/>
              </w:rPr>
              <w:t>MZe</w:t>
            </w:r>
            <w:proofErr w:type="spellEnd"/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10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664" w:type="dxa"/>
            <w:gridSpan w:val="2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2.3.</w:t>
            </w:r>
          </w:p>
        </w:tc>
        <w:tc>
          <w:tcPr>
            <w:tcW w:w="7558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Závěr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14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3</w:t>
            </w:r>
          </w:p>
        </w:tc>
        <w:tc>
          <w:tcPr>
            <w:tcW w:w="8222" w:type="dxa"/>
            <w:gridSpan w:val="3"/>
            <w:vAlign w:val="center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 xml:space="preserve">Doplňující analýza výsledků zemědělského </w:t>
            </w:r>
            <w:proofErr w:type="spellStart"/>
            <w:r w:rsidRPr="008A5816">
              <w:rPr>
                <w:rFonts w:ascii="Arial" w:eastAsia="Calibri" w:hAnsi="Arial" w:cs="Arial"/>
                <w:b/>
              </w:rPr>
              <w:t>VaVaI</w:t>
            </w:r>
            <w:proofErr w:type="spellEnd"/>
          </w:p>
        </w:tc>
        <w:tc>
          <w:tcPr>
            <w:tcW w:w="817" w:type="dxa"/>
          </w:tcPr>
          <w:p w:rsidR="008A5816" w:rsidRPr="008A5816" w:rsidRDefault="008A5816" w:rsidP="008A5816">
            <w:pPr>
              <w:spacing w:before="120"/>
              <w:jc w:val="right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15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664" w:type="dxa"/>
            <w:gridSpan w:val="2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3.1</w:t>
            </w:r>
          </w:p>
        </w:tc>
        <w:tc>
          <w:tcPr>
            <w:tcW w:w="7558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Vliv Poskytovatele na tvorbu výsledků v jednotlivých skupinách vědních oborů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15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664" w:type="dxa"/>
            <w:gridSpan w:val="2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3.2</w:t>
            </w:r>
          </w:p>
        </w:tc>
        <w:tc>
          <w:tcPr>
            <w:tcW w:w="7558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 xml:space="preserve">Vliv ostatních Poskytovatelů podpory </w:t>
            </w:r>
            <w:proofErr w:type="spellStart"/>
            <w:r w:rsidRPr="008A5816">
              <w:rPr>
                <w:rFonts w:ascii="Arial" w:eastAsia="Calibri" w:hAnsi="Arial" w:cs="Arial"/>
              </w:rPr>
              <w:t>VaVaI</w:t>
            </w:r>
            <w:proofErr w:type="spellEnd"/>
            <w:r w:rsidRPr="008A5816">
              <w:rPr>
                <w:rFonts w:ascii="Arial" w:eastAsia="Calibri" w:hAnsi="Arial" w:cs="Arial"/>
              </w:rPr>
              <w:t xml:space="preserve"> na tvorbu výsledků zemědělského výzkumu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20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664" w:type="dxa"/>
            <w:gridSpan w:val="2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3.3</w:t>
            </w:r>
          </w:p>
        </w:tc>
        <w:tc>
          <w:tcPr>
            <w:tcW w:w="7558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Závěr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20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4</w:t>
            </w:r>
          </w:p>
        </w:tc>
        <w:tc>
          <w:tcPr>
            <w:tcW w:w="8222" w:type="dxa"/>
            <w:gridSpan w:val="3"/>
            <w:vAlign w:val="center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 xml:space="preserve">Srovnání zemědělského </w:t>
            </w:r>
            <w:proofErr w:type="spellStart"/>
            <w:r w:rsidRPr="008A5816">
              <w:rPr>
                <w:rFonts w:ascii="Arial" w:eastAsia="Calibri" w:hAnsi="Arial" w:cs="Arial"/>
                <w:b/>
              </w:rPr>
              <w:t>VaVaI</w:t>
            </w:r>
            <w:proofErr w:type="spellEnd"/>
            <w:r w:rsidRPr="008A5816">
              <w:rPr>
                <w:rFonts w:ascii="Arial" w:eastAsia="Calibri" w:hAnsi="Arial" w:cs="Arial"/>
                <w:b/>
              </w:rPr>
              <w:t xml:space="preserve"> se zahraničím</w:t>
            </w:r>
          </w:p>
        </w:tc>
        <w:tc>
          <w:tcPr>
            <w:tcW w:w="817" w:type="dxa"/>
          </w:tcPr>
          <w:p w:rsidR="008A5816" w:rsidRPr="008A5816" w:rsidRDefault="008A5816" w:rsidP="008A5816">
            <w:pPr>
              <w:spacing w:before="120"/>
              <w:jc w:val="right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21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</w:p>
        </w:tc>
        <w:tc>
          <w:tcPr>
            <w:tcW w:w="664" w:type="dxa"/>
            <w:gridSpan w:val="2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4.1</w:t>
            </w:r>
          </w:p>
        </w:tc>
        <w:tc>
          <w:tcPr>
            <w:tcW w:w="7558" w:type="dxa"/>
            <w:vAlign w:val="center"/>
          </w:tcPr>
          <w:p w:rsidR="008A5816" w:rsidRPr="008A5816" w:rsidRDefault="008A5816" w:rsidP="008A5816">
            <w:pPr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Závěr</w:t>
            </w:r>
          </w:p>
        </w:tc>
        <w:tc>
          <w:tcPr>
            <w:tcW w:w="817" w:type="dxa"/>
          </w:tcPr>
          <w:p w:rsidR="008A5816" w:rsidRPr="008A5816" w:rsidRDefault="008A5816" w:rsidP="006E5F97">
            <w:pPr>
              <w:jc w:val="right"/>
              <w:rPr>
                <w:rFonts w:ascii="Arial" w:eastAsia="Calibri" w:hAnsi="Arial" w:cs="Arial"/>
              </w:rPr>
            </w:pPr>
            <w:r w:rsidRPr="008A5816">
              <w:rPr>
                <w:rFonts w:ascii="Arial" w:eastAsia="Calibri" w:hAnsi="Arial" w:cs="Arial"/>
              </w:rPr>
              <w:t>2</w:t>
            </w:r>
            <w:r w:rsidR="006E5F97">
              <w:rPr>
                <w:rFonts w:ascii="Arial" w:eastAsia="Calibri" w:hAnsi="Arial" w:cs="Arial"/>
              </w:rPr>
              <w:t>7</w:t>
            </w:r>
          </w:p>
        </w:tc>
      </w:tr>
      <w:tr w:rsidR="008A5816" w:rsidRPr="008A5816" w:rsidTr="008A5816">
        <w:tc>
          <w:tcPr>
            <w:tcW w:w="250" w:type="dxa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5</w:t>
            </w:r>
          </w:p>
        </w:tc>
        <w:tc>
          <w:tcPr>
            <w:tcW w:w="8222" w:type="dxa"/>
            <w:gridSpan w:val="3"/>
            <w:vAlign w:val="center"/>
          </w:tcPr>
          <w:p w:rsidR="008A5816" w:rsidRPr="008A5816" w:rsidRDefault="008A5816" w:rsidP="008A5816">
            <w:pPr>
              <w:spacing w:before="120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 xml:space="preserve">Závěry a doporučení Rady pro další činnost </w:t>
            </w:r>
            <w:proofErr w:type="spellStart"/>
            <w:r w:rsidRPr="008A5816">
              <w:rPr>
                <w:rFonts w:ascii="Arial" w:eastAsia="Calibri" w:hAnsi="Arial" w:cs="Arial"/>
                <w:b/>
              </w:rPr>
              <w:t>MZe</w:t>
            </w:r>
            <w:proofErr w:type="spellEnd"/>
          </w:p>
        </w:tc>
        <w:tc>
          <w:tcPr>
            <w:tcW w:w="817" w:type="dxa"/>
          </w:tcPr>
          <w:p w:rsidR="008A5816" w:rsidRPr="008A5816" w:rsidRDefault="008A5816" w:rsidP="008A5816">
            <w:pPr>
              <w:spacing w:before="120"/>
              <w:jc w:val="right"/>
              <w:rPr>
                <w:rFonts w:ascii="Arial" w:eastAsia="Calibri" w:hAnsi="Arial" w:cs="Arial"/>
                <w:b/>
              </w:rPr>
            </w:pPr>
            <w:r w:rsidRPr="008A5816">
              <w:rPr>
                <w:rFonts w:ascii="Arial" w:eastAsia="Calibri" w:hAnsi="Arial" w:cs="Arial"/>
                <w:b/>
              </w:rPr>
              <w:t>27</w:t>
            </w:r>
          </w:p>
        </w:tc>
      </w:tr>
    </w:tbl>
    <w:p w:rsidR="008A5816" w:rsidRPr="008A5816" w:rsidRDefault="008A5816" w:rsidP="008A5816">
      <w:pPr>
        <w:rPr>
          <w:rFonts w:ascii="Arial" w:eastAsia="Calibri" w:hAnsi="Arial" w:cs="Arial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rPr>
          <w:rFonts w:ascii="Arial" w:eastAsia="Calibri" w:hAnsi="Arial"/>
          <w:sz w:val="22"/>
          <w:szCs w:val="22"/>
        </w:rPr>
      </w:pPr>
    </w:p>
    <w:p w:rsidR="008A5816" w:rsidRPr="008A5816" w:rsidRDefault="008A5816" w:rsidP="008A5816">
      <w:pPr>
        <w:spacing w:after="120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>Úvod</w:t>
      </w:r>
      <w:bookmarkEnd w:id="2"/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i/>
        </w:rPr>
        <w:t>Aktualizace Národní politiky Výzkumu, vývoje a inovací na léta 2009 až 2015 s výhledem do roku 2020</w:t>
      </w:r>
      <w:r w:rsidRPr="008A5816">
        <w:rPr>
          <w:rFonts w:ascii="Arial" w:eastAsia="Calibri" w:hAnsi="Arial" w:cs="Arial"/>
        </w:rPr>
        <w:t>, která byla</w:t>
      </w:r>
      <w:r w:rsidRPr="008A5816">
        <w:rPr>
          <w:rFonts w:ascii="Arial" w:eastAsia="Calibri" w:hAnsi="Arial" w:cs="Arial"/>
          <w:lang w:eastAsia="en-US"/>
        </w:rPr>
        <w:t xml:space="preserve"> schválena usnesením vlády ze dne 24. dubna 2013 č. 294., ukládá v rámci opatření č. 20 Radě pro výzkum, vývoj a inovace (dále jen „Rada“): „provádět důsledné hodnocení poskytovatelů podpory výzkumu, vývoje a inovací  zaměřené na efektivitu vynakládaných prostředků“ (str. 36).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>Do roku 2020 má být zhodnoceno všech 10 poskytovatelů podpory výzkumu, vývoje a inovací (dále jen „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>“). Cílem tohoto materiálu je provést hodnocení Ministerstva zemědělství (dále jen „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>“).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keepNext/>
        <w:keepLines/>
        <w:spacing w:after="120"/>
        <w:ind w:left="360" w:hanging="360"/>
        <w:outlineLvl w:val="0"/>
        <w:rPr>
          <w:rFonts w:ascii="Arial" w:hAnsi="Arial"/>
          <w:b/>
          <w:bCs/>
          <w:sz w:val="28"/>
          <w:szCs w:val="28"/>
        </w:rPr>
      </w:pPr>
      <w:bookmarkStart w:id="3" w:name="_Toc398621180"/>
      <w:bookmarkStart w:id="4" w:name="_Toc398621181"/>
      <w:bookmarkStart w:id="5" w:name="_Toc398621182"/>
      <w:bookmarkStart w:id="6" w:name="_Toc398621183"/>
      <w:bookmarkStart w:id="7" w:name="_Toc398621184"/>
      <w:bookmarkStart w:id="8" w:name="_Toc398621185"/>
      <w:bookmarkStart w:id="9" w:name="_Toc398621186"/>
      <w:bookmarkStart w:id="10" w:name="_Toc398621187"/>
      <w:bookmarkStart w:id="11" w:name="_Toc398621188"/>
      <w:bookmarkStart w:id="12" w:name="_Toc398621189"/>
      <w:bookmarkStart w:id="13" w:name="_Toc396743374"/>
      <w:bookmarkStart w:id="14" w:name="_Toc425144513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rPr>
          <w:rFonts w:ascii="Arial" w:eastAsia="Calibri" w:hAnsi="Arial"/>
          <w:b/>
          <w:bCs/>
          <w:sz w:val="28"/>
          <w:szCs w:val="28"/>
        </w:rPr>
        <w:t>1</w:t>
      </w:r>
      <w:r>
        <w:rPr>
          <w:rFonts w:ascii="Arial" w:eastAsia="Calibri" w:hAnsi="Arial"/>
          <w:b/>
          <w:bCs/>
          <w:sz w:val="28"/>
          <w:szCs w:val="28"/>
        </w:rPr>
        <w:tab/>
      </w:r>
      <w:r w:rsidRPr="008A5816">
        <w:rPr>
          <w:rFonts w:ascii="Arial" w:eastAsia="Calibri" w:hAnsi="Arial"/>
          <w:b/>
          <w:bCs/>
          <w:sz w:val="28"/>
          <w:szCs w:val="28"/>
        </w:rPr>
        <w:t>Působnost Ministerstva zemědělství a jeho role jako poskytovatele veřejné podpory na výzkum, vývoj a inovace</w:t>
      </w:r>
      <w:bookmarkEnd w:id="13"/>
      <w:bookmarkEnd w:id="14"/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i/>
        </w:rPr>
        <w:t xml:space="preserve">Tato kapitola je věnována roli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při podpoře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 xml:space="preserve"> a analyzuje implementaci nadresortních dokumentů, ze kterých zemědělský výzkum vychází.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</w:rPr>
        <w:t xml:space="preserve">Ministerstvo zemědělství jako ústřední orgán státní správy zajišťuje z hlediska své působnosti také </w:t>
      </w:r>
      <w:r w:rsidRPr="008A5816">
        <w:rPr>
          <w:rFonts w:ascii="Arial" w:eastAsia="Calibri" w:hAnsi="Arial" w:cs="Arial"/>
          <w:lang w:eastAsia="en-US"/>
        </w:rPr>
        <w:t xml:space="preserve">vědecko-výzkumnou </w:t>
      </w:r>
      <w:r w:rsidRPr="008A5816">
        <w:rPr>
          <w:rFonts w:ascii="Arial" w:eastAsia="Calibri" w:hAnsi="Arial" w:cs="Arial"/>
        </w:rPr>
        <w:t>činnost</w:t>
      </w:r>
      <w:r w:rsidRPr="008A5816">
        <w:rPr>
          <w:rFonts w:ascii="Arial" w:eastAsia="Calibri" w:hAnsi="Arial" w:cs="Arial"/>
          <w:vertAlign w:val="superscript"/>
          <w:lang w:eastAsia="en-US"/>
        </w:rPr>
        <w:footnoteReference w:id="1"/>
      </w:r>
      <w:r w:rsidRPr="008A5816">
        <w:rPr>
          <w:rFonts w:ascii="Arial" w:eastAsia="Calibri" w:hAnsi="Arial" w:cs="Arial"/>
          <w:lang w:eastAsia="en-US"/>
        </w:rPr>
        <w:t xml:space="preserve">. Podle zákona č. 130/2002 Sb., o podpoře výzkumu, experimentálního vývoje a inovací z veřejných prostředků a o změně některých souvisejících zákonů (zákon o podpoře výzkumu, experimentálního vývoje a inovací), ve znění pozdějších předpisů, patří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mezi poskytovatele účelové i institucionální podpory </w:t>
      </w:r>
      <w:proofErr w:type="spellStart"/>
      <w:r w:rsidRPr="008A5816">
        <w:rPr>
          <w:rFonts w:ascii="Arial" w:eastAsia="Calibri" w:hAnsi="Arial" w:cs="Arial"/>
          <w:lang w:eastAsia="en-US"/>
        </w:rPr>
        <w:t>VaVI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(dále jen „Poskytovatel“).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Hlavním úkolem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v oblasti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je ve smyslu uvedených předpisů financování zemědělského, především aplikovaného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poskytuje dlouhodobě účelovou a institucionální podporu prostřednictvím Odboru výzkumu, vzdělávání a poradenství. Poskytování účelové podpory zajišťuje oddělení Národní agentura pro zemědělský výzkum (dále jen „NAZV“), která byla zřízena v březnu roku 1994 a od července 2003 je součástí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>. Poskytování institucionální podpory je zajišťováno prostřednictvím Oddělení výzkumu.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Hlavním posláním NAZV je organizační, technické a personální zabezpečení výběru a vedení dokumentace týkající se projektů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financovaných z účelových prostředků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>. Dále je tvůrcem resortních výzkumných programů a odpovídá za hodnocení ukončených programů.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ind w:firstLine="709"/>
        <w:jc w:val="both"/>
        <w:rPr>
          <w:rFonts w:ascii="Arial" w:hAnsi="Arial"/>
          <w:b/>
          <w:iCs/>
          <w:lang w:eastAsia="en-US"/>
        </w:rPr>
      </w:pPr>
      <w:r w:rsidRPr="008A5816">
        <w:rPr>
          <w:rFonts w:ascii="Arial" w:hAnsi="Arial"/>
          <w:b/>
          <w:iCs/>
          <w:lang w:eastAsia="en-US"/>
        </w:rPr>
        <w:t xml:space="preserve">1.1 </w:t>
      </w:r>
      <w:r w:rsidRPr="008A5816">
        <w:rPr>
          <w:rFonts w:ascii="Arial" w:hAnsi="Arial"/>
          <w:b/>
          <w:iCs/>
          <w:lang w:eastAsia="en-US"/>
        </w:rPr>
        <w:tab/>
        <w:t xml:space="preserve">Implementace národních strategických dokumentů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>Hlavními, v současné době platnými nadresortními strategickými dokumenty, ze kterých zemědělský výzkum vychází, jsou:</w:t>
      </w:r>
    </w:p>
    <w:p w:rsidR="008A5816" w:rsidRPr="008A5816" w:rsidRDefault="008A5816" w:rsidP="008A5816">
      <w:pPr>
        <w:numPr>
          <w:ilvl w:val="0"/>
          <w:numId w:val="5"/>
        </w:numPr>
        <w:spacing w:after="120"/>
        <w:ind w:left="426"/>
        <w:contextualSpacing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Aktualizace Národní politiky výzkumu, vývoje a inovací České republiky na léta 2009 až 2015 s výhledem do roku 2020 (dále jen „Aktualizace NP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“), </w:t>
      </w:r>
    </w:p>
    <w:p w:rsidR="008A5816" w:rsidRPr="008A5816" w:rsidRDefault="008A5816" w:rsidP="008A5816">
      <w:pPr>
        <w:numPr>
          <w:ilvl w:val="0"/>
          <w:numId w:val="5"/>
        </w:numPr>
        <w:spacing w:after="120"/>
        <w:ind w:left="426"/>
        <w:contextualSpacing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lastRenderedPageBreak/>
        <w:t>Národní priority orientovaného výzkumu, experimentálního vývoje a inovací, které byly schváleny usnesením vlády ze dne 19. července 2012 č. 552, (dále jen „Priority“),</w:t>
      </w:r>
    </w:p>
    <w:p w:rsidR="008A5816" w:rsidRPr="008A5816" w:rsidRDefault="008A5816" w:rsidP="008A5816">
      <w:pPr>
        <w:numPr>
          <w:ilvl w:val="0"/>
          <w:numId w:val="5"/>
        </w:numPr>
        <w:spacing w:after="120"/>
        <w:ind w:left="426"/>
        <w:contextualSpacing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>Implementace Národních priorit orientovaného výzkumu, experimentálního vývoje a inovací, schválená usnesením vlády ze dne 31. července 2013 č. 569, (dále jen „Implementace Priorit“).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Pro </w:t>
      </w:r>
      <w:proofErr w:type="spellStart"/>
      <w:proofErr w:type="gram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proofErr w:type="gramEnd"/>
      <w:r w:rsidRPr="008A5816">
        <w:rPr>
          <w:rFonts w:ascii="Arial" w:eastAsia="Calibri" w:hAnsi="Arial" w:cs="Arial"/>
          <w:lang w:eastAsia="en-US"/>
        </w:rPr>
        <w:t xml:space="preserve"> z uvedených dokumentů vyplynuly především následující úkoly:</w:t>
      </w:r>
    </w:p>
    <w:p w:rsidR="008A5816" w:rsidRPr="008A5816" w:rsidRDefault="008A5816" w:rsidP="008A5816">
      <w:pPr>
        <w:numPr>
          <w:ilvl w:val="0"/>
          <w:numId w:val="6"/>
        </w:numPr>
        <w:spacing w:after="120"/>
        <w:ind w:left="426" w:hanging="426"/>
        <w:contextualSpacing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Zohlednit Priority ve všech relevantních programech účelové podpory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, které jsou již vyhlášeny nebo připravovány, a zapracovat Priority při přípravě všech nových Programů účelové podpory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.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se týkají především priority „1. Konkurenceschopná ekonomika založená na znalostech“ a „3. „Prostředí pro kvalitní život“. </w:t>
      </w:r>
    </w:p>
    <w:p w:rsidR="008A5816" w:rsidRPr="008A5816" w:rsidRDefault="008A5816" w:rsidP="008A5816">
      <w:pPr>
        <w:spacing w:after="120"/>
        <w:ind w:left="426"/>
        <w:contextualSpacing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numPr>
          <w:ilvl w:val="0"/>
          <w:numId w:val="6"/>
        </w:numPr>
        <w:spacing w:after="120"/>
        <w:ind w:left="425"/>
        <w:contextualSpacing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Podporovat aktivity napomáhající v zapojení subjektů z ČR do mezinárodního výzkumu (zejména do programu Horizont 2020) a zajistit odborné zázemí pro reprezentanty ČR při jednáních a dalších akcích realizovaných na úrovni Evropské komise souvisejících s formováním Evropského výzkumného prostoru (dále jen „ERA“). </w:t>
      </w:r>
    </w:p>
    <w:p w:rsidR="008A5816" w:rsidRPr="008A5816" w:rsidRDefault="008A5816" w:rsidP="008A5816">
      <w:pPr>
        <w:spacing w:after="120"/>
        <w:ind w:left="720"/>
        <w:contextualSpacing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numPr>
          <w:ilvl w:val="0"/>
          <w:numId w:val="6"/>
        </w:numPr>
        <w:spacing w:after="120"/>
        <w:ind w:left="425"/>
        <w:contextualSpacing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>Spolupracovat na zajištění účinné koordinace mezi Radou, Ministerstvem školství, mládeže a tělovýchovy (dále jen „MŠMT“), Ministerstvem průmyslu a obchodu (dále jen „MPO“) a dalšími orgány státní správy a Poskytovateli.</w:t>
      </w:r>
    </w:p>
    <w:p w:rsidR="008A5816" w:rsidRPr="008A5816" w:rsidRDefault="008A5816" w:rsidP="008A5816">
      <w:pPr>
        <w:autoSpaceDE w:val="0"/>
        <w:autoSpaceDN w:val="0"/>
        <w:adjustRightInd w:val="0"/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autoSpaceDE w:val="0"/>
        <w:autoSpaceDN w:val="0"/>
        <w:adjustRightInd w:val="0"/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b/>
          <w:lang w:eastAsia="en-US"/>
        </w:rPr>
        <w:t>Ad 1)</w:t>
      </w:r>
      <w:r w:rsidRPr="008A5816">
        <w:rPr>
          <w:rFonts w:ascii="Arial" w:eastAsia="Calibri" w:hAnsi="Arial" w:cs="Arial"/>
          <w:lang w:eastAsia="en-US"/>
        </w:rPr>
        <w:t xml:space="preserve"> Podle dokumentu Implementace Priorit měly být Priority zohledněny do Programu Komplexní udržitelné systémy v zemědělství 2012 – 2018 „KUS“, (dále jen „Program KUS“), který byl schválen usnesením Vlády ČR č. 52 dne 19. ledna 2011.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priority zohlednilo tak, že stanovilo povinnost uchazečů ve veřejné soutěži ve výzkumu, vývoji a inovacích v roce 2014, aby se každý návrh projektu přihlásil ke konkrétní prioritní oblasti a jejím cílům. Bez vyplnění této části nemohl být návrh projektu odeslán.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garantuje, že v současné době připravovaném novém programu zemědělského aplikovaného výzkumu na období 2017 – 2025 „ZEMĚ“ budou Národní priority orientovaného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v oblasti zemědělského aplikovaného výzkumu důsledně zapracovány.</w:t>
      </w:r>
    </w:p>
    <w:p w:rsidR="008A5816" w:rsidRPr="008A5816" w:rsidRDefault="008A5816" w:rsidP="008A5816">
      <w:pPr>
        <w:autoSpaceDE w:val="0"/>
        <w:autoSpaceDN w:val="0"/>
        <w:adjustRightInd w:val="0"/>
        <w:spacing w:after="120"/>
        <w:jc w:val="both"/>
        <w:rPr>
          <w:rFonts w:ascii="Arial" w:eastAsia="Calibri" w:hAnsi="Arial" w:cs="Arial"/>
          <w:lang w:eastAsia="en-US"/>
        </w:rPr>
      </w:pPr>
      <w:r w:rsidRPr="00580A98">
        <w:rPr>
          <w:rFonts w:ascii="Arial" w:eastAsia="Calibri" w:hAnsi="Arial" w:cs="Arial"/>
          <w:lang w:eastAsia="en-US"/>
        </w:rPr>
        <w:t xml:space="preserve">Implementace Národních priorit orientovaného výzkumu, experimentálního vývoje a inovací, která byla schválena usnesením vlády ze dne 31. července 2013 č. 569 stanovila působnost poskytovatele podpory v jednotlivých prioritních oblastech. Pro </w:t>
      </w:r>
      <w:proofErr w:type="spellStart"/>
      <w:proofErr w:type="gramStart"/>
      <w:r w:rsidRPr="00580A98">
        <w:rPr>
          <w:rFonts w:ascii="Arial" w:eastAsia="Calibri" w:hAnsi="Arial" w:cs="Arial"/>
          <w:lang w:eastAsia="en-US"/>
        </w:rPr>
        <w:t>MZe</w:t>
      </w:r>
      <w:proofErr w:type="spellEnd"/>
      <w:proofErr w:type="gramEnd"/>
      <w:r w:rsidRPr="00580A98">
        <w:rPr>
          <w:rFonts w:ascii="Arial" w:eastAsia="Calibri" w:hAnsi="Arial" w:cs="Arial"/>
          <w:lang w:eastAsia="en-US"/>
        </w:rPr>
        <w:t xml:space="preserve"> byly stanoveny dvě prioritní oblasti, ve veřejné soutěži v roce 2014 se k prioritní oblasti č. 1 Konkurenceschopná ekonomika založená na znalostech přihlásilo celkem 39 návrhů projektů a k prioritní oblasti č. 3 Prostředí pro kvalitní život celkem 43 návrhů projektů, které byly vybrány k financování;  2 návrhy projektů se přihlásily k prioritní oblasti </w:t>
      </w:r>
      <w:proofErr w:type="gramStart"/>
      <w:r w:rsidR="00580A98" w:rsidRPr="00580A98">
        <w:rPr>
          <w:rFonts w:ascii="Arial" w:eastAsia="Calibri" w:hAnsi="Arial" w:cs="Arial"/>
          <w:lang w:eastAsia="en-US"/>
        </w:rPr>
        <w:t xml:space="preserve">č. </w:t>
      </w:r>
      <w:r w:rsidRPr="00580A98">
        <w:rPr>
          <w:rFonts w:ascii="Arial" w:eastAsia="Calibri" w:hAnsi="Arial" w:cs="Arial"/>
          <w:lang w:eastAsia="en-US"/>
        </w:rPr>
        <w:t>2 Udržitelnost</w:t>
      </w:r>
      <w:proofErr w:type="gramEnd"/>
      <w:r w:rsidRPr="00580A98">
        <w:rPr>
          <w:rFonts w:ascii="Arial" w:eastAsia="Calibri" w:hAnsi="Arial" w:cs="Arial"/>
          <w:lang w:eastAsia="en-US"/>
        </w:rPr>
        <w:t xml:space="preserve"> energetiky a materiálových zdrojů.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b/>
          <w:lang w:eastAsia="en-US"/>
        </w:rPr>
        <w:t>Ad 2)</w:t>
      </w:r>
      <w:r w:rsidRPr="008A5816">
        <w:rPr>
          <w:rFonts w:ascii="Arial" w:eastAsia="Calibri" w:hAnsi="Arial" w:cs="Arial"/>
          <w:lang w:eastAsia="en-US"/>
        </w:rPr>
        <w:t xml:space="preserve"> </w:t>
      </w:r>
      <w:r w:rsidRPr="008A5816">
        <w:rPr>
          <w:rFonts w:ascii="Arial" w:eastAsia="Calibri" w:hAnsi="Arial" w:cs="Arial"/>
        </w:rPr>
        <w:t xml:space="preserve">V období 2009 – 2015 se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aktivně zapojilo do řady evropských výzkumných zemědělských projektů, tj. s aktivní finanční podporou různých výzkumných organizací veřejného i soukromého charakteru: </w:t>
      </w:r>
    </w:p>
    <w:p w:rsidR="008A5816" w:rsidRPr="008A5816" w:rsidRDefault="008A5816" w:rsidP="008A5816">
      <w:pPr>
        <w:spacing w:after="120"/>
        <w:ind w:left="851" w:hanging="143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- 7. RP ERANET: EUHRESCO I, EUPHRESCO II, ANIHWA, CORE </w:t>
      </w:r>
      <w:proofErr w:type="spellStart"/>
      <w:r w:rsidRPr="008A5816">
        <w:rPr>
          <w:rFonts w:ascii="Arial" w:eastAsia="Calibri" w:hAnsi="Arial" w:cs="Arial"/>
        </w:rPr>
        <w:t>Organic</w:t>
      </w:r>
      <w:proofErr w:type="spellEnd"/>
      <w:r w:rsidRPr="008A5816">
        <w:rPr>
          <w:rFonts w:ascii="Arial" w:eastAsia="Calibri" w:hAnsi="Arial" w:cs="Arial"/>
        </w:rPr>
        <w:t xml:space="preserve"> II, C – IPM;</w:t>
      </w:r>
    </w:p>
    <w:p w:rsidR="008A5816" w:rsidRPr="008A5816" w:rsidRDefault="008A5816" w:rsidP="008A5816">
      <w:pPr>
        <w:spacing w:after="120"/>
        <w:ind w:left="851" w:hanging="143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lastRenderedPageBreak/>
        <w:t xml:space="preserve">- Společná výzkumná iniciativa JPI FACCE (Food </w:t>
      </w:r>
      <w:proofErr w:type="spellStart"/>
      <w:r w:rsidRPr="008A5816">
        <w:rPr>
          <w:rFonts w:ascii="Arial" w:eastAsia="Calibri" w:hAnsi="Arial" w:cs="Arial"/>
        </w:rPr>
        <w:t>security</w:t>
      </w:r>
      <w:proofErr w:type="spellEnd"/>
      <w:r w:rsidRPr="008A5816">
        <w:rPr>
          <w:rFonts w:ascii="Arial" w:eastAsia="Calibri" w:hAnsi="Arial" w:cs="Arial"/>
        </w:rPr>
        <w:t xml:space="preserve">, </w:t>
      </w:r>
      <w:proofErr w:type="spellStart"/>
      <w:r w:rsidRPr="008A5816">
        <w:rPr>
          <w:rFonts w:ascii="Arial" w:eastAsia="Calibri" w:hAnsi="Arial" w:cs="Arial"/>
        </w:rPr>
        <w:t>Agriculture</w:t>
      </w:r>
      <w:proofErr w:type="spellEnd"/>
      <w:r w:rsidRPr="008A5816">
        <w:rPr>
          <w:rFonts w:ascii="Arial" w:eastAsia="Calibri" w:hAnsi="Arial" w:cs="Arial"/>
        </w:rPr>
        <w:t xml:space="preserve"> and </w:t>
      </w:r>
      <w:proofErr w:type="spellStart"/>
      <w:r w:rsidRPr="008A5816">
        <w:rPr>
          <w:rFonts w:ascii="Arial" w:eastAsia="Calibri" w:hAnsi="Arial" w:cs="Arial"/>
        </w:rPr>
        <w:t>Climate</w:t>
      </w:r>
      <w:proofErr w:type="spellEnd"/>
      <w:r w:rsidRPr="008A5816">
        <w:rPr>
          <w:rFonts w:ascii="Arial" w:eastAsia="Calibri" w:hAnsi="Arial" w:cs="Arial"/>
        </w:rPr>
        <w:t xml:space="preserve"> </w:t>
      </w:r>
      <w:proofErr w:type="spellStart"/>
      <w:r w:rsidRPr="008A5816">
        <w:rPr>
          <w:rFonts w:ascii="Arial" w:eastAsia="Calibri" w:hAnsi="Arial" w:cs="Arial"/>
        </w:rPr>
        <w:t>Change</w:t>
      </w:r>
      <w:proofErr w:type="spellEnd"/>
      <w:r w:rsidRPr="008A5816">
        <w:rPr>
          <w:rFonts w:ascii="Arial" w:eastAsia="Calibri" w:hAnsi="Arial" w:cs="Arial"/>
        </w:rPr>
        <w:t xml:space="preserve">): MACSUR I, MACSUR II, </w:t>
      </w:r>
      <w:proofErr w:type="spellStart"/>
      <w:r w:rsidRPr="008A5816">
        <w:rPr>
          <w:rFonts w:ascii="Arial" w:eastAsia="Calibri" w:hAnsi="Arial" w:cs="Arial"/>
        </w:rPr>
        <w:t>Sybraclim</w:t>
      </w:r>
      <w:proofErr w:type="spellEnd"/>
      <w:r w:rsidRPr="008A5816">
        <w:rPr>
          <w:rFonts w:ascii="Arial" w:eastAsia="Calibri" w:hAnsi="Arial" w:cs="Arial"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podpořilo evropské výzkumné projekty v roce 2014 celkovou částkou 1 750 tis. Kč a v roce 2015 částkou 2 500 tis. Kč a připravuje se zapojit do projektů Horizont 2020.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se ve spolupráci s hlavním organizátorem CZELO Brusel (Česká styčná kancelář pro výzkum, vývoj a inovace) podílí v posledních čtyřech letech na realizaci vybraných konferencí reprezentujících český zemědělský výzkum. Tyto konference mají za cíl informovat zahraniční subjekty o možnostech výzkumné spolupráce a především prezentovat úroveň výzkumu.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svým přímým členstvím v evropské platformě pro zemědělský výzkum EURAGRI umožňuje účast zástupců české zemědělské výzkumné obce na každoročních konferencích, na kterých se setkávají výzkumníci, zástupci jiných zemědělských platforem a asociací a zástupci státních správ. V roli pozorovatelů jsou vždy přítomni pracovníci Evropské komise, obvykle DG </w:t>
      </w:r>
      <w:proofErr w:type="spellStart"/>
      <w:r w:rsidRPr="008A5816">
        <w:rPr>
          <w:rFonts w:ascii="Arial" w:eastAsia="Calibri" w:hAnsi="Arial" w:cs="Arial"/>
        </w:rPr>
        <w:t>Research</w:t>
      </w:r>
      <w:proofErr w:type="spellEnd"/>
      <w:r w:rsidRPr="008A5816">
        <w:rPr>
          <w:rFonts w:ascii="Arial" w:eastAsia="Calibri" w:hAnsi="Arial" w:cs="Arial"/>
        </w:rPr>
        <w:t xml:space="preserve"> and </w:t>
      </w:r>
      <w:proofErr w:type="spellStart"/>
      <w:r w:rsidRPr="008A5816">
        <w:rPr>
          <w:rFonts w:ascii="Arial" w:eastAsia="Calibri" w:hAnsi="Arial" w:cs="Arial"/>
        </w:rPr>
        <w:t>Innovation</w:t>
      </w:r>
      <w:proofErr w:type="spellEnd"/>
      <w:r w:rsidRPr="008A5816">
        <w:rPr>
          <w:rFonts w:ascii="Arial" w:eastAsia="Calibri" w:hAnsi="Arial" w:cs="Arial"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b/>
        </w:rPr>
        <w:t>Ad 3)</w:t>
      </w:r>
      <w:r w:rsidRPr="008A5816">
        <w:rPr>
          <w:rFonts w:ascii="Arial" w:eastAsia="Calibri" w:hAnsi="Arial" w:cs="Arial"/>
        </w:rPr>
        <w:t xml:space="preserve">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předává každým rokem Radě na základě usnesení vlády č. 113 ze dne 26. ledna 2009 Roční zprávu o průběhu realizace koncepce zemědělského aplikovaného výzkumu.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má své zástupce v předsednictvu a v oborové komisi zemědělských a biologicko-environmentálních věd GA ČR. Resort navázal i spolupráci s MŠMT v oblasti hodnocení výzkumných záměrů a evropských programů a účastní se i hodnocení programů bezpečnostního výzkumu Ministerstva vnitra a programů Technologické agentury České republiky. Spolupráce resortů při hodnocení programů by měla vyloučit jejich možnou duplicitu na národní úrovni.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ind w:firstLine="709"/>
        <w:jc w:val="both"/>
        <w:rPr>
          <w:rFonts w:ascii="Arial" w:hAnsi="Arial"/>
          <w:b/>
          <w:iCs/>
          <w:lang w:eastAsia="en-US"/>
        </w:rPr>
      </w:pPr>
      <w:r w:rsidRPr="008A5816">
        <w:rPr>
          <w:rFonts w:ascii="Arial" w:hAnsi="Arial"/>
          <w:b/>
          <w:iCs/>
          <w:lang w:eastAsia="en-US"/>
        </w:rPr>
        <w:t xml:space="preserve">1.2 </w:t>
      </w:r>
      <w:r w:rsidRPr="008A5816">
        <w:rPr>
          <w:rFonts w:ascii="Arial" w:hAnsi="Arial"/>
          <w:b/>
          <w:iCs/>
          <w:lang w:eastAsia="en-US"/>
        </w:rPr>
        <w:tab/>
      </w:r>
      <w:bookmarkStart w:id="15" w:name="_Toc425144514"/>
      <w:r w:rsidRPr="008A5816">
        <w:rPr>
          <w:rFonts w:ascii="Arial" w:hAnsi="Arial"/>
          <w:b/>
          <w:iCs/>
          <w:lang w:eastAsia="en-US"/>
        </w:rPr>
        <w:t>Koncepce zemědělského aplikovaného výzkumu a vývoje</w:t>
      </w:r>
      <w:bookmarkEnd w:id="15"/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navrhuje a zabezpečuje realizaci koncepcí výzkumu a vývoje v agrárním sektoru. V současné době je platná </w:t>
      </w:r>
      <w:r w:rsidRPr="008A5816">
        <w:rPr>
          <w:rFonts w:ascii="Arial" w:eastAsia="Calibri" w:hAnsi="Arial" w:cs="Arial"/>
        </w:rPr>
        <w:t xml:space="preserve">Koncepce zemědělského aplikovaného výzkumu a vývoje do roku 2015 (dále jen „Koncepce 2015“), která byla schválena usnesením vlády ze dne 26. ledna 2009 č. 113 a vychází z Reformy systému výzkumu, vývoje a inovací v ČR, schválené usnesením vlády ze dne 26. března 2008 č. 287 (dále jen „Reforma“).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>Cílem Koncepce 2015 byla implementace Reformy a zvýšení efektivity využití prostředků investovaných do aplikovaného výzkumu v agrárním sektoru. Koncepce 2015 vytyčuje následující klíčové body: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(1) pružně reagovat na změny Společné zemědělské politiky EU,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(2) podpořit excelenci v resortním </w:t>
      </w:r>
      <w:proofErr w:type="spellStart"/>
      <w:r w:rsidRPr="008A5816">
        <w:rPr>
          <w:rFonts w:ascii="Arial" w:eastAsia="Calibri" w:hAnsi="Arial" w:cs="Arial"/>
          <w:lang w:eastAsia="en-US"/>
        </w:rPr>
        <w:t>VaV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a zajistit využití výsledků agrárního sektoru v praxi,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>(3) podporovat instituce podle dosažených výsledků, zvýšit podíl mezinárodní spolupráce ve 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>,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(4) zvýšit úroveň koordinace řízení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v agrárním sektoru a snížit administrativní zátěž při  poskytování účelové podpory.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Koncepce rovněž zahrnuje celkem 30 strategických a systémových opatření, která jsou zaměřena na podporu</w:t>
      </w:r>
      <w:r w:rsidRPr="008A5816">
        <w:rPr>
          <w:rFonts w:ascii="Arial" w:eastAsia="Calibri" w:hAnsi="Arial" w:cs="Arial"/>
          <w:bCs/>
        </w:rPr>
        <w:t xml:space="preserve"> excelence ve výzkumu, spolupráci s uživateli výsledků, zapojení do mezinárodní spolupráce, oblast řízení, organizaci a koordinaci účelové a </w:t>
      </w:r>
      <w:r w:rsidRPr="008A5816">
        <w:rPr>
          <w:rFonts w:ascii="Arial" w:eastAsia="Calibri" w:hAnsi="Arial" w:cs="Arial"/>
          <w:bCs/>
        </w:rPr>
        <w:lastRenderedPageBreak/>
        <w:t>institucionální podpory, mezinárodní spolupráci, transfer výsledků k uživatelům, informování veřejnosti a další opatření.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Podle usnesení vlády, kterým byla Koncepce 2015 schválena, předkládá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Radě každoročně zprávu o její realizaci. Z roční zprávy o průběhu realizace za rok 2013 vyplynulo, že z 30 opatření je 20 plněno průběžně a šest opatření bylo již splněno.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uvedlo, že nesplněno zůstalo opatření č. 1: </w:t>
      </w:r>
      <w:r w:rsidRPr="008A5816">
        <w:rPr>
          <w:rFonts w:ascii="Arial" w:eastAsia="Calibri" w:hAnsi="Arial" w:cs="Arial"/>
          <w:i/>
          <w:lang w:eastAsia="en-US"/>
        </w:rPr>
        <w:t xml:space="preserve">stanovit v rámci </w:t>
      </w:r>
      <w:proofErr w:type="spellStart"/>
      <w:r w:rsidRPr="008A5816">
        <w:rPr>
          <w:rFonts w:ascii="Arial" w:eastAsia="Calibri" w:hAnsi="Arial" w:cs="Arial"/>
          <w:i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i/>
          <w:lang w:eastAsia="en-US"/>
        </w:rPr>
        <w:t xml:space="preserve"> komplexní systém hodnocení výzkumu a vývoje na všech úrovních v souladu s Reformou, který bude podporovat a preferovat excelenci</w:t>
      </w:r>
      <w:r w:rsidRPr="008A5816">
        <w:rPr>
          <w:rFonts w:ascii="Arial" w:eastAsia="Calibri" w:hAnsi="Arial" w:cs="Arial"/>
          <w:lang w:eastAsia="en-US"/>
        </w:rPr>
        <w:t xml:space="preserve">.  Tento cíl je vhodné splnit až na základě nové Metodiky </w:t>
      </w:r>
      <w:r w:rsidRPr="008A5816">
        <w:rPr>
          <w:rFonts w:ascii="Arial" w:eastAsia="Calibri" w:hAnsi="Arial" w:cs="Arial"/>
          <w:bCs/>
        </w:rPr>
        <w:t>hodnocení výsledků výzkumných organizací, která ještě nebyla Radou schválena.</w:t>
      </w:r>
      <w:r w:rsidRPr="008A5816">
        <w:rPr>
          <w:rFonts w:ascii="Arial" w:eastAsia="Calibri" w:hAnsi="Arial" w:cs="Arial"/>
          <w:lang w:eastAsia="en-US"/>
        </w:rPr>
        <w:t xml:space="preserve">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Další opatření č. 11 </w:t>
      </w:r>
      <w:r w:rsidRPr="008A5816">
        <w:rPr>
          <w:rFonts w:ascii="Arial" w:eastAsia="Calibri" w:hAnsi="Arial" w:cs="Arial"/>
          <w:i/>
          <w:lang w:eastAsia="en-US"/>
        </w:rPr>
        <w:t xml:space="preserve">vyhlásit resortní program </w:t>
      </w:r>
      <w:proofErr w:type="spellStart"/>
      <w:r w:rsidRPr="008A5816">
        <w:rPr>
          <w:rFonts w:ascii="Arial" w:eastAsia="Calibri" w:hAnsi="Arial" w:cs="Arial"/>
          <w:i/>
          <w:lang w:eastAsia="en-US"/>
        </w:rPr>
        <w:t>VaV</w:t>
      </w:r>
      <w:proofErr w:type="spellEnd"/>
      <w:r w:rsidRPr="008A5816">
        <w:rPr>
          <w:rFonts w:ascii="Arial" w:eastAsia="Calibri" w:hAnsi="Arial" w:cs="Arial"/>
          <w:i/>
          <w:lang w:eastAsia="en-US"/>
        </w:rPr>
        <w:t>: Veřejná správa v agrárním sektoru</w:t>
      </w:r>
      <w:r w:rsidRPr="008A5816">
        <w:rPr>
          <w:rFonts w:ascii="Arial" w:eastAsia="Calibri" w:hAnsi="Arial" w:cs="Arial"/>
          <w:lang w:eastAsia="en-US"/>
        </w:rPr>
        <w:t xml:space="preserve">, bylo na základě požadavku Rady začleněno do programu Komplexní udržitelné systémy. 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Plnění opatření č. 23 zajistit realizaci </w:t>
      </w:r>
      <w:r w:rsidRPr="008A5816">
        <w:rPr>
          <w:rFonts w:ascii="Arial" w:eastAsia="Calibri" w:hAnsi="Arial" w:cs="Arial"/>
          <w:i/>
          <w:lang w:eastAsia="en-US"/>
        </w:rPr>
        <w:t xml:space="preserve">Programu 129 520 – Rozvoj a obnova materiálně technické základny systému řízení vědecko-výzkumné základny </w:t>
      </w:r>
      <w:proofErr w:type="spellStart"/>
      <w:r w:rsidRPr="008A5816">
        <w:rPr>
          <w:rFonts w:ascii="Arial" w:eastAsia="Calibri" w:hAnsi="Arial" w:cs="Arial"/>
          <w:i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bylo pozastaveno z důvodu nedostatku finančních prostředků.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>Realizačním dokumentem Koncepce 2015 jsou Programy výzkumu, kterými se podrobně zabývá část 2.2 tohoto dokumentu.</w:t>
      </w:r>
    </w:p>
    <w:p w:rsidR="008A5816" w:rsidRPr="008A5816" w:rsidRDefault="008A5816" w:rsidP="008A5816">
      <w:pPr>
        <w:keepNext/>
        <w:keepLines/>
        <w:spacing w:after="120"/>
        <w:outlineLvl w:val="1"/>
        <w:rPr>
          <w:rFonts w:ascii="Arial" w:hAnsi="Arial" w:cs="Arial"/>
          <w:b/>
          <w:bCs/>
          <w:lang w:eastAsia="en-US"/>
        </w:rPr>
      </w:pPr>
    </w:p>
    <w:p w:rsidR="008A5816" w:rsidRPr="008A5816" w:rsidRDefault="008A5816" w:rsidP="008A5816">
      <w:pPr>
        <w:spacing w:after="120"/>
        <w:ind w:firstLine="709"/>
        <w:jc w:val="both"/>
        <w:rPr>
          <w:rFonts w:ascii="Arial" w:hAnsi="Arial"/>
          <w:b/>
          <w:iCs/>
          <w:lang w:eastAsia="en-US"/>
        </w:rPr>
      </w:pPr>
      <w:r w:rsidRPr="008A5816">
        <w:rPr>
          <w:rFonts w:ascii="Arial" w:hAnsi="Arial"/>
          <w:b/>
          <w:iCs/>
          <w:lang w:eastAsia="en-US"/>
        </w:rPr>
        <w:t xml:space="preserve">1.3 </w:t>
      </w:r>
      <w:r w:rsidRPr="008A5816">
        <w:rPr>
          <w:rFonts w:ascii="Arial" w:hAnsi="Arial"/>
          <w:b/>
          <w:iCs/>
          <w:lang w:eastAsia="en-US"/>
        </w:rPr>
        <w:tab/>
        <w:t>Závěr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Program KUS, který bude ukončen v roce 2018, byl Poskytovatelem aktualizován v souvislosti s novými předpisy Evropské unie v oblasti veřejné podpory</w:t>
      </w:r>
      <w:r w:rsidRPr="008A5816">
        <w:rPr>
          <w:rFonts w:ascii="Arial" w:eastAsia="Calibri" w:hAnsi="Arial" w:cs="Arial"/>
          <w:vertAlign w:val="superscript"/>
        </w:rPr>
        <w:footnoteReference w:id="2"/>
      </w:r>
      <w:r w:rsidRPr="008A5816">
        <w:rPr>
          <w:rFonts w:ascii="Arial" w:eastAsia="Calibri" w:hAnsi="Arial" w:cs="Arial"/>
        </w:rPr>
        <w:t xml:space="preserve">. V rámci aktualizace do tohoto programu nebyly zapracovány Národní Priority orientovaného výzkumu, experimentálního vývoje a inovací, které byly schváleny usnesením vlády ze dne 19. července 2012 č. 552. Tyto Priority jsou nadále v souladu s Implementací NP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zohledněny při veřejných soutěžích.</w:t>
      </w:r>
    </w:p>
    <w:p w:rsidR="008A5816" w:rsidRPr="008A5816" w:rsidRDefault="008A5816" w:rsidP="008A5816">
      <w:pPr>
        <w:autoSpaceDE w:val="0"/>
        <w:autoSpaceDN w:val="0"/>
        <w:adjustRightInd w:val="0"/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lang w:val="en-US"/>
        </w:rPr>
        <w:t xml:space="preserve">Rada pro </w:t>
      </w:r>
      <w:r w:rsidRPr="008A5816">
        <w:rPr>
          <w:rFonts w:ascii="Arial" w:eastAsia="Calibri" w:hAnsi="Arial" w:cs="Arial"/>
        </w:rPr>
        <w:t>výzkum</w:t>
      </w:r>
      <w:r w:rsidRPr="008A5816">
        <w:rPr>
          <w:rFonts w:ascii="Arial" w:eastAsia="Calibri" w:hAnsi="Arial" w:cs="Arial"/>
          <w:lang w:val="en-US"/>
        </w:rPr>
        <w:t xml:space="preserve">, </w:t>
      </w:r>
      <w:r w:rsidRPr="008A5816">
        <w:rPr>
          <w:rFonts w:ascii="Arial" w:eastAsia="Calibri" w:hAnsi="Arial" w:cs="Arial"/>
        </w:rPr>
        <w:t>vývoj</w:t>
      </w:r>
      <w:r w:rsidRPr="008A5816">
        <w:rPr>
          <w:rFonts w:ascii="Arial" w:eastAsia="Calibri" w:hAnsi="Arial" w:cs="Arial"/>
          <w:lang w:val="en-US"/>
        </w:rPr>
        <w:t xml:space="preserve"> </w:t>
      </w:r>
      <w:proofErr w:type="gramStart"/>
      <w:r w:rsidRPr="008A5816">
        <w:rPr>
          <w:rFonts w:ascii="Arial" w:eastAsia="Calibri" w:hAnsi="Arial" w:cs="Arial"/>
          <w:lang w:val="en-US"/>
        </w:rPr>
        <w:t>a</w:t>
      </w:r>
      <w:proofErr w:type="gramEnd"/>
      <w:r w:rsidRPr="008A5816">
        <w:rPr>
          <w:rFonts w:ascii="Arial" w:eastAsia="Calibri" w:hAnsi="Arial" w:cs="Arial"/>
          <w:lang w:val="en-US"/>
        </w:rPr>
        <w:t xml:space="preserve"> </w:t>
      </w:r>
      <w:r w:rsidRPr="008A5816">
        <w:rPr>
          <w:rFonts w:ascii="Arial" w:eastAsia="Calibri" w:hAnsi="Arial" w:cs="Arial"/>
        </w:rPr>
        <w:t>inovace</w:t>
      </w:r>
      <w:r w:rsidRPr="008A5816">
        <w:rPr>
          <w:rFonts w:ascii="Arial" w:eastAsia="Calibri" w:hAnsi="Arial" w:cs="Arial"/>
          <w:lang w:val="en-US"/>
        </w:rPr>
        <w:t xml:space="preserve"> (</w:t>
      </w:r>
      <w:r w:rsidRPr="008A5816">
        <w:rPr>
          <w:rFonts w:ascii="Arial" w:eastAsia="Calibri" w:hAnsi="Arial" w:cs="Arial"/>
        </w:rPr>
        <w:t>dále</w:t>
      </w:r>
      <w:r w:rsidRPr="008A5816">
        <w:rPr>
          <w:rFonts w:ascii="Arial" w:eastAsia="Calibri" w:hAnsi="Arial" w:cs="Arial"/>
          <w:lang w:val="en-US"/>
        </w:rPr>
        <w:t xml:space="preserve"> </w:t>
      </w:r>
      <w:r w:rsidRPr="008A5816">
        <w:rPr>
          <w:rFonts w:ascii="Arial" w:eastAsia="Calibri" w:hAnsi="Arial" w:cs="Arial"/>
        </w:rPr>
        <w:t>jen</w:t>
      </w:r>
      <w:r w:rsidRPr="008A5816">
        <w:rPr>
          <w:rFonts w:ascii="Arial" w:eastAsia="Calibri" w:hAnsi="Arial" w:cs="Arial"/>
          <w:lang w:val="en-US"/>
        </w:rPr>
        <w:t xml:space="preserve"> “Rada”) </w:t>
      </w:r>
      <w:proofErr w:type="spellStart"/>
      <w:r w:rsidRPr="008A5816">
        <w:rPr>
          <w:rFonts w:ascii="Arial" w:eastAsia="Calibri" w:hAnsi="Arial" w:cs="Arial"/>
          <w:lang w:val="en-US"/>
        </w:rPr>
        <w:t>konstatuje</w:t>
      </w:r>
      <w:proofErr w:type="spellEnd"/>
      <w:r w:rsidRPr="008A5816">
        <w:rPr>
          <w:rFonts w:ascii="Arial" w:eastAsia="Calibri" w:hAnsi="Arial" w:cs="Arial"/>
        </w:rPr>
        <w:t>,</w:t>
      </w:r>
      <w:r w:rsidRPr="008A5816">
        <w:rPr>
          <w:rFonts w:ascii="Arial" w:eastAsia="Calibri" w:hAnsi="Arial" w:cs="Arial"/>
          <w:lang w:val="en-US"/>
        </w:rPr>
        <w:t xml:space="preserve"> </w:t>
      </w:r>
      <w:r w:rsidRPr="008A5816">
        <w:rPr>
          <w:rFonts w:ascii="Arial" w:eastAsia="Calibri" w:hAnsi="Arial" w:cs="Arial"/>
        </w:rPr>
        <w:t>že Poskytovatel (pravděpodobně i vzhledem k době trvání Programu KUS) stanovil pouze povinnost uchazečům v rámci veřejných soutěží, aby se každý návrh projektu přihlásil ke konkrétní prioritní oblasti a jejím dalším specifikacím. Úkolem daným usnesením vlády ze dne 31. července 2013 č. 569 K implementaci Národních priorit orientovaného výzkumu, experimentálního vývoje a inovací je v části II, bodu 1 písm. a) uloženo členům vlády, předsedům Akademie věd České republiky a Grantové agentury České republiky a předsedkyni Technologické agentury České republiky implementovat Národní priority orientovaného výzkumu, experimentálního vývoje a inovací v rámci své působnosti, a to zejména při přípravě nových programů výzkumu, experimentálního vývoje a inovací. Rada upozorňuje, že v rámci přípravy nového programu zemědělského aplikovaného výzkumu musí být tyto Priority důsledně zapracovány.</w:t>
      </w:r>
    </w:p>
    <w:p w:rsidR="008A5816" w:rsidRPr="008A5816" w:rsidRDefault="008A5816" w:rsidP="008A5816">
      <w:pPr>
        <w:autoSpaceDE w:val="0"/>
        <w:autoSpaceDN w:val="0"/>
        <w:adjustRightInd w:val="0"/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Rámcově lze konstatovat, že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při své činnosti v oblasti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usiluje o včasnou a správnou implementaci národních a strategických dokumentů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>, p</w:t>
      </w:r>
      <w:r w:rsidRPr="008A5816">
        <w:rPr>
          <w:rFonts w:ascii="Arial" w:eastAsia="Calibri" w:hAnsi="Arial" w:cs="Arial"/>
          <w:lang w:eastAsia="en-US"/>
        </w:rPr>
        <w:t xml:space="preserve">odporuje </w:t>
      </w:r>
      <w:r w:rsidRPr="008A5816">
        <w:rPr>
          <w:rFonts w:ascii="Arial" w:eastAsia="Calibri" w:hAnsi="Arial" w:cs="Arial"/>
          <w:lang w:eastAsia="en-US"/>
        </w:rPr>
        <w:lastRenderedPageBreak/>
        <w:t xml:space="preserve">aktivity napomáhající zapojení subjektů z ČR do mezinárodního výzkumu a zabezpečuje odborné zázemí pro reprezentanty ČR pro akce realizované na evropské úrovni.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rovněž aktivně </w:t>
      </w:r>
      <w:r w:rsidRPr="008A5816">
        <w:rPr>
          <w:rFonts w:ascii="Arial" w:eastAsia="Calibri" w:hAnsi="Arial" w:cs="Arial"/>
        </w:rPr>
        <w:t xml:space="preserve">pomáhá při koordinaci práce ve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mezi Radou i poskytovateli účelové podpory ve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>.</w:t>
      </w:r>
    </w:p>
    <w:p w:rsidR="008A5816" w:rsidRPr="008A5816" w:rsidRDefault="008A5816" w:rsidP="008A5816">
      <w:pPr>
        <w:tabs>
          <w:tab w:val="left" w:pos="0"/>
        </w:tabs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Koncepce zemědělského aplikovaného výzkumu a vývoje do roku 2015 je v souladu se všemi dokumenty platnými v době schválení a splňuje všechny potřebné formální náležitosti.</w:t>
      </w:r>
    </w:p>
    <w:p w:rsidR="008A5816" w:rsidRPr="008A5816" w:rsidRDefault="008A5816" w:rsidP="008A5816">
      <w:pPr>
        <w:tabs>
          <w:tab w:val="left" w:pos="0"/>
        </w:tabs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Rada bere na vědomí neplnění opatření č. 1 Koncepce stanovit komplexní systém hodnocení výzkumu a vývoje na všech úrovních v rámci Poskytovatele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v souladu s Reformou, který bude podporovat a preferovat excelenci v rámci </w:t>
      </w:r>
      <w:proofErr w:type="spellStart"/>
      <w:r w:rsidRPr="008A5816">
        <w:rPr>
          <w:rFonts w:ascii="Arial" w:eastAsia="Calibri" w:hAnsi="Arial" w:cs="Arial"/>
        </w:rPr>
        <w:t>VaV</w:t>
      </w:r>
      <w:proofErr w:type="spellEnd"/>
      <w:r w:rsidRPr="008A5816">
        <w:rPr>
          <w:rFonts w:ascii="Arial" w:eastAsia="Calibri" w:hAnsi="Arial" w:cs="Arial"/>
        </w:rPr>
        <w:t xml:space="preserve"> agrárního sektoru.</w:t>
      </w:r>
    </w:p>
    <w:p w:rsidR="008A5816" w:rsidRPr="008A5816" w:rsidRDefault="008A5816" w:rsidP="008A5816">
      <w:pPr>
        <w:tabs>
          <w:tab w:val="left" w:pos="0"/>
        </w:tabs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keepLines/>
        <w:spacing w:after="120"/>
        <w:ind w:left="360" w:hanging="360"/>
        <w:outlineLvl w:val="0"/>
        <w:rPr>
          <w:rFonts w:ascii="Arial" w:hAnsi="Arial"/>
          <w:b/>
          <w:bCs/>
          <w:sz w:val="28"/>
          <w:szCs w:val="28"/>
        </w:rPr>
      </w:pPr>
      <w:bookmarkStart w:id="16" w:name="_Toc425144516"/>
      <w:r>
        <w:rPr>
          <w:rFonts w:ascii="Arial" w:hAnsi="Arial"/>
          <w:b/>
          <w:bCs/>
          <w:sz w:val="28"/>
          <w:szCs w:val="28"/>
        </w:rPr>
        <w:t>2</w:t>
      </w:r>
      <w:r>
        <w:rPr>
          <w:rFonts w:ascii="Arial" w:hAnsi="Arial"/>
          <w:b/>
          <w:bCs/>
          <w:sz w:val="28"/>
          <w:szCs w:val="28"/>
        </w:rPr>
        <w:tab/>
      </w:r>
      <w:r w:rsidRPr="008A5816">
        <w:rPr>
          <w:rFonts w:ascii="Arial" w:hAnsi="Arial"/>
          <w:b/>
          <w:bCs/>
          <w:sz w:val="28"/>
          <w:szCs w:val="28"/>
        </w:rPr>
        <w:t>Institucionální a účelová podpora Ministerstva zemědělství na výzkum, vývoj a inovace</w:t>
      </w:r>
      <w:bookmarkEnd w:id="16"/>
    </w:p>
    <w:p w:rsidR="008A5816" w:rsidRPr="008A5816" w:rsidRDefault="008A5816" w:rsidP="008A5816">
      <w:pPr>
        <w:spacing w:after="120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spacing w:after="120"/>
        <w:rPr>
          <w:rFonts w:ascii="Arial" w:eastAsia="Calibri" w:hAnsi="Arial" w:cs="Arial"/>
          <w:i/>
          <w:lang w:eastAsia="en-US"/>
        </w:rPr>
      </w:pPr>
      <w:r w:rsidRPr="008A5816">
        <w:rPr>
          <w:rFonts w:ascii="Arial" w:eastAsia="Calibri" w:hAnsi="Arial" w:cs="Arial"/>
          <w:i/>
          <w:lang w:eastAsia="en-US"/>
        </w:rPr>
        <w:t xml:space="preserve">Tato kapitola stručně představuje strukturu výdajů </w:t>
      </w:r>
      <w:proofErr w:type="spellStart"/>
      <w:r w:rsidRPr="008A5816">
        <w:rPr>
          <w:rFonts w:ascii="Arial" w:eastAsia="Calibri" w:hAnsi="Arial" w:cs="Arial"/>
          <w:i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i/>
          <w:lang w:eastAsia="en-US"/>
        </w:rPr>
        <w:t xml:space="preserve"> z hlediska institucionální a účelové podpory, přičemž hodnotí i efektivitu produkce </w:t>
      </w:r>
      <w:proofErr w:type="spellStart"/>
      <w:r w:rsidRPr="008A5816">
        <w:rPr>
          <w:rFonts w:ascii="Arial" w:eastAsia="Calibri" w:hAnsi="Arial" w:cs="Arial"/>
          <w:i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i/>
          <w:lang w:eastAsia="en-US"/>
        </w:rPr>
        <w:t xml:space="preserve"> v těchto segmentech.</w:t>
      </w:r>
    </w:p>
    <w:p w:rsidR="008A5816" w:rsidRPr="008A5816" w:rsidRDefault="008A5816" w:rsidP="008A5816">
      <w:pPr>
        <w:spacing w:after="120"/>
        <w:rPr>
          <w:rFonts w:ascii="Arial" w:eastAsia="Calibri" w:hAnsi="Arial" w:cs="Arial"/>
          <w:b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Výdaje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na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(viz graf 1) obecně kopírují rozpočtové trendy ostatních Poskytovatelů, do kterých nejvýrazněji promluvila krize a finanční prostředky se postupně vracejí na předchozí úroveň.  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  <w:lang w:eastAsia="en-US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  <w:i/>
          <w:lang w:eastAsia="en-US"/>
        </w:rPr>
      </w:pPr>
      <w:r w:rsidRPr="008A5816">
        <w:rPr>
          <w:rFonts w:ascii="Arial" w:eastAsia="Calibri" w:hAnsi="Arial" w:cs="Arial"/>
          <w:b/>
          <w:lang w:eastAsia="en-US"/>
        </w:rPr>
        <w:t>Graf 1:</w:t>
      </w:r>
      <w:r w:rsidRPr="008A5816">
        <w:rPr>
          <w:rFonts w:ascii="Arial" w:eastAsia="Calibri" w:hAnsi="Arial" w:cs="Arial"/>
          <w:lang w:eastAsia="en-US"/>
        </w:rPr>
        <w:t xml:space="preserve"> </w:t>
      </w:r>
      <w:r w:rsidRPr="008A5816">
        <w:rPr>
          <w:rFonts w:ascii="Arial" w:eastAsia="Calibri" w:hAnsi="Arial" w:cs="Arial"/>
          <w:i/>
          <w:lang w:eastAsia="en-US"/>
        </w:rPr>
        <w:t xml:space="preserve">Výdaje </w:t>
      </w:r>
      <w:proofErr w:type="spellStart"/>
      <w:r w:rsidRPr="008A5816">
        <w:rPr>
          <w:rFonts w:ascii="Arial" w:eastAsia="Calibri" w:hAnsi="Arial" w:cs="Arial"/>
          <w:i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i/>
          <w:lang w:eastAsia="en-US"/>
        </w:rPr>
        <w:t xml:space="preserve"> na podporu </w:t>
      </w:r>
      <w:proofErr w:type="spellStart"/>
      <w:r w:rsidRPr="008A5816">
        <w:rPr>
          <w:rFonts w:ascii="Arial" w:eastAsia="Calibri" w:hAnsi="Arial" w:cs="Arial"/>
          <w:i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i/>
          <w:lang w:eastAsia="en-US"/>
        </w:rPr>
        <w:t xml:space="preserve"> od roku 2005 do roku 2015 (v tisících Kč).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7E57B9F8" wp14:editId="06864886">
            <wp:extent cx="3944620" cy="2099945"/>
            <wp:effectExtent l="0" t="0" r="17780" b="14605"/>
            <wp:docPr id="24" name="Graf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Český statistický úřad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lang w:eastAsia="en-US"/>
        </w:rPr>
        <w:t xml:space="preserve">Podíl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na celkových výdajích státního rozpočtu na podporu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se v letech 2005 až 2015 pohyboval v rozmezí od 4,42 % do 2,75 % (obr. 2). Ačkoliv v </w:t>
      </w:r>
      <w:proofErr w:type="spellStart"/>
      <w:r w:rsidRPr="008A5816">
        <w:rPr>
          <w:rFonts w:ascii="Arial" w:eastAsia="Calibri" w:hAnsi="Arial" w:cs="Arial"/>
          <w:lang w:eastAsia="en-US"/>
        </w:rPr>
        <w:t>postkrizovém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období dochází k postupnému navyšování sníženého podílu, jeho dynamika je pozvolná. </w:t>
      </w:r>
      <w:r w:rsidRPr="008A5816">
        <w:rPr>
          <w:rFonts w:ascii="Arial" w:eastAsia="Calibri" w:hAnsi="Arial" w:cs="Arial"/>
        </w:rPr>
        <w:t xml:space="preserve">Vezmeme-li v potaz údaje z grafu 1, pak je zřejmé, že došlo v posledních letech k relativnímu poklesu významu tohoto Poskytovatele z hlediska jeho celkového podílu na státním rozpočtu pro oblast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</w:rPr>
      </w:pPr>
    </w:p>
    <w:p w:rsidR="008A5816" w:rsidRDefault="008A5816" w:rsidP="008A5816">
      <w:pPr>
        <w:spacing w:after="120"/>
        <w:jc w:val="both"/>
        <w:rPr>
          <w:rFonts w:ascii="Arial" w:eastAsia="Calibri" w:hAnsi="Arial" w:cs="Arial"/>
          <w:b/>
        </w:rPr>
      </w:pPr>
    </w:p>
    <w:p w:rsidR="008A5816" w:rsidRDefault="008A5816" w:rsidP="008A5816">
      <w:pPr>
        <w:spacing w:after="120"/>
        <w:jc w:val="both"/>
        <w:rPr>
          <w:rFonts w:ascii="Arial" w:eastAsia="Calibri" w:hAnsi="Arial" w:cs="Arial"/>
          <w:b/>
        </w:rPr>
      </w:pPr>
    </w:p>
    <w:p w:rsidR="008A5816" w:rsidRDefault="008A5816" w:rsidP="008A5816">
      <w:pPr>
        <w:spacing w:after="120"/>
        <w:jc w:val="both"/>
        <w:rPr>
          <w:rFonts w:ascii="Arial" w:eastAsia="Calibri" w:hAnsi="Arial" w:cs="Arial"/>
          <w:b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b/>
        </w:rPr>
        <w:t xml:space="preserve">Graf 2: </w:t>
      </w:r>
      <w:r w:rsidRPr="008A5816">
        <w:rPr>
          <w:rFonts w:ascii="Arial" w:eastAsia="Calibri" w:hAnsi="Arial" w:cs="Arial"/>
          <w:i/>
        </w:rPr>
        <w:t xml:space="preserve">Podíl výdajů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na celkových výdajích na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 xml:space="preserve"> ze SR (v %).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1B1F9D9B" wp14:editId="26EE120F">
            <wp:extent cx="4381500" cy="2209800"/>
            <wp:effectExtent l="0" t="0" r="19050" b="19050"/>
            <wp:docPr id="25" name="Graf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Český statistický úřad</w:t>
      </w:r>
    </w:p>
    <w:p w:rsidR="008A5816" w:rsidRPr="008A5816" w:rsidRDefault="008A5816" w:rsidP="008A5816">
      <w:pPr>
        <w:spacing w:after="120"/>
        <w:rPr>
          <w:rFonts w:ascii="Arial" w:eastAsia="Calibri" w:hAnsi="Arial" w:cs="Arial"/>
          <w:sz w:val="22"/>
          <w:szCs w:val="22"/>
        </w:rPr>
      </w:pPr>
    </w:p>
    <w:p w:rsidR="008A5816" w:rsidRPr="008A5816" w:rsidRDefault="008A5816" w:rsidP="008A5816">
      <w:pPr>
        <w:spacing w:after="120"/>
        <w:ind w:firstLine="709"/>
        <w:jc w:val="both"/>
        <w:rPr>
          <w:rFonts w:ascii="Arial" w:hAnsi="Arial"/>
          <w:b/>
          <w:iCs/>
          <w:lang w:eastAsia="en-US"/>
        </w:rPr>
      </w:pPr>
      <w:r w:rsidRPr="008A5816">
        <w:rPr>
          <w:rFonts w:ascii="Arial" w:hAnsi="Arial"/>
          <w:b/>
          <w:iCs/>
          <w:lang w:eastAsia="en-US"/>
        </w:rPr>
        <w:t xml:space="preserve">2.1 </w:t>
      </w:r>
      <w:r w:rsidRPr="008A5816">
        <w:rPr>
          <w:rFonts w:ascii="Arial" w:hAnsi="Arial"/>
          <w:b/>
          <w:iCs/>
          <w:lang w:eastAsia="en-US"/>
        </w:rPr>
        <w:tab/>
        <w:t xml:space="preserve">Institucionální podpora poskytovaná </w:t>
      </w:r>
      <w:proofErr w:type="spellStart"/>
      <w:r w:rsidRPr="008A5816">
        <w:rPr>
          <w:rFonts w:ascii="Arial" w:hAnsi="Arial"/>
          <w:b/>
          <w:iCs/>
          <w:lang w:eastAsia="en-US"/>
        </w:rPr>
        <w:t>MZe</w:t>
      </w:r>
      <w:proofErr w:type="spellEnd"/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podporuje oblast </w:t>
      </w:r>
      <w:proofErr w:type="spellStart"/>
      <w:r w:rsidRPr="008A5816">
        <w:rPr>
          <w:rFonts w:ascii="Arial" w:eastAsia="Calibri" w:hAnsi="Arial" w:cs="Arial"/>
          <w:lang w:eastAsia="en-US"/>
        </w:rPr>
        <w:t>VaVaI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formou institucionální i účelové podpory, jejichž vzájemný podíl je patrný z následujícího grafu. </w:t>
      </w:r>
    </w:p>
    <w:p w:rsidR="008A5816" w:rsidRPr="008A5816" w:rsidRDefault="008A5816" w:rsidP="008A5816">
      <w:pPr>
        <w:keepNext/>
        <w:spacing w:after="120"/>
        <w:jc w:val="both"/>
        <w:rPr>
          <w:rFonts w:ascii="Arial" w:eastAsia="Calibri" w:hAnsi="Arial" w:cs="Arial"/>
          <w:b/>
        </w:rPr>
      </w:pPr>
    </w:p>
    <w:p w:rsidR="008A5816" w:rsidRPr="008A5816" w:rsidRDefault="008A5816" w:rsidP="008A5816">
      <w:pPr>
        <w:keepNext/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b/>
        </w:rPr>
        <w:t xml:space="preserve">Graf 3: </w:t>
      </w:r>
      <w:r w:rsidRPr="008A5816">
        <w:rPr>
          <w:rFonts w:ascii="Arial" w:eastAsia="Calibri" w:hAnsi="Arial" w:cs="Arial"/>
          <w:i/>
        </w:rPr>
        <w:t xml:space="preserve">Výdaje ze státního rozpočtu na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 xml:space="preserve"> - kapitola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(v tisících Kč).</w:t>
      </w:r>
    </w:p>
    <w:p w:rsidR="008A5816" w:rsidRPr="008A5816" w:rsidRDefault="008A5816" w:rsidP="008A5816">
      <w:pPr>
        <w:keepNext/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b/>
          <w:noProof/>
          <w:sz w:val="22"/>
          <w:szCs w:val="22"/>
        </w:rPr>
        <w:drawing>
          <wp:inline distT="0" distB="0" distL="0" distR="0" wp14:anchorId="78E44F3E" wp14:editId="69C0E9DE">
            <wp:extent cx="4242391" cy="1998921"/>
            <wp:effectExtent l="0" t="0" r="25400" b="20955"/>
            <wp:docPr id="26" name="Graf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Český statistický úřad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Do roku 2010 poskytovalo </w:t>
      </w: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institucionální podporu pouze veřejným výzkumným institucím, a to na výzkumné záměry. Soukromým společnostem byla institucionální podpora výzkumných záměrů poskytována prostřednictvím rozpočtové kapitoly MŠMT. Od roku 2011 včetně je část institucionální podpory poskytována </w:t>
      </w:r>
      <w:r w:rsidRPr="008A5816">
        <w:rPr>
          <w:rFonts w:ascii="Arial" w:eastAsia="Calibri" w:hAnsi="Arial" w:cs="Arial"/>
          <w:lang w:eastAsia="en-US"/>
        </w:rPr>
        <w:lastRenderedPageBreak/>
        <w:t xml:space="preserve">z rozpočtové kapitoly i soukromým výzkumným organizacím. V těchto letech docházelo postupně k ukončování řešení výzkumných záměrů.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 xml:space="preserve">V roce 2013 patřilo mezi příjemce podpory na dlouhodobý koncepční rozvoj sedm resortních veřejných výzkumných organizací (Výzkumný ústav lesního hospodářství a myslivosti, </w:t>
      </w:r>
      <w:proofErr w:type="spellStart"/>
      <w:proofErr w:type="gramStart"/>
      <w:r w:rsidRPr="008A5816">
        <w:rPr>
          <w:rFonts w:ascii="Arial" w:eastAsia="Calibri" w:hAnsi="Arial" w:cs="Arial"/>
          <w:lang w:eastAsia="en-US"/>
        </w:rPr>
        <w:t>v.v.</w:t>
      </w:r>
      <w:proofErr w:type="gramEnd"/>
      <w:r w:rsidRPr="008A5816">
        <w:rPr>
          <w:rFonts w:ascii="Arial" w:eastAsia="Calibri" w:hAnsi="Arial" w:cs="Arial"/>
          <w:lang w:eastAsia="en-US"/>
        </w:rPr>
        <w:t>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.,  Výzkumný ústav meliorací a ochrany půdy, </w:t>
      </w:r>
      <w:proofErr w:type="spellStart"/>
      <w:r w:rsidRPr="008A5816">
        <w:rPr>
          <w:rFonts w:ascii="Arial" w:eastAsia="Calibri" w:hAnsi="Arial" w:cs="Arial"/>
          <w:lang w:eastAsia="en-US"/>
        </w:rPr>
        <w:t>v.v.i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., Výzkumný ústav potravinářský Praha, </w:t>
      </w:r>
      <w:proofErr w:type="spellStart"/>
      <w:r w:rsidRPr="008A5816">
        <w:rPr>
          <w:rFonts w:ascii="Arial" w:eastAsia="Calibri" w:hAnsi="Arial" w:cs="Arial"/>
          <w:lang w:eastAsia="en-US"/>
        </w:rPr>
        <w:t>v.v.i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., Výzkumný ústav rostlinné výroby, </w:t>
      </w:r>
      <w:proofErr w:type="spellStart"/>
      <w:r w:rsidRPr="008A5816">
        <w:rPr>
          <w:rFonts w:ascii="Arial" w:eastAsia="Calibri" w:hAnsi="Arial" w:cs="Arial"/>
          <w:lang w:eastAsia="en-US"/>
        </w:rPr>
        <w:t>v.v.i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., Výzkumný ústav veterinárního lékařství, </w:t>
      </w:r>
      <w:proofErr w:type="spellStart"/>
      <w:r w:rsidRPr="008A5816">
        <w:rPr>
          <w:rFonts w:ascii="Arial" w:eastAsia="Calibri" w:hAnsi="Arial" w:cs="Arial"/>
          <w:lang w:eastAsia="en-US"/>
        </w:rPr>
        <w:t>v.v.i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., Výzkumný ústav zemědělské techniky, </w:t>
      </w:r>
      <w:proofErr w:type="spellStart"/>
      <w:r w:rsidRPr="008A5816">
        <w:rPr>
          <w:rFonts w:ascii="Arial" w:eastAsia="Calibri" w:hAnsi="Arial" w:cs="Arial"/>
          <w:lang w:eastAsia="en-US"/>
        </w:rPr>
        <w:t>v.v.i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a Výzkumný ústav živočišné výroby, </w:t>
      </w:r>
      <w:proofErr w:type="spellStart"/>
      <w:r w:rsidRPr="008A5816">
        <w:rPr>
          <w:rFonts w:ascii="Arial" w:eastAsia="Calibri" w:hAnsi="Arial" w:cs="Arial"/>
          <w:lang w:eastAsia="en-US"/>
        </w:rPr>
        <w:t>v.v.i</w:t>
      </w:r>
      <w:proofErr w:type="spellEnd"/>
      <w:r w:rsidRPr="008A5816">
        <w:rPr>
          <w:rFonts w:ascii="Arial" w:eastAsia="Calibri" w:hAnsi="Arial" w:cs="Arial"/>
          <w:lang w:eastAsia="en-US"/>
        </w:rPr>
        <w:t>.), dále dvě resortní příspěvkové organizace (Národní zemědělské muzeum Praha a Ústav zemědělské ekonomiky a informací) a 11 soukromých výzkumných organizací (</w:t>
      </w:r>
      <w:proofErr w:type="spellStart"/>
      <w:r w:rsidRPr="008A5816">
        <w:rPr>
          <w:rFonts w:ascii="Arial" w:eastAsia="Calibri" w:hAnsi="Arial" w:cs="Arial"/>
          <w:lang w:eastAsia="en-US"/>
        </w:rPr>
        <w:t>Agritec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Plant </w:t>
      </w:r>
      <w:proofErr w:type="spellStart"/>
      <w:r w:rsidRPr="008A5816">
        <w:rPr>
          <w:rFonts w:ascii="Arial" w:eastAsia="Calibri" w:hAnsi="Arial" w:cs="Arial"/>
          <w:lang w:eastAsia="en-US"/>
        </w:rPr>
        <w:t>Research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s.r.o., </w:t>
      </w:r>
      <w:proofErr w:type="spellStart"/>
      <w:r w:rsidRPr="008A5816">
        <w:rPr>
          <w:rFonts w:ascii="Arial" w:eastAsia="Calibri" w:hAnsi="Arial" w:cs="Arial"/>
          <w:lang w:eastAsia="en-US"/>
        </w:rPr>
        <w:t>Agrotest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</w:t>
      </w:r>
      <w:proofErr w:type="spellStart"/>
      <w:r w:rsidRPr="008A5816">
        <w:rPr>
          <w:rFonts w:ascii="Arial" w:eastAsia="Calibri" w:hAnsi="Arial" w:cs="Arial"/>
          <w:lang w:eastAsia="en-US"/>
        </w:rPr>
        <w:t>fyto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, s.r.o., </w:t>
      </w:r>
      <w:proofErr w:type="spellStart"/>
      <w:r w:rsidRPr="008A5816">
        <w:rPr>
          <w:rFonts w:ascii="Arial" w:eastAsia="Calibri" w:hAnsi="Arial" w:cs="Arial"/>
          <w:lang w:eastAsia="en-US"/>
        </w:rPr>
        <w:t>Agrovýzkum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Rapotín s.r.o., Chmelařský institut s.r.o., OSEVA vývoj a výzkum s.r.o., Výzkumné centrum SELTON, s.r.o., Výzkumný a šlechtitelský ústav ovocnářský Holovousy, s.r.o., Výzkumný ústav bramborářský Havlíčkův Brod, s.r.o., Výzkumný ústav pivovarský a sladařský, a.s., Výzkumný ústav mlékárenský s.r.o., a Zemědělský výzkum, spol. s r.o.).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poskytlo v letech 2009 až 2013 institucionální podporu na řešení výzkumných záměrů (dále jen „VZ“) všem svým sedmi veřejným výzkumným institucím ve výši prezentované v tabulce 1.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  <w:i/>
        </w:rPr>
      </w:pPr>
      <w:r w:rsidRPr="008A5816">
        <w:rPr>
          <w:rFonts w:ascii="Arial" w:eastAsia="Calibri" w:hAnsi="Arial" w:cs="Arial"/>
          <w:b/>
        </w:rPr>
        <w:t xml:space="preserve">Tabulka 1: </w:t>
      </w:r>
      <w:r w:rsidRPr="008A5816">
        <w:rPr>
          <w:rFonts w:ascii="Arial" w:eastAsia="Calibri" w:hAnsi="Arial" w:cs="Arial"/>
          <w:i/>
        </w:rPr>
        <w:t>Skutečné náklady na řešení VZ (v tis. Kč).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11"/>
        <w:gridCol w:w="1868"/>
        <w:gridCol w:w="1292"/>
        <w:gridCol w:w="1134"/>
        <w:gridCol w:w="706"/>
      </w:tblGrid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b/>
                <w:sz w:val="22"/>
                <w:szCs w:val="22"/>
              </w:rPr>
              <w:t>Příjemce podpory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b/>
                <w:sz w:val="22"/>
                <w:szCs w:val="22"/>
              </w:rPr>
              <w:t>Náklady celkem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b/>
                <w:sz w:val="22"/>
                <w:szCs w:val="22"/>
              </w:rPr>
              <w:t>Z toho IP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b/>
                <w:sz w:val="22"/>
                <w:szCs w:val="22"/>
              </w:rPr>
              <w:t>RO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b/>
                <w:sz w:val="22"/>
                <w:szCs w:val="22"/>
              </w:rPr>
              <w:t>NZV</w:t>
            </w:r>
          </w:p>
        </w:tc>
      </w:tr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color w:val="000000"/>
                <w:sz w:val="22"/>
                <w:szCs w:val="22"/>
              </w:rPr>
              <w:t>VÚ lesního hospodářství a myslivosti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124 554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112 923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11 631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0</w:t>
            </w:r>
          </w:p>
        </w:tc>
      </w:tr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color w:val="000000"/>
                <w:sz w:val="22"/>
                <w:szCs w:val="22"/>
              </w:rPr>
              <w:t>VÚ meliorací a ochrany půdy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128 238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119 567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 xml:space="preserve"> 8 671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0</w:t>
            </w:r>
          </w:p>
        </w:tc>
      </w:tr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color w:val="000000"/>
                <w:sz w:val="22"/>
                <w:szCs w:val="22"/>
              </w:rPr>
              <w:t>VÚ potravinářský Praha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 xml:space="preserve"> 76 663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 xml:space="preserve"> 61 443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14 735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485</w:t>
            </w:r>
          </w:p>
        </w:tc>
      </w:tr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color w:val="000000"/>
                <w:sz w:val="22"/>
                <w:szCs w:val="22"/>
              </w:rPr>
              <w:t>VÚ rostlinné výroby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503 189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438 078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63 111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2000</w:t>
            </w:r>
          </w:p>
        </w:tc>
      </w:tr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color w:val="000000"/>
                <w:sz w:val="22"/>
                <w:szCs w:val="22"/>
              </w:rPr>
              <w:t>VÚ veterinárního lékařství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366 060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319 499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46 561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0</w:t>
            </w:r>
          </w:p>
        </w:tc>
      </w:tr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color w:val="000000"/>
                <w:sz w:val="22"/>
                <w:szCs w:val="22"/>
              </w:rPr>
              <w:t>VÚ zemědělské techniky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 xml:space="preserve"> 92 085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 xml:space="preserve"> 67 754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24 331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0</w:t>
            </w:r>
          </w:p>
        </w:tc>
      </w:tr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color w:val="000000"/>
                <w:sz w:val="22"/>
                <w:szCs w:val="22"/>
              </w:rPr>
              <w:t>VÚ živočišné výroby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467 765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418 367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49 398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0</w:t>
            </w:r>
          </w:p>
        </w:tc>
      </w:tr>
      <w:tr w:rsidR="008A5816" w:rsidRPr="008A5816" w:rsidTr="008A5816">
        <w:trPr>
          <w:jc w:val="center"/>
        </w:trPr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b/>
                <w:sz w:val="22"/>
                <w:szCs w:val="22"/>
              </w:rPr>
              <w:t>Celkem</w:t>
            </w:r>
          </w:p>
        </w:tc>
        <w:tc>
          <w:tcPr>
            <w:tcW w:w="0" w:type="auto"/>
            <w:shd w:val="clear" w:color="auto" w:fill="auto"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 xml:space="preserve">    1 758 554</w:t>
            </w:r>
          </w:p>
        </w:tc>
        <w:tc>
          <w:tcPr>
            <w:tcW w:w="1292" w:type="dxa"/>
            <w:shd w:val="clear" w:color="auto" w:fill="auto"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1 537 631</w:t>
            </w:r>
          </w:p>
        </w:tc>
        <w:tc>
          <w:tcPr>
            <w:tcW w:w="1134" w:type="dxa"/>
            <w:shd w:val="clear" w:color="auto" w:fill="auto"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218 438</w:t>
            </w:r>
          </w:p>
        </w:tc>
        <w:tc>
          <w:tcPr>
            <w:tcW w:w="706" w:type="dxa"/>
            <w:shd w:val="clear" w:color="auto" w:fill="auto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sz w:val="22"/>
                <w:szCs w:val="22"/>
              </w:rPr>
              <w:t>2485</w:t>
            </w:r>
          </w:p>
        </w:tc>
      </w:tr>
    </w:tbl>
    <w:p w:rsidR="008A5816" w:rsidRPr="008A5816" w:rsidRDefault="008A5816" w:rsidP="008A5816">
      <w:pPr>
        <w:ind w:left="142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Poznámka: IP – institucionální podpora, RO- dlouhodobý koncepční rozvoj výzkumné organizace, NVZ – neveřejné zdroje.</w:t>
      </w:r>
    </w:p>
    <w:p w:rsidR="008A5816" w:rsidRPr="008A5816" w:rsidRDefault="008A5816" w:rsidP="008A5816">
      <w:pPr>
        <w:ind w:left="142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Souhrnná zpráva o řešených Výzkumných záměrech s institucionální podporou Ministerstva zemědělství v období 2009 -2013 (dokument vzala Rada na vědomí na svém 299. zasedání dne 28. 11. 2014).</w:t>
      </w:r>
    </w:p>
    <w:p w:rsidR="008A5816" w:rsidRPr="008A5816" w:rsidRDefault="008A5816" w:rsidP="008A5816">
      <w:pPr>
        <w:spacing w:after="120"/>
        <w:ind w:left="142"/>
        <w:jc w:val="both"/>
        <w:rPr>
          <w:rFonts w:ascii="Arial" w:eastAsia="Calibri" w:hAnsi="Arial" w:cs="Arial"/>
          <w:b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r w:rsidRPr="008A5816">
        <w:rPr>
          <w:rFonts w:ascii="Arial" w:eastAsia="Calibri" w:hAnsi="Arial" w:cs="Arial"/>
          <w:lang w:eastAsia="en-US"/>
        </w:rPr>
        <w:t>Na základě každoročních úprav státního rozpočtu docházelo v průběhu řešení k určitým změnám uznaných nákladů, neboť výzkumným organizacím se nepodařilo zajistit plánované prostředky z vlastních zdrojů. Celková schválená institucionální podpora činila 1 675 698 tis. Kč, skutečná výše institucionální podpory byla vyšší o 80 371 tis. Kč, tj. 1 756 069 tis. Kč. Finanční prostředky ve výši 2 485 tis. Kč byly vynaloženy z neveřejných zdrojů.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provádělo každoročně kontroly všech VZ z hlediska plnění jejich cílů a hodnocení dosažených výsledků, tak jak mu ukládá § 13, odst. 1 a 2 zákona č. 130/2002 Sb. Ze všech protokolů o kontrole vyplynulo, že u žádného VZ nedošlo k neplnění stanovených cílů a institucionální podpora byla vynakládána účelně. </w:t>
      </w:r>
    </w:p>
    <w:p w:rsidR="008A5816" w:rsidRPr="008A5816" w:rsidRDefault="008A5816" w:rsidP="008A5816">
      <w:pPr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V rámci závěrečného hodnocení VZ 2009 – 2013 bylo hodnoceno celkem sedm VZ řešených sedmi resortními výzkumnými ústavy. Celkový přehled výsledků je prezentován v následující tabulce.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8A5816" w:rsidRDefault="008A5816" w:rsidP="008A5816">
      <w:pPr>
        <w:keepNext/>
        <w:spacing w:after="120"/>
        <w:jc w:val="both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b/>
        </w:rPr>
        <w:t xml:space="preserve">Tabulka 2: </w:t>
      </w:r>
      <w:r w:rsidRPr="008A5816">
        <w:rPr>
          <w:rFonts w:ascii="Arial" w:eastAsia="Calibri" w:hAnsi="Arial" w:cs="Arial"/>
          <w:i/>
        </w:rPr>
        <w:t>Přehled výsledků výzkumných záměrů v období 2009 – 2013.</w:t>
      </w:r>
    </w:p>
    <w:tbl>
      <w:tblPr>
        <w:tblW w:w="95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760"/>
        <w:gridCol w:w="500"/>
        <w:gridCol w:w="520"/>
        <w:gridCol w:w="640"/>
        <w:gridCol w:w="620"/>
        <w:gridCol w:w="540"/>
        <w:gridCol w:w="480"/>
        <w:gridCol w:w="520"/>
        <w:gridCol w:w="560"/>
        <w:gridCol w:w="520"/>
        <w:gridCol w:w="620"/>
        <w:gridCol w:w="520"/>
        <w:gridCol w:w="580"/>
        <w:gridCol w:w="580"/>
        <w:gridCol w:w="640"/>
      </w:tblGrid>
      <w:tr w:rsidR="008A5816" w:rsidRPr="008A5816" w:rsidTr="008A5816">
        <w:trPr>
          <w:trHeight w:val="293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Ústav</w:t>
            </w:r>
          </w:p>
        </w:tc>
        <w:tc>
          <w:tcPr>
            <w:tcW w:w="7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Celkem</w:t>
            </w:r>
          </w:p>
        </w:tc>
        <w:tc>
          <w:tcPr>
            <w:tcW w:w="5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J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B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C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D</w:t>
            </w:r>
          </w:p>
        </w:tc>
        <w:tc>
          <w:tcPr>
            <w:tcW w:w="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P</w:t>
            </w:r>
          </w:p>
        </w:tc>
        <w:tc>
          <w:tcPr>
            <w:tcW w:w="4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Z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G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H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N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R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W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O</w:t>
            </w:r>
          </w:p>
        </w:tc>
      </w:tr>
      <w:tr w:rsidR="008A5816" w:rsidRPr="008A5816" w:rsidTr="008A5816">
        <w:trPr>
          <w:trHeight w:val="329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 xml:space="preserve">ÚLHM 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402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213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5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23</w:t>
            </w:r>
          </w:p>
        </w:tc>
        <w:tc>
          <w:tcPr>
            <w:tcW w:w="54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36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104</w:t>
            </w:r>
          </w:p>
        </w:tc>
      </w:tr>
      <w:tr w:rsidR="008A5816" w:rsidRPr="008A5816" w:rsidTr="008A5816">
        <w:trPr>
          <w:trHeight w:val="277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 xml:space="preserve">VÚMOP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155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76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45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</w:t>
            </w:r>
          </w:p>
        </w:tc>
      </w:tr>
      <w:tr w:rsidR="008A5816" w:rsidRPr="008A5816" w:rsidTr="008A5816">
        <w:trPr>
          <w:trHeight w:val="266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 xml:space="preserve">VÚPP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102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22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22</w:t>
            </w:r>
          </w:p>
        </w:tc>
      </w:tr>
      <w:tr w:rsidR="008A5816" w:rsidRPr="008A5816" w:rsidTr="008A5816">
        <w:trPr>
          <w:trHeight w:val="256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 xml:space="preserve">VÚRV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1 124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743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42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143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28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51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</w:t>
            </w:r>
          </w:p>
        </w:tc>
      </w:tr>
      <w:tr w:rsidR="008A5816" w:rsidRPr="008A5816" w:rsidTr="008A5816">
        <w:trPr>
          <w:trHeight w:val="26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>VÚVeL</w:t>
            </w:r>
            <w:proofErr w:type="spellEnd"/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419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314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22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13</w:t>
            </w:r>
          </w:p>
        </w:tc>
        <w:tc>
          <w:tcPr>
            <w:tcW w:w="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14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23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10</w:t>
            </w:r>
          </w:p>
        </w:tc>
      </w:tr>
      <w:tr w:rsidR="008A5816" w:rsidRPr="008A5816" w:rsidTr="008A5816">
        <w:trPr>
          <w:trHeight w:val="278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 xml:space="preserve">VÚZT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288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89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44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87</w:t>
            </w:r>
          </w:p>
        </w:tc>
      </w:tr>
      <w:tr w:rsidR="008A5816" w:rsidRPr="008A5816" w:rsidTr="008A5816">
        <w:trPr>
          <w:trHeight w:val="254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 xml:space="preserve">VÚŽV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514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261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42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34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127</w:t>
            </w:r>
          </w:p>
        </w:tc>
      </w:tr>
      <w:tr w:rsidR="008A5816" w:rsidRPr="008A5816" w:rsidTr="008A5816">
        <w:trPr>
          <w:trHeight w:val="289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>Celkem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3004</w:t>
            </w:r>
          </w:p>
        </w:tc>
        <w:tc>
          <w:tcPr>
            <w:tcW w:w="5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1718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24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90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240</w:t>
            </w:r>
          </w:p>
        </w:tc>
        <w:tc>
          <w:tcPr>
            <w:tcW w:w="5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51</w:t>
            </w:r>
          </w:p>
        </w:tc>
        <w:tc>
          <w:tcPr>
            <w:tcW w:w="4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53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127</w:t>
            </w:r>
          </w:p>
        </w:tc>
        <w:tc>
          <w:tcPr>
            <w:tcW w:w="5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19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27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192</w:t>
            </w:r>
          </w:p>
        </w:tc>
        <w:tc>
          <w:tcPr>
            <w:tcW w:w="5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16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43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46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358</w:t>
            </w:r>
          </w:p>
        </w:tc>
      </w:tr>
      <w:tr w:rsidR="008A5816" w:rsidRPr="008A5816" w:rsidTr="008A581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both"/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bCs/>
                <w:color w:val="000000"/>
                <w:sz w:val="16"/>
                <w:szCs w:val="16"/>
              </w:rPr>
              <w:t>v %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100.00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57,2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0,8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3,0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8,0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1,7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1,8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4,2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0,6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0,9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6,4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0,5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1,4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1,5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color w:val="000000"/>
                <w:sz w:val="16"/>
                <w:szCs w:val="16"/>
              </w:rPr>
              <w:t>11,9</w:t>
            </w:r>
          </w:p>
        </w:tc>
      </w:tr>
    </w:tbl>
    <w:p w:rsidR="008A5816" w:rsidRPr="008A5816" w:rsidRDefault="008A5816" w:rsidP="008A5816">
      <w:pPr>
        <w:spacing w:before="40" w:after="40"/>
        <w:rPr>
          <w:rFonts w:ascii="Arial" w:eastAsia="Calibri" w:hAnsi="Arial" w:cs="Arial"/>
          <w:sz w:val="16"/>
          <w:szCs w:val="16"/>
        </w:rPr>
      </w:pPr>
      <w:r w:rsidRPr="008A5816">
        <w:rPr>
          <w:rFonts w:ascii="Arial" w:eastAsia="Calibri" w:hAnsi="Arial" w:cs="Arial"/>
          <w:sz w:val="16"/>
          <w:szCs w:val="16"/>
        </w:rPr>
        <w:t>Zdroj: Souhrnná zpráva o řešených Výzkumných záměrech s institucionální podporou Ministerstva zemědělství v období 2009 -2013</w:t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6"/>
          <w:szCs w:val="16"/>
        </w:rPr>
      </w:pPr>
      <w:r w:rsidRPr="008A5816">
        <w:rPr>
          <w:rFonts w:ascii="Arial" w:eastAsia="Calibri" w:hAnsi="Arial" w:cs="Arial"/>
          <w:sz w:val="16"/>
          <w:szCs w:val="16"/>
        </w:rPr>
        <w:t>Vysvětlivky: Typy výsledků</w:t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6"/>
          <w:szCs w:val="16"/>
        </w:rPr>
      </w:pPr>
      <w:r w:rsidRPr="008A5816">
        <w:rPr>
          <w:rFonts w:ascii="Arial" w:eastAsia="Calibri" w:hAnsi="Arial" w:cs="Arial"/>
          <w:sz w:val="16"/>
          <w:szCs w:val="16"/>
        </w:rPr>
        <w:t>J – článek v odborném periodiku, B – odborná kniha, monografie, C – kapitola v knize</w:t>
      </w:r>
      <w:r w:rsidRPr="008A5816">
        <w:rPr>
          <w:rFonts w:ascii="Arial" w:eastAsia="Calibri" w:hAnsi="Arial" w:cs="Arial"/>
          <w:sz w:val="16"/>
          <w:szCs w:val="16"/>
        </w:rPr>
        <w:tab/>
        <w:t>, D – článek ve sborníku,</w:t>
      </w:r>
      <w:r w:rsidRPr="008A5816">
        <w:rPr>
          <w:rFonts w:ascii="Arial" w:eastAsia="Calibri" w:hAnsi="Arial" w:cs="Arial"/>
          <w:sz w:val="16"/>
          <w:szCs w:val="16"/>
        </w:rPr>
        <w:tab/>
        <w:t xml:space="preserve">P – patent nebo jiný výsledek chráněný zvláštním zákonem, Z – poloprovoz, ověřená technologie, plemeno, odrůda, </w:t>
      </w:r>
      <w:r w:rsidRPr="008A5816">
        <w:rPr>
          <w:rFonts w:ascii="Arial" w:eastAsia="Calibri" w:hAnsi="Arial" w:cs="Arial"/>
          <w:sz w:val="16"/>
          <w:szCs w:val="16"/>
        </w:rPr>
        <w:tab/>
        <w:t>F – užitný vzor, průmyslový vzor</w:t>
      </w:r>
      <w:r w:rsidRPr="008A5816">
        <w:rPr>
          <w:rFonts w:ascii="Arial" w:eastAsia="Calibri" w:hAnsi="Arial" w:cs="Arial"/>
          <w:sz w:val="16"/>
          <w:szCs w:val="16"/>
        </w:rPr>
        <w:tab/>
        <w:t xml:space="preserve">, G – prototyp, funkční vzorek, H – poskytovatelem realizované výsledky, N – certifikované metodiky, R – software, M – uspořádání konference, W – uspořádání workshopu, 0 – ostatní výsledky   </w:t>
      </w:r>
      <w:r w:rsidRPr="008A5816">
        <w:rPr>
          <w:rFonts w:ascii="Arial" w:eastAsia="Calibri" w:hAnsi="Arial" w:cs="Arial"/>
          <w:sz w:val="16"/>
          <w:szCs w:val="16"/>
        </w:rPr>
        <w:tab/>
      </w:r>
    </w:p>
    <w:p w:rsidR="008A5816" w:rsidRPr="008A5816" w:rsidRDefault="008A5816" w:rsidP="008A5816">
      <w:pPr>
        <w:spacing w:before="40" w:after="40"/>
        <w:rPr>
          <w:rFonts w:ascii="Arial" w:eastAsia="Calibri" w:hAnsi="Arial" w:cs="Arial"/>
          <w:sz w:val="16"/>
          <w:szCs w:val="16"/>
        </w:rPr>
      </w:pPr>
      <w:r w:rsidRPr="008A5816">
        <w:rPr>
          <w:rFonts w:ascii="Arial" w:eastAsia="Calibri" w:hAnsi="Arial" w:cs="Arial"/>
          <w:sz w:val="16"/>
          <w:szCs w:val="16"/>
        </w:rPr>
        <w:tab/>
        <w:t xml:space="preserve">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Za období řešení VZ bylo vyprodukováno celkem 3004 výstupů. Největší podíl, přes 50 %, tvoří články v odborných časopisech. Výsledky, které lze podle stávající metodiky jednoznačně zařadit mezi typické výstupy aplikovaného výzkumu (včetně patentů), tvoří přibližně 16 % výstupů.   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jako Poskytovatel uzavřel s řešiteli smlouvy o využití výsledků v praxi, patří sem výsledky využitelné nejen v zemědělství, ale také v potravinářské, lesnické a vodohospodářské praxi.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Cs/>
        </w:rPr>
      </w:pPr>
      <w:r w:rsidRPr="008A5816">
        <w:rPr>
          <w:rFonts w:ascii="Arial" w:eastAsia="Calibri" w:hAnsi="Arial" w:cs="Arial"/>
        </w:rPr>
        <w:t xml:space="preserve">Přes zlepšující se trend úspěšnosti v mezinárodních projektech, nedosáhlo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úrovně vyspělých evropských zemí (viz také dále). Důvodem zaostávání byl například i nižší objem finančních prostředků určených na výzkum. Příslibem do budoucnosti je vytvoření dvou regionálních výzkumných center, která byla vybudována v letech 2009 – 2013 v rámci projektů Operačního programu Výzkum a vývoj pro inovace, do nichž jsou zapojeny dvě resortní </w:t>
      </w:r>
      <w:proofErr w:type="spellStart"/>
      <w:proofErr w:type="gramStart"/>
      <w:r w:rsidRPr="008A5816">
        <w:rPr>
          <w:rFonts w:ascii="Arial" w:eastAsia="Calibri" w:hAnsi="Arial" w:cs="Arial"/>
        </w:rPr>
        <w:t>v.v.</w:t>
      </w:r>
      <w:proofErr w:type="gramEnd"/>
      <w:r w:rsidRPr="008A5816">
        <w:rPr>
          <w:rFonts w:ascii="Arial" w:eastAsia="Calibri" w:hAnsi="Arial" w:cs="Arial"/>
        </w:rPr>
        <w:t>i</w:t>
      </w:r>
      <w:proofErr w:type="spellEnd"/>
      <w:r w:rsidRPr="008A5816">
        <w:rPr>
          <w:rFonts w:ascii="Arial" w:eastAsia="Calibri" w:hAnsi="Arial" w:cs="Arial"/>
        </w:rPr>
        <w:t xml:space="preserve">. (VÚRV, </w:t>
      </w:r>
      <w:proofErr w:type="spellStart"/>
      <w:r w:rsidRPr="008A5816">
        <w:rPr>
          <w:rFonts w:ascii="Arial" w:eastAsia="Calibri" w:hAnsi="Arial" w:cs="Arial"/>
        </w:rPr>
        <w:t>v.v.i</w:t>
      </w:r>
      <w:proofErr w:type="spellEnd"/>
      <w:r w:rsidRPr="008A5816">
        <w:rPr>
          <w:rFonts w:ascii="Arial" w:eastAsia="Calibri" w:hAnsi="Arial" w:cs="Arial"/>
        </w:rPr>
        <w:t xml:space="preserve">. - Centrum regionu Haná pro biotechnologický a zemědělský výzkum, </w:t>
      </w:r>
      <w:proofErr w:type="spellStart"/>
      <w:r w:rsidRPr="008A5816">
        <w:rPr>
          <w:rFonts w:ascii="Arial" w:eastAsia="Calibri" w:hAnsi="Arial" w:cs="Arial"/>
        </w:rPr>
        <w:t>VÚVeL</w:t>
      </w:r>
      <w:proofErr w:type="spellEnd"/>
      <w:r w:rsidRPr="008A5816">
        <w:rPr>
          <w:rFonts w:ascii="Arial" w:eastAsia="Calibri" w:hAnsi="Arial" w:cs="Arial"/>
        </w:rPr>
        <w:t xml:space="preserve">, </w:t>
      </w:r>
      <w:proofErr w:type="spellStart"/>
      <w:r w:rsidRPr="008A5816">
        <w:rPr>
          <w:rFonts w:ascii="Arial" w:eastAsia="Calibri" w:hAnsi="Arial" w:cs="Arial"/>
        </w:rPr>
        <w:t>v.v.i</w:t>
      </w:r>
      <w:proofErr w:type="spellEnd"/>
      <w:r w:rsidRPr="008A5816">
        <w:rPr>
          <w:rFonts w:ascii="Arial" w:eastAsia="Calibri" w:hAnsi="Arial" w:cs="Arial"/>
        </w:rPr>
        <w:t xml:space="preserve">. - </w:t>
      </w:r>
      <w:r w:rsidRPr="008A5816">
        <w:rPr>
          <w:rFonts w:ascii="Arial" w:eastAsia="Calibri" w:hAnsi="Arial" w:cs="Arial"/>
          <w:bCs/>
        </w:rPr>
        <w:t>Centrum pro aplikovanou mikrobiologii a imunologii ve veterinární medicíně (</w:t>
      </w:r>
      <w:proofErr w:type="spellStart"/>
      <w:r w:rsidRPr="008A5816">
        <w:rPr>
          <w:rFonts w:ascii="Arial" w:eastAsia="Calibri" w:hAnsi="Arial" w:cs="Arial"/>
          <w:bCs/>
        </w:rPr>
        <w:t>AdmireVet</w:t>
      </w:r>
      <w:proofErr w:type="spellEnd"/>
      <w:r w:rsidRPr="008A5816">
        <w:rPr>
          <w:rFonts w:ascii="Arial" w:eastAsia="Calibri" w:hAnsi="Arial" w:cs="Arial"/>
          <w:bCs/>
        </w:rPr>
        <w:t>). Dalším regionálním výzkumným centrem, kter</w:t>
      </w:r>
      <w:r w:rsidR="00580A98">
        <w:rPr>
          <w:rFonts w:ascii="Arial" w:eastAsia="Calibri" w:hAnsi="Arial" w:cs="Arial"/>
          <w:bCs/>
        </w:rPr>
        <w:t>é</w:t>
      </w:r>
      <w:r w:rsidRPr="008A5816">
        <w:rPr>
          <w:rFonts w:ascii="Arial" w:eastAsia="Calibri" w:hAnsi="Arial" w:cs="Arial"/>
          <w:bCs/>
        </w:rPr>
        <w:t xml:space="preserve"> má být dokončen</w:t>
      </w:r>
      <w:r w:rsidR="00580A98">
        <w:rPr>
          <w:rFonts w:ascii="Arial" w:eastAsia="Calibri" w:hAnsi="Arial" w:cs="Arial"/>
          <w:bCs/>
        </w:rPr>
        <w:t>o</w:t>
      </w:r>
      <w:r w:rsidRPr="008A5816">
        <w:rPr>
          <w:rFonts w:ascii="Arial" w:eastAsia="Calibri" w:hAnsi="Arial" w:cs="Arial"/>
          <w:bCs/>
        </w:rPr>
        <w:t xml:space="preserve"> v roce 2015, je projekt „Ovocnářský výzkumný institut (OVI)“ realizovaný Výzkumným a šlechtitelským ústavem ovocnářským Holovousy, s.r.o.</w:t>
      </w:r>
    </w:p>
    <w:p w:rsidR="008A5816" w:rsidRPr="008A5816" w:rsidRDefault="008A5816" w:rsidP="008A5816">
      <w:pPr>
        <w:spacing w:after="120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ind w:firstLine="709"/>
        <w:jc w:val="both"/>
        <w:rPr>
          <w:rFonts w:ascii="Arial" w:hAnsi="Arial"/>
          <w:b/>
          <w:iCs/>
          <w:lang w:eastAsia="en-US"/>
        </w:rPr>
      </w:pPr>
      <w:r w:rsidRPr="008A5816">
        <w:rPr>
          <w:rFonts w:ascii="Arial" w:hAnsi="Arial"/>
          <w:b/>
          <w:iCs/>
          <w:lang w:eastAsia="en-US"/>
        </w:rPr>
        <w:t>2.2</w:t>
      </w:r>
      <w:r w:rsidRPr="008A5816">
        <w:rPr>
          <w:rFonts w:ascii="Arial" w:hAnsi="Arial"/>
          <w:b/>
          <w:iCs/>
          <w:lang w:eastAsia="en-US"/>
        </w:rPr>
        <w:tab/>
        <w:t xml:space="preserve">Účelová podpora poskytovaná </w:t>
      </w:r>
      <w:proofErr w:type="spellStart"/>
      <w:r w:rsidRPr="008A5816">
        <w:rPr>
          <w:rFonts w:ascii="Arial" w:hAnsi="Arial"/>
          <w:b/>
          <w:iCs/>
          <w:lang w:eastAsia="en-US"/>
        </w:rPr>
        <w:t>MZe</w:t>
      </w:r>
      <w:proofErr w:type="spellEnd"/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ukončilo úspěšně od roku 2005 dva programy: QG - Výzkumný program Ministerstva zemědělství na léta 2005 - 2009, QH - Program výzkumu v agrárním </w:t>
      </w:r>
      <w:r w:rsidRPr="008A5816">
        <w:rPr>
          <w:rFonts w:ascii="Arial" w:eastAsia="Calibri" w:hAnsi="Arial" w:cs="Arial"/>
        </w:rPr>
        <w:lastRenderedPageBreak/>
        <w:t xml:space="preserve">sektoru 2007-2012. Program QI - </w:t>
      </w:r>
      <w:r w:rsidRPr="008A5816">
        <w:rPr>
          <w:rFonts w:ascii="Arial" w:eastAsia="Calibri" w:hAnsi="Arial" w:cs="Arial"/>
          <w:color w:val="000000"/>
        </w:rPr>
        <w:t>Výzkum v agrárním sektoru (VAK) 2009-2014</w:t>
      </w:r>
      <w:r w:rsidRPr="008A5816">
        <w:rPr>
          <w:rFonts w:ascii="Arial" w:eastAsia="Calibri" w:hAnsi="Arial" w:cs="Arial"/>
        </w:rPr>
        <w:t xml:space="preserve"> byl ukončen v roce 2014 a jeho vyhodnocení proběhne v roce 2016. V současnosti probíhá program QJ - Komplexní udržitelné systémy v zemědělství 2012-2018 (dále jen KUS) a bude ukončen v roce 2018. Podrobnější údaje o uvedených programech obsahují následující tabulky.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  <w:sectPr w:rsidR="008A5816" w:rsidRPr="008A5816" w:rsidSect="00C77345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39" w:code="9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8A5816" w:rsidRPr="008A5816" w:rsidRDefault="008A5816" w:rsidP="008A5816">
      <w:pPr>
        <w:keepNext/>
        <w:spacing w:after="120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lastRenderedPageBreak/>
        <w:t xml:space="preserve">Tabulka 3: </w:t>
      </w:r>
      <w:r w:rsidRPr="008A5816">
        <w:rPr>
          <w:rFonts w:ascii="Arial" w:eastAsia="Calibri" w:hAnsi="Arial" w:cs="Arial"/>
          <w:i/>
        </w:rPr>
        <w:t xml:space="preserve">Programy připravené v letech 2004 – 2014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b/>
        </w:rPr>
        <w:t>.</w:t>
      </w:r>
    </w:p>
    <w:tbl>
      <w:tblPr>
        <w:tblW w:w="1652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00"/>
        <w:gridCol w:w="10344"/>
        <w:gridCol w:w="1276"/>
        <w:gridCol w:w="1276"/>
        <w:gridCol w:w="1428"/>
      </w:tblGrid>
      <w:tr w:rsidR="008A5816" w:rsidRPr="008A5816" w:rsidTr="008A5816">
        <w:trPr>
          <w:trHeight w:val="675"/>
          <w:tblHeader/>
        </w:trPr>
        <w:tc>
          <w:tcPr>
            <w:tcW w:w="220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Název programu</w:t>
            </w:r>
          </w:p>
        </w:tc>
        <w:tc>
          <w:tcPr>
            <w:tcW w:w="1034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Cíle programu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Období realizace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Dotace ze SR (mil. Kč)</w:t>
            </w:r>
          </w:p>
        </w:tc>
        <w:tc>
          <w:tcPr>
            <w:tcW w:w="1428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Počet projektů</w:t>
            </w:r>
          </w:p>
        </w:tc>
      </w:tr>
      <w:tr w:rsidR="008A5816" w:rsidRPr="008A5816" w:rsidTr="008A5816">
        <w:trPr>
          <w:trHeight w:val="315"/>
        </w:trPr>
        <w:tc>
          <w:tcPr>
            <w:tcW w:w="16524" w:type="dxa"/>
            <w:gridSpan w:val="5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i/>
                <w:iCs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i/>
                <w:iCs/>
                <w:color w:val="000000"/>
                <w:sz w:val="21"/>
                <w:szCs w:val="21"/>
              </w:rPr>
              <w:t>ukončené programy</w:t>
            </w:r>
          </w:p>
        </w:tc>
      </w:tr>
      <w:tr w:rsidR="008A5816" w:rsidRPr="008A5816" w:rsidTr="008A5816">
        <w:trPr>
          <w:trHeight w:val="2715"/>
        </w:trPr>
        <w:tc>
          <w:tcPr>
            <w:tcW w:w="22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 xml:space="preserve">QG - Výzkumný program </w:t>
            </w:r>
            <w:proofErr w:type="spellStart"/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MZe</w:t>
            </w:r>
            <w:proofErr w:type="spellEnd"/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 xml:space="preserve"> 2005 – 2009</w:t>
            </w:r>
          </w:p>
        </w:tc>
        <w:tc>
          <w:tcPr>
            <w:tcW w:w="103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Stanovení faktorů ovlivňujících kvalitu produktů agrárního sektoru a možnosti eliminace zátěží působících na bezpečnost potravinového řetězce a nalezení specifických produktů použitelných jako suroviny pro speciální potraviny, potravní doplňky a krmiva;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nalezení možnosti zlepšení produktů ekologického zemědělství a rozvoje trhu s biopotravinami a možnosti přenášení poznatků z této oblasti do konvenčního a integrovaného zemědělství; vypracování postupů a technologií ochranných opatření, které zvýší kvalitu produktů a omezí negativní dopady ochrany rostlin na životní prostředí; vypracování metodiky pro výživu a krmení jako preventivního opatření a metodiky alternativní léčby zvířat;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vytipování technických a energetických rostlin vhodných k pěstování podle vlastností pozemků;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navržení komplexního řešení využití obnovitelných zdrojů z regionálního pohledu; rozšiřovaní recyklace odpadů a alternativní využití biologických odpadů z agrárního sektoru;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stanovení dopadů klimatické změny na nadlepšovací účinky nádrží, vodohospodářských soustav;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zkvalitnění povrchových a podzemních vodních zdrojů;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zhodnocení doby a množství zdržení vody v nasycené zóně, včetně posouzení vlivu odvodnění a rušení trvalých porostů na jakost vody;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vyhledání optimálních způsobů znovuoživení nádrží a toků zničených povodněmi; stanovení preventivních opatření při využívání funkcí lesa a alternativní způsoby ochrany dřevin;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navržení varianty hospodaření z hlediska zachování biodiverzity a ochrany půdy; řešení dopadů reformy Společné zemědělské politiky v důležitých odvětvích na ekonomickou situaci agrárního sektoru ČR a jeho podniků a na vývoj trhu.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2005 - 2009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172,996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39</w:t>
            </w:r>
          </w:p>
        </w:tc>
      </w:tr>
      <w:tr w:rsidR="008A5816" w:rsidRPr="008A5816" w:rsidTr="008A5816">
        <w:trPr>
          <w:trHeight w:val="1980"/>
        </w:trPr>
        <w:tc>
          <w:tcPr>
            <w:tcW w:w="22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 xml:space="preserve">QH – Program výzkumu v agrárním sektoru 2007 - 2012 </w:t>
            </w:r>
          </w:p>
        </w:tc>
        <w:tc>
          <w:tcPr>
            <w:tcW w:w="103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Zabezpečení výzkumu v agrárním sektoru v souladu s principy Společné zemědělské politiky EU a realizaci národní politiky ČR s využitím účinných inovačních procesů a metod;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navržení nových technologických postupů a inovačních prvků v agrárním sektoru pro různé dále definované cíle, a intenzitu produkce, pro zvýšení využití tradičních a místních produktů a pro rozšíření spektra pěstovaných plodin;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zpracování postupů ochrany proti škodlivým organismům v agrárním sektoru výrazným zkvalitněním diagnostiky, prevence i teorie, včetně zlepšení podmínek k šetrnému hospodaření při pěstování plodin k produkci zdravých potravin; navržení postupů zabezpečujících účinnější ochranu a využívání genetických zdrojů hospodářsky využitelných organismů;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zlepšení využití biologického potenciálu produkčních organismů prostřednictvím intenzivního využívání biotechnologických postupů, moderních metod šlechtění a metod genetického inženýrství;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zpracování a ověření metod k omezení ekologické zátěže v přírodě, zejména zvýšením podílu produktů zemědělství a lesnictví na obnovitelných zdrojích energie a stanovením metod k obnově poškozené krajiny a její funkce v oblasti agrárního sektoru;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navržení postupů ke zvýšení účinnosti metod pěstování rostlin jako obnovitelných zdrojů energií v různém prostředí;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lastRenderedPageBreak/>
              <w:t xml:space="preserve">stanovení postupů k zachování udržitelného využívání vod; rozvoj vodohospodářské systémy pro zajištění využití zdrojů pitné vody a zdokonalit systémy hospodaření s vodou v krajině; 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optimalizace hospodaření s vodou se zřetelem na udržení funkcí krajiny, včetně stanovení možností prevence eliminující dopady </w:t>
            </w:r>
            <w:proofErr w:type="spellStart"/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agroklimatických</w:t>
            </w:r>
            <w:proofErr w:type="spellEnd"/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 xml:space="preserve"> extrémů;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stanovení metod pro hodnocení konkurenceschopnosti hlavních podnikatelských forem v agrárním sektoru při udržitelném rozvoji venkova;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zhodnocení globálních řetězců na český agrární sektor a rozvoj venkova;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zavádění efektivních inovačních procesů v agrárním sektoru a rozvoj účinných metod harmonizace procesů hospodaření s přirozenými přírodními podmínkami, zejména u MSP.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lastRenderedPageBreak/>
              <w:t>2007 - 2012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1 230,429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206</w:t>
            </w:r>
          </w:p>
        </w:tc>
      </w:tr>
      <w:tr w:rsidR="008A5816" w:rsidRPr="008A5816" w:rsidTr="008A5816">
        <w:trPr>
          <w:trHeight w:val="2100"/>
        </w:trPr>
        <w:tc>
          <w:tcPr>
            <w:tcW w:w="22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lastRenderedPageBreak/>
              <w:t>QI - Výzkum v agrárním sektoru (VAK) 2009-2014</w:t>
            </w:r>
          </w:p>
        </w:tc>
        <w:tc>
          <w:tcPr>
            <w:tcW w:w="103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Podpora udržitelného rozvoje agrárního sektoru, rozvoj venkova a ekologizaci krajiny, posílení konkurenceschopnosti malých a středních zemědělských a zpracovatelských podniků;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vypracování nových postupů pro produkci a zpracování zemědělských surovin zajišťujících kvalitní a bezpečné potraviny;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modernizace systémů hospodaření v lesích;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zefektivnění systémů hospodaření s vodou a stabilizace rozvoje prostředí venkova pomocí šetrného hospodaření v krajině.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2009 - 2014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1 135, 957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80</w:t>
            </w:r>
          </w:p>
        </w:tc>
      </w:tr>
      <w:tr w:rsidR="008A5816" w:rsidRPr="008A5816" w:rsidTr="008A5816">
        <w:trPr>
          <w:trHeight w:val="300"/>
        </w:trPr>
        <w:tc>
          <w:tcPr>
            <w:tcW w:w="16524" w:type="dxa"/>
            <w:gridSpan w:val="5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</w:pPr>
            <w:r w:rsidRPr="008A5816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t>běžící program</w:t>
            </w:r>
          </w:p>
        </w:tc>
      </w:tr>
      <w:tr w:rsidR="008A5816" w:rsidRPr="008A5816" w:rsidTr="008A5816">
        <w:trPr>
          <w:trHeight w:val="2538"/>
        </w:trPr>
        <w:tc>
          <w:tcPr>
            <w:tcW w:w="22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QJ - Komplexní udržitelné systémy v zemědělství 2012-2018 „KUS“ (2012-2018)</w:t>
            </w:r>
          </w:p>
        </w:tc>
        <w:tc>
          <w:tcPr>
            <w:tcW w:w="103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Zvýšení produkčního potenciálu zemědělských plodin a hospodářských zvířat a přispění k potravinové bezpečnosti České republiky, tj. k zajištění dostatečného množství produkce kvalitních a bezpečných potravin tuzemského původu pro zdravou výživu obyvatelstva;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zavádění nových metod, technologických postupů a systémů zvýšit konkurenceschopnost českého zemědělství v podmínkách EU a podpora udržitelného rozvoje zemědělského sektoru, venkova a regionů ČR;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9"/>
                <w:szCs w:val="19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novými poznatky a jejich realizací přispět k udržitelnému využívání přírodních zdrojů s minimalizací zátěže životního prostředí a k zavádění systémů hospodaření vedoucích k omezení negativních dopadů klimatických změn na funkce ekosystémů v zemědělství, lesním a vodním hospodářství;</w:t>
            </w:r>
          </w:p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19"/>
                <w:szCs w:val="19"/>
              </w:rPr>
              <w:t>zvýšení potenciálu mimoprodukčních funkcí zemědělství, lesního a vodního hospodářství.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2012-2018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  <w:r w:rsidRPr="008A5816">
              <w:rPr>
                <w:rFonts w:ascii="Arial" w:eastAsia="Calibri" w:hAnsi="Arial" w:cs="Arial"/>
                <w:color w:val="000000"/>
                <w:sz w:val="21"/>
                <w:szCs w:val="21"/>
              </w:rPr>
              <w:t>2 225, 000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color w:val="000000"/>
                <w:sz w:val="21"/>
                <w:szCs w:val="21"/>
              </w:rPr>
            </w:pPr>
          </w:p>
        </w:tc>
      </w:tr>
      <w:tr w:rsidR="008A5816" w:rsidRPr="008A5816" w:rsidTr="008A5816">
        <w:trPr>
          <w:trHeight w:val="345"/>
        </w:trPr>
        <w:tc>
          <w:tcPr>
            <w:tcW w:w="1652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i/>
                <w:iCs/>
                <w:color w:val="000000"/>
                <w:sz w:val="20"/>
                <w:szCs w:val="20"/>
              </w:rPr>
            </w:pPr>
          </w:p>
        </w:tc>
      </w:tr>
    </w:tbl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  <w:sectPr w:rsidR="008A5816" w:rsidRPr="008A5816" w:rsidSect="008A5816">
          <w:pgSz w:w="19106" w:h="11906" w:orient="landscape"/>
          <w:pgMar w:top="1417" w:right="3685" w:bottom="1417" w:left="1417" w:header="708" w:footer="708" w:gutter="0"/>
          <w:cols w:space="708"/>
          <w:docGrid w:linePitch="360"/>
        </w:sect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lastRenderedPageBreak/>
        <w:t xml:space="preserve">Ze Souhrnného vyhodnocení výsledků programů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ukončených v roce 2009, schváleném usnesením vlády ze dne 17. 3. 2011 č. 192 vyplynulo, že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ukončilo v roce 2009 Výzkumný program Ministerstva zemědělství na léta 2005 – 2009 (QG). V programu bylo realizováno 38 projektů, průměrná míra veřejné podpory u programu QG činila 99 %.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Míra plnění cílů programu činila 62 %, v rámci programu bylo realizováno celkem 38 projektů.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Z údajů IS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bylo zjištěno, že při řešení čtyř projektů nebylo dosaženo žádného uznatelného, bodově ohodnoceného výsledku. Z dosažených výsledků je 10 % tzv. aplikovaných výsledků a 90 % výsledků publikačních.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Z vyhlášených cílů programu nebyla plnohodnotně pokryta oblast vodních zdrojů a vodního hospodářství. V rámci 1. podprogramu bylo dosaženo 20 cílů z celkových 29, v rámci 2. podprogramu nebyl naplněn 1. tematický okruh žádným projektem a 2. tematický okruh byl naplněn dvěma projekty.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Mezi hlavní příjemce Výzkumného programu Ministerstva zemědělství na léta 2005 – 2009 patřily tři univerzity: Česká zemědělská univerzita v Praze, Jihočeská univerzita v Českých Budějovicích, Mendelova univerzita v Brně; a dále tři veřejné výzkumné instituce: Výzkumný ústav rostlinné výroby, </w:t>
      </w:r>
      <w:proofErr w:type="spellStart"/>
      <w:proofErr w:type="gramStart"/>
      <w:r w:rsidRPr="008A5816">
        <w:rPr>
          <w:rFonts w:ascii="Arial" w:eastAsia="Calibri" w:hAnsi="Arial" w:cs="Arial"/>
        </w:rPr>
        <w:t>v.v.</w:t>
      </w:r>
      <w:proofErr w:type="gramEnd"/>
      <w:r w:rsidRPr="008A5816">
        <w:rPr>
          <w:rFonts w:ascii="Arial" w:eastAsia="Calibri" w:hAnsi="Arial" w:cs="Arial"/>
        </w:rPr>
        <w:t>i</w:t>
      </w:r>
      <w:proofErr w:type="spellEnd"/>
      <w:r w:rsidRPr="008A5816">
        <w:rPr>
          <w:rFonts w:ascii="Arial" w:eastAsia="Calibri" w:hAnsi="Arial" w:cs="Arial"/>
        </w:rPr>
        <w:t xml:space="preserve">., Výzkumný ústav zemědělské techniky, </w:t>
      </w:r>
      <w:proofErr w:type="spellStart"/>
      <w:r w:rsidRPr="008A5816">
        <w:rPr>
          <w:rFonts w:ascii="Arial" w:eastAsia="Calibri" w:hAnsi="Arial" w:cs="Arial"/>
        </w:rPr>
        <w:t>v.v.i</w:t>
      </w:r>
      <w:proofErr w:type="spellEnd"/>
      <w:r w:rsidRPr="008A5816">
        <w:rPr>
          <w:rFonts w:ascii="Arial" w:eastAsia="Calibri" w:hAnsi="Arial" w:cs="Arial"/>
        </w:rPr>
        <w:t xml:space="preserve">. a Výzkumný ústav veterinárního lékařství, </w:t>
      </w:r>
      <w:proofErr w:type="spellStart"/>
      <w:r w:rsidRPr="008A5816">
        <w:rPr>
          <w:rFonts w:ascii="Arial" w:eastAsia="Calibri" w:hAnsi="Arial" w:cs="Arial"/>
        </w:rPr>
        <w:t>v.v.i</w:t>
      </w:r>
      <w:proofErr w:type="spellEnd"/>
      <w:r w:rsidRPr="008A5816">
        <w:rPr>
          <w:rFonts w:ascii="Arial" w:eastAsia="Calibri" w:hAnsi="Arial" w:cs="Arial"/>
        </w:rPr>
        <w:t>..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V rámci výše uvedeného souhrnného vyhodnocení v roce 2009 bylo označeno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ze čtyř hodnocených Poskytovatelů jako nejefektivnější (porovnáním hodnoty tzv. indexu státního rozpočtu). U programu QG bylo za každý milion Kč dosaženo 21,53 bodů. Většinu výsledků tvořily publikační výstupy (90,2 %).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V roce 2012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ukončilo Program výzkumu v agrárním sektoru 2007 – 2012 (QH). Tento program byl hodnocen v rámci Souhrnného vyhodnocení výsledků programů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ukončených v roce 2012 schváleného usnesením vlády ze dne 12. května 2014 č. 341.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Výsledkem řešení 205 projektů je mimo jiné 1 967 recenzovaných odborných článků, osm patentů, 79 užitných vzorů a 29 ověřených technologií či odrůd.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Na program QH bylo plánováno vynaložit 91 % podílu financí ze státního rozpočtu (skutečný podíl činil 95 %).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v tomto programu přistoupilo u jednoho projektu k sankci za nedodržení smluvních podmínek. Program QH byl v hodnoceném období nejúspěšnější také z pohledu tvorby užitných vzorů.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V rámci programu QH byly naplněny předpokládané počty aplikovaných výsledků. Většina je provozně využívána a vede k mnoha praktickým přínosům jak v ekonomické rovině (snižování nákladů, nárůst tržeb, zvyšování exportu, a jiné), tak v oblastech životního prostředí, zdraví lidí, </w:t>
      </w:r>
      <w:proofErr w:type="spellStart"/>
      <w:r w:rsidRPr="008A5816">
        <w:rPr>
          <w:rFonts w:ascii="Arial" w:eastAsia="Calibri" w:hAnsi="Arial" w:cs="Arial"/>
        </w:rPr>
        <w:t>welfare</w:t>
      </w:r>
      <w:proofErr w:type="spellEnd"/>
      <w:r w:rsidRPr="008A5816">
        <w:rPr>
          <w:rFonts w:ascii="Arial" w:eastAsia="Calibri" w:hAnsi="Arial" w:cs="Arial"/>
        </w:rPr>
        <w:t xml:space="preserve"> a zdraví zvířat, rozvoje venkova, poradenství a vzdělávání. Ekonomické přínosy pro uživatele výsledků známé v době ukončení programu QH Poskytovatel vyčíslil na přibližně 4,7 mld. Kč (čtyřnásobek dotace ze SR), do pěti let jsou očekávány přínosy přesahující 40 mld. Kč.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Je třeba vyzdvihnout, že podíl aplikovaných výsledků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v posledních 10 letech významně vzrostl. U programu QH došlo ve srovnání s programy realizovanými v minulosti k více než dvojnásobnému nárůstu podílu aplikovaných výsledků, tj. z necelých 7 % (program QG), resp. 9 % (program QF) na více než 18 % u nyní </w:t>
      </w:r>
      <w:r w:rsidRPr="008A5816">
        <w:rPr>
          <w:rFonts w:ascii="Arial" w:eastAsia="Calibri" w:hAnsi="Arial" w:cs="Arial"/>
        </w:rPr>
        <w:lastRenderedPageBreak/>
        <w:t xml:space="preserve">hodnoceného programu QH. Obdobně intenzivní nárůst byl v případě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zaznamenán u podílu užitných vzorů (z 1 % na 2 %).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Pozitivně lze hodnotit i vysoký počet publikací, protože tyto výsledky vznikly ve větším počtu oproti původním předpokladům. Pokud jde o vědní obory vzniklých publikací, podle očekávání převažují zemědělské vědy (61 %), významně zastoupeny jsou rovněž biologické vědy a vědy o Zemi (16 % a 13 %; obr. 9). Vytvořeným publikacím celkově dominovaly články v periodikách (70 %). 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Mezi hlavní příjemce Programu výzkumu v agrárním sektoru 2007-2012 z hlediska výše státní podpory na celou dobu řešení projektů patřily tyto instituce: Česká zemědělská univerzita v Praze, Jihočeská univerzita v Českých Budějovicích a Mendelova univerzita v Brně, Výzkumný a šlechtitelský ústav ovocnářský v Holovousech, s.r.o., Výzkumný ústav meliorací a ochrany půdy, </w:t>
      </w:r>
      <w:proofErr w:type="spellStart"/>
      <w:proofErr w:type="gramStart"/>
      <w:r w:rsidRPr="008A5816">
        <w:rPr>
          <w:rFonts w:ascii="Arial" w:eastAsia="Calibri" w:hAnsi="Arial" w:cs="Arial"/>
        </w:rPr>
        <w:t>v.v.</w:t>
      </w:r>
      <w:proofErr w:type="gramEnd"/>
      <w:r w:rsidRPr="008A5816">
        <w:rPr>
          <w:rFonts w:ascii="Arial" w:eastAsia="Calibri" w:hAnsi="Arial" w:cs="Arial"/>
        </w:rPr>
        <w:t>i</w:t>
      </w:r>
      <w:proofErr w:type="spellEnd"/>
      <w:r w:rsidRPr="008A5816">
        <w:rPr>
          <w:rFonts w:ascii="Arial" w:eastAsia="Calibri" w:hAnsi="Arial" w:cs="Arial"/>
        </w:rPr>
        <w:t xml:space="preserve">. a Výzkumný ústav rostlinné výroby, </w:t>
      </w:r>
      <w:proofErr w:type="spellStart"/>
      <w:r w:rsidRPr="008A5816">
        <w:rPr>
          <w:rFonts w:ascii="Arial" w:eastAsia="Calibri" w:hAnsi="Arial" w:cs="Arial"/>
        </w:rPr>
        <w:t>v.v.i</w:t>
      </w:r>
      <w:proofErr w:type="spellEnd"/>
      <w:r w:rsidRPr="008A5816">
        <w:rPr>
          <w:rFonts w:ascii="Arial" w:eastAsia="Calibri" w:hAnsi="Arial" w:cs="Arial"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Ze souhrnného podílu poskytnuté stání podpory na řešení projektů z hlediska třech hlavních právních forem příjemců vyplývá, že největší podpory se dostává veřejným výzkumným institucím (zhruba 50 %), dále vysokým školám (30 %) a soukromým právním organizacím a dalším subjektům je přidělován nejmenší podíl (20 %). Lze přitom sledovat určitý trend směřující k pozvolnému navyšování podílu podpory institucím zřizovaných rezortem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ind w:left="851" w:hanging="851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 xml:space="preserve">Graf 4: </w:t>
      </w:r>
      <w:r w:rsidRPr="008A5816">
        <w:rPr>
          <w:rFonts w:ascii="Arial" w:eastAsia="Calibri" w:hAnsi="Arial" w:cs="Arial"/>
          <w:i/>
        </w:rPr>
        <w:t xml:space="preserve">Podíl právních forem příjemců na finanční dotaci poskytnuté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prostřednictvím programů účelové podpory v letech 2005 – 2014.</w:t>
      </w:r>
    </w:p>
    <w:p w:rsidR="008A5816" w:rsidRPr="008A5816" w:rsidRDefault="008A5816" w:rsidP="008A5816">
      <w:pPr>
        <w:spacing w:after="120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3E920AF5" wp14:editId="03BB4188">
            <wp:extent cx="4770120" cy="2415540"/>
            <wp:effectExtent l="0" t="0" r="0" b="0"/>
            <wp:docPr id="27" name="Graf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Vysvětlivky: VVI – veřejné výzkumné instituce, VVS – veřejné vysoké školy, SPO – soukromé právní organizace.</w:t>
      </w:r>
    </w:p>
    <w:p w:rsidR="008A5816" w:rsidRPr="008A5816" w:rsidRDefault="008A5816" w:rsidP="008A5816">
      <w:pPr>
        <w:spacing w:after="120"/>
        <w:rPr>
          <w:rFonts w:ascii="Arial" w:eastAsia="Calibri" w:hAnsi="Arial" w:cs="Arial"/>
          <w:u w:val="single"/>
        </w:rPr>
      </w:pPr>
    </w:p>
    <w:p w:rsidR="008A5816" w:rsidRPr="00E8096B" w:rsidRDefault="008A5816" w:rsidP="008A5816">
      <w:pPr>
        <w:spacing w:after="120"/>
        <w:ind w:firstLine="709"/>
        <w:jc w:val="both"/>
        <w:rPr>
          <w:rFonts w:ascii="Arial" w:hAnsi="Arial"/>
          <w:b/>
          <w:iCs/>
          <w:lang w:eastAsia="en-US"/>
        </w:rPr>
      </w:pPr>
      <w:r w:rsidRPr="00E8096B">
        <w:rPr>
          <w:rFonts w:ascii="Arial" w:hAnsi="Arial"/>
          <w:b/>
          <w:iCs/>
          <w:lang w:eastAsia="en-US"/>
        </w:rPr>
        <w:t>2.3</w:t>
      </w:r>
      <w:r w:rsidRPr="00E8096B">
        <w:rPr>
          <w:rFonts w:ascii="Arial" w:hAnsi="Arial"/>
          <w:b/>
          <w:iCs/>
          <w:lang w:eastAsia="en-US"/>
        </w:rPr>
        <w:tab/>
        <w:t xml:space="preserve">Závěr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patří mezi efektivní poskytovatele účelové i institucionální podpory. Pozitivně je třeba hodnotit nastavené trendy, kdy se zlepšuje úspěšnost v mezinárodních projektech a celkový počet výstupů, včetně těch spadajících pod kategorii aplikované výsledky. Přestože jejich počet roste a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dodržuje v této oblasti stanovené cíle, bylo by vhodné tento trend posílit a klást na něj větší důraz.  </w:t>
      </w:r>
    </w:p>
    <w:p w:rsidR="008A5816" w:rsidRPr="008A5816" w:rsidRDefault="00E8096B" w:rsidP="008A5816">
      <w:pPr>
        <w:keepNext/>
        <w:keepLines/>
        <w:spacing w:after="120"/>
        <w:ind w:left="360" w:hanging="360"/>
        <w:outlineLvl w:val="0"/>
        <w:rPr>
          <w:rFonts w:ascii="Arial" w:hAnsi="Arial"/>
          <w:b/>
          <w:bCs/>
          <w:sz w:val="28"/>
          <w:szCs w:val="28"/>
        </w:rPr>
      </w:pPr>
      <w:r>
        <w:rPr>
          <w:rFonts w:ascii="Arial" w:hAnsi="Arial"/>
          <w:b/>
          <w:bCs/>
          <w:sz w:val="28"/>
          <w:szCs w:val="28"/>
        </w:rPr>
        <w:lastRenderedPageBreak/>
        <w:t>3</w:t>
      </w:r>
      <w:r>
        <w:rPr>
          <w:rFonts w:ascii="Arial" w:hAnsi="Arial"/>
          <w:b/>
          <w:bCs/>
          <w:sz w:val="28"/>
          <w:szCs w:val="28"/>
        </w:rPr>
        <w:tab/>
      </w:r>
      <w:r w:rsidR="008A5816" w:rsidRPr="008A5816">
        <w:rPr>
          <w:rFonts w:ascii="Arial" w:hAnsi="Arial"/>
          <w:b/>
          <w:bCs/>
          <w:sz w:val="28"/>
          <w:szCs w:val="28"/>
        </w:rPr>
        <w:t xml:space="preserve">Doplňující analýza výsledků zemědělského </w:t>
      </w:r>
      <w:proofErr w:type="spellStart"/>
      <w:r w:rsidR="008A5816" w:rsidRPr="008A5816">
        <w:rPr>
          <w:rFonts w:ascii="Arial" w:hAnsi="Arial"/>
          <w:b/>
          <w:bCs/>
          <w:sz w:val="28"/>
          <w:szCs w:val="28"/>
        </w:rPr>
        <w:t>VaVaI</w:t>
      </w:r>
      <w:proofErr w:type="spellEnd"/>
    </w:p>
    <w:p w:rsidR="008A5816" w:rsidRPr="008A5816" w:rsidRDefault="008A5816" w:rsidP="008A5816">
      <w:pPr>
        <w:spacing w:after="120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i/>
        </w:rPr>
        <w:t xml:space="preserve">Tato kapitola se zaměřuje na strukturu výsledků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 xml:space="preserve"> financovaných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z hlediska vědních oborů. Jako doplňující informaci předkládá základní informace o vlivu dalších Poskytovatelů na zemědělský výzkum.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Pro analýzu byly využity výsledky předané do IS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v letech 2008 – 2013 v oborech přínosných pro zemědělství. Provozovatel IS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provádí kontrolu předávaných údajů a výsledky, které nesplňují definici datových prvků, tj. jsou předány neúplně nebo nesprávně, provozovatel ze systému odstraní. Podíl chybných údajů od </w:t>
      </w:r>
      <w:proofErr w:type="spellStart"/>
      <w:proofErr w:type="gramStart"/>
      <w:r w:rsidRPr="008A5816">
        <w:rPr>
          <w:rFonts w:ascii="Arial" w:eastAsia="Calibri" w:hAnsi="Arial" w:cs="Arial"/>
        </w:rPr>
        <w:t>MZe</w:t>
      </w:r>
      <w:proofErr w:type="spellEnd"/>
      <w:proofErr w:type="gramEnd"/>
      <w:r w:rsidRPr="008A5816">
        <w:rPr>
          <w:rFonts w:ascii="Arial" w:eastAsia="Calibri" w:hAnsi="Arial" w:cs="Arial"/>
        </w:rPr>
        <w:t xml:space="preserve"> za roky 2008 – 2013 činil 1 %, což odpovídá průměrné chybovosti veškerých údajů předávaných do IS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všemi Poskytovateli.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V letech 2008 - 2013 bylo předáno do IS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přes 132 539 záznamů o výsledcích výzkumu, z toho více než 9 tisíc (6,8 %) pochází od </w:t>
      </w:r>
      <w:proofErr w:type="spellStart"/>
      <w:proofErr w:type="gramStart"/>
      <w:r w:rsidRPr="008A5816">
        <w:rPr>
          <w:rFonts w:ascii="Arial" w:eastAsia="Calibri" w:hAnsi="Arial" w:cs="Arial"/>
        </w:rPr>
        <w:t>MZe</w:t>
      </w:r>
      <w:proofErr w:type="spellEnd"/>
      <w:proofErr w:type="gramEnd"/>
      <w:r w:rsidRPr="008A5816">
        <w:rPr>
          <w:rFonts w:ascii="Arial" w:eastAsia="Calibri" w:hAnsi="Arial" w:cs="Arial"/>
        </w:rPr>
        <w:t xml:space="preserve">. Vzhledem k tomu, že byl v tomto období průměrný podíl resortu na výdajích SR pro oblast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3,16 % (viz kap. 2), lze konstatovat, že tímto způsobem měřená produktivita vědeckých výstupů je nadprůměrná.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</w:p>
    <w:p w:rsidR="008A5816" w:rsidRPr="00E8096B" w:rsidRDefault="008A5816" w:rsidP="00E8096B">
      <w:pPr>
        <w:tabs>
          <w:tab w:val="left" w:pos="1418"/>
        </w:tabs>
        <w:spacing w:after="120"/>
        <w:ind w:left="1418" w:hanging="709"/>
        <w:jc w:val="both"/>
        <w:rPr>
          <w:rFonts w:ascii="Arial" w:hAnsi="Arial"/>
          <w:b/>
          <w:iCs/>
          <w:lang w:eastAsia="en-US"/>
        </w:rPr>
      </w:pPr>
      <w:r w:rsidRPr="00E8096B">
        <w:rPr>
          <w:rFonts w:ascii="Arial" w:hAnsi="Arial"/>
          <w:b/>
          <w:iCs/>
          <w:lang w:eastAsia="en-US"/>
        </w:rPr>
        <w:t>3.1</w:t>
      </w:r>
      <w:r w:rsidRPr="00E8096B">
        <w:rPr>
          <w:rFonts w:ascii="Arial" w:hAnsi="Arial"/>
          <w:b/>
          <w:iCs/>
          <w:lang w:eastAsia="en-US"/>
        </w:rPr>
        <w:tab/>
        <w:t xml:space="preserve">Vliv Poskytovatele na tvorbu výsledků v jednotlivých skupinách vědních oborů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Jak vyplývá z grafů 5a a 5b,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přispívá největší měrou k tvorbě </w:t>
      </w:r>
      <w:r w:rsidRPr="008A5816">
        <w:rPr>
          <w:rFonts w:ascii="Arial" w:eastAsia="Calibri" w:hAnsi="Arial" w:cs="Arial"/>
          <w:i/>
        </w:rPr>
        <w:t>publikačních</w:t>
      </w:r>
      <w:r w:rsidRPr="008A5816">
        <w:rPr>
          <w:rFonts w:ascii="Arial" w:eastAsia="Calibri" w:hAnsi="Arial" w:cs="Arial"/>
        </w:rPr>
        <w:t xml:space="preserve"> výsledků v zemědělských vědách (34,6 %), které jsou pro zemědělství klíčové. Finanční podpora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je významná také ve vědách o Zemi a biologických vědách (4,7 %, 4,4 % výsledků). V případě </w:t>
      </w:r>
      <w:r w:rsidRPr="008A5816">
        <w:rPr>
          <w:rFonts w:ascii="Arial" w:eastAsia="Calibri" w:hAnsi="Arial" w:cs="Arial"/>
          <w:i/>
        </w:rPr>
        <w:t>aplikovaných</w:t>
      </w:r>
      <w:r w:rsidRPr="008A5816">
        <w:rPr>
          <w:rFonts w:ascii="Arial" w:eastAsia="Calibri" w:hAnsi="Arial" w:cs="Arial"/>
        </w:rPr>
        <w:t xml:space="preserve"> výsledků je přínos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patrný opět nejvíce v zemědělských vědách (49,2 %), dále největší počet aplikovaných výsledků pro zemědělství vzniká v biologických vědách, vědách o Zemi a lékařských vědách.</w:t>
      </w:r>
    </w:p>
    <w:p w:rsidR="008A5816" w:rsidRPr="008A5816" w:rsidRDefault="008A5816" w:rsidP="008A5816">
      <w:pPr>
        <w:keepNext/>
        <w:spacing w:after="120"/>
        <w:ind w:left="851" w:hanging="851"/>
        <w:rPr>
          <w:rFonts w:ascii="Arial" w:eastAsia="Calibri" w:hAnsi="Arial" w:cs="Arial"/>
          <w:b/>
        </w:rPr>
      </w:pPr>
    </w:p>
    <w:p w:rsidR="008A5816" w:rsidRPr="008A5816" w:rsidRDefault="008A5816" w:rsidP="008A5816">
      <w:pPr>
        <w:keepNext/>
        <w:spacing w:after="120"/>
        <w:ind w:left="851" w:hanging="851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b/>
        </w:rPr>
        <w:t xml:space="preserve">Graf 5a: </w:t>
      </w:r>
      <w:r w:rsidRPr="008A5816">
        <w:rPr>
          <w:rFonts w:ascii="Arial" w:eastAsia="Calibri" w:hAnsi="Arial" w:cs="Arial"/>
          <w:i/>
        </w:rPr>
        <w:t xml:space="preserve">Podíl aplikovaných výsledků uplatněných v letech 2008 – 2013 financovaných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v jednotlivých skupinách vědních oborů (v %).</w:t>
      </w:r>
    </w:p>
    <w:p w:rsidR="008A5816" w:rsidRPr="008A5816" w:rsidRDefault="008A5816" w:rsidP="008A5816">
      <w:pPr>
        <w:spacing w:before="120"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021C34C0" wp14:editId="0F205387">
            <wp:extent cx="4162567" cy="2265529"/>
            <wp:effectExtent l="0" t="0" r="9525" b="20955"/>
            <wp:docPr id="28" name="Graf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Zdroj: Informační systém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VaVaI</w:t>
      </w:r>
      <w:proofErr w:type="spellEnd"/>
    </w:p>
    <w:p w:rsidR="008A5816" w:rsidRPr="008A5816" w:rsidRDefault="008A5816" w:rsidP="008A5816">
      <w:pPr>
        <w:keepNext/>
        <w:ind w:left="851" w:hanging="851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b/>
        </w:rPr>
        <w:lastRenderedPageBreak/>
        <w:t xml:space="preserve">Graf 5b: </w:t>
      </w:r>
      <w:r w:rsidRPr="008A5816">
        <w:rPr>
          <w:rFonts w:ascii="Arial" w:eastAsia="Calibri" w:hAnsi="Arial" w:cs="Arial"/>
          <w:i/>
        </w:rPr>
        <w:t>Podíl publikačních výsledků uplatněných v letech 2008 – 2013 financovaných MZ v jednotlivých skupinách vědních oborů (v %).</w:t>
      </w:r>
    </w:p>
    <w:p w:rsidR="008A5816" w:rsidRPr="008A5816" w:rsidRDefault="008A5816" w:rsidP="008A5816">
      <w:pPr>
        <w:spacing w:before="120"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17983B23" wp14:editId="46217D83">
            <wp:extent cx="4295554" cy="2030819"/>
            <wp:effectExtent l="0" t="0" r="10160" b="26670"/>
            <wp:docPr id="29" name="Graf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Zdroj: Informační systém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VaVaI</w:t>
      </w:r>
      <w:proofErr w:type="spellEnd"/>
    </w:p>
    <w:p w:rsidR="008A5816" w:rsidRPr="008A5816" w:rsidRDefault="008A5816" w:rsidP="008A5816">
      <w:pPr>
        <w:spacing w:after="120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Zemědělský výzkum z pohledu vědních oborů není možné omezovat pouze na zemědělské vědy, ale patří sem i biologické vědy, chemické vědy, vědy o Zemi, environmentální vědy a další.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Podrobnější rozbor výsledků podle typu podpory ve vztahu k jednotlivým vědním oborům je shrnut v grafu 6. V zemědělských vědách, kde vzniklo s podporou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největší množství výsledků, převažuje účelová podpora, dále účelová podpora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převažuje výrazně u biologických věd a věd o Zemi. U informatických věd naopak výrazně převažuje institucionální podpora.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ind w:left="851" w:hanging="851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lastRenderedPageBreak/>
        <w:t xml:space="preserve">Graf 6: </w:t>
      </w:r>
      <w:r w:rsidRPr="008A5816">
        <w:rPr>
          <w:rFonts w:ascii="Arial" w:eastAsia="Calibri" w:hAnsi="Arial" w:cs="Arial"/>
          <w:i/>
        </w:rPr>
        <w:t xml:space="preserve">Podíl institucionální a účelové podpory (v %) poskytnuté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na tvorbě výsledků. </w:t>
      </w:r>
    </w:p>
    <w:p w:rsidR="008A5816" w:rsidRPr="008A5816" w:rsidRDefault="008A5816" w:rsidP="008A5816">
      <w:pPr>
        <w:spacing w:before="120" w:after="120"/>
        <w:jc w:val="center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53E8BD1" wp14:editId="2B86CD4F">
            <wp:extent cx="6448425" cy="4953000"/>
            <wp:effectExtent l="0" t="0" r="9525" b="19050"/>
            <wp:docPr id="30" name="Graf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Poznámka:</w:t>
      </w:r>
      <w:r w:rsidRPr="008A5816">
        <w:rPr>
          <w:rFonts w:ascii="Arial" w:eastAsia="Calibri" w:hAnsi="Arial" w:cs="Arial"/>
          <w:i/>
          <w:sz w:val="18"/>
          <w:szCs w:val="18"/>
        </w:rPr>
        <w:t xml:space="preserve"> </w:t>
      </w:r>
      <w:r w:rsidRPr="008A5816">
        <w:rPr>
          <w:rFonts w:ascii="Arial" w:eastAsia="Calibri" w:hAnsi="Arial" w:cs="Arial"/>
          <w:sz w:val="18"/>
          <w:szCs w:val="18"/>
        </w:rPr>
        <w:t xml:space="preserve">Velikost pole udává počet výsledků, které vznikly s podporou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MZe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Zdroj: Informační systém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VaVaI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Z pohledu kvality publikačních výsledků je základním parametrem jejich struktura. V základním výzkumu je žádoucí vysoký podíl publikací v periodikách uvedených v mezinárodních databázích. V aplikovaném výzkumu mají nicméně významnou roli při přenosu znalostí do praxe také publikace v národních periodikách a monografie.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Struktura výsledků vzniklých s podporou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v jednotlivých vědních oborech je patrná z grafů 7a až 7b. V zemědělských vědách dominují články v českých recenzovaných a ostatních časopisech (62 %).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financuje především zemědělské vědy, za které byl dosažen podíl článků v impaktovaném časopisu (</w:t>
      </w:r>
      <w:proofErr w:type="spellStart"/>
      <w:r w:rsidRPr="008A5816">
        <w:rPr>
          <w:rFonts w:ascii="Arial" w:eastAsia="Calibri" w:hAnsi="Arial" w:cs="Arial"/>
        </w:rPr>
        <w:t>WoS</w:t>
      </w:r>
      <w:proofErr w:type="spellEnd"/>
      <w:r w:rsidRPr="008A5816">
        <w:rPr>
          <w:rFonts w:ascii="Arial" w:eastAsia="Calibri" w:hAnsi="Arial" w:cs="Arial"/>
        </w:rPr>
        <w:t xml:space="preserve">) ve výši 21 % na tvorbě výsledků. V letech 2008 – 2012 vzniklo v zemědělských vědách nezanedbatelné množství článků ve světové databázi </w:t>
      </w:r>
      <w:proofErr w:type="spellStart"/>
      <w:r w:rsidRPr="008A5816">
        <w:rPr>
          <w:rFonts w:ascii="Arial" w:eastAsia="Calibri" w:hAnsi="Arial" w:cs="Arial"/>
        </w:rPr>
        <w:t>Scopus</w:t>
      </w:r>
      <w:proofErr w:type="spellEnd"/>
      <w:r w:rsidRPr="008A5816">
        <w:rPr>
          <w:rFonts w:ascii="Arial" w:eastAsia="Calibri" w:hAnsi="Arial" w:cs="Arial"/>
        </w:rPr>
        <w:t xml:space="preserve"> (11 %). Rovněž podíl monografií je podstatný (necelých 5 %). Uvedená skutečnost může souviset s potřebami provozní praxe, pro niž mohou být národní periodika či monografie tradičním a dostupnějším zdrojem informací, než prestižní zahraniční časopisy. Mezi </w:t>
      </w:r>
      <w:r w:rsidRPr="008A5816">
        <w:rPr>
          <w:rFonts w:ascii="Arial" w:eastAsia="Calibri" w:hAnsi="Arial" w:cs="Arial"/>
        </w:rPr>
        <w:lastRenderedPageBreak/>
        <w:t>výsledky uplatněné v technických a informatických vědách převažují články v českých recenzovaných a ostatních časopisech (84 %). V chemických vědách bylo prezentováno jako výsledek téměř stejné množství článků v českých recenzovaných a ostatních časopisech a článků v impaktovaných časopisech (kolem 45 %). Nejvyšší množství článků v impaktovaném časopisu (</w:t>
      </w:r>
      <w:proofErr w:type="spellStart"/>
      <w:r w:rsidRPr="008A5816">
        <w:rPr>
          <w:rFonts w:ascii="Arial" w:eastAsia="Calibri" w:hAnsi="Arial" w:cs="Arial"/>
        </w:rPr>
        <w:t>WoS</w:t>
      </w:r>
      <w:proofErr w:type="spellEnd"/>
      <w:r w:rsidRPr="008A5816">
        <w:rPr>
          <w:rFonts w:ascii="Arial" w:eastAsia="Calibri" w:hAnsi="Arial" w:cs="Arial"/>
        </w:rPr>
        <w:t xml:space="preserve">) bylo dosaženo v oborech biologických věd (50 %). V tomto omezeném smyslu jsou to právě biologické a chemické vědy, které představují nejprogresivnější směry výzkumu </w:t>
      </w:r>
      <w:proofErr w:type="gramStart"/>
      <w:r w:rsidRPr="008A5816">
        <w:rPr>
          <w:rFonts w:ascii="Arial" w:eastAsia="Calibri" w:hAnsi="Arial" w:cs="Arial"/>
        </w:rPr>
        <w:t>financovaném</w:t>
      </w:r>
      <w:proofErr w:type="gramEnd"/>
      <w:r w:rsidRPr="008A5816">
        <w:rPr>
          <w:rFonts w:ascii="Arial" w:eastAsia="Calibri" w:hAnsi="Arial" w:cs="Arial"/>
        </w:rPr>
        <w:t xml:space="preserve">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ind w:left="1276" w:hanging="1276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 xml:space="preserve">Graf 7a: </w:t>
      </w:r>
      <w:r w:rsidRPr="008A5816">
        <w:rPr>
          <w:rFonts w:ascii="Arial" w:eastAsia="Calibri" w:hAnsi="Arial" w:cs="Arial"/>
          <w:i/>
        </w:rPr>
        <w:t xml:space="preserve">Struktura výsledků uplatněných v letech 2008 - 2012 financovaných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v jednotlivých skupinách vědních oborů: zemědělské vědy (v %)</w:t>
      </w:r>
      <w:r w:rsidRPr="008A5816">
        <w:rPr>
          <w:rFonts w:ascii="Arial" w:eastAsia="Calibri" w:hAnsi="Arial" w:cs="Arial"/>
          <w:b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i/>
          <w:sz w:val="20"/>
          <w:szCs w:val="20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047F4D8C" wp14:editId="22CEA910">
            <wp:extent cx="4558352" cy="2197289"/>
            <wp:effectExtent l="0" t="0" r="13970" b="12700"/>
            <wp:docPr id="31" name="Graf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Poznámka: Čísla uprostřed prstenců udávají celkový počet výsledků.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Hodnocení 2013.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ind w:left="1276" w:hanging="1276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 xml:space="preserve">Graf 7b: </w:t>
      </w:r>
      <w:r w:rsidRPr="008A5816">
        <w:rPr>
          <w:rFonts w:ascii="Arial" w:eastAsia="Calibri" w:hAnsi="Arial" w:cs="Arial"/>
          <w:i/>
        </w:rPr>
        <w:t xml:space="preserve">Struktura výsledků uplatněných v letech 2008 - 2012 financovaných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v jednotlivých skupinách vědních oborů: technické a informatické vědy (v %)</w:t>
      </w:r>
      <w:r w:rsidRPr="008A5816">
        <w:rPr>
          <w:rFonts w:ascii="Arial" w:eastAsia="Calibri" w:hAnsi="Arial" w:cs="Arial"/>
          <w:b/>
        </w:rPr>
        <w:t>.</w:t>
      </w:r>
    </w:p>
    <w:p w:rsidR="008A5816" w:rsidRPr="008A5816" w:rsidRDefault="008A5816" w:rsidP="008A5816">
      <w:pPr>
        <w:spacing w:after="120"/>
        <w:rPr>
          <w:rFonts w:ascii="Arial" w:eastAsia="Calibri" w:hAnsi="Arial" w:cs="Arial"/>
          <w:i/>
          <w:sz w:val="20"/>
          <w:szCs w:val="20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00828347" wp14:editId="29F2DAA4">
            <wp:extent cx="4580627" cy="1846053"/>
            <wp:effectExtent l="0" t="0" r="10795" b="20955"/>
            <wp:docPr id="32" name="Graf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Poznámka: Čísla uprostřed prstenců udávají celkový počet výsledků.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Hodnocení 2013.</w:t>
      </w:r>
    </w:p>
    <w:p w:rsidR="008A5816" w:rsidRPr="008A5816" w:rsidRDefault="008A5816" w:rsidP="008A5816">
      <w:pPr>
        <w:keepNext/>
        <w:spacing w:after="120"/>
        <w:ind w:left="1276" w:hanging="1276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lastRenderedPageBreak/>
        <w:t xml:space="preserve">Graf 7c: </w:t>
      </w:r>
      <w:r w:rsidRPr="008A5816">
        <w:rPr>
          <w:rFonts w:ascii="Arial" w:eastAsia="Calibri" w:hAnsi="Arial" w:cs="Arial"/>
          <w:i/>
        </w:rPr>
        <w:t xml:space="preserve">Struktura výsledků uplatněných v letech 2008 - 2012 financovaných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v jednotlivých skupinách vědních oborů: vědy o zemi (v %)</w:t>
      </w:r>
      <w:r w:rsidRPr="008A5816">
        <w:rPr>
          <w:rFonts w:ascii="Arial" w:eastAsia="Calibri" w:hAnsi="Arial" w:cs="Arial"/>
          <w:b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i/>
          <w:sz w:val="20"/>
          <w:szCs w:val="20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AE00977" wp14:editId="2FD7FFC2">
            <wp:extent cx="4676775" cy="1971675"/>
            <wp:effectExtent l="0" t="0" r="9525" b="9525"/>
            <wp:docPr id="33" name="Graf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Poznámka:</w:t>
      </w:r>
      <w:r w:rsidRPr="008A5816">
        <w:rPr>
          <w:rFonts w:ascii="Arial" w:eastAsia="Calibri" w:hAnsi="Arial" w:cs="Arial"/>
          <w:i/>
          <w:sz w:val="18"/>
          <w:szCs w:val="18"/>
        </w:rPr>
        <w:t xml:space="preserve"> </w:t>
      </w:r>
      <w:r w:rsidRPr="008A5816">
        <w:rPr>
          <w:rFonts w:ascii="Arial" w:eastAsia="Calibri" w:hAnsi="Arial" w:cs="Arial"/>
          <w:sz w:val="18"/>
          <w:szCs w:val="18"/>
        </w:rPr>
        <w:t>Čísla uprostřed prstenců udávají celkový počet výsledků.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Hodnocení 2013.</w:t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6"/>
          <w:szCs w:val="16"/>
        </w:rPr>
      </w:pPr>
    </w:p>
    <w:p w:rsidR="008A5816" w:rsidRPr="008A5816" w:rsidRDefault="008A5816" w:rsidP="008A5816">
      <w:pPr>
        <w:keepNext/>
        <w:spacing w:after="120"/>
        <w:ind w:left="1276" w:hanging="1276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 xml:space="preserve">Graf 7d: </w:t>
      </w:r>
      <w:r w:rsidRPr="008A5816">
        <w:rPr>
          <w:rFonts w:ascii="Arial" w:eastAsia="Calibri" w:hAnsi="Arial" w:cs="Arial"/>
          <w:i/>
        </w:rPr>
        <w:t xml:space="preserve">Struktura výsledků uplatněných v letech 2008 - 2012 financovaných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v jednotlivých skupinách vědních oborů: chemické vědy (v %)</w:t>
      </w:r>
      <w:r w:rsidRPr="008A5816">
        <w:rPr>
          <w:rFonts w:ascii="Arial" w:eastAsia="Calibri" w:hAnsi="Arial" w:cs="Arial"/>
          <w:b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i/>
          <w:sz w:val="20"/>
          <w:szCs w:val="20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2AE722C5" wp14:editId="002D9B23">
            <wp:extent cx="4676775" cy="1876425"/>
            <wp:effectExtent l="0" t="0" r="9525" b="9525"/>
            <wp:docPr id="34" name="Graf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Poznámka: Čísla uprostřed prstenců udávají celkový počet výsledků.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Hodnocení 2013.</w:t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i/>
          <w:sz w:val="16"/>
          <w:szCs w:val="16"/>
        </w:rPr>
      </w:pPr>
    </w:p>
    <w:p w:rsidR="008A5816" w:rsidRPr="008A5816" w:rsidRDefault="008A5816" w:rsidP="008A5816">
      <w:pPr>
        <w:keepNext/>
        <w:spacing w:after="120"/>
        <w:ind w:left="1276" w:hanging="1276"/>
        <w:jc w:val="both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b/>
        </w:rPr>
        <w:t xml:space="preserve">Graf 7e: </w:t>
      </w:r>
      <w:r w:rsidRPr="008A5816">
        <w:rPr>
          <w:rFonts w:ascii="Arial" w:eastAsia="Calibri" w:hAnsi="Arial" w:cs="Arial"/>
          <w:i/>
        </w:rPr>
        <w:t xml:space="preserve">Struktura výsledků uplatněných v letech 2008 - 2012 financovaných </w:t>
      </w:r>
      <w:proofErr w:type="spellStart"/>
      <w:r w:rsidRPr="008A5816">
        <w:rPr>
          <w:rFonts w:ascii="Arial" w:eastAsia="Calibri" w:hAnsi="Arial" w:cs="Arial"/>
          <w:i/>
        </w:rPr>
        <w:t>MZe</w:t>
      </w:r>
      <w:proofErr w:type="spellEnd"/>
      <w:r w:rsidRPr="008A5816">
        <w:rPr>
          <w:rFonts w:ascii="Arial" w:eastAsia="Calibri" w:hAnsi="Arial" w:cs="Arial"/>
          <w:i/>
        </w:rPr>
        <w:t xml:space="preserve"> v jednotlivých skupinách vědních oborů: biologické vědy (v %)</w:t>
      </w:r>
      <w:r w:rsidRPr="008A5816">
        <w:rPr>
          <w:rFonts w:ascii="Arial" w:eastAsia="Calibri" w:hAnsi="Arial" w:cs="Arial"/>
          <w:b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i/>
          <w:sz w:val="20"/>
          <w:szCs w:val="20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43273BBB" wp14:editId="532B457B">
            <wp:extent cx="4581525" cy="1943100"/>
            <wp:effectExtent l="0" t="0" r="9525" b="19050"/>
            <wp:docPr id="35" name="Graf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Poznámka:</w:t>
      </w:r>
      <w:r w:rsidRPr="008A5816">
        <w:rPr>
          <w:rFonts w:ascii="Arial" w:eastAsia="Calibri" w:hAnsi="Arial" w:cs="Arial"/>
          <w:i/>
          <w:sz w:val="18"/>
          <w:szCs w:val="18"/>
        </w:rPr>
        <w:t xml:space="preserve"> </w:t>
      </w:r>
      <w:r w:rsidRPr="008A5816">
        <w:rPr>
          <w:rFonts w:ascii="Arial" w:eastAsia="Calibri" w:hAnsi="Arial" w:cs="Arial"/>
          <w:sz w:val="18"/>
          <w:szCs w:val="18"/>
        </w:rPr>
        <w:t>Čísla uprostřed prstenců udávají celkový počet výsledků.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Zdroj: Hodnocení 2013.</w:t>
      </w:r>
    </w:p>
    <w:p w:rsidR="008A5816" w:rsidRPr="00E8096B" w:rsidRDefault="008A5816" w:rsidP="00E8096B">
      <w:pPr>
        <w:spacing w:after="120"/>
        <w:ind w:left="1418" w:hanging="709"/>
        <w:jc w:val="both"/>
        <w:rPr>
          <w:rFonts w:ascii="Arial" w:hAnsi="Arial"/>
          <w:b/>
          <w:iCs/>
          <w:lang w:eastAsia="en-US"/>
        </w:rPr>
      </w:pPr>
      <w:r w:rsidRPr="00E8096B">
        <w:rPr>
          <w:rFonts w:ascii="Arial" w:hAnsi="Arial"/>
          <w:b/>
          <w:iCs/>
          <w:lang w:eastAsia="en-US"/>
        </w:rPr>
        <w:lastRenderedPageBreak/>
        <w:t>3.2</w:t>
      </w:r>
      <w:r w:rsidRPr="00E8096B">
        <w:rPr>
          <w:rFonts w:ascii="Arial" w:hAnsi="Arial"/>
          <w:b/>
          <w:iCs/>
          <w:lang w:eastAsia="en-US"/>
        </w:rPr>
        <w:tab/>
        <w:t xml:space="preserve">Vliv ostatních Poskytovatelů podpory </w:t>
      </w:r>
      <w:proofErr w:type="spellStart"/>
      <w:r w:rsidRPr="00E8096B">
        <w:rPr>
          <w:rFonts w:ascii="Arial" w:hAnsi="Arial"/>
          <w:b/>
          <w:iCs/>
          <w:lang w:eastAsia="en-US"/>
        </w:rPr>
        <w:t>VaVaI</w:t>
      </w:r>
      <w:proofErr w:type="spellEnd"/>
      <w:r w:rsidRPr="00E8096B">
        <w:rPr>
          <w:rFonts w:ascii="Arial" w:hAnsi="Arial"/>
          <w:b/>
          <w:iCs/>
          <w:lang w:eastAsia="en-US"/>
        </w:rPr>
        <w:t xml:space="preserve"> na tvorbu výsledků zemědělského výzkumu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V souladu se zákonem </w:t>
      </w:r>
      <w:r w:rsidRPr="008A5816">
        <w:rPr>
          <w:rFonts w:ascii="Arial" w:eastAsia="Calibri" w:hAnsi="Arial" w:cs="Arial"/>
          <w:color w:val="000000"/>
        </w:rPr>
        <w:t>o podpoře výzkumu, experimentálního vývoje a inovací</w:t>
      </w:r>
      <w:r w:rsidRPr="008A5816">
        <w:rPr>
          <w:rFonts w:ascii="Arial" w:eastAsia="Calibri" w:hAnsi="Arial" w:cs="Arial"/>
        </w:rPr>
        <w:t xml:space="preserve"> není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jediným Poskytovatelem odpovědným za financování zemědělského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>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Financování základního zemědělského výzkumu je téměř výhradně prováděno GA ČR, v projektech financovaných prostřednictvím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může být podle § 3 odst. 2 písm. b) zákona </w:t>
      </w:r>
      <w:r w:rsidRPr="008A5816">
        <w:rPr>
          <w:rFonts w:ascii="Arial" w:eastAsia="Calibri" w:hAnsi="Arial" w:cs="Arial"/>
          <w:color w:val="000000"/>
        </w:rPr>
        <w:t>o podpoře výzkumu, experimentálního vývoje a inovací</w:t>
      </w:r>
      <w:r w:rsidRPr="008A5816">
        <w:rPr>
          <w:rFonts w:ascii="Arial" w:eastAsia="Calibri" w:hAnsi="Arial" w:cs="Arial"/>
        </w:rPr>
        <w:t xml:space="preserve"> zahrnut pouze okrajově jako nezbytný předpoklad pro výzkum aplikovaný.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Aplikovaný zemědělský výzkum může být podporován v závislosti na oboru prostřednictvím jiných Poskytovatelů, zejména Ministerstvem školství, mládeže a tělovýchovy, Akademií věd ČR, Technologickou agenturou ČR, Ministerstvem zdravotnictví a Ministerstvem průmyslu a obchodu. Uvedený fakt dokládá rozbor výsledků předávaných v souladu s § 31 zákona </w:t>
      </w:r>
      <w:r w:rsidRPr="008A5816">
        <w:rPr>
          <w:rFonts w:ascii="Arial" w:eastAsia="Calibri" w:hAnsi="Arial" w:cs="Arial"/>
          <w:color w:val="000000"/>
        </w:rPr>
        <w:t>o podpoře výzkumu, experimentálního vývoje a inovací</w:t>
      </w:r>
      <w:r w:rsidRPr="008A5816">
        <w:rPr>
          <w:rFonts w:ascii="Arial" w:eastAsia="Calibri" w:hAnsi="Arial" w:cs="Arial"/>
        </w:rPr>
        <w:t xml:space="preserve"> do IS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.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spolupracuje při vypracování koncepčních materiálů u společných priorit např. s Grantovou agenturou ČR, Technologickou agenturou ČR, Ministerstvem vnitra a Ministerstvem školství, mládeže a tělovýchovy v oblasti hraničních témat aplikovaného výzkumu také s Ministerstvem zdravotnictví.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Na základě údajů o výsledcích předávaných jednotlivými Poskytovateli do IS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lze usuzovat na jejich vliv v oblasti zemědělského výzkumu. Pro tvorbu </w:t>
      </w:r>
      <w:r w:rsidRPr="008A5816">
        <w:rPr>
          <w:rFonts w:ascii="Arial" w:eastAsia="Calibri" w:hAnsi="Arial" w:cs="Arial"/>
          <w:i/>
        </w:rPr>
        <w:t>publikací</w:t>
      </w:r>
      <w:r w:rsidRPr="008A5816">
        <w:rPr>
          <w:rFonts w:ascii="Arial" w:eastAsia="Calibri" w:hAnsi="Arial" w:cs="Arial"/>
        </w:rPr>
        <w:t xml:space="preserve"> jsou ve všech sledovaných skupinách oborů zásadní finance poskytované MŠMT, následované v chemických, biologických vědách, vědách o zemi a technických vědách podporou z GA ČR a AV ČR. V zemědělských vědách je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druhým nejvýznamnějším Poskytovatelem. Vliv ostatních Poskytovatelů při poskytování prostředků na zemědělský výzkum je relativně malý.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Odlišná je situace v případě aplikovaných výsledků. Dominantní roli při podpoře jejich tvorby ve všech sledovaných skupinách oborů hraje i zde MŠMT, druhým nejvýznamnějším Poskytovatelem je s výjimkou společenských, fyzikálních a matematických věd MPO následované v biologických, chemických a vědách o zemi AV ČR a dobíhající podpoře MŽP na začátku sledovaného období ve vědách o zemi a zemědělských vědách. MŽP plnilo roli správce rozpočtové kapitoly na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do roku 2008. Významná je rovněž úloha TA ČR, která patří mezi významné poskytovatele v technických vědách a vykazuje vliv na tvorbu výsledků v zemědělských vědách a vědách o zemi.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u w:val="single"/>
        </w:rPr>
      </w:pPr>
    </w:p>
    <w:p w:rsidR="008A5816" w:rsidRPr="005702BC" w:rsidRDefault="008A5816" w:rsidP="008A5816">
      <w:pPr>
        <w:spacing w:after="120"/>
        <w:ind w:firstLine="709"/>
        <w:jc w:val="both"/>
        <w:rPr>
          <w:rFonts w:ascii="Arial" w:hAnsi="Arial"/>
          <w:b/>
          <w:iCs/>
          <w:lang w:eastAsia="en-US"/>
        </w:rPr>
      </w:pPr>
      <w:r w:rsidRPr="005702BC">
        <w:rPr>
          <w:rFonts w:ascii="Arial" w:hAnsi="Arial"/>
          <w:b/>
          <w:iCs/>
          <w:lang w:eastAsia="en-US"/>
        </w:rPr>
        <w:t>3.3</w:t>
      </w:r>
      <w:r w:rsidRPr="005702BC">
        <w:rPr>
          <w:rFonts w:ascii="Arial" w:hAnsi="Arial"/>
          <w:b/>
          <w:iCs/>
          <w:lang w:eastAsia="en-US"/>
        </w:rPr>
        <w:tab/>
        <w:t xml:space="preserve">Závěr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Podíl resortu na SR pro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je nižší než podíl vyprodukovaných výstupů vykázaných v databázi výsledků. Z toho plyne, že tímto způsobem interpretovaná produktivita Poskytovatele je nadprůměrná.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významnou měrou financuje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v zemědělských vědách, podílí se také na podpoře biologických věd, věd o zemi, technických, chemických a společenských věd. Výstupy jsou především ve formě článků v českých recenzovaných a ostatních časopisech, v menší míře se jedná o články v impaktovaných časopisech a v publikacích, které obsahuje databáze </w:t>
      </w:r>
      <w:proofErr w:type="spellStart"/>
      <w:r w:rsidRPr="008A5816">
        <w:rPr>
          <w:rFonts w:ascii="Arial" w:eastAsia="Calibri" w:hAnsi="Arial" w:cs="Arial"/>
        </w:rPr>
        <w:t>Scopus</w:t>
      </w:r>
      <w:proofErr w:type="spellEnd"/>
      <w:r w:rsidRPr="008A5816">
        <w:rPr>
          <w:rFonts w:ascii="Arial" w:eastAsia="Calibri" w:hAnsi="Arial" w:cs="Arial"/>
        </w:rPr>
        <w:t xml:space="preserve">. Aplikovaných výsledků, </w:t>
      </w:r>
      <w:r w:rsidRPr="008A5816">
        <w:rPr>
          <w:rFonts w:ascii="Arial" w:eastAsia="Calibri" w:hAnsi="Arial" w:cs="Arial"/>
        </w:rPr>
        <w:lastRenderedPageBreak/>
        <w:t xml:space="preserve">definovaných v současné metodice, vzniká s podporou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relativně nízký počet. Menší motivace řešitelů produkovat více aplikovaných výsledků je dán pravděpodobně i změnou metodiky hodnocení výzkumných organizací. Je třeba ale brát v potaz, že řada článků v časopisech má aplikační potenciál pro zemědělskou praxi a jsou pro českou odbornou veřejnost snadno přístupné. 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5702BC" w:rsidP="008A5816">
      <w:pPr>
        <w:keepNext/>
        <w:keepLines/>
        <w:spacing w:after="120"/>
        <w:ind w:left="360" w:hanging="360"/>
        <w:outlineLvl w:val="0"/>
        <w:rPr>
          <w:rFonts w:ascii="Arial" w:hAnsi="Arial"/>
          <w:b/>
          <w:bCs/>
          <w:sz w:val="28"/>
          <w:szCs w:val="28"/>
        </w:rPr>
      </w:pPr>
      <w:bookmarkStart w:id="17" w:name="_Toc396743376"/>
      <w:bookmarkStart w:id="18" w:name="_Toc425144521"/>
      <w:r>
        <w:rPr>
          <w:rFonts w:ascii="Arial" w:hAnsi="Arial"/>
          <w:b/>
          <w:bCs/>
          <w:sz w:val="28"/>
          <w:szCs w:val="28"/>
        </w:rPr>
        <w:t>4</w:t>
      </w:r>
      <w:r>
        <w:rPr>
          <w:rFonts w:ascii="Arial" w:hAnsi="Arial"/>
          <w:b/>
          <w:bCs/>
          <w:sz w:val="28"/>
          <w:szCs w:val="28"/>
        </w:rPr>
        <w:tab/>
      </w:r>
      <w:r w:rsidR="008A5816" w:rsidRPr="008A5816">
        <w:rPr>
          <w:rFonts w:ascii="Arial" w:hAnsi="Arial"/>
          <w:b/>
          <w:bCs/>
          <w:sz w:val="28"/>
          <w:szCs w:val="28"/>
        </w:rPr>
        <w:t xml:space="preserve">Srovnání zemědělského </w:t>
      </w:r>
      <w:proofErr w:type="spellStart"/>
      <w:r w:rsidR="008A5816" w:rsidRPr="008A5816">
        <w:rPr>
          <w:rFonts w:ascii="Arial" w:hAnsi="Arial"/>
          <w:b/>
          <w:bCs/>
          <w:sz w:val="28"/>
          <w:szCs w:val="28"/>
        </w:rPr>
        <w:t>VaVaI</w:t>
      </w:r>
      <w:proofErr w:type="spellEnd"/>
      <w:r w:rsidR="008A5816" w:rsidRPr="008A5816">
        <w:rPr>
          <w:rFonts w:ascii="Arial" w:hAnsi="Arial"/>
          <w:b/>
          <w:bCs/>
          <w:sz w:val="28"/>
          <w:szCs w:val="28"/>
        </w:rPr>
        <w:t xml:space="preserve"> se zahraničím</w:t>
      </w:r>
      <w:bookmarkEnd w:id="17"/>
      <w:bookmarkEnd w:id="18"/>
    </w:p>
    <w:p w:rsidR="008A5816" w:rsidRPr="005702BC" w:rsidRDefault="008A5816" w:rsidP="008A5816">
      <w:pPr>
        <w:keepNext/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jc w:val="both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i/>
        </w:rPr>
        <w:t xml:space="preserve">Tato kapitola se zabývá vybranými vstupy a výstupy českého zemědělského výzkumu v perspektivě mezinárodní komparace. </w:t>
      </w:r>
    </w:p>
    <w:p w:rsidR="008A5816" w:rsidRPr="008A5816" w:rsidRDefault="008A5816" w:rsidP="008A5816">
      <w:pPr>
        <w:keepNext/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Pro porovnání českého systému podpory zemědělského výzkumu se zahraničními systémy bylo vybráno sousední Rakousko, dále Portugalsko, které má téměř shodný počet výzkumných pracovníků (přepočteno na Full </w:t>
      </w:r>
      <w:proofErr w:type="spellStart"/>
      <w:r w:rsidRPr="008A5816">
        <w:rPr>
          <w:rFonts w:ascii="Arial" w:eastAsia="Calibri" w:hAnsi="Arial" w:cs="Arial"/>
        </w:rPr>
        <w:t>Time</w:t>
      </w:r>
      <w:proofErr w:type="spellEnd"/>
      <w:r w:rsidRPr="008A5816">
        <w:rPr>
          <w:rFonts w:ascii="Arial" w:eastAsia="Calibri" w:hAnsi="Arial" w:cs="Arial"/>
        </w:rPr>
        <w:t xml:space="preserve"> </w:t>
      </w:r>
      <w:proofErr w:type="spellStart"/>
      <w:r w:rsidRPr="008A5816">
        <w:rPr>
          <w:rFonts w:ascii="Arial" w:eastAsia="Calibri" w:hAnsi="Arial" w:cs="Arial"/>
        </w:rPr>
        <w:t>Equivalent</w:t>
      </w:r>
      <w:proofErr w:type="spellEnd"/>
      <w:r w:rsidRPr="008A5816">
        <w:rPr>
          <w:rFonts w:ascii="Arial" w:eastAsia="Calibri" w:hAnsi="Arial" w:cs="Arial"/>
        </w:rPr>
        <w:t xml:space="preserve">, dále jen „FTE“) na 1000 pracujících jako Rakousko, dále zemědělsky vyspělé Dánsko a Irsko. </w:t>
      </w:r>
    </w:p>
    <w:p w:rsidR="008A5816" w:rsidRPr="009C75A3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b/>
        </w:rPr>
        <w:t>Tabulka 4</w:t>
      </w:r>
      <w:r w:rsidRPr="008A5816">
        <w:rPr>
          <w:rFonts w:ascii="Arial" w:eastAsia="Calibri" w:hAnsi="Arial" w:cs="Arial"/>
        </w:rPr>
        <w:t xml:space="preserve">: </w:t>
      </w:r>
      <w:r w:rsidRPr="008A5816">
        <w:rPr>
          <w:rFonts w:ascii="Arial" w:eastAsia="Calibri" w:hAnsi="Arial" w:cs="Arial"/>
          <w:i/>
        </w:rPr>
        <w:t>Základní vybrané údaje o komparovaných státech</w:t>
      </w:r>
      <w:r w:rsidRPr="008A5816">
        <w:rPr>
          <w:rFonts w:ascii="Arial" w:eastAsia="Calibri" w:hAnsi="Arial" w:cs="Arial"/>
        </w:rPr>
        <w:t>.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6"/>
        <w:gridCol w:w="2677"/>
        <w:gridCol w:w="2073"/>
        <w:gridCol w:w="2038"/>
      </w:tblGrid>
      <w:tr w:rsidR="008A5816" w:rsidRPr="008A5816" w:rsidTr="008A5816">
        <w:tc>
          <w:tcPr>
            <w:tcW w:w="2676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677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FTE výzkumných pracovníků na 1000 pracujících (rok 2010)</w:t>
            </w:r>
          </w:p>
        </w:tc>
        <w:tc>
          <w:tcPr>
            <w:tcW w:w="2073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Podíl zemědělské výroby na HDP (v %</w:t>
            </w:r>
          </w:p>
        </w:tc>
        <w:tc>
          <w:tcPr>
            <w:tcW w:w="2038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Podíl zaměstnanců v </w:t>
            </w:r>
            <w:proofErr w:type="gramStart"/>
            <w:r w:rsidRPr="008A5816">
              <w:rPr>
                <w:rFonts w:ascii="Arial" w:eastAsia="Calibri" w:hAnsi="Arial" w:cs="Arial"/>
                <w:sz w:val="20"/>
                <w:szCs w:val="20"/>
              </w:rPr>
              <w:t>zemědělství  v %</w:t>
            </w:r>
            <w:proofErr w:type="gramEnd"/>
          </w:p>
        </w:tc>
      </w:tr>
      <w:tr w:rsidR="008A5816" w:rsidRPr="008A5816" w:rsidTr="008A5816">
        <w:tc>
          <w:tcPr>
            <w:tcW w:w="2676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Česká republika</w:t>
            </w:r>
          </w:p>
        </w:tc>
        <w:tc>
          <w:tcPr>
            <w:tcW w:w="2677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5,6</w:t>
            </w:r>
          </w:p>
        </w:tc>
        <w:tc>
          <w:tcPr>
            <w:tcW w:w="2073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</w:tc>
        <w:tc>
          <w:tcPr>
            <w:tcW w:w="2038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4</w:t>
            </w:r>
          </w:p>
        </w:tc>
      </w:tr>
      <w:tr w:rsidR="008A5816" w:rsidRPr="008A5816" w:rsidTr="008A5816">
        <w:tc>
          <w:tcPr>
            <w:tcW w:w="2676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Dánsko</w:t>
            </w:r>
          </w:p>
        </w:tc>
        <w:tc>
          <w:tcPr>
            <w:tcW w:w="2677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12,9</w:t>
            </w:r>
          </w:p>
        </w:tc>
        <w:tc>
          <w:tcPr>
            <w:tcW w:w="2073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1,3</w:t>
            </w:r>
          </w:p>
        </w:tc>
        <w:tc>
          <w:tcPr>
            <w:tcW w:w="2038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2,6</w:t>
            </w:r>
          </w:p>
        </w:tc>
      </w:tr>
      <w:tr w:rsidR="008A5816" w:rsidRPr="008A5816" w:rsidTr="008A5816">
        <w:tc>
          <w:tcPr>
            <w:tcW w:w="2676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Irsko</w:t>
            </w:r>
          </w:p>
        </w:tc>
        <w:tc>
          <w:tcPr>
            <w:tcW w:w="2677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6,6</w:t>
            </w:r>
          </w:p>
        </w:tc>
        <w:tc>
          <w:tcPr>
            <w:tcW w:w="2073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5,7</w:t>
            </w:r>
          </w:p>
        </w:tc>
        <w:tc>
          <w:tcPr>
            <w:tcW w:w="2038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7,5</w:t>
            </w:r>
          </w:p>
        </w:tc>
      </w:tr>
      <w:tr w:rsidR="008A5816" w:rsidRPr="008A5816" w:rsidTr="008A5816">
        <w:tc>
          <w:tcPr>
            <w:tcW w:w="2676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Rakousko</w:t>
            </w:r>
          </w:p>
        </w:tc>
        <w:tc>
          <w:tcPr>
            <w:tcW w:w="2677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8,5</w:t>
            </w:r>
          </w:p>
        </w:tc>
        <w:tc>
          <w:tcPr>
            <w:tcW w:w="2073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2</w:t>
            </w:r>
          </w:p>
        </w:tc>
        <w:tc>
          <w:tcPr>
            <w:tcW w:w="2038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7</w:t>
            </w:r>
          </w:p>
        </w:tc>
      </w:tr>
      <w:tr w:rsidR="008A5816" w:rsidRPr="008A5816" w:rsidTr="008A5816">
        <w:tc>
          <w:tcPr>
            <w:tcW w:w="2676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Portugalsko</w:t>
            </w:r>
          </w:p>
        </w:tc>
        <w:tc>
          <w:tcPr>
            <w:tcW w:w="2677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8,2</w:t>
            </w:r>
          </w:p>
        </w:tc>
        <w:tc>
          <w:tcPr>
            <w:tcW w:w="2073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2,6</w:t>
            </w:r>
          </w:p>
        </w:tc>
        <w:tc>
          <w:tcPr>
            <w:tcW w:w="2038" w:type="dxa"/>
            <w:shd w:val="clear" w:color="auto" w:fill="auto"/>
          </w:tcPr>
          <w:p w:rsidR="008A5816" w:rsidRPr="008A5816" w:rsidRDefault="008A5816" w:rsidP="008A5816">
            <w:pPr>
              <w:spacing w:after="100" w:afterAutospacing="1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A5816">
              <w:rPr>
                <w:rFonts w:ascii="Arial" w:eastAsia="Calibri" w:hAnsi="Arial" w:cs="Arial"/>
                <w:sz w:val="20"/>
                <w:szCs w:val="20"/>
              </w:rPr>
              <w:t>10</w:t>
            </w:r>
          </w:p>
        </w:tc>
      </w:tr>
    </w:tbl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Zdroj: data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EUROSTATu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,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Agriculture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,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forestry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 and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fishery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statistics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>, Souhrnné teritoriální informace hodnocených států.</w:t>
      </w: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Všechny čtyři státy vybrané pro komparaci s ČR mají rozvinutou evaluační kulturu vědy a výzkumu. Jejich zemědělský systém se v základních rysech zásadně neliší, protože podléhá pravidlům financování společné zemědělské politiky v EU. Pro srovnávací analýzu bylo určeno šest hlavních ukazatelů, které charakterizují úroveň výzkumu, vývoje a inovací v sektoru zemědělství jak na straně vstupů, tak výstupů (viz následující tabulka).</w:t>
      </w: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Pr="008A5816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b/>
        </w:rPr>
        <w:lastRenderedPageBreak/>
        <w:t xml:space="preserve">Tabulka 5: </w:t>
      </w:r>
      <w:r w:rsidRPr="008A5816">
        <w:rPr>
          <w:rFonts w:ascii="Arial" w:eastAsia="Calibri" w:hAnsi="Arial" w:cs="Arial"/>
          <w:i/>
        </w:rPr>
        <w:t xml:space="preserve">Šest ukazatelů vstupů a výstupů charakterizující úroveň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8A5816" w:rsidRPr="008A5816" w:rsidTr="008A5816">
        <w:trPr>
          <w:tblHeader/>
        </w:trPr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sz w:val="16"/>
                <w:szCs w:val="16"/>
              </w:rPr>
              <w:t>Ukazatel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sz w:val="16"/>
                <w:szCs w:val="16"/>
              </w:rPr>
              <w:t>Relevance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b/>
                <w:sz w:val="16"/>
                <w:szCs w:val="16"/>
              </w:rPr>
              <w:t>Zdroj dat</w:t>
            </w:r>
          </w:p>
        </w:tc>
      </w:tr>
      <w:tr w:rsidR="008A5816" w:rsidRPr="008A5816" w:rsidTr="008A5816">
        <w:tc>
          <w:tcPr>
            <w:tcW w:w="92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i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i/>
                <w:sz w:val="16"/>
                <w:szCs w:val="16"/>
              </w:rPr>
              <w:t>vstupy</w:t>
            </w:r>
          </w:p>
        </w:tc>
      </w:tr>
      <w:tr w:rsidR="008A5816" w:rsidRPr="008A5816" w:rsidTr="008A5816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color w:val="000000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 xml:space="preserve">výdaje SR na zemědělský </w:t>
            </w:r>
            <w:proofErr w:type="spellStart"/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VaVaI</w:t>
            </w:r>
            <w:proofErr w:type="spellEnd"/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 xml:space="preserve"> vyjádřené pomocí parity kupní síly (PPP)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celková významnost zemědělského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VaVaI</w:t>
            </w:r>
            <w:proofErr w:type="spellEnd"/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Databáze OECD, R&amp;D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Statistics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>, GBAORD</w:t>
            </w:r>
          </w:p>
        </w:tc>
      </w:tr>
      <w:tr w:rsidR="008A5816" w:rsidRPr="008A5816" w:rsidTr="008A5816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 xml:space="preserve">podíl financí SR na </w:t>
            </w:r>
            <w:proofErr w:type="spellStart"/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>VaVaI</w:t>
            </w:r>
            <w:proofErr w:type="spellEnd"/>
            <w:r w:rsidRPr="008A5816">
              <w:rPr>
                <w:rFonts w:ascii="Arial" w:eastAsia="Calibri" w:hAnsi="Arial" w:cs="Arial"/>
                <w:color w:val="000000"/>
                <w:sz w:val="16"/>
                <w:szCs w:val="16"/>
              </w:rPr>
              <w:t xml:space="preserve"> investovaných na zemědělské programy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významnost zemědělského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VaVaI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vůči ostatním oblastem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VaVaI</w:t>
            </w:r>
            <w:proofErr w:type="spellEnd"/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Databáze OECD,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Main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Science and Technology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Indicators</w:t>
            </w:r>
            <w:proofErr w:type="spellEnd"/>
          </w:p>
        </w:tc>
      </w:tr>
      <w:tr w:rsidR="008A5816" w:rsidRPr="008A5816" w:rsidTr="008A5816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zaměstnanci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VaVaI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ve veřejném sektoru, ve vysokoškolském sektoru v zemědělských oborech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>podpora lidských zdrojů ve 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VaVaI</w:t>
            </w:r>
            <w:proofErr w:type="spellEnd"/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Databáze OECD, R&amp;D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Statistics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,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Personnel</w:t>
            </w:r>
            <w:proofErr w:type="spellEnd"/>
          </w:p>
        </w:tc>
      </w:tr>
      <w:tr w:rsidR="008A5816" w:rsidRPr="008A5816" w:rsidTr="008A5816">
        <w:tc>
          <w:tcPr>
            <w:tcW w:w="92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jc w:val="center"/>
              <w:rPr>
                <w:rFonts w:ascii="Arial" w:eastAsia="Calibri" w:hAnsi="Arial" w:cs="Arial"/>
                <w:i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i/>
                <w:sz w:val="16"/>
                <w:szCs w:val="16"/>
              </w:rPr>
              <w:t>výstupy</w:t>
            </w:r>
          </w:p>
        </w:tc>
      </w:tr>
      <w:tr w:rsidR="008A5816" w:rsidRPr="008A5816" w:rsidTr="008A5816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>patentové přihlášky u PCT - biotechnologie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>úroveň aplikovaného výzkumu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Databáze OECD,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Patents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Statistics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,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Patents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by technology</w:t>
            </w:r>
          </w:p>
        </w:tc>
      </w:tr>
      <w:tr w:rsidR="008A5816" w:rsidRPr="008A5816" w:rsidTr="008A5816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počet publikací v databázi Web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of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Science (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WoS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>) – vybrané zemědělské vědy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>úroveň základního výzkumu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Web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of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Science, zpracováno prostřednictvím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InCitesTM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>, Thomson Reuters (2013)</w:t>
            </w:r>
          </w:p>
        </w:tc>
      </w:tr>
      <w:tr w:rsidR="008A5816" w:rsidRPr="008A5816" w:rsidTr="008A5816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relativní citační index publikací ve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WoS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v zemědělských vědách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>úroveň základního výzkumu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5816" w:rsidRPr="008A5816" w:rsidRDefault="008A5816" w:rsidP="008A5816">
            <w:pPr>
              <w:rPr>
                <w:rFonts w:ascii="Arial" w:eastAsia="Calibri" w:hAnsi="Arial" w:cs="Arial"/>
                <w:sz w:val="16"/>
                <w:szCs w:val="16"/>
              </w:rPr>
            </w:pPr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Web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of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 xml:space="preserve"> Science, zpracováno prostřednictvím </w:t>
            </w:r>
            <w:proofErr w:type="spellStart"/>
            <w:r w:rsidRPr="008A5816">
              <w:rPr>
                <w:rFonts w:ascii="Arial" w:eastAsia="Calibri" w:hAnsi="Arial" w:cs="Arial"/>
                <w:sz w:val="16"/>
                <w:szCs w:val="16"/>
              </w:rPr>
              <w:t>InCitesTM</w:t>
            </w:r>
            <w:proofErr w:type="spellEnd"/>
            <w:r w:rsidRPr="008A5816">
              <w:rPr>
                <w:rFonts w:ascii="Arial" w:eastAsia="Calibri" w:hAnsi="Arial" w:cs="Arial"/>
                <w:sz w:val="16"/>
                <w:szCs w:val="16"/>
              </w:rPr>
              <w:t>, Thomson Reuters (2013)</w:t>
            </w:r>
          </w:p>
        </w:tc>
      </w:tr>
    </w:tbl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Za účelem efektivního srovnání byl vytvořen profil ČR, Rakouska, Dánska, Irska a Portugalska na základě uvedených šesti ukazatelů a dále byly analyzovány trendy časového vývoje.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Ukazatele výdajů SR na zemědělský výzkum jako % celkových výdajů na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a GBAORD jako % celkových vládních výdajů jsou zaneseny v grafu číslo 8 a představují střední hodnoty (mediány) ukazatelů v letech 2008 – 2012.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b/>
        </w:rPr>
        <w:t xml:space="preserve">Graf 8: </w:t>
      </w:r>
      <w:r w:rsidRPr="008A5816">
        <w:rPr>
          <w:rFonts w:ascii="Arial" w:eastAsia="Calibri" w:hAnsi="Arial" w:cs="Arial"/>
          <w:i/>
        </w:rPr>
        <w:t xml:space="preserve">Podíly ze státních rozpočtů na zemědělský výzkum ve sledovaných zemích. </w:t>
      </w:r>
      <w:r w:rsidRPr="008A5816">
        <w:rPr>
          <w:rFonts w:ascii="Arial" w:eastAsia="Calibri" w:hAnsi="Arial" w:cs="Arial"/>
          <w:i/>
          <w:noProof/>
        </w:rPr>
        <w:t xml:space="preserve"> </w:t>
      </w:r>
    </w:p>
    <w:p w:rsidR="008A5816" w:rsidRPr="008A5816" w:rsidRDefault="008A5816" w:rsidP="008A5816">
      <w:pPr>
        <w:spacing w:after="120"/>
        <w:jc w:val="center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4915FA8F" wp14:editId="6B3A10B8">
            <wp:simplePos x="0" y="0"/>
            <wp:positionH relativeFrom="column">
              <wp:posOffset>-9525</wp:posOffset>
            </wp:positionH>
            <wp:positionV relativeFrom="paragraph">
              <wp:posOffset>11430</wp:posOffset>
            </wp:positionV>
            <wp:extent cx="5126990" cy="1713230"/>
            <wp:effectExtent l="0" t="1905" r="0" b="0"/>
            <wp:wrapTight wrapText="bothSides">
              <wp:wrapPolygon edited="0">
                <wp:start x="120" y="600"/>
                <wp:lineTo x="120" y="20879"/>
                <wp:lineTo x="21439" y="20879"/>
                <wp:lineTo x="21439" y="600"/>
                <wp:lineTo x="120" y="600"/>
              </wp:wrapPolygon>
            </wp:wrapTight>
            <wp:docPr id="36" name="Graf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5816" w:rsidRPr="008A5816" w:rsidRDefault="008A5816" w:rsidP="008A5816">
      <w:pPr>
        <w:spacing w:after="120"/>
        <w:jc w:val="center"/>
        <w:rPr>
          <w:rFonts w:ascii="Arial" w:eastAsia="Calibri" w:hAnsi="Arial" w:cs="Arial"/>
          <w:sz w:val="22"/>
          <w:szCs w:val="22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18"/>
          <w:szCs w:val="18"/>
        </w:rPr>
      </w:pPr>
    </w:p>
    <w:p w:rsidR="008A5816" w:rsidRPr="008A5816" w:rsidRDefault="008A5816" w:rsidP="008A5816">
      <w:pPr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>Poznámka: Jsou uvedeny střední hodnoty ukazatelů za posledních pět dostupných let (2008 – 2012) pro všechny sledované státy.</w:t>
      </w:r>
    </w:p>
    <w:p w:rsidR="008A5816" w:rsidRPr="008A5816" w:rsidRDefault="008A5816" w:rsidP="008A5816">
      <w:pPr>
        <w:keepNext/>
        <w:spacing w:after="120"/>
        <w:rPr>
          <w:rFonts w:ascii="Arial" w:eastAsia="Calibri" w:hAnsi="Arial" w:cs="Arial"/>
          <w:noProof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Zdroj: OECD a Web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of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 Science.</w:t>
      </w:r>
      <w:r w:rsidRPr="008A5816">
        <w:rPr>
          <w:rFonts w:ascii="Arial" w:eastAsia="Calibri" w:hAnsi="Arial" w:cs="Arial"/>
          <w:noProof/>
          <w:sz w:val="18"/>
          <w:szCs w:val="18"/>
        </w:rPr>
        <w:t xml:space="preserve"> </w:t>
      </w:r>
    </w:p>
    <w:p w:rsidR="008A5816" w:rsidRPr="008A5816" w:rsidRDefault="008A5816" w:rsidP="008A5816">
      <w:pPr>
        <w:keepNext/>
        <w:spacing w:after="120"/>
        <w:rPr>
          <w:rFonts w:ascii="Arial" w:eastAsia="Calibri" w:hAnsi="Arial" w:cs="Arial"/>
          <w:noProof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Irsko investuje ze sledovaných zemí největší podíl výdajů ze SR na zemědělský výzkum z celkových výdajů SR, téměř 12 %, ČR a Portugalsko investují kolem 4,5 %, Dánsko 3,2 % a Rakousko 1,7 %.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ind w:left="851" w:hanging="851"/>
        <w:rPr>
          <w:rFonts w:ascii="Arial" w:eastAsia="Calibri" w:hAnsi="Arial" w:cs="Arial"/>
          <w:i/>
        </w:rPr>
      </w:pPr>
      <w:r w:rsidRPr="008A5816">
        <w:rPr>
          <w:rFonts w:ascii="Arial" w:eastAsia="Calibri" w:hAnsi="Arial" w:cs="Arial"/>
          <w:b/>
        </w:rPr>
        <w:lastRenderedPageBreak/>
        <w:t xml:space="preserve">Graf 9 : </w:t>
      </w:r>
      <w:r w:rsidRPr="008A5816">
        <w:rPr>
          <w:rFonts w:ascii="Arial" w:eastAsia="Calibri" w:hAnsi="Arial" w:cs="Arial"/>
          <w:i/>
        </w:rPr>
        <w:t xml:space="preserve">Vývojový trend výdajů státního rozpočtu na zemědělský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 xml:space="preserve"> ve sledovaných zemích (v mil. USD, přepočteno na paritu kupní síly).</w:t>
      </w:r>
    </w:p>
    <w:p w:rsidR="008A5816" w:rsidRPr="008A5816" w:rsidRDefault="008A5816" w:rsidP="008A5816">
      <w:pPr>
        <w:spacing w:after="120"/>
        <w:jc w:val="center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7B35B08A" wp14:editId="55C298B7">
            <wp:extent cx="5495290" cy="2130425"/>
            <wp:effectExtent l="0" t="0" r="0" b="0"/>
            <wp:docPr id="37" name="Graf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ind w:left="284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sz w:val="18"/>
          <w:szCs w:val="18"/>
        </w:rPr>
        <w:t>Zdroj: OECD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ČR spolu s Irskem vykazují výrazný stoupající trend ve výdajích SR na zemědělský výzkum za sledované období (po převodu na paritu kupní síly). Výdaje ČR vystoupaly z hodnot 37,25 mil. USD v roce 2002 na hodnoty 81,62 mil. USD v roce 2013. Přitom z relativních hodnot je navýšení prostředků v této oblasti ČR nejvýraznější právě v případě ČR. 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Podíl financí SR na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určených pro zemědělské programy, který dokumentuje relativní významnost zemědělského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ve sledovaných zemích ve vztahu k ostatním oblastem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ukazuje, že mezi srovnávanými zeměmi opět vyniká Irsko. Ostatní země, tedy včetně ČR, jsou si od roku 2008 poměrně blízké s jistou výjimkou v případě Rakouska, kde je tento podíl nejnižší. 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ind w:left="851" w:hanging="851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b/>
        </w:rPr>
        <w:t xml:space="preserve">Graf 10: </w:t>
      </w:r>
      <w:r w:rsidRPr="008A5816">
        <w:rPr>
          <w:rFonts w:ascii="Arial" w:eastAsia="Calibri" w:hAnsi="Arial" w:cs="Arial"/>
          <w:i/>
        </w:rPr>
        <w:t xml:space="preserve">Vývojový trend podílu financí SR na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 xml:space="preserve"> alokovaných na zemědělské programy ve sledovaných zemích (% z celkových výdajů SR na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>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652C0B3A" wp14:editId="65B795AC">
            <wp:extent cx="5417185" cy="1837690"/>
            <wp:effectExtent l="0" t="0" r="0" b="0"/>
            <wp:docPr id="38" name="Graf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sz w:val="18"/>
          <w:szCs w:val="18"/>
        </w:rPr>
        <w:t>Zdroj: OECD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Počet zaměstnanců vládního sektoru v oborech zemědělských věd je k dispozici pouze pro tři země, údaje za Dánsko a Rakousko nejsou za větší část komparovaných let dostupné.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ind w:left="709" w:hanging="709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lastRenderedPageBreak/>
        <w:t xml:space="preserve">Graf 11: </w:t>
      </w:r>
      <w:r w:rsidRPr="008A5816">
        <w:rPr>
          <w:rFonts w:ascii="Arial" w:eastAsia="Calibri" w:hAnsi="Arial" w:cs="Arial"/>
          <w:i/>
        </w:rPr>
        <w:t xml:space="preserve">Vývojový trend počtu zaměstnanců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 xml:space="preserve"> v oborech zemědělských věd ve vládním sektoru v ČR, Irsku a Portugalsku (přepočteno na FTE).</w:t>
      </w:r>
    </w:p>
    <w:p w:rsidR="008A5816" w:rsidRPr="008A5816" w:rsidRDefault="008A5816" w:rsidP="008A5816">
      <w:pPr>
        <w:spacing w:after="120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0893A841" wp14:editId="23AA7173">
            <wp:extent cx="4857007" cy="1900052"/>
            <wp:effectExtent l="0" t="0" r="20320" b="24130"/>
            <wp:docPr id="39" name="Graf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sz w:val="18"/>
          <w:szCs w:val="18"/>
        </w:rPr>
        <w:t>Zdroj: OECD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Doplňující informací je počet zaměstnanců vysokoškolského sektoru v oborech zemědělských věd za roky 2004 a 2009 pro všech pět zemí.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ind w:left="993" w:hanging="993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 xml:space="preserve">Graf 12 : </w:t>
      </w:r>
      <w:r w:rsidRPr="008A5816">
        <w:rPr>
          <w:rFonts w:ascii="Arial" w:eastAsia="Calibri" w:hAnsi="Arial" w:cs="Arial"/>
          <w:i/>
        </w:rPr>
        <w:t xml:space="preserve">Počet zaměstnanců </w:t>
      </w:r>
      <w:proofErr w:type="spellStart"/>
      <w:r w:rsidRPr="008A5816">
        <w:rPr>
          <w:rFonts w:ascii="Arial" w:eastAsia="Calibri" w:hAnsi="Arial" w:cs="Arial"/>
          <w:i/>
        </w:rPr>
        <w:t>VaVaI</w:t>
      </w:r>
      <w:proofErr w:type="spellEnd"/>
      <w:r w:rsidRPr="008A5816">
        <w:rPr>
          <w:rFonts w:ascii="Arial" w:eastAsia="Calibri" w:hAnsi="Arial" w:cs="Arial"/>
          <w:i/>
        </w:rPr>
        <w:t xml:space="preserve"> ve vysokoškolském sektoru v oborech zemědělských věd ve sledovaných zemích (přepočteno na FTE)</w:t>
      </w:r>
      <w:r w:rsidRPr="008A5816">
        <w:rPr>
          <w:rFonts w:ascii="Arial" w:eastAsia="Calibri" w:hAnsi="Arial" w:cs="Arial"/>
          <w:b/>
        </w:rPr>
        <w:t xml:space="preserve">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5C89FBBC" wp14:editId="348B4F23">
            <wp:extent cx="4518838" cy="1594883"/>
            <wp:effectExtent l="0" t="0" r="15240" b="24765"/>
            <wp:docPr id="40" name="Graf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sz w:val="18"/>
          <w:szCs w:val="18"/>
        </w:rPr>
        <w:t>Zdroj: OECD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Z předchozích grafů je patrné, že, že země si udržují vlastní pohled na optimum počtu zaměstnanců podle potřeb sektorů a podle nastavených priorit národního hospodářství, tedy i směrem k podpoře zemědělských věd a jejich podílu na tvorbě HDP. Podstatnou informací je, že ČR z tohoto pohledu patří do průměru a výrazně nevybočuje ani jedním, ani druhým směrem.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Celkově vzato tedy ČR z pohledu vstupů nepatří mezi podprůměrné země, v některých relativních ukazatelích předčí i vyspělejší státy. 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Než přikročíme ke zhodnocení postavení ČR z pohledu úspěšnosti výstupů v podobě patentů, jakožto jednoho z ukazatelů produktivity aplikovaného výzkumu, stručně zhodnotíme postavení ČR na tomto poli ze širšího hlediska. Největší sumu přihlášek patentů u Patent </w:t>
      </w:r>
      <w:proofErr w:type="spellStart"/>
      <w:r w:rsidRPr="008A5816">
        <w:rPr>
          <w:rFonts w:ascii="Arial" w:eastAsia="Calibri" w:hAnsi="Arial" w:cs="Arial"/>
        </w:rPr>
        <w:t>Cooperation</w:t>
      </w:r>
      <w:proofErr w:type="spellEnd"/>
      <w:r w:rsidRPr="008A5816">
        <w:rPr>
          <w:rFonts w:ascii="Arial" w:eastAsia="Calibri" w:hAnsi="Arial" w:cs="Arial"/>
        </w:rPr>
        <w:t xml:space="preserve"> </w:t>
      </w:r>
      <w:proofErr w:type="spellStart"/>
      <w:r w:rsidRPr="008A5816">
        <w:rPr>
          <w:rFonts w:ascii="Arial" w:eastAsia="Calibri" w:hAnsi="Arial" w:cs="Arial"/>
        </w:rPr>
        <w:t>Treaty</w:t>
      </w:r>
      <w:proofErr w:type="spellEnd"/>
      <w:r w:rsidRPr="008A5816">
        <w:rPr>
          <w:rFonts w:ascii="Arial" w:eastAsia="Calibri" w:hAnsi="Arial" w:cs="Arial"/>
        </w:rPr>
        <w:t xml:space="preserve"> (dále jen „PTC“) vykazovalo za všechny vědní obory Dánsko a Rakousko, zhruba 8 krát více než ČR. Nejméně úspěšné Portugalsko dokázalo v období let 2002 až 2011 zvýšit počet přihlášek patentů u PCT z 35 na 143. V roce 2002 činil počet přihlášek patentů u PCT za ČR celkem za všechny obory 93 a v roce 2011 celkem 177. Jinak řečeno, ČR podle tohoto měřítka </w:t>
      </w:r>
      <w:r w:rsidRPr="008A5816">
        <w:rPr>
          <w:rFonts w:ascii="Arial" w:eastAsia="Calibri" w:hAnsi="Arial" w:cs="Arial"/>
        </w:rPr>
        <w:lastRenderedPageBreak/>
        <w:t>neexceluje a zatím se mu ani nedaří nastartovat tak výrazný pozitivní trend, jako se to například daří Portugalsku (viz graf 13).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</w:rPr>
      </w:pPr>
    </w:p>
    <w:p w:rsidR="008A5816" w:rsidRPr="008A5816" w:rsidRDefault="008A5816" w:rsidP="008A5816">
      <w:pPr>
        <w:keepNext/>
        <w:spacing w:after="120"/>
        <w:rPr>
          <w:rFonts w:ascii="Arial" w:eastAsia="Calibri" w:hAnsi="Arial" w:cs="Arial"/>
          <w:i/>
          <w:sz w:val="22"/>
          <w:szCs w:val="22"/>
        </w:rPr>
      </w:pPr>
      <w:r w:rsidRPr="008A5816">
        <w:rPr>
          <w:rFonts w:ascii="Arial" w:eastAsia="Calibri" w:hAnsi="Arial" w:cs="Arial"/>
          <w:b/>
        </w:rPr>
        <w:t xml:space="preserve">Graf 13: </w:t>
      </w:r>
      <w:r w:rsidRPr="008A5816">
        <w:rPr>
          <w:rFonts w:ascii="Arial" w:eastAsia="Calibri" w:hAnsi="Arial" w:cs="Arial"/>
          <w:i/>
        </w:rPr>
        <w:t>Počet uplatněných patentových přihlášek u PCT za všechny obory.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2DF5AB95" wp14:editId="44C4342B">
            <wp:extent cx="5498275" cy="2208810"/>
            <wp:effectExtent l="0" t="0" r="26670" b="20320"/>
            <wp:docPr id="41" name="Graf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Zdroj: OECD - Science, Technology and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Patents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. </w:t>
      </w: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Pokud jde o úspěšnost a excelenci ve vybrané oblasti, tj. v biotechnologiích</w:t>
      </w:r>
      <w:r w:rsidRPr="008A5816">
        <w:rPr>
          <w:rFonts w:ascii="Arial" w:eastAsia="Calibri" w:hAnsi="Arial" w:cs="Arial"/>
          <w:vertAlign w:val="superscript"/>
        </w:rPr>
        <w:footnoteReference w:id="3"/>
      </w:r>
      <w:r w:rsidRPr="008A5816">
        <w:rPr>
          <w:rFonts w:ascii="Arial" w:eastAsia="Calibri" w:hAnsi="Arial" w:cs="Arial"/>
        </w:rPr>
        <w:t xml:space="preserve">, ČR výrazně zaostává za Rakouskem a Dánskem, kde se počet uplatněných patentových přihlášek pohyboval ve sledovaném období v počtu od 151 do 212 (Dánsko), respektive od 56 do 102 (Rakousko). Počet uplatněných mezinárodních patentových přihlášek u PCT pocházejících z ČR se ve sledovaném období let 2002 až 2011 se pohyboval mezi 3 a 10 za rok, což je nejméně ze všech srovnávaných zemí (viz graf 14). </w:t>
      </w:r>
    </w:p>
    <w:p w:rsidR="009C75A3" w:rsidRPr="008A5816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keepNext/>
        <w:spacing w:after="120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 xml:space="preserve">Graf 14: </w:t>
      </w:r>
      <w:r w:rsidRPr="008A5816">
        <w:rPr>
          <w:rFonts w:ascii="Arial" w:eastAsia="Calibri" w:hAnsi="Arial" w:cs="Arial"/>
          <w:i/>
        </w:rPr>
        <w:t>Počet uplatněných patentových přihlášek u PCT v kategorii biotechnologie.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1F2C24AF" wp14:editId="7B880B50">
            <wp:extent cx="5415148" cy="1971304"/>
            <wp:effectExtent l="0" t="0" r="14605" b="10160"/>
            <wp:docPr id="42" name="Graf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sz w:val="22"/>
          <w:szCs w:val="22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Zdroj: OECD, Science, Technology and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Patents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lastRenderedPageBreak/>
        <w:t xml:space="preserve">Na úspěšnost zemědělského výzkumu lze formálně usuzovat dle počtu a citovanosti publikací. Je třeba také podotknout, že výstupy v podobě publikací není provázen výhradně jen základní výzkum, ale také výzkum </w:t>
      </w:r>
      <w:r w:rsidRPr="008A5816">
        <w:rPr>
          <w:rFonts w:ascii="Arial" w:eastAsia="Calibri" w:hAnsi="Arial" w:cs="Arial"/>
          <w:i/>
        </w:rPr>
        <w:t>aplikovaný,</w:t>
      </w:r>
      <w:r w:rsidRPr="008A5816">
        <w:rPr>
          <w:rFonts w:ascii="Arial" w:eastAsia="Calibri" w:hAnsi="Arial" w:cs="Arial"/>
        </w:rPr>
        <w:t xml:space="preserve"> nicméně nemáme ná</w:t>
      </w:r>
      <w:r w:rsidR="006E5F97">
        <w:rPr>
          <w:rFonts w:ascii="Arial" w:eastAsia="Calibri" w:hAnsi="Arial" w:cs="Arial"/>
        </w:rPr>
        <w:t xml:space="preserve">stroje pro jejich diferenciaci. </w:t>
      </w:r>
      <w:r w:rsidRPr="008A5816">
        <w:rPr>
          <w:rFonts w:ascii="Arial" w:eastAsia="Calibri" w:hAnsi="Arial" w:cs="Arial"/>
        </w:rPr>
        <w:t xml:space="preserve">V počtu publikací ve světové databázi Web </w:t>
      </w:r>
      <w:proofErr w:type="spellStart"/>
      <w:r w:rsidRPr="008A5816">
        <w:rPr>
          <w:rFonts w:ascii="Arial" w:eastAsia="Calibri" w:hAnsi="Arial" w:cs="Arial"/>
        </w:rPr>
        <w:t>of</w:t>
      </w:r>
      <w:proofErr w:type="spellEnd"/>
      <w:r w:rsidRPr="008A5816">
        <w:rPr>
          <w:rFonts w:ascii="Arial" w:eastAsia="Calibri" w:hAnsi="Arial" w:cs="Arial"/>
        </w:rPr>
        <w:t xml:space="preserve"> Science za vybrané zemědělské obory excelují Dánsko a Portugalsko, které se i v této oblasti dokázalo dostat na výraznou vzestupnou trajektorii. Obecně platí, že za deset sledovaných let všechny země zvyšují v tomto ukazateli svůj výkon. To se týká i ČR, nicméně její postavení v tomto indikátoru lze označit za slabě podprůměrné, předstihující Irsko a blížící se Rakousku (viz graf 15).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ind w:left="993" w:hanging="993"/>
        <w:rPr>
          <w:rFonts w:ascii="Arial" w:eastAsia="Calibri" w:hAnsi="Arial" w:cs="Arial"/>
          <w:noProof/>
        </w:rPr>
      </w:pPr>
      <w:r w:rsidRPr="008A5816">
        <w:rPr>
          <w:rFonts w:ascii="Arial" w:eastAsia="Calibri" w:hAnsi="Arial" w:cs="Arial"/>
          <w:b/>
        </w:rPr>
        <w:t xml:space="preserve">Graf 15: </w:t>
      </w:r>
      <w:r w:rsidRPr="008A5816">
        <w:rPr>
          <w:rFonts w:ascii="Arial" w:eastAsia="Calibri" w:hAnsi="Arial" w:cs="Arial"/>
          <w:i/>
        </w:rPr>
        <w:t xml:space="preserve">Počet publikací v databázi Web </w:t>
      </w:r>
      <w:proofErr w:type="spellStart"/>
      <w:r w:rsidRPr="008A5816">
        <w:rPr>
          <w:rFonts w:ascii="Arial" w:eastAsia="Calibri" w:hAnsi="Arial" w:cs="Arial"/>
          <w:i/>
        </w:rPr>
        <w:t>of</w:t>
      </w:r>
      <w:proofErr w:type="spellEnd"/>
      <w:r w:rsidRPr="008A5816">
        <w:rPr>
          <w:rFonts w:ascii="Arial" w:eastAsia="Calibri" w:hAnsi="Arial" w:cs="Arial"/>
          <w:i/>
        </w:rPr>
        <w:t xml:space="preserve"> Science v kategorii zemědělských věd za vybrané obory</w:t>
      </w:r>
      <w:r w:rsidRPr="008A5816">
        <w:rPr>
          <w:rFonts w:ascii="Arial" w:eastAsia="Calibri" w:hAnsi="Arial" w:cs="Arial"/>
          <w:noProof/>
        </w:rPr>
        <w:t>.</w:t>
      </w:r>
    </w:p>
    <w:p w:rsidR="008A5816" w:rsidRPr="008A5816" w:rsidRDefault="008A5816" w:rsidP="008A5816">
      <w:pPr>
        <w:spacing w:after="120"/>
        <w:ind w:left="993" w:hanging="993"/>
        <w:rPr>
          <w:rFonts w:ascii="Arial" w:eastAsia="Calibri" w:hAnsi="Arial" w:cs="Arial"/>
          <w:b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3028F0C1" wp14:editId="2DA8FC19">
            <wp:extent cx="5563870" cy="1906270"/>
            <wp:effectExtent l="0" t="0" r="0" b="0"/>
            <wp:docPr id="43" name="Graf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8A5816" w:rsidRPr="008A5816" w:rsidRDefault="008A5816" w:rsidP="008A5816">
      <w:pPr>
        <w:spacing w:before="120"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Zdroj: Web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of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 Science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Podstatným ukazatelem kvality publikací je porovnání jejich citovanosti se světovým průměrem, který má hodnotu 1. Nejvyššího relativního citačního indexu (dále jen „RCI“) sledovaných zemí ve Web </w:t>
      </w:r>
      <w:proofErr w:type="spellStart"/>
      <w:r w:rsidRPr="008A5816">
        <w:rPr>
          <w:rFonts w:ascii="Arial" w:eastAsia="Calibri" w:hAnsi="Arial" w:cs="Arial"/>
        </w:rPr>
        <w:t>of</w:t>
      </w:r>
      <w:proofErr w:type="spellEnd"/>
      <w:r w:rsidRPr="008A5816">
        <w:rPr>
          <w:rFonts w:ascii="Arial" w:eastAsia="Calibri" w:hAnsi="Arial" w:cs="Arial"/>
        </w:rPr>
        <w:t xml:space="preserve"> Science dosáhlo za vybrané obory zemědělských věd v letech 2005-2013 Dánsko s průměrem ve výši 2,42, dále pak Rakousko s průměrem výši 2,24, Irsko ve výši 2,06, Portugalsko 1,70. ČR se v tomto ukazateli umístila až na posledním místě s průměrnou výší indexu přibližně 1,42. </w:t>
      </w: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6E5F97" w:rsidRDefault="006E5F97" w:rsidP="008A5816">
      <w:pPr>
        <w:spacing w:after="120"/>
        <w:jc w:val="both"/>
        <w:rPr>
          <w:rFonts w:ascii="Arial" w:eastAsia="Calibri" w:hAnsi="Arial" w:cs="Arial"/>
        </w:rPr>
      </w:pPr>
    </w:p>
    <w:p w:rsidR="006E5F97" w:rsidRDefault="006E5F97" w:rsidP="008A5816">
      <w:pPr>
        <w:spacing w:after="120"/>
        <w:jc w:val="both"/>
        <w:rPr>
          <w:rFonts w:ascii="Arial" w:eastAsia="Calibri" w:hAnsi="Arial" w:cs="Arial"/>
        </w:rPr>
      </w:pPr>
    </w:p>
    <w:p w:rsidR="006E5F97" w:rsidRDefault="006E5F97" w:rsidP="008A5816">
      <w:pPr>
        <w:spacing w:after="120"/>
        <w:jc w:val="both"/>
        <w:rPr>
          <w:rFonts w:ascii="Arial" w:eastAsia="Calibri" w:hAnsi="Arial" w:cs="Arial"/>
        </w:rPr>
      </w:pPr>
    </w:p>
    <w:p w:rsidR="006E5F97" w:rsidRDefault="006E5F97" w:rsidP="008A5816">
      <w:pPr>
        <w:spacing w:after="120"/>
        <w:jc w:val="both"/>
        <w:rPr>
          <w:rFonts w:ascii="Arial" w:eastAsia="Calibri" w:hAnsi="Arial" w:cs="Arial"/>
        </w:rPr>
      </w:pPr>
    </w:p>
    <w:p w:rsidR="006E5F97" w:rsidRDefault="006E5F97" w:rsidP="008A5816">
      <w:pPr>
        <w:spacing w:after="120"/>
        <w:jc w:val="both"/>
        <w:rPr>
          <w:rFonts w:ascii="Arial" w:eastAsia="Calibri" w:hAnsi="Arial" w:cs="Arial"/>
        </w:rPr>
      </w:pPr>
    </w:p>
    <w:p w:rsidR="006E5F97" w:rsidRDefault="006E5F97" w:rsidP="008A5816">
      <w:pPr>
        <w:spacing w:after="120"/>
        <w:jc w:val="both"/>
        <w:rPr>
          <w:rFonts w:ascii="Arial" w:eastAsia="Calibri" w:hAnsi="Arial" w:cs="Arial"/>
        </w:rPr>
      </w:pPr>
    </w:p>
    <w:p w:rsidR="006E5F97" w:rsidRDefault="006E5F97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9C75A3" w:rsidRPr="008A5816" w:rsidRDefault="009C75A3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ind w:left="851" w:hanging="851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b/>
        </w:rPr>
        <w:lastRenderedPageBreak/>
        <w:t xml:space="preserve">Graf 16: </w:t>
      </w:r>
      <w:r w:rsidRPr="008A5816">
        <w:rPr>
          <w:rFonts w:ascii="Arial" w:eastAsia="Calibri" w:hAnsi="Arial" w:cs="Arial"/>
          <w:i/>
        </w:rPr>
        <w:t xml:space="preserve">Relativní citovanost publikací v databázi Web </w:t>
      </w:r>
      <w:proofErr w:type="spellStart"/>
      <w:r w:rsidRPr="008A5816">
        <w:rPr>
          <w:rFonts w:ascii="Arial" w:eastAsia="Calibri" w:hAnsi="Arial" w:cs="Arial"/>
          <w:i/>
        </w:rPr>
        <w:t>of</w:t>
      </w:r>
      <w:proofErr w:type="spellEnd"/>
      <w:r w:rsidRPr="008A5816">
        <w:rPr>
          <w:rFonts w:ascii="Arial" w:eastAsia="Calibri" w:hAnsi="Arial" w:cs="Arial"/>
          <w:i/>
        </w:rPr>
        <w:t xml:space="preserve"> Science v kategorii zemědělských věd (ve vybraných oborech).</w:t>
      </w:r>
    </w:p>
    <w:p w:rsidR="008A5816" w:rsidRPr="008A5816" w:rsidRDefault="008A5816" w:rsidP="008A5816">
      <w:pPr>
        <w:spacing w:after="120"/>
        <w:ind w:firstLine="360"/>
        <w:jc w:val="both"/>
        <w:rPr>
          <w:rFonts w:ascii="Arial" w:eastAsia="Calibri" w:hAnsi="Arial" w:cs="Arial"/>
          <w:b/>
          <w:sz w:val="22"/>
          <w:szCs w:val="22"/>
        </w:rPr>
      </w:pPr>
      <w:r w:rsidRPr="008A5816">
        <w:rPr>
          <w:rFonts w:ascii="Arial" w:eastAsia="Calibri" w:hAnsi="Arial" w:cs="Arial"/>
          <w:noProof/>
          <w:sz w:val="22"/>
          <w:szCs w:val="22"/>
        </w:rPr>
        <w:drawing>
          <wp:inline distT="0" distB="0" distL="0" distR="0" wp14:anchorId="43FE7402" wp14:editId="13B53E81">
            <wp:extent cx="4585648" cy="2197289"/>
            <wp:effectExtent l="0" t="0" r="24765" b="12700"/>
            <wp:docPr id="44" name="Graf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:rsidR="008A5816" w:rsidRPr="008A5816" w:rsidRDefault="008A5816" w:rsidP="008A5816">
      <w:pPr>
        <w:spacing w:before="120" w:after="120"/>
        <w:jc w:val="both"/>
        <w:rPr>
          <w:rFonts w:ascii="Arial" w:eastAsia="Calibri" w:hAnsi="Arial" w:cs="Arial"/>
          <w:sz w:val="18"/>
          <w:szCs w:val="18"/>
        </w:rPr>
      </w:pPr>
      <w:r w:rsidRPr="008A5816">
        <w:rPr>
          <w:rFonts w:ascii="Arial" w:eastAsia="Calibri" w:hAnsi="Arial" w:cs="Arial"/>
          <w:sz w:val="18"/>
          <w:szCs w:val="18"/>
        </w:rPr>
        <w:t xml:space="preserve">      Zdroj: Web </w:t>
      </w:r>
      <w:proofErr w:type="spellStart"/>
      <w:r w:rsidRPr="008A5816">
        <w:rPr>
          <w:rFonts w:ascii="Arial" w:eastAsia="Calibri" w:hAnsi="Arial" w:cs="Arial"/>
          <w:sz w:val="18"/>
          <w:szCs w:val="18"/>
        </w:rPr>
        <w:t>of</w:t>
      </w:r>
      <w:proofErr w:type="spellEnd"/>
      <w:r w:rsidRPr="008A5816">
        <w:rPr>
          <w:rFonts w:ascii="Arial" w:eastAsia="Calibri" w:hAnsi="Arial" w:cs="Arial"/>
          <w:sz w:val="18"/>
          <w:szCs w:val="18"/>
        </w:rPr>
        <w:t xml:space="preserve"> Science</w:t>
      </w:r>
    </w:p>
    <w:p w:rsidR="008A5816" w:rsidRPr="008A5816" w:rsidRDefault="008A5816" w:rsidP="008A5816">
      <w:pPr>
        <w:spacing w:after="120"/>
        <w:rPr>
          <w:rFonts w:ascii="Arial" w:eastAsia="Calibri" w:hAnsi="Arial" w:cs="Arial"/>
        </w:rPr>
      </w:pPr>
    </w:p>
    <w:p w:rsidR="008A5816" w:rsidRPr="009C75A3" w:rsidRDefault="008A5816" w:rsidP="008A5816">
      <w:pPr>
        <w:spacing w:after="120"/>
        <w:ind w:firstLine="709"/>
        <w:jc w:val="both"/>
        <w:rPr>
          <w:rFonts w:ascii="Arial" w:hAnsi="Arial"/>
          <w:b/>
          <w:iCs/>
          <w:lang w:eastAsia="en-US"/>
        </w:rPr>
      </w:pPr>
      <w:r w:rsidRPr="009C75A3">
        <w:rPr>
          <w:rFonts w:ascii="Arial" w:hAnsi="Arial"/>
          <w:b/>
          <w:iCs/>
          <w:lang w:eastAsia="en-US"/>
        </w:rPr>
        <w:t>4.1</w:t>
      </w:r>
      <w:r w:rsidRPr="009C75A3">
        <w:rPr>
          <w:rFonts w:ascii="Arial" w:hAnsi="Arial"/>
          <w:b/>
          <w:iCs/>
          <w:lang w:eastAsia="en-US"/>
        </w:rPr>
        <w:tab/>
        <w:t>Závěr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Přestože má ČR srovnatelné (tj. průměrné či nadprůměrné) vstupy do zemědělského výzkumu jako ostatní porovnávané státy, zaostává ve výstupech, jako jsou citační index a počet přihlášených patentů. Ukazuje se, že i přes postupné zlepšování byly výstupy tohoto charakteru zemědělského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po sledované období podprůměrné. Pozitivní zprávou je, že se ve většině srovnávaných ukazatelů ČR zlepšuje. Pozitivním příkladem z hlediska Vzhledem k tomu, že podíl publikací evidovaných v databázi </w:t>
      </w:r>
      <w:proofErr w:type="spellStart"/>
      <w:r w:rsidRPr="008A5816">
        <w:rPr>
          <w:rFonts w:ascii="Arial" w:eastAsia="Calibri" w:hAnsi="Arial" w:cs="Arial"/>
        </w:rPr>
        <w:t>WoS</w:t>
      </w:r>
      <w:proofErr w:type="spellEnd"/>
      <w:r w:rsidRPr="008A5816">
        <w:rPr>
          <w:rFonts w:ascii="Arial" w:eastAsia="Calibri" w:hAnsi="Arial" w:cs="Arial"/>
        </w:rPr>
        <w:t xml:space="preserve"> je přijatelný, zdá se, že se nedá hovořit obecně o malé produktivitě. Je třeba zvážit, nakolik je v nastaveném systému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vtělena pozitivní motivace a mechanismy podpory k produkci tohoto typu aplikovaného výzkumu. 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Také je zřejmé, že neexistuje jednoduchý deterministický vztah mezi analyzovanými vstupy a výstupy. Například Rakousko vynakládá ze sledovaných zemí nejnižší hodnotu ze státního rozpočtu na zemědělský výzkum v přepočtu na paritu kupní síly, zároveň dosahuje velmi dobrých výsledků z hlediska výstupů (ze sledovaných zemí se umísťuje na druhém místě za Dánskem).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 w:line="360" w:lineRule="auto"/>
        <w:rPr>
          <w:rFonts w:ascii="Arial" w:eastAsia="Calibri" w:hAnsi="Arial" w:cs="Arial"/>
          <w:sz w:val="28"/>
          <w:szCs w:val="28"/>
        </w:rPr>
      </w:pPr>
      <w:bookmarkStart w:id="19" w:name="_Toc425144528"/>
      <w:r w:rsidRPr="008A5816">
        <w:rPr>
          <w:rFonts w:ascii="Arial" w:eastAsia="Calibri" w:hAnsi="Arial" w:cs="Arial"/>
          <w:b/>
          <w:sz w:val="28"/>
          <w:szCs w:val="28"/>
        </w:rPr>
        <w:t>5</w:t>
      </w:r>
      <w:r w:rsidRPr="008A5816">
        <w:rPr>
          <w:rFonts w:ascii="Arial" w:eastAsia="Calibri" w:hAnsi="Arial" w:cs="Arial"/>
          <w:b/>
          <w:sz w:val="28"/>
          <w:szCs w:val="28"/>
        </w:rPr>
        <w:tab/>
        <w:t xml:space="preserve">Závěry a doporučení Rady pro další činnost </w:t>
      </w:r>
      <w:proofErr w:type="spellStart"/>
      <w:r w:rsidRPr="008A5816">
        <w:rPr>
          <w:rFonts w:ascii="Arial" w:eastAsia="Calibri" w:hAnsi="Arial" w:cs="Arial"/>
          <w:b/>
          <w:sz w:val="28"/>
          <w:szCs w:val="28"/>
        </w:rPr>
        <w:t>MZ</w:t>
      </w:r>
      <w:bookmarkEnd w:id="19"/>
      <w:r w:rsidRPr="008A5816">
        <w:rPr>
          <w:rFonts w:ascii="Arial" w:eastAsia="Calibri" w:hAnsi="Arial" w:cs="Arial"/>
          <w:b/>
          <w:sz w:val="28"/>
          <w:szCs w:val="28"/>
        </w:rPr>
        <w:t>e</w:t>
      </w:r>
      <w:proofErr w:type="spellEnd"/>
    </w:p>
    <w:p w:rsidR="006E5F97" w:rsidRDefault="006E5F97" w:rsidP="008A5816">
      <w:pPr>
        <w:spacing w:after="120"/>
        <w:jc w:val="both"/>
        <w:rPr>
          <w:rFonts w:ascii="Arial" w:eastAsia="Calibri" w:hAnsi="Arial" w:cs="Arial"/>
        </w:rPr>
      </w:pP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Na základě provedených analýz a rozborů Rada konstatuje, že </w:t>
      </w:r>
      <w:proofErr w:type="spellStart"/>
      <w:r w:rsidRPr="008A5816">
        <w:rPr>
          <w:rFonts w:ascii="Arial" w:eastAsia="Calibri" w:hAnsi="Arial" w:cs="Arial"/>
          <w:b/>
        </w:rPr>
        <w:t>MZe</w:t>
      </w:r>
      <w:proofErr w:type="spellEnd"/>
      <w:r w:rsidRPr="008A5816">
        <w:rPr>
          <w:rFonts w:ascii="Arial" w:eastAsia="Calibri" w:hAnsi="Arial" w:cs="Arial"/>
          <w:b/>
        </w:rPr>
        <w:t xml:space="preserve"> plní roli Poskytovatele vymezenou platnou legislativou</w:t>
      </w:r>
      <w:r w:rsidRPr="008A5816">
        <w:rPr>
          <w:rFonts w:ascii="Arial" w:eastAsia="Calibri" w:hAnsi="Arial" w:cs="Arial"/>
        </w:rPr>
        <w:t xml:space="preserve">. Poskytuje institucionální podporu výzkumným organizacím provádějícím zemědělský výzkum, vytváří, realizuje a hodnotí programy účelové podpory, poskytuje včasné a správné informace do IS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>. Rovněž plní všechny úkoly vyplývající z národních strategických dokumentů i úkoly vytyčené v resortní Koncepci, která byla připravena v souladu se všemi dokumenty platnými v době schválení.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lastRenderedPageBreak/>
        <w:t>MZe</w:t>
      </w:r>
      <w:proofErr w:type="spellEnd"/>
      <w:r w:rsidRPr="008A5816">
        <w:rPr>
          <w:rFonts w:ascii="Arial" w:eastAsia="Calibri" w:hAnsi="Arial" w:cs="Arial"/>
        </w:rPr>
        <w:t xml:space="preserve"> plní úkoly ve vztahu k nadresortním dokumentům v oblasti výzkumu a vývoje a garantuje, že v novém programu výzkumu budou zapracovány Priority. </w:t>
      </w:r>
    </w:p>
    <w:p w:rsidR="008A5816" w:rsidRPr="008A5816" w:rsidRDefault="008A5816" w:rsidP="008A5816">
      <w:pPr>
        <w:numPr>
          <w:ilvl w:val="0"/>
          <w:numId w:val="11"/>
        </w:numPr>
        <w:spacing w:after="120"/>
        <w:contextualSpacing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>K programům výzkumu: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ukončilo v posledních letech dva programy: </w:t>
      </w:r>
      <w:r w:rsidRPr="008A5816">
        <w:rPr>
          <w:rFonts w:ascii="Arial" w:eastAsia="Calibri" w:hAnsi="Arial" w:cs="Arial"/>
          <w:b/>
        </w:rPr>
        <w:t>QG - Výzkumný program Ministerstva zemědělství na léta 2005 - 2009</w:t>
      </w:r>
      <w:r w:rsidRPr="008A5816">
        <w:rPr>
          <w:rFonts w:ascii="Arial" w:eastAsia="Calibri" w:hAnsi="Arial" w:cs="Arial"/>
        </w:rPr>
        <w:t xml:space="preserve">, </w:t>
      </w:r>
      <w:r w:rsidRPr="008A5816">
        <w:rPr>
          <w:rFonts w:ascii="Arial" w:eastAsia="Calibri" w:hAnsi="Arial" w:cs="Arial"/>
          <w:b/>
        </w:rPr>
        <w:t>QH - Program výzkumu v agrárním sektoru 2007-2012.</w:t>
      </w:r>
      <w:r w:rsidRPr="008A5816">
        <w:rPr>
          <w:rFonts w:ascii="Arial" w:eastAsia="Calibri" w:hAnsi="Arial" w:cs="Arial"/>
        </w:rPr>
        <w:t xml:space="preserve"> Jeden program v současnosti probíhá </w:t>
      </w:r>
      <w:r w:rsidRPr="008A5816">
        <w:rPr>
          <w:rFonts w:ascii="Arial" w:eastAsia="Calibri" w:hAnsi="Arial" w:cs="Arial"/>
          <w:b/>
        </w:rPr>
        <w:t>QJ - Komplexní udržitelné systémy v zemědělství 2012-2018</w:t>
      </w:r>
      <w:r w:rsidRPr="008A5816">
        <w:rPr>
          <w:rFonts w:ascii="Arial" w:eastAsia="Calibri" w:hAnsi="Arial" w:cs="Arial"/>
        </w:rPr>
        <w:t xml:space="preserve"> (dále jen KUS) a bude ukončen v roce 2018.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Probíhající program KUS byl aktualizován v souvislosti s novými předpisy Evropské unie v oblasti veřejné podpory</w:t>
      </w:r>
      <w:r w:rsidRPr="008A5816">
        <w:rPr>
          <w:rFonts w:ascii="Arial" w:eastAsia="Calibri" w:hAnsi="Arial" w:cs="Arial"/>
          <w:vertAlign w:val="superscript"/>
        </w:rPr>
        <w:footnoteReference w:id="4"/>
      </w:r>
      <w:r w:rsidRPr="008A5816">
        <w:rPr>
          <w:rFonts w:ascii="Arial" w:eastAsia="Calibri" w:hAnsi="Arial" w:cs="Arial"/>
        </w:rPr>
        <w:t xml:space="preserve">. Národní priority orientovaného výzkumu, experimentálního vývoje a inovací, které byly schváleny usnesením vlády ze dne 19. července 2012 č. 552 byly zohledněny v probíhajícím programu KUS tím, že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stanovilo povinnost uchazečů ve veřejných soutěžích ve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, aby se každý návrh projektu přihlásil ke konkrétní prioritní oblasti a jejím cílům.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Rada bere na vědomí, že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stanovilo pro uchazeče povinnost, aby se ke konkrétním prioritám přihlásili v rámci podávaných projektů.</w:t>
      </w:r>
    </w:p>
    <w:p w:rsidR="008A5816" w:rsidRPr="008A5816" w:rsidRDefault="008A5816" w:rsidP="008A5816">
      <w:pPr>
        <w:numPr>
          <w:ilvl w:val="0"/>
          <w:numId w:val="11"/>
        </w:numPr>
        <w:spacing w:after="120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>K resortní koncepci: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se se stejně jako ostatní resorty neobejde při realizaci resortní koncepce bez Metodiky hodnocení výsledků výzkumných organizací. 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>Rada si je vědoma tohoto problému a bude se jím co nejdříve zabývat.</w:t>
      </w:r>
    </w:p>
    <w:p w:rsidR="008A5816" w:rsidRPr="008A5816" w:rsidRDefault="008A5816" w:rsidP="008A5816">
      <w:pPr>
        <w:numPr>
          <w:ilvl w:val="0"/>
          <w:numId w:val="11"/>
        </w:numPr>
        <w:spacing w:after="120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>K mezinárodní spolupráci: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lang w:eastAsia="en-US"/>
        </w:rPr>
      </w:pPr>
      <w:proofErr w:type="spellStart"/>
      <w:r w:rsidRPr="008A5816">
        <w:rPr>
          <w:rFonts w:ascii="Arial" w:eastAsia="Calibri" w:hAnsi="Arial" w:cs="Arial"/>
          <w:lang w:eastAsia="en-US"/>
        </w:rPr>
        <w:t>MZe</w:t>
      </w:r>
      <w:proofErr w:type="spellEnd"/>
      <w:r w:rsidRPr="008A5816">
        <w:rPr>
          <w:rFonts w:ascii="Arial" w:eastAsia="Calibri" w:hAnsi="Arial" w:cs="Arial"/>
          <w:lang w:eastAsia="en-US"/>
        </w:rPr>
        <w:t xml:space="preserve"> se zapojilo do řady evropských výzkumných zemědělských projektů a připravuje se na účast v projektech Horizont.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Ze srovnání zemědělského </w:t>
      </w:r>
      <w:proofErr w:type="spellStart"/>
      <w:r w:rsidRPr="008A5816">
        <w:rPr>
          <w:rFonts w:ascii="Arial" w:eastAsia="Calibri" w:hAnsi="Arial" w:cs="Arial"/>
        </w:rPr>
        <w:t>VaVaI</w:t>
      </w:r>
      <w:proofErr w:type="spellEnd"/>
      <w:r w:rsidRPr="008A5816">
        <w:rPr>
          <w:rFonts w:ascii="Arial" w:eastAsia="Calibri" w:hAnsi="Arial" w:cs="Arial"/>
        </w:rPr>
        <w:t xml:space="preserve"> se zahraničím vyplynulo, že přes stále se zlepšující trend úspěšnosti v mezinárodních projektech, nedosahuje resort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>, stejně, jako ostatní resorty, úrovně vyspělých evropských zemí.</w:t>
      </w:r>
    </w:p>
    <w:p w:rsidR="008A5816" w:rsidRPr="008A5816" w:rsidRDefault="008A5816" w:rsidP="008A5816">
      <w:pPr>
        <w:numPr>
          <w:ilvl w:val="0"/>
          <w:numId w:val="11"/>
        </w:numPr>
        <w:spacing w:after="120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  <w:b/>
        </w:rPr>
        <w:t>Ke srovnání se zahraničím: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  <w:b/>
        </w:rPr>
      </w:pPr>
      <w:r w:rsidRPr="008A5816">
        <w:rPr>
          <w:rFonts w:ascii="Arial" w:eastAsia="Calibri" w:hAnsi="Arial" w:cs="Arial"/>
        </w:rPr>
        <w:t>V části hodnocení, která je věnována této problematice ukázala analýza na některé nedostatky. Např. přestože má ČR podobné vstupy do zemědělského systému jako ostatní porovnávané státy, (zejména Dánsko), zaostává ve výstupech.</w:t>
      </w:r>
    </w:p>
    <w:p w:rsidR="008A5816" w:rsidRPr="008A5816" w:rsidRDefault="008A5816" w:rsidP="008A5816">
      <w:pPr>
        <w:numPr>
          <w:ilvl w:val="0"/>
          <w:numId w:val="11"/>
        </w:numPr>
        <w:spacing w:after="120"/>
        <w:contextualSpacing/>
        <w:jc w:val="both"/>
        <w:rPr>
          <w:rFonts w:ascii="Arial" w:eastAsia="Calibri" w:hAnsi="Arial" w:cs="Arial"/>
          <w:b/>
          <w:lang w:eastAsia="en-US"/>
        </w:rPr>
      </w:pPr>
      <w:r w:rsidRPr="008A5816">
        <w:rPr>
          <w:rFonts w:ascii="Arial" w:eastAsia="Calibri" w:hAnsi="Arial" w:cs="Arial"/>
          <w:b/>
          <w:lang w:eastAsia="en-US"/>
        </w:rPr>
        <w:t>K výsledkům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</w:rPr>
        <w:t xml:space="preserve">Podpora poskytnutá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vede k tvorbě výsledků zejména v zemědělských vědách, částečně také ve vědách biologických, technických a informatických vědách, vědách o Zemi a v menší míře také v chemických vědách.</w:t>
      </w:r>
    </w:p>
    <w:p w:rsidR="008A5816" w:rsidRPr="008A5816" w:rsidRDefault="008A5816" w:rsidP="008A5816">
      <w:pPr>
        <w:spacing w:after="120"/>
        <w:jc w:val="both"/>
        <w:rPr>
          <w:rFonts w:ascii="Arial" w:eastAsia="Calibri" w:hAnsi="Arial" w:cs="Arial"/>
        </w:rPr>
      </w:pPr>
      <w:r w:rsidRPr="008A5816">
        <w:rPr>
          <w:rFonts w:ascii="Arial" w:eastAsia="Calibri" w:hAnsi="Arial" w:cs="Arial"/>
          <w:b/>
        </w:rPr>
        <w:t xml:space="preserve">S podporou </w:t>
      </w:r>
      <w:proofErr w:type="spellStart"/>
      <w:r w:rsidRPr="008A5816">
        <w:rPr>
          <w:rFonts w:ascii="Arial" w:eastAsia="Calibri" w:hAnsi="Arial" w:cs="Arial"/>
          <w:b/>
        </w:rPr>
        <w:t>MZe</w:t>
      </w:r>
      <w:proofErr w:type="spellEnd"/>
      <w:r w:rsidRPr="008A5816">
        <w:rPr>
          <w:rFonts w:ascii="Arial" w:eastAsia="Calibri" w:hAnsi="Arial" w:cs="Arial"/>
          <w:b/>
        </w:rPr>
        <w:t xml:space="preserve"> však vznikají převážně publikace.</w:t>
      </w:r>
      <w:r w:rsidRPr="008A5816">
        <w:rPr>
          <w:rFonts w:ascii="Arial" w:eastAsia="Calibri" w:hAnsi="Arial" w:cs="Arial"/>
        </w:rPr>
        <w:t xml:space="preserve"> Rada upozorňuje, že </w:t>
      </w:r>
      <w:r w:rsidRPr="008A5816">
        <w:rPr>
          <w:rFonts w:ascii="Arial" w:eastAsia="Calibri" w:hAnsi="Arial" w:cs="Arial"/>
          <w:b/>
        </w:rPr>
        <w:t>aplikovaných výsledků vzniká nedostatečné množství, přestože se v posledních letech jejich počet zvyšuje.</w:t>
      </w:r>
      <w:r w:rsidRPr="008A5816">
        <w:rPr>
          <w:rFonts w:ascii="Arial" w:eastAsia="Calibri" w:hAnsi="Arial" w:cs="Arial"/>
        </w:rPr>
        <w:t xml:space="preserve"> Z tohoto důvodu Rada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doporučuje </w:t>
      </w:r>
      <w:r w:rsidRPr="008A5816">
        <w:rPr>
          <w:rFonts w:ascii="Arial" w:eastAsia="Calibri" w:hAnsi="Arial" w:cs="Arial"/>
        </w:rPr>
        <w:lastRenderedPageBreak/>
        <w:t xml:space="preserve">důsledně provádět pravidelná hodnocení řešených projektů, jak je uloženo ustanovením § 13 zákona č. se zaměřením na hodnocení. Rada na druhou stranu bere v potaz, že řada publikací má aplikační potenciál a nelze tudíž celkový aplikační přínos výzkumu redukovat pouze na typy aplikovaných výsledků stanovených v Metodice. </w:t>
      </w:r>
    </w:p>
    <w:p w:rsidR="009758E5" w:rsidRDefault="008A5816" w:rsidP="00CC370F">
      <w:pPr>
        <w:spacing w:after="120"/>
        <w:jc w:val="both"/>
        <w:rPr>
          <w:rFonts w:ascii="Arial" w:hAnsi="Arial" w:cs="Arial"/>
        </w:rPr>
      </w:pPr>
      <w:r w:rsidRPr="008A5816">
        <w:rPr>
          <w:rFonts w:ascii="Arial" w:eastAsia="Calibri" w:hAnsi="Arial" w:cs="Arial"/>
        </w:rPr>
        <w:t xml:space="preserve">Rada také oceňuje nadprůměrné množství publikačních výsledků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. Celkově výzkumná činnost podporovaná </w:t>
      </w:r>
      <w:proofErr w:type="spellStart"/>
      <w:r w:rsidRPr="008A5816">
        <w:rPr>
          <w:rFonts w:ascii="Arial" w:eastAsia="Calibri" w:hAnsi="Arial" w:cs="Arial"/>
        </w:rPr>
        <w:t>MZe</w:t>
      </w:r>
      <w:proofErr w:type="spellEnd"/>
      <w:r w:rsidRPr="008A5816">
        <w:rPr>
          <w:rFonts w:ascii="Arial" w:eastAsia="Calibri" w:hAnsi="Arial" w:cs="Arial"/>
        </w:rPr>
        <w:t xml:space="preserve"> vykazuje v rámci současného systému hodnocení vědy dobré výstupy a to právě s ohledem na kvantitu publikací. Relativně slabé zastoupení aplikačních výstupů tedy může plynout z nastavení současného hodnotícího rámce, který pravděpodobně vede řešitele k takovémuto typu produkce, na úkor aplikovaných výsledků.    </w:t>
      </w:r>
    </w:p>
    <w:p w:rsidR="009758E5" w:rsidRDefault="009758E5" w:rsidP="00CC370F">
      <w:pPr>
        <w:spacing w:after="120"/>
        <w:jc w:val="both"/>
        <w:rPr>
          <w:rFonts w:ascii="Arial" w:hAnsi="Arial" w:cs="Arial"/>
        </w:rPr>
      </w:pPr>
    </w:p>
    <w:p w:rsidR="009758E5" w:rsidRDefault="009758E5" w:rsidP="00CC370F">
      <w:pPr>
        <w:spacing w:after="120"/>
        <w:jc w:val="both"/>
        <w:rPr>
          <w:rFonts w:ascii="Arial" w:hAnsi="Arial" w:cs="Arial"/>
        </w:rPr>
      </w:pPr>
    </w:p>
    <w:p w:rsidR="009758E5" w:rsidRDefault="009758E5" w:rsidP="00CC370F">
      <w:pPr>
        <w:spacing w:after="120"/>
        <w:jc w:val="both"/>
        <w:rPr>
          <w:rFonts w:ascii="Arial" w:hAnsi="Arial" w:cs="Arial"/>
        </w:rPr>
      </w:pPr>
    </w:p>
    <w:p w:rsidR="009758E5" w:rsidRDefault="009758E5" w:rsidP="00CC370F">
      <w:pPr>
        <w:spacing w:after="120"/>
        <w:jc w:val="both"/>
        <w:rPr>
          <w:rFonts w:ascii="Arial" w:hAnsi="Arial" w:cs="Arial"/>
        </w:rPr>
      </w:pPr>
    </w:p>
    <w:p w:rsidR="009758E5" w:rsidRDefault="009758E5" w:rsidP="00CC370F">
      <w:pPr>
        <w:spacing w:after="120"/>
        <w:jc w:val="both"/>
        <w:rPr>
          <w:rFonts w:ascii="Arial" w:hAnsi="Arial" w:cs="Arial"/>
        </w:rPr>
      </w:pPr>
    </w:p>
    <w:p w:rsidR="009758E5" w:rsidRDefault="009758E5" w:rsidP="00CC370F">
      <w:pPr>
        <w:spacing w:after="120"/>
        <w:jc w:val="both"/>
        <w:rPr>
          <w:rFonts w:ascii="Arial" w:hAnsi="Arial" w:cs="Arial"/>
        </w:rPr>
      </w:pPr>
    </w:p>
    <w:p w:rsidR="009758E5" w:rsidRDefault="009758E5" w:rsidP="00CC370F">
      <w:pPr>
        <w:spacing w:after="120"/>
        <w:jc w:val="both"/>
        <w:rPr>
          <w:rFonts w:ascii="Arial" w:hAnsi="Arial" w:cs="Arial"/>
        </w:rPr>
      </w:pPr>
    </w:p>
    <w:p w:rsidR="009758E5" w:rsidRDefault="009758E5" w:rsidP="00CC370F">
      <w:pPr>
        <w:spacing w:after="120"/>
        <w:jc w:val="both"/>
        <w:rPr>
          <w:rFonts w:ascii="Arial" w:hAnsi="Arial" w:cs="Arial"/>
        </w:rPr>
      </w:pPr>
    </w:p>
    <w:p w:rsidR="00CC370F" w:rsidRDefault="00CC370F" w:rsidP="00CC370F">
      <w:pPr>
        <w:spacing w:after="120"/>
        <w:jc w:val="both"/>
        <w:rPr>
          <w:rFonts w:ascii="Arial" w:hAnsi="Arial" w:cs="Arial"/>
        </w:rPr>
      </w:pPr>
    </w:p>
    <w:p w:rsidR="00CC370F" w:rsidRDefault="00CC370F" w:rsidP="00CC370F">
      <w:pPr>
        <w:spacing w:after="120"/>
        <w:jc w:val="both"/>
        <w:rPr>
          <w:rFonts w:ascii="Arial" w:hAnsi="Arial" w:cs="Arial"/>
        </w:rPr>
      </w:pPr>
    </w:p>
    <w:p w:rsidR="00CC370F" w:rsidRDefault="00CC370F" w:rsidP="00CC370F">
      <w:pPr>
        <w:spacing w:after="120"/>
        <w:jc w:val="both"/>
        <w:rPr>
          <w:rFonts w:ascii="Arial" w:hAnsi="Arial" w:cs="Arial"/>
        </w:rPr>
      </w:pPr>
    </w:p>
    <w:p w:rsidR="00CC370F" w:rsidRDefault="00CC370F" w:rsidP="00CC370F">
      <w:pPr>
        <w:spacing w:after="120"/>
        <w:jc w:val="both"/>
        <w:rPr>
          <w:rFonts w:ascii="Arial" w:hAnsi="Arial" w:cs="Arial"/>
        </w:rPr>
      </w:pPr>
    </w:p>
    <w:p w:rsidR="00CC370F" w:rsidRPr="00CC370F" w:rsidRDefault="00CC370F" w:rsidP="00CC370F">
      <w:pPr>
        <w:spacing w:after="120"/>
        <w:jc w:val="both"/>
        <w:rPr>
          <w:rFonts w:ascii="Arial" w:hAnsi="Arial" w:cs="Arial"/>
        </w:rPr>
      </w:pPr>
    </w:p>
    <w:sectPr w:rsidR="00CC370F" w:rsidRPr="00CC370F" w:rsidSect="009758E5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657B" w:rsidRDefault="0096657B" w:rsidP="008F77F6">
      <w:r>
        <w:separator/>
      </w:r>
    </w:p>
  </w:endnote>
  <w:endnote w:type="continuationSeparator" w:id="0">
    <w:p w:rsidR="0096657B" w:rsidRDefault="0096657B" w:rsidP="008F77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DC5" w:rsidRDefault="00113DC5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6EFF" w:rsidRDefault="00476EFF">
    <w:pPr>
      <w:pStyle w:val="Zpat"/>
      <w:jc w:val="right"/>
    </w:pPr>
    <w:r>
      <w:fldChar w:fldCharType="begin"/>
    </w:r>
    <w:r>
      <w:instrText>PAGE   \* MERGEFORMAT</w:instrText>
    </w:r>
    <w:r>
      <w:fldChar w:fldCharType="separate"/>
    </w:r>
    <w:r w:rsidR="00F34CBF">
      <w:rPr>
        <w:noProof/>
      </w:rPr>
      <w:t>3</w:t>
    </w:r>
    <w:r>
      <w:rPr>
        <w:noProof/>
      </w:rPr>
      <w:fldChar w:fldCharType="end"/>
    </w:r>
  </w:p>
  <w:p w:rsidR="00476EFF" w:rsidRPr="00C77345" w:rsidRDefault="00C77345" w:rsidP="00C77345">
    <w:pPr>
      <w:pStyle w:val="Zpat"/>
      <w:rPr>
        <w:rFonts w:ascii="Arial" w:hAnsi="Arial" w:cs="Arial"/>
        <w:sz w:val="16"/>
        <w:szCs w:val="16"/>
      </w:rPr>
    </w:pPr>
    <w:r w:rsidRPr="00C77345">
      <w:rPr>
        <w:rFonts w:ascii="Arial" w:hAnsi="Arial" w:cs="Arial"/>
        <w:sz w:val="16"/>
        <w:szCs w:val="16"/>
      </w:rPr>
      <w:t xml:space="preserve">Hodnocení poskytovatele podpory </w:t>
    </w:r>
    <w:proofErr w:type="spellStart"/>
    <w:r w:rsidRPr="00C77345">
      <w:rPr>
        <w:rFonts w:ascii="Arial" w:hAnsi="Arial" w:cs="Arial"/>
        <w:sz w:val="16"/>
        <w:szCs w:val="16"/>
      </w:rPr>
      <w:t>VaVaI</w:t>
    </w:r>
    <w:proofErr w:type="spellEnd"/>
    <w:r w:rsidRPr="00C77345">
      <w:rPr>
        <w:rFonts w:ascii="Arial" w:hAnsi="Arial" w:cs="Arial"/>
        <w:sz w:val="16"/>
        <w:szCs w:val="16"/>
      </w:rPr>
      <w:t xml:space="preserve"> - Ministerstvo zemědělství (Opatření č. 20)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DC5" w:rsidRDefault="00113DC5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6EFF" w:rsidRDefault="00476EFF">
    <w:pPr>
      <w:pStyle w:val="Zpat"/>
    </w:pPr>
  </w:p>
  <w:p w:rsidR="00476EFF" w:rsidRDefault="00476EFF"/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37338761"/>
      <w:docPartObj>
        <w:docPartGallery w:val="Page Numbers (Bottom of Page)"/>
        <w:docPartUnique/>
      </w:docPartObj>
    </w:sdtPr>
    <w:sdtEndPr/>
    <w:sdtContent>
      <w:p w:rsidR="00476EFF" w:rsidRDefault="00476EFF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4CBF">
          <w:rPr>
            <w:noProof/>
          </w:rPr>
          <w:t>30</w:t>
        </w:r>
        <w:r>
          <w:fldChar w:fldCharType="end"/>
        </w:r>
      </w:p>
    </w:sdtContent>
  </w:sdt>
  <w:p w:rsidR="00476EFF" w:rsidRDefault="00476EFF"/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58441884"/>
      <w:docPartObj>
        <w:docPartGallery w:val="Page Numbers (Bottom of Page)"/>
        <w:docPartUnique/>
      </w:docPartObj>
    </w:sdtPr>
    <w:sdtEndPr/>
    <w:sdtContent>
      <w:p w:rsidR="00476EFF" w:rsidRDefault="00476EFF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4CBF">
          <w:rPr>
            <w:noProof/>
          </w:rPr>
          <w:t>14</w:t>
        </w:r>
        <w:r>
          <w:fldChar w:fldCharType="end"/>
        </w:r>
      </w:p>
    </w:sdtContent>
  </w:sdt>
  <w:p w:rsidR="00476EFF" w:rsidRPr="00C77345" w:rsidRDefault="00C77345">
    <w:pPr>
      <w:rPr>
        <w:rFonts w:ascii="Arial" w:hAnsi="Arial" w:cs="Arial"/>
        <w:sz w:val="16"/>
        <w:szCs w:val="16"/>
      </w:rPr>
    </w:pPr>
    <w:r w:rsidRPr="00C77345">
      <w:rPr>
        <w:rFonts w:ascii="Arial" w:hAnsi="Arial" w:cs="Arial"/>
        <w:sz w:val="16"/>
        <w:szCs w:val="16"/>
      </w:rPr>
      <w:t xml:space="preserve">Hodnocení poskytovatele podpory </w:t>
    </w:r>
    <w:proofErr w:type="spellStart"/>
    <w:r w:rsidRPr="00C77345">
      <w:rPr>
        <w:rFonts w:ascii="Arial" w:hAnsi="Arial" w:cs="Arial"/>
        <w:sz w:val="16"/>
        <w:szCs w:val="16"/>
      </w:rPr>
      <w:t>VaVaI</w:t>
    </w:r>
    <w:proofErr w:type="spellEnd"/>
    <w:r w:rsidRPr="00C77345">
      <w:rPr>
        <w:rFonts w:ascii="Arial" w:hAnsi="Arial" w:cs="Arial"/>
        <w:sz w:val="16"/>
        <w:szCs w:val="16"/>
      </w:rPr>
      <w:t xml:space="preserve"> - Ministerstvo zemědělství (Opatření č. 20)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657B" w:rsidRDefault="0096657B" w:rsidP="008F77F6">
      <w:r>
        <w:separator/>
      </w:r>
    </w:p>
  </w:footnote>
  <w:footnote w:type="continuationSeparator" w:id="0">
    <w:p w:rsidR="0096657B" w:rsidRDefault="0096657B" w:rsidP="008F77F6">
      <w:r>
        <w:continuationSeparator/>
      </w:r>
    </w:p>
  </w:footnote>
  <w:footnote w:id="1">
    <w:p w:rsidR="00476EFF" w:rsidRPr="00E813F3" w:rsidRDefault="00476EFF" w:rsidP="008A5816">
      <w:pPr>
        <w:pStyle w:val="Textpoznpodarou"/>
        <w:rPr>
          <w:rFonts w:cs="Arial"/>
          <w:sz w:val="18"/>
          <w:szCs w:val="18"/>
        </w:rPr>
      </w:pPr>
      <w:r w:rsidRPr="00E813F3">
        <w:rPr>
          <w:rStyle w:val="Znakapoznpodarou"/>
          <w:rFonts w:cs="Arial"/>
          <w:sz w:val="18"/>
          <w:szCs w:val="18"/>
        </w:rPr>
        <w:footnoteRef/>
      </w:r>
      <w:r w:rsidRPr="00E813F3">
        <w:rPr>
          <w:rFonts w:cs="Arial"/>
          <w:sz w:val="18"/>
          <w:szCs w:val="18"/>
        </w:rPr>
        <w:t xml:space="preserve"> Viz </w:t>
      </w:r>
      <w:r w:rsidRPr="00E813F3">
        <w:rPr>
          <w:rFonts w:cs="Arial"/>
          <w:sz w:val="18"/>
          <w:szCs w:val="18"/>
          <w:lang w:eastAsia="en-US"/>
        </w:rPr>
        <w:t>§ 15 zákona č. 2/1969 Sb., o zřízení ministerstev a jiných ústředních orgánů státní správy České republiky (Kompetenční zákon), ve znění pozdějších předpisů.</w:t>
      </w:r>
    </w:p>
  </w:footnote>
  <w:footnote w:id="2">
    <w:p w:rsidR="00476EFF" w:rsidRPr="00FE31F2" w:rsidRDefault="00476EFF" w:rsidP="008A5816">
      <w:pPr>
        <w:pStyle w:val="Textpoznpodarou"/>
        <w:jc w:val="both"/>
        <w:rPr>
          <w:rFonts w:cs="Arial"/>
          <w:sz w:val="18"/>
          <w:szCs w:val="18"/>
        </w:rPr>
      </w:pPr>
      <w:r w:rsidRPr="00FE31F2">
        <w:rPr>
          <w:rStyle w:val="Znakapoznpodarou"/>
          <w:rFonts w:cs="Arial"/>
          <w:sz w:val="18"/>
          <w:szCs w:val="18"/>
        </w:rPr>
        <w:footnoteRef/>
      </w:r>
      <w:r w:rsidRPr="00FE31F2">
        <w:rPr>
          <w:rFonts w:cs="Arial"/>
          <w:sz w:val="18"/>
          <w:szCs w:val="18"/>
        </w:rPr>
        <w:t xml:space="preserve"> Nařízením Komise (EU) č. 654 ze dne 17. června 2014, kterým se v souladu s články 107 a 108 Smlouvy prohlašují určité kategorie podpory za slučitelné s vnitřním trhem – Úřední věstník Evropské unie L 187, 26  června 2014 a Rámcem pro státní podporu výzkumu, vývoje a inovací – Úřední věstník Evropské unie C 198, 27. června 2014 </w:t>
      </w:r>
    </w:p>
  </w:footnote>
  <w:footnote w:id="3">
    <w:p w:rsidR="00476EFF" w:rsidRPr="00E813F3" w:rsidRDefault="00476EFF" w:rsidP="008A5816">
      <w:pPr>
        <w:jc w:val="both"/>
        <w:rPr>
          <w:rFonts w:cs="Arial"/>
          <w:sz w:val="18"/>
          <w:szCs w:val="18"/>
        </w:rPr>
      </w:pPr>
      <w:r w:rsidRPr="00E813F3">
        <w:rPr>
          <w:rStyle w:val="Znakapoznpodarou"/>
          <w:rFonts w:cs="Arial"/>
          <w:sz w:val="18"/>
          <w:szCs w:val="18"/>
        </w:rPr>
        <w:footnoteRef/>
      </w:r>
      <w:r w:rsidRPr="00E813F3">
        <w:rPr>
          <w:rFonts w:cs="Arial"/>
          <w:sz w:val="18"/>
          <w:szCs w:val="18"/>
        </w:rPr>
        <w:t xml:space="preserve"> Definici biotechnologií formulovala Organizace spojených národů v Dohodě o biologické diverzitě: „Biotechnologie je jakákoliv technologie, která využívá biologické systémy, živé organizmy nebo jejich části k určité výrobě nebo jejich přeměně či jinému specifickému použití.“</w:t>
      </w:r>
    </w:p>
    <w:p w:rsidR="00476EFF" w:rsidRPr="00644227" w:rsidRDefault="00476EFF" w:rsidP="008A5816">
      <w:pPr>
        <w:pStyle w:val="Textpoznpodarou"/>
        <w:rPr>
          <w:sz w:val="24"/>
          <w:szCs w:val="24"/>
        </w:rPr>
      </w:pPr>
    </w:p>
  </w:footnote>
  <w:footnote w:id="4">
    <w:p w:rsidR="00476EFF" w:rsidRPr="00FE1BB7" w:rsidRDefault="00476EFF" w:rsidP="008A5816">
      <w:pPr>
        <w:spacing w:after="120"/>
        <w:jc w:val="both"/>
        <w:rPr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FE1BB7">
        <w:rPr>
          <w:sz w:val="18"/>
          <w:szCs w:val="18"/>
        </w:rPr>
        <w:t>Nařízením Komise (EU) č. 654 ze dne 17. června 2014, kterým se v souladu s články 107 a 108 Smlouvy prohlašují určité kategorie podpory za slučitelné s vnitřním trhem – Úřední věstník Evropské unie L 187, 26. června 2014 (dále jen „Nařízení“) a Rámcem pro státní podporu výzkumu, vývoje a inovací – Úřední věstník Evropské unie C 198, 27. června 2014 (dále jen „Rámec“),</w:t>
      </w:r>
    </w:p>
    <w:p w:rsidR="00476EFF" w:rsidRPr="00FE1BB7" w:rsidRDefault="00476EFF" w:rsidP="008A5816">
      <w:pPr>
        <w:pStyle w:val="Textpoznpodarou"/>
        <w:rPr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DC5" w:rsidRDefault="00113DC5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2"/>
      <w:tblW w:w="818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88"/>
    </w:tblGrid>
    <w:tr w:rsidR="00C77345" w:rsidRPr="00476EFF" w:rsidTr="00C77345">
      <w:trPr>
        <w:trHeight w:val="686"/>
      </w:trPr>
      <w:tc>
        <w:tcPr>
          <w:tcW w:w="8188" w:type="dxa"/>
          <w:vAlign w:val="center"/>
        </w:tcPr>
        <w:p w:rsidR="00C77345" w:rsidRPr="00476EFF" w:rsidRDefault="00C77345" w:rsidP="00476EFF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color w:val="0B38B5"/>
            </w:rPr>
          </w:pPr>
          <w:r w:rsidRPr="00476EFF">
            <w:rPr>
              <w:rFonts w:ascii="Arial" w:hAnsi="Arial" w:cs="Arial"/>
              <w:b/>
              <w:noProof/>
              <w:color w:val="0B38B5"/>
            </w:rPr>
            <w:drawing>
              <wp:anchor distT="0" distB="0" distL="114300" distR="114300" simplePos="0" relativeHeight="251667456" behindDoc="0" locked="0" layoutInCell="1" allowOverlap="1" wp14:anchorId="3FB64C83" wp14:editId="4FA21149">
                <wp:simplePos x="0" y="0"/>
                <wp:positionH relativeFrom="column">
                  <wp:posOffset>635</wp:posOffset>
                </wp:positionH>
                <wp:positionV relativeFrom="paragraph">
                  <wp:posOffset>-68638</wp:posOffset>
                </wp:positionV>
                <wp:extent cx="914760" cy="277200"/>
                <wp:effectExtent l="0" t="0" r="0" b="8890"/>
                <wp:wrapNone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4760" cy="27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  <w:r w:rsidRPr="00476EFF">
            <w:rPr>
              <w:rFonts w:ascii="Arial" w:hAnsi="Arial" w:cs="Arial"/>
              <w:b/>
            </w:rPr>
            <w:t xml:space="preserve">                       Rada pro výzkum, vývoj a inovace</w:t>
          </w:r>
        </w:p>
      </w:tc>
    </w:tr>
  </w:tbl>
  <w:p w:rsidR="00476EFF" w:rsidRDefault="00476EFF" w:rsidP="008A5816">
    <w:pPr>
      <w:pStyle w:val="Zhlav"/>
      <w:tabs>
        <w:tab w:val="clear" w:pos="4536"/>
        <w:tab w:val="clear" w:pos="9072"/>
        <w:tab w:val="left" w:pos="8370"/>
      </w:tabs>
    </w:pPr>
    <w: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2"/>
      <w:tblW w:w="9747" w:type="dxa"/>
      <w:tblLook w:val="04A0" w:firstRow="1" w:lastRow="0" w:firstColumn="1" w:lastColumn="0" w:noHBand="0" w:noVBand="1"/>
    </w:tblPr>
    <w:tblGrid>
      <w:gridCol w:w="8188"/>
      <w:gridCol w:w="1559"/>
    </w:tblGrid>
    <w:tr w:rsidR="00C77345" w:rsidRPr="00476EFF" w:rsidTr="002D2F88">
      <w:trPr>
        <w:trHeight w:val="686"/>
      </w:trPr>
      <w:tc>
        <w:tcPr>
          <w:tcW w:w="8188" w:type="dxa"/>
          <w:tcBorders>
            <w:top w:val="nil"/>
            <w:left w:val="nil"/>
            <w:bottom w:val="nil"/>
            <w:right w:val="single" w:sz="6" w:space="0" w:color="auto"/>
          </w:tcBorders>
          <w:vAlign w:val="center"/>
        </w:tcPr>
        <w:p w:rsidR="00C77345" w:rsidRPr="00476EFF" w:rsidRDefault="00C77345" w:rsidP="002D2F88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color w:val="0B38B5"/>
            </w:rPr>
          </w:pPr>
          <w:r w:rsidRPr="00476EFF">
            <w:rPr>
              <w:rFonts w:ascii="Arial" w:hAnsi="Arial" w:cs="Arial"/>
              <w:b/>
              <w:noProof/>
              <w:color w:val="0B38B5"/>
            </w:rPr>
            <w:drawing>
              <wp:anchor distT="0" distB="0" distL="114300" distR="114300" simplePos="0" relativeHeight="251669504" behindDoc="0" locked="0" layoutInCell="1" allowOverlap="1" wp14:anchorId="6E7326B9" wp14:editId="52A1877C">
                <wp:simplePos x="0" y="0"/>
                <wp:positionH relativeFrom="column">
                  <wp:posOffset>635</wp:posOffset>
                </wp:positionH>
                <wp:positionV relativeFrom="paragraph">
                  <wp:posOffset>-68638</wp:posOffset>
                </wp:positionV>
                <wp:extent cx="914760" cy="277200"/>
                <wp:effectExtent l="0" t="0" r="0" b="8890"/>
                <wp:wrapNone/>
                <wp:docPr id="8" name="Obrázek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4760" cy="27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  <w:r w:rsidRPr="00476EFF">
            <w:rPr>
              <w:rFonts w:ascii="Arial" w:hAnsi="Arial" w:cs="Arial"/>
              <w:b/>
            </w:rPr>
            <w:t xml:space="preserve">                       Rada pro výzkum, vývoj a inovace</w:t>
          </w:r>
        </w:p>
      </w:tc>
      <w:tc>
        <w:tcPr>
          <w:tcW w:w="155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shd w:val="clear" w:color="auto" w:fill="FFFF99"/>
          <w:vAlign w:val="center"/>
        </w:tcPr>
        <w:p w:rsidR="00C77345" w:rsidRPr="00476EFF" w:rsidRDefault="00C77345" w:rsidP="002D2F88">
          <w:pPr>
            <w:tabs>
              <w:tab w:val="center" w:pos="4536"/>
              <w:tab w:val="right" w:pos="9072"/>
            </w:tabs>
            <w:jc w:val="center"/>
            <w:rPr>
              <w:rFonts w:ascii="Arial" w:hAnsi="Arial" w:cs="Arial"/>
              <w:b/>
              <w:color w:val="0070C0"/>
              <w:sz w:val="28"/>
              <w:szCs w:val="28"/>
            </w:rPr>
          </w:pPr>
          <w:r>
            <w:rPr>
              <w:rFonts w:ascii="Arial" w:hAnsi="Arial" w:cs="Arial"/>
              <w:b/>
              <w:color w:val="0070C0"/>
              <w:sz w:val="28"/>
              <w:szCs w:val="28"/>
            </w:rPr>
            <w:t>308</w:t>
          </w:r>
          <w:r w:rsidRPr="00476EFF">
            <w:rPr>
              <w:rFonts w:ascii="Arial" w:hAnsi="Arial" w:cs="Arial"/>
              <w:b/>
              <w:color w:val="0070C0"/>
              <w:sz w:val="28"/>
              <w:szCs w:val="28"/>
            </w:rPr>
            <w:t>/</w:t>
          </w:r>
          <w:r w:rsidR="00113DC5">
            <w:rPr>
              <w:rFonts w:ascii="Arial" w:hAnsi="Arial" w:cs="Arial"/>
              <w:b/>
              <w:color w:val="0070C0"/>
              <w:sz w:val="28"/>
              <w:szCs w:val="28"/>
            </w:rPr>
            <w:t>B2</w:t>
          </w:r>
        </w:p>
      </w:tc>
    </w:tr>
  </w:tbl>
  <w:p w:rsidR="00C77345" w:rsidRDefault="00C77345">
    <w:pPr>
      <w:pStyle w:val="Zhlav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6EFF" w:rsidRDefault="00476EFF">
    <w:pPr>
      <w:pStyle w:val="Zhlav"/>
    </w:pPr>
  </w:p>
  <w:p w:rsidR="00476EFF" w:rsidRDefault="00476EFF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8188" w:type="dxa"/>
      <w:tblLook w:val="04A0" w:firstRow="1" w:lastRow="0" w:firstColumn="1" w:lastColumn="0" w:noHBand="0" w:noVBand="1"/>
    </w:tblPr>
    <w:tblGrid>
      <w:gridCol w:w="8188"/>
    </w:tblGrid>
    <w:tr w:rsidR="00476EFF" w:rsidTr="009758E5">
      <w:trPr>
        <w:trHeight w:val="686"/>
      </w:trPr>
      <w:tc>
        <w:tcPr>
          <w:tcW w:w="8188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476EFF" w:rsidRPr="009758E5" w:rsidRDefault="00476EFF" w:rsidP="008A5816">
          <w:pPr>
            <w:pStyle w:val="Zhlav"/>
            <w:rPr>
              <w:rFonts w:ascii="Arial" w:hAnsi="Arial" w:cs="Arial"/>
              <w:b/>
              <w:color w:val="0B38B5"/>
            </w:rPr>
          </w:pPr>
          <w:r w:rsidRPr="00A51417">
            <w:rPr>
              <w:rFonts w:ascii="Arial" w:hAnsi="Arial" w:cs="Arial"/>
              <w:b/>
              <w:noProof/>
              <w:color w:val="0B38B5"/>
            </w:rPr>
            <w:drawing>
              <wp:anchor distT="0" distB="0" distL="114300" distR="114300" simplePos="0" relativeHeight="251663360" behindDoc="0" locked="0" layoutInCell="1" allowOverlap="1" wp14:anchorId="0195C519" wp14:editId="69B6F279">
                <wp:simplePos x="0" y="0"/>
                <wp:positionH relativeFrom="column">
                  <wp:posOffset>635</wp:posOffset>
                </wp:positionH>
                <wp:positionV relativeFrom="paragraph">
                  <wp:posOffset>-68638</wp:posOffset>
                </wp:positionV>
                <wp:extent cx="914760" cy="277200"/>
                <wp:effectExtent l="0" t="0" r="0" b="8890"/>
                <wp:wrapNone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4760" cy="27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Arial" w:hAnsi="Arial" w:cs="Arial"/>
              <w:b/>
            </w:rPr>
            <w:t xml:space="preserve">                       </w:t>
          </w:r>
          <w:r w:rsidRPr="00D27C56">
            <w:rPr>
              <w:rFonts w:ascii="Arial" w:hAnsi="Arial" w:cs="Arial"/>
              <w:b/>
            </w:rPr>
            <w:t>Rada pro výzkum, vývoj a inovace</w:t>
          </w:r>
        </w:p>
      </w:tc>
    </w:tr>
  </w:tbl>
  <w:p w:rsidR="00476EFF" w:rsidRPr="00CC370F" w:rsidRDefault="00476EFF">
    <w:pPr>
      <w:pStyle w:val="Zhlav"/>
      <w:rPr>
        <w:rFonts w:ascii="Arial" w:hAnsi="Arial" w:cs="Arial"/>
        <w:b/>
      </w:rPr>
    </w:pPr>
  </w:p>
  <w:p w:rsidR="00476EFF" w:rsidRDefault="00476EFF"/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8188" w:type="dxa"/>
      <w:tblLook w:val="04A0" w:firstRow="1" w:lastRow="0" w:firstColumn="1" w:lastColumn="0" w:noHBand="0" w:noVBand="1"/>
    </w:tblPr>
    <w:tblGrid>
      <w:gridCol w:w="8188"/>
    </w:tblGrid>
    <w:tr w:rsidR="00C77345" w:rsidTr="00C77345">
      <w:trPr>
        <w:trHeight w:val="686"/>
      </w:trPr>
      <w:tc>
        <w:tcPr>
          <w:tcW w:w="8188" w:type="dxa"/>
          <w:tcBorders>
            <w:top w:val="nil"/>
            <w:left w:val="nil"/>
            <w:bottom w:val="nil"/>
            <w:right w:val="single" w:sz="6" w:space="0" w:color="auto"/>
          </w:tcBorders>
          <w:vAlign w:val="center"/>
        </w:tcPr>
        <w:p w:rsidR="00C77345" w:rsidRPr="009758E5" w:rsidRDefault="00C77345" w:rsidP="00265A36">
          <w:pPr>
            <w:pStyle w:val="Zhlav"/>
            <w:rPr>
              <w:rFonts w:ascii="Arial" w:hAnsi="Arial" w:cs="Arial"/>
              <w:b/>
              <w:color w:val="0B38B5"/>
            </w:rPr>
          </w:pPr>
          <w:r w:rsidRPr="00A51417">
            <w:rPr>
              <w:rFonts w:ascii="Arial" w:hAnsi="Arial" w:cs="Arial"/>
              <w:b/>
              <w:noProof/>
              <w:color w:val="0B38B5"/>
            </w:rPr>
            <w:drawing>
              <wp:anchor distT="0" distB="0" distL="114300" distR="114300" simplePos="0" relativeHeight="251671552" behindDoc="0" locked="0" layoutInCell="1" allowOverlap="1" wp14:anchorId="01A6F95C" wp14:editId="7DB8F0D8">
                <wp:simplePos x="0" y="0"/>
                <wp:positionH relativeFrom="column">
                  <wp:posOffset>635</wp:posOffset>
                </wp:positionH>
                <wp:positionV relativeFrom="paragraph">
                  <wp:posOffset>-68638</wp:posOffset>
                </wp:positionV>
                <wp:extent cx="914760" cy="277200"/>
                <wp:effectExtent l="0" t="0" r="0" b="8890"/>
                <wp:wrapNone/>
                <wp:docPr id="2" name="Obráze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4760" cy="27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Arial" w:hAnsi="Arial" w:cs="Arial"/>
              <w:b/>
            </w:rPr>
            <w:t xml:space="preserve">                       </w:t>
          </w:r>
          <w:r w:rsidRPr="00D27C56">
            <w:rPr>
              <w:rFonts w:ascii="Arial" w:hAnsi="Arial" w:cs="Arial"/>
              <w:b/>
            </w:rPr>
            <w:t>Rada pro výzkum, vývoj a inova</w:t>
          </w:r>
          <w:r w:rsidRPr="009758E5">
            <w:rPr>
              <w:rFonts w:ascii="Arial" w:hAnsi="Arial" w:cs="Arial"/>
              <w:b/>
            </w:rPr>
            <w:t>ce</w:t>
          </w:r>
        </w:p>
      </w:tc>
    </w:tr>
  </w:tbl>
  <w:p w:rsidR="00476EFF" w:rsidRDefault="00476EFF">
    <w:pPr>
      <w:pStyle w:val="Zhlav"/>
    </w:pPr>
  </w:p>
  <w:p w:rsidR="00476EFF" w:rsidRDefault="00476EFF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B2578"/>
    <w:multiLevelType w:val="hybridMultilevel"/>
    <w:tmpl w:val="48A09BC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944902"/>
    <w:multiLevelType w:val="hybridMultilevel"/>
    <w:tmpl w:val="4B56A2E6"/>
    <w:lvl w:ilvl="0" w:tplc="19648A52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296390"/>
    <w:multiLevelType w:val="hybridMultilevel"/>
    <w:tmpl w:val="A7528668"/>
    <w:lvl w:ilvl="0" w:tplc="E91C545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3722F3"/>
    <w:multiLevelType w:val="multilevel"/>
    <w:tmpl w:val="E1783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E6C6A5A"/>
    <w:multiLevelType w:val="hybridMultilevel"/>
    <w:tmpl w:val="7EEA3C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41783D"/>
    <w:multiLevelType w:val="hybridMultilevel"/>
    <w:tmpl w:val="18CC970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9B5C59"/>
    <w:multiLevelType w:val="hybridMultilevel"/>
    <w:tmpl w:val="FB74551E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24B868C4"/>
    <w:multiLevelType w:val="hybridMultilevel"/>
    <w:tmpl w:val="CBE4A790"/>
    <w:lvl w:ilvl="0" w:tplc="D31EC57E">
      <w:start w:val="1"/>
      <w:numFmt w:val="decimal"/>
      <w:lvlText w:val="3.%1.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>
    <w:nsid w:val="2A1F202C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30F6012D"/>
    <w:multiLevelType w:val="hybridMultilevel"/>
    <w:tmpl w:val="7100AF42"/>
    <w:lvl w:ilvl="0" w:tplc="15C48608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D33006"/>
    <w:multiLevelType w:val="hybridMultilevel"/>
    <w:tmpl w:val="728AA024"/>
    <w:lvl w:ilvl="0" w:tplc="FDCAD9D0">
      <w:start w:val="1"/>
      <w:numFmt w:val="decimal"/>
      <w:pStyle w:val="Obsah1"/>
      <w:lvlText w:val="1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C33228D"/>
    <w:multiLevelType w:val="multilevel"/>
    <w:tmpl w:val="B6FC673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709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4D527718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>
    <w:nsid w:val="53890910"/>
    <w:multiLevelType w:val="hybridMultilevel"/>
    <w:tmpl w:val="A4780460"/>
    <w:lvl w:ilvl="0" w:tplc="A46A0776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0CE7F82"/>
    <w:multiLevelType w:val="hybridMultilevel"/>
    <w:tmpl w:val="E3421F86"/>
    <w:lvl w:ilvl="0" w:tplc="D36C73CA">
      <w:start w:val="1"/>
      <w:numFmt w:val="decimal"/>
      <w:lvlText w:val="1.%1."/>
      <w:lvlJc w:val="left"/>
      <w:pPr>
        <w:ind w:left="1997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50019" w:tentative="1">
      <w:start w:val="1"/>
      <w:numFmt w:val="lowerLetter"/>
      <w:lvlText w:val="%2."/>
      <w:lvlJc w:val="left"/>
      <w:pPr>
        <w:ind w:left="2717" w:hanging="360"/>
      </w:pPr>
    </w:lvl>
    <w:lvl w:ilvl="2" w:tplc="0405001B" w:tentative="1">
      <w:start w:val="1"/>
      <w:numFmt w:val="lowerRoman"/>
      <w:lvlText w:val="%3."/>
      <w:lvlJc w:val="right"/>
      <w:pPr>
        <w:ind w:left="3437" w:hanging="180"/>
      </w:pPr>
    </w:lvl>
    <w:lvl w:ilvl="3" w:tplc="0405000F" w:tentative="1">
      <w:start w:val="1"/>
      <w:numFmt w:val="decimal"/>
      <w:lvlText w:val="%4."/>
      <w:lvlJc w:val="left"/>
      <w:pPr>
        <w:ind w:left="4157" w:hanging="360"/>
      </w:pPr>
    </w:lvl>
    <w:lvl w:ilvl="4" w:tplc="04050019" w:tentative="1">
      <w:start w:val="1"/>
      <w:numFmt w:val="lowerLetter"/>
      <w:lvlText w:val="%5."/>
      <w:lvlJc w:val="left"/>
      <w:pPr>
        <w:ind w:left="4877" w:hanging="360"/>
      </w:pPr>
    </w:lvl>
    <w:lvl w:ilvl="5" w:tplc="0405001B" w:tentative="1">
      <w:start w:val="1"/>
      <w:numFmt w:val="lowerRoman"/>
      <w:lvlText w:val="%6."/>
      <w:lvlJc w:val="right"/>
      <w:pPr>
        <w:ind w:left="5597" w:hanging="180"/>
      </w:pPr>
    </w:lvl>
    <w:lvl w:ilvl="6" w:tplc="0405000F" w:tentative="1">
      <w:start w:val="1"/>
      <w:numFmt w:val="decimal"/>
      <w:lvlText w:val="%7."/>
      <w:lvlJc w:val="left"/>
      <w:pPr>
        <w:ind w:left="6317" w:hanging="360"/>
      </w:pPr>
    </w:lvl>
    <w:lvl w:ilvl="7" w:tplc="04050019" w:tentative="1">
      <w:start w:val="1"/>
      <w:numFmt w:val="lowerLetter"/>
      <w:lvlText w:val="%8."/>
      <w:lvlJc w:val="left"/>
      <w:pPr>
        <w:ind w:left="7037" w:hanging="360"/>
      </w:pPr>
    </w:lvl>
    <w:lvl w:ilvl="8" w:tplc="0405001B" w:tentative="1">
      <w:start w:val="1"/>
      <w:numFmt w:val="lowerRoman"/>
      <w:lvlText w:val="%9."/>
      <w:lvlJc w:val="right"/>
      <w:pPr>
        <w:ind w:left="7757" w:hanging="180"/>
      </w:pPr>
    </w:lvl>
  </w:abstractNum>
  <w:abstractNum w:abstractNumId="15">
    <w:nsid w:val="66A4630B"/>
    <w:multiLevelType w:val="multilevel"/>
    <w:tmpl w:val="EEF01BD8"/>
    <w:lvl w:ilvl="0">
      <w:start w:val="2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03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24" w:hanging="2160"/>
      </w:pPr>
      <w:rPr>
        <w:rFonts w:hint="default"/>
      </w:rPr>
    </w:lvl>
  </w:abstractNum>
  <w:abstractNum w:abstractNumId="16">
    <w:nsid w:val="66F92773"/>
    <w:multiLevelType w:val="hybridMultilevel"/>
    <w:tmpl w:val="A1A265E2"/>
    <w:lvl w:ilvl="0" w:tplc="25B848A0">
      <w:start w:val="1"/>
      <w:numFmt w:val="decimal"/>
      <w:lvlText w:val="%1)"/>
      <w:lvlJc w:val="left"/>
      <w:pPr>
        <w:ind w:left="1428" w:hanging="360"/>
      </w:pPr>
      <w:rPr>
        <w:rFonts w:ascii="Arial" w:eastAsia="Calibri" w:hAnsi="Arial" w:cs="Arial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6BE02D3E"/>
    <w:multiLevelType w:val="hybridMultilevel"/>
    <w:tmpl w:val="B6B4CA4C"/>
    <w:lvl w:ilvl="0" w:tplc="0C28D682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2F5FD9"/>
    <w:multiLevelType w:val="hybridMultilevel"/>
    <w:tmpl w:val="FB28D6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7355B0"/>
    <w:multiLevelType w:val="hybridMultilevel"/>
    <w:tmpl w:val="D5DAC7A6"/>
    <w:lvl w:ilvl="0" w:tplc="11E01D00">
      <w:start w:val="10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3781010"/>
    <w:multiLevelType w:val="hybridMultilevel"/>
    <w:tmpl w:val="697E710C"/>
    <w:lvl w:ilvl="0" w:tplc="AB964D5E">
      <w:start w:val="1"/>
      <w:numFmt w:val="decimal"/>
      <w:lvlText w:val="1.1.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43D21C9"/>
    <w:multiLevelType w:val="hybridMultilevel"/>
    <w:tmpl w:val="C1F084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44134C9"/>
    <w:multiLevelType w:val="multilevel"/>
    <w:tmpl w:val="44A4D028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3">
    <w:nsid w:val="7C1E7003"/>
    <w:multiLevelType w:val="multilevel"/>
    <w:tmpl w:val="356AA47E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95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4">
    <w:nsid w:val="7E8E6E4C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0"/>
  </w:num>
  <w:num w:numId="2">
    <w:abstractNumId w:val="11"/>
  </w:num>
  <w:num w:numId="3">
    <w:abstractNumId w:val="5"/>
  </w:num>
  <w:num w:numId="4">
    <w:abstractNumId w:val="4"/>
  </w:num>
  <w:num w:numId="5">
    <w:abstractNumId w:val="6"/>
  </w:num>
  <w:num w:numId="6">
    <w:abstractNumId w:val="16"/>
  </w:num>
  <w:num w:numId="7">
    <w:abstractNumId w:val="19"/>
  </w:num>
  <w:num w:numId="8">
    <w:abstractNumId w:val="11"/>
    <w:lvlOverride w:ilvl="0">
      <w:startOverride w:val="4"/>
    </w:lvlOverride>
  </w:num>
  <w:num w:numId="9">
    <w:abstractNumId w:val="3"/>
  </w:num>
  <w:num w:numId="10">
    <w:abstractNumId w:val="21"/>
  </w:num>
  <w:num w:numId="11">
    <w:abstractNumId w:val="18"/>
  </w:num>
  <w:num w:numId="12">
    <w:abstractNumId w:val="15"/>
  </w:num>
  <w:num w:numId="13">
    <w:abstractNumId w:val="14"/>
  </w:num>
  <w:num w:numId="14">
    <w:abstractNumId w:val="23"/>
  </w:num>
  <w:num w:numId="15">
    <w:abstractNumId w:val="17"/>
  </w:num>
  <w:num w:numId="16">
    <w:abstractNumId w:val="20"/>
  </w:num>
  <w:num w:numId="17">
    <w:abstractNumId w:val="24"/>
  </w:num>
  <w:num w:numId="18">
    <w:abstractNumId w:val="10"/>
  </w:num>
  <w:num w:numId="19">
    <w:abstractNumId w:val="12"/>
  </w:num>
  <w:num w:numId="20">
    <w:abstractNumId w:val="9"/>
  </w:num>
  <w:num w:numId="21">
    <w:abstractNumId w:val="22"/>
  </w:num>
  <w:num w:numId="22">
    <w:abstractNumId w:val="13"/>
  </w:num>
  <w:num w:numId="23">
    <w:abstractNumId w:val="1"/>
  </w:num>
  <w:num w:numId="24">
    <w:abstractNumId w:val="8"/>
  </w:num>
  <w:num w:numId="25">
    <w:abstractNumId w:val="2"/>
  </w:num>
  <w:num w:numId="26">
    <w:abstractNumId w:val="7"/>
  </w:num>
  <w:num w:numId="27">
    <w:abstractNumId w:val="7"/>
    <w:lvlOverride w:ilvl="0">
      <w:startOverride w:val="1"/>
    </w:lvlOverride>
  </w:num>
  <w:num w:numId="28">
    <w:abstractNumId w:val="7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7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77F6"/>
    <w:rsid w:val="000C4A33"/>
    <w:rsid w:val="00113DC5"/>
    <w:rsid w:val="00237006"/>
    <w:rsid w:val="00265A36"/>
    <w:rsid w:val="002B1DD3"/>
    <w:rsid w:val="002E2591"/>
    <w:rsid w:val="00360293"/>
    <w:rsid w:val="0036421B"/>
    <w:rsid w:val="00387B05"/>
    <w:rsid w:val="003C2A8E"/>
    <w:rsid w:val="003F735C"/>
    <w:rsid w:val="004639B1"/>
    <w:rsid w:val="00476EFF"/>
    <w:rsid w:val="005702BC"/>
    <w:rsid w:val="00580A98"/>
    <w:rsid w:val="005851A3"/>
    <w:rsid w:val="005C0070"/>
    <w:rsid w:val="005E43C2"/>
    <w:rsid w:val="00616978"/>
    <w:rsid w:val="006D6A8C"/>
    <w:rsid w:val="006E5F97"/>
    <w:rsid w:val="00720790"/>
    <w:rsid w:val="007936E5"/>
    <w:rsid w:val="007F5093"/>
    <w:rsid w:val="00810AA0"/>
    <w:rsid w:val="008A5816"/>
    <w:rsid w:val="008D0383"/>
    <w:rsid w:val="008F77F6"/>
    <w:rsid w:val="0096657B"/>
    <w:rsid w:val="009758E5"/>
    <w:rsid w:val="009C75A3"/>
    <w:rsid w:val="00AA6A69"/>
    <w:rsid w:val="00AD5458"/>
    <w:rsid w:val="00C21858"/>
    <w:rsid w:val="00C77345"/>
    <w:rsid w:val="00CC370F"/>
    <w:rsid w:val="00DC5FE9"/>
    <w:rsid w:val="00DF20B2"/>
    <w:rsid w:val="00E8096B"/>
    <w:rsid w:val="00E82C93"/>
    <w:rsid w:val="00E90863"/>
    <w:rsid w:val="00F34CBF"/>
    <w:rsid w:val="00F85F64"/>
    <w:rsid w:val="00FB4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7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8A5816"/>
    <w:pPr>
      <w:keepNext/>
      <w:keepLines/>
      <w:numPr>
        <w:numId w:val="25"/>
      </w:numPr>
      <w:spacing w:after="120"/>
      <w:ind w:left="360"/>
      <w:outlineLvl w:val="0"/>
    </w:pPr>
    <w:rPr>
      <w:rFonts w:ascii="Arial" w:hAnsi="Arial"/>
      <w:b/>
      <w:bCs/>
      <w:sz w:val="28"/>
      <w:szCs w:val="28"/>
    </w:rPr>
  </w:style>
  <w:style w:type="paragraph" w:styleId="Nadpis2">
    <w:name w:val="heading 2"/>
    <w:aliases w:val="nadpis III"/>
    <w:basedOn w:val="Normln"/>
    <w:next w:val="Normln"/>
    <w:link w:val="Nadpis2Char"/>
    <w:autoRedefine/>
    <w:uiPriority w:val="9"/>
    <w:unhideWhenUsed/>
    <w:qFormat/>
    <w:rsid w:val="008A5816"/>
    <w:pPr>
      <w:keepNext/>
      <w:keepLines/>
      <w:spacing w:before="240" w:after="120"/>
      <w:outlineLvl w:val="1"/>
    </w:pPr>
    <w:rPr>
      <w:rFonts w:ascii="Arial" w:hAnsi="Arial"/>
      <w:b/>
      <w:bCs/>
      <w:sz w:val="20"/>
      <w:szCs w:val="20"/>
      <w:lang w:eastAsia="en-US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8A5816"/>
    <w:pPr>
      <w:keepNext/>
      <w:keepLines/>
      <w:spacing w:before="200"/>
      <w:outlineLvl w:val="2"/>
    </w:pPr>
    <w:rPr>
      <w:rFonts w:ascii="Cambria" w:hAnsi="Cambria"/>
      <w:b/>
      <w:bCs/>
      <w:color w:val="4F81BD"/>
      <w:sz w:val="20"/>
      <w:szCs w:val="20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8A5816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  <w:sz w:val="20"/>
      <w:szCs w:val="20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8A5816"/>
    <w:pPr>
      <w:keepNext/>
      <w:keepLines/>
      <w:spacing w:before="200"/>
      <w:outlineLvl w:val="4"/>
    </w:pPr>
    <w:rPr>
      <w:rFonts w:ascii="Cambria" w:hAnsi="Cambria"/>
      <w:color w:val="243F60"/>
      <w:sz w:val="20"/>
      <w:szCs w:val="20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A5816"/>
    <w:pPr>
      <w:keepNext/>
      <w:keepLines/>
      <w:spacing w:before="200"/>
      <w:outlineLvl w:val="5"/>
    </w:pPr>
    <w:rPr>
      <w:rFonts w:ascii="Cambria" w:hAnsi="Cambria"/>
      <w:i/>
      <w:iCs/>
      <w:color w:val="243F60"/>
      <w:sz w:val="20"/>
      <w:szCs w:val="20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A5816"/>
    <w:pPr>
      <w:keepNext/>
      <w:keepLines/>
      <w:spacing w:before="200"/>
      <w:outlineLvl w:val="6"/>
    </w:pPr>
    <w:rPr>
      <w:rFonts w:ascii="Cambria" w:hAnsi="Cambria"/>
      <w:i/>
      <w:iCs/>
      <w:color w:val="404040"/>
      <w:sz w:val="20"/>
      <w:szCs w:val="2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A5816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A5816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F77F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7F6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8F77F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7F6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CC370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CC370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cs-CZ"/>
    </w:rPr>
  </w:style>
  <w:style w:type="paragraph" w:styleId="Textbubliny">
    <w:name w:val="Balloon Text"/>
    <w:basedOn w:val="Normln"/>
    <w:link w:val="TextbublinyChar"/>
    <w:unhideWhenUsed/>
    <w:rsid w:val="00CC370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CC370F"/>
    <w:rPr>
      <w:rFonts w:ascii="Tahoma" w:eastAsia="Times New Roman" w:hAnsi="Tahoma" w:cs="Tahoma"/>
      <w:sz w:val="16"/>
      <w:szCs w:val="16"/>
      <w:lang w:eastAsia="cs-CZ"/>
    </w:rPr>
  </w:style>
  <w:style w:type="table" w:styleId="Mkatabulky">
    <w:name w:val="Table Grid"/>
    <w:basedOn w:val="Normlntabulka"/>
    <w:uiPriority w:val="59"/>
    <w:rsid w:val="00265A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1Char">
    <w:name w:val="Nadpis 1 Char"/>
    <w:basedOn w:val="Standardnpsmoodstavce"/>
    <w:link w:val="Nadpis1"/>
    <w:uiPriority w:val="9"/>
    <w:rsid w:val="008A5816"/>
    <w:rPr>
      <w:rFonts w:ascii="Arial" w:eastAsia="Times New Roman" w:hAnsi="Arial" w:cs="Times New Roman"/>
      <w:b/>
      <w:bCs/>
      <w:sz w:val="28"/>
      <w:szCs w:val="28"/>
      <w:lang w:eastAsia="cs-CZ"/>
    </w:rPr>
  </w:style>
  <w:style w:type="character" w:customStyle="1" w:styleId="Nadpis2Char">
    <w:name w:val="Nadpis 2 Char"/>
    <w:aliases w:val="nadpis III Char"/>
    <w:basedOn w:val="Standardnpsmoodstavce"/>
    <w:link w:val="Nadpis2"/>
    <w:uiPriority w:val="9"/>
    <w:rsid w:val="008A5816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8A5816"/>
    <w:rPr>
      <w:rFonts w:ascii="Cambria" w:eastAsia="Times New Roman" w:hAnsi="Cambria" w:cs="Times New Roman"/>
      <w:b/>
      <w:bCs/>
      <w:color w:val="4F81BD"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8A5816"/>
    <w:rPr>
      <w:rFonts w:ascii="Cambria" w:eastAsia="Times New Roman" w:hAnsi="Cambria" w:cs="Times New Roman"/>
      <w:b/>
      <w:bCs/>
      <w:i/>
      <w:iCs/>
      <w:color w:val="4F81BD"/>
      <w:sz w:val="20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8A5816"/>
    <w:rPr>
      <w:rFonts w:ascii="Cambria" w:eastAsia="Times New Roman" w:hAnsi="Cambria" w:cs="Times New Roman"/>
      <w:color w:val="243F60"/>
      <w:sz w:val="2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A5816"/>
    <w:rPr>
      <w:rFonts w:ascii="Cambria" w:eastAsia="Times New Roman" w:hAnsi="Cambria" w:cs="Times New Roman"/>
      <w:i/>
      <w:iCs/>
      <w:color w:val="243F60"/>
      <w:sz w:val="20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A5816"/>
    <w:rPr>
      <w:rFonts w:ascii="Cambria" w:eastAsia="Times New Roman" w:hAnsi="Cambria" w:cs="Times New Roman"/>
      <w:i/>
      <w:iCs/>
      <w:color w:val="404040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A5816"/>
    <w:rPr>
      <w:rFonts w:ascii="Cambria" w:eastAsia="Times New Roman" w:hAnsi="Cambria" w:cs="Times New Roman"/>
      <w:color w:val="404040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A5816"/>
    <w:rPr>
      <w:rFonts w:ascii="Cambria" w:eastAsia="Times New Roman" w:hAnsi="Cambria" w:cs="Times New Roman"/>
      <w:i/>
      <w:iCs/>
      <w:color w:val="404040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8A5816"/>
  </w:style>
  <w:style w:type="character" w:styleId="Hypertextovodkaz">
    <w:name w:val="Hyperlink"/>
    <w:uiPriority w:val="99"/>
    <w:unhideWhenUsed/>
    <w:rsid w:val="008A5816"/>
    <w:rPr>
      <w:strike w:val="0"/>
      <w:dstrike w:val="0"/>
      <w:color w:val="00559A"/>
      <w:u w:val="none"/>
      <w:effect w:val="none"/>
    </w:rPr>
  </w:style>
  <w:style w:type="paragraph" w:styleId="Normlnweb">
    <w:name w:val="Normal (Web)"/>
    <w:basedOn w:val="Normln"/>
    <w:uiPriority w:val="99"/>
    <w:unhideWhenUsed/>
    <w:rsid w:val="008A5816"/>
    <w:pPr>
      <w:spacing w:after="100" w:afterAutospacing="1"/>
      <w:jc w:val="both"/>
    </w:pPr>
    <w:rPr>
      <w:rFonts w:ascii="Arial" w:eastAsia="Calibri" w:hAnsi="Arial"/>
      <w:sz w:val="22"/>
      <w:szCs w:val="22"/>
    </w:rPr>
  </w:style>
  <w:style w:type="character" w:styleId="Siln">
    <w:name w:val="Strong"/>
    <w:uiPriority w:val="22"/>
    <w:qFormat/>
    <w:rsid w:val="008A5816"/>
    <w:rPr>
      <w:b/>
      <w:bCs/>
    </w:rPr>
  </w:style>
  <w:style w:type="paragraph" w:customStyle="1" w:styleId="CharCharCharCharCharCharCharCharCharCharCharCharCharCharCharCharCharCharCharCharCharCharCharChar">
    <w:name w:val="Char Char Char Char Char Char Char Char Char Char Char Char Char Char Char Char Char Char Char Char Char Char Char Char"/>
    <w:basedOn w:val="Normln"/>
    <w:rsid w:val="008A5816"/>
    <w:pPr>
      <w:spacing w:after="160" w:line="240" w:lineRule="exact"/>
    </w:pPr>
    <w:rPr>
      <w:rFonts w:ascii="Tahoma" w:eastAsia="Calibri" w:hAnsi="Tahoma" w:cs="Tahoma"/>
      <w:sz w:val="20"/>
      <w:szCs w:val="20"/>
      <w:lang w:val="en-US" w:eastAsia="en-US"/>
    </w:rPr>
  </w:style>
  <w:style w:type="paragraph" w:styleId="Odstavecseseznamem">
    <w:name w:val="List Paragraph"/>
    <w:basedOn w:val="Normln"/>
    <w:uiPriority w:val="34"/>
    <w:qFormat/>
    <w:rsid w:val="008A5816"/>
    <w:pPr>
      <w:ind w:left="720"/>
      <w:contextualSpacing/>
    </w:pPr>
    <w:rPr>
      <w:rFonts w:ascii="Arial" w:eastAsia="Calibri" w:hAnsi="Arial"/>
      <w:sz w:val="22"/>
      <w:szCs w:val="22"/>
    </w:rPr>
  </w:style>
  <w:style w:type="character" w:customStyle="1" w:styleId="hps">
    <w:name w:val="hps"/>
    <w:basedOn w:val="Standardnpsmoodstavce"/>
    <w:rsid w:val="008A5816"/>
  </w:style>
  <w:style w:type="table" w:customStyle="1" w:styleId="Mkatabulky1">
    <w:name w:val="Mřížka tabulky1"/>
    <w:basedOn w:val="Normlntabulka"/>
    <w:next w:val="Mkatabulky"/>
    <w:uiPriority w:val="59"/>
    <w:rsid w:val="008A5816"/>
    <w:pPr>
      <w:spacing w:after="0" w:line="240" w:lineRule="auto"/>
    </w:pPr>
    <w:rPr>
      <w:rFonts w:ascii="Cambria" w:eastAsia="Calibri" w:hAnsi="Cambria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">
    <w:name w:val="Text"/>
    <w:basedOn w:val="Normln"/>
    <w:rsid w:val="008A5816"/>
    <w:pPr>
      <w:spacing w:line="360" w:lineRule="auto"/>
      <w:ind w:firstLine="284"/>
      <w:jc w:val="both"/>
    </w:pPr>
    <w:rPr>
      <w:rFonts w:ascii="Arial" w:eastAsia="Calibri" w:hAnsi="Arial"/>
      <w:sz w:val="22"/>
      <w:szCs w:val="20"/>
    </w:rPr>
  </w:style>
  <w:style w:type="paragraph" w:styleId="Bezmezer">
    <w:name w:val="No Spacing"/>
    <w:uiPriority w:val="1"/>
    <w:qFormat/>
    <w:rsid w:val="008A5816"/>
    <w:pPr>
      <w:spacing w:after="0" w:line="240" w:lineRule="auto"/>
    </w:pPr>
    <w:rPr>
      <w:rFonts w:ascii="Cambria" w:eastAsia="Calibri" w:hAnsi="Cambria" w:cs="Times New Roman"/>
      <w:lang w:eastAsia="cs-CZ"/>
    </w:rPr>
  </w:style>
  <w:style w:type="paragraph" w:styleId="Textvysvtlivek">
    <w:name w:val="endnote text"/>
    <w:basedOn w:val="Normln"/>
    <w:link w:val="TextvysvtlivekChar"/>
    <w:uiPriority w:val="99"/>
    <w:unhideWhenUsed/>
    <w:rsid w:val="008A5816"/>
    <w:pPr>
      <w:ind w:firstLine="907"/>
      <w:jc w:val="both"/>
    </w:pPr>
    <w:rPr>
      <w:rFonts w:ascii="Calibri" w:eastAsia="Calibri" w:hAnsi="Calibri"/>
      <w:sz w:val="20"/>
      <w:szCs w:val="20"/>
      <w:lang w:eastAsia="en-US"/>
    </w:rPr>
  </w:style>
  <w:style w:type="character" w:customStyle="1" w:styleId="TextvysvtlivekChar">
    <w:name w:val="Text vysvětlivek Char"/>
    <w:basedOn w:val="Standardnpsmoodstavce"/>
    <w:link w:val="Textvysvtlivek"/>
    <w:uiPriority w:val="99"/>
    <w:rsid w:val="008A5816"/>
    <w:rPr>
      <w:rFonts w:ascii="Calibri" w:eastAsia="Calibri" w:hAnsi="Calibri" w:cs="Times New Roman"/>
      <w:sz w:val="20"/>
      <w:szCs w:val="20"/>
    </w:rPr>
  </w:style>
  <w:style w:type="character" w:styleId="Odkaznavysvtlivky">
    <w:name w:val="endnote reference"/>
    <w:uiPriority w:val="99"/>
    <w:unhideWhenUsed/>
    <w:rsid w:val="008A5816"/>
    <w:rPr>
      <w:vertAlign w:val="superscript"/>
    </w:rPr>
  </w:style>
  <w:style w:type="character" w:customStyle="1" w:styleId="right1">
    <w:name w:val="right1"/>
    <w:rsid w:val="008A5816"/>
    <w:rPr>
      <w:vanish w:val="0"/>
      <w:webHidden w:val="0"/>
      <w:specVanish/>
    </w:rPr>
  </w:style>
  <w:style w:type="paragraph" w:styleId="Podtitul">
    <w:name w:val="Subtitle"/>
    <w:aliases w:val="nadpis 2"/>
    <w:basedOn w:val="Nadpis2"/>
    <w:next w:val="Normln"/>
    <w:link w:val="PodtitulChar"/>
    <w:autoRedefine/>
    <w:uiPriority w:val="11"/>
    <w:qFormat/>
    <w:rsid w:val="008A5816"/>
    <w:pPr>
      <w:keepNext w:val="0"/>
      <w:keepLines w:val="0"/>
      <w:spacing w:before="0"/>
      <w:ind w:firstLine="709"/>
      <w:jc w:val="both"/>
      <w:outlineLvl w:val="9"/>
    </w:pPr>
    <w:rPr>
      <w:b w:val="0"/>
      <w:bCs w:val="0"/>
      <w:iCs/>
      <w:spacing w:val="15"/>
      <w:sz w:val="24"/>
      <w:szCs w:val="24"/>
    </w:rPr>
  </w:style>
  <w:style w:type="character" w:customStyle="1" w:styleId="PodtitulChar">
    <w:name w:val="Podtitul Char"/>
    <w:aliases w:val="nadpis 2 Char"/>
    <w:basedOn w:val="Standardnpsmoodstavce"/>
    <w:link w:val="Podtitul"/>
    <w:uiPriority w:val="11"/>
    <w:rsid w:val="008A5816"/>
    <w:rPr>
      <w:rFonts w:ascii="Arial" w:eastAsia="Times New Roman" w:hAnsi="Arial" w:cs="Times New Roman"/>
      <w:iCs/>
      <w:spacing w:val="15"/>
      <w:sz w:val="24"/>
      <w:szCs w:val="24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8A5816"/>
    <w:pPr>
      <w:outlineLvl w:val="9"/>
    </w:pPr>
  </w:style>
  <w:style w:type="paragraph" w:styleId="Obsah1">
    <w:name w:val="toc 1"/>
    <w:aliases w:val="Obsah 1;Kapitola III"/>
    <w:basedOn w:val="Nadpis1"/>
    <w:next w:val="Normln"/>
    <w:autoRedefine/>
    <w:uiPriority w:val="39"/>
    <w:qFormat/>
    <w:rsid w:val="008A5816"/>
    <w:pPr>
      <w:numPr>
        <w:numId w:val="18"/>
      </w:numPr>
      <w:tabs>
        <w:tab w:val="left" w:pos="440"/>
        <w:tab w:val="right" w:leader="dot" w:pos="9062"/>
      </w:tabs>
      <w:spacing w:before="240"/>
      <w:ind w:left="360"/>
    </w:pPr>
    <w:rPr>
      <w:b w:val="0"/>
      <w:sz w:val="22"/>
    </w:rPr>
  </w:style>
  <w:style w:type="paragraph" w:styleId="Obsah2">
    <w:name w:val="toc 2"/>
    <w:basedOn w:val="Normln"/>
    <w:next w:val="Normln"/>
    <w:autoRedefine/>
    <w:uiPriority w:val="39"/>
    <w:unhideWhenUsed/>
    <w:rsid w:val="008A5816"/>
    <w:pPr>
      <w:spacing w:after="100" w:line="276" w:lineRule="auto"/>
      <w:ind w:left="220"/>
    </w:pPr>
    <w:rPr>
      <w:rFonts w:ascii="Calibri" w:hAnsi="Calibri"/>
      <w:sz w:val="22"/>
      <w:szCs w:val="22"/>
    </w:rPr>
  </w:style>
  <w:style w:type="paragraph" w:styleId="Obsah3">
    <w:name w:val="toc 3"/>
    <w:basedOn w:val="Normln"/>
    <w:next w:val="Normln"/>
    <w:autoRedefine/>
    <w:uiPriority w:val="39"/>
    <w:unhideWhenUsed/>
    <w:rsid w:val="008A5816"/>
    <w:pPr>
      <w:spacing w:after="100" w:line="276" w:lineRule="auto"/>
      <w:ind w:left="440"/>
    </w:pPr>
    <w:rPr>
      <w:rFonts w:ascii="Calibri" w:hAnsi="Calibri"/>
      <w:sz w:val="22"/>
      <w:szCs w:val="22"/>
    </w:rPr>
  </w:style>
  <w:style w:type="paragraph" w:styleId="Textpoznpodarou">
    <w:name w:val="footnote text"/>
    <w:basedOn w:val="Normln"/>
    <w:link w:val="TextpoznpodarouChar"/>
    <w:rsid w:val="008A5816"/>
    <w:rPr>
      <w:rFonts w:ascii="Arial" w:eastAsia="Calibri" w:hAnsi="Arial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8A5816"/>
    <w:rPr>
      <w:rFonts w:ascii="Arial" w:eastAsia="Calibri" w:hAnsi="Arial" w:cs="Times New Roman"/>
      <w:sz w:val="20"/>
      <w:szCs w:val="20"/>
      <w:lang w:eastAsia="cs-CZ"/>
    </w:rPr>
  </w:style>
  <w:style w:type="character" w:styleId="Znakapoznpodarou">
    <w:name w:val="footnote reference"/>
    <w:rsid w:val="008A5816"/>
    <w:rPr>
      <w:vertAlign w:val="superscript"/>
    </w:rPr>
  </w:style>
  <w:style w:type="character" w:styleId="Odkaznakoment">
    <w:name w:val="annotation reference"/>
    <w:rsid w:val="008A5816"/>
    <w:rPr>
      <w:sz w:val="16"/>
      <w:szCs w:val="16"/>
    </w:rPr>
  </w:style>
  <w:style w:type="paragraph" w:styleId="Textkomente">
    <w:name w:val="annotation text"/>
    <w:basedOn w:val="Normln"/>
    <w:link w:val="TextkomenteChar"/>
    <w:rsid w:val="008A5816"/>
    <w:rPr>
      <w:rFonts w:ascii="Arial" w:eastAsia="Calibri" w:hAnsi="Arial"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8A5816"/>
    <w:rPr>
      <w:rFonts w:ascii="Arial" w:eastAsia="Calibri" w:hAnsi="Arial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A5816"/>
    <w:rPr>
      <w:rFonts w:ascii="Cambria" w:hAnsi="Cambria"/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8A5816"/>
    <w:rPr>
      <w:rFonts w:ascii="Cambria" w:eastAsia="Calibri" w:hAnsi="Cambria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8A5816"/>
    <w:pPr>
      <w:spacing w:after="0" w:line="240" w:lineRule="auto"/>
    </w:pPr>
    <w:rPr>
      <w:rFonts w:ascii="Cambria" w:eastAsia="Calibri" w:hAnsi="Cambria" w:cs="Times New Roman"/>
      <w:sz w:val="24"/>
      <w:szCs w:val="24"/>
      <w:lang w:eastAsia="cs-CZ"/>
    </w:rPr>
  </w:style>
  <w:style w:type="character" w:styleId="Zdraznnintenzivn">
    <w:name w:val="Intense Emphasis"/>
    <w:uiPriority w:val="21"/>
    <w:qFormat/>
    <w:rsid w:val="008A5816"/>
    <w:rPr>
      <w:b/>
      <w:bCs/>
      <w:i/>
      <w:iCs/>
      <w:color w:val="4F81BD"/>
    </w:rPr>
  </w:style>
  <w:style w:type="character" w:styleId="Zvraznn">
    <w:name w:val="Emphasis"/>
    <w:aliases w:val="nadpis 3"/>
    <w:qFormat/>
    <w:rsid w:val="008A5816"/>
    <w:rPr>
      <w:rFonts w:ascii="Arial" w:eastAsia="Times New Roman" w:hAnsi="Arial" w:cs="Times New Roman"/>
      <w:b w:val="0"/>
      <w:bCs/>
      <w:i w:val="0"/>
      <w:iCs/>
      <w:color w:val="auto"/>
      <w:sz w:val="22"/>
      <w:szCs w:val="24"/>
    </w:rPr>
  </w:style>
  <w:style w:type="paragraph" w:customStyle="1" w:styleId="perex">
    <w:name w:val="perex"/>
    <w:basedOn w:val="Normln"/>
    <w:rsid w:val="008A5816"/>
    <w:pPr>
      <w:spacing w:before="100" w:beforeAutospacing="1" w:after="100" w:afterAutospacing="1"/>
    </w:pPr>
    <w:rPr>
      <w:rFonts w:ascii="Arial" w:eastAsia="Calibri" w:hAnsi="Arial"/>
      <w:sz w:val="22"/>
      <w:szCs w:val="22"/>
    </w:rPr>
  </w:style>
  <w:style w:type="paragraph" w:styleId="Zkladntext2">
    <w:name w:val="Body Text 2"/>
    <w:basedOn w:val="Normln"/>
    <w:link w:val="Zkladntext2Char"/>
    <w:rsid w:val="008A5816"/>
    <w:pPr>
      <w:spacing w:before="120"/>
      <w:jc w:val="both"/>
    </w:pPr>
    <w:rPr>
      <w:rFonts w:ascii="Cambria" w:eastAsia="Calibri" w:hAnsi="Cambria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8A5816"/>
    <w:rPr>
      <w:rFonts w:ascii="Cambria" w:eastAsia="Calibri" w:hAnsi="Cambria" w:cs="Times New Roman"/>
      <w:sz w:val="24"/>
      <w:szCs w:val="20"/>
      <w:lang w:eastAsia="cs-CZ"/>
    </w:rPr>
  </w:style>
  <w:style w:type="paragraph" w:customStyle="1" w:styleId="Default">
    <w:name w:val="Default"/>
    <w:rsid w:val="008A5816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Char1CharCharCharCharCharCharCharCharCharCharCharCharCharCharCharCharCharChar">
    <w:name w:val="Char1 Char Char Char Char Char Char Char Char Char Char Char Char Char Char Char Char Char Char"/>
    <w:basedOn w:val="Normln"/>
    <w:rsid w:val="008A5816"/>
    <w:pPr>
      <w:spacing w:after="160" w:line="240" w:lineRule="exact"/>
    </w:pPr>
    <w:rPr>
      <w:rFonts w:ascii="Tahoma" w:eastAsia="Calibri" w:hAnsi="Tahoma"/>
      <w:sz w:val="20"/>
      <w:szCs w:val="20"/>
      <w:lang w:val="en-US" w:eastAsia="en-US"/>
    </w:rPr>
  </w:style>
  <w:style w:type="paragraph" w:styleId="Zkladntext">
    <w:name w:val="Body Text"/>
    <w:basedOn w:val="Normln"/>
    <w:link w:val="ZkladntextChar"/>
    <w:unhideWhenUsed/>
    <w:rsid w:val="008A5816"/>
    <w:pPr>
      <w:spacing w:after="120"/>
    </w:pPr>
    <w:rPr>
      <w:rFonts w:ascii="Cambria" w:eastAsia="Calibri" w:hAnsi="Cambria"/>
    </w:rPr>
  </w:style>
  <w:style w:type="character" w:customStyle="1" w:styleId="ZkladntextChar">
    <w:name w:val="Základní text Char"/>
    <w:basedOn w:val="Standardnpsmoodstavce"/>
    <w:link w:val="Zkladntext"/>
    <w:rsid w:val="008A5816"/>
    <w:rPr>
      <w:rFonts w:ascii="Cambria" w:eastAsia="Calibri" w:hAnsi="Cambria" w:cs="Times New Roman"/>
      <w:sz w:val="24"/>
      <w:szCs w:val="24"/>
      <w:lang w:eastAsia="cs-CZ"/>
    </w:rPr>
  </w:style>
  <w:style w:type="paragraph" w:customStyle="1" w:styleId="Char4CharCharCharCharCharCharCharCharCharCharCharCharCharCharCharCharCharCharCharCharCharChar">
    <w:name w:val="Char4 Char Char Char Char Char Char Char Char Char Char Char Char Char Char Char Char Char Char Char Char Char Char"/>
    <w:basedOn w:val="Normln"/>
    <w:rsid w:val="008A5816"/>
    <w:pPr>
      <w:spacing w:after="160" w:line="240" w:lineRule="exact"/>
    </w:pPr>
    <w:rPr>
      <w:rFonts w:ascii="Times New Roman Bold" w:eastAsia="Calibri" w:hAnsi="Times New Roman Bold"/>
      <w:sz w:val="22"/>
      <w:szCs w:val="26"/>
      <w:lang w:val="sk-SK" w:eastAsia="en-US"/>
    </w:rPr>
  </w:style>
  <w:style w:type="paragraph" w:customStyle="1" w:styleId="CharCharCharCharChar">
    <w:name w:val="Char Char Char Char Char"/>
    <w:basedOn w:val="Normln"/>
    <w:rsid w:val="008A5816"/>
    <w:pPr>
      <w:spacing w:after="160" w:line="240" w:lineRule="exact"/>
    </w:pPr>
    <w:rPr>
      <w:rFonts w:ascii="Tahoma" w:eastAsia="Calibri" w:hAnsi="Tahoma"/>
      <w:sz w:val="20"/>
      <w:szCs w:val="20"/>
      <w:lang w:val="en-US" w:eastAsia="en-US"/>
    </w:rPr>
  </w:style>
  <w:style w:type="character" w:styleId="Nzevknihy">
    <w:name w:val="Book Title"/>
    <w:uiPriority w:val="33"/>
    <w:qFormat/>
    <w:rsid w:val="008A5816"/>
    <w:rPr>
      <w:b/>
      <w:bCs/>
      <w:smallCaps/>
      <w:spacing w:val="5"/>
    </w:rPr>
  </w:style>
  <w:style w:type="table" w:customStyle="1" w:styleId="Mkatabulky2">
    <w:name w:val="Mřížka tabulky2"/>
    <w:basedOn w:val="Normlntabulka"/>
    <w:next w:val="Mkatabulky"/>
    <w:uiPriority w:val="59"/>
    <w:rsid w:val="00476E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7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8A5816"/>
    <w:pPr>
      <w:keepNext/>
      <w:keepLines/>
      <w:numPr>
        <w:numId w:val="25"/>
      </w:numPr>
      <w:spacing w:after="120"/>
      <w:ind w:left="360"/>
      <w:outlineLvl w:val="0"/>
    </w:pPr>
    <w:rPr>
      <w:rFonts w:ascii="Arial" w:hAnsi="Arial"/>
      <w:b/>
      <w:bCs/>
      <w:sz w:val="28"/>
      <w:szCs w:val="28"/>
    </w:rPr>
  </w:style>
  <w:style w:type="paragraph" w:styleId="Nadpis2">
    <w:name w:val="heading 2"/>
    <w:aliases w:val="nadpis III"/>
    <w:basedOn w:val="Normln"/>
    <w:next w:val="Normln"/>
    <w:link w:val="Nadpis2Char"/>
    <w:autoRedefine/>
    <w:uiPriority w:val="9"/>
    <w:unhideWhenUsed/>
    <w:qFormat/>
    <w:rsid w:val="008A5816"/>
    <w:pPr>
      <w:keepNext/>
      <w:keepLines/>
      <w:spacing w:before="240" w:after="120"/>
      <w:outlineLvl w:val="1"/>
    </w:pPr>
    <w:rPr>
      <w:rFonts w:ascii="Arial" w:hAnsi="Arial"/>
      <w:b/>
      <w:bCs/>
      <w:sz w:val="20"/>
      <w:szCs w:val="20"/>
      <w:lang w:eastAsia="en-US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8A5816"/>
    <w:pPr>
      <w:keepNext/>
      <w:keepLines/>
      <w:spacing w:before="200"/>
      <w:outlineLvl w:val="2"/>
    </w:pPr>
    <w:rPr>
      <w:rFonts w:ascii="Cambria" w:hAnsi="Cambria"/>
      <w:b/>
      <w:bCs/>
      <w:color w:val="4F81BD"/>
      <w:sz w:val="20"/>
      <w:szCs w:val="20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8A5816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  <w:sz w:val="20"/>
      <w:szCs w:val="20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8A5816"/>
    <w:pPr>
      <w:keepNext/>
      <w:keepLines/>
      <w:spacing w:before="200"/>
      <w:outlineLvl w:val="4"/>
    </w:pPr>
    <w:rPr>
      <w:rFonts w:ascii="Cambria" w:hAnsi="Cambria"/>
      <w:color w:val="243F60"/>
      <w:sz w:val="20"/>
      <w:szCs w:val="20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A5816"/>
    <w:pPr>
      <w:keepNext/>
      <w:keepLines/>
      <w:spacing w:before="200"/>
      <w:outlineLvl w:val="5"/>
    </w:pPr>
    <w:rPr>
      <w:rFonts w:ascii="Cambria" w:hAnsi="Cambria"/>
      <w:i/>
      <w:iCs/>
      <w:color w:val="243F60"/>
      <w:sz w:val="20"/>
      <w:szCs w:val="20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A5816"/>
    <w:pPr>
      <w:keepNext/>
      <w:keepLines/>
      <w:spacing w:before="200"/>
      <w:outlineLvl w:val="6"/>
    </w:pPr>
    <w:rPr>
      <w:rFonts w:ascii="Cambria" w:hAnsi="Cambria"/>
      <w:i/>
      <w:iCs/>
      <w:color w:val="404040"/>
      <w:sz w:val="20"/>
      <w:szCs w:val="2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A5816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A5816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F77F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7F6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8F77F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7F6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CC370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CC370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cs-CZ"/>
    </w:rPr>
  </w:style>
  <w:style w:type="paragraph" w:styleId="Textbubliny">
    <w:name w:val="Balloon Text"/>
    <w:basedOn w:val="Normln"/>
    <w:link w:val="TextbublinyChar"/>
    <w:unhideWhenUsed/>
    <w:rsid w:val="00CC370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CC370F"/>
    <w:rPr>
      <w:rFonts w:ascii="Tahoma" w:eastAsia="Times New Roman" w:hAnsi="Tahoma" w:cs="Tahoma"/>
      <w:sz w:val="16"/>
      <w:szCs w:val="16"/>
      <w:lang w:eastAsia="cs-CZ"/>
    </w:rPr>
  </w:style>
  <w:style w:type="table" w:styleId="Mkatabulky">
    <w:name w:val="Table Grid"/>
    <w:basedOn w:val="Normlntabulka"/>
    <w:uiPriority w:val="59"/>
    <w:rsid w:val="00265A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1Char">
    <w:name w:val="Nadpis 1 Char"/>
    <w:basedOn w:val="Standardnpsmoodstavce"/>
    <w:link w:val="Nadpis1"/>
    <w:uiPriority w:val="9"/>
    <w:rsid w:val="008A5816"/>
    <w:rPr>
      <w:rFonts w:ascii="Arial" w:eastAsia="Times New Roman" w:hAnsi="Arial" w:cs="Times New Roman"/>
      <w:b/>
      <w:bCs/>
      <w:sz w:val="28"/>
      <w:szCs w:val="28"/>
      <w:lang w:eastAsia="cs-CZ"/>
    </w:rPr>
  </w:style>
  <w:style w:type="character" w:customStyle="1" w:styleId="Nadpis2Char">
    <w:name w:val="Nadpis 2 Char"/>
    <w:aliases w:val="nadpis III Char"/>
    <w:basedOn w:val="Standardnpsmoodstavce"/>
    <w:link w:val="Nadpis2"/>
    <w:uiPriority w:val="9"/>
    <w:rsid w:val="008A5816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8A5816"/>
    <w:rPr>
      <w:rFonts w:ascii="Cambria" w:eastAsia="Times New Roman" w:hAnsi="Cambria" w:cs="Times New Roman"/>
      <w:b/>
      <w:bCs/>
      <w:color w:val="4F81BD"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8A5816"/>
    <w:rPr>
      <w:rFonts w:ascii="Cambria" w:eastAsia="Times New Roman" w:hAnsi="Cambria" w:cs="Times New Roman"/>
      <w:b/>
      <w:bCs/>
      <w:i/>
      <w:iCs/>
      <w:color w:val="4F81BD"/>
      <w:sz w:val="20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8A5816"/>
    <w:rPr>
      <w:rFonts w:ascii="Cambria" w:eastAsia="Times New Roman" w:hAnsi="Cambria" w:cs="Times New Roman"/>
      <w:color w:val="243F60"/>
      <w:sz w:val="2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A5816"/>
    <w:rPr>
      <w:rFonts w:ascii="Cambria" w:eastAsia="Times New Roman" w:hAnsi="Cambria" w:cs="Times New Roman"/>
      <w:i/>
      <w:iCs/>
      <w:color w:val="243F60"/>
      <w:sz w:val="20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A5816"/>
    <w:rPr>
      <w:rFonts w:ascii="Cambria" w:eastAsia="Times New Roman" w:hAnsi="Cambria" w:cs="Times New Roman"/>
      <w:i/>
      <w:iCs/>
      <w:color w:val="404040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A5816"/>
    <w:rPr>
      <w:rFonts w:ascii="Cambria" w:eastAsia="Times New Roman" w:hAnsi="Cambria" w:cs="Times New Roman"/>
      <w:color w:val="404040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A5816"/>
    <w:rPr>
      <w:rFonts w:ascii="Cambria" w:eastAsia="Times New Roman" w:hAnsi="Cambria" w:cs="Times New Roman"/>
      <w:i/>
      <w:iCs/>
      <w:color w:val="404040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8A5816"/>
  </w:style>
  <w:style w:type="character" w:styleId="Hypertextovodkaz">
    <w:name w:val="Hyperlink"/>
    <w:uiPriority w:val="99"/>
    <w:unhideWhenUsed/>
    <w:rsid w:val="008A5816"/>
    <w:rPr>
      <w:strike w:val="0"/>
      <w:dstrike w:val="0"/>
      <w:color w:val="00559A"/>
      <w:u w:val="none"/>
      <w:effect w:val="none"/>
    </w:rPr>
  </w:style>
  <w:style w:type="paragraph" w:styleId="Normlnweb">
    <w:name w:val="Normal (Web)"/>
    <w:basedOn w:val="Normln"/>
    <w:uiPriority w:val="99"/>
    <w:unhideWhenUsed/>
    <w:rsid w:val="008A5816"/>
    <w:pPr>
      <w:spacing w:after="100" w:afterAutospacing="1"/>
      <w:jc w:val="both"/>
    </w:pPr>
    <w:rPr>
      <w:rFonts w:ascii="Arial" w:eastAsia="Calibri" w:hAnsi="Arial"/>
      <w:sz w:val="22"/>
      <w:szCs w:val="22"/>
    </w:rPr>
  </w:style>
  <w:style w:type="character" w:styleId="Siln">
    <w:name w:val="Strong"/>
    <w:uiPriority w:val="22"/>
    <w:qFormat/>
    <w:rsid w:val="008A5816"/>
    <w:rPr>
      <w:b/>
      <w:bCs/>
    </w:rPr>
  </w:style>
  <w:style w:type="paragraph" w:customStyle="1" w:styleId="CharCharCharCharCharCharCharCharCharCharCharCharCharCharCharCharCharCharCharCharCharCharCharChar">
    <w:name w:val="Char Char Char Char Char Char Char Char Char Char Char Char Char Char Char Char Char Char Char Char Char Char Char Char"/>
    <w:basedOn w:val="Normln"/>
    <w:rsid w:val="008A5816"/>
    <w:pPr>
      <w:spacing w:after="160" w:line="240" w:lineRule="exact"/>
    </w:pPr>
    <w:rPr>
      <w:rFonts w:ascii="Tahoma" w:eastAsia="Calibri" w:hAnsi="Tahoma" w:cs="Tahoma"/>
      <w:sz w:val="20"/>
      <w:szCs w:val="20"/>
      <w:lang w:val="en-US" w:eastAsia="en-US"/>
    </w:rPr>
  </w:style>
  <w:style w:type="paragraph" w:styleId="Odstavecseseznamem">
    <w:name w:val="List Paragraph"/>
    <w:basedOn w:val="Normln"/>
    <w:uiPriority w:val="34"/>
    <w:qFormat/>
    <w:rsid w:val="008A5816"/>
    <w:pPr>
      <w:ind w:left="720"/>
      <w:contextualSpacing/>
    </w:pPr>
    <w:rPr>
      <w:rFonts w:ascii="Arial" w:eastAsia="Calibri" w:hAnsi="Arial"/>
      <w:sz w:val="22"/>
      <w:szCs w:val="22"/>
    </w:rPr>
  </w:style>
  <w:style w:type="character" w:customStyle="1" w:styleId="hps">
    <w:name w:val="hps"/>
    <w:basedOn w:val="Standardnpsmoodstavce"/>
    <w:rsid w:val="008A5816"/>
  </w:style>
  <w:style w:type="table" w:customStyle="1" w:styleId="Mkatabulky1">
    <w:name w:val="Mřížka tabulky1"/>
    <w:basedOn w:val="Normlntabulka"/>
    <w:next w:val="Mkatabulky"/>
    <w:uiPriority w:val="59"/>
    <w:rsid w:val="008A5816"/>
    <w:pPr>
      <w:spacing w:after="0" w:line="240" w:lineRule="auto"/>
    </w:pPr>
    <w:rPr>
      <w:rFonts w:ascii="Cambria" w:eastAsia="Calibri" w:hAnsi="Cambria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">
    <w:name w:val="Text"/>
    <w:basedOn w:val="Normln"/>
    <w:rsid w:val="008A5816"/>
    <w:pPr>
      <w:spacing w:line="360" w:lineRule="auto"/>
      <w:ind w:firstLine="284"/>
      <w:jc w:val="both"/>
    </w:pPr>
    <w:rPr>
      <w:rFonts w:ascii="Arial" w:eastAsia="Calibri" w:hAnsi="Arial"/>
      <w:sz w:val="22"/>
      <w:szCs w:val="20"/>
    </w:rPr>
  </w:style>
  <w:style w:type="paragraph" w:styleId="Bezmezer">
    <w:name w:val="No Spacing"/>
    <w:uiPriority w:val="1"/>
    <w:qFormat/>
    <w:rsid w:val="008A5816"/>
    <w:pPr>
      <w:spacing w:after="0" w:line="240" w:lineRule="auto"/>
    </w:pPr>
    <w:rPr>
      <w:rFonts w:ascii="Cambria" w:eastAsia="Calibri" w:hAnsi="Cambria" w:cs="Times New Roman"/>
      <w:lang w:eastAsia="cs-CZ"/>
    </w:rPr>
  </w:style>
  <w:style w:type="paragraph" w:styleId="Textvysvtlivek">
    <w:name w:val="endnote text"/>
    <w:basedOn w:val="Normln"/>
    <w:link w:val="TextvysvtlivekChar"/>
    <w:uiPriority w:val="99"/>
    <w:unhideWhenUsed/>
    <w:rsid w:val="008A5816"/>
    <w:pPr>
      <w:ind w:firstLine="907"/>
      <w:jc w:val="both"/>
    </w:pPr>
    <w:rPr>
      <w:rFonts w:ascii="Calibri" w:eastAsia="Calibri" w:hAnsi="Calibri"/>
      <w:sz w:val="20"/>
      <w:szCs w:val="20"/>
      <w:lang w:eastAsia="en-US"/>
    </w:rPr>
  </w:style>
  <w:style w:type="character" w:customStyle="1" w:styleId="TextvysvtlivekChar">
    <w:name w:val="Text vysvětlivek Char"/>
    <w:basedOn w:val="Standardnpsmoodstavce"/>
    <w:link w:val="Textvysvtlivek"/>
    <w:uiPriority w:val="99"/>
    <w:rsid w:val="008A5816"/>
    <w:rPr>
      <w:rFonts w:ascii="Calibri" w:eastAsia="Calibri" w:hAnsi="Calibri" w:cs="Times New Roman"/>
      <w:sz w:val="20"/>
      <w:szCs w:val="20"/>
    </w:rPr>
  </w:style>
  <w:style w:type="character" w:styleId="Odkaznavysvtlivky">
    <w:name w:val="endnote reference"/>
    <w:uiPriority w:val="99"/>
    <w:unhideWhenUsed/>
    <w:rsid w:val="008A5816"/>
    <w:rPr>
      <w:vertAlign w:val="superscript"/>
    </w:rPr>
  </w:style>
  <w:style w:type="character" w:customStyle="1" w:styleId="right1">
    <w:name w:val="right1"/>
    <w:rsid w:val="008A5816"/>
    <w:rPr>
      <w:vanish w:val="0"/>
      <w:webHidden w:val="0"/>
      <w:specVanish/>
    </w:rPr>
  </w:style>
  <w:style w:type="paragraph" w:styleId="Podtitul">
    <w:name w:val="Subtitle"/>
    <w:aliases w:val="nadpis 2"/>
    <w:basedOn w:val="Nadpis2"/>
    <w:next w:val="Normln"/>
    <w:link w:val="PodtitulChar"/>
    <w:autoRedefine/>
    <w:uiPriority w:val="11"/>
    <w:qFormat/>
    <w:rsid w:val="008A5816"/>
    <w:pPr>
      <w:keepNext w:val="0"/>
      <w:keepLines w:val="0"/>
      <w:spacing w:before="0"/>
      <w:ind w:firstLine="709"/>
      <w:jc w:val="both"/>
      <w:outlineLvl w:val="9"/>
    </w:pPr>
    <w:rPr>
      <w:b w:val="0"/>
      <w:bCs w:val="0"/>
      <w:iCs/>
      <w:spacing w:val="15"/>
      <w:sz w:val="24"/>
      <w:szCs w:val="24"/>
    </w:rPr>
  </w:style>
  <w:style w:type="character" w:customStyle="1" w:styleId="PodtitulChar">
    <w:name w:val="Podtitul Char"/>
    <w:aliases w:val="nadpis 2 Char"/>
    <w:basedOn w:val="Standardnpsmoodstavce"/>
    <w:link w:val="Podtitul"/>
    <w:uiPriority w:val="11"/>
    <w:rsid w:val="008A5816"/>
    <w:rPr>
      <w:rFonts w:ascii="Arial" w:eastAsia="Times New Roman" w:hAnsi="Arial" w:cs="Times New Roman"/>
      <w:iCs/>
      <w:spacing w:val="15"/>
      <w:sz w:val="24"/>
      <w:szCs w:val="24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8A5816"/>
    <w:pPr>
      <w:outlineLvl w:val="9"/>
    </w:pPr>
  </w:style>
  <w:style w:type="paragraph" w:styleId="Obsah1">
    <w:name w:val="toc 1"/>
    <w:aliases w:val="Obsah 1;Kapitola III"/>
    <w:basedOn w:val="Nadpis1"/>
    <w:next w:val="Normln"/>
    <w:autoRedefine/>
    <w:uiPriority w:val="39"/>
    <w:qFormat/>
    <w:rsid w:val="008A5816"/>
    <w:pPr>
      <w:numPr>
        <w:numId w:val="18"/>
      </w:numPr>
      <w:tabs>
        <w:tab w:val="left" w:pos="440"/>
        <w:tab w:val="right" w:leader="dot" w:pos="9062"/>
      </w:tabs>
      <w:spacing w:before="240"/>
      <w:ind w:left="360"/>
    </w:pPr>
    <w:rPr>
      <w:b w:val="0"/>
      <w:sz w:val="22"/>
    </w:rPr>
  </w:style>
  <w:style w:type="paragraph" w:styleId="Obsah2">
    <w:name w:val="toc 2"/>
    <w:basedOn w:val="Normln"/>
    <w:next w:val="Normln"/>
    <w:autoRedefine/>
    <w:uiPriority w:val="39"/>
    <w:unhideWhenUsed/>
    <w:rsid w:val="008A5816"/>
    <w:pPr>
      <w:spacing w:after="100" w:line="276" w:lineRule="auto"/>
      <w:ind w:left="220"/>
    </w:pPr>
    <w:rPr>
      <w:rFonts w:ascii="Calibri" w:hAnsi="Calibri"/>
      <w:sz w:val="22"/>
      <w:szCs w:val="22"/>
    </w:rPr>
  </w:style>
  <w:style w:type="paragraph" w:styleId="Obsah3">
    <w:name w:val="toc 3"/>
    <w:basedOn w:val="Normln"/>
    <w:next w:val="Normln"/>
    <w:autoRedefine/>
    <w:uiPriority w:val="39"/>
    <w:unhideWhenUsed/>
    <w:rsid w:val="008A5816"/>
    <w:pPr>
      <w:spacing w:after="100" w:line="276" w:lineRule="auto"/>
      <w:ind w:left="440"/>
    </w:pPr>
    <w:rPr>
      <w:rFonts w:ascii="Calibri" w:hAnsi="Calibri"/>
      <w:sz w:val="22"/>
      <w:szCs w:val="22"/>
    </w:rPr>
  </w:style>
  <w:style w:type="paragraph" w:styleId="Textpoznpodarou">
    <w:name w:val="footnote text"/>
    <w:basedOn w:val="Normln"/>
    <w:link w:val="TextpoznpodarouChar"/>
    <w:rsid w:val="008A5816"/>
    <w:rPr>
      <w:rFonts w:ascii="Arial" w:eastAsia="Calibri" w:hAnsi="Arial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8A5816"/>
    <w:rPr>
      <w:rFonts w:ascii="Arial" w:eastAsia="Calibri" w:hAnsi="Arial" w:cs="Times New Roman"/>
      <w:sz w:val="20"/>
      <w:szCs w:val="20"/>
      <w:lang w:eastAsia="cs-CZ"/>
    </w:rPr>
  </w:style>
  <w:style w:type="character" w:styleId="Znakapoznpodarou">
    <w:name w:val="footnote reference"/>
    <w:rsid w:val="008A5816"/>
    <w:rPr>
      <w:vertAlign w:val="superscript"/>
    </w:rPr>
  </w:style>
  <w:style w:type="character" w:styleId="Odkaznakoment">
    <w:name w:val="annotation reference"/>
    <w:rsid w:val="008A5816"/>
    <w:rPr>
      <w:sz w:val="16"/>
      <w:szCs w:val="16"/>
    </w:rPr>
  </w:style>
  <w:style w:type="paragraph" w:styleId="Textkomente">
    <w:name w:val="annotation text"/>
    <w:basedOn w:val="Normln"/>
    <w:link w:val="TextkomenteChar"/>
    <w:rsid w:val="008A5816"/>
    <w:rPr>
      <w:rFonts w:ascii="Arial" w:eastAsia="Calibri" w:hAnsi="Arial"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8A5816"/>
    <w:rPr>
      <w:rFonts w:ascii="Arial" w:eastAsia="Calibri" w:hAnsi="Arial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A5816"/>
    <w:rPr>
      <w:rFonts w:ascii="Cambria" w:hAnsi="Cambria"/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8A5816"/>
    <w:rPr>
      <w:rFonts w:ascii="Cambria" w:eastAsia="Calibri" w:hAnsi="Cambria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8A5816"/>
    <w:pPr>
      <w:spacing w:after="0" w:line="240" w:lineRule="auto"/>
    </w:pPr>
    <w:rPr>
      <w:rFonts w:ascii="Cambria" w:eastAsia="Calibri" w:hAnsi="Cambria" w:cs="Times New Roman"/>
      <w:sz w:val="24"/>
      <w:szCs w:val="24"/>
      <w:lang w:eastAsia="cs-CZ"/>
    </w:rPr>
  </w:style>
  <w:style w:type="character" w:styleId="Zdraznnintenzivn">
    <w:name w:val="Intense Emphasis"/>
    <w:uiPriority w:val="21"/>
    <w:qFormat/>
    <w:rsid w:val="008A5816"/>
    <w:rPr>
      <w:b/>
      <w:bCs/>
      <w:i/>
      <w:iCs/>
      <w:color w:val="4F81BD"/>
    </w:rPr>
  </w:style>
  <w:style w:type="character" w:styleId="Zvraznn">
    <w:name w:val="Emphasis"/>
    <w:aliases w:val="nadpis 3"/>
    <w:qFormat/>
    <w:rsid w:val="008A5816"/>
    <w:rPr>
      <w:rFonts w:ascii="Arial" w:eastAsia="Times New Roman" w:hAnsi="Arial" w:cs="Times New Roman"/>
      <w:b w:val="0"/>
      <w:bCs/>
      <w:i w:val="0"/>
      <w:iCs/>
      <w:color w:val="auto"/>
      <w:sz w:val="22"/>
      <w:szCs w:val="24"/>
    </w:rPr>
  </w:style>
  <w:style w:type="paragraph" w:customStyle="1" w:styleId="perex">
    <w:name w:val="perex"/>
    <w:basedOn w:val="Normln"/>
    <w:rsid w:val="008A5816"/>
    <w:pPr>
      <w:spacing w:before="100" w:beforeAutospacing="1" w:after="100" w:afterAutospacing="1"/>
    </w:pPr>
    <w:rPr>
      <w:rFonts w:ascii="Arial" w:eastAsia="Calibri" w:hAnsi="Arial"/>
      <w:sz w:val="22"/>
      <w:szCs w:val="22"/>
    </w:rPr>
  </w:style>
  <w:style w:type="paragraph" w:styleId="Zkladntext2">
    <w:name w:val="Body Text 2"/>
    <w:basedOn w:val="Normln"/>
    <w:link w:val="Zkladntext2Char"/>
    <w:rsid w:val="008A5816"/>
    <w:pPr>
      <w:spacing w:before="120"/>
      <w:jc w:val="both"/>
    </w:pPr>
    <w:rPr>
      <w:rFonts w:ascii="Cambria" w:eastAsia="Calibri" w:hAnsi="Cambria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8A5816"/>
    <w:rPr>
      <w:rFonts w:ascii="Cambria" w:eastAsia="Calibri" w:hAnsi="Cambria" w:cs="Times New Roman"/>
      <w:sz w:val="24"/>
      <w:szCs w:val="20"/>
      <w:lang w:eastAsia="cs-CZ"/>
    </w:rPr>
  </w:style>
  <w:style w:type="paragraph" w:customStyle="1" w:styleId="Default">
    <w:name w:val="Default"/>
    <w:rsid w:val="008A5816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Char1CharCharCharCharCharCharCharCharCharCharCharCharCharCharCharCharCharChar">
    <w:name w:val="Char1 Char Char Char Char Char Char Char Char Char Char Char Char Char Char Char Char Char Char"/>
    <w:basedOn w:val="Normln"/>
    <w:rsid w:val="008A5816"/>
    <w:pPr>
      <w:spacing w:after="160" w:line="240" w:lineRule="exact"/>
    </w:pPr>
    <w:rPr>
      <w:rFonts w:ascii="Tahoma" w:eastAsia="Calibri" w:hAnsi="Tahoma"/>
      <w:sz w:val="20"/>
      <w:szCs w:val="20"/>
      <w:lang w:val="en-US" w:eastAsia="en-US"/>
    </w:rPr>
  </w:style>
  <w:style w:type="paragraph" w:styleId="Zkladntext">
    <w:name w:val="Body Text"/>
    <w:basedOn w:val="Normln"/>
    <w:link w:val="ZkladntextChar"/>
    <w:unhideWhenUsed/>
    <w:rsid w:val="008A5816"/>
    <w:pPr>
      <w:spacing w:after="120"/>
    </w:pPr>
    <w:rPr>
      <w:rFonts w:ascii="Cambria" w:eastAsia="Calibri" w:hAnsi="Cambria"/>
    </w:rPr>
  </w:style>
  <w:style w:type="character" w:customStyle="1" w:styleId="ZkladntextChar">
    <w:name w:val="Základní text Char"/>
    <w:basedOn w:val="Standardnpsmoodstavce"/>
    <w:link w:val="Zkladntext"/>
    <w:rsid w:val="008A5816"/>
    <w:rPr>
      <w:rFonts w:ascii="Cambria" w:eastAsia="Calibri" w:hAnsi="Cambria" w:cs="Times New Roman"/>
      <w:sz w:val="24"/>
      <w:szCs w:val="24"/>
      <w:lang w:eastAsia="cs-CZ"/>
    </w:rPr>
  </w:style>
  <w:style w:type="paragraph" w:customStyle="1" w:styleId="Char4CharCharCharCharCharCharCharCharCharCharCharCharCharCharCharCharCharCharCharCharCharChar">
    <w:name w:val="Char4 Char Char Char Char Char Char Char Char Char Char Char Char Char Char Char Char Char Char Char Char Char Char"/>
    <w:basedOn w:val="Normln"/>
    <w:rsid w:val="008A5816"/>
    <w:pPr>
      <w:spacing w:after="160" w:line="240" w:lineRule="exact"/>
    </w:pPr>
    <w:rPr>
      <w:rFonts w:ascii="Times New Roman Bold" w:eastAsia="Calibri" w:hAnsi="Times New Roman Bold"/>
      <w:sz w:val="22"/>
      <w:szCs w:val="26"/>
      <w:lang w:val="sk-SK" w:eastAsia="en-US"/>
    </w:rPr>
  </w:style>
  <w:style w:type="paragraph" w:customStyle="1" w:styleId="CharCharCharCharChar">
    <w:name w:val="Char Char Char Char Char"/>
    <w:basedOn w:val="Normln"/>
    <w:rsid w:val="008A5816"/>
    <w:pPr>
      <w:spacing w:after="160" w:line="240" w:lineRule="exact"/>
    </w:pPr>
    <w:rPr>
      <w:rFonts w:ascii="Tahoma" w:eastAsia="Calibri" w:hAnsi="Tahoma"/>
      <w:sz w:val="20"/>
      <w:szCs w:val="20"/>
      <w:lang w:val="en-US" w:eastAsia="en-US"/>
    </w:rPr>
  </w:style>
  <w:style w:type="character" w:styleId="Nzevknihy">
    <w:name w:val="Book Title"/>
    <w:uiPriority w:val="33"/>
    <w:qFormat/>
    <w:rsid w:val="008A5816"/>
    <w:rPr>
      <w:b/>
      <w:bCs/>
      <w:smallCaps/>
      <w:spacing w:val="5"/>
    </w:rPr>
  </w:style>
  <w:style w:type="table" w:customStyle="1" w:styleId="Mkatabulky2">
    <w:name w:val="Mřížka tabulky2"/>
    <w:basedOn w:val="Normlntabulka"/>
    <w:next w:val="Mkatabulky"/>
    <w:uiPriority w:val="59"/>
    <w:rsid w:val="00476E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chart" Target="charts/chart4.xml"/><Relationship Id="rId26" Type="http://schemas.openxmlformats.org/officeDocument/2006/relationships/chart" Target="charts/chart12.xml"/><Relationship Id="rId39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chart" Target="charts/chart7.xml"/><Relationship Id="rId34" Type="http://schemas.openxmlformats.org/officeDocument/2006/relationships/chart" Target="charts/chart20.xml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chart" Target="charts/chart11.xml"/><Relationship Id="rId33" Type="http://schemas.openxmlformats.org/officeDocument/2006/relationships/chart" Target="charts/chart19.xml"/><Relationship Id="rId38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chart" Target="charts/chart6.xml"/><Relationship Id="rId29" Type="http://schemas.openxmlformats.org/officeDocument/2006/relationships/chart" Target="charts/chart15.xml"/><Relationship Id="rId41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3.xml"/><Relationship Id="rId24" Type="http://schemas.openxmlformats.org/officeDocument/2006/relationships/chart" Target="charts/chart10.xml"/><Relationship Id="rId32" Type="http://schemas.openxmlformats.org/officeDocument/2006/relationships/chart" Target="charts/chart18.xml"/><Relationship Id="rId37" Type="http://schemas.openxmlformats.org/officeDocument/2006/relationships/header" Target="header5.xml"/><Relationship Id="rId40" Type="http://schemas.openxmlformats.org/officeDocument/2006/relationships/header" Target="header6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chart" Target="charts/chart9.xml"/><Relationship Id="rId28" Type="http://schemas.openxmlformats.org/officeDocument/2006/relationships/chart" Target="charts/chart14.xml"/><Relationship Id="rId36" Type="http://schemas.openxmlformats.org/officeDocument/2006/relationships/header" Target="header4.xml"/><Relationship Id="rId10" Type="http://schemas.openxmlformats.org/officeDocument/2006/relationships/chart" Target="charts/chart2.xml"/><Relationship Id="rId19" Type="http://schemas.openxmlformats.org/officeDocument/2006/relationships/chart" Target="charts/chart5.xml"/><Relationship Id="rId31" Type="http://schemas.openxmlformats.org/officeDocument/2006/relationships/chart" Target="charts/chart17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footer" Target="footer1.xml"/><Relationship Id="rId22" Type="http://schemas.openxmlformats.org/officeDocument/2006/relationships/chart" Target="charts/chart8.xml"/><Relationship Id="rId27" Type="http://schemas.openxmlformats.org/officeDocument/2006/relationships/chart" Target="charts/chart13.xml"/><Relationship Id="rId30" Type="http://schemas.openxmlformats.org/officeDocument/2006/relationships/chart" Target="charts/chart16.xml"/><Relationship Id="rId35" Type="http://schemas.openxmlformats.org/officeDocument/2006/relationships/chart" Target="charts/chart21.xml"/><Relationship Id="rId43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Graf%20v%20aplikaci%20Microsoft%20Word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3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4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5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Microsoft_Excel_Worksheet6.xlsx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2.xml"/><Relationship Id="rId2" Type="http://schemas.openxmlformats.org/officeDocument/2006/relationships/oleObject" Target="../embeddings/oleObject1.bin"/><Relationship Id="rId1" Type="http://schemas.openxmlformats.org/officeDocument/2006/relationships/themeOverride" Target="../theme/themeOverrid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3.xml"/><Relationship Id="rId2" Type="http://schemas.openxmlformats.org/officeDocument/2006/relationships/package" Target="../embeddings/Microsoft_Excel_Worksheet7.xlsx"/><Relationship Id="rId1" Type="http://schemas.openxmlformats.org/officeDocument/2006/relationships/themeOverride" Target="../theme/themeOverrid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4.xml"/><Relationship Id="rId2" Type="http://schemas.openxmlformats.org/officeDocument/2006/relationships/package" Target="../embeddings/Microsoft_Excel_Worksheet8.xlsx"/><Relationship Id="rId1" Type="http://schemas.openxmlformats.org/officeDocument/2006/relationships/themeOverride" Target="../theme/themeOverrid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5.xml"/><Relationship Id="rId2" Type="http://schemas.openxmlformats.org/officeDocument/2006/relationships/package" Target="../embeddings/Microsoft_Excel_Worksheet9.xlsx"/><Relationship Id="rId1" Type="http://schemas.openxmlformats.org/officeDocument/2006/relationships/themeOverride" Target="../theme/themeOverrid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6.xml"/><Relationship Id="rId2" Type="http://schemas.openxmlformats.org/officeDocument/2006/relationships/package" Target="../embeddings/Microsoft_Excel_Worksheet10.xlsx"/><Relationship Id="rId1" Type="http://schemas.openxmlformats.org/officeDocument/2006/relationships/themeOverride" Target="../theme/themeOverride12.xm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1.xlsx"/><Relationship Id="rId1" Type="http://schemas.openxmlformats.org/officeDocument/2006/relationships/themeOverride" Target="../theme/themeOverride13.xml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2.xlsx"/><Relationship Id="rId1" Type="http://schemas.openxmlformats.org/officeDocument/2006/relationships/themeOverride" Target="../theme/themeOverride14.xml"/></Relationships>
</file>

<file path=word/charts/_rels/chart1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3.xlsx"/><Relationship Id="rId1" Type="http://schemas.openxmlformats.org/officeDocument/2006/relationships/themeOverride" Target="../theme/themeOverride15.xml"/></Relationships>
</file>

<file path=word/charts/_rels/chart1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4.xlsx"/><Relationship Id="rId1" Type="http://schemas.openxmlformats.org/officeDocument/2006/relationships/themeOverride" Target="../theme/themeOverride16.xml"/></Relationships>
</file>

<file path=word/charts/_rels/chart1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5.xlsx"/><Relationship Id="rId1" Type="http://schemas.openxmlformats.org/officeDocument/2006/relationships/themeOverride" Target="../theme/themeOverride17.xml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6.xlsx"/><Relationship Id="rId1" Type="http://schemas.openxmlformats.org/officeDocument/2006/relationships/themeOverride" Target="../theme/themeOverride18.xm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7.xlsx"/><Relationship Id="rId1" Type="http://schemas.openxmlformats.org/officeDocument/2006/relationships/themeOverride" Target="../theme/themeOverride19.xml"/></Relationships>
</file>

<file path=word/charts/_rels/chart2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8.xlsx"/><Relationship Id="rId1" Type="http://schemas.openxmlformats.org/officeDocument/2006/relationships/themeOverride" Target="../theme/themeOverride20.xml"/></Relationships>
</file>

<file path=word/charts/_rels/chart2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9.xlsx"/><Relationship Id="rId1" Type="http://schemas.openxmlformats.org/officeDocument/2006/relationships/themeOverride" Target="../theme/themeOverride2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'[Graf v aplikaci Microsoft Word]MZe SR VV'!$B$74</c:f>
              <c:strCache>
                <c:ptCount val="1"/>
                <c:pt idx="0">
                  <c:v>Celkem Mze</c:v>
                </c:pt>
              </c:strCache>
            </c:strRef>
          </c:tx>
          <c:invertIfNegative val="0"/>
          <c:cat>
            <c:numRef>
              <c:f>'[Graf v aplikaci Microsoft Word]MZe SR VV'!$C$73:$M$73</c:f>
              <c:numCache>
                <c:formatCode>General</c:formatCode>
                <c:ptCount val="11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  <c:pt idx="7">
                  <c:v>2012</c:v>
                </c:pt>
                <c:pt idx="8">
                  <c:v>2013</c:v>
                </c:pt>
                <c:pt idx="9">
                  <c:v>2014</c:v>
                </c:pt>
                <c:pt idx="10">
                  <c:v>2015</c:v>
                </c:pt>
              </c:numCache>
            </c:numRef>
          </c:cat>
          <c:val>
            <c:numRef>
              <c:f>'[Graf v aplikaci Microsoft Word]MZe SR VV'!$C$74:$M$74</c:f>
              <c:numCache>
                <c:formatCode>General</c:formatCode>
                <c:ptCount val="11"/>
                <c:pt idx="0">
                  <c:v>727228.96</c:v>
                </c:pt>
                <c:pt idx="1">
                  <c:v>767244.3</c:v>
                </c:pt>
                <c:pt idx="2">
                  <c:v>826837.95</c:v>
                </c:pt>
                <c:pt idx="3">
                  <c:v>840853.61</c:v>
                </c:pt>
                <c:pt idx="4">
                  <c:v>912425.25</c:v>
                </c:pt>
                <c:pt idx="5">
                  <c:v>832141.73</c:v>
                </c:pt>
                <c:pt idx="6">
                  <c:v>807550.67999999993</c:v>
                </c:pt>
                <c:pt idx="7">
                  <c:v>719724.51</c:v>
                </c:pt>
                <c:pt idx="8">
                  <c:v>763570</c:v>
                </c:pt>
                <c:pt idx="9">
                  <c:v>774204</c:v>
                </c:pt>
                <c:pt idx="10">
                  <c:v>819652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03656448"/>
        <c:axId val="103674624"/>
      </c:barChart>
      <c:catAx>
        <c:axId val="1036564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03674624"/>
        <c:crosses val="autoZero"/>
        <c:auto val="1"/>
        <c:lblAlgn val="ctr"/>
        <c:lblOffset val="100"/>
        <c:noMultiLvlLbl val="0"/>
      </c:catAx>
      <c:valAx>
        <c:axId val="10367462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03656448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8.379996424595533E-2"/>
          <c:y val="4.6770924467774859E-2"/>
          <c:w val="0.88524855902292865"/>
          <c:h val="0.8326195683872849"/>
        </c:manualLayout>
      </c:layout>
      <c:lineChart>
        <c:grouping val="stacked"/>
        <c:varyColors val="0"/>
        <c:ser>
          <c:idx val="0"/>
          <c:order val="0"/>
          <c:tx>
            <c:strRef>
              <c:f>'MZe SR VV'!$W$25:$AA$25</c:f>
              <c:strCache>
                <c:ptCount val="1"/>
                <c:pt idx="0">
                  <c:v>% podíl MZe na celkových výdajích na VaVaI ze SR</c:v>
                </c:pt>
              </c:strCache>
            </c:strRef>
          </c:tx>
          <c:cat>
            <c:numRef>
              <c:f>'MZe SR VV'!$AB$24:$AH$24</c:f>
              <c:numCache>
                <c:formatCode>General</c:formatCode>
                <c:ptCount val="7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</c:numCache>
            </c:numRef>
          </c:cat>
          <c:val>
            <c:numRef>
              <c:f>'MZe SR VV'!$AB$25:$AH$25</c:f>
              <c:numCache>
                <c:formatCode>0.00</c:formatCode>
                <c:ptCount val="7"/>
                <c:pt idx="0">
                  <c:v>3.9661757254550394</c:v>
                </c:pt>
                <c:pt idx="1">
                  <c:v>3.6816968041745368</c:v>
                </c:pt>
                <c:pt idx="2">
                  <c:v>3.1327055963236421</c:v>
                </c:pt>
                <c:pt idx="3">
                  <c:v>2.7519237761197095</c:v>
                </c:pt>
                <c:pt idx="4">
                  <c:v>2.859262471696931</c:v>
                </c:pt>
                <c:pt idx="5">
                  <c:v>2.9066833082574561</c:v>
                </c:pt>
                <c:pt idx="6">
                  <c:v>3.046424678314354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3813120"/>
        <c:axId val="103814656"/>
      </c:lineChart>
      <c:catAx>
        <c:axId val="1038131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03814656"/>
        <c:crosses val="autoZero"/>
        <c:auto val="1"/>
        <c:lblAlgn val="ctr"/>
        <c:lblOffset val="100"/>
        <c:noMultiLvlLbl val="0"/>
      </c:catAx>
      <c:valAx>
        <c:axId val="103814656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103813120"/>
        <c:crosses val="autoZero"/>
        <c:crossBetween val="between"/>
      </c:valAx>
    </c:plotArea>
    <c:plotVisOnly val="1"/>
    <c:dispBlanksAs val="zero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'MZe SR VV'!$B$44</c:f>
              <c:strCache>
                <c:ptCount val="1"/>
                <c:pt idx="0">
                  <c:v>Institucionální</c:v>
                </c:pt>
              </c:strCache>
            </c:strRef>
          </c:tx>
          <c:invertIfNegative val="0"/>
          <c:cat>
            <c:numRef>
              <c:f>'MZe SR VV'!$C$43:$M$43</c:f>
              <c:numCache>
                <c:formatCode>General</c:formatCode>
                <c:ptCount val="11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  <c:pt idx="7">
                  <c:v>2012</c:v>
                </c:pt>
                <c:pt idx="8">
                  <c:v>2013</c:v>
                </c:pt>
                <c:pt idx="9">
                  <c:v>2014</c:v>
                </c:pt>
                <c:pt idx="10">
                  <c:v>2015</c:v>
                </c:pt>
              </c:numCache>
            </c:numRef>
          </c:cat>
          <c:val>
            <c:numRef>
              <c:f>'MZe SR VV'!$C$44:$M$44</c:f>
              <c:numCache>
                <c:formatCode>General</c:formatCode>
                <c:ptCount val="11"/>
                <c:pt idx="0">
                  <c:v>414832.87</c:v>
                </c:pt>
                <c:pt idx="1">
                  <c:v>449802</c:v>
                </c:pt>
                <c:pt idx="2">
                  <c:v>476959</c:v>
                </c:pt>
                <c:pt idx="3">
                  <c:v>477112</c:v>
                </c:pt>
                <c:pt idx="4">
                  <c:v>478610</c:v>
                </c:pt>
                <c:pt idx="5">
                  <c:v>413787.89</c:v>
                </c:pt>
                <c:pt idx="6">
                  <c:v>405954.58</c:v>
                </c:pt>
                <c:pt idx="7">
                  <c:v>320515.51</c:v>
                </c:pt>
                <c:pt idx="8">
                  <c:v>374921</c:v>
                </c:pt>
                <c:pt idx="9">
                  <c:v>395652</c:v>
                </c:pt>
                <c:pt idx="10">
                  <c:v>395652</c:v>
                </c:pt>
              </c:numCache>
            </c:numRef>
          </c:val>
        </c:ser>
        <c:ser>
          <c:idx val="1"/>
          <c:order val="1"/>
          <c:tx>
            <c:strRef>
              <c:f>'MZe SR VV'!$B$45</c:f>
              <c:strCache>
                <c:ptCount val="1"/>
                <c:pt idx="0">
                  <c:v>Účelové</c:v>
                </c:pt>
              </c:strCache>
            </c:strRef>
          </c:tx>
          <c:invertIfNegative val="0"/>
          <c:cat>
            <c:numRef>
              <c:f>'MZe SR VV'!$C$43:$M$43</c:f>
              <c:numCache>
                <c:formatCode>General</c:formatCode>
                <c:ptCount val="11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  <c:pt idx="7">
                  <c:v>2012</c:v>
                </c:pt>
                <c:pt idx="8">
                  <c:v>2013</c:v>
                </c:pt>
                <c:pt idx="9">
                  <c:v>2014</c:v>
                </c:pt>
                <c:pt idx="10">
                  <c:v>2015</c:v>
                </c:pt>
              </c:numCache>
            </c:numRef>
          </c:cat>
          <c:val>
            <c:numRef>
              <c:f>'MZe SR VV'!$C$45:$M$45</c:f>
              <c:numCache>
                <c:formatCode>General</c:formatCode>
                <c:ptCount val="11"/>
                <c:pt idx="0">
                  <c:v>312396.09000000003</c:v>
                </c:pt>
                <c:pt idx="1">
                  <c:v>317442.3</c:v>
                </c:pt>
                <c:pt idx="2">
                  <c:v>349878.95</c:v>
                </c:pt>
                <c:pt idx="3">
                  <c:v>363741.61</c:v>
                </c:pt>
                <c:pt idx="4">
                  <c:v>433815.25</c:v>
                </c:pt>
                <c:pt idx="5">
                  <c:v>418353.84</c:v>
                </c:pt>
                <c:pt idx="6">
                  <c:v>401596.1</c:v>
                </c:pt>
                <c:pt idx="7">
                  <c:v>399209</c:v>
                </c:pt>
                <c:pt idx="8">
                  <c:v>388649</c:v>
                </c:pt>
                <c:pt idx="9">
                  <c:v>378552</c:v>
                </c:pt>
                <c:pt idx="10">
                  <c:v>424000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04281600"/>
        <c:axId val="104283136"/>
      </c:barChart>
      <c:catAx>
        <c:axId val="1042816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04283136"/>
        <c:crosses val="autoZero"/>
        <c:auto val="1"/>
        <c:lblAlgn val="ctr"/>
        <c:lblOffset val="100"/>
        <c:noMultiLvlLbl val="0"/>
      </c:catAx>
      <c:valAx>
        <c:axId val="1042831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04281600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List1!$A$17</c:f>
              <c:strCache>
                <c:ptCount val="1"/>
                <c:pt idx="0">
                  <c:v>VVI</c:v>
                </c:pt>
              </c:strCache>
            </c:strRef>
          </c:tx>
          <c:invertIfNegative val="0"/>
          <c:cat>
            <c:strRef>
              <c:f>List1!$B$16:$E$16</c:f>
              <c:strCache>
                <c:ptCount val="4"/>
                <c:pt idx="0">
                  <c:v>QG (2005-2009)</c:v>
                </c:pt>
                <c:pt idx="1">
                  <c:v>QH (2007-2012)</c:v>
                </c:pt>
                <c:pt idx="2">
                  <c:v>QI (2009-2014) </c:v>
                </c:pt>
                <c:pt idx="3">
                  <c:v>QJ (2012-2018)</c:v>
                </c:pt>
              </c:strCache>
            </c:strRef>
          </c:cat>
          <c:val>
            <c:numRef>
              <c:f>List1!$B$17:$E$17</c:f>
              <c:numCache>
                <c:formatCode>General</c:formatCode>
                <c:ptCount val="4"/>
                <c:pt idx="0">
                  <c:v>42.11</c:v>
                </c:pt>
                <c:pt idx="1">
                  <c:v>46.34</c:v>
                </c:pt>
                <c:pt idx="2">
                  <c:v>48.15</c:v>
                </c:pt>
                <c:pt idx="3">
                  <c:v>55.56</c:v>
                </c:pt>
              </c:numCache>
            </c:numRef>
          </c:val>
        </c:ser>
        <c:ser>
          <c:idx val="1"/>
          <c:order val="1"/>
          <c:tx>
            <c:strRef>
              <c:f>List1!$A$18</c:f>
              <c:strCache>
                <c:ptCount val="1"/>
                <c:pt idx="0">
                  <c:v>VVS</c:v>
                </c:pt>
              </c:strCache>
            </c:strRef>
          </c:tx>
          <c:invertIfNegative val="0"/>
          <c:cat>
            <c:strRef>
              <c:f>List1!$B$16:$E$16</c:f>
              <c:strCache>
                <c:ptCount val="4"/>
                <c:pt idx="0">
                  <c:v>QG (2005-2009)</c:v>
                </c:pt>
                <c:pt idx="1">
                  <c:v>QH (2007-2012)</c:v>
                </c:pt>
                <c:pt idx="2">
                  <c:v>QI (2009-2014) </c:v>
                </c:pt>
                <c:pt idx="3">
                  <c:v>QJ (2012-2018)</c:v>
                </c:pt>
              </c:strCache>
            </c:strRef>
          </c:cat>
          <c:val>
            <c:numRef>
              <c:f>List1!$B$18:$E$18</c:f>
              <c:numCache>
                <c:formatCode>General</c:formatCode>
                <c:ptCount val="4"/>
                <c:pt idx="0">
                  <c:v>39.47</c:v>
                </c:pt>
                <c:pt idx="1">
                  <c:v>35.119999999999997</c:v>
                </c:pt>
                <c:pt idx="2">
                  <c:v>32.1</c:v>
                </c:pt>
                <c:pt idx="3">
                  <c:v>33.33</c:v>
                </c:pt>
              </c:numCache>
            </c:numRef>
          </c:val>
        </c:ser>
        <c:ser>
          <c:idx val="2"/>
          <c:order val="2"/>
          <c:tx>
            <c:strRef>
              <c:f>List1!$A$19</c:f>
              <c:strCache>
                <c:ptCount val="1"/>
                <c:pt idx="0">
                  <c:v>SPO</c:v>
                </c:pt>
              </c:strCache>
            </c:strRef>
          </c:tx>
          <c:invertIfNegative val="0"/>
          <c:cat>
            <c:strRef>
              <c:f>List1!$B$16:$E$16</c:f>
              <c:strCache>
                <c:ptCount val="4"/>
                <c:pt idx="0">
                  <c:v>QG (2005-2009)</c:v>
                </c:pt>
                <c:pt idx="1">
                  <c:v>QH (2007-2012)</c:v>
                </c:pt>
                <c:pt idx="2">
                  <c:v>QI (2009-2014) </c:v>
                </c:pt>
                <c:pt idx="3">
                  <c:v>QJ (2012-2018)</c:v>
                </c:pt>
              </c:strCache>
            </c:strRef>
          </c:cat>
          <c:val>
            <c:numRef>
              <c:f>List1!$B$19:$E$19</c:f>
              <c:numCache>
                <c:formatCode>General</c:formatCode>
                <c:ptCount val="4"/>
                <c:pt idx="0">
                  <c:v>15.79</c:v>
                </c:pt>
                <c:pt idx="1">
                  <c:v>17.07</c:v>
                </c:pt>
                <c:pt idx="2">
                  <c:v>18.52</c:v>
                </c:pt>
                <c:pt idx="3">
                  <c:v>11.11</c:v>
                </c:pt>
              </c:numCache>
            </c:numRef>
          </c:val>
        </c:ser>
        <c:ser>
          <c:idx val="3"/>
          <c:order val="3"/>
          <c:tx>
            <c:strRef>
              <c:f>List1!$A$20</c:f>
              <c:strCache>
                <c:ptCount val="1"/>
                <c:pt idx="0">
                  <c:v>ostatní</c:v>
                </c:pt>
              </c:strCache>
            </c:strRef>
          </c:tx>
          <c:invertIfNegative val="0"/>
          <c:cat>
            <c:strRef>
              <c:f>List1!$B$16:$E$16</c:f>
              <c:strCache>
                <c:ptCount val="4"/>
                <c:pt idx="0">
                  <c:v>QG (2005-2009)</c:v>
                </c:pt>
                <c:pt idx="1">
                  <c:v>QH (2007-2012)</c:v>
                </c:pt>
                <c:pt idx="2">
                  <c:v>QI (2009-2014) </c:v>
                </c:pt>
                <c:pt idx="3">
                  <c:v>QJ (2012-2018)</c:v>
                </c:pt>
              </c:strCache>
            </c:strRef>
          </c:cat>
          <c:val>
            <c:numRef>
              <c:f>List1!$B$20:$E$20</c:f>
              <c:numCache>
                <c:formatCode>General</c:formatCode>
                <c:ptCount val="4"/>
                <c:pt idx="0">
                  <c:v>2.63</c:v>
                </c:pt>
                <c:pt idx="1">
                  <c:v>1.46</c:v>
                </c:pt>
                <c:pt idx="2">
                  <c:v>1.23</c:v>
                </c:pt>
                <c:pt idx="3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04469632"/>
        <c:axId val="104471168"/>
      </c:barChart>
      <c:catAx>
        <c:axId val="10446963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baseline="0"/>
            </a:pPr>
            <a:endParaRPr lang="cs-CZ"/>
          </a:p>
        </c:txPr>
        <c:crossAx val="104471168"/>
        <c:crosses val="autoZero"/>
        <c:auto val="1"/>
        <c:lblAlgn val="ctr"/>
        <c:lblOffset val="100"/>
        <c:noMultiLvlLbl val="0"/>
      </c:catAx>
      <c:valAx>
        <c:axId val="104471168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0446963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'podíl MZ'!$M$89</c:f>
              <c:strCache>
                <c:ptCount val="1"/>
                <c:pt idx="0">
                  <c:v>% podíl MZe na aplikovaných výsledcích v zemědělství</c:v>
                </c:pt>
              </c:strCache>
            </c:strRef>
          </c:tx>
          <c:invertIfNegative val="0"/>
          <c:cat>
            <c:strRef>
              <c:f>'podíl MZ'!$N$88:$U$88</c:f>
              <c:strCache>
                <c:ptCount val="8"/>
                <c:pt idx="0">
                  <c:v>společenské vědy</c:v>
                </c:pt>
                <c:pt idx="1">
                  <c:v>fyzika a matematika</c:v>
                </c:pt>
                <c:pt idx="2">
                  <c:v>chemické vědy</c:v>
                </c:pt>
                <c:pt idx="3">
                  <c:v>vědy o zemi</c:v>
                </c:pt>
                <c:pt idx="4">
                  <c:v>biovědy</c:v>
                </c:pt>
                <c:pt idx="5">
                  <c:v>lékařské vědy</c:v>
                </c:pt>
                <c:pt idx="6">
                  <c:v>zemědělské vědy</c:v>
                </c:pt>
                <c:pt idx="7">
                  <c:v>technické vědy</c:v>
                </c:pt>
              </c:strCache>
            </c:strRef>
          </c:cat>
          <c:val>
            <c:numRef>
              <c:f>'podíl MZ'!$N$89:$U$89</c:f>
              <c:numCache>
                <c:formatCode>0.00</c:formatCode>
                <c:ptCount val="8"/>
                <c:pt idx="0">
                  <c:v>1.3536379018612522E-4</c:v>
                </c:pt>
                <c:pt idx="1">
                  <c:v>1.3071895424836601</c:v>
                </c:pt>
                <c:pt idx="2">
                  <c:v>2.9579067121729237</c:v>
                </c:pt>
                <c:pt idx="3">
                  <c:v>6.7167051578137027</c:v>
                </c:pt>
                <c:pt idx="4">
                  <c:v>7.9615048118985126</c:v>
                </c:pt>
                <c:pt idx="5">
                  <c:v>4.2857142857142856</c:v>
                </c:pt>
                <c:pt idx="6">
                  <c:v>49.235181644359464</c:v>
                </c:pt>
                <c:pt idx="7">
                  <c:v>0.60735390676296785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04507648"/>
        <c:axId val="104525824"/>
      </c:barChart>
      <c:catAx>
        <c:axId val="1045076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04525824"/>
        <c:crosses val="autoZero"/>
        <c:auto val="1"/>
        <c:lblAlgn val="ctr"/>
        <c:lblOffset val="100"/>
        <c:noMultiLvlLbl val="0"/>
      </c:catAx>
      <c:valAx>
        <c:axId val="104525824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104507648"/>
        <c:crosses val="autoZero"/>
        <c:crossBetween val="between"/>
      </c:valAx>
    </c:plotArea>
    <c:plotVisOnly val="1"/>
    <c:dispBlanksAs val="zero"/>
    <c:showDLblsOverMax val="0"/>
  </c:chart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'podíl MZ'!$N$74</c:f>
              <c:strCache>
                <c:ptCount val="1"/>
                <c:pt idx="0">
                  <c:v>podíl MZe</c:v>
                </c:pt>
              </c:strCache>
            </c:strRef>
          </c:tx>
          <c:invertIfNegative val="0"/>
          <c:cat>
            <c:strRef>
              <c:f>'podíl MZ'!$M$75:$M$82</c:f>
              <c:strCache>
                <c:ptCount val="8"/>
                <c:pt idx="0">
                  <c:v>společenské vědy</c:v>
                </c:pt>
                <c:pt idx="1">
                  <c:v>fyzika a matematika</c:v>
                </c:pt>
                <c:pt idx="2">
                  <c:v>chemické vědy</c:v>
                </c:pt>
                <c:pt idx="3">
                  <c:v>vědy o zemi</c:v>
                </c:pt>
                <c:pt idx="4">
                  <c:v>biovědy</c:v>
                </c:pt>
                <c:pt idx="5">
                  <c:v>lékařské vědy</c:v>
                </c:pt>
                <c:pt idx="6">
                  <c:v>zemědělské vědy</c:v>
                </c:pt>
                <c:pt idx="7">
                  <c:v>technické vědy</c:v>
                </c:pt>
              </c:strCache>
            </c:strRef>
          </c:cat>
          <c:val>
            <c:numRef>
              <c:f>'podíl MZ'!$N$75:$N$82</c:f>
              <c:numCache>
                <c:formatCode>0.00</c:formatCode>
                <c:ptCount val="8"/>
                <c:pt idx="0">
                  <c:v>0.37114074799135366</c:v>
                </c:pt>
                <c:pt idx="1">
                  <c:v>0.1199040767386091</c:v>
                </c:pt>
                <c:pt idx="2">
                  <c:v>1.1339874537558308</c:v>
                </c:pt>
                <c:pt idx="3">
                  <c:v>4.5246593936956412</c:v>
                </c:pt>
                <c:pt idx="4">
                  <c:v>4.3955705936634875</c:v>
                </c:pt>
                <c:pt idx="5">
                  <c:v>1.022604951560818</c:v>
                </c:pt>
                <c:pt idx="6">
                  <c:v>31.633986928104573</c:v>
                </c:pt>
                <c:pt idx="7">
                  <c:v>0.73937153419593349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04635392"/>
        <c:axId val="104887040"/>
      </c:barChart>
      <c:catAx>
        <c:axId val="10463539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04887040"/>
        <c:crosses val="autoZero"/>
        <c:auto val="1"/>
        <c:lblAlgn val="ctr"/>
        <c:lblOffset val="100"/>
        <c:noMultiLvlLbl val="0"/>
      </c:catAx>
      <c:valAx>
        <c:axId val="104887040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104635392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2392905410584082"/>
          <c:y val="0.17059105871434579"/>
          <c:w val="0.80960170603674542"/>
          <c:h val="0.71684096808340947"/>
        </c:manualLayout>
      </c:layout>
      <c:bubbleChart>
        <c:varyColors val="0"/>
        <c:ser>
          <c:idx val="0"/>
          <c:order val="0"/>
          <c:tx>
            <c:strRef>
              <c:f>'typ podpory (2)'!$F$15</c:f>
              <c:strCache>
                <c:ptCount val="1"/>
                <c:pt idx="0">
                  <c:v>% účel</c:v>
                </c:pt>
              </c:strCache>
            </c:strRef>
          </c:tx>
          <c:spPr>
            <a:ln w="28586">
              <a:noFill/>
            </a:ln>
          </c:spPr>
          <c:invertIfNegative val="0"/>
          <c:dPt>
            <c:idx val="0"/>
            <c:invertIfNegative val="0"/>
            <c:bubble3D val="1"/>
          </c:dPt>
          <c:dPt>
            <c:idx val="1"/>
            <c:invertIfNegative val="0"/>
            <c:bubble3D val="1"/>
          </c:dPt>
          <c:dPt>
            <c:idx val="2"/>
            <c:invertIfNegative val="0"/>
            <c:bubble3D val="1"/>
          </c:dPt>
          <c:dPt>
            <c:idx val="3"/>
            <c:invertIfNegative val="0"/>
            <c:bubble3D val="1"/>
            <c:spPr>
              <a:solidFill>
                <a:srgbClr val="00B050"/>
              </a:solidFill>
              <a:ln w="28586">
                <a:noFill/>
              </a:ln>
            </c:spPr>
          </c:dPt>
          <c:dPt>
            <c:idx val="4"/>
            <c:invertIfNegative val="0"/>
            <c:bubble3D val="1"/>
          </c:dPt>
          <c:dPt>
            <c:idx val="5"/>
            <c:invertIfNegative val="0"/>
            <c:bubble3D val="1"/>
          </c:dPt>
          <c:xVal>
            <c:numRef>
              <c:f>'typ podpory (2)'!$E$16:$E$24</c:f>
              <c:numCache>
                <c:formatCode>0.00</c:formatCode>
                <c:ptCount val="9"/>
                <c:pt idx="0">
                  <c:v>30.152479892761399</c:v>
                </c:pt>
                <c:pt idx="1">
                  <c:v>31.022678647839108</c:v>
                </c:pt>
                <c:pt idx="2">
                  <c:v>17.249555423829282</c:v>
                </c:pt>
                <c:pt idx="3" formatCode="General">
                  <c:v>33.184855233853007</c:v>
                </c:pt>
                <c:pt idx="4">
                  <c:v>31.438127090301005</c:v>
                </c:pt>
                <c:pt idx="5">
                  <c:v>37.588652482269502</c:v>
                </c:pt>
                <c:pt idx="6">
                  <c:v>37.125748502994007</c:v>
                </c:pt>
                <c:pt idx="7">
                  <c:v>39.583333333333329</c:v>
                </c:pt>
                <c:pt idx="8" formatCode="General">
                  <c:v>71.428571428571431</c:v>
                </c:pt>
              </c:numCache>
            </c:numRef>
          </c:xVal>
          <c:yVal>
            <c:numRef>
              <c:f>'typ podpory (2)'!$F$16:$F$24</c:f>
              <c:numCache>
                <c:formatCode>0.00</c:formatCode>
                <c:ptCount val="9"/>
                <c:pt idx="0">
                  <c:v>63.597520107238601</c:v>
                </c:pt>
                <c:pt idx="1">
                  <c:v>63.029525032092423</c:v>
                </c:pt>
                <c:pt idx="2">
                  <c:v>79.96443390634262</c:v>
                </c:pt>
                <c:pt idx="3" formatCode="General">
                  <c:v>60.133630289532292</c:v>
                </c:pt>
                <c:pt idx="4">
                  <c:v>59.531772575250841</c:v>
                </c:pt>
                <c:pt idx="5">
                  <c:v>47.163120567375891</c:v>
                </c:pt>
                <c:pt idx="6">
                  <c:v>56.287425149700596</c:v>
                </c:pt>
                <c:pt idx="7">
                  <c:v>52.083333333333336</c:v>
                </c:pt>
                <c:pt idx="8" formatCode="General">
                  <c:v>14.285714285714285</c:v>
                </c:pt>
              </c:numCache>
            </c:numRef>
          </c:yVal>
          <c:bubbleSize>
            <c:numRef>
              <c:f>'typ podpory (2)'!$H$16:$H$24</c:f>
              <c:numCache>
                <c:formatCode>General</c:formatCode>
                <c:ptCount val="9"/>
                <c:pt idx="0">
                  <c:v>109.2520022699813</c:v>
                </c:pt>
                <c:pt idx="1">
                  <c:v>48.342527861087284</c:v>
                </c:pt>
                <c:pt idx="2">
                  <c:v>41.073105555825698</c:v>
                </c:pt>
                <c:pt idx="3">
                  <c:v>21.189620100417091</c:v>
                </c:pt>
                <c:pt idx="4">
                  <c:v>17.291616465790582</c:v>
                </c:pt>
                <c:pt idx="5">
                  <c:v>16.792855623746664</c:v>
                </c:pt>
                <c:pt idx="6">
                  <c:v>12.922847983320086</c:v>
                </c:pt>
                <c:pt idx="7">
                  <c:v>6.9282032302755088</c:v>
                </c:pt>
                <c:pt idx="8">
                  <c:v>2.6457513110645907</c:v>
                </c:pt>
              </c:numCache>
            </c:numRef>
          </c:bubbleSize>
          <c:bubble3D val="1"/>
        </c:ser>
        <c:ser>
          <c:idx val="1"/>
          <c:order val="1"/>
          <c:spPr>
            <a:ln w="28586">
              <a:noFill/>
            </a:ln>
          </c:spPr>
          <c:invertIfNegative val="0"/>
          <c:dLbls>
            <c:spPr>
              <a:noFill/>
              <a:ln w="25410">
                <a:noFill/>
              </a:ln>
            </c:sp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trendline>
            <c:spPr>
              <a:ln w="12705">
                <a:prstDash val="lgDashDot"/>
              </a:ln>
            </c:spPr>
            <c:trendlineType val="linear"/>
            <c:dispRSqr val="0"/>
            <c:dispEq val="0"/>
          </c:trendline>
          <c:xVal>
            <c:numRef>
              <c:f>'typ podpory (2)'!$J$16:$J$18</c:f>
              <c:numCache>
                <c:formatCode>General</c:formatCode>
                <c:ptCount val="3"/>
                <c:pt idx="0">
                  <c:v>0.1</c:v>
                </c:pt>
                <c:pt idx="1">
                  <c:v>20</c:v>
                </c:pt>
                <c:pt idx="2">
                  <c:v>90</c:v>
                </c:pt>
              </c:numCache>
            </c:numRef>
          </c:xVal>
          <c:yVal>
            <c:numRef>
              <c:f>'typ podpory (2)'!$K$16:$K$18</c:f>
              <c:numCache>
                <c:formatCode>General</c:formatCode>
                <c:ptCount val="3"/>
                <c:pt idx="0">
                  <c:v>0.1</c:v>
                </c:pt>
                <c:pt idx="1">
                  <c:v>20</c:v>
                </c:pt>
                <c:pt idx="2">
                  <c:v>90</c:v>
                </c:pt>
              </c:numCache>
            </c:numRef>
          </c:yVal>
          <c:bubbleSize>
            <c:numLit>
              <c:formatCode>General</c:formatCode>
              <c:ptCount val="9"/>
              <c:pt idx="0">
                <c:v>1</c:v>
              </c:pt>
              <c:pt idx="1">
                <c:v>1</c:v>
              </c:pt>
              <c:pt idx="2">
                <c:v>1</c:v>
              </c:pt>
              <c:pt idx="3">
                <c:v>1</c:v>
              </c:pt>
              <c:pt idx="4">
                <c:v>1</c:v>
              </c:pt>
              <c:pt idx="5">
                <c:v>1</c:v>
              </c:pt>
              <c:pt idx="6">
                <c:v>1</c:v>
              </c:pt>
              <c:pt idx="7">
                <c:v>1</c:v>
              </c:pt>
              <c:pt idx="8">
                <c:v>1</c:v>
              </c:pt>
            </c:numLit>
          </c:bubbleSize>
          <c:bubble3D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bubbleScale val="100"/>
        <c:showNegBubbles val="0"/>
        <c:axId val="104675968"/>
        <c:axId val="104685952"/>
      </c:bubbleChart>
      <c:valAx>
        <c:axId val="104675968"/>
        <c:scaling>
          <c:orientation val="minMax"/>
        </c:scaling>
        <c:delete val="0"/>
        <c:axPos val="b"/>
        <c:numFmt formatCode="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cs-CZ"/>
          </a:p>
        </c:txPr>
        <c:crossAx val="104685952"/>
        <c:crossesAt val="0"/>
        <c:crossBetween val="midCat"/>
        <c:majorUnit val="10"/>
      </c:valAx>
      <c:valAx>
        <c:axId val="104685952"/>
        <c:scaling>
          <c:orientation val="minMax"/>
        </c:scaling>
        <c:delete val="0"/>
        <c:axPos val="l"/>
        <c:title>
          <c:tx>
            <c:rich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cs-CZ" sz="1000" b="1" i="0" u="none" strike="noStrike" baseline="0">
                    <a:solidFill>
                      <a:srgbClr val="000000"/>
                    </a:solidFill>
                    <a:latin typeface="Calibri"/>
                  </a:rPr>
                  <a:t>účelová podpora (%)</a:t>
                </a:r>
              </a:p>
            </c:rich>
          </c:tx>
          <c:overlay val="0"/>
        </c:title>
        <c:numFmt formatCode="0" sourceLinked="0"/>
        <c:majorTickMark val="out"/>
        <c:minorTickMark val="none"/>
        <c:tickLblPos val="nextTo"/>
        <c:crossAx val="104675968"/>
        <c:crosses val="autoZero"/>
        <c:crossBetween val="midCat"/>
      </c:valAx>
    </c:plotArea>
    <c:plotVisOnly val="1"/>
    <c:dispBlanksAs val="gap"/>
    <c:showDLblsOverMax val="0"/>
  </c:chart>
  <c:externalData r:id="rId2">
    <c:autoUpdate val="0"/>
  </c:externalData>
  <c:userShapes r:id="rId3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800"/>
            </a:pPr>
            <a:r>
              <a:rPr lang="en-US" sz="800"/>
              <a:t>Z</a:t>
            </a:r>
            <a:r>
              <a:rPr lang="cs-CZ" sz="800"/>
              <a:t>emědělské</a:t>
            </a:r>
            <a:r>
              <a:rPr lang="cs-CZ" sz="800" baseline="0"/>
              <a:t> vědy</a:t>
            </a:r>
            <a:endParaRPr lang="en-US" sz="800"/>
          </a:p>
        </c:rich>
      </c:tx>
      <c:layout>
        <c:manualLayout>
          <c:xMode val="edge"/>
          <c:yMode val="edge"/>
          <c:x val="2.9301380907478667E-2"/>
          <c:y val="4.4235554326790161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3.3042791507532518E-2"/>
          <c:y val="0.19890687060135179"/>
          <c:w val="0.30725216344172024"/>
          <c:h val="0.66282578899031508"/>
        </c:manualLayout>
      </c:layout>
      <c:doughnutChart>
        <c:varyColors val="1"/>
        <c:ser>
          <c:idx val="0"/>
          <c:order val="0"/>
          <c:tx>
            <c:strRef>
              <c:f>struktura_publikaci!$A$77</c:f>
              <c:strCache>
                <c:ptCount val="1"/>
                <c:pt idx="0">
                  <c:v>ZEMĚDĚLSKÉ   VĚDY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struktura_publikaci!$B$76:$F$76</c:f>
              <c:strCache>
                <c:ptCount val="5"/>
                <c:pt idx="0">
                  <c:v>Článek v impaktovaném časopisu (WoS)</c:v>
                </c:pt>
                <c:pt idx="1">
                  <c:v>Článek v časopisu Scopus</c:v>
                </c:pt>
                <c:pt idx="2">
                  <c:v>článek v českých recenzovaných a ostatních časopisech</c:v>
                </c:pt>
                <c:pt idx="3">
                  <c:v>monografie</c:v>
                </c:pt>
                <c:pt idx="4">
                  <c:v>ostatní</c:v>
                </c:pt>
              </c:strCache>
            </c:strRef>
          </c:cat>
          <c:val>
            <c:numRef>
              <c:f>struktura_publikaci!$B$77:$F$77</c:f>
              <c:numCache>
                <c:formatCode>0.0</c:formatCode>
                <c:ptCount val="5"/>
                <c:pt idx="0">
                  <c:v>20.862561704338788</c:v>
                </c:pt>
                <c:pt idx="1">
                  <c:v>10.808002078461938</c:v>
                </c:pt>
                <c:pt idx="2">
                  <c:v>61.756300337750069</c:v>
                </c:pt>
                <c:pt idx="3">
                  <c:v>4.8843855546895298</c:v>
                </c:pt>
                <c:pt idx="4">
                  <c:v>1.6887503247596778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layout>
        <c:manualLayout>
          <c:xMode val="edge"/>
          <c:yMode val="edge"/>
          <c:x val="0.38424000000000003"/>
          <c:y val="0.13538044695531534"/>
          <c:w val="0.53330741167092055"/>
          <c:h val="0.6245559573231394"/>
        </c:manualLayout>
      </c:layout>
      <c:overlay val="0"/>
    </c:legend>
    <c:plotVisOnly val="1"/>
    <c:dispBlanksAs val="gap"/>
    <c:showDLblsOverMax val="0"/>
  </c:chart>
  <c:externalData r:id="rId2">
    <c:autoUpdate val="0"/>
  </c:externalData>
  <c:userShapes r:id="rId3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800"/>
            </a:pPr>
            <a:r>
              <a:rPr lang="en-US" sz="800"/>
              <a:t>T</a:t>
            </a:r>
            <a:r>
              <a:rPr lang="cs-CZ" sz="800"/>
              <a:t>echnické a informatické vědy</a:t>
            </a:r>
            <a:endParaRPr lang="en-US" sz="800"/>
          </a:p>
        </c:rich>
      </c:tx>
      <c:layout>
        <c:manualLayout>
          <c:xMode val="edge"/>
          <c:yMode val="edge"/>
          <c:x val="1.5674948758613656E-2"/>
          <c:y val="2.640803620477673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2.2831330519377052E-2"/>
          <c:y val="0.13723712089432999"/>
          <c:w val="0.33081164251827155"/>
          <c:h val="0.85828343313373257"/>
        </c:manualLayout>
      </c:layout>
      <c:doughnutChart>
        <c:varyColors val="1"/>
        <c:ser>
          <c:idx val="0"/>
          <c:order val="0"/>
          <c:tx>
            <c:strRef>
              <c:f>struktura_publikaci!$A$75</c:f>
              <c:strCache>
                <c:ptCount val="1"/>
                <c:pt idx="0">
                  <c:v>TECHNICKÉ a INFORMATICKÉ VĚDY</c:v>
                </c:pt>
              </c:strCache>
            </c:strRef>
          </c:tx>
          <c:dPt>
            <c:idx val="0"/>
            <c:bubble3D val="0"/>
          </c:dPt>
          <c:dPt>
            <c:idx val="1"/>
            <c:bubble3D val="0"/>
          </c:dPt>
          <c:dPt>
            <c:idx val="2"/>
            <c:bubble3D val="0"/>
          </c:dPt>
          <c:dPt>
            <c:idx val="3"/>
            <c:bubble3D val="0"/>
          </c:dPt>
          <c:dPt>
            <c:idx val="4"/>
            <c:bubble3D val="0"/>
          </c:dPt>
          <c:dLbls>
            <c:dLbl>
              <c:idx val="0"/>
              <c:delete val="1"/>
            </c:dLbl>
            <c:dLbl>
              <c:idx val="4"/>
              <c:delete val="1"/>
            </c:dLbl>
            <c:spPr>
              <a:noFill/>
              <a:ln w="25374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struktura_publikaci!$B$74:$F$74</c:f>
              <c:strCache>
                <c:ptCount val="5"/>
                <c:pt idx="0">
                  <c:v>Článek v impaktovaném časopisu (WoS)</c:v>
                </c:pt>
                <c:pt idx="1">
                  <c:v>Článek v časopisu Scopus</c:v>
                </c:pt>
                <c:pt idx="2">
                  <c:v>článek v českých recenzovaných a ostatních časopisech</c:v>
                </c:pt>
                <c:pt idx="3">
                  <c:v>monografie</c:v>
                </c:pt>
                <c:pt idx="4">
                  <c:v>ostatní</c:v>
                </c:pt>
              </c:strCache>
            </c:strRef>
          </c:cat>
          <c:val>
            <c:numRef>
              <c:f>struktura_publikaci!$B$75:$F$75</c:f>
              <c:numCache>
                <c:formatCode>0.0</c:formatCode>
                <c:ptCount val="5"/>
                <c:pt idx="0">
                  <c:v>0.38167938931297707</c:v>
                </c:pt>
                <c:pt idx="1">
                  <c:v>8.778625954198473</c:v>
                </c:pt>
                <c:pt idx="2">
                  <c:v>83.969465648854964</c:v>
                </c:pt>
                <c:pt idx="3">
                  <c:v>5.343511450381679</c:v>
                </c:pt>
                <c:pt idx="4">
                  <c:v>1.5267175572519083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  <c:holeSize val="50"/>
      </c:doughnutChart>
      <c:spPr>
        <a:noFill/>
        <a:ln w="25374">
          <a:noFill/>
        </a:ln>
      </c:spPr>
    </c:plotArea>
    <c:legend>
      <c:legendPos val="r"/>
      <c:legendEntry>
        <c:idx val="2"/>
        <c:txPr>
          <a:bodyPr/>
          <a:lstStyle/>
          <a:p>
            <a:pPr>
              <a:defRPr baseline="0"/>
            </a:pPr>
            <a:endParaRPr lang="cs-CZ"/>
          </a:p>
        </c:txPr>
      </c:legendEntry>
      <c:layout>
        <c:manualLayout>
          <c:xMode val="edge"/>
          <c:yMode val="edge"/>
          <c:x val="0.38946914527684595"/>
          <c:y val="0.13920837294718966"/>
          <c:w val="0.55829736846069322"/>
          <c:h val="0.81394087818713767"/>
        </c:manualLayout>
      </c:layout>
      <c:overlay val="0"/>
    </c:legend>
    <c:plotVisOnly val="1"/>
    <c:dispBlanksAs val="gap"/>
    <c:showDLblsOverMax val="0"/>
  </c:chart>
  <c:externalData r:id="rId2">
    <c:autoUpdate val="0"/>
  </c:externalData>
  <c:userShapes r:id="rId3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en-US" sz="800"/>
              <a:t>V</a:t>
            </a:r>
            <a:r>
              <a:rPr lang="cs-CZ" sz="800"/>
              <a:t>ědy o zemi</a:t>
            </a:r>
            <a:endParaRPr lang="en-US" sz="800"/>
          </a:p>
        </c:rich>
      </c:tx>
      <c:layout>
        <c:manualLayout>
          <c:xMode val="edge"/>
          <c:yMode val="edge"/>
          <c:x val="2.8798493827847511E-2"/>
          <c:y val="5.025125628140703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4.1843067038705578E-2"/>
          <c:y val="0.23149684105692322"/>
          <c:w val="0.30389905246061749"/>
          <c:h val="0.66075034700068891"/>
        </c:manualLayout>
      </c:layout>
      <c:doughnutChart>
        <c:varyColors val="1"/>
        <c:ser>
          <c:idx val="0"/>
          <c:order val="0"/>
          <c:tx>
            <c:strRef>
              <c:f>struktura_publikaci!$A$79</c:f>
              <c:strCache>
                <c:ptCount val="1"/>
                <c:pt idx="0">
                  <c:v>VĚDY O ZEMI</c:v>
                </c:pt>
              </c:strCache>
            </c:strRef>
          </c:tx>
          <c:dPt>
            <c:idx val="0"/>
            <c:bubble3D val="0"/>
          </c:dPt>
          <c:dPt>
            <c:idx val="1"/>
            <c:bubble3D val="0"/>
          </c:dPt>
          <c:dPt>
            <c:idx val="2"/>
            <c:bubble3D val="0"/>
          </c:dPt>
          <c:dPt>
            <c:idx val="3"/>
            <c:bubble3D val="0"/>
          </c:dPt>
          <c:dPt>
            <c:idx val="4"/>
            <c:bubble3D val="0"/>
          </c:dPt>
          <c:dLbls>
            <c:spPr>
              <a:noFill/>
              <a:ln w="25367">
                <a:noFill/>
              </a:ln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struktura_publikaci!$B$78:$F$78</c:f>
              <c:strCache>
                <c:ptCount val="5"/>
                <c:pt idx="0">
                  <c:v>Článek v impaktovaném časopisu (WoS)</c:v>
                </c:pt>
                <c:pt idx="1">
                  <c:v>Článek v časopisu Scopus</c:v>
                </c:pt>
                <c:pt idx="2">
                  <c:v>článek v českých recenzovaných a ostatních časopisech</c:v>
                </c:pt>
                <c:pt idx="3">
                  <c:v>monografie</c:v>
                </c:pt>
                <c:pt idx="4">
                  <c:v>ostatní</c:v>
                </c:pt>
              </c:strCache>
            </c:strRef>
          </c:cat>
          <c:val>
            <c:numRef>
              <c:f>struktura_publikaci!$B$79:$F$79</c:f>
              <c:numCache>
                <c:formatCode>0.0</c:formatCode>
                <c:ptCount val="5"/>
                <c:pt idx="0">
                  <c:v>10.16949152542373</c:v>
                </c:pt>
                <c:pt idx="1">
                  <c:v>16.101694915254235</c:v>
                </c:pt>
                <c:pt idx="2">
                  <c:v>62.711864406779661</c:v>
                </c:pt>
                <c:pt idx="3">
                  <c:v>9.3220338983050848</c:v>
                </c:pt>
                <c:pt idx="4">
                  <c:v>1.6949152542372881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  <c:holeSize val="50"/>
      </c:doughnutChart>
      <c:spPr>
        <a:noFill/>
        <a:ln w="25367">
          <a:noFill/>
        </a:ln>
      </c:spPr>
    </c:plotArea>
    <c:legend>
      <c:legendPos val="r"/>
      <c:layout>
        <c:manualLayout>
          <c:xMode val="edge"/>
          <c:yMode val="edge"/>
          <c:x val="0.38127726159947101"/>
          <c:y val="5.8425663689272045E-2"/>
          <c:w val="0.57057752684910334"/>
          <c:h val="0.91215604747704038"/>
        </c:manualLayout>
      </c:layout>
      <c:overlay val="0"/>
    </c:legend>
    <c:plotVisOnly val="1"/>
    <c:dispBlanksAs val="gap"/>
    <c:showDLblsOverMax val="0"/>
  </c:chart>
  <c:externalData r:id="rId2">
    <c:autoUpdate val="0"/>
  </c:externalData>
  <c:userShapes r:id="rId3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en-US" sz="800"/>
              <a:t>C</a:t>
            </a:r>
            <a:r>
              <a:rPr lang="cs-CZ" sz="800"/>
              <a:t>hemické vědy</a:t>
            </a:r>
            <a:endParaRPr lang="en-US" sz="800"/>
          </a:p>
        </c:rich>
      </c:tx>
      <c:layout>
        <c:manualLayout>
          <c:xMode val="edge"/>
          <c:yMode val="edge"/>
          <c:x val="2.2354062325834423E-2"/>
          <c:y val="3.250377498182832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3.383959380916244E-2"/>
          <c:y val="0.18645012185708854"/>
          <c:w val="0.30783184743745573"/>
          <c:h val="0.65543142959357936"/>
        </c:manualLayout>
      </c:layout>
      <c:doughnutChart>
        <c:varyColors val="1"/>
        <c:ser>
          <c:idx val="0"/>
          <c:order val="0"/>
          <c:tx>
            <c:strRef>
              <c:f>struktura_publikaci!$A$81</c:f>
              <c:strCache>
                <c:ptCount val="1"/>
                <c:pt idx="0">
                  <c:v>CHEMICKÉ VĚDY</c:v>
                </c:pt>
              </c:strCache>
            </c:strRef>
          </c:tx>
          <c:dPt>
            <c:idx val="0"/>
            <c:bubble3D val="0"/>
          </c:dPt>
          <c:dPt>
            <c:idx val="1"/>
            <c:bubble3D val="0"/>
          </c:dPt>
          <c:dPt>
            <c:idx val="2"/>
            <c:bubble3D val="0"/>
          </c:dPt>
          <c:dPt>
            <c:idx val="3"/>
            <c:bubble3D val="0"/>
          </c:dPt>
          <c:dPt>
            <c:idx val="4"/>
            <c:bubble3D val="0"/>
          </c:dPt>
          <c:dLbls>
            <c:dLbl>
              <c:idx val="3"/>
              <c:delete val="1"/>
            </c:dLbl>
            <c:spPr>
              <a:noFill/>
              <a:ln w="25373">
                <a:noFill/>
              </a:ln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struktura_publikaci!$B$80:$F$80</c:f>
              <c:strCache>
                <c:ptCount val="5"/>
                <c:pt idx="0">
                  <c:v>Článek v impaktovaném časopisu (WoS)</c:v>
                </c:pt>
                <c:pt idx="1">
                  <c:v>Článek v časopisu Scopus</c:v>
                </c:pt>
                <c:pt idx="2">
                  <c:v>článek v českých recenzovaných a ostatních časopisech</c:v>
                </c:pt>
                <c:pt idx="3">
                  <c:v>monografie</c:v>
                </c:pt>
                <c:pt idx="4">
                  <c:v>ostatní</c:v>
                </c:pt>
              </c:strCache>
            </c:strRef>
          </c:cat>
          <c:val>
            <c:numRef>
              <c:f>struktura_publikaci!$B$81:$F$81</c:f>
              <c:numCache>
                <c:formatCode>0.0</c:formatCode>
                <c:ptCount val="5"/>
                <c:pt idx="0">
                  <c:v>45.205479452054789</c:v>
                </c:pt>
                <c:pt idx="1">
                  <c:v>3.4246575342465753</c:v>
                </c:pt>
                <c:pt idx="2">
                  <c:v>46.575342465753423</c:v>
                </c:pt>
                <c:pt idx="3">
                  <c:v>0</c:v>
                </c:pt>
                <c:pt idx="4">
                  <c:v>4.7945205479452051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  <c:holeSize val="50"/>
      </c:doughnutChart>
      <c:spPr>
        <a:noFill/>
        <a:ln w="25373">
          <a:noFill/>
        </a:ln>
      </c:spPr>
    </c:plotArea>
    <c:legend>
      <c:legendPos val="r"/>
      <c:layout>
        <c:manualLayout>
          <c:xMode val="edge"/>
          <c:yMode val="edge"/>
          <c:x val="0.40666980106519796"/>
          <c:y val="7.676626038183583E-2"/>
          <c:w val="0.55060380544701237"/>
          <c:h val="0.79775792309092108"/>
        </c:manualLayout>
      </c:layout>
      <c:overlay val="0"/>
    </c:legend>
    <c:plotVisOnly val="1"/>
    <c:dispBlanksAs val="gap"/>
    <c:showDLblsOverMax val="0"/>
  </c:chart>
  <c:externalData r:id="rId2">
    <c:autoUpdate val="0"/>
  </c:externalData>
  <c:userShapes r:id="rId3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800"/>
            </a:pPr>
            <a:r>
              <a:rPr lang="en-US" sz="800"/>
              <a:t>B</a:t>
            </a:r>
            <a:r>
              <a:rPr lang="cs-CZ" sz="800"/>
              <a:t>iologické vědy</a:t>
            </a:r>
            <a:endParaRPr lang="en-US" sz="800"/>
          </a:p>
        </c:rich>
      </c:tx>
      <c:layout>
        <c:manualLayout>
          <c:xMode val="edge"/>
          <c:yMode val="edge"/>
          <c:x val="3.2359980413161779E-2"/>
          <c:y val="2.2037798710275721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2.4117222380254932E-2"/>
          <c:y val="0.2074858963240282"/>
          <c:w val="0.33839559518816964"/>
          <c:h val="0.66551144374814308"/>
        </c:manualLayout>
      </c:layout>
      <c:doughnutChart>
        <c:varyColors val="1"/>
        <c:ser>
          <c:idx val="0"/>
          <c:order val="0"/>
          <c:tx>
            <c:strRef>
              <c:f>struktura_publikaci!$A$83</c:f>
              <c:strCache>
                <c:ptCount val="1"/>
                <c:pt idx="0">
                  <c:v>BIOLOGICKÉ VĚDY</c:v>
                </c:pt>
              </c:strCache>
            </c:strRef>
          </c:tx>
          <c:dPt>
            <c:idx val="0"/>
            <c:bubble3D val="0"/>
          </c:dPt>
          <c:dPt>
            <c:idx val="1"/>
            <c:bubble3D val="0"/>
          </c:dPt>
          <c:dPt>
            <c:idx val="2"/>
            <c:bubble3D val="0"/>
          </c:dPt>
          <c:dPt>
            <c:idx val="3"/>
            <c:bubble3D val="0"/>
          </c:dPt>
          <c:dPt>
            <c:idx val="4"/>
            <c:bubble3D val="0"/>
          </c:dPt>
          <c:dLbls>
            <c:dLbl>
              <c:idx val="4"/>
              <c:delete val="1"/>
            </c:dLbl>
            <c:spPr>
              <a:noFill/>
              <a:ln w="25337">
                <a:noFill/>
              </a:ln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struktura_publikaci!$B$82:$F$82</c:f>
              <c:strCache>
                <c:ptCount val="5"/>
                <c:pt idx="0">
                  <c:v>Článek v impaktovaném časopisu (WoS)</c:v>
                </c:pt>
                <c:pt idx="1">
                  <c:v>Článek v časopisu Scopus</c:v>
                </c:pt>
                <c:pt idx="2">
                  <c:v>článek v českých recenzovaných a ostatních časopisech</c:v>
                </c:pt>
                <c:pt idx="3">
                  <c:v>monografie</c:v>
                </c:pt>
                <c:pt idx="4">
                  <c:v>ostatní</c:v>
                </c:pt>
              </c:strCache>
            </c:strRef>
          </c:cat>
          <c:val>
            <c:numRef>
              <c:f>struktura_publikaci!$B$83:$F$83</c:f>
              <c:numCache>
                <c:formatCode>0.0</c:formatCode>
                <c:ptCount val="5"/>
                <c:pt idx="0">
                  <c:v>50.173812282734644</c:v>
                </c:pt>
                <c:pt idx="1">
                  <c:v>7.8794901506373112</c:v>
                </c:pt>
                <c:pt idx="2">
                  <c:v>35.341830822711472</c:v>
                </c:pt>
                <c:pt idx="3">
                  <c:v>4.5191193511008105</c:v>
                </c:pt>
                <c:pt idx="4">
                  <c:v>2.085747392815759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  <c:holeSize val="50"/>
      </c:doughnutChart>
      <c:spPr>
        <a:noFill/>
        <a:ln w="25337">
          <a:noFill/>
        </a:ln>
      </c:spPr>
    </c:plotArea>
    <c:legend>
      <c:legendPos val="r"/>
      <c:layout>
        <c:manualLayout>
          <c:xMode val="edge"/>
          <c:yMode val="edge"/>
          <c:x val="0.38959928411547151"/>
          <c:y val="4.8062837565151693E-2"/>
          <c:w val="0.5853796871039707"/>
          <c:h val="0.88975549689755662"/>
        </c:manualLayout>
      </c:layout>
      <c:overlay val="0"/>
    </c:legend>
    <c:plotVisOnly val="1"/>
    <c:dispBlanksAs val="gap"/>
    <c:showDLblsOverMax val="0"/>
  </c:chart>
  <c:externalData r:id="rId2">
    <c:autoUpdate val="0"/>
  </c:externalData>
  <c:userShapes r:id="rId3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List1!$B$95</c:f>
              <c:strCache>
                <c:ptCount val="1"/>
                <c:pt idx="0">
                  <c:v>Výdaje SR na zemědělský výzkum jako % celkových výdajů na VaVaI</c:v>
                </c:pt>
              </c:strCache>
            </c:strRef>
          </c:tx>
          <c:invertIfNegative val="0"/>
          <c:cat>
            <c:strRef>
              <c:f>List1!$A$96:$A$100</c:f>
              <c:strCache>
                <c:ptCount val="5"/>
                <c:pt idx="0">
                  <c:v>Česká republika</c:v>
                </c:pt>
                <c:pt idx="1">
                  <c:v>Rakousko</c:v>
                </c:pt>
                <c:pt idx="2">
                  <c:v>Dánsko</c:v>
                </c:pt>
                <c:pt idx="3">
                  <c:v>Irsko</c:v>
                </c:pt>
                <c:pt idx="4">
                  <c:v>Portugalsko</c:v>
                </c:pt>
              </c:strCache>
            </c:strRef>
          </c:cat>
          <c:val>
            <c:numRef>
              <c:f>List1!$B$96:$B$100</c:f>
              <c:numCache>
                <c:formatCode>0.00</c:formatCode>
                <c:ptCount val="5"/>
                <c:pt idx="0">
                  <c:v>4.5430583436420511</c:v>
                </c:pt>
                <c:pt idx="1">
                  <c:v>1.7344436421648501</c:v>
                </c:pt>
                <c:pt idx="2">
                  <c:v>3.2701744842950706</c:v>
                </c:pt>
                <c:pt idx="3">
                  <c:v>11.924558912999391</c:v>
                </c:pt>
                <c:pt idx="4">
                  <c:v>4.4581273220628495</c:v>
                </c:pt>
              </c:numCache>
            </c:numRef>
          </c:val>
        </c:ser>
        <c:ser>
          <c:idx val="1"/>
          <c:order val="1"/>
          <c:tx>
            <c:strRef>
              <c:f>List1!$C$95</c:f>
              <c:strCache>
                <c:ptCount val="1"/>
                <c:pt idx="0">
                  <c:v>GBAORD jako % celkových vládních výdajů</c:v>
                </c:pt>
              </c:strCache>
            </c:strRef>
          </c:tx>
          <c:invertIfNegative val="0"/>
          <c:cat>
            <c:strRef>
              <c:f>List1!$A$96:$A$100</c:f>
              <c:strCache>
                <c:ptCount val="5"/>
                <c:pt idx="0">
                  <c:v>Česká republika</c:v>
                </c:pt>
                <c:pt idx="1">
                  <c:v>Rakousko</c:v>
                </c:pt>
                <c:pt idx="2">
                  <c:v>Dánsko</c:v>
                </c:pt>
                <c:pt idx="3">
                  <c:v>Irsko</c:v>
                </c:pt>
                <c:pt idx="4">
                  <c:v>Portugalsko</c:v>
                </c:pt>
              </c:strCache>
            </c:strRef>
          </c:cat>
          <c:val>
            <c:numRef>
              <c:f>List1!$C$96:$C$100</c:f>
              <c:numCache>
                <c:formatCode>General</c:formatCode>
                <c:ptCount val="5"/>
                <c:pt idx="0">
                  <c:v>1.37</c:v>
                </c:pt>
                <c:pt idx="1">
                  <c:v>1.51</c:v>
                </c:pt>
                <c:pt idx="2">
                  <c:v>1.69</c:v>
                </c:pt>
                <c:pt idx="3">
                  <c:v>1.0900000000000001</c:v>
                </c:pt>
                <c:pt idx="4">
                  <c:v>2.04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07280256"/>
        <c:axId val="107281792"/>
      </c:barChart>
      <c:catAx>
        <c:axId val="10728025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07281792"/>
        <c:crosses val="autoZero"/>
        <c:auto val="1"/>
        <c:lblAlgn val="ctr"/>
        <c:lblOffset val="100"/>
        <c:noMultiLvlLbl val="0"/>
      </c:catAx>
      <c:valAx>
        <c:axId val="107281792"/>
        <c:scaling>
          <c:orientation val="minMax"/>
        </c:scaling>
        <c:delete val="0"/>
        <c:axPos val="l"/>
        <c:majorGridlines/>
        <c:numFmt formatCode="0.00" sourceLinked="1"/>
        <c:majorTickMark val="cross"/>
        <c:minorTickMark val="none"/>
        <c:tickLblPos val="nextTo"/>
        <c:crossAx val="10728025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List1!$A$23</c:f>
              <c:strCache>
                <c:ptCount val="1"/>
                <c:pt idx="0">
                  <c:v>ČR</c:v>
                </c:pt>
              </c:strCache>
            </c:strRef>
          </c:tx>
          <c:xVal>
            <c:numRef>
              <c:f>List1!$B$22:$M$22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List1!$B$23:$M$23</c:f>
              <c:numCache>
                <c:formatCode>0.00</c:formatCode>
                <c:ptCount val="12"/>
                <c:pt idx="0">
                  <c:v>37.25</c:v>
                </c:pt>
                <c:pt idx="1">
                  <c:v>43.914000000000001</c:v>
                </c:pt>
                <c:pt idx="2">
                  <c:v>54.889000000000003</c:v>
                </c:pt>
                <c:pt idx="3">
                  <c:v>57.871000000000002</c:v>
                </c:pt>
                <c:pt idx="4">
                  <c:v>64.447000000000003</c:v>
                </c:pt>
                <c:pt idx="5">
                  <c:v>69.953999999999994</c:v>
                </c:pt>
                <c:pt idx="6">
                  <c:v>71.087000000000003</c:v>
                </c:pt>
                <c:pt idx="7">
                  <c:v>81.697000000000003</c:v>
                </c:pt>
                <c:pt idx="8">
                  <c:v>73.596999999999994</c:v>
                </c:pt>
                <c:pt idx="9">
                  <c:v>76.840999999999994</c:v>
                </c:pt>
                <c:pt idx="10">
                  <c:v>76.935000000000002</c:v>
                </c:pt>
                <c:pt idx="11">
                  <c:v>81.617000000000004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List1!$A$24</c:f>
              <c:strCache>
                <c:ptCount val="1"/>
                <c:pt idx="0">
                  <c:v>Rakousko</c:v>
                </c:pt>
              </c:strCache>
            </c:strRef>
          </c:tx>
          <c:xVal>
            <c:numRef>
              <c:f>List1!$B$22:$M$22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List1!$B$24:$M$24</c:f>
              <c:numCache>
                <c:formatCode>0.00</c:formatCode>
                <c:ptCount val="12"/>
                <c:pt idx="0">
                  <c:v>44.689</c:v>
                </c:pt>
                <c:pt idx="1">
                  <c:v>47.655000000000001</c:v>
                </c:pt>
                <c:pt idx="2">
                  <c:v>39.518999999999998</c:v>
                </c:pt>
                <c:pt idx="3">
                  <c:v>34.448999999999998</c:v>
                </c:pt>
                <c:pt idx="4">
                  <c:v>37.433999999999997</c:v>
                </c:pt>
                <c:pt idx="5">
                  <c:v>42.902000000000001</c:v>
                </c:pt>
                <c:pt idx="6">
                  <c:v>46.945999999999998</c:v>
                </c:pt>
                <c:pt idx="7">
                  <c:v>44.883000000000003</c:v>
                </c:pt>
                <c:pt idx="8">
                  <c:v>46.792999999999999</c:v>
                </c:pt>
                <c:pt idx="9">
                  <c:v>49.542000000000002</c:v>
                </c:pt>
                <c:pt idx="10">
                  <c:v>46.164999999999999</c:v>
                </c:pt>
                <c:pt idx="11">
                  <c:v>47.679000000000002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List1!$A$25</c:f>
              <c:strCache>
                <c:ptCount val="1"/>
                <c:pt idx="0">
                  <c:v>Dánsko</c:v>
                </c:pt>
              </c:strCache>
            </c:strRef>
          </c:tx>
          <c:xVal>
            <c:numRef>
              <c:f>List1!$B$22:$M$22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List1!$B$25:$M$25</c:f>
              <c:numCache>
                <c:formatCode>0.00</c:formatCode>
                <c:ptCount val="12"/>
                <c:pt idx="0">
                  <c:v>104.033</c:v>
                </c:pt>
                <c:pt idx="1">
                  <c:v>78.233000000000004</c:v>
                </c:pt>
                <c:pt idx="2">
                  <c:v>70.006</c:v>
                </c:pt>
                <c:pt idx="3">
                  <c:v>71.78</c:v>
                </c:pt>
                <c:pt idx="4">
                  <c:v>84.194999999999993</c:v>
                </c:pt>
                <c:pt idx="5">
                  <c:v>82.614999999999995</c:v>
                </c:pt>
                <c:pt idx="6">
                  <c:v>69.756</c:v>
                </c:pt>
                <c:pt idx="7">
                  <c:v>71.070999999999998</c:v>
                </c:pt>
                <c:pt idx="8">
                  <c:v>69.716999999999999</c:v>
                </c:pt>
                <c:pt idx="9">
                  <c:v>77.914000000000001</c:v>
                </c:pt>
                <c:pt idx="10">
                  <c:v>66.843999999999994</c:v>
                </c:pt>
                <c:pt idx="11">
                  <c:v>75.605999999999995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List1!$A$26</c:f>
              <c:strCache>
                <c:ptCount val="1"/>
                <c:pt idx="0">
                  <c:v>Irsko</c:v>
                </c:pt>
              </c:strCache>
            </c:strRef>
          </c:tx>
          <c:xVal>
            <c:numRef>
              <c:f>List1!$B$22:$M$22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List1!$B$26:$M$26</c:f>
              <c:numCache>
                <c:formatCode>0.00</c:formatCode>
                <c:ptCount val="12"/>
                <c:pt idx="0">
                  <c:v>73.114999999999995</c:v>
                </c:pt>
                <c:pt idx="1">
                  <c:v>71.703999999999994</c:v>
                </c:pt>
                <c:pt idx="2">
                  <c:v>79.287000000000006</c:v>
                </c:pt>
                <c:pt idx="3">
                  <c:v>97.403000000000006</c:v>
                </c:pt>
                <c:pt idx="4">
                  <c:v>90.218999999999994</c:v>
                </c:pt>
                <c:pt idx="5">
                  <c:v>113.943</c:v>
                </c:pt>
                <c:pt idx="6">
                  <c:v>117.6</c:v>
                </c:pt>
                <c:pt idx="7">
                  <c:v>112.751</c:v>
                </c:pt>
                <c:pt idx="8">
                  <c:v>110.562</c:v>
                </c:pt>
                <c:pt idx="9">
                  <c:v>122.45399999999999</c:v>
                </c:pt>
                <c:pt idx="10">
                  <c:v>121.541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List1!$A$27</c:f>
              <c:strCache>
                <c:ptCount val="1"/>
                <c:pt idx="0">
                  <c:v>Portugalsko</c:v>
                </c:pt>
              </c:strCache>
            </c:strRef>
          </c:tx>
          <c:xVal>
            <c:numRef>
              <c:f>List1!$B$22:$M$22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List1!$B$27:$M$27</c:f>
              <c:numCache>
                <c:formatCode>0.00</c:formatCode>
                <c:ptCount val="12"/>
                <c:pt idx="0">
                  <c:v>163.96100000000001</c:v>
                </c:pt>
                <c:pt idx="1">
                  <c:v>144.08199999999999</c:v>
                </c:pt>
                <c:pt idx="2">
                  <c:v>156.512</c:v>
                </c:pt>
                <c:pt idx="3">
                  <c:v>138.55199999999999</c:v>
                </c:pt>
                <c:pt idx="4">
                  <c:v>116.532</c:v>
                </c:pt>
                <c:pt idx="5">
                  <c:v>129.50299999999999</c:v>
                </c:pt>
                <c:pt idx="6">
                  <c:v>108.008</c:v>
                </c:pt>
                <c:pt idx="7">
                  <c:v>129.11099999999999</c:v>
                </c:pt>
                <c:pt idx="8">
                  <c:v>109.22799999999999</c:v>
                </c:pt>
                <c:pt idx="9">
                  <c:v>123.3</c:v>
                </c:pt>
                <c:pt idx="10">
                  <c:v>114.63</c:v>
                </c:pt>
                <c:pt idx="11">
                  <c:v>115.361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7620608"/>
        <c:axId val="107630592"/>
      </c:scatterChart>
      <c:valAx>
        <c:axId val="10762060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999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cs-CZ"/>
          </a:p>
        </c:txPr>
        <c:crossAx val="107630592"/>
        <c:crosses val="autoZero"/>
        <c:crossBetween val="midCat"/>
      </c:valAx>
      <c:valAx>
        <c:axId val="107630592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107620608"/>
        <c:crosses val="autoZero"/>
        <c:crossBetween val="midCat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List1!$Y$33</c:f>
              <c:strCache>
                <c:ptCount val="1"/>
                <c:pt idx="0">
                  <c:v>Rakousko</c:v>
                </c:pt>
              </c:strCache>
            </c:strRef>
          </c:tx>
          <c:xVal>
            <c:numRef>
              <c:f>List1!$Z$32:$AK$32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List1!$Z$33:$AK$33</c:f>
              <c:numCache>
                <c:formatCode>0.00</c:formatCode>
                <c:ptCount val="12"/>
                <c:pt idx="0">
                  <c:v>2.729125902909586</c:v>
                </c:pt>
                <c:pt idx="1">
                  <c:v>2.9023735453112551</c:v>
                </c:pt>
                <c:pt idx="2">
                  <c:v>2.2480161551807503</c:v>
                </c:pt>
                <c:pt idx="3">
                  <c:v>1.885225043301237</c:v>
                </c:pt>
                <c:pt idx="4">
                  <c:v>1.8867049645833311</c:v>
                </c:pt>
                <c:pt idx="5">
                  <c:v>2.1042161326506643</c:v>
                </c:pt>
                <c:pt idx="6">
                  <c:v>2.0143786110115873</c:v>
                </c:pt>
                <c:pt idx="7">
                  <c:v>1.755737941550509</c:v>
                </c:pt>
                <c:pt idx="8">
                  <c:v>1.7344436421648501</c:v>
                </c:pt>
                <c:pt idx="9">
                  <c:v>1.6935102616630942</c:v>
                </c:pt>
                <c:pt idx="10">
                  <c:v>1.5404533768012696</c:v>
                </c:pt>
                <c:pt idx="11">
                  <c:v>1.5496979845703009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List1!$Y$34</c:f>
              <c:strCache>
                <c:ptCount val="1"/>
                <c:pt idx="0">
                  <c:v>ČR</c:v>
                </c:pt>
              </c:strCache>
            </c:strRef>
          </c:tx>
          <c:xVal>
            <c:numRef>
              <c:f>List1!$Z$32:$AK$32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List1!$Z$34:$AK$34</c:f>
              <c:numCache>
                <c:formatCode>0.00</c:formatCode>
                <c:ptCount val="12"/>
                <c:pt idx="0">
                  <c:v>4.4468494496694024</c:v>
                </c:pt>
                <c:pt idx="1">
                  <c:v>4.5900145182178029</c:v>
                </c:pt>
                <c:pt idx="2">
                  <c:v>5.5462762275742561</c:v>
                </c:pt>
                <c:pt idx="3">
                  <c:v>5.0391711068134306</c:v>
                </c:pt>
                <c:pt idx="4">
                  <c:v>4.936141205485538</c:v>
                </c:pt>
                <c:pt idx="5">
                  <c:v>4.7680553785292323</c:v>
                </c:pt>
                <c:pt idx="6">
                  <c:v>4.9480705608351592</c:v>
                </c:pt>
                <c:pt idx="7">
                  <c:v>4.9173381356886061</c:v>
                </c:pt>
                <c:pt idx="8">
                  <c:v>4.5430583436420511</c:v>
                </c:pt>
                <c:pt idx="9">
                  <c:v>4.0146330529988408</c:v>
                </c:pt>
                <c:pt idx="10">
                  <c:v>3.9107851968126099</c:v>
                </c:pt>
                <c:pt idx="11">
                  <c:v>4.1569640110421826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List1!$Y$35</c:f>
              <c:strCache>
                <c:ptCount val="1"/>
                <c:pt idx="0">
                  <c:v>Dánsko</c:v>
                </c:pt>
              </c:strCache>
            </c:strRef>
          </c:tx>
          <c:xVal>
            <c:numRef>
              <c:f>List1!$Z$32:$AK$32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List1!$Z$35:$AK$35</c:f>
              <c:numCache>
                <c:formatCode>0.00</c:formatCode>
                <c:ptCount val="12"/>
                <c:pt idx="0">
                  <c:v>8.6222886738236593</c:v>
                </c:pt>
                <c:pt idx="1">
                  <c:v>6.4893977940377479</c:v>
                </c:pt>
                <c:pt idx="2">
                  <c:v>5.6273743474814832</c:v>
                </c:pt>
                <c:pt idx="3">
                  <c:v>5.584249584370947</c:v>
                </c:pt>
                <c:pt idx="4">
                  <c:v>5.925327988492076</c:v>
                </c:pt>
                <c:pt idx="5">
                  <c:v>5.0751052923860209</c:v>
                </c:pt>
                <c:pt idx="6">
                  <c:v>3.7654837137269359</c:v>
                </c:pt>
                <c:pt idx="7">
                  <c:v>3.3857537376394569</c:v>
                </c:pt>
                <c:pt idx="8">
                  <c:v>3.1749248473151561</c:v>
                </c:pt>
                <c:pt idx="9">
                  <c:v>3.2701744842950706</c:v>
                </c:pt>
                <c:pt idx="10">
                  <c:v>2.7228652409004952</c:v>
                </c:pt>
                <c:pt idx="11">
                  <c:v>3.0418205057952945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List1!$Y$36</c:f>
              <c:strCache>
                <c:ptCount val="1"/>
                <c:pt idx="0">
                  <c:v>Portugalsko</c:v>
                </c:pt>
              </c:strCache>
            </c:strRef>
          </c:tx>
          <c:xVal>
            <c:numRef>
              <c:f>List1!$Z$32:$AK$32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List1!$Z$36:$AK$36</c:f>
              <c:numCache>
                <c:formatCode>0.00</c:formatCode>
                <c:ptCount val="12"/>
                <c:pt idx="0">
                  <c:v>12.88856677276061</c:v>
                </c:pt>
                <c:pt idx="1">
                  <c:v>12.006973414689837</c:v>
                </c:pt>
                <c:pt idx="2">
                  <c:v>12.248178369888539</c:v>
                </c:pt>
                <c:pt idx="3">
                  <c:v>8.7629687535576313</c:v>
                </c:pt>
                <c:pt idx="4">
                  <c:v>6.9058209862715607</c:v>
                </c:pt>
                <c:pt idx="5">
                  <c:v>6.723223500729933</c:v>
                </c:pt>
                <c:pt idx="6">
                  <c:v>4.4615641994254096</c:v>
                </c:pt>
                <c:pt idx="7">
                  <c:v>4.6475204657059486</c:v>
                </c:pt>
                <c:pt idx="8">
                  <c:v>3.9044512560209466</c:v>
                </c:pt>
                <c:pt idx="9">
                  <c:v>4.4124925429591757</c:v>
                </c:pt>
                <c:pt idx="10">
                  <c:v>4.4581273220628495</c:v>
                </c:pt>
                <c:pt idx="11">
                  <c:v>4.4135527337697367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List1!$Y$37</c:f>
              <c:strCache>
                <c:ptCount val="1"/>
                <c:pt idx="0">
                  <c:v>Irsko</c:v>
                </c:pt>
              </c:strCache>
            </c:strRef>
          </c:tx>
          <c:xVal>
            <c:numRef>
              <c:f>List1!$Z$32:$AK$32</c:f>
              <c:numCache>
                <c:formatCode>General</c:formatCode>
                <c:ptCount val="12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  <c:pt idx="11">
                  <c:v>2013</c:v>
                </c:pt>
              </c:numCache>
            </c:numRef>
          </c:xVal>
          <c:yVal>
            <c:numRef>
              <c:f>List1!$Z$37:$AK$37</c:f>
              <c:numCache>
                <c:formatCode>0.00</c:formatCode>
                <c:ptCount val="12"/>
                <c:pt idx="0">
                  <c:v>14.563493565292216</c:v>
                </c:pt>
                <c:pt idx="1">
                  <c:v>13.758459445509368</c:v>
                </c:pt>
                <c:pt idx="2">
                  <c:v>12.984118458157429</c:v>
                </c:pt>
                <c:pt idx="3">
                  <c:v>13.535055965871589</c:v>
                </c:pt>
                <c:pt idx="4">
                  <c:v>11.501525352207839</c:v>
                </c:pt>
                <c:pt idx="5">
                  <c:v>12.116195015200672</c:v>
                </c:pt>
                <c:pt idx="6">
                  <c:v>11.924558912999391</c:v>
                </c:pt>
                <c:pt idx="7">
                  <c:v>10.14918037656501</c:v>
                </c:pt>
                <c:pt idx="8">
                  <c:v>11.19115412762503</c:v>
                </c:pt>
                <c:pt idx="9">
                  <c:v>12.745349062318507</c:v>
                </c:pt>
                <c:pt idx="10">
                  <c:v>13.032643533217739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2216704"/>
        <c:axId val="112218496"/>
      </c:scatterChart>
      <c:valAx>
        <c:axId val="1122167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998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cs-CZ"/>
          </a:p>
        </c:txPr>
        <c:crossAx val="112218496"/>
        <c:crosses val="autoZero"/>
        <c:crossBetween val="midCat"/>
      </c:valAx>
      <c:valAx>
        <c:axId val="112218496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112216704"/>
        <c:crosses val="autoZero"/>
        <c:crossBetween val="midCat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8.7663084783986253E-2"/>
          <c:y val="4.1615406702821621E-2"/>
          <c:w val="0.65658608866451873"/>
          <c:h val="0.81430830391193398"/>
        </c:manualLayout>
      </c:layout>
      <c:scatterChart>
        <c:scatterStyle val="smoothMarker"/>
        <c:varyColors val="0"/>
        <c:ser>
          <c:idx val="0"/>
          <c:order val="0"/>
          <c:tx>
            <c:strRef>
              <c:f>List1!$P$40</c:f>
              <c:strCache>
                <c:ptCount val="1"/>
                <c:pt idx="0">
                  <c:v>ČR</c:v>
                </c:pt>
              </c:strCache>
            </c:strRef>
          </c:tx>
          <c:xVal>
            <c:numRef>
              <c:f>List1!$Q$39:$Z$39</c:f>
              <c:numCache>
                <c:formatCode>General</c:formatCode>
                <c:ptCount val="10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</c:numCache>
            </c:numRef>
          </c:xVal>
          <c:yVal>
            <c:numRef>
              <c:f>List1!$Q$40:$Z$40</c:f>
              <c:numCache>
                <c:formatCode>General</c:formatCode>
                <c:ptCount val="10"/>
                <c:pt idx="0">
                  <c:v>681</c:v>
                </c:pt>
                <c:pt idx="1">
                  <c:v>906</c:v>
                </c:pt>
                <c:pt idx="2">
                  <c:v>752.48500000000001</c:v>
                </c:pt>
                <c:pt idx="3">
                  <c:v>950.60699999999997</c:v>
                </c:pt>
                <c:pt idx="4">
                  <c:v>963.95500000000004</c:v>
                </c:pt>
                <c:pt idx="5">
                  <c:v>952.22400000000005</c:v>
                </c:pt>
                <c:pt idx="6">
                  <c:v>853.2</c:v>
                </c:pt>
                <c:pt idx="7">
                  <c:v>757</c:v>
                </c:pt>
                <c:pt idx="8">
                  <c:v>898.9</c:v>
                </c:pt>
                <c:pt idx="9">
                  <c:v>945.3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List1!$P$41</c:f>
              <c:strCache>
                <c:ptCount val="1"/>
                <c:pt idx="0">
                  <c:v>Irsko</c:v>
                </c:pt>
              </c:strCache>
            </c:strRef>
          </c:tx>
          <c:xVal>
            <c:numRef>
              <c:f>List1!$Q$39:$Z$39</c:f>
              <c:numCache>
                <c:formatCode>General</c:formatCode>
                <c:ptCount val="10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</c:numCache>
            </c:numRef>
          </c:xVal>
          <c:yVal>
            <c:numRef>
              <c:f>List1!$Q$41:$Z$41</c:f>
              <c:numCache>
                <c:formatCode>0.0</c:formatCode>
                <c:ptCount val="10"/>
                <c:pt idx="0">
                  <c:v>828</c:v>
                </c:pt>
                <c:pt idx="1">
                  <c:v>812</c:v>
                </c:pt>
                <c:pt idx="2">
                  <c:v>653</c:v>
                </c:pt>
                <c:pt idx="3">
                  <c:v>656</c:v>
                </c:pt>
                <c:pt idx="4">
                  <c:v>816</c:v>
                </c:pt>
                <c:pt idx="5">
                  <c:v>816</c:v>
                </c:pt>
                <c:pt idx="6">
                  <c:v>783</c:v>
                </c:pt>
                <c:pt idx="7">
                  <c:v>745</c:v>
                </c:pt>
                <c:pt idx="8">
                  <c:v>681</c:v>
                </c:pt>
                <c:pt idx="9">
                  <c:v>721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List1!$P$42</c:f>
              <c:strCache>
                <c:ptCount val="1"/>
                <c:pt idx="0">
                  <c:v>Portugalsko</c:v>
                </c:pt>
              </c:strCache>
            </c:strRef>
          </c:tx>
          <c:xVal>
            <c:numRef>
              <c:f>List1!$Q$39:$Z$39</c:f>
              <c:numCache>
                <c:formatCode>General</c:formatCode>
                <c:ptCount val="10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</c:numCache>
            </c:numRef>
          </c:xVal>
          <c:yVal>
            <c:numRef>
              <c:f>List1!$Q$42:$Z$42</c:f>
              <c:numCache>
                <c:formatCode>0.00</c:formatCode>
                <c:ptCount val="10"/>
                <c:pt idx="0">
                  <c:v>1644.44</c:v>
                </c:pt>
                <c:pt idx="1">
                  <c:v>1534.0540000000001</c:v>
                </c:pt>
                <c:pt idx="2">
                  <c:v>1451.8689999999999</c:v>
                </c:pt>
                <c:pt idx="3">
                  <c:v>1369.684</c:v>
                </c:pt>
                <c:pt idx="4">
                  <c:v>1310.2560000000001</c:v>
                </c:pt>
                <c:pt idx="5">
                  <c:v>1250.827</c:v>
                </c:pt>
                <c:pt idx="6">
                  <c:v>999.12</c:v>
                </c:pt>
                <c:pt idx="7">
                  <c:v>752.39</c:v>
                </c:pt>
                <c:pt idx="8">
                  <c:v>677.03599999999994</c:v>
                </c:pt>
                <c:pt idx="9">
                  <c:v>990.73299999999995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2276992"/>
        <c:axId val="112278528"/>
      </c:scatterChart>
      <c:valAx>
        <c:axId val="1122769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999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cs-CZ"/>
          </a:p>
        </c:txPr>
        <c:crossAx val="112278528"/>
        <c:crosses val="autoZero"/>
        <c:crossBetween val="midCat"/>
      </c:valAx>
      <c:valAx>
        <c:axId val="11227852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12276992"/>
        <c:crosses val="autoZero"/>
        <c:crossBetween val="midCat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List1!$O$50</c:f>
              <c:strCache>
                <c:ptCount val="1"/>
                <c:pt idx="0">
                  <c:v>2004</c:v>
                </c:pt>
              </c:strCache>
            </c:strRef>
          </c:tx>
          <c:invertIfNegative val="0"/>
          <c:cat>
            <c:strRef>
              <c:f>List1!$N$51:$N$55</c:f>
              <c:strCache>
                <c:ptCount val="5"/>
                <c:pt idx="0">
                  <c:v>ČR</c:v>
                </c:pt>
                <c:pt idx="1">
                  <c:v>Rakousko</c:v>
                </c:pt>
                <c:pt idx="2">
                  <c:v>Dánsko</c:v>
                </c:pt>
                <c:pt idx="3">
                  <c:v>Irsko</c:v>
                </c:pt>
                <c:pt idx="4">
                  <c:v>Portugalsko</c:v>
                </c:pt>
              </c:strCache>
            </c:strRef>
          </c:cat>
          <c:val>
            <c:numRef>
              <c:f>List1!$O$51:$O$55</c:f>
              <c:numCache>
                <c:formatCode>0</c:formatCode>
                <c:ptCount val="5"/>
                <c:pt idx="0">
                  <c:v>462.35</c:v>
                </c:pt>
                <c:pt idx="1">
                  <c:v>448.8</c:v>
                </c:pt>
                <c:pt idx="2">
                  <c:v>905.19</c:v>
                </c:pt>
                <c:pt idx="3">
                  <c:v>103</c:v>
                </c:pt>
                <c:pt idx="4">
                  <c:v>735.77099999999996</c:v>
                </c:pt>
              </c:numCache>
            </c:numRef>
          </c:val>
        </c:ser>
        <c:ser>
          <c:idx val="1"/>
          <c:order val="1"/>
          <c:tx>
            <c:strRef>
              <c:f>List1!$P$50</c:f>
              <c:strCache>
                <c:ptCount val="1"/>
                <c:pt idx="0">
                  <c:v>2009</c:v>
                </c:pt>
              </c:strCache>
            </c:strRef>
          </c:tx>
          <c:invertIfNegative val="0"/>
          <c:cat>
            <c:strRef>
              <c:f>List1!$N$51:$N$55</c:f>
              <c:strCache>
                <c:ptCount val="5"/>
                <c:pt idx="0">
                  <c:v>ČR</c:v>
                </c:pt>
                <c:pt idx="1">
                  <c:v>Rakousko</c:v>
                </c:pt>
                <c:pt idx="2">
                  <c:v>Dánsko</c:v>
                </c:pt>
                <c:pt idx="3">
                  <c:v>Irsko</c:v>
                </c:pt>
                <c:pt idx="4">
                  <c:v>Portugalsko</c:v>
                </c:pt>
              </c:strCache>
            </c:strRef>
          </c:cat>
          <c:val>
            <c:numRef>
              <c:f>List1!$P$51:$P$55</c:f>
              <c:numCache>
                <c:formatCode>0</c:formatCode>
                <c:ptCount val="5"/>
                <c:pt idx="0">
                  <c:v>1068.5</c:v>
                </c:pt>
                <c:pt idx="1">
                  <c:v>545</c:v>
                </c:pt>
                <c:pt idx="2">
                  <c:v>1632</c:v>
                </c:pt>
                <c:pt idx="3">
                  <c:v>101</c:v>
                </c:pt>
                <c:pt idx="4">
                  <c:v>884.95600000000002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2213376"/>
        <c:axId val="112522368"/>
      </c:barChart>
      <c:catAx>
        <c:axId val="11221337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12522368"/>
        <c:crosses val="autoZero"/>
        <c:auto val="1"/>
        <c:lblAlgn val="ctr"/>
        <c:lblOffset val="100"/>
        <c:noMultiLvlLbl val="0"/>
      </c:catAx>
      <c:valAx>
        <c:axId val="112522368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11221337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List1!$A$78</c:f>
              <c:strCache>
                <c:ptCount val="1"/>
                <c:pt idx="0">
                  <c:v>ČR</c:v>
                </c:pt>
              </c:strCache>
            </c:strRef>
          </c:tx>
          <c:invertIfNegative val="0"/>
          <c:cat>
            <c:numRef>
              <c:f>List1!$B$77:$K$77</c:f>
              <c:numCache>
                <c:formatCode>General</c:formatCode>
                <c:ptCount val="10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</c:numCache>
            </c:numRef>
          </c:cat>
          <c:val>
            <c:numRef>
              <c:f>List1!$B$78:$K$78</c:f>
              <c:numCache>
                <c:formatCode>0.00</c:formatCode>
                <c:ptCount val="10"/>
                <c:pt idx="0">
                  <c:v>93.6</c:v>
                </c:pt>
                <c:pt idx="1">
                  <c:v>116.8</c:v>
                </c:pt>
                <c:pt idx="2">
                  <c:v>124.6</c:v>
                </c:pt>
                <c:pt idx="3">
                  <c:v>133.69999999999999</c:v>
                </c:pt>
                <c:pt idx="4">
                  <c:v>153.9</c:v>
                </c:pt>
                <c:pt idx="5">
                  <c:v>219.2</c:v>
                </c:pt>
                <c:pt idx="6">
                  <c:v>213.1</c:v>
                </c:pt>
                <c:pt idx="7">
                  <c:v>179</c:v>
                </c:pt>
                <c:pt idx="8">
                  <c:v>154.6</c:v>
                </c:pt>
                <c:pt idx="9">
                  <c:v>177.4</c:v>
                </c:pt>
              </c:numCache>
            </c:numRef>
          </c:val>
        </c:ser>
        <c:ser>
          <c:idx val="1"/>
          <c:order val="1"/>
          <c:tx>
            <c:strRef>
              <c:f>List1!$A$79</c:f>
              <c:strCache>
                <c:ptCount val="1"/>
                <c:pt idx="0">
                  <c:v>Rakousko</c:v>
                </c:pt>
              </c:strCache>
            </c:strRef>
          </c:tx>
          <c:invertIfNegative val="0"/>
          <c:cat>
            <c:numRef>
              <c:f>List1!$B$77:$K$77</c:f>
              <c:numCache>
                <c:formatCode>General</c:formatCode>
                <c:ptCount val="10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</c:numCache>
            </c:numRef>
          </c:cat>
          <c:val>
            <c:numRef>
              <c:f>List1!$B$79:$K$79</c:f>
              <c:numCache>
                <c:formatCode>0.00</c:formatCode>
                <c:ptCount val="10"/>
                <c:pt idx="0">
                  <c:v>865.6</c:v>
                </c:pt>
                <c:pt idx="1">
                  <c:v>943</c:v>
                </c:pt>
                <c:pt idx="2">
                  <c:v>1079.5</c:v>
                </c:pt>
                <c:pt idx="3">
                  <c:v>1168.5</c:v>
                </c:pt>
                <c:pt idx="4">
                  <c:v>1308.2</c:v>
                </c:pt>
                <c:pt idx="5">
                  <c:v>1326.2</c:v>
                </c:pt>
                <c:pt idx="6">
                  <c:v>1190</c:v>
                </c:pt>
                <c:pt idx="7">
                  <c:v>1281.4000000000001</c:v>
                </c:pt>
                <c:pt idx="8">
                  <c:v>1413.8</c:v>
                </c:pt>
                <c:pt idx="9">
                  <c:v>1387.2</c:v>
                </c:pt>
              </c:numCache>
            </c:numRef>
          </c:val>
        </c:ser>
        <c:ser>
          <c:idx val="2"/>
          <c:order val="2"/>
          <c:tx>
            <c:strRef>
              <c:f>List1!$A$80</c:f>
              <c:strCache>
                <c:ptCount val="1"/>
                <c:pt idx="0">
                  <c:v>Dánsko</c:v>
                </c:pt>
              </c:strCache>
            </c:strRef>
          </c:tx>
          <c:invertIfNegative val="0"/>
          <c:cat>
            <c:numRef>
              <c:f>List1!$B$77:$K$77</c:f>
              <c:numCache>
                <c:formatCode>General</c:formatCode>
                <c:ptCount val="10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</c:numCache>
            </c:numRef>
          </c:cat>
          <c:val>
            <c:numRef>
              <c:f>List1!$B$80:$K$80</c:f>
              <c:numCache>
                <c:formatCode>0.0</c:formatCode>
                <c:ptCount val="10"/>
                <c:pt idx="0" formatCode="0.00">
                  <c:v>985.4</c:v>
                </c:pt>
                <c:pt idx="1">
                  <c:v>1060.3</c:v>
                </c:pt>
                <c:pt idx="2" formatCode="0.00">
                  <c:v>1087</c:v>
                </c:pt>
                <c:pt idx="3" formatCode="0.00">
                  <c:v>1171.3</c:v>
                </c:pt>
                <c:pt idx="4" formatCode="0.00">
                  <c:v>1173.5</c:v>
                </c:pt>
                <c:pt idx="5" formatCode="0.00">
                  <c:v>1353.5</c:v>
                </c:pt>
                <c:pt idx="6" formatCode="0.00">
                  <c:v>1252.9000000000001</c:v>
                </c:pt>
                <c:pt idx="7" formatCode="0.00">
                  <c:v>1127.8</c:v>
                </c:pt>
                <c:pt idx="8" formatCode="0.00">
                  <c:v>1415.1</c:v>
                </c:pt>
                <c:pt idx="9" formatCode="0.00">
                  <c:v>1243.5</c:v>
                </c:pt>
              </c:numCache>
            </c:numRef>
          </c:val>
        </c:ser>
        <c:ser>
          <c:idx val="3"/>
          <c:order val="3"/>
          <c:tx>
            <c:strRef>
              <c:f>List1!$A$81</c:f>
              <c:strCache>
                <c:ptCount val="1"/>
                <c:pt idx="0">
                  <c:v>Irsko</c:v>
                </c:pt>
              </c:strCache>
            </c:strRef>
          </c:tx>
          <c:invertIfNegative val="0"/>
          <c:cat>
            <c:numRef>
              <c:f>List1!$B$77:$K$77</c:f>
              <c:numCache>
                <c:formatCode>General</c:formatCode>
                <c:ptCount val="10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</c:numCache>
            </c:numRef>
          </c:cat>
          <c:val>
            <c:numRef>
              <c:f>List1!$B$81:$K$81</c:f>
              <c:numCache>
                <c:formatCode>0.00</c:formatCode>
                <c:ptCount val="10"/>
                <c:pt idx="0">
                  <c:v>257.39999999999998</c:v>
                </c:pt>
                <c:pt idx="1">
                  <c:v>260.39999999999998</c:v>
                </c:pt>
                <c:pt idx="2">
                  <c:v>303.89999999999998</c:v>
                </c:pt>
                <c:pt idx="3">
                  <c:v>319</c:v>
                </c:pt>
                <c:pt idx="4">
                  <c:v>356.9</c:v>
                </c:pt>
                <c:pt idx="5">
                  <c:v>438.2</c:v>
                </c:pt>
                <c:pt idx="6">
                  <c:v>426.2</c:v>
                </c:pt>
                <c:pt idx="7">
                  <c:v>379.2</c:v>
                </c:pt>
                <c:pt idx="8">
                  <c:v>340.3</c:v>
                </c:pt>
                <c:pt idx="9">
                  <c:v>415.4</c:v>
                </c:pt>
              </c:numCache>
            </c:numRef>
          </c:val>
        </c:ser>
        <c:ser>
          <c:idx val="4"/>
          <c:order val="4"/>
          <c:tx>
            <c:strRef>
              <c:f>List1!$A$82</c:f>
              <c:strCache>
                <c:ptCount val="1"/>
                <c:pt idx="0">
                  <c:v>Portugalsko</c:v>
                </c:pt>
              </c:strCache>
            </c:strRef>
          </c:tx>
          <c:invertIfNegative val="0"/>
          <c:cat>
            <c:numRef>
              <c:f>List1!$B$77:$K$77</c:f>
              <c:numCache>
                <c:formatCode>General</c:formatCode>
                <c:ptCount val="10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</c:numCache>
            </c:numRef>
          </c:cat>
          <c:val>
            <c:numRef>
              <c:f>List1!$B$82:$K$82</c:f>
              <c:numCache>
                <c:formatCode>0.00</c:formatCode>
                <c:ptCount val="10"/>
                <c:pt idx="0">
                  <c:v>34.6</c:v>
                </c:pt>
                <c:pt idx="1">
                  <c:v>48</c:v>
                </c:pt>
                <c:pt idx="2">
                  <c:v>45.4</c:v>
                </c:pt>
                <c:pt idx="3">
                  <c:v>92.5</c:v>
                </c:pt>
                <c:pt idx="4">
                  <c:v>106</c:v>
                </c:pt>
                <c:pt idx="5">
                  <c:v>114.3</c:v>
                </c:pt>
                <c:pt idx="6">
                  <c:v>134.30000000000001</c:v>
                </c:pt>
                <c:pt idx="7">
                  <c:v>139.4</c:v>
                </c:pt>
                <c:pt idx="8">
                  <c:v>134.69999999999999</c:v>
                </c:pt>
                <c:pt idx="9">
                  <c:v>142.5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5867008"/>
        <c:axId val="116794496"/>
      </c:barChart>
      <c:catAx>
        <c:axId val="115867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116794496"/>
        <c:crosses val="autoZero"/>
        <c:auto val="1"/>
        <c:lblAlgn val="ctr"/>
        <c:lblOffset val="100"/>
        <c:noMultiLvlLbl val="0"/>
      </c:catAx>
      <c:valAx>
        <c:axId val="116794496"/>
        <c:scaling>
          <c:orientation val="minMax"/>
        </c:scaling>
        <c:delete val="0"/>
        <c:axPos val="l"/>
        <c:majorGridlines/>
        <c:numFmt formatCode="0.00" sourceLinked="1"/>
        <c:majorTickMark val="none"/>
        <c:minorTickMark val="none"/>
        <c:tickLblPos val="nextTo"/>
        <c:crossAx val="11586700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List1!$A$64</c:f>
              <c:strCache>
                <c:ptCount val="1"/>
                <c:pt idx="0">
                  <c:v>ČR</c:v>
                </c:pt>
              </c:strCache>
            </c:strRef>
          </c:tx>
          <c:invertIfNegative val="0"/>
          <c:cat>
            <c:numRef>
              <c:f>List1!$B$63:$L$63</c:f>
              <c:numCache>
                <c:formatCode>General</c:formatCode>
                <c:ptCount val="11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</c:numCache>
            </c:numRef>
          </c:cat>
          <c:val>
            <c:numRef>
              <c:f>List1!$B$64:$L$64</c:f>
              <c:numCache>
                <c:formatCode>0.0</c:formatCode>
                <c:ptCount val="11"/>
                <c:pt idx="0">
                  <c:v>3.1</c:v>
                </c:pt>
                <c:pt idx="1">
                  <c:v>7</c:v>
                </c:pt>
                <c:pt idx="2">
                  <c:v>6.5</c:v>
                </c:pt>
                <c:pt idx="3">
                  <c:v>5</c:v>
                </c:pt>
                <c:pt idx="4">
                  <c:v>4.87</c:v>
                </c:pt>
                <c:pt idx="5">
                  <c:v>8.64</c:v>
                </c:pt>
                <c:pt idx="6">
                  <c:v>9.9</c:v>
                </c:pt>
                <c:pt idx="7">
                  <c:v>9.68</c:v>
                </c:pt>
                <c:pt idx="8">
                  <c:v>3.14</c:v>
                </c:pt>
                <c:pt idx="9">
                  <c:v>7.16</c:v>
                </c:pt>
                <c:pt idx="10">
                  <c:v>9.01</c:v>
                </c:pt>
              </c:numCache>
            </c:numRef>
          </c:val>
        </c:ser>
        <c:ser>
          <c:idx val="1"/>
          <c:order val="1"/>
          <c:tx>
            <c:strRef>
              <c:f>List1!$A$65</c:f>
              <c:strCache>
                <c:ptCount val="1"/>
                <c:pt idx="0">
                  <c:v>Rakousko</c:v>
                </c:pt>
              </c:strCache>
            </c:strRef>
          </c:tx>
          <c:invertIfNegative val="0"/>
          <c:cat>
            <c:numRef>
              <c:f>List1!$B$63:$L$63</c:f>
              <c:numCache>
                <c:formatCode>General</c:formatCode>
                <c:ptCount val="11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</c:numCache>
            </c:numRef>
          </c:cat>
          <c:val>
            <c:numRef>
              <c:f>List1!$B$65:$L$65</c:f>
              <c:numCache>
                <c:formatCode>0.0</c:formatCode>
                <c:ptCount val="11"/>
                <c:pt idx="0">
                  <c:v>64.8</c:v>
                </c:pt>
                <c:pt idx="1">
                  <c:v>62.18</c:v>
                </c:pt>
                <c:pt idx="2">
                  <c:v>61.59</c:v>
                </c:pt>
                <c:pt idx="3">
                  <c:v>55.68</c:v>
                </c:pt>
                <c:pt idx="4">
                  <c:v>83.65</c:v>
                </c:pt>
                <c:pt idx="5">
                  <c:v>102.04</c:v>
                </c:pt>
                <c:pt idx="6">
                  <c:v>76.180000000000007</c:v>
                </c:pt>
                <c:pt idx="7">
                  <c:v>67.680000000000007</c:v>
                </c:pt>
                <c:pt idx="8">
                  <c:v>79.03</c:v>
                </c:pt>
                <c:pt idx="9">
                  <c:v>87.64</c:v>
                </c:pt>
                <c:pt idx="10">
                  <c:v>86.13</c:v>
                </c:pt>
              </c:numCache>
            </c:numRef>
          </c:val>
        </c:ser>
        <c:ser>
          <c:idx val="2"/>
          <c:order val="2"/>
          <c:tx>
            <c:strRef>
              <c:f>List1!$A$66</c:f>
              <c:strCache>
                <c:ptCount val="1"/>
                <c:pt idx="0">
                  <c:v>Dánsko</c:v>
                </c:pt>
              </c:strCache>
            </c:strRef>
          </c:tx>
          <c:invertIfNegative val="0"/>
          <c:cat>
            <c:numRef>
              <c:f>List1!$B$63:$L$63</c:f>
              <c:numCache>
                <c:formatCode>General</c:formatCode>
                <c:ptCount val="11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</c:numCache>
            </c:numRef>
          </c:cat>
          <c:val>
            <c:numRef>
              <c:f>List1!$B$66:$L$66</c:f>
              <c:numCache>
                <c:formatCode>0.0</c:formatCode>
                <c:ptCount val="11"/>
                <c:pt idx="0">
                  <c:v>183.92</c:v>
                </c:pt>
                <c:pt idx="1">
                  <c:v>201.75</c:v>
                </c:pt>
                <c:pt idx="2">
                  <c:v>212.22</c:v>
                </c:pt>
                <c:pt idx="3">
                  <c:v>185.59</c:v>
                </c:pt>
                <c:pt idx="4">
                  <c:v>151.07</c:v>
                </c:pt>
                <c:pt idx="5">
                  <c:v>213.17</c:v>
                </c:pt>
                <c:pt idx="6">
                  <c:v>191.98</c:v>
                </c:pt>
                <c:pt idx="7">
                  <c:v>123.81</c:v>
                </c:pt>
                <c:pt idx="8">
                  <c:v>161.36000000000001</c:v>
                </c:pt>
                <c:pt idx="9">
                  <c:v>173.79</c:v>
                </c:pt>
                <c:pt idx="10">
                  <c:v>163.75</c:v>
                </c:pt>
              </c:numCache>
            </c:numRef>
          </c:val>
        </c:ser>
        <c:ser>
          <c:idx val="3"/>
          <c:order val="3"/>
          <c:tx>
            <c:strRef>
              <c:f>List1!$A$67</c:f>
              <c:strCache>
                <c:ptCount val="1"/>
                <c:pt idx="0">
                  <c:v>Irsko</c:v>
                </c:pt>
              </c:strCache>
            </c:strRef>
          </c:tx>
          <c:invertIfNegative val="0"/>
          <c:cat>
            <c:numRef>
              <c:f>List1!$B$63:$L$63</c:f>
              <c:numCache>
                <c:formatCode>General</c:formatCode>
                <c:ptCount val="11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</c:numCache>
            </c:numRef>
          </c:cat>
          <c:val>
            <c:numRef>
              <c:f>List1!$B$67:$L$67</c:f>
              <c:numCache>
                <c:formatCode>0.0</c:formatCode>
                <c:ptCount val="11"/>
                <c:pt idx="0">
                  <c:v>15.75</c:v>
                </c:pt>
                <c:pt idx="1">
                  <c:v>17.88</c:v>
                </c:pt>
                <c:pt idx="2">
                  <c:v>16.899999999999999</c:v>
                </c:pt>
                <c:pt idx="3">
                  <c:v>21.68</c:v>
                </c:pt>
                <c:pt idx="4">
                  <c:v>22.41</c:v>
                </c:pt>
                <c:pt idx="5">
                  <c:v>31.46</c:v>
                </c:pt>
                <c:pt idx="6">
                  <c:v>46.67</c:v>
                </c:pt>
                <c:pt idx="7">
                  <c:v>31.48</c:v>
                </c:pt>
                <c:pt idx="8">
                  <c:v>15.18</c:v>
                </c:pt>
                <c:pt idx="9">
                  <c:v>34.07</c:v>
                </c:pt>
                <c:pt idx="10">
                  <c:v>14.86</c:v>
                </c:pt>
              </c:numCache>
            </c:numRef>
          </c:val>
        </c:ser>
        <c:ser>
          <c:idx val="4"/>
          <c:order val="4"/>
          <c:tx>
            <c:strRef>
              <c:f>List1!$A$68</c:f>
              <c:strCache>
                <c:ptCount val="1"/>
                <c:pt idx="0">
                  <c:v>Portugalsko</c:v>
                </c:pt>
              </c:strCache>
            </c:strRef>
          </c:tx>
          <c:invertIfNegative val="0"/>
          <c:cat>
            <c:numRef>
              <c:f>List1!$B$63:$L$63</c:f>
              <c:numCache>
                <c:formatCode>General</c:formatCode>
                <c:ptCount val="11"/>
                <c:pt idx="0">
                  <c:v>2002</c:v>
                </c:pt>
                <c:pt idx="1">
                  <c:v>2003</c:v>
                </c:pt>
                <c:pt idx="2">
                  <c:v>2004</c:v>
                </c:pt>
                <c:pt idx="3">
                  <c:v>2005</c:v>
                </c:pt>
                <c:pt idx="4">
                  <c:v>2006</c:v>
                </c:pt>
                <c:pt idx="5">
                  <c:v>2007</c:v>
                </c:pt>
                <c:pt idx="6">
                  <c:v>2008</c:v>
                </c:pt>
                <c:pt idx="7">
                  <c:v>2009</c:v>
                </c:pt>
                <c:pt idx="8">
                  <c:v>2010</c:v>
                </c:pt>
                <c:pt idx="9">
                  <c:v>2011</c:v>
                </c:pt>
                <c:pt idx="10">
                  <c:v>2012</c:v>
                </c:pt>
              </c:numCache>
            </c:numRef>
          </c:cat>
          <c:val>
            <c:numRef>
              <c:f>List1!$B$68:$L$68</c:f>
              <c:numCache>
                <c:formatCode>0.0</c:formatCode>
                <c:ptCount val="11"/>
                <c:pt idx="0">
                  <c:v>3.73</c:v>
                </c:pt>
                <c:pt idx="1">
                  <c:v>5.76</c:v>
                </c:pt>
                <c:pt idx="2">
                  <c:v>3.05</c:v>
                </c:pt>
                <c:pt idx="3">
                  <c:v>9.75</c:v>
                </c:pt>
                <c:pt idx="4">
                  <c:v>13.66</c:v>
                </c:pt>
                <c:pt idx="5">
                  <c:v>14.77</c:v>
                </c:pt>
                <c:pt idx="6">
                  <c:v>15.02</c:v>
                </c:pt>
                <c:pt idx="7">
                  <c:v>15.67</c:v>
                </c:pt>
                <c:pt idx="8">
                  <c:v>9.57</c:v>
                </c:pt>
                <c:pt idx="9">
                  <c:v>11.89</c:v>
                </c:pt>
                <c:pt idx="10">
                  <c:v>17.559999999999999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2427008"/>
        <c:axId val="112428544"/>
      </c:barChart>
      <c:catAx>
        <c:axId val="112427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112428544"/>
        <c:crosses val="autoZero"/>
        <c:auto val="1"/>
        <c:lblAlgn val="ctr"/>
        <c:lblOffset val="100"/>
        <c:noMultiLvlLbl val="0"/>
      </c:catAx>
      <c:valAx>
        <c:axId val="112428544"/>
        <c:scaling>
          <c:orientation val="minMax"/>
        </c:scaling>
        <c:delete val="0"/>
        <c:axPos val="l"/>
        <c:majorGridlines/>
        <c:numFmt formatCode="0.0" sourceLinked="1"/>
        <c:majorTickMark val="none"/>
        <c:minorTickMark val="none"/>
        <c:tickLblPos val="nextTo"/>
        <c:crossAx val="11242700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'Publikace a RCI'!$AM$3</c:f>
              <c:strCache>
                <c:ptCount val="1"/>
                <c:pt idx="0">
                  <c:v>Česká republika</c:v>
                </c:pt>
              </c:strCache>
            </c:strRef>
          </c:tx>
          <c:xVal>
            <c:numRef>
              <c:f>'Publikace a RCI'!$AN$2:$AW$2</c:f>
              <c:numCache>
                <c:formatCode>General</c:formatCode>
                <c:ptCount val="10"/>
                <c:pt idx="0">
                  <c:v>2004</c:v>
                </c:pt>
                <c:pt idx="1">
                  <c:v>2005</c:v>
                </c:pt>
                <c:pt idx="2">
                  <c:v>2006</c:v>
                </c:pt>
                <c:pt idx="3">
                  <c:v>2007</c:v>
                </c:pt>
                <c:pt idx="4">
                  <c:v>2008</c:v>
                </c:pt>
                <c:pt idx="5">
                  <c:v>2009</c:v>
                </c:pt>
                <c:pt idx="6">
                  <c:v>2010</c:v>
                </c:pt>
                <c:pt idx="7">
                  <c:v>2011</c:v>
                </c:pt>
                <c:pt idx="8">
                  <c:v>2012</c:v>
                </c:pt>
                <c:pt idx="9">
                  <c:v>2013</c:v>
                </c:pt>
              </c:numCache>
            </c:numRef>
          </c:xVal>
          <c:yVal>
            <c:numRef>
              <c:f>'Publikace a RCI'!$AN$3:$AW$3</c:f>
              <c:numCache>
                <c:formatCode>0</c:formatCode>
                <c:ptCount val="10"/>
                <c:pt idx="0">
                  <c:v>1128</c:v>
                </c:pt>
                <c:pt idx="1">
                  <c:v>1154</c:v>
                </c:pt>
                <c:pt idx="2">
                  <c:v>1348</c:v>
                </c:pt>
                <c:pt idx="3">
                  <c:v>1567</c:v>
                </c:pt>
                <c:pt idx="4">
                  <c:v>1717</c:v>
                </c:pt>
                <c:pt idx="5">
                  <c:v>1823</c:v>
                </c:pt>
                <c:pt idx="6">
                  <c:v>1987</c:v>
                </c:pt>
                <c:pt idx="7">
                  <c:v>1938</c:v>
                </c:pt>
                <c:pt idx="8">
                  <c:v>2084</c:v>
                </c:pt>
                <c:pt idx="9">
                  <c:v>2138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'Publikace a RCI'!$AM$4</c:f>
              <c:strCache>
                <c:ptCount val="1"/>
                <c:pt idx="0">
                  <c:v>Rakousko</c:v>
                </c:pt>
              </c:strCache>
            </c:strRef>
          </c:tx>
          <c:xVal>
            <c:numRef>
              <c:f>'Publikace a RCI'!$AN$2:$AW$2</c:f>
              <c:numCache>
                <c:formatCode>General</c:formatCode>
                <c:ptCount val="10"/>
                <c:pt idx="0">
                  <c:v>2004</c:v>
                </c:pt>
                <c:pt idx="1">
                  <c:v>2005</c:v>
                </c:pt>
                <c:pt idx="2">
                  <c:v>2006</c:v>
                </c:pt>
                <c:pt idx="3">
                  <c:v>2007</c:v>
                </c:pt>
                <c:pt idx="4">
                  <c:v>2008</c:v>
                </c:pt>
                <c:pt idx="5">
                  <c:v>2009</c:v>
                </c:pt>
                <c:pt idx="6">
                  <c:v>2010</c:v>
                </c:pt>
                <c:pt idx="7">
                  <c:v>2011</c:v>
                </c:pt>
                <c:pt idx="8">
                  <c:v>2012</c:v>
                </c:pt>
                <c:pt idx="9">
                  <c:v>2013</c:v>
                </c:pt>
              </c:numCache>
            </c:numRef>
          </c:xVal>
          <c:yVal>
            <c:numRef>
              <c:f>'Publikace a RCI'!$AN$4:$AW$4</c:f>
              <c:numCache>
                <c:formatCode>0</c:formatCode>
                <c:ptCount val="10"/>
                <c:pt idx="0">
                  <c:v>1417</c:v>
                </c:pt>
                <c:pt idx="1">
                  <c:v>1423</c:v>
                </c:pt>
                <c:pt idx="2">
                  <c:v>1606</c:v>
                </c:pt>
                <c:pt idx="3">
                  <c:v>1747</c:v>
                </c:pt>
                <c:pt idx="4">
                  <c:v>1786</c:v>
                </c:pt>
                <c:pt idx="5">
                  <c:v>1965</c:v>
                </c:pt>
                <c:pt idx="6">
                  <c:v>2221</c:v>
                </c:pt>
                <c:pt idx="7">
                  <c:v>2271</c:v>
                </c:pt>
                <c:pt idx="8">
                  <c:v>2325</c:v>
                </c:pt>
                <c:pt idx="9">
                  <c:v>2386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'Publikace a RCI'!$AM$5</c:f>
              <c:strCache>
                <c:ptCount val="1"/>
                <c:pt idx="0">
                  <c:v>Dánsko</c:v>
                </c:pt>
              </c:strCache>
            </c:strRef>
          </c:tx>
          <c:xVal>
            <c:numRef>
              <c:f>'Publikace a RCI'!$AN$2:$AW$2</c:f>
              <c:numCache>
                <c:formatCode>General</c:formatCode>
                <c:ptCount val="10"/>
                <c:pt idx="0">
                  <c:v>2004</c:v>
                </c:pt>
                <c:pt idx="1">
                  <c:v>2005</c:v>
                </c:pt>
                <c:pt idx="2">
                  <c:v>2006</c:v>
                </c:pt>
                <c:pt idx="3">
                  <c:v>2007</c:v>
                </c:pt>
                <c:pt idx="4">
                  <c:v>2008</c:v>
                </c:pt>
                <c:pt idx="5">
                  <c:v>2009</c:v>
                </c:pt>
                <c:pt idx="6">
                  <c:v>2010</c:v>
                </c:pt>
                <c:pt idx="7">
                  <c:v>2011</c:v>
                </c:pt>
                <c:pt idx="8">
                  <c:v>2012</c:v>
                </c:pt>
                <c:pt idx="9">
                  <c:v>2013</c:v>
                </c:pt>
              </c:numCache>
            </c:numRef>
          </c:xVal>
          <c:yVal>
            <c:numRef>
              <c:f>'Publikace a RCI'!$AN$5:$AW$5</c:f>
              <c:numCache>
                <c:formatCode>0</c:formatCode>
                <c:ptCount val="10"/>
                <c:pt idx="0">
                  <c:v>2137</c:v>
                </c:pt>
                <c:pt idx="1">
                  <c:v>2144</c:v>
                </c:pt>
                <c:pt idx="2">
                  <c:v>2195</c:v>
                </c:pt>
                <c:pt idx="3">
                  <c:v>2355</c:v>
                </c:pt>
                <c:pt idx="4">
                  <c:v>2265</c:v>
                </c:pt>
                <c:pt idx="5">
                  <c:v>2360</c:v>
                </c:pt>
                <c:pt idx="6">
                  <c:v>2608</c:v>
                </c:pt>
                <c:pt idx="7">
                  <c:v>2951</c:v>
                </c:pt>
                <c:pt idx="8">
                  <c:v>2975</c:v>
                </c:pt>
                <c:pt idx="9">
                  <c:v>3019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'Publikace a RCI'!$AM$6</c:f>
              <c:strCache>
                <c:ptCount val="1"/>
                <c:pt idx="0">
                  <c:v>Irsko</c:v>
                </c:pt>
              </c:strCache>
            </c:strRef>
          </c:tx>
          <c:xVal>
            <c:numRef>
              <c:f>'Publikace a RCI'!$AN$2:$AW$2</c:f>
              <c:numCache>
                <c:formatCode>General</c:formatCode>
                <c:ptCount val="10"/>
                <c:pt idx="0">
                  <c:v>2004</c:v>
                </c:pt>
                <c:pt idx="1">
                  <c:v>2005</c:v>
                </c:pt>
                <c:pt idx="2">
                  <c:v>2006</c:v>
                </c:pt>
                <c:pt idx="3">
                  <c:v>2007</c:v>
                </c:pt>
                <c:pt idx="4">
                  <c:v>2008</c:v>
                </c:pt>
                <c:pt idx="5">
                  <c:v>2009</c:v>
                </c:pt>
                <c:pt idx="6">
                  <c:v>2010</c:v>
                </c:pt>
                <c:pt idx="7">
                  <c:v>2011</c:v>
                </c:pt>
                <c:pt idx="8">
                  <c:v>2012</c:v>
                </c:pt>
                <c:pt idx="9">
                  <c:v>2013</c:v>
                </c:pt>
              </c:numCache>
            </c:numRef>
          </c:xVal>
          <c:yVal>
            <c:numRef>
              <c:f>'Publikace a RCI'!$AN$6:$AW$6</c:f>
              <c:numCache>
                <c:formatCode>0</c:formatCode>
                <c:ptCount val="10"/>
                <c:pt idx="0">
                  <c:v>700</c:v>
                </c:pt>
                <c:pt idx="1">
                  <c:v>787</c:v>
                </c:pt>
                <c:pt idx="2">
                  <c:v>949</c:v>
                </c:pt>
                <c:pt idx="3">
                  <c:v>1002</c:v>
                </c:pt>
                <c:pt idx="4">
                  <c:v>1184</c:v>
                </c:pt>
                <c:pt idx="5">
                  <c:v>1263</c:v>
                </c:pt>
                <c:pt idx="6">
                  <c:v>1349</c:v>
                </c:pt>
                <c:pt idx="7">
                  <c:v>1508</c:v>
                </c:pt>
                <c:pt idx="8">
                  <c:v>1465</c:v>
                </c:pt>
                <c:pt idx="9">
                  <c:v>1404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'Publikace a RCI'!$AM$7</c:f>
              <c:strCache>
                <c:ptCount val="1"/>
                <c:pt idx="0">
                  <c:v>Portugalsko</c:v>
                </c:pt>
              </c:strCache>
            </c:strRef>
          </c:tx>
          <c:xVal>
            <c:numRef>
              <c:f>'Publikace a RCI'!$AN$2:$AW$2</c:f>
              <c:numCache>
                <c:formatCode>General</c:formatCode>
                <c:ptCount val="10"/>
                <c:pt idx="0">
                  <c:v>2004</c:v>
                </c:pt>
                <c:pt idx="1">
                  <c:v>2005</c:v>
                </c:pt>
                <c:pt idx="2">
                  <c:v>2006</c:v>
                </c:pt>
                <c:pt idx="3">
                  <c:v>2007</c:v>
                </c:pt>
                <c:pt idx="4">
                  <c:v>2008</c:v>
                </c:pt>
                <c:pt idx="5">
                  <c:v>2009</c:v>
                </c:pt>
                <c:pt idx="6">
                  <c:v>2010</c:v>
                </c:pt>
                <c:pt idx="7">
                  <c:v>2011</c:v>
                </c:pt>
                <c:pt idx="8">
                  <c:v>2012</c:v>
                </c:pt>
                <c:pt idx="9">
                  <c:v>2013</c:v>
                </c:pt>
              </c:numCache>
            </c:numRef>
          </c:xVal>
          <c:yVal>
            <c:numRef>
              <c:f>'Publikace a RCI'!$AN$7:$AW$7</c:f>
              <c:numCache>
                <c:formatCode>0</c:formatCode>
                <c:ptCount val="10"/>
                <c:pt idx="0">
                  <c:v>1061</c:v>
                </c:pt>
                <c:pt idx="1">
                  <c:v>1188</c:v>
                </c:pt>
                <c:pt idx="2">
                  <c:v>1506</c:v>
                </c:pt>
                <c:pt idx="3">
                  <c:v>1595</c:v>
                </c:pt>
                <c:pt idx="4">
                  <c:v>1861</c:v>
                </c:pt>
                <c:pt idx="5">
                  <c:v>2187</c:v>
                </c:pt>
                <c:pt idx="6">
                  <c:v>2117</c:v>
                </c:pt>
                <c:pt idx="7">
                  <c:v>2536</c:v>
                </c:pt>
                <c:pt idx="8">
                  <c:v>2651</c:v>
                </c:pt>
                <c:pt idx="9">
                  <c:v>2912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3656192"/>
        <c:axId val="113657728"/>
      </c:scatterChart>
      <c:valAx>
        <c:axId val="1136561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999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cs-CZ"/>
          </a:p>
        </c:txPr>
        <c:crossAx val="113657728"/>
        <c:crosses val="autoZero"/>
        <c:crossBetween val="midCat"/>
      </c:valAx>
      <c:valAx>
        <c:axId val="113657728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113656192"/>
        <c:crosses val="autoZero"/>
        <c:crossBetween val="midCat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'Publikace a RCI'!$Q$17</c:f>
              <c:strCache>
                <c:ptCount val="1"/>
                <c:pt idx="0">
                  <c:v>Česká republika</c:v>
                </c:pt>
              </c:strCache>
            </c:strRef>
          </c:tx>
          <c:invertIfNegative val="0"/>
          <c:cat>
            <c:numRef>
              <c:f>'Publikace a RCI'!$R$16:$V$16</c:f>
              <c:numCache>
                <c:formatCode>General</c:formatCode>
                <c:ptCount val="5"/>
                <c:pt idx="0">
                  <c:v>2005</c:v>
                </c:pt>
                <c:pt idx="1">
                  <c:v>2007</c:v>
                </c:pt>
                <c:pt idx="2">
                  <c:v>2009</c:v>
                </c:pt>
                <c:pt idx="3">
                  <c:v>2011</c:v>
                </c:pt>
                <c:pt idx="4">
                  <c:v>2013</c:v>
                </c:pt>
              </c:numCache>
            </c:numRef>
          </c:cat>
          <c:val>
            <c:numRef>
              <c:f>'Publikace a RCI'!$R$17:$V$17</c:f>
              <c:numCache>
                <c:formatCode>General</c:formatCode>
                <c:ptCount val="5"/>
                <c:pt idx="0">
                  <c:v>1.4810000000000001</c:v>
                </c:pt>
                <c:pt idx="1">
                  <c:v>1.3120000000000001</c:v>
                </c:pt>
                <c:pt idx="2">
                  <c:v>1.3540000000000001</c:v>
                </c:pt>
                <c:pt idx="3">
                  <c:v>1.417</c:v>
                </c:pt>
                <c:pt idx="4">
                  <c:v>1.411</c:v>
                </c:pt>
              </c:numCache>
            </c:numRef>
          </c:val>
        </c:ser>
        <c:ser>
          <c:idx val="1"/>
          <c:order val="1"/>
          <c:tx>
            <c:strRef>
              <c:f>'Publikace a RCI'!$Q$18</c:f>
              <c:strCache>
                <c:ptCount val="1"/>
                <c:pt idx="0">
                  <c:v>Rakousko</c:v>
                </c:pt>
              </c:strCache>
            </c:strRef>
          </c:tx>
          <c:invertIfNegative val="0"/>
          <c:cat>
            <c:numRef>
              <c:f>'Publikace a RCI'!$R$16:$V$16</c:f>
              <c:numCache>
                <c:formatCode>General</c:formatCode>
                <c:ptCount val="5"/>
                <c:pt idx="0">
                  <c:v>2005</c:v>
                </c:pt>
                <c:pt idx="1">
                  <c:v>2007</c:v>
                </c:pt>
                <c:pt idx="2">
                  <c:v>2009</c:v>
                </c:pt>
                <c:pt idx="3">
                  <c:v>2011</c:v>
                </c:pt>
                <c:pt idx="4">
                  <c:v>2013</c:v>
                </c:pt>
              </c:numCache>
            </c:numRef>
          </c:cat>
          <c:val>
            <c:numRef>
              <c:f>'Publikace a RCI'!$R$18:$V$18</c:f>
              <c:numCache>
                <c:formatCode>General</c:formatCode>
                <c:ptCount val="5"/>
                <c:pt idx="0">
                  <c:v>2.2829999999999999</c:v>
                </c:pt>
                <c:pt idx="1">
                  <c:v>2.2879999999999998</c:v>
                </c:pt>
                <c:pt idx="2">
                  <c:v>2.242</c:v>
                </c:pt>
                <c:pt idx="3">
                  <c:v>2.0819999999999999</c:v>
                </c:pt>
                <c:pt idx="4">
                  <c:v>2.0680000000000001</c:v>
                </c:pt>
              </c:numCache>
            </c:numRef>
          </c:val>
        </c:ser>
        <c:ser>
          <c:idx val="2"/>
          <c:order val="2"/>
          <c:tx>
            <c:strRef>
              <c:f>'Publikace a RCI'!$Q$19</c:f>
              <c:strCache>
                <c:ptCount val="1"/>
                <c:pt idx="0">
                  <c:v>Dánsko</c:v>
                </c:pt>
              </c:strCache>
            </c:strRef>
          </c:tx>
          <c:invertIfNegative val="0"/>
          <c:cat>
            <c:numRef>
              <c:f>'Publikace a RCI'!$R$16:$V$16</c:f>
              <c:numCache>
                <c:formatCode>General</c:formatCode>
                <c:ptCount val="5"/>
                <c:pt idx="0">
                  <c:v>2005</c:v>
                </c:pt>
                <c:pt idx="1">
                  <c:v>2007</c:v>
                </c:pt>
                <c:pt idx="2">
                  <c:v>2009</c:v>
                </c:pt>
                <c:pt idx="3">
                  <c:v>2011</c:v>
                </c:pt>
                <c:pt idx="4">
                  <c:v>2013</c:v>
                </c:pt>
              </c:numCache>
            </c:numRef>
          </c:cat>
          <c:val>
            <c:numRef>
              <c:f>'Publikace a RCI'!$R$19:$V$19</c:f>
              <c:numCache>
                <c:formatCode>General</c:formatCode>
                <c:ptCount val="5"/>
                <c:pt idx="0">
                  <c:v>2.4009999999999998</c:v>
                </c:pt>
                <c:pt idx="1">
                  <c:v>2.4660000000000002</c:v>
                </c:pt>
                <c:pt idx="2">
                  <c:v>2.4049999999999998</c:v>
                </c:pt>
                <c:pt idx="3">
                  <c:v>2.42</c:v>
                </c:pt>
                <c:pt idx="4">
                  <c:v>2.3860000000000001</c:v>
                </c:pt>
              </c:numCache>
            </c:numRef>
          </c:val>
        </c:ser>
        <c:ser>
          <c:idx val="3"/>
          <c:order val="3"/>
          <c:tx>
            <c:strRef>
              <c:f>'Publikace a RCI'!$Q$20</c:f>
              <c:strCache>
                <c:ptCount val="1"/>
                <c:pt idx="0">
                  <c:v>Irsko</c:v>
                </c:pt>
              </c:strCache>
            </c:strRef>
          </c:tx>
          <c:invertIfNegative val="0"/>
          <c:cat>
            <c:numRef>
              <c:f>'Publikace a RCI'!$R$16:$V$16</c:f>
              <c:numCache>
                <c:formatCode>General</c:formatCode>
                <c:ptCount val="5"/>
                <c:pt idx="0">
                  <c:v>2005</c:v>
                </c:pt>
                <c:pt idx="1">
                  <c:v>2007</c:v>
                </c:pt>
                <c:pt idx="2">
                  <c:v>2009</c:v>
                </c:pt>
                <c:pt idx="3">
                  <c:v>2011</c:v>
                </c:pt>
                <c:pt idx="4">
                  <c:v>2013</c:v>
                </c:pt>
              </c:numCache>
            </c:numRef>
          </c:cat>
          <c:val>
            <c:numRef>
              <c:f>'Publikace a RCI'!$R$20:$V$20</c:f>
              <c:numCache>
                <c:formatCode>General</c:formatCode>
                <c:ptCount val="5"/>
                <c:pt idx="0">
                  <c:v>1.7390000000000001</c:v>
                </c:pt>
                <c:pt idx="1">
                  <c:v>2.0329999999999999</c:v>
                </c:pt>
                <c:pt idx="2">
                  <c:v>2.06</c:v>
                </c:pt>
                <c:pt idx="3">
                  <c:v>2.1829999999999998</c:v>
                </c:pt>
                <c:pt idx="4">
                  <c:v>1.9</c:v>
                </c:pt>
              </c:numCache>
            </c:numRef>
          </c:val>
        </c:ser>
        <c:ser>
          <c:idx val="4"/>
          <c:order val="4"/>
          <c:tx>
            <c:strRef>
              <c:f>'Publikace a RCI'!$Q$21</c:f>
              <c:strCache>
                <c:ptCount val="1"/>
                <c:pt idx="0">
                  <c:v>Portugalsko</c:v>
                </c:pt>
              </c:strCache>
            </c:strRef>
          </c:tx>
          <c:invertIfNegative val="0"/>
          <c:cat>
            <c:numRef>
              <c:f>'Publikace a RCI'!$R$16:$V$16</c:f>
              <c:numCache>
                <c:formatCode>General</c:formatCode>
                <c:ptCount val="5"/>
                <c:pt idx="0">
                  <c:v>2005</c:v>
                </c:pt>
                <c:pt idx="1">
                  <c:v>2007</c:v>
                </c:pt>
                <c:pt idx="2">
                  <c:v>2009</c:v>
                </c:pt>
                <c:pt idx="3">
                  <c:v>2011</c:v>
                </c:pt>
                <c:pt idx="4">
                  <c:v>2013</c:v>
                </c:pt>
              </c:numCache>
            </c:numRef>
          </c:cat>
          <c:val>
            <c:numRef>
              <c:f>'Publikace a RCI'!$R$21:$V$21</c:f>
              <c:numCache>
                <c:formatCode>General</c:formatCode>
                <c:ptCount val="5"/>
                <c:pt idx="0">
                  <c:v>1.71</c:v>
                </c:pt>
                <c:pt idx="1">
                  <c:v>1.8759999999999999</c:v>
                </c:pt>
                <c:pt idx="2">
                  <c:v>1.6850000000000001</c:v>
                </c:pt>
                <c:pt idx="3">
                  <c:v>1.641</c:v>
                </c:pt>
                <c:pt idx="4">
                  <c:v>1.671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7109504"/>
        <c:axId val="117111040"/>
      </c:barChart>
      <c:catAx>
        <c:axId val="11710950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17111040"/>
        <c:crosses val="autoZero"/>
        <c:auto val="1"/>
        <c:lblAlgn val="ctr"/>
        <c:lblOffset val="100"/>
        <c:noMultiLvlLbl val="0"/>
      </c:catAx>
      <c:valAx>
        <c:axId val="117111040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crossAx val="117109504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0.13142</cdr:x>
      <cdr:y>0.11621</cdr:y>
    </cdr:from>
    <cdr:to>
      <cdr:x>0.33881</cdr:x>
      <cdr:y>0.16786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609601" y="385764"/>
          <a:ext cx="962025" cy="1714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 anchor="ctr"/>
        <a:lstStyle xmlns:a="http://schemas.openxmlformats.org/drawingml/2006/main"/>
        <a:p xmlns:a="http://schemas.openxmlformats.org/drawingml/2006/main">
          <a:endParaRPr lang="cs-CZ" sz="1000"/>
        </a:p>
      </cdr:txBody>
    </cdr:sp>
  </cdr:relSizeAnchor>
  <cdr:relSizeAnchor xmlns:cdr="http://schemas.openxmlformats.org/drawingml/2006/chartDrawing">
    <cdr:from>
      <cdr:x>0.4943</cdr:x>
      <cdr:y>0.38674</cdr:y>
    </cdr:from>
    <cdr:to>
      <cdr:x>0.5711</cdr:x>
      <cdr:y>0.42265</cdr:y>
    </cdr:to>
    <cdr:sp macro="" textlink="">
      <cdr:nvSpPr>
        <cdr:cNvPr id="4" name="TextovéPole 3"/>
        <cdr:cNvSpPr txBox="1"/>
      </cdr:nvSpPr>
      <cdr:spPr>
        <a:xfrm xmlns:a="http://schemas.openxmlformats.org/drawingml/2006/main">
          <a:off x="6191251" y="2667000"/>
          <a:ext cx="962026" cy="24764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0.48871</cdr:x>
      <cdr:y>0.50646</cdr:y>
    </cdr:from>
    <cdr:to>
      <cdr:x>0.55361</cdr:x>
      <cdr:y>0.54144</cdr:y>
    </cdr:to>
    <cdr:sp macro="" textlink="">
      <cdr:nvSpPr>
        <cdr:cNvPr id="5" name="TextovéPole 4"/>
        <cdr:cNvSpPr txBox="1"/>
      </cdr:nvSpPr>
      <cdr:spPr>
        <a:xfrm xmlns:a="http://schemas.openxmlformats.org/drawingml/2006/main">
          <a:off x="6121278" y="3492599"/>
          <a:ext cx="812924" cy="24120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0.68821</cdr:x>
      <cdr:y>0.64917</cdr:y>
    </cdr:from>
    <cdr:to>
      <cdr:x>0.90222</cdr:x>
      <cdr:y>0.7094</cdr:y>
    </cdr:to>
    <cdr:sp macro="" textlink="">
      <cdr:nvSpPr>
        <cdr:cNvPr id="6" name="TextovéPole 5"/>
        <cdr:cNvSpPr txBox="1"/>
      </cdr:nvSpPr>
      <cdr:spPr>
        <a:xfrm xmlns:a="http://schemas.openxmlformats.org/drawingml/2006/main">
          <a:off x="4424760" y="3617256"/>
          <a:ext cx="1375965" cy="33561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 anchor="t"/>
        <a:lstStyle xmlns:a="http://schemas.openxmlformats.org/drawingml/2006/main"/>
        <a:p xmlns:a="http://schemas.openxmlformats.org/drawingml/2006/main">
          <a:r>
            <a:rPr lang="cs-CZ" sz="1000"/>
            <a:t>Informatické vědy</a:t>
          </a:r>
        </a:p>
      </cdr:txBody>
    </cdr:sp>
  </cdr:relSizeAnchor>
  <cdr:relSizeAnchor xmlns:cdr="http://schemas.openxmlformats.org/drawingml/2006/chartDrawing">
    <cdr:from>
      <cdr:x>0.26899</cdr:x>
      <cdr:y>0.68436</cdr:y>
    </cdr:from>
    <cdr:to>
      <cdr:x>0.50513</cdr:x>
      <cdr:y>0.7561</cdr:y>
    </cdr:to>
    <cdr:sp macro="" textlink="">
      <cdr:nvSpPr>
        <cdr:cNvPr id="7" name="TextovéPole 6"/>
        <cdr:cNvSpPr txBox="1"/>
      </cdr:nvSpPr>
      <cdr:spPr>
        <a:xfrm xmlns:a="http://schemas.openxmlformats.org/drawingml/2006/main">
          <a:off x="1247776" y="2271715"/>
          <a:ext cx="1095375" cy="23812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0.53593</cdr:x>
      <cdr:y>0.6241</cdr:y>
    </cdr:from>
    <cdr:to>
      <cdr:x>0.73306</cdr:x>
      <cdr:y>0.75323</cdr:y>
    </cdr:to>
    <cdr:sp macro="" textlink="">
      <cdr:nvSpPr>
        <cdr:cNvPr id="10" name="TextovéPole 9"/>
        <cdr:cNvSpPr txBox="1"/>
      </cdr:nvSpPr>
      <cdr:spPr>
        <a:xfrm xmlns:a="http://schemas.openxmlformats.org/drawingml/2006/main">
          <a:off x="2486026" y="2071689"/>
          <a:ext cx="914400" cy="4286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0.33571</cdr:x>
      <cdr:y>0.22765</cdr:y>
    </cdr:from>
    <cdr:to>
      <cdr:x>0.42857</cdr:x>
      <cdr:y>0.25626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2238376" y="1819275"/>
          <a:ext cx="619125" cy="2286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0.38286</cdr:x>
      <cdr:y>0.15971</cdr:y>
    </cdr:from>
    <cdr:to>
      <cdr:x>0.52143</cdr:x>
      <cdr:y>0.17998</cdr:y>
    </cdr:to>
    <cdr:sp macro="" textlink="">
      <cdr:nvSpPr>
        <cdr:cNvPr id="8" name="TextovéPole 7"/>
        <cdr:cNvSpPr txBox="1"/>
      </cdr:nvSpPr>
      <cdr:spPr>
        <a:xfrm xmlns:a="http://schemas.openxmlformats.org/drawingml/2006/main">
          <a:off x="2552701" y="1276350"/>
          <a:ext cx="923925" cy="1619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0.31143</cdr:x>
      <cdr:y>0.27348</cdr:y>
    </cdr:from>
    <cdr:to>
      <cdr:x>0.37719</cdr:x>
      <cdr:y>0.30801</cdr:y>
    </cdr:to>
    <cdr:sp macro="" textlink="">
      <cdr:nvSpPr>
        <cdr:cNvPr id="11" name="TextovéPole 10"/>
        <cdr:cNvSpPr txBox="1"/>
      </cdr:nvSpPr>
      <cdr:spPr>
        <a:xfrm xmlns:a="http://schemas.openxmlformats.org/drawingml/2006/main">
          <a:off x="3900778" y="1885949"/>
          <a:ext cx="823623" cy="2381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100"/>
            <a:t>Vědy o zemi</a:t>
          </a:r>
        </a:p>
      </cdr:txBody>
    </cdr:sp>
  </cdr:relSizeAnchor>
  <cdr:relSizeAnchor xmlns:cdr="http://schemas.openxmlformats.org/drawingml/2006/chartDrawing">
    <cdr:from>
      <cdr:x>0.69429</cdr:x>
      <cdr:y>0.09297</cdr:y>
    </cdr:from>
    <cdr:to>
      <cdr:x>0.83143</cdr:x>
      <cdr:y>0.20739</cdr:y>
    </cdr:to>
    <cdr:sp macro="" textlink="">
      <cdr:nvSpPr>
        <cdr:cNvPr id="12" name="TextovéPole 11"/>
        <cdr:cNvSpPr txBox="1"/>
      </cdr:nvSpPr>
      <cdr:spPr>
        <a:xfrm xmlns:a="http://schemas.openxmlformats.org/drawingml/2006/main">
          <a:off x="4629151" y="742950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0.46768</cdr:x>
      <cdr:y>0.57182</cdr:y>
    </cdr:from>
    <cdr:to>
      <cdr:x>0.56122</cdr:x>
      <cdr:y>0.60746</cdr:y>
    </cdr:to>
    <cdr:sp macro="" textlink="">
      <cdr:nvSpPr>
        <cdr:cNvPr id="13" name="TextovéPole 12"/>
        <cdr:cNvSpPr txBox="1"/>
      </cdr:nvSpPr>
      <cdr:spPr>
        <a:xfrm xmlns:a="http://schemas.openxmlformats.org/drawingml/2006/main">
          <a:off x="5857876" y="3943351"/>
          <a:ext cx="1171575" cy="24574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100"/>
            <a:t>Společenské vědy</a:t>
          </a:r>
        </a:p>
      </cdr:txBody>
    </cdr:sp>
  </cdr:relSizeAnchor>
  <cdr:relSizeAnchor xmlns:cdr="http://schemas.openxmlformats.org/drawingml/2006/chartDrawing">
    <cdr:from>
      <cdr:x>0.63083</cdr:x>
      <cdr:y>0.13411</cdr:y>
    </cdr:from>
    <cdr:to>
      <cdr:x>0.76662</cdr:x>
      <cdr:y>0.29305</cdr:y>
    </cdr:to>
    <cdr:sp macro="" textlink="">
      <cdr:nvSpPr>
        <cdr:cNvPr id="15" name="TextovéPole 14"/>
        <cdr:cNvSpPr txBox="1"/>
      </cdr:nvSpPr>
      <cdr:spPr>
        <a:xfrm xmlns:a="http://schemas.openxmlformats.org/drawingml/2006/main">
          <a:off x="4248151" y="771525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0.61901</cdr:x>
      <cdr:y>0.23343</cdr:y>
    </cdr:from>
    <cdr:to>
      <cdr:x>0.69202</cdr:x>
      <cdr:y>0.36602</cdr:y>
    </cdr:to>
    <cdr:sp macro="" textlink="">
      <cdr:nvSpPr>
        <cdr:cNvPr id="9" name="TextovéPole 8"/>
        <cdr:cNvSpPr txBox="1"/>
      </cdr:nvSpPr>
      <cdr:spPr>
        <a:xfrm xmlns:a="http://schemas.openxmlformats.org/drawingml/2006/main">
          <a:off x="7753351" y="1609725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0.57795</cdr:x>
      <cdr:y>0.23343</cdr:y>
    </cdr:from>
    <cdr:to>
      <cdr:x>0.65095</cdr:x>
      <cdr:y>0.36602</cdr:y>
    </cdr:to>
    <cdr:sp macro="" textlink="">
      <cdr:nvSpPr>
        <cdr:cNvPr id="14" name="TextovéPole 13"/>
        <cdr:cNvSpPr txBox="1"/>
      </cdr:nvSpPr>
      <cdr:spPr>
        <a:xfrm xmlns:a="http://schemas.openxmlformats.org/drawingml/2006/main">
          <a:off x="7239001" y="1609725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0.56958</cdr:x>
      <cdr:y>0.43785</cdr:y>
    </cdr:from>
    <cdr:to>
      <cdr:x>0.59087</cdr:x>
      <cdr:y>0.62017</cdr:y>
    </cdr:to>
    <cdr:sp macro="" textlink="">
      <cdr:nvSpPr>
        <cdr:cNvPr id="16" name="TextovéPole 15"/>
        <cdr:cNvSpPr txBox="1"/>
      </cdr:nvSpPr>
      <cdr:spPr>
        <a:xfrm xmlns:a="http://schemas.openxmlformats.org/drawingml/2006/main" rot="17328967">
          <a:off x="6638926" y="3514725"/>
          <a:ext cx="1257300" cy="2667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0.52852</cdr:x>
      <cdr:y>0.42956</cdr:y>
    </cdr:from>
    <cdr:to>
      <cdr:x>0.60152</cdr:x>
      <cdr:y>0.56215</cdr:y>
    </cdr:to>
    <cdr:sp macro="" textlink="">
      <cdr:nvSpPr>
        <cdr:cNvPr id="17" name="TextovéPole 16"/>
        <cdr:cNvSpPr txBox="1"/>
      </cdr:nvSpPr>
      <cdr:spPr>
        <a:xfrm xmlns:a="http://schemas.openxmlformats.org/drawingml/2006/main">
          <a:off x="6619876" y="2962275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0.50342</cdr:x>
      <cdr:y>0.50552</cdr:y>
    </cdr:from>
    <cdr:to>
      <cdr:x>0.66236</cdr:x>
      <cdr:y>0.54696</cdr:y>
    </cdr:to>
    <cdr:sp macro="" textlink="">
      <cdr:nvSpPr>
        <cdr:cNvPr id="18" name="TextovéPole 17"/>
        <cdr:cNvSpPr txBox="1"/>
      </cdr:nvSpPr>
      <cdr:spPr>
        <a:xfrm xmlns:a="http://schemas.openxmlformats.org/drawingml/2006/main">
          <a:off x="6305525" y="3486150"/>
          <a:ext cx="1990783" cy="2857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100"/>
            <a:t>Fyzikální a matematické vědy</a:t>
          </a:r>
        </a:p>
      </cdr:txBody>
    </cdr:sp>
  </cdr:relSizeAnchor>
  <cdr:relSizeAnchor xmlns:cdr="http://schemas.openxmlformats.org/drawingml/2006/chartDrawing">
    <cdr:from>
      <cdr:x>0.50418</cdr:x>
      <cdr:y>0.3895</cdr:y>
    </cdr:from>
    <cdr:to>
      <cdr:x>0.57719</cdr:x>
      <cdr:y>0.44337</cdr:y>
    </cdr:to>
    <cdr:sp macro="" textlink="">
      <cdr:nvSpPr>
        <cdr:cNvPr id="19" name="TextovéPole 18"/>
        <cdr:cNvSpPr txBox="1"/>
      </cdr:nvSpPr>
      <cdr:spPr>
        <a:xfrm xmlns:a="http://schemas.openxmlformats.org/drawingml/2006/main">
          <a:off x="6315076" y="2686050"/>
          <a:ext cx="914400" cy="37147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0.48897</cdr:x>
      <cdr:y>0.45994</cdr:y>
    </cdr:from>
    <cdr:to>
      <cdr:x>0.58327</cdr:x>
      <cdr:y>0.49171</cdr:y>
    </cdr:to>
    <cdr:sp macro="" textlink="">
      <cdr:nvSpPr>
        <cdr:cNvPr id="20" name="TextovéPole 19"/>
        <cdr:cNvSpPr txBox="1"/>
      </cdr:nvSpPr>
      <cdr:spPr>
        <a:xfrm xmlns:a="http://schemas.openxmlformats.org/drawingml/2006/main">
          <a:off x="6124533" y="3171824"/>
          <a:ext cx="1181143" cy="21907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100"/>
            <a:t>Lékařské vědy</a:t>
          </a:r>
        </a:p>
      </cdr:txBody>
    </cdr:sp>
  </cdr:relSizeAnchor>
  <cdr:relSizeAnchor xmlns:cdr="http://schemas.openxmlformats.org/drawingml/2006/chartDrawing">
    <cdr:from>
      <cdr:x>0.51483</cdr:x>
      <cdr:y>0.30801</cdr:y>
    </cdr:from>
    <cdr:to>
      <cdr:x>0.58783</cdr:x>
      <cdr:y>0.44061</cdr:y>
    </cdr:to>
    <cdr:sp macro="" textlink="">
      <cdr:nvSpPr>
        <cdr:cNvPr id="21" name="TextovéPole 20"/>
        <cdr:cNvSpPr txBox="1"/>
      </cdr:nvSpPr>
      <cdr:spPr>
        <a:xfrm xmlns:a="http://schemas.openxmlformats.org/drawingml/2006/main">
          <a:off x="6448426" y="2124075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0.42357</cdr:x>
      <cdr:y>0.43923</cdr:y>
    </cdr:from>
    <cdr:to>
      <cdr:x>0.5019</cdr:x>
      <cdr:y>0.47376</cdr:y>
    </cdr:to>
    <cdr:sp macro="" textlink="">
      <cdr:nvSpPr>
        <cdr:cNvPr id="22" name="TextovéPole 21"/>
        <cdr:cNvSpPr txBox="1"/>
      </cdr:nvSpPr>
      <cdr:spPr>
        <a:xfrm xmlns:a="http://schemas.openxmlformats.org/drawingml/2006/main">
          <a:off x="5305374" y="3028949"/>
          <a:ext cx="981112" cy="2381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100"/>
            <a:t>Chemické vědy</a:t>
          </a:r>
        </a:p>
      </cdr:txBody>
    </cdr:sp>
  </cdr:relSizeAnchor>
  <cdr:relSizeAnchor xmlns:cdr="http://schemas.openxmlformats.org/drawingml/2006/chartDrawing">
    <cdr:from>
      <cdr:x>0.40913</cdr:x>
      <cdr:y>0.38398</cdr:y>
    </cdr:from>
    <cdr:to>
      <cdr:x>0.4654</cdr:x>
      <cdr:y>0.42403</cdr:y>
    </cdr:to>
    <cdr:sp macro="" textlink="">
      <cdr:nvSpPr>
        <cdr:cNvPr id="23" name="TextovéPole 22"/>
        <cdr:cNvSpPr txBox="1"/>
      </cdr:nvSpPr>
      <cdr:spPr>
        <a:xfrm xmlns:a="http://schemas.openxmlformats.org/drawingml/2006/main">
          <a:off x="5124507" y="2647950"/>
          <a:ext cx="704803" cy="27622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100"/>
            <a:t>Biovědy</a:t>
          </a:r>
        </a:p>
      </cdr:txBody>
    </cdr:sp>
  </cdr:relSizeAnchor>
  <cdr:relSizeAnchor xmlns:cdr="http://schemas.openxmlformats.org/drawingml/2006/chartDrawing">
    <cdr:from>
      <cdr:x>0.40989</cdr:x>
      <cdr:y>0.31492</cdr:y>
    </cdr:from>
    <cdr:to>
      <cdr:x>0.50266</cdr:x>
      <cdr:y>0.35497</cdr:y>
    </cdr:to>
    <cdr:sp macro="" textlink="">
      <cdr:nvSpPr>
        <cdr:cNvPr id="24" name="TextovéPole 23"/>
        <cdr:cNvSpPr txBox="1"/>
      </cdr:nvSpPr>
      <cdr:spPr>
        <a:xfrm xmlns:a="http://schemas.openxmlformats.org/drawingml/2006/main">
          <a:off x="5134026" y="2171700"/>
          <a:ext cx="1161980" cy="2762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100"/>
            <a:t>Zemědělské vědy</a:t>
          </a:r>
        </a:p>
      </cdr:txBody>
    </cdr:sp>
  </cdr:relSizeAnchor>
  <cdr:relSizeAnchor xmlns:cdr="http://schemas.openxmlformats.org/drawingml/2006/chartDrawing">
    <cdr:from>
      <cdr:x>0.45171</cdr:x>
      <cdr:y>0.41436</cdr:y>
    </cdr:from>
    <cdr:to>
      <cdr:x>0.54449</cdr:x>
      <cdr:y>0.44751</cdr:y>
    </cdr:to>
    <cdr:sp macro="" textlink="">
      <cdr:nvSpPr>
        <cdr:cNvPr id="25" name="TextovéPole 24"/>
        <cdr:cNvSpPr txBox="1"/>
      </cdr:nvSpPr>
      <cdr:spPr>
        <a:xfrm xmlns:a="http://schemas.openxmlformats.org/drawingml/2006/main">
          <a:off x="5657852" y="2857500"/>
          <a:ext cx="1162050" cy="2286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100"/>
            <a:t>Průmyslové vědy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0.09832</cdr:x>
      <cdr:y>0.44367</cdr:y>
    </cdr:from>
    <cdr:to>
      <cdr:x>0.26707</cdr:x>
      <cdr:y>0.65795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488149" y="1018743"/>
          <a:ext cx="837855" cy="49202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400" b="1"/>
            <a:t>3 849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0.2729</cdr:x>
      <cdr:y>0.54462</cdr:y>
    </cdr:from>
    <cdr:to>
      <cdr:x>0.39677</cdr:x>
      <cdr:y>0.84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014538" y="1685926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0.14903</cdr:x>
      <cdr:y>0.50128</cdr:y>
    </cdr:from>
    <cdr:to>
      <cdr:x>0.24581</cdr:x>
      <cdr:y>0.63974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738167" y="1074300"/>
          <a:ext cx="479350" cy="29673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400" b="1"/>
            <a:t>262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0.13274</cdr:x>
      <cdr:y>0.48893</cdr:y>
    </cdr:from>
    <cdr:to>
      <cdr:x>0.25403</cdr:x>
      <cdr:y>0.65179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657225" y="1256784"/>
          <a:ext cx="600519" cy="41862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400" b="1"/>
            <a:t>236</a:t>
          </a: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0.09833</cdr:x>
      <cdr:y>0.42045</cdr:y>
    </cdr:from>
    <cdr:to>
      <cdr:x>0.29</cdr:x>
      <cdr:y>0.5976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395250" y="841271"/>
          <a:ext cx="770428" cy="35445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400" b="1"/>
            <a:t>146</a:t>
          </a:r>
        </a:p>
      </cdr:txBody>
    </cdr: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0.118</cdr:x>
      <cdr:y>0.44457</cdr:y>
    </cdr:from>
    <cdr:to>
      <cdr:x>0.28884</cdr:x>
      <cdr:y>0.6319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540483" y="897164"/>
          <a:ext cx="782491" cy="3780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400" b="1"/>
            <a:t>863</a:t>
          </a:r>
        </a:p>
      </cdr:txBody>
    </cdr:sp>
  </cdr:relSizeAnchor>
</c:userShape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4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5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6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7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8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9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0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897371-A458-4FC2-AB16-E22DACDFA1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30</Pages>
  <Words>7674</Words>
  <Characters>45281</Characters>
  <Application>Microsoft Office Word</Application>
  <DocSecurity>0</DocSecurity>
  <Lines>377</Lines>
  <Paragraphs>105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Úřad vlády ČR</Company>
  <LinksUpToDate>false</LinksUpToDate>
  <CharactersWithSpaces>52850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Luboš Sychra</dc:creator>
  <cp:lastModifiedBy>Bártová Milada</cp:lastModifiedBy>
  <cp:revision>6</cp:revision>
  <cp:lastPrinted>2015-02-18T11:57:00Z</cp:lastPrinted>
  <dcterms:created xsi:type="dcterms:W3CDTF">2015-09-15T13:56:00Z</dcterms:created>
  <dcterms:modified xsi:type="dcterms:W3CDTF">2015-09-17T08:59:00Z</dcterms:modified>
</cp:coreProperties>
</file>