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C389E" w:rsidRPr="005C389E" w:rsidRDefault="005C389E" w:rsidP="00BC5587">
      <w:pPr>
        <w:spacing w:before="120" w:after="0" w:line="276" w:lineRule="auto"/>
        <w:jc w:val="right"/>
        <w:rPr>
          <w:rFonts w:ascii="Arial" w:hAnsi="Arial"/>
        </w:rPr>
      </w:pPr>
      <w:r w:rsidRPr="005C389E">
        <w:rPr>
          <w:rFonts w:ascii="Arial" w:hAnsi="Arial"/>
        </w:rPr>
        <w:t>V.</w:t>
      </w:r>
    </w:p>
    <w:p w:rsidR="00DC34B7" w:rsidRPr="00F51F10" w:rsidRDefault="00660A9A" w:rsidP="00BC5587">
      <w:pPr>
        <w:spacing w:before="120" w:after="0" w:line="276" w:lineRule="auto"/>
        <w:jc w:val="right"/>
        <w:rPr>
          <w:b/>
          <w:sz w:val="32"/>
          <w:szCs w:val="32"/>
        </w:rPr>
      </w:pPr>
      <w:r>
        <w:rPr>
          <w:b/>
          <w:sz w:val="32"/>
          <w:szCs w:val="32"/>
        </w:rPr>
        <w:t>Příloha 1</w:t>
      </w:r>
    </w:p>
    <w:p w:rsidR="00DC34B7" w:rsidRPr="00A52D2C" w:rsidRDefault="00DC34B7" w:rsidP="00BC5587">
      <w:pPr>
        <w:spacing w:before="120" w:after="0" w:line="276" w:lineRule="auto"/>
      </w:pPr>
    </w:p>
    <w:p w:rsidR="00DC34B7" w:rsidRPr="00A52D2C" w:rsidRDefault="00DC34B7" w:rsidP="00BC5587">
      <w:pPr>
        <w:spacing w:before="120" w:after="0" w:line="276" w:lineRule="auto"/>
      </w:pPr>
    </w:p>
    <w:p w:rsidR="00DC34B7" w:rsidRPr="00A52D2C" w:rsidRDefault="00DC34B7" w:rsidP="00BC5587">
      <w:pPr>
        <w:spacing w:before="120" w:after="0" w:line="276" w:lineRule="auto"/>
      </w:pPr>
    </w:p>
    <w:p w:rsidR="00DC34B7" w:rsidRPr="00A52D2C" w:rsidRDefault="00DC34B7" w:rsidP="00BC5587">
      <w:pPr>
        <w:spacing w:before="120" w:after="0" w:line="276" w:lineRule="auto"/>
      </w:pPr>
    </w:p>
    <w:p w:rsidR="003E6BA6" w:rsidRPr="00A52D2C" w:rsidRDefault="003E6BA6" w:rsidP="00BC5587">
      <w:pPr>
        <w:spacing w:before="120" w:after="0" w:line="276" w:lineRule="auto"/>
      </w:pPr>
    </w:p>
    <w:p w:rsidR="00DC34B7" w:rsidRPr="00A52D2C" w:rsidRDefault="00DC34B7" w:rsidP="00BC5587">
      <w:pPr>
        <w:spacing w:before="120" w:after="0" w:line="276" w:lineRule="auto"/>
      </w:pPr>
    </w:p>
    <w:p w:rsidR="00DC34B7" w:rsidRPr="00A52D2C" w:rsidRDefault="00DC34B7" w:rsidP="00BC5587">
      <w:pPr>
        <w:spacing w:before="120" w:after="0" w:line="276" w:lineRule="auto"/>
      </w:pPr>
    </w:p>
    <w:p w:rsidR="00DC34B7" w:rsidRPr="00F51F10" w:rsidRDefault="00DC34B7" w:rsidP="00BC5587">
      <w:pPr>
        <w:spacing w:before="120" w:after="0" w:line="276" w:lineRule="auto"/>
        <w:jc w:val="center"/>
        <w:rPr>
          <w:b/>
          <w:sz w:val="48"/>
          <w:szCs w:val="48"/>
        </w:rPr>
      </w:pPr>
      <w:r w:rsidRPr="00F51F10">
        <w:rPr>
          <w:b/>
          <w:sz w:val="48"/>
          <w:szCs w:val="48"/>
        </w:rPr>
        <w:t xml:space="preserve">PODKLADOVÁ STUDIE PRO NÁVRH PROGRAMU </w:t>
      </w:r>
      <w:r w:rsidR="008D751E" w:rsidRPr="00F51F10">
        <w:rPr>
          <w:b/>
          <w:sz w:val="48"/>
          <w:szCs w:val="48"/>
        </w:rPr>
        <w:t>TH</w:t>
      </w:r>
      <w:r w:rsidRPr="00F51F10">
        <w:rPr>
          <w:b/>
          <w:sz w:val="48"/>
          <w:szCs w:val="48"/>
        </w:rPr>
        <w:t>ÉTA</w:t>
      </w:r>
    </w:p>
    <w:p w:rsidR="00DC34B7" w:rsidRPr="00A52D2C" w:rsidRDefault="00DC34B7" w:rsidP="00BC5587">
      <w:pPr>
        <w:pStyle w:val="Nzev"/>
        <w:spacing w:before="120" w:after="0" w:line="276" w:lineRule="auto"/>
      </w:pPr>
    </w:p>
    <w:p w:rsidR="00DC34B7" w:rsidRDefault="00DC34B7" w:rsidP="00BC5587">
      <w:pPr>
        <w:spacing w:before="120" w:after="0" w:line="276" w:lineRule="auto"/>
        <w:jc w:val="center"/>
      </w:pPr>
      <w:r w:rsidRPr="00A52D2C">
        <w:t>(září 2016</w:t>
      </w:r>
      <w:r w:rsidR="00BF79FA">
        <w:t>, TA ČR</w:t>
      </w:r>
      <w:r w:rsidRPr="00A52D2C">
        <w:t>)</w:t>
      </w:r>
    </w:p>
    <w:p w:rsidR="000F2A00" w:rsidRDefault="000F2A00" w:rsidP="00BC5587">
      <w:pPr>
        <w:spacing w:before="120" w:after="0" w:line="276" w:lineRule="auto"/>
      </w:pPr>
    </w:p>
    <w:p w:rsidR="000F2A00" w:rsidRDefault="000F2A00" w:rsidP="00BC5587">
      <w:pPr>
        <w:spacing w:before="120" w:after="0" w:line="276" w:lineRule="auto"/>
      </w:pPr>
    </w:p>
    <w:p w:rsidR="00C26960" w:rsidRDefault="00C26960" w:rsidP="00BC5587">
      <w:pPr>
        <w:spacing w:before="120" w:after="0" w:line="276" w:lineRule="auto"/>
        <w:sectPr w:rsidR="00C26960" w:rsidSect="005D4FEC">
          <w:headerReference w:type="default" r:id="rId9"/>
          <w:footerReference w:type="default" r:id="rId10"/>
          <w:headerReference w:type="first" r:id="rId11"/>
          <w:pgSz w:w="11906" w:h="16838"/>
          <w:pgMar w:top="2581" w:right="1133" w:bottom="1417" w:left="1133" w:header="708" w:footer="708" w:gutter="0"/>
          <w:pgNumType w:start="1"/>
          <w:cols w:space="708"/>
          <w:titlePg/>
          <w:docGrid w:linePitch="299"/>
        </w:sectPr>
      </w:pPr>
    </w:p>
    <w:p w:rsidR="005D4FEC" w:rsidRPr="00484951" w:rsidRDefault="005D4FEC" w:rsidP="00A35B2E">
      <w:pPr>
        <w:pStyle w:val="Obsah1"/>
        <w:rPr>
          <w:color w:val="FF0000"/>
          <w:sz w:val="28"/>
        </w:rPr>
      </w:pPr>
      <w:r w:rsidRPr="00484951">
        <w:rPr>
          <w:color w:val="FF0000"/>
          <w:sz w:val="28"/>
        </w:rPr>
        <w:lastRenderedPageBreak/>
        <w:t>Obsah:</w:t>
      </w:r>
    </w:p>
    <w:bookmarkStart w:id="0" w:name="_GoBack"/>
    <w:bookmarkEnd w:id="0"/>
    <w:p w:rsidR="00A333AD" w:rsidRDefault="00484951">
      <w:pPr>
        <w:pStyle w:val="Obsah1"/>
        <w:rPr>
          <w:rFonts w:asciiTheme="minorHAnsi" w:eastAsiaTheme="minorEastAsia" w:hAnsiTheme="minorHAnsi" w:cstheme="minorBidi"/>
          <w:b w:val="0"/>
          <w:noProof/>
          <w:color w:val="auto"/>
          <w:sz w:val="22"/>
          <w:szCs w:val="22"/>
        </w:rPr>
      </w:pPr>
      <w:r>
        <w:rPr>
          <w:b w:val="0"/>
          <w:szCs w:val="20"/>
        </w:rPr>
        <w:fldChar w:fldCharType="begin"/>
      </w:r>
      <w:r>
        <w:rPr>
          <w:b w:val="0"/>
          <w:szCs w:val="20"/>
        </w:rPr>
        <w:instrText xml:space="preserve"> TOC \o "1-2" \f \h \z \u </w:instrText>
      </w:r>
      <w:r>
        <w:rPr>
          <w:b w:val="0"/>
          <w:szCs w:val="20"/>
        </w:rPr>
        <w:fldChar w:fldCharType="separate"/>
      </w:r>
      <w:hyperlink w:anchor="_Toc463438621" w:history="1">
        <w:r w:rsidR="00A333AD" w:rsidRPr="000A1BEB">
          <w:rPr>
            <w:rStyle w:val="Hypertextovodkaz"/>
            <w:noProof/>
          </w:rPr>
          <w:t>1.</w:t>
        </w:r>
        <w:r w:rsidR="00A333AD">
          <w:rPr>
            <w:rFonts w:asciiTheme="minorHAnsi" w:eastAsiaTheme="minorEastAsia" w:hAnsiTheme="minorHAnsi" w:cstheme="minorBidi"/>
            <w:b w:val="0"/>
            <w:noProof/>
            <w:color w:val="auto"/>
            <w:sz w:val="22"/>
            <w:szCs w:val="22"/>
          </w:rPr>
          <w:tab/>
        </w:r>
        <w:r w:rsidR="00A333AD" w:rsidRPr="000A1BEB">
          <w:rPr>
            <w:rStyle w:val="Hypertextovodkaz"/>
            <w:noProof/>
          </w:rPr>
          <w:t>Shrnutí</w:t>
        </w:r>
        <w:r w:rsidR="00A333AD">
          <w:rPr>
            <w:noProof/>
            <w:webHidden/>
          </w:rPr>
          <w:tab/>
        </w:r>
        <w:r w:rsidR="00A333AD">
          <w:rPr>
            <w:noProof/>
            <w:webHidden/>
          </w:rPr>
          <w:fldChar w:fldCharType="begin"/>
        </w:r>
        <w:r w:rsidR="00A333AD">
          <w:rPr>
            <w:noProof/>
            <w:webHidden/>
          </w:rPr>
          <w:instrText xml:space="preserve"> PAGEREF _Toc463438621 \h </w:instrText>
        </w:r>
        <w:r w:rsidR="00A333AD">
          <w:rPr>
            <w:noProof/>
            <w:webHidden/>
          </w:rPr>
        </w:r>
        <w:r w:rsidR="00A333AD">
          <w:rPr>
            <w:noProof/>
            <w:webHidden/>
          </w:rPr>
          <w:fldChar w:fldCharType="separate"/>
        </w:r>
        <w:r w:rsidR="00A333AD">
          <w:rPr>
            <w:noProof/>
            <w:webHidden/>
          </w:rPr>
          <w:t>2</w:t>
        </w:r>
        <w:r w:rsidR="00A333AD">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22" w:history="1">
        <w:r w:rsidRPr="000A1BEB">
          <w:rPr>
            <w:rStyle w:val="Hypertextovodkaz"/>
            <w:noProof/>
          </w:rPr>
          <w:t>2.</w:t>
        </w:r>
        <w:r>
          <w:rPr>
            <w:rFonts w:asciiTheme="minorHAnsi" w:eastAsiaTheme="minorEastAsia" w:hAnsiTheme="minorHAnsi" w:cstheme="minorBidi"/>
            <w:b w:val="0"/>
            <w:noProof/>
            <w:color w:val="auto"/>
            <w:sz w:val="22"/>
            <w:szCs w:val="22"/>
          </w:rPr>
          <w:tab/>
        </w:r>
        <w:r w:rsidRPr="000A1BEB">
          <w:rPr>
            <w:rStyle w:val="Hypertextovodkaz"/>
            <w:noProof/>
          </w:rPr>
          <w:t>Současný stav a trendy v oblasti energetiky</w:t>
        </w:r>
        <w:r>
          <w:rPr>
            <w:noProof/>
            <w:webHidden/>
          </w:rPr>
          <w:tab/>
        </w:r>
        <w:r>
          <w:rPr>
            <w:noProof/>
            <w:webHidden/>
          </w:rPr>
          <w:fldChar w:fldCharType="begin"/>
        </w:r>
        <w:r>
          <w:rPr>
            <w:noProof/>
            <w:webHidden/>
          </w:rPr>
          <w:instrText xml:space="preserve"> PAGEREF _Toc463438622 \h </w:instrText>
        </w:r>
        <w:r>
          <w:rPr>
            <w:noProof/>
            <w:webHidden/>
          </w:rPr>
        </w:r>
        <w:r>
          <w:rPr>
            <w:noProof/>
            <w:webHidden/>
          </w:rPr>
          <w:fldChar w:fldCharType="separate"/>
        </w:r>
        <w:r>
          <w:rPr>
            <w:noProof/>
            <w:webHidden/>
          </w:rPr>
          <w:t>10</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3" w:history="1">
        <w:r w:rsidRPr="000A1BEB">
          <w:rPr>
            <w:rStyle w:val="Hypertextovodkaz"/>
            <w:noProof/>
          </w:rPr>
          <w:t>2.1.</w:t>
        </w:r>
        <w:r>
          <w:rPr>
            <w:rFonts w:eastAsiaTheme="minorEastAsia" w:cstheme="minorBidi"/>
            <w:i w:val="0"/>
            <w:iCs w:val="0"/>
            <w:noProof/>
            <w:color w:val="auto"/>
            <w:sz w:val="22"/>
            <w:szCs w:val="22"/>
          </w:rPr>
          <w:tab/>
        </w:r>
        <w:r w:rsidRPr="000A1BEB">
          <w:rPr>
            <w:rStyle w:val="Hypertextovodkaz"/>
            <w:noProof/>
          </w:rPr>
          <w:t>Zdůvodnění potřebnosti programu</w:t>
        </w:r>
        <w:r>
          <w:rPr>
            <w:noProof/>
            <w:webHidden/>
          </w:rPr>
          <w:tab/>
        </w:r>
        <w:r>
          <w:rPr>
            <w:noProof/>
            <w:webHidden/>
          </w:rPr>
          <w:fldChar w:fldCharType="begin"/>
        </w:r>
        <w:r>
          <w:rPr>
            <w:noProof/>
            <w:webHidden/>
          </w:rPr>
          <w:instrText xml:space="preserve"> PAGEREF _Toc463438623 \h </w:instrText>
        </w:r>
        <w:r>
          <w:rPr>
            <w:noProof/>
            <w:webHidden/>
          </w:rPr>
        </w:r>
        <w:r>
          <w:rPr>
            <w:noProof/>
            <w:webHidden/>
          </w:rPr>
          <w:fldChar w:fldCharType="separate"/>
        </w:r>
        <w:r>
          <w:rPr>
            <w:noProof/>
            <w:webHidden/>
          </w:rPr>
          <w:t>10</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4" w:history="1">
        <w:r w:rsidRPr="000A1BEB">
          <w:rPr>
            <w:rStyle w:val="Hypertextovodkaz"/>
            <w:noProof/>
          </w:rPr>
          <w:t>2.2.</w:t>
        </w:r>
        <w:r>
          <w:rPr>
            <w:rFonts w:eastAsiaTheme="minorEastAsia" w:cstheme="minorBidi"/>
            <w:i w:val="0"/>
            <w:iCs w:val="0"/>
            <w:noProof/>
            <w:color w:val="auto"/>
            <w:sz w:val="22"/>
            <w:szCs w:val="22"/>
          </w:rPr>
          <w:tab/>
        </w:r>
        <w:r w:rsidRPr="000A1BEB">
          <w:rPr>
            <w:rStyle w:val="Hypertextovodkaz"/>
            <w:noProof/>
          </w:rPr>
          <w:t>Velké výzkumné infrastruktury v oblasti energetiky</w:t>
        </w:r>
        <w:r>
          <w:rPr>
            <w:noProof/>
            <w:webHidden/>
          </w:rPr>
          <w:tab/>
        </w:r>
        <w:r>
          <w:rPr>
            <w:noProof/>
            <w:webHidden/>
          </w:rPr>
          <w:fldChar w:fldCharType="begin"/>
        </w:r>
        <w:r>
          <w:rPr>
            <w:noProof/>
            <w:webHidden/>
          </w:rPr>
          <w:instrText xml:space="preserve"> PAGEREF _Toc463438624 \h </w:instrText>
        </w:r>
        <w:r>
          <w:rPr>
            <w:noProof/>
            <w:webHidden/>
          </w:rPr>
        </w:r>
        <w:r>
          <w:rPr>
            <w:noProof/>
            <w:webHidden/>
          </w:rPr>
          <w:fldChar w:fldCharType="separate"/>
        </w:r>
        <w:r>
          <w:rPr>
            <w:noProof/>
            <w:webHidden/>
          </w:rPr>
          <w:t>15</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5" w:history="1">
        <w:r w:rsidRPr="000A1BEB">
          <w:rPr>
            <w:rStyle w:val="Hypertextovodkaz"/>
            <w:noProof/>
          </w:rPr>
          <w:t>2.3.</w:t>
        </w:r>
        <w:r>
          <w:rPr>
            <w:rFonts w:eastAsiaTheme="minorEastAsia" w:cstheme="minorBidi"/>
            <w:i w:val="0"/>
            <w:iCs w:val="0"/>
            <w:noProof/>
            <w:color w:val="auto"/>
            <w:sz w:val="22"/>
            <w:szCs w:val="22"/>
          </w:rPr>
          <w:tab/>
        </w:r>
        <w:r w:rsidRPr="000A1BEB">
          <w:rPr>
            <w:rStyle w:val="Hypertextovodkaz"/>
            <w:noProof/>
          </w:rPr>
          <w:t>Zahraniční zkušenosti</w:t>
        </w:r>
        <w:r>
          <w:rPr>
            <w:noProof/>
            <w:webHidden/>
          </w:rPr>
          <w:tab/>
        </w:r>
        <w:r>
          <w:rPr>
            <w:noProof/>
            <w:webHidden/>
          </w:rPr>
          <w:fldChar w:fldCharType="begin"/>
        </w:r>
        <w:r>
          <w:rPr>
            <w:noProof/>
            <w:webHidden/>
          </w:rPr>
          <w:instrText xml:space="preserve"> PAGEREF _Toc463438625 \h </w:instrText>
        </w:r>
        <w:r>
          <w:rPr>
            <w:noProof/>
            <w:webHidden/>
          </w:rPr>
        </w:r>
        <w:r>
          <w:rPr>
            <w:noProof/>
            <w:webHidden/>
          </w:rPr>
          <w:fldChar w:fldCharType="separate"/>
        </w:r>
        <w:r>
          <w:rPr>
            <w:noProof/>
            <w:webHidden/>
          </w:rPr>
          <w:t>16</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26" w:history="1">
        <w:r w:rsidRPr="000A1BEB">
          <w:rPr>
            <w:rStyle w:val="Hypertextovodkaz"/>
            <w:noProof/>
          </w:rPr>
          <w:t>3.</w:t>
        </w:r>
        <w:r>
          <w:rPr>
            <w:rFonts w:asciiTheme="minorHAnsi" w:eastAsiaTheme="minorEastAsia" w:hAnsiTheme="minorHAnsi" w:cstheme="minorBidi"/>
            <w:b w:val="0"/>
            <w:noProof/>
            <w:color w:val="auto"/>
            <w:sz w:val="22"/>
            <w:szCs w:val="22"/>
          </w:rPr>
          <w:tab/>
        </w:r>
        <w:r w:rsidRPr="000A1BEB">
          <w:rPr>
            <w:rStyle w:val="Hypertextovodkaz"/>
            <w:noProof/>
          </w:rPr>
          <w:t>Vazba na mezinárodní a národní strategie</w:t>
        </w:r>
        <w:r>
          <w:rPr>
            <w:noProof/>
            <w:webHidden/>
          </w:rPr>
          <w:tab/>
        </w:r>
        <w:r>
          <w:rPr>
            <w:noProof/>
            <w:webHidden/>
          </w:rPr>
          <w:fldChar w:fldCharType="begin"/>
        </w:r>
        <w:r>
          <w:rPr>
            <w:noProof/>
            <w:webHidden/>
          </w:rPr>
          <w:instrText xml:space="preserve"> PAGEREF _Toc463438626 \h </w:instrText>
        </w:r>
        <w:r>
          <w:rPr>
            <w:noProof/>
            <w:webHidden/>
          </w:rPr>
        </w:r>
        <w:r>
          <w:rPr>
            <w:noProof/>
            <w:webHidden/>
          </w:rPr>
          <w:fldChar w:fldCharType="separate"/>
        </w:r>
        <w:r>
          <w:rPr>
            <w:noProof/>
            <w:webHidden/>
          </w:rPr>
          <w:t>24</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7" w:history="1">
        <w:r w:rsidRPr="000A1BEB">
          <w:rPr>
            <w:rStyle w:val="Hypertextovodkaz"/>
            <w:noProof/>
          </w:rPr>
          <w:t>3.1.</w:t>
        </w:r>
        <w:r>
          <w:rPr>
            <w:rFonts w:eastAsiaTheme="minorEastAsia" w:cstheme="minorBidi"/>
            <w:i w:val="0"/>
            <w:iCs w:val="0"/>
            <w:noProof/>
            <w:color w:val="auto"/>
            <w:sz w:val="22"/>
            <w:szCs w:val="22"/>
          </w:rPr>
          <w:tab/>
        </w:r>
        <w:r w:rsidRPr="000A1BEB">
          <w:rPr>
            <w:rStyle w:val="Hypertextovodkaz"/>
            <w:noProof/>
          </w:rPr>
          <w:t>Horizon 2020</w:t>
        </w:r>
        <w:r>
          <w:rPr>
            <w:noProof/>
            <w:webHidden/>
          </w:rPr>
          <w:tab/>
        </w:r>
        <w:r>
          <w:rPr>
            <w:noProof/>
            <w:webHidden/>
          </w:rPr>
          <w:fldChar w:fldCharType="begin"/>
        </w:r>
        <w:r>
          <w:rPr>
            <w:noProof/>
            <w:webHidden/>
          </w:rPr>
          <w:instrText xml:space="preserve"> PAGEREF _Toc463438627 \h </w:instrText>
        </w:r>
        <w:r>
          <w:rPr>
            <w:noProof/>
            <w:webHidden/>
          </w:rPr>
        </w:r>
        <w:r>
          <w:rPr>
            <w:noProof/>
            <w:webHidden/>
          </w:rPr>
          <w:fldChar w:fldCharType="separate"/>
        </w:r>
        <w:r>
          <w:rPr>
            <w:noProof/>
            <w:webHidden/>
          </w:rPr>
          <w:t>24</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8" w:history="1">
        <w:r w:rsidRPr="000A1BEB">
          <w:rPr>
            <w:rStyle w:val="Hypertextovodkaz"/>
            <w:noProof/>
          </w:rPr>
          <w:t>3.2.</w:t>
        </w:r>
        <w:r>
          <w:rPr>
            <w:rFonts w:eastAsiaTheme="minorEastAsia" w:cstheme="minorBidi"/>
            <w:i w:val="0"/>
            <w:iCs w:val="0"/>
            <w:noProof/>
            <w:color w:val="auto"/>
            <w:sz w:val="22"/>
            <w:szCs w:val="22"/>
          </w:rPr>
          <w:tab/>
        </w:r>
        <w:r w:rsidRPr="000A1BEB">
          <w:rPr>
            <w:rStyle w:val="Hypertextovodkaz"/>
            <w:noProof/>
          </w:rPr>
          <w:t>SET PLÁN/ ENERGETICKÁ UNIE</w:t>
        </w:r>
        <w:r>
          <w:rPr>
            <w:noProof/>
            <w:webHidden/>
          </w:rPr>
          <w:tab/>
        </w:r>
        <w:r>
          <w:rPr>
            <w:noProof/>
            <w:webHidden/>
          </w:rPr>
          <w:fldChar w:fldCharType="begin"/>
        </w:r>
        <w:r>
          <w:rPr>
            <w:noProof/>
            <w:webHidden/>
          </w:rPr>
          <w:instrText xml:space="preserve"> PAGEREF _Toc463438628 \h </w:instrText>
        </w:r>
        <w:r>
          <w:rPr>
            <w:noProof/>
            <w:webHidden/>
          </w:rPr>
        </w:r>
        <w:r>
          <w:rPr>
            <w:noProof/>
            <w:webHidden/>
          </w:rPr>
          <w:fldChar w:fldCharType="separate"/>
        </w:r>
        <w:r>
          <w:rPr>
            <w:noProof/>
            <w:webHidden/>
          </w:rPr>
          <w:t>25</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29" w:history="1">
        <w:r w:rsidRPr="000A1BEB">
          <w:rPr>
            <w:rStyle w:val="Hypertextovodkaz"/>
            <w:noProof/>
          </w:rPr>
          <w:t>3.3.</w:t>
        </w:r>
        <w:r>
          <w:rPr>
            <w:rFonts w:eastAsiaTheme="minorEastAsia" w:cstheme="minorBidi"/>
            <w:i w:val="0"/>
            <w:iCs w:val="0"/>
            <w:noProof/>
            <w:color w:val="auto"/>
            <w:sz w:val="22"/>
            <w:szCs w:val="22"/>
          </w:rPr>
          <w:tab/>
        </w:r>
        <w:r w:rsidRPr="000A1BEB">
          <w:rPr>
            <w:rStyle w:val="Hypertextovodkaz"/>
            <w:noProof/>
          </w:rPr>
          <w:t>NP VaVaI</w:t>
        </w:r>
        <w:r>
          <w:rPr>
            <w:noProof/>
            <w:webHidden/>
          </w:rPr>
          <w:tab/>
        </w:r>
        <w:r>
          <w:rPr>
            <w:noProof/>
            <w:webHidden/>
          </w:rPr>
          <w:fldChar w:fldCharType="begin"/>
        </w:r>
        <w:r>
          <w:rPr>
            <w:noProof/>
            <w:webHidden/>
          </w:rPr>
          <w:instrText xml:space="preserve"> PAGEREF _Toc463438629 \h </w:instrText>
        </w:r>
        <w:r>
          <w:rPr>
            <w:noProof/>
            <w:webHidden/>
          </w:rPr>
        </w:r>
        <w:r>
          <w:rPr>
            <w:noProof/>
            <w:webHidden/>
          </w:rPr>
          <w:fldChar w:fldCharType="separate"/>
        </w:r>
        <w:r>
          <w:rPr>
            <w:noProof/>
            <w:webHidden/>
          </w:rPr>
          <w:t>26</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0" w:history="1">
        <w:r w:rsidRPr="000A1BEB">
          <w:rPr>
            <w:rStyle w:val="Hypertextovodkaz"/>
            <w:noProof/>
          </w:rPr>
          <w:t>3.4.</w:t>
        </w:r>
        <w:r>
          <w:rPr>
            <w:rFonts w:eastAsiaTheme="minorEastAsia" w:cstheme="minorBidi"/>
            <w:i w:val="0"/>
            <w:iCs w:val="0"/>
            <w:noProof/>
            <w:color w:val="auto"/>
            <w:sz w:val="22"/>
            <w:szCs w:val="22"/>
          </w:rPr>
          <w:tab/>
        </w:r>
        <w:r w:rsidRPr="000A1BEB">
          <w:rPr>
            <w:rStyle w:val="Hypertextovodkaz"/>
            <w:noProof/>
          </w:rPr>
          <w:t>Národní RIS3 strategie</w:t>
        </w:r>
        <w:r>
          <w:rPr>
            <w:noProof/>
            <w:webHidden/>
          </w:rPr>
          <w:tab/>
        </w:r>
        <w:r>
          <w:rPr>
            <w:noProof/>
            <w:webHidden/>
          </w:rPr>
          <w:fldChar w:fldCharType="begin"/>
        </w:r>
        <w:r>
          <w:rPr>
            <w:noProof/>
            <w:webHidden/>
          </w:rPr>
          <w:instrText xml:space="preserve"> PAGEREF _Toc463438630 \h </w:instrText>
        </w:r>
        <w:r>
          <w:rPr>
            <w:noProof/>
            <w:webHidden/>
          </w:rPr>
        </w:r>
        <w:r>
          <w:rPr>
            <w:noProof/>
            <w:webHidden/>
          </w:rPr>
          <w:fldChar w:fldCharType="separate"/>
        </w:r>
        <w:r>
          <w:rPr>
            <w:noProof/>
            <w:webHidden/>
          </w:rPr>
          <w:t>27</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1" w:history="1">
        <w:r w:rsidRPr="000A1BEB">
          <w:rPr>
            <w:rStyle w:val="Hypertextovodkaz"/>
            <w:noProof/>
          </w:rPr>
          <w:t>3.5.</w:t>
        </w:r>
        <w:r>
          <w:rPr>
            <w:rFonts w:eastAsiaTheme="minorEastAsia" w:cstheme="minorBidi"/>
            <w:i w:val="0"/>
            <w:iCs w:val="0"/>
            <w:noProof/>
            <w:color w:val="auto"/>
            <w:sz w:val="22"/>
            <w:szCs w:val="22"/>
          </w:rPr>
          <w:tab/>
        </w:r>
        <w:r w:rsidRPr="000A1BEB">
          <w:rPr>
            <w:rStyle w:val="Hypertextovodkaz"/>
            <w:noProof/>
          </w:rPr>
          <w:t>NPOV</w:t>
        </w:r>
        <w:r>
          <w:rPr>
            <w:noProof/>
            <w:webHidden/>
          </w:rPr>
          <w:tab/>
        </w:r>
        <w:r>
          <w:rPr>
            <w:noProof/>
            <w:webHidden/>
          </w:rPr>
          <w:fldChar w:fldCharType="begin"/>
        </w:r>
        <w:r>
          <w:rPr>
            <w:noProof/>
            <w:webHidden/>
          </w:rPr>
          <w:instrText xml:space="preserve"> PAGEREF _Toc463438631 \h </w:instrText>
        </w:r>
        <w:r>
          <w:rPr>
            <w:noProof/>
            <w:webHidden/>
          </w:rPr>
        </w:r>
        <w:r>
          <w:rPr>
            <w:noProof/>
            <w:webHidden/>
          </w:rPr>
          <w:fldChar w:fldCharType="separate"/>
        </w:r>
        <w:r>
          <w:rPr>
            <w:noProof/>
            <w:webHidden/>
          </w:rPr>
          <w:t>31</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2" w:history="1">
        <w:r w:rsidRPr="000A1BEB">
          <w:rPr>
            <w:rStyle w:val="Hypertextovodkaz"/>
            <w:noProof/>
          </w:rPr>
          <w:t>3.6.</w:t>
        </w:r>
        <w:r>
          <w:rPr>
            <w:rFonts w:eastAsiaTheme="minorEastAsia" w:cstheme="minorBidi"/>
            <w:i w:val="0"/>
            <w:iCs w:val="0"/>
            <w:noProof/>
            <w:color w:val="auto"/>
            <w:sz w:val="22"/>
            <w:szCs w:val="22"/>
          </w:rPr>
          <w:tab/>
        </w:r>
        <w:r w:rsidRPr="000A1BEB">
          <w:rPr>
            <w:rStyle w:val="Hypertextovodkaz"/>
            <w:noProof/>
          </w:rPr>
          <w:t>Státní energetická koncepce (SEK)</w:t>
        </w:r>
        <w:r>
          <w:rPr>
            <w:noProof/>
            <w:webHidden/>
          </w:rPr>
          <w:tab/>
        </w:r>
        <w:r>
          <w:rPr>
            <w:noProof/>
            <w:webHidden/>
          </w:rPr>
          <w:fldChar w:fldCharType="begin"/>
        </w:r>
        <w:r>
          <w:rPr>
            <w:noProof/>
            <w:webHidden/>
          </w:rPr>
          <w:instrText xml:space="preserve"> PAGEREF _Toc463438632 \h </w:instrText>
        </w:r>
        <w:r>
          <w:rPr>
            <w:noProof/>
            <w:webHidden/>
          </w:rPr>
        </w:r>
        <w:r>
          <w:rPr>
            <w:noProof/>
            <w:webHidden/>
          </w:rPr>
          <w:fldChar w:fldCharType="separate"/>
        </w:r>
        <w:r>
          <w:rPr>
            <w:noProof/>
            <w:webHidden/>
          </w:rPr>
          <w:t>32</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3" w:history="1">
        <w:r w:rsidRPr="000A1BEB">
          <w:rPr>
            <w:rStyle w:val="Hypertextovodkaz"/>
            <w:noProof/>
          </w:rPr>
          <w:t>3.7.</w:t>
        </w:r>
        <w:r>
          <w:rPr>
            <w:rFonts w:eastAsiaTheme="minorEastAsia" w:cstheme="minorBidi"/>
            <w:i w:val="0"/>
            <w:iCs w:val="0"/>
            <w:noProof/>
            <w:color w:val="auto"/>
            <w:sz w:val="22"/>
            <w:szCs w:val="22"/>
          </w:rPr>
          <w:tab/>
        </w:r>
        <w:r w:rsidRPr="000A1BEB">
          <w:rPr>
            <w:rStyle w:val="Hypertextovodkaz"/>
            <w:noProof/>
          </w:rPr>
          <w:t>Víceletý program podpory dalšího uplatnění udržitelných biopaliv v dopravě na období 2015-2020</w:t>
        </w:r>
        <w:r>
          <w:rPr>
            <w:noProof/>
            <w:webHidden/>
          </w:rPr>
          <w:tab/>
        </w:r>
        <w:r>
          <w:rPr>
            <w:noProof/>
            <w:webHidden/>
          </w:rPr>
          <w:fldChar w:fldCharType="begin"/>
        </w:r>
        <w:r>
          <w:rPr>
            <w:noProof/>
            <w:webHidden/>
          </w:rPr>
          <w:instrText xml:space="preserve"> PAGEREF _Toc463438633 \h </w:instrText>
        </w:r>
        <w:r>
          <w:rPr>
            <w:noProof/>
            <w:webHidden/>
          </w:rPr>
        </w:r>
        <w:r>
          <w:rPr>
            <w:noProof/>
            <w:webHidden/>
          </w:rPr>
          <w:fldChar w:fldCharType="separate"/>
        </w:r>
        <w:r>
          <w:rPr>
            <w:noProof/>
            <w:webHidden/>
          </w:rPr>
          <w:t>38</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4" w:history="1">
        <w:r w:rsidRPr="000A1BEB">
          <w:rPr>
            <w:rStyle w:val="Hypertextovodkaz"/>
            <w:noProof/>
          </w:rPr>
          <w:t>3.8.</w:t>
        </w:r>
        <w:r>
          <w:rPr>
            <w:rFonts w:eastAsiaTheme="minorEastAsia" w:cstheme="minorBidi"/>
            <w:i w:val="0"/>
            <w:iCs w:val="0"/>
            <w:noProof/>
            <w:color w:val="auto"/>
            <w:sz w:val="22"/>
            <w:szCs w:val="22"/>
          </w:rPr>
          <w:tab/>
        </w:r>
        <w:r w:rsidRPr="000A1BEB">
          <w:rPr>
            <w:rStyle w:val="Hypertextovodkaz"/>
            <w:noProof/>
          </w:rPr>
          <w:t>Industry 4.0</w:t>
        </w:r>
        <w:r>
          <w:rPr>
            <w:noProof/>
            <w:webHidden/>
          </w:rPr>
          <w:tab/>
        </w:r>
        <w:r>
          <w:rPr>
            <w:noProof/>
            <w:webHidden/>
          </w:rPr>
          <w:fldChar w:fldCharType="begin"/>
        </w:r>
        <w:r>
          <w:rPr>
            <w:noProof/>
            <w:webHidden/>
          </w:rPr>
          <w:instrText xml:space="preserve"> PAGEREF _Toc463438634 \h </w:instrText>
        </w:r>
        <w:r>
          <w:rPr>
            <w:noProof/>
            <w:webHidden/>
          </w:rPr>
        </w:r>
        <w:r>
          <w:rPr>
            <w:noProof/>
            <w:webHidden/>
          </w:rPr>
          <w:fldChar w:fldCharType="separate"/>
        </w:r>
        <w:r>
          <w:rPr>
            <w:noProof/>
            <w:webHidden/>
          </w:rPr>
          <w:t>39</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5" w:history="1">
        <w:r w:rsidRPr="000A1BEB">
          <w:rPr>
            <w:rStyle w:val="Hypertextovodkaz"/>
            <w:noProof/>
          </w:rPr>
          <w:t>3.9.</w:t>
        </w:r>
        <w:r>
          <w:rPr>
            <w:rFonts w:eastAsiaTheme="minorEastAsia" w:cstheme="minorBidi"/>
            <w:i w:val="0"/>
            <w:iCs w:val="0"/>
            <w:noProof/>
            <w:color w:val="auto"/>
            <w:sz w:val="22"/>
            <w:szCs w:val="22"/>
          </w:rPr>
          <w:tab/>
        </w:r>
        <w:r w:rsidRPr="000A1BEB">
          <w:rPr>
            <w:rStyle w:val="Hypertextovodkaz"/>
            <w:noProof/>
          </w:rPr>
          <w:t>Ostatní relevantní strategie</w:t>
        </w:r>
        <w:r>
          <w:rPr>
            <w:noProof/>
            <w:webHidden/>
          </w:rPr>
          <w:tab/>
        </w:r>
        <w:r>
          <w:rPr>
            <w:noProof/>
            <w:webHidden/>
          </w:rPr>
          <w:fldChar w:fldCharType="begin"/>
        </w:r>
        <w:r>
          <w:rPr>
            <w:noProof/>
            <w:webHidden/>
          </w:rPr>
          <w:instrText xml:space="preserve"> PAGEREF _Toc463438635 \h </w:instrText>
        </w:r>
        <w:r>
          <w:rPr>
            <w:noProof/>
            <w:webHidden/>
          </w:rPr>
        </w:r>
        <w:r>
          <w:rPr>
            <w:noProof/>
            <w:webHidden/>
          </w:rPr>
          <w:fldChar w:fldCharType="separate"/>
        </w:r>
        <w:r>
          <w:rPr>
            <w:noProof/>
            <w:webHidden/>
          </w:rPr>
          <w:t>39</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36" w:history="1">
        <w:r w:rsidRPr="000A1BEB">
          <w:rPr>
            <w:rStyle w:val="Hypertextovodkaz"/>
            <w:noProof/>
          </w:rPr>
          <w:t>4.</w:t>
        </w:r>
        <w:r>
          <w:rPr>
            <w:rFonts w:asciiTheme="minorHAnsi" w:eastAsiaTheme="minorEastAsia" w:hAnsiTheme="minorHAnsi" w:cstheme="minorBidi"/>
            <w:b w:val="0"/>
            <w:noProof/>
            <w:color w:val="auto"/>
            <w:sz w:val="22"/>
            <w:szCs w:val="22"/>
          </w:rPr>
          <w:tab/>
        </w:r>
        <w:r w:rsidRPr="000A1BEB">
          <w:rPr>
            <w:rStyle w:val="Hypertextovodkaz"/>
            <w:noProof/>
          </w:rPr>
          <w:t>Pojetí programu</w:t>
        </w:r>
        <w:r>
          <w:rPr>
            <w:noProof/>
            <w:webHidden/>
          </w:rPr>
          <w:tab/>
        </w:r>
        <w:r>
          <w:rPr>
            <w:noProof/>
            <w:webHidden/>
          </w:rPr>
          <w:fldChar w:fldCharType="begin"/>
        </w:r>
        <w:r>
          <w:rPr>
            <w:noProof/>
            <w:webHidden/>
          </w:rPr>
          <w:instrText xml:space="preserve"> PAGEREF _Toc463438636 \h </w:instrText>
        </w:r>
        <w:r>
          <w:rPr>
            <w:noProof/>
            <w:webHidden/>
          </w:rPr>
        </w:r>
        <w:r>
          <w:rPr>
            <w:noProof/>
            <w:webHidden/>
          </w:rPr>
          <w:fldChar w:fldCharType="separate"/>
        </w:r>
        <w:r>
          <w:rPr>
            <w:noProof/>
            <w:webHidden/>
          </w:rPr>
          <w:t>41</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7" w:history="1">
        <w:r w:rsidRPr="000A1BEB">
          <w:rPr>
            <w:rStyle w:val="Hypertextovodkaz"/>
            <w:noProof/>
          </w:rPr>
          <w:t>4.1.</w:t>
        </w:r>
        <w:r>
          <w:rPr>
            <w:rFonts w:eastAsiaTheme="minorEastAsia" w:cstheme="minorBidi"/>
            <w:i w:val="0"/>
            <w:iCs w:val="0"/>
            <w:noProof/>
            <w:color w:val="auto"/>
            <w:sz w:val="22"/>
            <w:szCs w:val="22"/>
          </w:rPr>
          <w:tab/>
        </w:r>
        <w:r w:rsidRPr="000A1BEB">
          <w:rPr>
            <w:rStyle w:val="Hypertextovodkaz"/>
            <w:noProof/>
          </w:rPr>
          <w:t>Podprogramy - detailní specifikace</w:t>
        </w:r>
        <w:r>
          <w:rPr>
            <w:noProof/>
            <w:webHidden/>
          </w:rPr>
          <w:tab/>
        </w:r>
        <w:r>
          <w:rPr>
            <w:noProof/>
            <w:webHidden/>
          </w:rPr>
          <w:fldChar w:fldCharType="begin"/>
        </w:r>
        <w:r>
          <w:rPr>
            <w:noProof/>
            <w:webHidden/>
          </w:rPr>
          <w:instrText xml:space="preserve"> PAGEREF _Toc463438637 \h </w:instrText>
        </w:r>
        <w:r>
          <w:rPr>
            <w:noProof/>
            <w:webHidden/>
          </w:rPr>
        </w:r>
        <w:r>
          <w:rPr>
            <w:noProof/>
            <w:webHidden/>
          </w:rPr>
          <w:fldChar w:fldCharType="separate"/>
        </w:r>
        <w:r>
          <w:rPr>
            <w:noProof/>
            <w:webHidden/>
          </w:rPr>
          <w:t>43</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38" w:history="1">
        <w:r w:rsidRPr="000A1BEB">
          <w:rPr>
            <w:rStyle w:val="Hypertextovodkaz"/>
            <w:noProof/>
          </w:rPr>
          <w:t>4.2.</w:t>
        </w:r>
        <w:r>
          <w:rPr>
            <w:rFonts w:eastAsiaTheme="minorEastAsia" w:cstheme="minorBidi"/>
            <w:i w:val="0"/>
            <w:iCs w:val="0"/>
            <w:noProof/>
            <w:color w:val="auto"/>
            <w:sz w:val="22"/>
            <w:szCs w:val="22"/>
          </w:rPr>
          <w:tab/>
        </w:r>
        <w:r w:rsidRPr="000A1BEB">
          <w:rPr>
            <w:rStyle w:val="Hypertextovodkaz"/>
            <w:noProof/>
          </w:rPr>
          <w:t>Kulaté stoly</w:t>
        </w:r>
        <w:r>
          <w:rPr>
            <w:noProof/>
            <w:webHidden/>
          </w:rPr>
          <w:tab/>
        </w:r>
        <w:r>
          <w:rPr>
            <w:noProof/>
            <w:webHidden/>
          </w:rPr>
          <w:fldChar w:fldCharType="begin"/>
        </w:r>
        <w:r>
          <w:rPr>
            <w:noProof/>
            <w:webHidden/>
          </w:rPr>
          <w:instrText xml:space="preserve"> PAGEREF _Toc463438638 \h </w:instrText>
        </w:r>
        <w:r>
          <w:rPr>
            <w:noProof/>
            <w:webHidden/>
          </w:rPr>
        </w:r>
        <w:r>
          <w:rPr>
            <w:noProof/>
            <w:webHidden/>
          </w:rPr>
          <w:fldChar w:fldCharType="separate"/>
        </w:r>
        <w:r>
          <w:rPr>
            <w:noProof/>
            <w:webHidden/>
          </w:rPr>
          <w:t>54</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39" w:history="1">
        <w:r w:rsidRPr="000A1BEB">
          <w:rPr>
            <w:rStyle w:val="Hypertextovodkaz"/>
            <w:noProof/>
          </w:rPr>
          <w:t>5.</w:t>
        </w:r>
        <w:r>
          <w:rPr>
            <w:rFonts w:asciiTheme="minorHAnsi" w:eastAsiaTheme="minorEastAsia" w:hAnsiTheme="minorHAnsi" w:cstheme="minorBidi"/>
            <w:b w:val="0"/>
            <w:noProof/>
            <w:color w:val="auto"/>
            <w:sz w:val="22"/>
            <w:szCs w:val="22"/>
          </w:rPr>
          <w:tab/>
        </w:r>
        <w:r w:rsidRPr="000A1BEB">
          <w:rPr>
            <w:rStyle w:val="Hypertextovodkaz"/>
            <w:noProof/>
          </w:rPr>
          <w:t>Vazba na další programy VaVaI a eliminace možných duplicit</w:t>
        </w:r>
        <w:r>
          <w:rPr>
            <w:noProof/>
            <w:webHidden/>
          </w:rPr>
          <w:tab/>
        </w:r>
        <w:r>
          <w:rPr>
            <w:noProof/>
            <w:webHidden/>
          </w:rPr>
          <w:fldChar w:fldCharType="begin"/>
        </w:r>
        <w:r>
          <w:rPr>
            <w:noProof/>
            <w:webHidden/>
          </w:rPr>
          <w:instrText xml:space="preserve"> PAGEREF _Toc463438639 \h </w:instrText>
        </w:r>
        <w:r>
          <w:rPr>
            <w:noProof/>
            <w:webHidden/>
          </w:rPr>
        </w:r>
        <w:r>
          <w:rPr>
            <w:noProof/>
            <w:webHidden/>
          </w:rPr>
          <w:fldChar w:fldCharType="separate"/>
        </w:r>
        <w:r>
          <w:rPr>
            <w:noProof/>
            <w:webHidden/>
          </w:rPr>
          <w:t>57</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0" w:history="1">
        <w:r w:rsidRPr="000A1BEB">
          <w:rPr>
            <w:rStyle w:val="Hypertextovodkaz"/>
            <w:noProof/>
          </w:rPr>
          <w:t>5.1.</w:t>
        </w:r>
        <w:r>
          <w:rPr>
            <w:rFonts w:eastAsiaTheme="minorEastAsia" w:cstheme="minorBidi"/>
            <w:i w:val="0"/>
            <w:iCs w:val="0"/>
            <w:noProof/>
            <w:color w:val="auto"/>
            <w:sz w:val="22"/>
            <w:szCs w:val="22"/>
          </w:rPr>
          <w:tab/>
        </w:r>
        <w:r w:rsidRPr="000A1BEB">
          <w:rPr>
            <w:rStyle w:val="Hypertextovodkaz"/>
            <w:noProof/>
          </w:rPr>
          <w:t>BETA2</w:t>
        </w:r>
        <w:r>
          <w:rPr>
            <w:noProof/>
            <w:webHidden/>
          </w:rPr>
          <w:tab/>
        </w:r>
        <w:r>
          <w:rPr>
            <w:noProof/>
            <w:webHidden/>
          </w:rPr>
          <w:fldChar w:fldCharType="begin"/>
        </w:r>
        <w:r>
          <w:rPr>
            <w:noProof/>
            <w:webHidden/>
          </w:rPr>
          <w:instrText xml:space="preserve"> PAGEREF _Toc463438640 \h </w:instrText>
        </w:r>
        <w:r>
          <w:rPr>
            <w:noProof/>
            <w:webHidden/>
          </w:rPr>
        </w:r>
        <w:r>
          <w:rPr>
            <w:noProof/>
            <w:webHidden/>
          </w:rPr>
          <w:fldChar w:fldCharType="separate"/>
        </w:r>
        <w:r>
          <w:rPr>
            <w:noProof/>
            <w:webHidden/>
          </w:rPr>
          <w:t>57</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1" w:history="1">
        <w:r w:rsidRPr="000A1BEB">
          <w:rPr>
            <w:rStyle w:val="Hypertextovodkaz"/>
            <w:noProof/>
          </w:rPr>
          <w:t>5.2.</w:t>
        </w:r>
        <w:r>
          <w:rPr>
            <w:rFonts w:eastAsiaTheme="minorEastAsia" w:cstheme="minorBidi"/>
            <w:i w:val="0"/>
            <w:iCs w:val="0"/>
            <w:noProof/>
            <w:color w:val="auto"/>
            <w:sz w:val="22"/>
            <w:szCs w:val="22"/>
          </w:rPr>
          <w:tab/>
        </w:r>
        <w:r w:rsidRPr="000A1BEB">
          <w:rPr>
            <w:rStyle w:val="Hypertextovodkaz"/>
            <w:noProof/>
          </w:rPr>
          <w:t>EPSILON</w:t>
        </w:r>
        <w:r>
          <w:rPr>
            <w:noProof/>
            <w:webHidden/>
          </w:rPr>
          <w:tab/>
        </w:r>
        <w:r>
          <w:rPr>
            <w:noProof/>
            <w:webHidden/>
          </w:rPr>
          <w:fldChar w:fldCharType="begin"/>
        </w:r>
        <w:r>
          <w:rPr>
            <w:noProof/>
            <w:webHidden/>
          </w:rPr>
          <w:instrText xml:space="preserve"> PAGEREF _Toc463438641 \h </w:instrText>
        </w:r>
        <w:r>
          <w:rPr>
            <w:noProof/>
            <w:webHidden/>
          </w:rPr>
        </w:r>
        <w:r>
          <w:rPr>
            <w:noProof/>
            <w:webHidden/>
          </w:rPr>
          <w:fldChar w:fldCharType="separate"/>
        </w:r>
        <w:r>
          <w:rPr>
            <w:noProof/>
            <w:webHidden/>
          </w:rPr>
          <w:t>58</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2" w:history="1">
        <w:r w:rsidRPr="000A1BEB">
          <w:rPr>
            <w:rStyle w:val="Hypertextovodkaz"/>
            <w:noProof/>
          </w:rPr>
          <w:t>5.3.</w:t>
        </w:r>
        <w:r>
          <w:rPr>
            <w:rFonts w:eastAsiaTheme="minorEastAsia" w:cstheme="minorBidi"/>
            <w:i w:val="0"/>
            <w:iCs w:val="0"/>
            <w:noProof/>
            <w:color w:val="auto"/>
            <w:sz w:val="22"/>
            <w:szCs w:val="22"/>
          </w:rPr>
          <w:tab/>
        </w:r>
        <w:r w:rsidRPr="000A1BEB">
          <w:rPr>
            <w:rStyle w:val="Hypertextovodkaz"/>
            <w:noProof/>
          </w:rPr>
          <w:t>TRIO</w:t>
        </w:r>
        <w:r>
          <w:rPr>
            <w:noProof/>
            <w:webHidden/>
          </w:rPr>
          <w:tab/>
        </w:r>
        <w:r>
          <w:rPr>
            <w:noProof/>
            <w:webHidden/>
          </w:rPr>
          <w:fldChar w:fldCharType="begin"/>
        </w:r>
        <w:r>
          <w:rPr>
            <w:noProof/>
            <w:webHidden/>
          </w:rPr>
          <w:instrText xml:space="preserve"> PAGEREF _Toc463438642 \h </w:instrText>
        </w:r>
        <w:r>
          <w:rPr>
            <w:noProof/>
            <w:webHidden/>
          </w:rPr>
        </w:r>
        <w:r>
          <w:rPr>
            <w:noProof/>
            <w:webHidden/>
          </w:rPr>
          <w:fldChar w:fldCharType="separate"/>
        </w:r>
        <w:r>
          <w:rPr>
            <w:noProof/>
            <w:webHidden/>
          </w:rPr>
          <w:t>62</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3" w:history="1">
        <w:r w:rsidRPr="000A1BEB">
          <w:rPr>
            <w:rStyle w:val="Hypertextovodkaz"/>
            <w:noProof/>
          </w:rPr>
          <w:t>5.4.</w:t>
        </w:r>
        <w:r>
          <w:rPr>
            <w:rFonts w:eastAsiaTheme="minorEastAsia" w:cstheme="minorBidi"/>
            <w:i w:val="0"/>
            <w:iCs w:val="0"/>
            <w:noProof/>
            <w:color w:val="auto"/>
            <w:sz w:val="22"/>
            <w:szCs w:val="22"/>
          </w:rPr>
          <w:tab/>
        </w:r>
        <w:r w:rsidRPr="000A1BEB">
          <w:rPr>
            <w:rStyle w:val="Hypertextovodkaz"/>
            <w:noProof/>
          </w:rPr>
          <w:t>OP PIK</w:t>
        </w:r>
        <w:r>
          <w:rPr>
            <w:noProof/>
            <w:webHidden/>
          </w:rPr>
          <w:tab/>
        </w:r>
        <w:r>
          <w:rPr>
            <w:noProof/>
            <w:webHidden/>
          </w:rPr>
          <w:fldChar w:fldCharType="begin"/>
        </w:r>
        <w:r>
          <w:rPr>
            <w:noProof/>
            <w:webHidden/>
          </w:rPr>
          <w:instrText xml:space="preserve"> PAGEREF _Toc463438643 \h </w:instrText>
        </w:r>
        <w:r>
          <w:rPr>
            <w:noProof/>
            <w:webHidden/>
          </w:rPr>
        </w:r>
        <w:r>
          <w:rPr>
            <w:noProof/>
            <w:webHidden/>
          </w:rPr>
          <w:fldChar w:fldCharType="separate"/>
        </w:r>
        <w:r>
          <w:rPr>
            <w:noProof/>
            <w:webHidden/>
          </w:rPr>
          <w:t>63</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4" w:history="1">
        <w:r w:rsidRPr="000A1BEB">
          <w:rPr>
            <w:rStyle w:val="Hypertextovodkaz"/>
            <w:noProof/>
          </w:rPr>
          <w:t>5.5.</w:t>
        </w:r>
        <w:r>
          <w:rPr>
            <w:rFonts w:eastAsiaTheme="minorEastAsia" w:cstheme="minorBidi"/>
            <w:i w:val="0"/>
            <w:iCs w:val="0"/>
            <w:noProof/>
            <w:color w:val="auto"/>
            <w:sz w:val="22"/>
            <w:szCs w:val="22"/>
          </w:rPr>
          <w:tab/>
        </w:r>
        <w:r w:rsidRPr="000A1BEB">
          <w:rPr>
            <w:rStyle w:val="Hypertextovodkaz"/>
            <w:noProof/>
          </w:rPr>
          <w:t>OP Praha pól růstu</w:t>
        </w:r>
        <w:r>
          <w:rPr>
            <w:noProof/>
            <w:webHidden/>
          </w:rPr>
          <w:tab/>
        </w:r>
        <w:r>
          <w:rPr>
            <w:noProof/>
            <w:webHidden/>
          </w:rPr>
          <w:fldChar w:fldCharType="begin"/>
        </w:r>
        <w:r>
          <w:rPr>
            <w:noProof/>
            <w:webHidden/>
          </w:rPr>
          <w:instrText xml:space="preserve"> PAGEREF _Toc463438644 \h </w:instrText>
        </w:r>
        <w:r>
          <w:rPr>
            <w:noProof/>
            <w:webHidden/>
          </w:rPr>
        </w:r>
        <w:r>
          <w:rPr>
            <w:noProof/>
            <w:webHidden/>
          </w:rPr>
          <w:fldChar w:fldCharType="separate"/>
        </w:r>
        <w:r>
          <w:rPr>
            <w:noProof/>
            <w:webHidden/>
          </w:rPr>
          <w:t>64</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45" w:history="1">
        <w:r w:rsidRPr="000A1BEB">
          <w:rPr>
            <w:rStyle w:val="Hypertextovodkaz"/>
            <w:noProof/>
          </w:rPr>
          <w:t>6.</w:t>
        </w:r>
        <w:r>
          <w:rPr>
            <w:rFonts w:asciiTheme="minorHAnsi" w:eastAsiaTheme="minorEastAsia" w:hAnsiTheme="minorHAnsi" w:cstheme="minorBidi"/>
            <w:b w:val="0"/>
            <w:noProof/>
            <w:color w:val="auto"/>
            <w:sz w:val="22"/>
            <w:szCs w:val="22"/>
          </w:rPr>
          <w:tab/>
        </w:r>
        <w:r w:rsidRPr="000A1BEB">
          <w:rPr>
            <w:rStyle w:val="Hypertextovodkaz"/>
            <w:noProof/>
          </w:rPr>
          <w:t>Analýza absorpční kapacity</w:t>
        </w:r>
        <w:r>
          <w:rPr>
            <w:noProof/>
            <w:webHidden/>
          </w:rPr>
          <w:tab/>
        </w:r>
        <w:r>
          <w:rPr>
            <w:noProof/>
            <w:webHidden/>
          </w:rPr>
          <w:fldChar w:fldCharType="begin"/>
        </w:r>
        <w:r>
          <w:rPr>
            <w:noProof/>
            <w:webHidden/>
          </w:rPr>
          <w:instrText xml:space="preserve"> PAGEREF _Toc463438645 \h </w:instrText>
        </w:r>
        <w:r>
          <w:rPr>
            <w:noProof/>
            <w:webHidden/>
          </w:rPr>
        </w:r>
        <w:r>
          <w:rPr>
            <w:noProof/>
            <w:webHidden/>
          </w:rPr>
          <w:fldChar w:fldCharType="separate"/>
        </w:r>
        <w:r>
          <w:rPr>
            <w:noProof/>
            <w:webHidden/>
          </w:rPr>
          <w:t>66</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6" w:history="1">
        <w:r w:rsidRPr="000A1BEB">
          <w:rPr>
            <w:rStyle w:val="Hypertextovodkaz"/>
            <w:noProof/>
          </w:rPr>
          <w:t>6.1.</w:t>
        </w:r>
        <w:r>
          <w:rPr>
            <w:rFonts w:eastAsiaTheme="minorEastAsia" w:cstheme="minorBidi"/>
            <w:i w:val="0"/>
            <w:iCs w:val="0"/>
            <w:noProof/>
            <w:color w:val="auto"/>
            <w:sz w:val="22"/>
            <w:szCs w:val="22"/>
          </w:rPr>
          <w:tab/>
        </w:r>
        <w:r w:rsidRPr="000A1BEB">
          <w:rPr>
            <w:rStyle w:val="Hypertextovodkaz"/>
            <w:noProof/>
          </w:rPr>
          <w:t>Další informace k absorpční kapacitě z pohledu podniků</w:t>
        </w:r>
        <w:r>
          <w:rPr>
            <w:noProof/>
            <w:webHidden/>
          </w:rPr>
          <w:tab/>
        </w:r>
        <w:r>
          <w:rPr>
            <w:noProof/>
            <w:webHidden/>
          </w:rPr>
          <w:fldChar w:fldCharType="begin"/>
        </w:r>
        <w:r>
          <w:rPr>
            <w:noProof/>
            <w:webHidden/>
          </w:rPr>
          <w:instrText xml:space="preserve"> PAGEREF _Toc463438646 \h </w:instrText>
        </w:r>
        <w:r>
          <w:rPr>
            <w:noProof/>
            <w:webHidden/>
          </w:rPr>
        </w:r>
        <w:r>
          <w:rPr>
            <w:noProof/>
            <w:webHidden/>
          </w:rPr>
          <w:fldChar w:fldCharType="separate"/>
        </w:r>
        <w:r>
          <w:rPr>
            <w:noProof/>
            <w:webHidden/>
          </w:rPr>
          <w:t>76</w:t>
        </w:r>
        <w:r>
          <w:rPr>
            <w:noProof/>
            <w:webHidden/>
          </w:rPr>
          <w:fldChar w:fldCharType="end"/>
        </w:r>
      </w:hyperlink>
    </w:p>
    <w:p w:rsidR="00A333AD" w:rsidRDefault="00A333AD">
      <w:pPr>
        <w:pStyle w:val="Obsah2"/>
        <w:tabs>
          <w:tab w:val="left" w:pos="880"/>
          <w:tab w:val="right" w:leader="dot" w:pos="9630"/>
        </w:tabs>
        <w:rPr>
          <w:rFonts w:eastAsiaTheme="minorEastAsia" w:cstheme="minorBidi"/>
          <w:i w:val="0"/>
          <w:iCs w:val="0"/>
          <w:noProof/>
          <w:color w:val="auto"/>
          <w:sz w:val="22"/>
          <w:szCs w:val="22"/>
        </w:rPr>
      </w:pPr>
      <w:hyperlink w:anchor="_Toc463438647" w:history="1">
        <w:r w:rsidRPr="000A1BEB">
          <w:rPr>
            <w:rStyle w:val="Hypertextovodkaz"/>
            <w:noProof/>
          </w:rPr>
          <w:t>6.2.</w:t>
        </w:r>
        <w:r>
          <w:rPr>
            <w:rFonts w:eastAsiaTheme="minorEastAsia" w:cstheme="minorBidi"/>
            <w:i w:val="0"/>
            <w:iCs w:val="0"/>
            <w:noProof/>
            <w:color w:val="auto"/>
            <w:sz w:val="22"/>
            <w:szCs w:val="22"/>
          </w:rPr>
          <w:tab/>
        </w:r>
        <w:r w:rsidRPr="000A1BEB">
          <w:rPr>
            <w:rStyle w:val="Hypertextovodkaz"/>
            <w:noProof/>
          </w:rPr>
          <w:t>Dosavadní podpora výzkumu v oblasti energetiky</w:t>
        </w:r>
        <w:r>
          <w:rPr>
            <w:noProof/>
            <w:webHidden/>
          </w:rPr>
          <w:tab/>
        </w:r>
        <w:r>
          <w:rPr>
            <w:noProof/>
            <w:webHidden/>
          </w:rPr>
          <w:fldChar w:fldCharType="begin"/>
        </w:r>
        <w:r>
          <w:rPr>
            <w:noProof/>
            <w:webHidden/>
          </w:rPr>
          <w:instrText xml:space="preserve"> PAGEREF _Toc463438647 \h </w:instrText>
        </w:r>
        <w:r>
          <w:rPr>
            <w:noProof/>
            <w:webHidden/>
          </w:rPr>
        </w:r>
        <w:r>
          <w:rPr>
            <w:noProof/>
            <w:webHidden/>
          </w:rPr>
          <w:fldChar w:fldCharType="separate"/>
        </w:r>
        <w:r>
          <w:rPr>
            <w:noProof/>
            <w:webHidden/>
          </w:rPr>
          <w:t>80</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48" w:history="1">
        <w:r w:rsidRPr="000A1BEB">
          <w:rPr>
            <w:rStyle w:val="Hypertextovodkaz"/>
            <w:noProof/>
          </w:rPr>
          <w:t>7.</w:t>
        </w:r>
        <w:r>
          <w:rPr>
            <w:rFonts w:asciiTheme="minorHAnsi" w:eastAsiaTheme="minorEastAsia" w:hAnsiTheme="minorHAnsi" w:cstheme="minorBidi"/>
            <w:b w:val="0"/>
            <w:noProof/>
            <w:color w:val="auto"/>
            <w:sz w:val="22"/>
            <w:szCs w:val="22"/>
          </w:rPr>
          <w:tab/>
        </w:r>
        <w:r w:rsidRPr="000A1BEB">
          <w:rPr>
            <w:rStyle w:val="Hypertextovodkaz"/>
            <w:noProof/>
          </w:rPr>
          <w:t>Rizika spojená s realizací programu</w:t>
        </w:r>
        <w:r>
          <w:rPr>
            <w:noProof/>
            <w:webHidden/>
          </w:rPr>
          <w:tab/>
        </w:r>
        <w:r>
          <w:rPr>
            <w:noProof/>
            <w:webHidden/>
          </w:rPr>
          <w:fldChar w:fldCharType="begin"/>
        </w:r>
        <w:r>
          <w:rPr>
            <w:noProof/>
            <w:webHidden/>
          </w:rPr>
          <w:instrText xml:space="preserve"> PAGEREF _Toc463438648 \h </w:instrText>
        </w:r>
        <w:r>
          <w:rPr>
            <w:noProof/>
            <w:webHidden/>
          </w:rPr>
        </w:r>
        <w:r>
          <w:rPr>
            <w:noProof/>
            <w:webHidden/>
          </w:rPr>
          <w:fldChar w:fldCharType="separate"/>
        </w:r>
        <w:r>
          <w:rPr>
            <w:noProof/>
            <w:webHidden/>
          </w:rPr>
          <w:t>92</w:t>
        </w:r>
        <w:r>
          <w:rPr>
            <w:noProof/>
            <w:webHidden/>
          </w:rPr>
          <w:fldChar w:fldCharType="end"/>
        </w:r>
      </w:hyperlink>
    </w:p>
    <w:p w:rsidR="00A333AD" w:rsidRDefault="00A333AD">
      <w:pPr>
        <w:pStyle w:val="Obsah1"/>
        <w:rPr>
          <w:rFonts w:asciiTheme="minorHAnsi" w:eastAsiaTheme="minorEastAsia" w:hAnsiTheme="minorHAnsi" w:cstheme="minorBidi"/>
          <w:b w:val="0"/>
          <w:noProof/>
          <w:color w:val="auto"/>
          <w:sz w:val="22"/>
          <w:szCs w:val="22"/>
        </w:rPr>
      </w:pPr>
      <w:hyperlink w:anchor="_Toc463438649" w:history="1">
        <w:r w:rsidRPr="000A1BEB">
          <w:rPr>
            <w:rStyle w:val="Hypertextovodkaz"/>
            <w:noProof/>
          </w:rPr>
          <w:t>8.</w:t>
        </w:r>
        <w:r>
          <w:rPr>
            <w:rFonts w:asciiTheme="minorHAnsi" w:eastAsiaTheme="minorEastAsia" w:hAnsiTheme="minorHAnsi" w:cstheme="minorBidi"/>
            <w:b w:val="0"/>
            <w:noProof/>
            <w:color w:val="auto"/>
            <w:sz w:val="22"/>
            <w:szCs w:val="22"/>
          </w:rPr>
          <w:tab/>
        </w:r>
        <w:r w:rsidRPr="000A1BEB">
          <w:rPr>
            <w:rStyle w:val="Hypertextovodkaz"/>
            <w:noProof/>
          </w:rPr>
          <w:t>Přílohy</w:t>
        </w:r>
        <w:r>
          <w:rPr>
            <w:noProof/>
            <w:webHidden/>
          </w:rPr>
          <w:tab/>
        </w:r>
        <w:r>
          <w:rPr>
            <w:noProof/>
            <w:webHidden/>
          </w:rPr>
          <w:fldChar w:fldCharType="begin"/>
        </w:r>
        <w:r>
          <w:rPr>
            <w:noProof/>
            <w:webHidden/>
          </w:rPr>
          <w:instrText xml:space="preserve"> PAGEREF _Toc463438649 \h </w:instrText>
        </w:r>
        <w:r>
          <w:rPr>
            <w:noProof/>
            <w:webHidden/>
          </w:rPr>
        </w:r>
        <w:r>
          <w:rPr>
            <w:noProof/>
            <w:webHidden/>
          </w:rPr>
          <w:fldChar w:fldCharType="separate"/>
        </w:r>
        <w:r>
          <w:rPr>
            <w:noProof/>
            <w:webHidden/>
          </w:rPr>
          <w:t>93</w:t>
        </w:r>
        <w:r>
          <w:rPr>
            <w:noProof/>
            <w:webHidden/>
          </w:rPr>
          <w:fldChar w:fldCharType="end"/>
        </w:r>
      </w:hyperlink>
    </w:p>
    <w:p w:rsidR="00C26960" w:rsidRPr="003272C3" w:rsidRDefault="00484951" w:rsidP="00BC5587">
      <w:pPr>
        <w:spacing w:before="120" w:after="0" w:line="276" w:lineRule="auto"/>
        <w:rPr>
          <w:sz w:val="20"/>
          <w:szCs w:val="20"/>
        </w:rPr>
        <w:sectPr w:rsidR="00C26960" w:rsidRPr="003272C3" w:rsidSect="000924E9">
          <w:pgSz w:w="11906" w:h="16838"/>
          <w:pgMar w:top="2581" w:right="1133" w:bottom="1417" w:left="1133" w:header="708" w:footer="708" w:gutter="0"/>
          <w:pgNumType w:start="1"/>
          <w:cols w:space="708"/>
          <w:docGrid w:linePitch="299"/>
        </w:sectPr>
      </w:pPr>
      <w:r>
        <w:rPr>
          <w:b/>
          <w:sz w:val="20"/>
          <w:szCs w:val="20"/>
        </w:rPr>
        <w:fldChar w:fldCharType="end"/>
      </w:r>
    </w:p>
    <w:p w:rsidR="008C4588" w:rsidRPr="00A52D2C" w:rsidRDefault="00636838" w:rsidP="00BC5587">
      <w:pPr>
        <w:pStyle w:val="Nadpis1"/>
        <w:spacing w:before="120" w:after="0" w:line="276" w:lineRule="auto"/>
      </w:pPr>
      <w:bookmarkStart w:id="1" w:name="_w1hokxctkdxm" w:colFirst="0" w:colLast="0"/>
      <w:bookmarkStart w:id="2" w:name="_Toc463269112"/>
      <w:bookmarkStart w:id="3" w:name="_Toc463269263"/>
      <w:bookmarkStart w:id="4" w:name="_Toc463269296"/>
      <w:bookmarkStart w:id="5" w:name="_Toc463296642"/>
      <w:bookmarkStart w:id="6" w:name="_Toc463438621"/>
      <w:bookmarkEnd w:id="1"/>
      <w:r>
        <w:lastRenderedPageBreak/>
        <w:t>S</w:t>
      </w:r>
      <w:r w:rsidR="0009700A" w:rsidRPr="00A52D2C">
        <w:t>hrnutí</w:t>
      </w:r>
      <w:bookmarkEnd w:id="2"/>
      <w:bookmarkEnd w:id="3"/>
      <w:bookmarkEnd w:id="4"/>
      <w:bookmarkEnd w:id="5"/>
      <w:bookmarkEnd w:id="6"/>
    </w:p>
    <w:p w:rsidR="008C4588" w:rsidRPr="000D59FC" w:rsidRDefault="0009700A" w:rsidP="00BC5587">
      <w:pPr>
        <w:spacing w:before="120" w:after="0" w:line="276" w:lineRule="auto"/>
      </w:pPr>
      <w:r w:rsidRPr="000D59FC">
        <w:t xml:space="preserve">Tato podkladová analýza vznikla za účelem ucelení a shrnutí dostupných dat a informací, které jsou základem pro odůvodnění potřebnosti, zaměření a využití nově připravovaného programu THÉTA, který je specifický svým zaměřením na </w:t>
      </w:r>
      <w:r w:rsidR="00B3134E">
        <w:t>energetický sektor</w:t>
      </w:r>
      <w:r w:rsidRPr="000D59FC">
        <w:t>. Sběr dat probíhal prostřednictvím rešerší strategických dokumentů, zahraničních praxí, ale také pomocí rozhovorů a diskusí s relevantními aktéry v rámci kulatých stolů a v neposlední řadě analýzou skutečných dat souvisejících se všemi podpořenými i nepodpořenými projekty z oboru energetika od poskytovatelů jako je Technologická agentura ČR a Ministerstvo průmyslu a obchodu ČR.</w:t>
      </w:r>
    </w:p>
    <w:p w:rsidR="008C4588" w:rsidRPr="0014254D" w:rsidRDefault="0009700A" w:rsidP="00BC5587">
      <w:pPr>
        <w:spacing w:before="120" w:after="0" w:line="276" w:lineRule="auto"/>
      </w:pPr>
      <w:r w:rsidRPr="000D59FC">
        <w:t xml:space="preserve">Stručně lze návrh programu nastínit pomocí odpovědí na následující často kladené otázky a dále pak v jednotlivých kapitolách, které popisují současný stav a trendy v oblasti energetiky, samotné pojetí </w:t>
      </w:r>
      <w:r w:rsidRPr="0014254D">
        <w:t>programu, vazbu na relevantní mezinárodní, národní a resortní strategie, další programy VaVaI, absorpční kapacitu, intervenční logiku, evaluaci programu a rizika spojená s realizací programu.</w:t>
      </w:r>
    </w:p>
    <w:p w:rsidR="008D7283" w:rsidRDefault="0009700A" w:rsidP="00BC5587">
      <w:pPr>
        <w:spacing w:before="120" w:after="0" w:line="276" w:lineRule="auto"/>
      </w:pPr>
      <w:r w:rsidRPr="0014254D">
        <w:t>Často kladené otázky při přípravě nového programu:</w:t>
      </w:r>
    </w:p>
    <w:p w:rsidR="003A5B2E" w:rsidRPr="003A5B2E" w:rsidRDefault="003A5B2E" w:rsidP="00851123">
      <w:pPr>
        <w:numPr>
          <w:ilvl w:val="0"/>
          <w:numId w:val="70"/>
        </w:numPr>
        <w:spacing w:before="120" w:after="0" w:line="276" w:lineRule="auto"/>
        <w:textAlignment w:val="baseline"/>
        <w:rPr>
          <w:rFonts w:ascii="Cambria" w:eastAsia="Times New Roman" w:hAnsi="Cambria" w:cs="Times New Roman"/>
          <w:b/>
          <w:bCs/>
        </w:rPr>
      </w:pPr>
      <w:r w:rsidRPr="003A5B2E">
        <w:rPr>
          <w:rFonts w:ascii="Cambria" w:eastAsia="Times New Roman" w:hAnsi="Cambria" w:cs="Times New Roman"/>
          <w:b/>
          <w:bCs/>
        </w:rPr>
        <w:t>Jaké jsou hlavní parametry programu THÉTA a proč byly jejich hodnoty zvoleny právě takto?</w:t>
      </w:r>
    </w:p>
    <w:tbl>
      <w:tblPr>
        <w:tblW w:w="9694" w:type="dxa"/>
        <w:tblInd w:w="120" w:type="dxa"/>
        <w:tblCellMar>
          <w:top w:w="15" w:type="dxa"/>
          <w:left w:w="15" w:type="dxa"/>
          <w:bottom w:w="15" w:type="dxa"/>
          <w:right w:w="15" w:type="dxa"/>
        </w:tblCellMar>
        <w:tblLook w:val="04A0" w:firstRow="1" w:lastRow="0" w:firstColumn="1" w:lastColumn="0" w:noHBand="0" w:noVBand="1"/>
      </w:tblPr>
      <w:tblGrid>
        <w:gridCol w:w="2154"/>
        <w:gridCol w:w="1701"/>
        <w:gridCol w:w="5839"/>
      </w:tblGrid>
      <w:tr w:rsidR="002865E4" w:rsidRPr="003A5B2E" w:rsidTr="002865E4">
        <w:trPr>
          <w:tblHeader/>
        </w:trPr>
        <w:tc>
          <w:tcPr>
            <w:tcW w:w="2154" w:type="dxa"/>
            <w:tcBorders>
              <w:top w:val="single" w:sz="6" w:space="0" w:color="000000"/>
              <w:left w:val="single" w:sz="6" w:space="0" w:color="000000"/>
              <w:bottom w:val="single" w:sz="2" w:space="0" w:color="000000"/>
              <w:right w:val="single" w:sz="2" w:space="0" w:color="000000"/>
            </w:tcBorders>
            <w:shd w:val="clear" w:color="auto" w:fill="000000"/>
            <w:tcMar>
              <w:top w:w="0" w:type="dxa"/>
              <w:left w:w="120" w:type="dxa"/>
              <w:bottom w:w="0" w:type="dxa"/>
              <w:right w:w="120" w:type="dxa"/>
            </w:tcMar>
            <w:hideMark/>
          </w:tcPr>
          <w:p w:rsidR="003A5B2E" w:rsidRPr="003A5B2E" w:rsidRDefault="003A5B2E" w:rsidP="00BC5587">
            <w:pPr>
              <w:spacing w:before="120" w:after="0" w:line="276" w:lineRule="auto"/>
              <w:rPr>
                <w:rFonts w:eastAsia="Times New Roman" w:cs="Times New Roman"/>
                <w:color w:val="auto"/>
                <w:sz w:val="18"/>
                <w:szCs w:val="18"/>
              </w:rPr>
            </w:pPr>
            <w:r w:rsidRPr="003A5B2E">
              <w:rPr>
                <w:rFonts w:eastAsia="Times New Roman" w:cs="Times New Roman"/>
                <w:b/>
                <w:bCs/>
                <w:color w:val="FFFFFF"/>
                <w:sz w:val="18"/>
                <w:szCs w:val="18"/>
              </w:rPr>
              <w:t xml:space="preserve">Parametr </w:t>
            </w:r>
          </w:p>
        </w:tc>
        <w:tc>
          <w:tcPr>
            <w:tcW w:w="1701" w:type="dxa"/>
            <w:tcBorders>
              <w:top w:val="single" w:sz="6" w:space="0" w:color="000000"/>
              <w:left w:val="single" w:sz="2" w:space="0" w:color="000000"/>
              <w:bottom w:val="single" w:sz="2" w:space="0" w:color="000000"/>
              <w:right w:val="single" w:sz="2" w:space="0" w:color="000000"/>
            </w:tcBorders>
            <w:shd w:val="clear" w:color="auto" w:fill="000000"/>
            <w:tcMar>
              <w:top w:w="0" w:type="dxa"/>
              <w:left w:w="120" w:type="dxa"/>
              <w:bottom w:w="0" w:type="dxa"/>
              <w:right w:w="120" w:type="dxa"/>
            </w:tcMar>
            <w:hideMark/>
          </w:tcPr>
          <w:p w:rsidR="003A5B2E" w:rsidRPr="003A5B2E" w:rsidRDefault="003A5B2E" w:rsidP="00BC5587">
            <w:pPr>
              <w:spacing w:before="120" w:after="0" w:line="276" w:lineRule="auto"/>
              <w:rPr>
                <w:rFonts w:eastAsia="Times New Roman" w:cs="Times New Roman"/>
                <w:color w:val="auto"/>
                <w:sz w:val="18"/>
                <w:szCs w:val="18"/>
              </w:rPr>
            </w:pPr>
            <w:r w:rsidRPr="003A5B2E">
              <w:rPr>
                <w:rFonts w:eastAsia="Times New Roman" w:cs="Times New Roman"/>
                <w:b/>
                <w:bCs/>
                <w:color w:val="FFFFFF"/>
                <w:sz w:val="18"/>
                <w:szCs w:val="18"/>
              </w:rPr>
              <w:t xml:space="preserve">Hodnoty </w:t>
            </w:r>
          </w:p>
        </w:tc>
        <w:tc>
          <w:tcPr>
            <w:tcW w:w="5839" w:type="dxa"/>
            <w:tcBorders>
              <w:top w:val="single" w:sz="6" w:space="0" w:color="000000"/>
              <w:left w:val="single" w:sz="2" w:space="0" w:color="000000"/>
              <w:bottom w:val="single" w:sz="2" w:space="0" w:color="000000"/>
              <w:right w:val="single" w:sz="6" w:space="0" w:color="000000"/>
            </w:tcBorders>
            <w:shd w:val="clear" w:color="auto" w:fill="000000"/>
            <w:tcMar>
              <w:top w:w="0" w:type="dxa"/>
              <w:left w:w="120" w:type="dxa"/>
              <w:bottom w:w="0" w:type="dxa"/>
              <w:right w:w="120" w:type="dxa"/>
            </w:tcMar>
            <w:hideMark/>
          </w:tcPr>
          <w:p w:rsidR="003A5B2E" w:rsidRPr="003A5B2E" w:rsidRDefault="003A5B2E" w:rsidP="00BC5587">
            <w:pPr>
              <w:spacing w:before="120" w:after="0" w:line="276" w:lineRule="auto"/>
              <w:rPr>
                <w:rFonts w:eastAsia="Times New Roman" w:cs="Times New Roman"/>
                <w:color w:val="auto"/>
                <w:sz w:val="18"/>
                <w:szCs w:val="18"/>
              </w:rPr>
            </w:pPr>
            <w:r w:rsidRPr="003A5B2E">
              <w:rPr>
                <w:rFonts w:eastAsia="Times New Roman" w:cs="Times New Roman"/>
                <w:b/>
                <w:bCs/>
                <w:color w:val="FFFFFF"/>
                <w:sz w:val="18"/>
                <w:szCs w:val="18"/>
              </w:rPr>
              <w:t>Odůvodnění</w:t>
            </w:r>
          </w:p>
        </w:tc>
      </w:tr>
      <w:tr w:rsidR="002865E4" w:rsidRPr="003A5B2E" w:rsidTr="002865E4">
        <w:trPr>
          <w:trHeight w:val="180"/>
        </w:trPr>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Doba trvání programu</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8 let (2018-2025)</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Potřeba dlouhodobé a stabilní podpory VaVaI v klíčovém sektoru energetiky, umožňující realizaci výzkumu zaměřeného na systémová energetická řešení a dlouhodobé technologické perspektivy.</w:t>
            </w:r>
          </w:p>
        </w:tc>
      </w:tr>
      <w:tr w:rsidR="002865E4" w:rsidRPr="003A5B2E" w:rsidTr="002865E4">
        <w:trPr>
          <w:trHeight w:val="720"/>
        </w:trPr>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Veřejné soutěže</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14254D">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Liší se dle zaměření podprogramů</w:t>
            </w:r>
            <w:r w:rsidR="00463672">
              <w:rPr>
                <w:rFonts w:eastAsia="Times New Roman" w:cs="Times New Roman"/>
                <w:sz w:val="18"/>
                <w:szCs w:val="18"/>
              </w:rPr>
              <w:t>, obecně každý rok v letech 2017</w:t>
            </w:r>
            <w:r w:rsidR="0014254D">
              <w:rPr>
                <w:rFonts w:eastAsia="Times New Roman" w:cs="Times New Roman"/>
                <w:sz w:val="18"/>
                <w:szCs w:val="18"/>
              </w:rPr>
              <w:t>-</w:t>
            </w:r>
            <w:r w:rsidR="00463672">
              <w:rPr>
                <w:rFonts w:eastAsia="Times New Roman" w:cs="Times New Roman"/>
                <w:sz w:val="18"/>
                <w:szCs w:val="18"/>
              </w:rPr>
              <w:t xml:space="preserve"> 2023.</w:t>
            </w:r>
            <w:r w:rsidRPr="003A5B2E">
              <w:rPr>
                <w:rFonts w:eastAsia="Times New Roman" w:cs="Times New Roman"/>
                <w:sz w:val="18"/>
                <w:szCs w:val="18"/>
              </w:rPr>
              <w:tab/>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463672" w:rsidRDefault="00463672" w:rsidP="00463672">
            <w:pPr>
              <w:spacing w:before="120" w:after="0" w:line="276" w:lineRule="auto"/>
              <w:jc w:val="left"/>
              <w:rPr>
                <w:rFonts w:eastAsia="Times New Roman" w:cs="Times New Roman"/>
                <w:sz w:val="18"/>
                <w:szCs w:val="18"/>
              </w:rPr>
            </w:pPr>
            <w:r>
              <w:rPr>
                <w:rFonts w:eastAsia="Times New Roman" w:cs="Times New Roman"/>
                <w:sz w:val="18"/>
                <w:szCs w:val="18"/>
              </w:rPr>
              <w:t>Předpokládá se realizace veřejných soutěží</w:t>
            </w:r>
            <w:r w:rsidR="00A35B2E">
              <w:rPr>
                <w:rFonts w:eastAsia="Times New Roman" w:cs="Times New Roman"/>
                <w:sz w:val="18"/>
                <w:szCs w:val="18"/>
              </w:rPr>
              <w:t>:</w:t>
            </w:r>
            <w:r>
              <w:rPr>
                <w:rFonts w:eastAsia="Times New Roman" w:cs="Times New Roman"/>
                <w:sz w:val="18"/>
                <w:szCs w:val="18"/>
              </w:rPr>
              <w:t xml:space="preserve"> </w:t>
            </w:r>
          </w:p>
          <w:p w:rsidR="003A5B2E" w:rsidRPr="003A5B2E" w:rsidRDefault="003A5B2E" w:rsidP="00463672">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w:t>
            </w:r>
            <w:r w:rsidR="00463672">
              <w:rPr>
                <w:rFonts w:eastAsia="Times New Roman" w:cs="Times New Roman"/>
                <w:sz w:val="18"/>
                <w:szCs w:val="18"/>
              </w:rPr>
              <w:t xml:space="preserve">odprogram </w:t>
            </w:r>
            <w:r w:rsidRPr="003A5B2E">
              <w:rPr>
                <w:rFonts w:eastAsia="Times New Roman" w:cs="Times New Roman"/>
                <w:sz w:val="18"/>
                <w:szCs w:val="18"/>
              </w:rPr>
              <w:t>1</w:t>
            </w:r>
            <w:r w:rsidR="00463672">
              <w:rPr>
                <w:rFonts w:eastAsia="Times New Roman" w:cs="Times New Roman"/>
                <w:sz w:val="18"/>
                <w:szCs w:val="18"/>
              </w:rPr>
              <w:t xml:space="preserve"> (Výzkum ve veřejném zájmu)</w:t>
            </w:r>
            <w:r w:rsidRPr="003A5B2E">
              <w:rPr>
                <w:rFonts w:eastAsia="Times New Roman" w:cs="Times New Roman"/>
                <w:sz w:val="18"/>
                <w:szCs w:val="18"/>
              </w:rPr>
              <w:t>: 2017,2018,  2019 a následně každé 1-2 roky</w:t>
            </w:r>
            <w:r w:rsidRPr="003A5B2E">
              <w:rPr>
                <w:rFonts w:eastAsia="Times New Roman" w:cs="Times New Roman"/>
                <w:sz w:val="18"/>
                <w:szCs w:val="18"/>
              </w:rPr>
              <w:br/>
              <w:t>P</w:t>
            </w:r>
            <w:r w:rsidR="00463672">
              <w:rPr>
                <w:rFonts w:eastAsia="Times New Roman" w:cs="Times New Roman"/>
                <w:sz w:val="18"/>
                <w:szCs w:val="18"/>
              </w:rPr>
              <w:t xml:space="preserve">odprogram </w:t>
            </w:r>
            <w:r w:rsidRPr="003A5B2E">
              <w:rPr>
                <w:rFonts w:eastAsia="Times New Roman" w:cs="Times New Roman"/>
                <w:sz w:val="18"/>
                <w:szCs w:val="18"/>
              </w:rPr>
              <w:t>2</w:t>
            </w:r>
            <w:r w:rsidR="00463672">
              <w:rPr>
                <w:rFonts w:eastAsia="Times New Roman" w:cs="Times New Roman"/>
                <w:sz w:val="18"/>
                <w:szCs w:val="18"/>
              </w:rPr>
              <w:t xml:space="preserve"> (Strategické energetické technologie)</w:t>
            </w:r>
            <w:r w:rsidRPr="003A5B2E">
              <w:rPr>
                <w:rFonts w:eastAsia="Times New Roman" w:cs="Times New Roman"/>
                <w:sz w:val="18"/>
                <w:szCs w:val="18"/>
              </w:rPr>
              <w:t>: 2017 a následně každý rok</w:t>
            </w:r>
            <w:r w:rsidRPr="003A5B2E">
              <w:rPr>
                <w:rFonts w:eastAsia="Times New Roman" w:cs="Times New Roman"/>
                <w:sz w:val="18"/>
                <w:szCs w:val="18"/>
              </w:rPr>
              <w:br/>
              <w:t>P</w:t>
            </w:r>
            <w:r w:rsidR="00463672">
              <w:rPr>
                <w:rFonts w:eastAsia="Times New Roman" w:cs="Times New Roman"/>
                <w:sz w:val="18"/>
                <w:szCs w:val="18"/>
              </w:rPr>
              <w:t xml:space="preserve">odprogram </w:t>
            </w:r>
            <w:r w:rsidRPr="003A5B2E">
              <w:rPr>
                <w:rFonts w:eastAsia="Times New Roman" w:cs="Times New Roman"/>
                <w:sz w:val="18"/>
                <w:szCs w:val="18"/>
              </w:rPr>
              <w:t>3</w:t>
            </w:r>
            <w:r w:rsidR="00463672">
              <w:rPr>
                <w:rFonts w:eastAsia="Times New Roman" w:cs="Times New Roman"/>
                <w:sz w:val="18"/>
                <w:szCs w:val="18"/>
              </w:rPr>
              <w:t xml:space="preserve"> (Dlouhodobé technologické perspektivy)</w:t>
            </w:r>
            <w:r w:rsidRPr="003A5B2E">
              <w:rPr>
                <w:rFonts w:eastAsia="Times New Roman" w:cs="Times New Roman"/>
                <w:sz w:val="18"/>
                <w:szCs w:val="18"/>
              </w:rPr>
              <w:t>: 2017, 2019, 2021</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Zahájení podpory</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od 1. 4. 2018</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V návaznosti na schválení programu a v souladu s plánem výzev realizovaných v různých programech TA ČR.</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463672" w:rsidP="00463672">
            <w:pPr>
              <w:spacing w:before="120" w:after="0" w:line="276" w:lineRule="auto"/>
              <w:jc w:val="left"/>
              <w:rPr>
                <w:rFonts w:eastAsia="Times New Roman" w:cs="Times New Roman"/>
                <w:color w:val="auto"/>
                <w:sz w:val="18"/>
                <w:szCs w:val="18"/>
              </w:rPr>
            </w:pPr>
            <w:r>
              <w:rPr>
                <w:rFonts w:eastAsia="Times New Roman" w:cs="Times New Roman"/>
                <w:b/>
                <w:bCs/>
                <w:sz w:val="18"/>
                <w:szCs w:val="18"/>
              </w:rPr>
              <w:t>Hodnocení programu</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463672" w:rsidRDefault="00463672" w:rsidP="00BC5587">
            <w:pPr>
              <w:spacing w:before="120" w:after="0" w:line="276" w:lineRule="auto"/>
              <w:jc w:val="left"/>
              <w:rPr>
                <w:rFonts w:eastAsia="Times New Roman" w:cs="Times New Roman"/>
                <w:sz w:val="18"/>
                <w:szCs w:val="18"/>
              </w:rPr>
            </w:pPr>
            <w:r>
              <w:rPr>
                <w:rFonts w:eastAsia="Times New Roman" w:cs="Times New Roman"/>
                <w:sz w:val="18"/>
                <w:szCs w:val="18"/>
              </w:rPr>
              <w:t>Průběžné hodnocení: 2020</w:t>
            </w:r>
          </w:p>
          <w:p w:rsidR="003A5B2E" w:rsidRPr="003A5B2E" w:rsidRDefault="00463672" w:rsidP="00BC5587">
            <w:pPr>
              <w:spacing w:before="120" w:after="0" w:line="276" w:lineRule="auto"/>
              <w:jc w:val="left"/>
              <w:rPr>
                <w:rFonts w:eastAsia="Times New Roman" w:cs="Times New Roman"/>
                <w:color w:val="auto"/>
                <w:sz w:val="18"/>
                <w:szCs w:val="18"/>
              </w:rPr>
            </w:pPr>
            <w:r>
              <w:rPr>
                <w:rFonts w:eastAsia="Times New Roman" w:cs="Times New Roman"/>
                <w:sz w:val="18"/>
                <w:szCs w:val="18"/>
              </w:rPr>
              <w:t xml:space="preserve">Ex-post hodnocení: </w:t>
            </w:r>
            <w:r w:rsidR="003A5B2E" w:rsidRPr="003A5B2E">
              <w:rPr>
                <w:rFonts w:eastAsia="Times New Roman" w:cs="Times New Roman"/>
                <w:sz w:val="18"/>
                <w:szCs w:val="18"/>
              </w:rPr>
              <w:t>2026-2027</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463672" w:rsidRDefault="00463672" w:rsidP="00463672">
            <w:pPr>
              <w:spacing w:before="120" w:after="0" w:line="276" w:lineRule="auto"/>
              <w:jc w:val="left"/>
              <w:rPr>
                <w:rFonts w:eastAsia="Times New Roman" w:cs="Times New Roman"/>
                <w:sz w:val="18"/>
                <w:szCs w:val="18"/>
              </w:rPr>
            </w:pPr>
            <w:r>
              <w:rPr>
                <w:rFonts w:eastAsia="Times New Roman" w:cs="Times New Roman"/>
                <w:sz w:val="18"/>
                <w:szCs w:val="18"/>
              </w:rPr>
              <w:t>Předpokládá se realizace průběžného hodnocení v roce 2020. V tu chvíli budou realizovány tři až čtyři veřejné soutěže, bude tak možné vyhodnotit průběh plnění programu a jeho cílů a doporučit případné změny v implementaci programu pro další období.</w:t>
            </w:r>
          </w:p>
          <w:p w:rsidR="003A5B2E" w:rsidRPr="003A5B2E" w:rsidRDefault="00463672" w:rsidP="00463672">
            <w:pPr>
              <w:spacing w:before="120" w:after="0" w:line="276" w:lineRule="auto"/>
              <w:jc w:val="left"/>
              <w:rPr>
                <w:rFonts w:eastAsia="Times New Roman" w:cs="Times New Roman"/>
                <w:color w:val="auto"/>
                <w:sz w:val="18"/>
                <w:szCs w:val="18"/>
              </w:rPr>
            </w:pPr>
            <w:r>
              <w:rPr>
                <w:rFonts w:eastAsia="Times New Roman" w:cs="Times New Roman"/>
                <w:sz w:val="18"/>
                <w:szCs w:val="18"/>
              </w:rPr>
              <w:t>Ex-post hodnocení bude realizováno v</w:t>
            </w:r>
            <w:r w:rsidR="003A5B2E" w:rsidRPr="003A5B2E">
              <w:rPr>
                <w:rFonts w:eastAsia="Times New Roman" w:cs="Times New Roman"/>
                <w:sz w:val="18"/>
                <w:szCs w:val="18"/>
              </w:rPr>
              <w:t xml:space="preserve"> návaznosti na ukončení realizace jednotlivých projektů a programu jako celku.</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délka řešení projektu</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Není stanovena</w:t>
            </w:r>
            <w:r w:rsidRPr="003A5B2E">
              <w:rPr>
                <w:rFonts w:eastAsia="Times New Roman" w:cs="Times New Roman"/>
                <w:sz w:val="18"/>
                <w:szCs w:val="18"/>
              </w:rPr>
              <w:tab/>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Bude specifikováno v zadávací dokumentaci k jednotlivým veřejným soutěžím</w:t>
            </w:r>
          </w:p>
        </w:tc>
      </w:tr>
      <w:tr w:rsidR="002865E4" w:rsidRPr="003A5B2E" w:rsidTr="002865E4">
        <w:trPr>
          <w:cantSplit/>
        </w:trPr>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lastRenderedPageBreak/>
              <w:t>Maximální délka řešení projektů</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8 let</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Bude specifikováno v zadávací dokumentaci k jednotlivým veřejným soutěžím. Předpokládaná průměrná délka řešení projektů:</w:t>
            </w:r>
          </w:p>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PP1: 2 - 3 roky</w:t>
            </w:r>
          </w:p>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PP2: 2 - 4 roky</w:t>
            </w:r>
          </w:p>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PP3: 4 - 8 let</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výše podpory</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 xml:space="preserve">- </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Přiměřenost podpory bude předmětem hodnocení návrhu projektu.</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Maximální výše podpory</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100 %</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14254D" w:rsidRDefault="003A5B2E" w:rsidP="00BC5587">
            <w:pPr>
              <w:spacing w:before="120" w:after="0" w:line="276" w:lineRule="auto"/>
              <w:jc w:val="left"/>
              <w:rPr>
                <w:rFonts w:eastAsia="Times New Roman" w:cs="Times New Roman"/>
                <w:sz w:val="18"/>
                <w:szCs w:val="18"/>
              </w:rPr>
            </w:pPr>
            <w:r w:rsidRPr="003A5B2E">
              <w:rPr>
                <w:rFonts w:eastAsia="Times New Roman" w:cs="Times New Roman"/>
                <w:sz w:val="18"/>
                <w:szCs w:val="18"/>
              </w:rPr>
              <w:t xml:space="preserve">Na úrovni programu ve výši 100 % (PP1 100 %. PP2 80 %, PP3 100 %). </w:t>
            </w:r>
          </w:p>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Řídí se platnými předpisy: Maximální povolená výše podpory projektu (bez oznamovací povinnosti a podrobnějšího posouzení EK), která je podle čl. 6 odst. 1 písm. e) bodu ii) Nařízení a podle čl. 7.1 Rámce stanovena na 10 mil. EUR, nebude překročena.</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2865E4" w:rsidRDefault="003A5B2E" w:rsidP="00BC5587">
            <w:pPr>
              <w:spacing w:before="120" w:after="0" w:line="276" w:lineRule="auto"/>
              <w:jc w:val="left"/>
              <w:rPr>
                <w:rFonts w:eastAsia="Times New Roman" w:cs="Times New Roman"/>
                <w:color w:val="auto"/>
                <w:sz w:val="18"/>
                <w:szCs w:val="18"/>
              </w:rPr>
            </w:pPr>
            <w:r w:rsidRPr="002865E4">
              <w:rPr>
                <w:rFonts w:eastAsia="Times New Roman" w:cs="Times New Roman"/>
                <w:b/>
                <w:bCs/>
                <w:sz w:val="18"/>
                <w:szCs w:val="18"/>
              </w:rPr>
              <w:t>Průměrná výše podpory</w:t>
            </w:r>
          </w:p>
        </w:tc>
        <w:tc>
          <w:tcPr>
            <w:tcW w:w="1701" w:type="dxa"/>
            <w:tcBorders>
              <w:top w:val="single" w:sz="6" w:space="0" w:color="000000"/>
              <w:left w:val="single" w:sz="2" w:space="0" w:color="000000"/>
              <w:bottom w:val="single" w:sz="6" w:space="0" w:color="000000"/>
              <w:right w:val="single" w:sz="2" w:space="0" w:color="000000"/>
            </w:tcBorders>
            <w:shd w:val="clear" w:color="auto" w:fill="auto"/>
            <w:tcMar>
              <w:top w:w="0" w:type="dxa"/>
              <w:left w:w="120" w:type="dxa"/>
              <w:bottom w:w="0" w:type="dxa"/>
              <w:right w:w="120" w:type="dxa"/>
            </w:tcMar>
            <w:hideMark/>
          </w:tcPr>
          <w:p w:rsidR="003A5B2E" w:rsidRPr="002865E4" w:rsidRDefault="003A5B2E" w:rsidP="002865E4">
            <w:pPr>
              <w:spacing w:before="120" w:after="0" w:line="276" w:lineRule="auto"/>
              <w:jc w:val="left"/>
              <w:rPr>
                <w:rFonts w:eastAsia="Times New Roman" w:cs="Times New Roman"/>
                <w:color w:val="auto"/>
                <w:sz w:val="18"/>
                <w:szCs w:val="18"/>
              </w:rPr>
            </w:pPr>
            <w:r w:rsidRPr="002865E4">
              <w:rPr>
                <w:rFonts w:eastAsia="Times New Roman" w:cs="Times New Roman"/>
                <w:sz w:val="18"/>
                <w:szCs w:val="18"/>
              </w:rPr>
              <w:t>1</w:t>
            </w:r>
            <w:r w:rsidR="002865E4" w:rsidRPr="002865E4">
              <w:rPr>
                <w:rFonts w:eastAsia="Times New Roman" w:cs="Times New Roman"/>
                <w:sz w:val="18"/>
                <w:szCs w:val="18"/>
              </w:rPr>
              <w:t>3</w:t>
            </w:r>
            <w:r w:rsidRPr="002865E4">
              <w:rPr>
                <w:rFonts w:eastAsia="Times New Roman" w:cs="Times New Roman"/>
                <w:sz w:val="18"/>
                <w:szCs w:val="18"/>
              </w:rPr>
              <w:t xml:space="preserve"> mil Kč na projekt</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2865E4" w:rsidRDefault="003A5B2E" w:rsidP="00B3134E">
            <w:pPr>
              <w:spacing w:before="120" w:after="0" w:line="276" w:lineRule="auto"/>
              <w:jc w:val="left"/>
              <w:rPr>
                <w:rFonts w:eastAsia="Times New Roman" w:cs="Times New Roman"/>
                <w:sz w:val="18"/>
                <w:szCs w:val="18"/>
              </w:rPr>
            </w:pPr>
            <w:r w:rsidRPr="002865E4">
              <w:rPr>
                <w:rFonts w:eastAsia="Times New Roman" w:cs="Times New Roman"/>
                <w:sz w:val="18"/>
                <w:szCs w:val="18"/>
              </w:rPr>
              <w:t>Pro srovnání u programů</w:t>
            </w:r>
            <w:r w:rsidR="00B3134E" w:rsidRPr="002865E4">
              <w:rPr>
                <w:rFonts w:eastAsia="Times New Roman" w:cs="Times New Roman"/>
                <w:sz w:val="18"/>
                <w:szCs w:val="18"/>
              </w:rPr>
              <w:t xml:space="preserve"> ALFA, EPSILON, TIP a TRIO</w:t>
            </w:r>
            <w:r w:rsidRPr="002865E4">
              <w:rPr>
                <w:rFonts w:eastAsia="Times New Roman" w:cs="Times New Roman"/>
                <w:sz w:val="18"/>
                <w:szCs w:val="18"/>
              </w:rPr>
              <w:t xml:space="preserve"> </w:t>
            </w:r>
            <w:r w:rsidR="00B3134E" w:rsidRPr="002865E4">
              <w:rPr>
                <w:rFonts w:eastAsia="Times New Roman" w:cs="Times New Roman"/>
                <w:sz w:val="18"/>
                <w:szCs w:val="18"/>
              </w:rPr>
              <w:t xml:space="preserve">je u projektů v oborech JE a JF (energetika a jaderná energetika) </w:t>
            </w:r>
            <w:r w:rsidRPr="002865E4">
              <w:rPr>
                <w:rFonts w:eastAsia="Times New Roman" w:cs="Times New Roman"/>
                <w:sz w:val="18"/>
                <w:szCs w:val="18"/>
              </w:rPr>
              <w:t xml:space="preserve">průměrná podpora na projekt </w:t>
            </w:r>
            <w:r w:rsidR="00B3134E" w:rsidRPr="002865E4">
              <w:rPr>
                <w:rFonts w:eastAsia="Times New Roman" w:cs="Times New Roman"/>
                <w:sz w:val="18"/>
                <w:szCs w:val="18"/>
              </w:rPr>
              <w:t>přes</w:t>
            </w:r>
            <w:r w:rsidR="002865E4" w:rsidRPr="002865E4">
              <w:rPr>
                <w:rFonts w:eastAsia="Times New Roman" w:cs="Times New Roman"/>
                <w:sz w:val="18"/>
                <w:szCs w:val="18"/>
              </w:rPr>
              <w:t xml:space="preserve"> 20</w:t>
            </w:r>
            <w:r w:rsidR="00A35B2E">
              <w:rPr>
                <w:rFonts w:eastAsia="Times New Roman" w:cs="Times New Roman"/>
                <w:sz w:val="18"/>
                <w:szCs w:val="18"/>
              </w:rPr>
              <w:t xml:space="preserve"> </w:t>
            </w:r>
            <w:r w:rsidR="002865E4" w:rsidRPr="002865E4">
              <w:rPr>
                <w:rFonts w:eastAsia="Times New Roman" w:cs="Times New Roman"/>
                <w:sz w:val="18"/>
                <w:szCs w:val="18"/>
              </w:rPr>
              <w:t>mil</w:t>
            </w:r>
            <w:r w:rsidR="00A35B2E">
              <w:rPr>
                <w:rFonts w:eastAsia="Times New Roman" w:cs="Times New Roman"/>
                <w:sz w:val="18"/>
                <w:szCs w:val="18"/>
              </w:rPr>
              <w:t>.</w:t>
            </w:r>
            <w:r w:rsidR="002865E4" w:rsidRPr="002865E4">
              <w:rPr>
                <w:rFonts w:eastAsia="Times New Roman" w:cs="Times New Roman"/>
                <w:sz w:val="18"/>
                <w:szCs w:val="18"/>
              </w:rPr>
              <w:t xml:space="preserve"> Kč. Průměrná výše podpory dle podprogramů:</w:t>
            </w:r>
          </w:p>
          <w:p w:rsidR="002865E4" w:rsidRPr="002865E4" w:rsidRDefault="002865E4" w:rsidP="002865E4">
            <w:pPr>
              <w:spacing w:before="120" w:after="0" w:line="276" w:lineRule="auto"/>
              <w:jc w:val="left"/>
              <w:rPr>
                <w:rFonts w:eastAsia="Times New Roman" w:cs="Times New Roman"/>
                <w:color w:val="auto"/>
                <w:sz w:val="18"/>
                <w:szCs w:val="18"/>
              </w:rPr>
            </w:pPr>
            <w:r w:rsidRPr="002865E4">
              <w:rPr>
                <w:rFonts w:eastAsia="Times New Roman" w:cs="Times New Roman"/>
                <w:sz w:val="18"/>
                <w:szCs w:val="18"/>
              </w:rPr>
              <w:t>PP1: 4 mil. Kč na projekt</w:t>
            </w:r>
          </w:p>
          <w:p w:rsidR="002865E4" w:rsidRPr="002865E4" w:rsidRDefault="002865E4" w:rsidP="002865E4">
            <w:pPr>
              <w:spacing w:before="120" w:after="0" w:line="276" w:lineRule="auto"/>
              <w:jc w:val="left"/>
              <w:rPr>
                <w:rFonts w:eastAsia="Times New Roman" w:cs="Times New Roman"/>
                <w:color w:val="auto"/>
                <w:sz w:val="18"/>
                <w:szCs w:val="18"/>
              </w:rPr>
            </w:pPr>
            <w:r w:rsidRPr="002865E4">
              <w:rPr>
                <w:rFonts w:eastAsia="Times New Roman" w:cs="Times New Roman"/>
                <w:sz w:val="18"/>
                <w:szCs w:val="18"/>
              </w:rPr>
              <w:t>PP2: 20 mil. Kč na projekt</w:t>
            </w:r>
          </w:p>
          <w:p w:rsidR="002865E4" w:rsidRPr="002865E4" w:rsidRDefault="002865E4" w:rsidP="002865E4">
            <w:pPr>
              <w:spacing w:before="120" w:after="0" w:line="276" w:lineRule="auto"/>
              <w:jc w:val="left"/>
              <w:rPr>
                <w:rFonts w:eastAsia="Times New Roman" w:cs="Times New Roman"/>
                <w:color w:val="auto"/>
                <w:sz w:val="18"/>
                <w:szCs w:val="18"/>
              </w:rPr>
            </w:pPr>
            <w:r w:rsidRPr="002865E4">
              <w:rPr>
                <w:rFonts w:eastAsia="Times New Roman" w:cs="Times New Roman"/>
                <w:sz w:val="18"/>
                <w:szCs w:val="18"/>
              </w:rPr>
              <w:t>PP3: 30 mil. Kč na projekt</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Očekávaná míra podpory za program</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2865E4" w:rsidRDefault="003A5B2E" w:rsidP="00BC5587">
            <w:pPr>
              <w:spacing w:before="120" w:after="0" w:line="276" w:lineRule="auto"/>
              <w:jc w:val="left"/>
              <w:rPr>
                <w:rFonts w:eastAsia="Times New Roman" w:cs="Times New Roman"/>
                <w:color w:val="auto"/>
                <w:sz w:val="18"/>
                <w:szCs w:val="18"/>
              </w:rPr>
            </w:pPr>
            <w:r w:rsidRPr="002865E4">
              <w:rPr>
                <w:rFonts w:eastAsia="Times New Roman" w:cs="Times New Roman"/>
                <w:sz w:val="18"/>
                <w:szCs w:val="18"/>
              </w:rPr>
              <w:t>70</w:t>
            </w:r>
            <w:r w:rsidR="002865E4">
              <w:rPr>
                <w:rFonts w:eastAsia="Times New Roman" w:cs="Times New Roman"/>
                <w:sz w:val="18"/>
                <w:szCs w:val="18"/>
              </w:rPr>
              <w:t xml:space="preserve"> </w:t>
            </w:r>
            <w:r w:rsidRPr="002865E4">
              <w:rPr>
                <w:rFonts w:eastAsia="Times New Roman" w:cs="Times New Roman"/>
                <w:sz w:val="18"/>
                <w:szCs w:val="18"/>
              </w:rPr>
              <w:t>%</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14254D" w:rsidRDefault="003A5B2E" w:rsidP="00BC5587">
            <w:pPr>
              <w:spacing w:before="120" w:after="0" w:line="276" w:lineRule="auto"/>
              <w:jc w:val="left"/>
              <w:rPr>
                <w:rFonts w:eastAsia="Times New Roman" w:cs="Times New Roman"/>
                <w:sz w:val="18"/>
                <w:szCs w:val="18"/>
              </w:rPr>
            </w:pPr>
            <w:r w:rsidRPr="003A5B2E">
              <w:rPr>
                <w:rFonts w:eastAsia="Times New Roman" w:cs="Times New Roman"/>
                <w:sz w:val="18"/>
                <w:szCs w:val="18"/>
              </w:rPr>
              <w:t xml:space="preserve">Počítá se se spoluúčastí podniků. Pro každý podprogram bude stanovena odlišná průměrná míra podpory. </w:t>
            </w:r>
          </w:p>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Předpokládá se pro PP1: 95 %, PP2: 60 % a PP3: 80 %</w:t>
            </w:r>
          </w:p>
        </w:tc>
      </w:tr>
      <w:tr w:rsidR="002865E4" w:rsidRPr="003A5B2E" w:rsidTr="002865E4">
        <w:trPr>
          <w:trHeight w:val="180"/>
        </w:trPr>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počet podpořených projektů</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2865E4" w:rsidRDefault="002865E4" w:rsidP="00BC5587">
            <w:pPr>
              <w:spacing w:before="120" w:after="0" w:line="276" w:lineRule="auto"/>
              <w:rPr>
                <w:rFonts w:eastAsia="Times New Roman" w:cs="Times New Roman"/>
                <w:color w:val="auto"/>
                <w:sz w:val="18"/>
                <w:szCs w:val="18"/>
              </w:rPr>
            </w:pPr>
            <w:r w:rsidRPr="002865E4">
              <w:rPr>
                <w:rFonts w:eastAsia="Times New Roman" w:cs="Times New Roman"/>
                <w:sz w:val="18"/>
                <w:szCs w:val="18"/>
              </w:rPr>
              <w:t>3</w:t>
            </w:r>
            <w:r w:rsidR="003A5B2E" w:rsidRPr="002865E4">
              <w:rPr>
                <w:rFonts w:eastAsia="Times New Roman" w:cs="Times New Roman"/>
                <w:sz w:val="18"/>
                <w:szCs w:val="18"/>
              </w:rPr>
              <w:t>00</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2865E4" w:rsidP="002865E4">
            <w:pPr>
              <w:spacing w:before="120" w:after="0" w:line="276" w:lineRule="auto"/>
              <w:jc w:val="left"/>
              <w:rPr>
                <w:rFonts w:eastAsia="Times New Roman" w:cs="Times New Roman"/>
                <w:color w:val="auto"/>
                <w:sz w:val="18"/>
                <w:szCs w:val="18"/>
              </w:rPr>
            </w:pPr>
            <w:r>
              <w:rPr>
                <w:rFonts w:eastAsia="Times New Roman" w:cs="Times New Roman"/>
                <w:color w:val="auto"/>
                <w:sz w:val="18"/>
                <w:szCs w:val="18"/>
              </w:rPr>
              <w:t>Vychází z očekávané průměrné velikosti projektů a návrhu výdajů ze státního rozpočtu.</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míra úspěšně dokončených projektů</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80 %</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2865E4" w:rsidP="002865E4">
            <w:pPr>
              <w:spacing w:before="120" w:after="0" w:line="276" w:lineRule="auto"/>
              <w:jc w:val="left"/>
              <w:rPr>
                <w:rFonts w:eastAsia="Times New Roman" w:cs="Times New Roman"/>
                <w:color w:val="auto"/>
                <w:sz w:val="18"/>
                <w:szCs w:val="18"/>
              </w:rPr>
            </w:pPr>
            <w:r>
              <w:rPr>
                <w:rFonts w:eastAsia="Times New Roman" w:cs="Times New Roman"/>
                <w:color w:val="auto"/>
                <w:sz w:val="18"/>
                <w:szCs w:val="18"/>
              </w:rPr>
              <w:t>Předpokládá se, že například ve třetím podprogramu nem</w:t>
            </w:r>
            <w:r w:rsidR="00A171E8">
              <w:rPr>
                <w:rFonts w:eastAsia="Times New Roman" w:cs="Times New Roman"/>
                <w:color w:val="auto"/>
                <w:sz w:val="18"/>
                <w:szCs w:val="18"/>
              </w:rPr>
              <w:t>usí být všechny projekty úspěšně</w:t>
            </w:r>
            <w:r>
              <w:rPr>
                <w:rFonts w:eastAsia="Times New Roman" w:cs="Times New Roman"/>
                <w:color w:val="auto"/>
                <w:sz w:val="18"/>
                <w:szCs w:val="18"/>
              </w:rPr>
              <w:t xml:space="preserve"> dokončeny.</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počet dosažených výstupů</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E30022" w:rsidRDefault="002865E4" w:rsidP="00BC5587">
            <w:pPr>
              <w:spacing w:before="120" w:after="0" w:line="276" w:lineRule="auto"/>
              <w:jc w:val="left"/>
              <w:rPr>
                <w:rFonts w:eastAsia="Times New Roman" w:cs="Times New Roman"/>
                <w:color w:val="auto"/>
                <w:sz w:val="18"/>
                <w:szCs w:val="18"/>
              </w:rPr>
            </w:pPr>
            <w:r w:rsidRPr="00E30022">
              <w:rPr>
                <w:rFonts w:eastAsia="Times New Roman" w:cs="Times New Roman"/>
                <w:sz w:val="18"/>
                <w:szCs w:val="18"/>
              </w:rPr>
              <w:t>5</w:t>
            </w:r>
            <w:r w:rsidR="003A5B2E" w:rsidRPr="00E30022">
              <w:rPr>
                <w:rFonts w:eastAsia="Times New Roman" w:cs="Times New Roman"/>
                <w:sz w:val="18"/>
                <w:szCs w:val="18"/>
              </w:rPr>
              <w:t>00</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E30022" w:rsidP="00BC5587">
            <w:pPr>
              <w:spacing w:before="120" w:after="0" w:line="276" w:lineRule="auto"/>
              <w:jc w:val="left"/>
              <w:rPr>
                <w:rFonts w:eastAsia="Times New Roman" w:cs="Times New Roman"/>
                <w:color w:val="auto"/>
                <w:sz w:val="18"/>
                <w:szCs w:val="18"/>
              </w:rPr>
            </w:pPr>
            <w:r>
              <w:rPr>
                <w:rFonts w:eastAsia="Times New Roman" w:cs="Times New Roman"/>
                <w:sz w:val="18"/>
                <w:szCs w:val="18"/>
              </w:rPr>
              <w:t>Projekty ve třetím podprogramu nemusí mít jen aplikované výsledky. Jedná se tedy o celkový počet výsledků projektů z programu Théta, nejen ty aplikované (viz následující řádka).</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Minimální počet dosažených aplikovaných výsledků RIV</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3A5B2E" w:rsidRPr="00E30022" w:rsidRDefault="002865E4" w:rsidP="00BC5587">
            <w:pPr>
              <w:spacing w:before="120" w:after="0" w:line="276" w:lineRule="auto"/>
              <w:jc w:val="left"/>
              <w:rPr>
                <w:rFonts w:eastAsia="Times New Roman" w:cs="Times New Roman"/>
                <w:color w:val="auto"/>
                <w:sz w:val="18"/>
                <w:szCs w:val="18"/>
              </w:rPr>
            </w:pPr>
            <w:r w:rsidRPr="00E30022">
              <w:rPr>
                <w:rFonts w:eastAsia="Times New Roman" w:cs="Times New Roman"/>
                <w:sz w:val="18"/>
                <w:szCs w:val="18"/>
              </w:rPr>
              <w:t>4</w:t>
            </w:r>
            <w:r w:rsidR="003A5B2E" w:rsidRPr="00E30022">
              <w:rPr>
                <w:rFonts w:eastAsia="Times New Roman" w:cs="Times New Roman"/>
                <w:sz w:val="18"/>
                <w:szCs w:val="18"/>
              </w:rPr>
              <w:t>00</w:t>
            </w:r>
          </w:p>
        </w:tc>
        <w:tc>
          <w:tcPr>
            <w:tcW w:w="5839" w:type="dxa"/>
            <w:tcBorders>
              <w:top w:val="single" w:sz="6" w:space="0" w:color="000000"/>
              <w:left w:val="single" w:sz="2" w:space="0" w:color="000000"/>
              <w:bottom w:val="single" w:sz="6" w:space="0" w:color="000000"/>
              <w:right w:val="single" w:sz="6" w:space="0" w:color="000000"/>
            </w:tcBorders>
            <w:tcMar>
              <w:top w:w="0" w:type="dxa"/>
              <w:left w:w="120" w:type="dxa"/>
              <w:bottom w:w="0" w:type="dxa"/>
              <w:right w:w="120" w:type="dxa"/>
            </w:tcMar>
            <w:hideMark/>
          </w:tcPr>
          <w:p w:rsidR="003A5B2E" w:rsidRPr="003A5B2E" w:rsidRDefault="003A5B2E"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 xml:space="preserve">Každý projekt </w:t>
            </w:r>
            <w:r w:rsidR="00A35B2E">
              <w:rPr>
                <w:rFonts w:eastAsia="Times New Roman" w:cs="Times New Roman"/>
                <w:sz w:val="18"/>
                <w:szCs w:val="18"/>
              </w:rPr>
              <w:t xml:space="preserve">v PP1 a PP2 </w:t>
            </w:r>
            <w:r w:rsidRPr="003A5B2E">
              <w:rPr>
                <w:rFonts w:eastAsia="Times New Roman" w:cs="Times New Roman"/>
                <w:sz w:val="18"/>
                <w:szCs w:val="18"/>
              </w:rPr>
              <w:t>musí dosáhnout min. jednoho uznávanéh</w:t>
            </w:r>
            <w:r w:rsidR="002865E4">
              <w:rPr>
                <w:rFonts w:eastAsia="Times New Roman" w:cs="Times New Roman"/>
                <w:sz w:val="18"/>
                <w:szCs w:val="18"/>
              </w:rPr>
              <w:t xml:space="preserve">o </w:t>
            </w:r>
            <w:r w:rsidR="00E30022">
              <w:rPr>
                <w:rFonts w:eastAsia="Times New Roman" w:cs="Times New Roman"/>
                <w:sz w:val="18"/>
                <w:szCs w:val="18"/>
              </w:rPr>
              <w:t xml:space="preserve">aplikovaného </w:t>
            </w:r>
            <w:r w:rsidR="002865E4">
              <w:rPr>
                <w:rFonts w:eastAsia="Times New Roman" w:cs="Times New Roman"/>
                <w:sz w:val="18"/>
                <w:szCs w:val="18"/>
              </w:rPr>
              <w:t>výstupu v podobě výsledků RIV, ale přepokládá se, že některé projekty mohou dosáhnout více výstupů.</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DB3A13" w:rsidRPr="003A5B2E" w:rsidRDefault="00DB3A13"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 xml:space="preserve">Celkové výdaje programu </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DB3A13" w:rsidRPr="003A5B2E" w:rsidRDefault="00DB3A13"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5 715 mil. Kč.</w:t>
            </w:r>
          </w:p>
        </w:tc>
        <w:tc>
          <w:tcPr>
            <w:tcW w:w="5839" w:type="dxa"/>
            <w:vMerge w:val="restart"/>
            <w:tcBorders>
              <w:top w:val="single" w:sz="6" w:space="0" w:color="000000"/>
              <w:left w:val="single" w:sz="2" w:space="0" w:color="000000"/>
              <w:right w:val="single" w:sz="6" w:space="0" w:color="000000"/>
            </w:tcBorders>
            <w:tcMar>
              <w:top w:w="0" w:type="dxa"/>
              <w:left w:w="120" w:type="dxa"/>
              <w:bottom w:w="0" w:type="dxa"/>
              <w:right w:w="120" w:type="dxa"/>
            </w:tcMar>
            <w:hideMark/>
          </w:tcPr>
          <w:p w:rsidR="00DB3A13" w:rsidRPr="00DB3A13" w:rsidRDefault="00DB3A13" w:rsidP="00DB3A13">
            <w:pPr>
              <w:spacing w:before="120" w:after="0" w:line="276" w:lineRule="auto"/>
              <w:jc w:val="left"/>
              <w:rPr>
                <w:rFonts w:eastAsia="Times New Roman" w:cs="Times New Roman"/>
                <w:color w:val="auto"/>
                <w:sz w:val="18"/>
                <w:szCs w:val="18"/>
              </w:rPr>
            </w:pPr>
            <w:r w:rsidRPr="00DB3A13">
              <w:rPr>
                <w:rFonts w:eastAsia="Times New Roman" w:cs="Times New Roman"/>
                <w:color w:val="auto"/>
                <w:sz w:val="18"/>
                <w:szCs w:val="18"/>
              </w:rPr>
              <w:t xml:space="preserve">Alokace programu je rozdělena na jednotlivé podprogramy v poměru: </w:t>
            </w:r>
          </w:p>
          <w:p w:rsidR="00DB3A13" w:rsidRPr="00DB3A13" w:rsidRDefault="00DB3A13" w:rsidP="00DB3A13">
            <w:pPr>
              <w:spacing w:before="120" w:after="0" w:line="276" w:lineRule="auto"/>
              <w:jc w:val="left"/>
              <w:rPr>
                <w:rFonts w:eastAsia="Times New Roman" w:cs="Times New Roman"/>
                <w:color w:val="auto"/>
                <w:sz w:val="18"/>
                <w:szCs w:val="18"/>
              </w:rPr>
            </w:pPr>
            <w:r w:rsidRPr="00DB3A13">
              <w:rPr>
                <w:rFonts w:eastAsia="Times New Roman" w:cs="Times New Roman"/>
                <w:color w:val="auto"/>
                <w:sz w:val="18"/>
                <w:szCs w:val="18"/>
              </w:rPr>
              <w:t xml:space="preserve">PP1: 15 %, 600 mil. Kč výdajů </w:t>
            </w:r>
            <w:r w:rsidR="002865E4">
              <w:rPr>
                <w:rFonts w:eastAsia="Times New Roman" w:cs="Times New Roman"/>
                <w:color w:val="auto"/>
                <w:sz w:val="18"/>
                <w:szCs w:val="18"/>
              </w:rPr>
              <w:t>SR za dobu trvání programu.</w:t>
            </w:r>
          </w:p>
          <w:p w:rsidR="00DB3A13" w:rsidRPr="00DB3A13" w:rsidRDefault="00DB3A13" w:rsidP="00DB3A13">
            <w:pPr>
              <w:spacing w:before="120" w:after="0" w:line="276" w:lineRule="auto"/>
              <w:jc w:val="left"/>
              <w:rPr>
                <w:rFonts w:eastAsia="Times New Roman" w:cs="Times New Roman"/>
                <w:color w:val="auto"/>
                <w:sz w:val="18"/>
                <w:szCs w:val="18"/>
              </w:rPr>
            </w:pPr>
            <w:r w:rsidRPr="00DB3A13">
              <w:rPr>
                <w:rFonts w:eastAsia="Times New Roman" w:cs="Times New Roman"/>
                <w:color w:val="auto"/>
                <w:sz w:val="18"/>
                <w:szCs w:val="18"/>
              </w:rPr>
              <w:t xml:space="preserve">PP2: 50 %, 2 000 mil. Kč výdajů </w:t>
            </w:r>
            <w:r w:rsidR="002865E4">
              <w:rPr>
                <w:rFonts w:eastAsia="Times New Roman" w:cs="Times New Roman"/>
                <w:color w:val="auto"/>
                <w:sz w:val="18"/>
                <w:szCs w:val="18"/>
              </w:rPr>
              <w:t>SR za dobu trvání programu.</w:t>
            </w:r>
          </w:p>
          <w:p w:rsidR="00DB3A13" w:rsidRPr="003A5B2E" w:rsidRDefault="00DB3A13" w:rsidP="002865E4">
            <w:pPr>
              <w:spacing w:before="120" w:after="0" w:line="276" w:lineRule="auto"/>
              <w:jc w:val="left"/>
              <w:rPr>
                <w:rFonts w:eastAsia="Times New Roman" w:cs="Times New Roman"/>
                <w:color w:val="auto"/>
                <w:sz w:val="18"/>
                <w:szCs w:val="18"/>
              </w:rPr>
            </w:pPr>
            <w:r w:rsidRPr="00DB3A13">
              <w:rPr>
                <w:rFonts w:eastAsia="Times New Roman" w:cs="Times New Roman"/>
                <w:color w:val="auto"/>
                <w:sz w:val="18"/>
                <w:szCs w:val="18"/>
              </w:rPr>
              <w:t xml:space="preserve">PP3: 35 %, 1 400 mil. Kč výdajů </w:t>
            </w:r>
            <w:r w:rsidR="002865E4">
              <w:rPr>
                <w:rFonts w:eastAsia="Times New Roman" w:cs="Times New Roman"/>
                <w:color w:val="auto"/>
                <w:sz w:val="18"/>
                <w:szCs w:val="18"/>
              </w:rPr>
              <w:t>SR za dobu trvání programu.</w:t>
            </w:r>
            <w:r w:rsidRPr="00DB3A13">
              <w:rPr>
                <w:rFonts w:eastAsia="Times New Roman" w:cs="Times New Roman"/>
                <w:color w:val="auto"/>
                <w:sz w:val="18"/>
                <w:szCs w:val="18"/>
              </w:rPr>
              <w:t xml:space="preserve">  </w:t>
            </w:r>
          </w:p>
        </w:tc>
      </w:tr>
      <w:tr w:rsidR="002865E4" w:rsidRPr="003A5B2E" w:rsidTr="002865E4">
        <w:tc>
          <w:tcPr>
            <w:tcW w:w="2154" w:type="dxa"/>
            <w:tcBorders>
              <w:top w:val="single" w:sz="6" w:space="0" w:color="000000"/>
              <w:left w:val="single" w:sz="6" w:space="0" w:color="000000"/>
              <w:bottom w:val="single" w:sz="6" w:space="0" w:color="000000"/>
              <w:right w:val="single" w:sz="2" w:space="0" w:color="000000"/>
            </w:tcBorders>
            <w:tcMar>
              <w:top w:w="0" w:type="dxa"/>
              <w:left w:w="120" w:type="dxa"/>
              <w:bottom w:w="0" w:type="dxa"/>
              <w:right w:w="120" w:type="dxa"/>
            </w:tcMar>
            <w:hideMark/>
          </w:tcPr>
          <w:p w:rsidR="00DB3A13" w:rsidRPr="003A5B2E" w:rsidRDefault="00DB3A13" w:rsidP="00BC5587">
            <w:pPr>
              <w:spacing w:before="120" w:after="0" w:line="276" w:lineRule="auto"/>
              <w:jc w:val="left"/>
              <w:rPr>
                <w:rFonts w:eastAsia="Times New Roman" w:cs="Times New Roman"/>
                <w:color w:val="auto"/>
                <w:sz w:val="18"/>
                <w:szCs w:val="18"/>
              </w:rPr>
            </w:pPr>
            <w:r w:rsidRPr="003A5B2E">
              <w:rPr>
                <w:rFonts w:eastAsia="Times New Roman" w:cs="Times New Roman"/>
                <w:b/>
                <w:bCs/>
                <w:sz w:val="18"/>
                <w:szCs w:val="18"/>
              </w:rPr>
              <w:t>Z toho výdaje ze státního rozpočtu</w:t>
            </w:r>
            <w:r w:rsidR="002865E4">
              <w:rPr>
                <w:rFonts w:eastAsia="Times New Roman" w:cs="Times New Roman"/>
                <w:b/>
                <w:bCs/>
                <w:sz w:val="18"/>
                <w:szCs w:val="18"/>
              </w:rPr>
              <w:t xml:space="preserve"> (SR)</w:t>
            </w:r>
            <w:r w:rsidRPr="003A5B2E">
              <w:rPr>
                <w:rFonts w:eastAsia="Times New Roman" w:cs="Times New Roman"/>
                <w:b/>
                <w:bCs/>
                <w:sz w:val="18"/>
                <w:szCs w:val="18"/>
              </w:rPr>
              <w:t xml:space="preserve"> </w:t>
            </w:r>
          </w:p>
        </w:tc>
        <w:tc>
          <w:tcPr>
            <w:tcW w:w="1701" w:type="dxa"/>
            <w:tcBorders>
              <w:top w:val="single" w:sz="6" w:space="0" w:color="000000"/>
              <w:left w:val="single" w:sz="2" w:space="0" w:color="000000"/>
              <w:bottom w:val="single" w:sz="6" w:space="0" w:color="000000"/>
              <w:right w:val="single" w:sz="2" w:space="0" w:color="000000"/>
            </w:tcBorders>
            <w:tcMar>
              <w:top w:w="0" w:type="dxa"/>
              <w:left w:w="120" w:type="dxa"/>
              <w:bottom w:w="0" w:type="dxa"/>
              <w:right w:w="120" w:type="dxa"/>
            </w:tcMar>
            <w:hideMark/>
          </w:tcPr>
          <w:p w:rsidR="00DB3A13" w:rsidRPr="003A5B2E" w:rsidRDefault="00DB3A13" w:rsidP="00BC5587">
            <w:pPr>
              <w:spacing w:before="120" w:after="0" w:line="276" w:lineRule="auto"/>
              <w:jc w:val="left"/>
              <w:rPr>
                <w:rFonts w:eastAsia="Times New Roman" w:cs="Times New Roman"/>
                <w:color w:val="auto"/>
                <w:sz w:val="18"/>
                <w:szCs w:val="18"/>
              </w:rPr>
            </w:pPr>
            <w:r w:rsidRPr="003A5B2E">
              <w:rPr>
                <w:rFonts w:eastAsia="Times New Roman" w:cs="Times New Roman"/>
                <w:sz w:val="18"/>
                <w:szCs w:val="18"/>
              </w:rPr>
              <w:t>4 000 mil. Kč.</w:t>
            </w:r>
          </w:p>
        </w:tc>
        <w:tc>
          <w:tcPr>
            <w:tcW w:w="5839" w:type="dxa"/>
            <w:vMerge/>
            <w:tcBorders>
              <w:left w:val="single" w:sz="2" w:space="0" w:color="000000"/>
              <w:bottom w:val="single" w:sz="6" w:space="0" w:color="000000"/>
              <w:right w:val="single" w:sz="6" w:space="0" w:color="000000"/>
            </w:tcBorders>
            <w:tcMar>
              <w:top w:w="0" w:type="dxa"/>
              <w:left w:w="120" w:type="dxa"/>
              <w:bottom w:w="0" w:type="dxa"/>
              <w:right w:w="120" w:type="dxa"/>
            </w:tcMar>
            <w:hideMark/>
          </w:tcPr>
          <w:p w:rsidR="00DB3A13" w:rsidRPr="003A5B2E" w:rsidRDefault="00DB3A13" w:rsidP="00BC5587">
            <w:pPr>
              <w:spacing w:before="120" w:after="0" w:line="276" w:lineRule="auto"/>
              <w:jc w:val="left"/>
              <w:rPr>
                <w:rFonts w:eastAsia="Times New Roman" w:cs="Times New Roman"/>
                <w:color w:val="auto"/>
                <w:sz w:val="18"/>
                <w:szCs w:val="18"/>
              </w:rPr>
            </w:pPr>
          </w:p>
        </w:tc>
      </w:tr>
    </w:tbl>
    <w:p w:rsidR="003A5B2E" w:rsidRDefault="003A5B2E" w:rsidP="00BC5587">
      <w:pPr>
        <w:spacing w:before="120" w:after="0" w:line="276" w:lineRule="auto"/>
        <w:textAlignment w:val="baseline"/>
        <w:rPr>
          <w:rFonts w:ascii="Cambria" w:eastAsia="Times New Roman" w:hAnsi="Cambria" w:cs="Times New Roman"/>
          <w:b/>
          <w:bCs/>
        </w:rPr>
      </w:pPr>
    </w:p>
    <w:p w:rsidR="002865E4" w:rsidRDefault="002865E4">
      <w:pPr>
        <w:spacing w:after="0" w:line="276" w:lineRule="auto"/>
        <w:jc w:val="left"/>
        <w:rPr>
          <w:rFonts w:ascii="Cambria" w:eastAsia="Times New Roman" w:hAnsi="Cambria" w:cs="Times New Roman"/>
          <w:b/>
          <w:bCs/>
        </w:rPr>
      </w:pPr>
      <w:r>
        <w:rPr>
          <w:rFonts w:ascii="Cambria" w:eastAsia="Times New Roman" w:hAnsi="Cambria" w:cs="Times New Roman"/>
          <w:b/>
          <w:bCs/>
        </w:rPr>
        <w:br w:type="page"/>
      </w:r>
    </w:p>
    <w:p w:rsidR="003A5B2E" w:rsidRPr="008950E8" w:rsidRDefault="003A5B2E" w:rsidP="00851123">
      <w:pPr>
        <w:numPr>
          <w:ilvl w:val="0"/>
          <w:numId w:val="70"/>
        </w:numPr>
        <w:spacing w:before="120" w:after="0" w:line="276" w:lineRule="auto"/>
        <w:textAlignment w:val="baseline"/>
        <w:rPr>
          <w:rFonts w:ascii="Cambria" w:eastAsia="Times New Roman" w:hAnsi="Cambria" w:cs="Times New Roman"/>
          <w:b/>
          <w:bCs/>
        </w:rPr>
      </w:pPr>
      <w:r w:rsidRPr="008950E8">
        <w:rPr>
          <w:rFonts w:ascii="Cambria" w:eastAsia="Times New Roman" w:hAnsi="Cambria" w:cs="Times New Roman"/>
          <w:b/>
          <w:bCs/>
        </w:rPr>
        <w:lastRenderedPageBreak/>
        <w:t xml:space="preserve">Proč </w:t>
      </w:r>
      <w:r w:rsidR="00CB22C6">
        <w:rPr>
          <w:rFonts w:ascii="Cambria" w:eastAsia="Times New Roman" w:hAnsi="Cambria" w:cs="Times New Roman"/>
          <w:b/>
          <w:bCs/>
        </w:rPr>
        <w:t>program vznikl</w:t>
      </w:r>
      <w:r w:rsidRPr="008950E8">
        <w:rPr>
          <w:rFonts w:ascii="Cambria" w:eastAsia="Times New Roman" w:hAnsi="Cambria" w:cs="Times New Roman"/>
          <w:b/>
          <w:bCs/>
        </w:rPr>
        <w:t>?</w:t>
      </w:r>
    </w:p>
    <w:p w:rsidR="00E9257D" w:rsidRPr="008950E8" w:rsidRDefault="008950E8" w:rsidP="00E9257D">
      <w:pPr>
        <w:spacing w:before="120" w:after="0" w:line="276" w:lineRule="auto"/>
        <w:rPr>
          <w:rFonts w:ascii="Times New Roman" w:hAnsi="Times New Roman"/>
          <w:color w:val="auto"/>
          <w:sz w:val="24"/>
          <w:szCs w:val="24"/>
        </w:rPr>
      </w:pPr>
      <w:r w:rsidRPr="008950E8">
        <w:t>Program THÉTA vznik</w:t>
      </w:r>
      <w:r w:rsidR="00947FC9">
        <w:t>l na základě</w:t>
      </w:r>
      <w:r w:rsidRPr="008950E8">
        <w:t xml:space="preserve"> úkolu stanoveného Státní energetickou koncepcí (SEK) schválenou vládou v květnu 2015. Konkrétně p</w:t>
      </w:r>
      <w:r w:rsidR="00E9257D" w:rsidRPr="008950E8">
        <w:t xml:space="preserve">rogram </w:t>
      </w:r>
      <w:r w:rsidRPr="008950E8">
        <w:t xml:space="preserve">THÉTA </w:t>
      </w:r>
      <w:r w:rsidR="00E9257D" w:rsidRPr="008950E8">
        <w:t xml:space="preserve">naplňuje strategickou prioritu energetiky ČR: “IV. Výzkum, vývoj a inovace: Podpora výzkumu, vývoje a inovací zajišťující konkurenceschopnost české energetiky a podpora školství, s cílem nutnosti generační obměny a zlepšení kvality technické inteligence v oblasti energetiky”. </w:t>
      </w:r>
    </w:p>
    <w:p w:rsidR="00E9257D" w:rsidRPr="008950E8" w:rsidRDefault="00E9257D" w:rsidP="00E9257D">
      <w:pPr>
        <w:spacing w:before="120" w:after="0" w:line="276" w:lineRule="auto"/>
        <w:rPr>
          <w:rFonts w:ascii="Times New Roman" w:hAnsi="Times New Roman"/>
          <w:color w:val="auto"/>
          <w:sz w:val="24"/>
          <w:szCs w:val="24"/>
        </w:rPr>
      </w:pPr>
      <w:r w:rsidRPr="008950E8">
        <w:t>Cílem strategické priority je mimo jiné vytvoření podmínek pro efektivní spolupráci a propojení průmyslu a středního a vysokého školství, zlepšení a prohloubení spolupráce základního a</w:t>
      </w:r>
      <w:r w:rsidR="00E30022">
        <w:t> </w:t>
      </w:r>
      <w:r w:rsidRPr="008950E8">
        <w:t>aplikovaného výzkumu, vytvoření podmínek pro hlubší a efektiv</w:t>
      </w:r>
      <w:r w:rsidR="00E30022">
        <w:t>nější zapojení české výzkumné a </w:t>
      </w:r>
      <w:r w:rsidRPr="008950E8">
        <w:t xml:space="preserve">akademické obce a průmyslových energetických partnerů do </w:t>
      </w:r>
      <w:r w:rsidR="00E30022">
        <w:t>mezinárodní spolupráce ve VaV a </w:t>
      </w:r>
      <w:r w:rsidRPr="008950E8">
        <w:t>mezinárodních projektů jako jsou reaktory IV. generace, jaderná fúze, vývoj nových materiálů využitelných v energetice a energetickém strojírenství a využití dal</w:t>
      </w:r>
      <w:r w:rsidR="00E30022">
        <w:t>ších možností výzkumu, vývoje a </w:t>
      </w:r>
      <w:r w:rsidRPr="008950E8">
        <w:t xml:space="preserve">inovací. </w:t>
      </w:r>
    </w:p>
    <w:p w:rsidR="00E9257D" w:rsidRPr="008950E8" w:rsidRDefault="00E9257D" w:rsidP="00BC5587">
      <w:pPr>
        <w:spacing w:before="120" w:after="0" w:line="276" w:lineRule="auto"/>
        <w:textAlignment w:val="baseline"/>
      </w:pPr>
      <w:r w:rsidRPr="008950E8">
        <w:t>TA ČR byl pověřen v součinnosti s MPO a MŠMT zajištěním jedno</w:t>
      </w:r>
      <w:r w:rsidR="00E30022">
        <w:t>ho z nástrojů podpory výzkumu a </w:t>
      </w:r>
      <w:r w:rsidRPr="008950E8">
        <w:t>vývoje v oblasti energetiky, a to zajištěním podpory pilotních projektů VaV v návaznosti na SET plán, a to prostřednictvím nového programu podpory výzkumných projektů v oblasti energetiky (inteligentní sítě, elektroakumulace, VaV v oblasti jaderných technologií) v kontextu prioritní oblasti “Udržitelná energetika” Národních priorit orientovaného výzkumu, experimentálního vývoje a inovací a potřeb plynoucích z naplňování Státní energetické koncepce (viz usnesení vlády ČR ze dne 19. 7. 2012 č. 552).</w:t>
      </w:r>
    </w:p>
    <w:p w:rsidR="00E9257D" w:rsidRDefault="00E9257D" w:rsidP="008950E8">
      <w:pPr>
        <w:spacing w:before="120" w:after="0" w:line="276" w:lineRule="auto"/>
      </w:pPr>
      <w:r w:rsidRPr="008950E8">
        <w:t>Program je v souladu s NP VaVaI, NPOV a vypořádává zejména úkoly ze SEK, Národního akčního plánu rozvoje jaderné energetiky (dle UV č. 419 ze dne 3. června 2015), Národního akčního plánu čisté mobility (dle UV č. 941 ze dne 20. listopadu 2015), Národního akčního plánu pro chytré sítě (dle UV č.</w:t>
      </w:r>
      <w:r w:rsidR="00E30022">
        <w:t> </w:t>
      </w:r>
      <w:r w:rsidRPr="008950E8">
        <w:t>149 ze dne 4. března 2015) a ostatních strategických dokumentů na národní a evropské úrovni.</w:t>
      </w:r>
      <w:r w:rsidRPr="00051753">
        <w:t xml:space="preserve"> </w:t>
      </w:r>
    </w:p>
    <w:p w:rsidR="008950E8" w:rsidRPr="008950E8" w:rsidRDefault="008950E8" w:rsidP="00851123">
      <w:pPr>
        <w:numPr>
          <w:ilvl w:val="0"/>
          <w:numId w:val="70"/>
        </w:numPr>
        <w:spacing w:before="120" w:after="0" w:line="276" w:lineRule="auto"/>
        <w:textAlignment w:val="baseline"/>
        <w:rPr>
          <w:rFonts w:ascii="Cambria" w:eastAsia="Times New Roman" w:hAnsi="Cambria" w:cs="Times New Roman"/>
          <w:b/>
          <w:bCs/>
        </w:rPr>
      </w:pPr>
      <w:r>
        <w:rPr>
          <w:rFonts w:ascii="Cambria" w:eastAsia="Times New Roman" w:hAnsi="Cambria" w:cs="Times New Roman"/>
          <w:b/>
          <w:bCs/>
        </w:rPr>
        <w:t>Na jaké výzvy program reaguje</w:t>
      </w:r>
      <w:r w:rsidRPr="008950E8">
        <w:rPr>
          <w:rFonts w:ascii="Cambria" w:eastAsia="Times New Roman" w:hAnsi="Cambria" w:cs="Times New Roman"/>
          <w:b/>
          <w:bCs/>
        </w:rPr>
        <w:t>?</w:t>
      </w:r>
    </w:p>
    <w:p w:rsidR="008950E8" w:rsidRPr="008950E8" w:rsidRDefault="008950E8" w:rsidP="008950E8">
      <w:pPr>
        <w:spacing w:before="120" w:after="0" w:line="276" w:lineRule="auto"/>
      </w:pPr>
      <w:r w:rsidRPr="008950E8">
        <w:t xml:space="preserve">Dalším impulsem pro vznik programu </w:t>
      </w:r>
      <w:r>
        <w:t xml:space="preserve">THÉTA </w:t>
      </w:r>
      <w:r w:rsidRPr="008950E8">
        <w:t>byl fakt, že v květnu 2015 bylo na úrovni Evropské unie s podporou členských států rozhodnuto o vytvoření tzv. Energetické unie. Jeden z pěti hlavních pilířů Energetické unie je zaměřen právě na výzkum, vývoj, inovace a konkurenceschopnost. Za klíčový subjekt pro naplňování tohoto pilíře byl identifikován Evropský strategický plán pro energetické technologie, který klade důraz na systémový pohled na výzkum a vývoj v oblasti energetiky. Evropský strategický plán pro energetické technologie by měl sloužit jako jedno z hlavních východisek pro formulaci klíčových priorit zajišťující soulad národních a evropských priorit se zohledněním národních specifik. V kontextu Energetické unie také dochází k periodickému vyhodnocování plnění cílů v jednotlivých pilířích (první zhodnocení stavu Energetické unie bylo představeno v rámci sdělení v listopadu 2015). Program THÉTA je pak jedním z hlavních národních nástrojů pro naplňování pátého pilíře Energetické unie zaměřeného na výzkum a vývoj v oblasti energetiky.</w:t>
      </w:r>
    </w:p>
    <w:p w:rsidR="008950E8" w:rsidRDefault="008950E8" w:rsidP="008950E8">
      <w:pPr>
        <w:spacing w:before="120" w:after="0" w:line="276" w:lineRule="auto"/>
      </w:pPr>
      <w:r w:rsidRPr="008950E8">
        <w:t>V dlouhodobém horizontu program napomáhá realizaci evropské klimaticko-energetické politiky a</w:t>
      </w:r>
      <w:r w:rsidR="00E30022">
        <w:t> </w:t>
      </w:r>
      <w:r w:rsidRPr="008950E8">
        <w:t xml:space="preserve">jejímu naplňování na úrovni České republiky v rámci jejích základních pilířů: (i) spolehlivost dodávek energií, (ii) dlouhodobá udržitelnost a (iii) konkurenceschopnost - cenová přijatelnost. Program je důležitým nástrojem také v kontextu schválených klimaticko-energetických cílů do roku </w:t>
      </w:r>
      <w:r w:rsidRPr="008950E8">
        <w:lastRenderedPageBreak/>
        <w:t xml:space="preserve">2030, které jsou zaměřeny zejména na (i) snížení emisí skleníkových plynů, (ii) zvýšení podílu obnovitelných zdrojů v energetickém mixu, (iii) zvýšení energetické účinnosti a (iv) posílení energetické infrastruktury a zvýšení </w:t>
      </w:r>
      <w:proofErr w:type="spellStart"/>
      <w:r w:rsidRPr="008950E8">
        <w:t>interkonektivity</w:t>
      </w:r>
      <w:proofErr w:type="spellEnd"/>
      <w:r w:rsidRPr="008950E8">
        <w:t>. Tento program také dílčím způsobem napomáhá k transformaci energetického sektoru v souladu s Cestovní mapou pro přechod k nízkouhlíkové ekonomice do roku 2050.</w:t>
      </w:r>
    </w:p>
    <w:p w:rsidR="00CB22C6" w:rsidRPr="008950E8" w:rsidRDefault="00CB22C6" w:rsidP="00851123">
      <w:pPr>
        <w:numPr>
          <w:ilvl w:val="0"/>
          <w:numId w:val="70"/>
        </w:numPr>
        <w:spacing w:before="120" w:after="0" w:line="276" w:lineRule="auto"/>
        <w:textAlignment w:val="baseline"/>
        <w:rPr>
          <w:rFonts w:ascii="Cambria" w:eastAsia="Times New Roman" w:hAnsi="Cambria" w:cs="Times New Roman"/>
          <w:b/>
          <w:bCs/>
        </w:rPr>
      </w:pPr>
      <w:r w:rsidRPr="008950E8">
        <w:rPr>
          <w:rFonts w:ascii="Cambria" w:eastAsia="Times New Roman" w:hAnsi="Cambria" w:cs="Times New Roman"/>
          <w:b/>
          <w:bCs/>
        </w:rPr>
        <w:t>Proč je program potřebný?</w:t>
      </w:r>
    </w:p>
    <w:p w:rsidR="00CB22C6" w:rsidRDefault="00CB22C6" w:rsidP="00CB22C6">
      <w:pPr>
        <w:spacing w:before="120" w:after="0" w:line="276" w:lineRule="auto"/>
      </w:pPr>
      <w:r>
        <w:t>Návrh programu THÉTA reaguje na následující základní nedostatky v systému podpory VaVaI v oblasti energetiky</w:t>
      </w:r>
      <w:r w:rsidR="00FD6A1A">
        <w:t>.</w:t>
      </w:r>
      <w:r>
        <w:t xml:space="preserve"> V rámci přípravy programu Théta byly identifikovány následující základní nedostatky stávající podpory VaVaI v oblasti energetiky v ČR, přičemž program Théta by tyto nedostatky měl z</w:t>
      </w:r>
      <w:r w:rsidR="00E30022">
        <w:t> </w:t>
      </w:r>
      <w:r>
        <w:t>větší části eliminovat nebo zmírnit (zde uvádíme klíčové nedostatky stávajícího stavu, úplný výčet je uveden dále v textu podkladové analýzy):</w:t>
      </w:r>
    </w:p>
    <w:p w:rsidR="00CB22C6" w:rsidRDefault="00CB22C6" w:rsidP="00851123">
      <w:pPr>
        <w:pStyle w:val="Odstavecseseznamem"/>
        <w:numPr>
          <w:ilvl w:val="0"/>
          <w:numId w:val="73"/>
        </w:numPr>
        <w:spacing w:before="120" w:after="0" w:line="276" w:lineRule="auto"/>
      </w:pPr>
      <w:r w:rsidRPr="00CB22C6">
        <w:rPr>
          <w:b/>
        </w:rPr>
        <w:t>Objem finančních prostředků na podporu VaVaI k řešení pro energetiku ČR klíčových problémů je nedostatečný</w:t>
      </w:r>
      <w:r>
        <w:t>. Energetika ve světě, EU i ČR prochází transformací a tento proces vyžaduje významnou a dostatečně flexibilní podporu VaVaI. Nejasný další vývoj podpory VaVaI v ČR. Proto urgentní, dnes jasné potřeby, můžeme řešit jen v připravovaném programu.</w:t>
      </w:r>
    </w:p>
    <w:p w:rsidR="00CB22C6" w:rsidRDefault="00CB22C6" w:rsidP="00851123">
      <w:pPr>
        <w:pStyle w:val="Odstavecseseznamem"/>
        <w:numPr>
          <w:ilvl w:val="0"/>
          <w:numId w:val="73"/>
        </w:numPr>
        <w:spacing w:before="120" w:after="0" w:line="276" w:lineRule="auto"/>
      </w:pPr>
      <w:r>
        <w:t xml:space="preserve">Mezinárodní energetická agentura při OECD provádí periodický přezkum energetické politiky (poslední přezkum proběhl na začátku roku 2016) =&gt; </w:t>
      </w:r>
      <w:r w:rsidRPr="00CB22C6">
        <w:rPr>
          <w:b/>
        </w:rPr>
        <w:t>České republice je opakovaně „vyčítána“ absence systémové strategie veřejné podpory VaVaI v oblasti energetiky</w:t>
      </w:r>
      <w:r>
        <w:t xml:space="preserve">, </w:t>
      </w:r>
      <w:r w:rsidRPr="00CB22C6">
        <w:rPr>
          <w:b/>
        </w:rPr>
        <w:t>absence sektorového přístupu k energetice</w:t>
      </w:r>
      <w:r>
        <w:t xml:space="preserve"> a problematická formulace a naplňování strategických cílů ve stávajícím systému.</w:t>
      </w:r>
    </w:p>
    <w:p w:rsidR="00CB22C6" w:rsidRDefault="00CB22C6" w:rsidP="00851123">
      <w:pPr>
        <w:pStyle w:val="Odstavecseseznamem"/>
        <w:numPr>
          <w:ilvl w:val="0"/>
          <w:numId w:val="73"/>
        </w:numPr>
        <w:spacing w:before="120" w:after="0" w:line="276" w:lineRule="auto"/>
      </w:pPr>
      <w:r>
        <w:t xml:space="preserve">V průběhu roku 2015 také vznikla na úrovni EU tzv. Energetická unie, jedním z pěti pilířů je také výzkum a vývoj. Ten má hrát mimo </w:t>
      </w:r>
      <w:proofErr w:type="gramStart"/>
      <w:r>
        <w:t>jiné</w:t>
      </w:r>
      <w:proofErr w:type="gramEnd"/>
      <w:r>
        <w:t xml:space="preserve"> klíčovou roli v naplňování klimaticko-energetických cílů do roku 2030 (emise skleníkovýc</w:t>
      </w:r>
      <w:r w:rsidR="00E30022">
        <w:t>h plynů, energetická účinnost a </w:t>
      </w:r>
      <w:r>
        <w:t xml:space="preserve">obnovitelné zdroje energie) a má být provázán s ostatními pilíři Energetické unie. Evropská komise bude monitorovat další vývoj jednotlivých pilířů. Bez </w:t>
      </w:r>
      <w:r w:rsidR="00E30022">
        <w:rPr>
          <w:b/>
        </w:rPr>
        <w:t>sektorového přístupu k </w:t>
      </w:r>
      <w:r w:rsidRPr="00CB22C6">
        <w:rPr>
          <w:b/>
        </w:rPr>
        <w:t>energetice může být naplňování VaVaI pilíře v sektoru energetiky problematické</w:t>
      </w:r>
      <w:r>
        <w:t>.</w:t>
      </w:r>
    </w:p>
    <w:p w:rsidR="00CB22C6" w:rsidRDefault="00CB22C6" w:rsidP="00851123">
      <w:pPr>
        <w:pStyle w:val="Odstavecseseznamem"/>
        <w:numPr>
          <w:ilvl w:val="0"/>
          <w:numId w:val="73"/>
        </w:numPr>
        <w:spacing w:before="120" w:after="0" w:line="276" w:lineRule="auto"/>
      </w:pPr>
      <w:r>
        <w:t xml:space="preserve">Relativně konkrétně formulované klimaticko-energetické cíle (viz výše) </w:t>
      </w:r>
      <w:r w:rsidRPr="00CB22C6">
        <w:rPr>
          <w:b/>
        </w:rPr>
        <w:t>vyžadují kontinuální strategickou podporu určitého typu technologií</w:t>
      </w:r>
      <w:r>
        <w:t>, které by napomohly k naplňování těchto cílů. Roztříštěná podpora bez strategického ukotvení může být spíše kontraproduktivní.</w:t>
      </w:r>
    </w:p>
    <w:p w:rsidR="00CB22C6" w:rsidRDefault="00CB22C6" w:rsidP="00851123">
      <w:pPr>
        <w:pStyle w:val="Odstavecseseznamem"/>
        <w:numPr>
          <w:ilvl w:val="0"/>
          <w:numId w:val="73"/>
        </w:numPr>
        <w:spacing w:before="120" w:after="0" w:line="276" w:lineRule="auto"/>
      </w:pPr>
      <w:r>
        <w:t>VaVaI v oblasti energetiky je do jisté míry specifický. J</w:t>
      </w:r>
      <w:r w:rsidR="00E30022">
        <w:rPr>
          <w:b/>
        </w:rPr>
        <w:t>e charakterizován velikostí a </w:t>
      </w:r>
      <w:r w:rsidRPr="00CB22C6">
        <w:rPr>
          <w:b/>
        </w:rPr>
        <w:t>relativně dlouhým výzkumným cyklem</w:t>
      </w:r>
      <w:r>
        <w:t>.</w:t>
      </w:r>
    </w:p>
    <w:p w:rsidR="00CB22C6" w:rsidRDefault="00CB22C6" w:rsidP="00851123">
      <w:pPr>
        <w:pStyle w:val="Odstavecseseznamem"/>
        <w:numPr>
          <w:ilvl w:val="0"/>
          <w:numId w:val="73"/>
        </w:numPr>
        <w:spacing w:before="120" w:after="0" w:line="276" w:lineRule="auto"/>
      </w:pPr>
      <w:r>
        <w:t xml:space="preserve">Jak evropský SET Plán, tak SEK identifikují </w:t>
      </w:r>
      <w:r w:rsidRPr="00CB22C6">
        <w:rPr>
          <w:b/>
        </w:rPr>
        <w:t>nedostatečné zaměření na systémové pohledy v energetice</w:t>
      </w:r>
      <w:r>
        <w:t>.</w:t>
      </w:r>
    </w:p>
    <w:p w:rsidR="00DB3A13" w:rsidRPr="008950E8" w:rsidRDefault="00DB3A13" w:rsidP="00851123">
      <w:pPr>
        <w:numPr>
          <w:ilvl w:val="0"/>
          <w:numId w:val="70"/>
        </w:numPr>
        <w:spacing w:before="120" w:after="0" w:line="276" w:lineRule="auto"/>
        <w:textAlignment w:val="baseline"/>
        <w:rPr>
          <w:rFonts w:ascii="Cambria" w:eastAsia="Times New Roman" w:hAnsi="Cambria" w:cs="Times New Roman"/>
          <w:b/>
          <w:bCs/>
        </w:rPr>
      </w:pPr>
      <w:r>
        <w:rPr>
          <w:rFonts w:ascii="Cambria" w:eastAsia="Times New Roman" w:hAnsi="Cambria" w:cs="Times New Roman"/>
          <w:b/>
          <w:bCs/>
        </w:rPr>
        <w:t>Proč je program členěn na podprogramy</w:t>
      </w:r>
      <w:r w:rsidRPr="008950E8">
        <w:rPr>
          <w:rFonts w:ascii="Cambria" w:eastAsia="Times New Roman" w:hAnsi="Cambria" w:cs="Times New Roman"/>
          <w:b/>
          <w:bCs/>
        </w:rPr>
        <w:t>?</w:t>
      </w:r>
    </w:p>
    <w:p w:rsidR="00DB3A13" w:rsidRDefault="00DB3A13" w:rsidP="00DB3A13">
      <w:pPr>
        <w:spacing w:before="120" w:after="0" w:line="276" w:lineRule="auto"/>
      </w:pPr>
      <w:r w:rsidRPr="00DB3A13">
        <w:t>Základní myšlenkou programu THÉTA je koncentrovat podporu VaVaI pro sektor energetiky na “jedno místo”, respektive v rámci jednoho programu. To umožní lépe sledovat dosavadní výsledky projektů VaVaI, navazovat na ně, ale i lépe koordinovat vyhlašování jednotlivých veřejných soutěží.</w:t>
      </w:r>
    </w:p>
    <w:p w:rsidR="00DB3A13" w:rsidRDefault="00DB3A13" w:rsidP="00DB3A13">
      <w:pPr>
        <w:spacing w:before="120" w:after="0" w:line="276" w:lineRule="auto"/>
      </w:pPr>
      <w:r>
        <w:t xml:space="preserve">Program THÉTA je členěn do podprogramů kvůli tomu, že každý z podprogramů reaguje na různé potřeby výzkumu, vývoje a inovací v energetickém sektoru. </w:t>
      </w:r>
    </w:p>
    <w:p w:rsidR="00DB3A13" w:rsidRDefault="00DB3A13" w:rsidP="00DB3A13">
      <w:pPr>
        <w:spacing w:before="120" w:after="0" w:line="276" w:lineRule="auto"/>
      </w:pPr>
      <w:r>
        <w:lastRenderedPageBreak/>
        <w:t>První podprogram je zaměřen na podporu VaV ve veřejném zájmu, konkrétněji pak na podporu výzkumu a vývoje v oblasti jaderné bezpečnosti a radiační ochrany, energetické regulace a v dalších oblastech, které vyžadují výstupy výzkumu a vývoje pro zkvalitnění řízení a tvorbu strategických a</w:t>
      </w:r>
      <w:r w:rsidR="00E30022">
        <w:t> </w:t>
      </w:r>
      <w:r>
        <w:t>koncepčních dokumentů v odvětví energetiky. Program takového typu zatím v České republice chyběl.</w:t>
      </w:r>
    </w:p>
    <w:p w:rsidR="00DB3A13" w:rsidRDefault="00DB3A13" w:rsidP="00DB3A13">
      <w:pPr>
        <w:spacing w:before="120" w:after="0" w:line="276" w:lineRule="auto"/>
      </w:pPr>
      <w:r>
        <w:t>Druhý podprogram je zaměřen na podporu výzkumu, vývoje a inovací v oblasti energetických technologií a systémových prvků</w:t>
      </w:r>
      <w:r w:rsidR="00204AEE">
        <w:t xml:space="preserve"> </w:t>
      </w:r>
      <w:r w:rsidR="00204AEE" w:rsidRPr="00204AEE">
        <w:t>s vysokým potenciálem pro rychlé uplatnění v nových produktech, výrobních postupech a službách</w:t>
      </w:r>
      <w:r>
        <w:t>, která povede ve střednědobém a dlouhodobém horizontu k naplnění vize transformace a modernizace energetického sektoru v souladu se schválenými strategickými materiály. V rámci podprogramu by měly být upřednostňovány projekty zaměřené na takové energetické technologie, které zvyšují konkurenceschopnost českého hospodářství, mají exportní potenciál s vysokou přidanou hodnotou a také přispívají k ochraně životního prostředí. Realizace tohoto programu naváže na stávající národní programy podpory VaVaI, a to zejména programy TIP, TRIO, ALFA a EPSILON.</w:t>
      </w:r>
    </w:p>
    <w:p w:rsidR="00DB3A13" w:rsidRDefault="00DB3A13" w:rsidP="00DB3A13">
      <w:pPr>
        <w:spacing w:before="120" w:after="0" w:line="276" w:lineRule="auto"/>
      </w:pPr>
      <w:r>
        <w:t>Třetí podprogram je zaměřen na podporu dlouhodobých technologických perspektiv v energetice, které budou realizovány prostřednictvím výzkumných a vývojových aktivit zejména výzkumných organizací. Bude se jednat mimo jiné o (zpravidla dlouhodobé) projekty aplikovaného výzkumu (se zahrnutím nezbytných činností orientovaného základního výzkumu), u kterých se neočekává okamžitá aplikace, a které budou podporovat systémová energetická řešení. Podprogram je zaměřen na výzkumná témata, která jsou identifikována tak, aby přinášela novou kvalitu v dopadu energetického průmyslu na společnost - zabezpečení dodávky energie, ochrany životního prostředí a sociální přiměřenosti, což jsou zásadní kritéria pohledu na energetickou realitu. Obdobně jako první podprogram, i v případě třetího podprogramu platí, že program takového typu zatím v České republice chyběl.</w:t>
      </w:r>
    </w:p>
    <w:p w:rsidR="00DB3A13" w:rsidRPr="00DB3A13" w:rsidRDefault="00DB3A13" w:rsidP="00DB3A13">
      <w:pPr>
        <w:spacing w:before="120" w:after="0" w:line="276" w:lineRule="auto"/>
      </w:pPr>
      <w:r>
        <w:t>Stručně je možné shrnout, že první a třetí podprogram nemají své předchůdce, jsou tak novým významným nástrojem podpory VaV v sektoru energetiky vzniklým jako reakce na vzniklou potřebu i poptávku ze strany státu, výzkumné i podnikové sféry. Vznik programu THÉTA je tedy důležitým krokem k naplnění úlohy státu při řízení a transformaci sektoru energetiky, tj. sektoru klíčového pro národní hospodářství i bezpečnost. Podprogram 2 své předchůdce má, a to zejména programy ALFA, TIP, TRIO, EPSILON.</w:t>
      </w:r>
    </w:p>
    <w:p w:rsidR="0033239D" w:rsidRPr="003A5B2E" w:rsidRDefault="0033239D" w:rsidP="00851123">
      <w:pPr>
        <w:numPr>
          <w:ilvl w:val="0"/>
          <w:numId w:val="70"/>
        </w:numPr>
        <w:spacing w:before="120" w:after="0" w:line="276" w:lineRule="auto"/>
        <w:textAlignment w:val="baseline"/>
        <w:rPr>
          <w:rFonts w:ascii="Cambria" w:eastAsia="Times New Roman" w:hAnsi="Cambria" w:cs="Times New Roman"/>
          <w:b/>
          <w:bCs/>
        </w:rPr>
      </w:pPr>
      <w:r>
        <w:rPr>
          <w:rFonts w:ascii="Cambria" w:hAnsi="Cambria"/>
          <w:b/>
          <w:bCs/>
        </w:rPr>
        <w:t>Kdo se na přípravě programu podílel?</w:t>
      </w:r>
    </w:p>
    <w:p w:rsidR="0033239D" w:rsidRDefault="0033239D" w:rsidP="0033239D">
      <w:pPr>
        <w:spacing w:before="120" w:after="0" w:line="276" w:lineRule="auto"/>
        <w:rPr>
          <w:shd w:val="clear" w:color="auto" w:fill="FFFFFF"/>
        </w:rPr>
      </w:pPr>
      <w:r w:rsidRPr="0033239D">
        <w:rPr>
          <w:shd w:val="clear" w:color="auto" w:fill="FFFFFF"/>
        </w:rPr>
        <w:t xml:space="preserve">V prosinci 2015 byla </w:t>
      </w:r>
      <w:r>
        <w:rPr>
          <w:shd w:val="clear" w:color="auto" w:fill="FFFFFF"/>
        </w:rPr>
        <w:t xml:space="preserve">ze strany TA ČR </w:t>
      </w:r>
      <w:r w:rsidRPr="0033239D">
        <w:rPr>
          <w:shd w:val="clear" w:color="auto" w:fill="FFFFFF"/>
        </w:rPr>
        <w:t>zřízena pracovní skupina za účelem návrhu textu nového programu</w:t>
      </w:r>
      <w:r>
        <w:rPr>
          <w:shd w:val="clear" w:color="auto" w:fill="FFFFFF"/>
        </w:rPr>
        <w:t xml:space="preserve"> THÉTA</w:t>
      </w:r>
      <w:r w:rsidRPr="0033239D">
        <w:rPr>
          <w:shd w:val="clear" w:color="auto" w:fill="FFFFFF"/>
        </w:rPr>
        <w:t xml:space="preserve">. </w:t>
      </w:r>
      <w:r>
        <w:rPr>
          <w:shd w:val="clear" w:color="auto" w:fill="FFFFFF"/>
        </w:rPr>
        <w:t>Do pracovní skupiny se zapojili zástupci</w:t>
      </w:r>
      <w:r w:rsidRPr="0033239D">
        <w:rPr>
          <w:shd w:val="clear" w:color="auto" w:fill="FFFFFF"/>
        </w:rPr>
        <w:t xml:space="preserve"> MPO, MŠMT, Státní</w:t>
      </w:r>
      <w:r>
        <w:rPr>
          <w:shd w:val="clear" w:color="auto" w:fill="FFFFFF"/>
        </w:rPr>
        <w:t>ho úřadu</w:t>
      </w:r>
      <w:r w:rsidRPr="0033239D">
        <w:rPr>
          <w:shd w:val="clear" w:color="auto" w:fill="FFFFFF"/>
        </w:rPr>
        <w:t xml:space="preserve"> pro jadernou bezpečnost, ERÚ, Technologick</w:t>
      </w:r>
      <w:r>
        <w:rPr>
          <w:shd w:val="clear" w:color="auto" w:fill="FFFFFF"/>
        </w:rPr>
        <w:t>é platformy</w:t>
      </w:r>
      <w:r w:rsidRPr="0033239D">
        <w:rPr>
          <w:shd w:val="clear" w:color="auto" w:fill="FFFFFF"/>
        </w:rPr>
        <w:t xml:space="preserve"> Udržitelná energetika a Ústav</w:t>
      </w:r>
      <w:r>
        <w:rPr>
          <w:shd w:val="clear" w:color="auto" w:fill="FFFFFF"/>
        </w:rPr>
        <w:t>u</w:t>
      </w:r>
      <w:r w:rsidRPr="0033239D">
        <w:rPr>
          <w:shd w:val="clear" w:color="auto" w:fill="FFFFFF"/>
        </w:rPr>
        <w:t xml:space="preserve"> termomechaniky AV ČR</w:t>
      </w:r>
      <w:r>
        <w:rPr>
          <w:shd w:val="clear" w:color="auto" w:fill="FFFFFF"/>
        </w:rPr>
        <w:t>.</w:t>
      </w:r>
    </w:p>
    <w:p w:rsidR="0033239D" w:rsidRPr="00A52D2C" w:rsidRDefault="0033239D" w:rsidP="0033239D">
      <w:pPr>
        <w:spacing w:before="120" w:after="0" w:line="276" w:lineRule="auto"/>
      </w:pPr>
      <w:r w:rsidRPr="00A52D2C">
        <w:t>Pro účely otevření diskuse k novému programu, zapojení relevantních aktérů do jeho přípravy, zjištění potřeb, získání dalších námětů a návrhů k rozpracování programu</w:t>
      </w:r>
      <w:r>
        <w:t xml:space="preserve"> THÉTA</w:t>
      </w:r>
      <w:r w:rsidRPr="00A52D2C">
        <w:t xml:space="preserve"> byly </w:t>
      </w:r>
      <w:r>
        <w:t>TA ČR</w:t>
      </w:r>
      <w:r w:rsidRPr="00A52D2C">
        <w:t xml:space="preserve"> ve spolupráci s</w:t>
      </w:r>
      <w:r w:rsidR="00E30022">
        <w:t> </w:t>
      </w:r>
      <w:r w:rsidRPr="00A52D2C">
        <w:t xml:space="preserve">Ministerstvem průmyslu a obchodu uspořádány v průběhu června 2016 celkem tři </w:t>
      </w:r>
      <w:r>
        <w:t xml:space="preserve">kulaté stoly, a to pro zástupce </w:t>
      </w:r>
      <w:r w:rsidRPr="00A52D2C">
        <w:t>veřejné správy,</w:t>
      </w:r>
      <w:r>
        <w:t xml:space="preserve"> průmyslového sektoru a </w:t>
      </w:r>
      <w:r w:rsidRPr="00A52D2C">
        <w:t>akademické a výzkumné sféry.</w:t>
      </w:r>
      <w:r>
        <w:t xml:space="preserve"> </w:t>
      </w:r>
      <w:r w:rsidRPr="00A52D2C">
        <w:t>Na této platformě byly diskutovány stěžejní otázky týkající se zaměření program</w:t>
      </w:r>
      <w:r w:rsidR="00E30022">
        <w:t>u, nastavení podmínek podpory a </w:t>
      </w:r>
      <w:r w:rsidRPr="00A52D2C">
        <w:t>dalšího směřování výzkumu a vývoje v oblasti energetiky.</w:t>
      </w:r>
      <w:r w:rsidR="00FC0574">
        <w:t xml:space="preserve"> Dále byl návrh programu diskutován na </w:t>
      </w:r>
      <w:r w:rsidR="00FC0574">
        <w:lastRenderedPageBreak/>
        <w:t xml:space="preserve">jednání Komise pro energetiku Akademie věd České republiky. </w:t>
      </w:r>
      <w:r w:rsidR="00FC0574" w:rsidRPr="00FC0574">
        <w:t xml:space="preserve">Program </w:t>
      </w:r>
      <w:r w:rsidR="00FC0574">
        <w:t>byl ze strany oslovených subjektů</w:t>
      </w:r>
      <w:r w:rsidR="00FC0574" w:rsidRPr="00FC0574">
        <w:t xml:space="preserve"> vnímán jako potřebný a logicky strukturovaný. Ze strany účastníků kulatých stolů byl deklarován zájem o účast v programu.</w:t>
      </w:r>
    </w:p>
    <w:p w:rsidR="0033239D" w:rsidRPr="0033239D" w:rsidRDefault="0033239D" w:rsidP="0033239D">
      <w:pPr>
        <w:spacing w:before="120" w:after="0" w:line="276" w:lineRule="auto"/>
        <w:rPr>
          <w:shd w:val="clear" w:color="auto" w:fill="FFFFFF"/>
        </w:rPr>
      </w:pPr>
      <w:r w:rsidRPr="0033239D">
        <w:rPr>
          <w:shd w:val="clear" w:color="auto" w:fill="FFFFFF"/>
        </w:rPr>
        <w:t>Tak jako byly do přípravy samotného programu THÉTA zahrnuty jednotlivé zainteresované strany, předpokládá se jejich zahrnutí i přípravě jednotlivých veřejných soutěží.</w:t>
      </w:r>
      <w:r>
        <w:rPr>
          <w:shd w:val="clear" w:color="auto" w:fill="FFFFFF"/>
        </w:rPr>
        <w:t xml:space="preserve"> </w:t>
      </w:r>
      <w:r w:rsidRPr="0033239D">
        <w:rPr>
          <w:shd w:val="clear" w:color="auto" w:fill="FFFFFF"/>
        </w:rPr>
        <w:t>V rámci přípravy veřejných soutěží budou detailně specifikovány následující parametry soutěže:</w:t>
      </w:r>
    </w:p>
    <w:p w:rsidR="0033239D" w:rsidRPr="0033239D" w:rsidRDefault="0033239D" w:rsidP="00851123">
      <w:pPr>
        <w:pStyle w:val="Odstavecseseznamem"/>
        <w:numPr>
          <w:ilvl w:val="0"/>
          <w:numId w:val="74"/>
        </w:numPr>
        <w:spacing w:before="120" w:after="0" w:line="276" w:lineRule="auto"/>
        <w:rPr>
          <w:shd w:val="clear" w:color="auto" w:fill="FFFFFF"/>
        </w:rPr>
      </w:pPr>
      <w:r w:rsidRPr="0033239D">
        <w:rPr>
          <w:shd w:val="clear" w:color="auto" w:fill="FFFFFF"/>
        </w:rPr>
        <w:t>zaměření soutěže, a to mj. v návaznosti na aktuální priority a strategické dokumenty;</w:t>
      </w:r>
    </w:p>
    <w:p w:rsidR="0033239D" w:rsidRPr="0033239D" w:rsidRDefault="0033239D" w:rsidP="00851123">
      <w:pPr>
        <w:pStyle w:val="Odstavecseseznamem"/>
        <w:numPr>
          <w:ilvl w:val="0"/>
          <w:numId w:val="74"/>
        </w:numPr>
        <w:spacing w:before="120" w:after="0" w:line="276" w:lineRule="auto"/>
        <w:rPr>
          <w:shd w:val="clear" w:color="auto" w:fill="FFFFFF"/>
        </w:rPr>
      </w:pPr>
      <w:r w:rsidRPr="0033239D">
        <w:rPr>
          <w:shd w:val="clear" w:color="auto" w:fill="FFFFFF"/>
        </w:rPr>
        <w:t>případná omezení týkající se délky trvání projektu, míry podpory, výsledků projektů, způsobilých a uznaných nákladů;</w:t>
      </w:r>
    </w:p>
    <w:p w:rsidR="0033239D" w:rsidRPr="0033239D" w:rsidRDefault="0033239D" w:rsidP="00851123">
      <w:pPr>
        <w:pStyle w:val="Odstavecseseznamem"/>
        <w:numPr>
          <w:ilvl w:val="0"/>
          <w:numId w:val="74"/>
        </w:numPr>
        <w:spacing w:before="120" w:after="0" w:line="276" w:lineRule="auto"/>
        <w:rPr>
          <w:shd w:val="clear" w:color="auto" w:fill="FFFFFF"/>
        </w:rPr>
      </w:pPr>
      <w:r w:rsidRPr="0033239D">
        <w:rPr>
          <w:shd w:val="clear" w:color="auto" w:fill="FFFFFF"/>
        </w:rPr>
        <w:t>přesné nastavení kritérií hodnocení projektů, včetně případných bonifikačních kritérií.</w:t>
      </w:r>
    </w:p>
    <w:p w:rsidR="003A5B2E" w:rsidRPr="003A5B2E" w:rsidRDefault="003A5B2E" w:rsidP="00851123">
      <w:pPr>
        <w:numPr>
          <w:ilvl w:val="0"/>
          <w:numId w:val="70"/>
        </w:numPr>
        <w:spacing w:before="120" w:after="0" w:line="276" w:lineRule="auto"/>
        <w:textAlignment w:val="baseline"/>
        <w:rPr>
          <w:rFonts w:ascii="Cambria" w:eastAsia="Times New Roman" w:hAnsi="Cambria" w:cs="Times New Roman"/>
          <w:b/>
          <w:bCs/>
        </w:rPr>
      </w:pPr>
      <w:r>
        <w:rPr>
          <w:rFonts w:ascii="Cambria" w:hAnsi="Cambria"/>
          <w:b/>
          <w:bCs/>
        </w:rPr>
        <w:t>Na program žádáte o alokaci 4 000 mil. CZK z výdajů státního rozpočtu. Jak jste k této částce došli?</w:t>
      </w:r>
    </w:p>
    <w:p w:rsidR="003A5B2E" w:rsidRPr="003A5B2E" w:rsidRDefault="003A5B2E" w:rsidP="00BC5587">
      <w:pPr>
        <w:spacing w:before="120" w:after="0" w:line="276" w:lineRule="auto"/>
        <w:rPr>
          <w:rFonts w:ascii="Times New Roman" w:hAnsi="Times New Roman"/>
          <w:color w:val="auto"/>
          <w:sz w:val="24"/>
          <w:szCs w:val="24"/>
        </w:rPr>
      </w:pPr>
      <w:r w:rsidRPr="003A5B2E">
        <w:rPr>
          <w:shd w:val="clear" w:color="auto" w:fill="FFFFFF"/>
        </w:rPr>
        <w:t xml:space="preserve">Alokace byla stanovena na základě </w:t>
      </w:r>
      <w:r w:rsidR="008950E8" w:rsidRPr="008950E8">
        <w:rPr>
          <w:shd w:val="clear" w:color="auto" w:fill="FFFFFF"/>
        </w:rPr>
        <w:t>analýzy absorpční kapacity</w:t>
      </w:r>
      <w:r w:rsidR="00CB22C6">
        <w:rPr>
          <w:shd w:val="clear" w:color="auto" w:fill="FFFFFF"/>
        </w:rPr>
        <w:t xml:space="preserve"> a</w:t>
      </w:r>
      <w:r w:rsidR="008950E8" w:rsidRPr="008950E8">
        <w:rPr>
          <w:shd w:val="clear" w:color="auto" w:fill="FFFFFF"/>
        </w:rPr>
        <w:t xml:space="preserve"> vyhodnocení stávajících veřejných soutěží relevantních pro obor energetiky</w:t>
      </w:r>
      <w:r w:rsidR="00CB22C6">
        <w:rPr>
          <w:shd w:val="clear" w:color="auto" w:fill="FFFFFF"/>
        </w:rPr>
        <w:t>.</w:t>
      </w:r>
    </w:p>
    <w:p w:rsidR="008D7283" w:rsidRPr="0033239D" w:rsidRDefault="003A5B2E" w:rsidP="0033239D">
      <w:pPr>
        <w:spacing w:before="120" w:after="0" w:line="276" w:lineRule="auto"/>
      </w:pPr>
      <w:r w:rsidRPr="003A5B2E">
        <w:rPr>
          <w:shd w:val="clear" w:color="auto" w:fill="FFFFFF"/>
        </w:rPr>
        <w:t>Celkem bylo dle údajů z IS VaV (stav k 10.11 2015) podpořeno od roku 2000 celkem 810 projektů z</w:t>
      </w:r>
      <w:r w:rsidR="00E30022">
        <w:rPr>
          <w:shd w:val="clear" w:color="auto" w:fill="FFFFFF"/>
        </w:rPr>
        <w:t> </w:t>
      </w:r>
      <w:r w:rsidRPr="003A5B2E">
        <w:rPr>
          <w:shd w:val="clear" w:color="auto" w:fill="FFFFFF"/>
        </w:rPr>
        <w:t>oblasti energetiky (hlavní nebo vedlejší obor s klasifikací CEP JE a/nebo JF). Energetika byla uvedena jako hlavním oborem 516 projektů a u zbylých 294 pak jen jako jeden z vedlejších oborů. Celkový úhrn vyplacených dotací byl (nebo je závazkován) ve výši téměř 12 mld. Kč. Dále byla provedena detailní analýz</w:t>
      </w:r>
      <w:r w:rsidRPr="003A5B2E">
        <w:t>a podpořených a nepodpořených projektů z programů ALFA, CK, DE</w:t>
      </w:r>
      <w:r w:rsidR="00E30022">
        <w:t>LTA, GAMA, EPSILON, TIP a </w:t>
      </w:r>
      <w:r w:rsidRPr="003A5B2E">
        <w:t>TRIO. Konkrétní údaje je možné nalézt v kapitole “Absorpční kapacita”.</w:t>
      </w:r>
    </w:p>
    <w:p w:rsidR="003A5B2E" w:rsidRDefault="003A5B2E" w:rsidP="00851123">
      <w:pPr>
        <w:numPr>
          <w:ilvl w:val="0"/>
          <w:numId w:val="70"/>
        </w:numPr>
        <w:spacing w:before="120" w:after="0" w:line="276" w:lineRule="auto"/>
        <w:textAlignment w:val="baseline"/>
        <w:rPr>
          <w:rFonts w:ascii="Cambria" w:eastAsia="Times New Roman" w:hAnsi="Cambria" w:cs="Times New Roman"/>
          <w:b/>
          <w:bCs/>
        </w:rPr>
      </w:pPr>
      <w:r w:rsidRPr="003A5B2E">
        <w:rPr>
          <w:rFonts w:ascii="Cambria" w:eastAsia="Times New Roman" w:hAnsi="Cambria" w:cs="Times New Roman"/>
          <w:b/>
          <w:bCs/>
        </w:rPr>
        <w:t>Co má být výsledkem programu THÉTA?</w:t>
      </w:r>
    </w:p>
    <w:p w:rsidR="008D7283" w:rsidRPr="008D7283" w:rsidRDefault="00C1186A" w:rsidP="00BC5587">
      <w:pPr>
        <w:spacing w:before="120" w:after="0" w:line="276" w:lineRule="auto"/>
        <w:rPr>
          <w:rFonts w:ascii="Times New Roman" w:hAnsi="Times New Roman"/>
          <w:color w:val="auto"/>
          <w:sz w:val="24"/>
          <w:szCs w:val="24"/>
        </w:rPr>
      </w:pPr>
      <w:r w:rsidRPr="00C1186A">
        <w:t xml:space="preserve">Mezi očekávané přínosy programu patří hlavně zvýšení kvality a počtu výsledků výzkumu a vývoje, které budou aplikovány v praxi v podobě inovací výrobků, postupů, procesů nebo služeb. Očekávaným přínosem je u podprogramu 1 především zkvalitnění řízení odvětví energetiky ze strany veřejné správy, u podprogramu 2 pak </w:t>
      </w:r>
      <w:proofErr w:type="gramStart"/>
      <w:r w:rsidRPr="00C1186A">
        <w:t>rychlé</w:t>
      </w:r>
      <w:proofErr w:type="gramEnd"/>
      <w:r w:rsidRPr="00C1186A">
        <w:t xml:space="preserve"> uplatnění výsledků projektů, které se sekundárně projeví i ve zlepšení ukazatelů podpořených subjektů (a to např. v růstu obratu, exportu apod.). U podprogramu 3 je očekávaným přínosem zřetelný posun ve výzkumu a vývoji perspektivních technologií, respektive systémových energetických řešení.</w:t>
      </w:r>
      <w:r w:rsidR="00FC0574">
        <w:t xml:space="preserve"> </w:t>
      </w:r>
      <w:r w:rsidR="008D7283" w:rsidRPr="008D7283">
        <w:t>Program THÉTA umožňuje dosažení výstupů v podobě výsledků RIV.</w:t>
      </w:r>
    </w:p>
    <w:p w:rsidR="008D7283" w:rsidRPr="008D7283" w:rsidRDefault="008D7283" w:rsidP="00BC5587">
      <w:pPr>
        <w:spacing w:before="120" w:after="0" w:line="276" w:lineRule="auto"/>
        <w:jc w:val="left"/>
        <w:rPr>
          <w:rFonts w:ascii="Times New Roman" w:hAnsi="Times New Roman"/>
          <w:color w:val="auto"/>
          <w:sz w:val="24"/>
          <w:szCs w:val="24"/>
        </w:rPr>
      </w:pPr>
      <w:r w:rsidRPr="008D7283">
        <w:rPr>
          <w:b/>
          <w:bCs/>
        </w:rPr>
        <w:t>Očekávané výsledky:</w:t>
      </w:r>
    </w:p>
    <w:p w:rsidR="00C1186A" w:rsidRDefault="00C1186A" w:rsidP="00BC5587">
      <w:pPr>
        <w:spacing w:before="120" w:after="0" w:line="276" w:lineRule="auto"/>
        <w:jc w:val="left"/>
        <w:rPr>
          <w:b/>
          <w:bCs/>
        </w:rPr>
      </w:pPr>
      <w:r>
        <w:rPr>
          <w:b/>
          <w:bCs/>
        </w:rPr>
        <w:t>Podprogram 1:</w:t>
      </w:r>
    </w:p>
    <w:p w:rsidR="00FC0574" w:rsidRDefault="008D7283" w:rsidP="00FC0574">
      <w:pPr>
        <w:spacing w:before="120" w:after="0" w:line="276" w:lineRule="auto"/>
        <w:jc w:val="left"/>
        <w:rPr>
          <w:rFonts w:ascii="Times New Roman" w:hAnsi="Times New Roman"/>
          <w:color w:val="auto"/>
          <w:sz w:val="24"/>
          <w:szCs w:val="24"/>
        </w:rPr>
      </w:pPr>
      <w:r w:rsidRPr="008D7283">
        <w:rPr>
          <w:b/>
          <w:bCs/>
        </w:rPr>
        <w:t>P</w:t>
      </w:r>
      <w:r w:rsidRPr="008D7283">
        <w:t xml:space="preserve"> – patent;</w:t>
      </w:r>
      <w:r w:rsidRPr="008D7283">
        <w:br/>
      </w:r>
      <w:r w:rsidRPr="008D7283">
        <w:rPr>
          <w:b/>
          <w:bCs/>
        </w:rPr>
        <w:t>G</w:t>
      </w:r>
      <w:r w:rsidRPr="008D7283">
        <w:t xml:space="preserve"> – technicky realizované výsledky – prototyp, funkční vzorek;</w:t>
      </w:r>
      <w:r w:rsidRPr="008D7283">
        <w:br/>
      </w:r>
      <w:r w:rsidRPr="008D7283">
        <w:rPr>
          <w:b/>
          <w:bCs/>
        </w:rPr>
        <w:t xml:space="preserve">Z </w:t>
      </w:r>
      <w:r w:rsidRPr="008D7283">
        <w:t>– poloprovoz, ověřená technologie;</w:t>
      </w:r>
      <w:r w:rsidRPr="008D7283">
        <w:br/>
      </w:r>
      <w:r w:rsidRPr="008D7283">
        <w:rPr>
          <w:b/>
          <w:bCs/>
        </w:rPr>
        <w:t>R</w:t>
      </w:r>
      <w:r w:rsidRPr="008D7283">
        <w:t xml:space="preserve"> – software;</w:t>
      </w:r>
      <w:r w:rsidRPr="008D7283">
        <w:br/>
      </w:r>
      <w:r w:rsidRPr="008D7283">
        <w:rPr>
          <w:b/>
          <w:bCs/>
        </w:rPr>
        <w:t xml:space="preserve">F </w:t>
      </w:r>
      <w:r w:rsidRPr="008D7283">
        <w:t>– průmyslový a užitný vzor;</w:t>
      </w:r>
    </w:p>
    <w:p w:rsidR="008D7283" w:rsidRPr="008D7283" w:rsidRDefault="008D7283" w:rsidP="00FC0574">
      <w:pPr>
        <w:spacing w:after="0" w:line="276" w:lineRule="auto"/>
        <w:jc w:val="left"/>
        <w:rPr>
          <w:rFonts w:ascii="Times New Roman" w:hAnsi="Times New Roman"/>
          <w:color w:val="auto"/>
          <w:sz w:val="24"/>
          <w:szCs w:val="24"/>
        </w:rPr>
      </w:pPr>
      <w:r w:rsidRPr="008D7283">
        <w:rPr>
          <w:b/>
          <w:bCs/>
        </w:rPr>
        <w:t xml:space="preserve">H </w:t>
      </w:r>
      <w:r w:rsidRPr="008D7283">
        <w:t>- výsledky promítnuté do právních předpisů a norem a výsledky promítnuté do směrnic a předpisů nelegislativní povahy závazných v rámci kompetence příslušného poskytovatele.</w:t>
      </w:r>
    </w:p>
    <w:p w:rsidR="008D7283" w:rsidRPr="008D7283" w:rsidRDefault="008D7283" w:rsidP="00FC0574">
      <w:pPr>
        <w:spacing w:after="0" w:line="276" w:lineRule="auto"/>
        <w:rPr>
          <w:rFonts w:ascii="Times New Roman" w:hAnsi="Times New Roman"/>
          <w:color w:val="auto"/>
          <w:sz w:val="24"/>
          <w:szCs w:val="24"/>
        </w:rPr>
      </w:pPr>
      <w:r w:rsidRPr="008D7283">
        <w:rPr>
          <w:b/>
          <w:bCs/>
        </w:rPr>
        <w:t>N</w:t>
      </w:r>
      <w:r w:rsidRPr="008D7283">
        <w:t xml:space="preserve"> – certifikované metodiky, postupy a specializované mapy s odborným obsahem.</w:t>
      </w:r>
    </w:p>
    <w:p w:rsidR="008D7283" w:rsidRPr="008D7283" w:rsidRDefault="008D7283" w:rsidP="00BC5587">
      <w:pPr>
        <w:spacing w:before="120" w:after="0" w:line="276" w:lineRule="auto"/>
        <w:rPr>
          <w:rFonts w:ascii="Times New Roman" w:hAnsi="Times New Roman"/>
          <w:color w:val="auto"/>
          <w:sz w:val="24"/>
          <w:szCs w:val="24"/>
        </w:rPr>
      </w:pPr>
      <w:r w:rsidRPr="008D7283">
        <w:rPr>
          <w:b/>
          <w:bCs/>
        </w:rPr>
        <w:lastRenderedPageBreak/>
        <w:t xml:space="preserve">V podprogramu 2 </w:t>
      </w:r>
      <w:r w:rsidRPr="008D7283">
        <w:t>budou</w:t>
      </w:r>
      <w:r w:rsidRPr="008D7283">
        <w:rPr>
          <w:b/>
          <w:bCs/>
        </w:rPr>
        <w:t xml:space="preserve"> </w:t>
      </w:r>
      <w:r w:rsidRPr="008D7283">
        <w:t xml:space="preserve">poskytovatelem uznány </w:t>
      </w:r>
      <w:r w:rsidR="00C1186A">
        <w:t xml:space="preserve">výsledky </w:t>
      </w:r>
      <w:r w:rsidRPr="008D7283">
        <w:t>P, G, Z, R, F.</w:t>
      </w:r>
    </w:p>
    <w:p w:rsidR="008D7283" w:rsidRPr="00C1186A" w:rsidRDefault="008D7283" w:rsidP="00C1186A">
      <w:pPr>
        <w:spacing w:before="120" w:after="0" w:line="276" w:lineRule="auto"/>
        <w:rPr>
          <w:b/>
          <w:bCs/>
        </w:rPr>
      </w:pPr>
      <w:r w:rsidRPr="008D7283">
        <w:rPr>
          <w:b/>
          <w:bCs/>
        </w:rPr>
        <w:t>V podprogramu 3</w:t>
      </w:r>
      <w:r w:rsidRPr="008D7283">
        <w:t xml:space="preserve"> se předpokládají všechny výsledky základního a aplikovaného výzkumu uznávaných Metodikou hodnocení výsledků výzkumných organizací</w:t>
      </w:r>
      <w:r>
        <w:t>.</w:t>
      </w:r>
    </w:p>
    <w:p w:rsidR="003A5B2E" w:rsidRPr="00947FC9" w:rsidRDefault="00947FC9" w:rsidP="00851123">
      <w:pPr>
        <w:keepNext/>
        <w:keepLines/>
        <w:numPr>
          <w:ilvl w:val="0"/>
          <w:numId w:val="70"/>
        </w:numPr>
        <w:spacing w:before="120" w:after="0" w:line="276" w:lineRule="auto"/>
        <w:ind w:left="714" w:hanging="357"/>
        <w:textAlignment w:val="baseline"/>
        <w:rPr>
          <w:rFonts w:ascii="Cambria" w:eastAsia="Times New Roman" w:hAnsi="Cambria" w:cs="Times New Roman"/>
          <w:b/>
          <w:bCs/>
        </w:rPr>
      </w:pPr>
      <w:r w:rsidRPr="00947FC9">
        <w:rPr>
          <w:rFonts w:ascii="Cambria" w:hAnsi="Cambria"/>
          <w:b/>
          <w:bCs/>
        </w:rPr>
        <w:t>Jaké jsou překryvy s dalšími relevantními programy podpory VaV v sektoru energetiky</w:t>
      </w:r>
      <w:r w:rsidR="003A5B2E" w:rsidRPr="00947FC9">
        <w:rPr>
          <w:rFonts w:ascii="Cambria" w:hAnsi="Cambria"/>
          <w:b/>
          <w:bCs/>
        </w:rPr>
        <w:t>?</w:t>
      </w:r>
    </w:p>
    <w:p w:rsidR="00E95E22" w:rsidRDefault="00E95E22" w:rsidP="00E95E22">
      <w:pPr>
        <w:keepNext/>
        <w:keepLines/>
        <w:spacing w:before="120" w:after="0" w:line="276" w:lineRule="auto"/>
        <w:rPr>
          <w:b/>
          <w:bCs/>
          <w:shd w:val="clear" w:color="auto" w:fill="FFFFFF"/>
        </w:rPr>
      </w:pPr>
      <w:r>
        <w:rPr>
          <w:b/>
          <w:bCs/>
          <w:shd w:val="clear" w:color="auto" w:fill="FFFFFF"/>
        </w:rPr>
        <w:t>Program BETA2</w:t>
      </w:r>
    </w:p>
    <w:p w:rsidR="00E95E22" w:rsidRPr="009844BE" w:rsidRDefault="00E95E22" w:rsidP="00E95E22">
      <w:pPr>
        <w:keepNext/>
        <w:keepLines/>
        <w:spacing w:before="120" w:after="0" w:line="276" w:lineRule="auto"/>
        <w:rPr>
          <w:rFonts w:ascii="Times New Roman" w:hAnsi="Times New Roman"/>
          <w:color w:val="auto"/>
          <w:sz w:val="24"/>
          <w:szCs w:val="24"/>
        </w:rPr>
      </w:pPr>
      <w:r w:rsidRPr="00E95E22">
        <w:rPr>
          <w:bCs/>
          <w:shd w:val="clear" w:color="auto" w:fill="FFFFFF"/>
        </w:rPr>
        <w:t>Program THÉTA není v překryvu s programem BETA2</w:t>
      </w:r>
      <w:r w:rsidRPr="00E95E22">
        <w:rPr>
          <w:shd w:val="clear" w:color="auto" w:fill="FFFFFF"/>
        </w:rPr>
        <w:t>. Program</w:t>
      </w:r>
      <w:r w:rsidRPr="009844BE">
        <w:rPr>
          <w:shd w:val="clear" w:color="auto" w:fill="FFFFFF"/>
        </w:rPr>
        <w:t xml:space="preserve"> BETA2 je programem veřejných zakázek ve výzkumu, které jsou realizovány na základě konkrétně formulovaných výzkumných potřeb orgánů státní správy. Program BETA2 je tedy z hlediska jeho tematického zaměření realizován na základě tzv. top-down principu.</w:t>
      </w:r>
    </w:p>
    <w:p w:rsidR="00E95E22" w:rsidRPr="009844BE" w:rsidRDefault="00E95E22" w:rsidP="00E95E22">
      <w:pPr>
        <w:spacing w:before="120" w:after="0" w:line="276" w:lineRule="auto"/>
        <w:rPr>
          <w:rFonts w:ascii="Times New Roman" w:hAnsi="Times New Roman"/>
          <w:color w:val="auto"/>
          <w:sz w:val="24"/>
          <w:szCs w:val="24"/>
        </w:rPr>
      </w:pPr>
      <w:r w:rsidRPr="009844BE">
        <w:rPr>
          <w:shd w:val="clear" w:color="auto" w:fill="FFFFFF"/>
        </w:rPr>
        <w:t>Program THÉTA bude naopak realizován formou veřejných soutěží na základě tzv. bottom-up principu, kdy přesné zaměření projektů definují jednotliví uchazeči (typicky výzkumné organizace či podniky) v rámci návrhu projektu podaného ve veřejné soutěži. Svým zaměřením je programu BETA2 nejbližší podprogram 1 programu THÉTA, který je zaměřen na výzkum ve veřejném zájmu. Podprogram 1 a program BETA2 se navzájem vhodně doplňují, a to právě zejména rozlišením top-down a bottom-up principu.</w:t>
      </w:r>
    </w:p>
    <w:p w:rsidR="00E95E22" w:rsidRDefault="00E95E22" w:rsidP="00E95E22">
      <w:pPr>
        <w:spacing w:before="120" w:after="0" w:line="276" w:lineRule="auto"/>
        <w:rPr>
          <w:b/>
          <w:bCs/>
          <w:shd w:val="clear" w:color="auto" w:fill="FFFFFF"/>
        </w:rPr>
      </w:pPr>
      <w:r>
        <w:rPr>
          <w:b/>
          <w:bCs/>
          <w:shd w:val="clear" w:color="auto" w:fill="FFFFFF"/>
        </w:rPr>
        <w:t>Program EPSILON</w:t>
      </w:r>
    </w:p>
    <w:p w:rsidR="00E95E22" w:rsidRPr="009844BE" w:rsidRDefault="00E95E22" w:rsidP="00E95E22">
      <w:pPr>
        <w:spacing w:before="120" w:after="0" w:line="276" w:lineRule="auto"/>
        <w:rPr>
          <w:rFonts w:ascii="Times New Roman" w:hAnsi="Times New Roman"/>
          <w:color w:val="auto"/>
          <w:sz w:val="24"/>
          <w:szCs w:val="24"/>
        </w:rPr>
      </w:pPr>
      <w:r w:rsidRPr="009844BE">
        <w:t>Podprogramy 1 a 3 programu THÉTA nejsou svým zaměřením, charakterem i předpokládanými výsledky v překryvu s programem EPSILON.</w:t>
      </w:r>
    </w:p>
    <w:p w:rsidR="00E95E22" w:rsidRPr="009844BE" w:rsidRDefault="00E95E22" w:rsidP="00E95E22">
      <w:pPr>
        <w:spacing w:before="120" w:after="0" w:line="276" w:lineRule="auto"/>
        <w:rPr>
          <w:rFonts w:ascii="Times New Roman" w:hAnsi="Times New Roman"/>
          <w:color w:val="auto"/>
          <w:sz w:val="24"/>
          <w:szCs w:val="24"/>
        </w:rPr>
      </w:pPr>
      <w:r w:rsidRPr="009844BE">
        <w:t xml:space="preserve">Podprogram 2 programu THÉTA a program EPSILON se tematicky překrývají, nicméně z větší části se nepřekrývají časově. První výzva v programu THÉTA je plánována v roce 2017, výzvy v programu EPSILON mají být vyhlášeny v roce 2017 a poslední pak v roce 2018. </w:t>
      </w:r>
    </w:p>
    <w:p w:rsidR="00E95E22" w:rsidRPr="00E95E22" w:rsidRDefault="00E95E22" w:rsidP="00E95E22">
      <w:pPr>
        <w:spacing w:before="120" w:after="0" w:line="276" w:lineRule="auto"/>
        <w:rPr>
          <w:rFonts w:ascii="Times New Roman" w:hAnsi="Times New Roman"/>
          <w:color w:val="auto"/>
          <w:sz w:val="24"/>
          <w:szCs w:val="24"/>
        </w:rPr>
      </w:pPr>
      <w:r w:rsidRPr="00E95E22">
        <w:rPr>
          <w:bCs/>
        </w:rPr>
        <w:t>Eliminace duplicit v roce 2017 bude zajištěna</w:t>
      </w:r>
      <w:r w:rsidRPr="00E95E22">
        <w:t xml:space="preserve"> obdobně jako u programu TRIO, tj. veřejná soutěž u</w:t>
      </w:r>
      <w:r w:rsidR="00E30022">
        <w:t> </w:t>
      </w:r>
      <w:r w:rsidRPr="009844BE">
        <w:t xml:space="preserve">podprogramu 2 programu THÉTA bude tematicky vymezena oblastí Udržitelná energetika prioritní oblasti 2 Udržitelnost energetiky a materiálových zdrojů NPOV. Zároveň cíle oblasti Udržitelná </w:t>
      </w:r>
      <w:r w:rsidRPr="00E95E22">
        <w:t>energetika nebudou zahrnuty v podporovaných cílech programu EPSILON v plánované soutěži v roce 2017.</w:t>
      </w:r>
      <w:r w:rsidRPr="00E95E22">
        <w:rPr>
          <w:rFonts w:ascii="Times New Roman" w:hAnsi="Times New Roman"/>
          <w:color w:val="auto"/>
          <w:sz w:val="24"/>
          <w:szCs w:val="24"/>
        </w:rPr>
        <w:t xml:space="preserve"> </w:t>
      </w:r>
      <w:r w:rsidRPr="00E95E22">
        <w:t>Dále budou v rámci výzev v programu EPSILON podporovány i všechny další aktivity, které vyplývají z vazeb mezi jednotlivými prioritami NPOV (viz kapitola 4 NPOV)</w:t>
      </w:r>
      <w:r w:rsidR="00626063">
        <w:t>.</w:t>
      </w:r>
    </w:p>
    <w:p w:rsidR="00E95E22" w:rsidRDefault="00E95E22" w:rsidP="00E95E22">
      <w:pPr>
        <w:spacing w:before="120" w:after="0" w:line="276" w:lineRule="auto"/>
      </w:pPr>
      <w:r>
        <w:rPr>
          <w:b/>
          <w:bCs/>
          <w:shd w:val="clear" w:color="auto" w:fill="FFFFFF"/>
        </w:rPr>
        <w:t>Program TRIO</w:t>
      </w:r>
    </w:p>
    <w:p w:rsidR="00E95E22" w:rsidRPr="009844BE" w:rsidRDefault="00E95E22" w:rsidP="00E95E22">
      <w:pPr>
        <w:spacing w:before="120" w:after="0" w:line="276" w:lineRule="auto"/>
        <w:rPr>
          <w:rFonts w:ascii="Times New Roman" w:hAnsi="Times New Roman"/>
          <w:color w:val="auto"/>
          <w:sz w:val="24"/>
          <w:szCs w:val="24"/>
        </w:rPr>
      </w:pPr>
      <w:r w:rsidRPr="009844BE">
        <w:t>Podprogramy 1 a 3 programu THÉTA nejsou svým zaměřením, charakterem i předpokládanými výsledky v překryvu s programem TRIO.</w:t>
      </w:r>
    </w:p>
    <w:p w:rsidR="00E95E22" w:rsidRPr="009844BE" w:rsidRDefault="00E95E22" w:rsidP="00E95E22">
      <w:pPr>
        <w:spacing w:before="120" w:after="0" w:line="276" w:lineRule="auto"/>
        <w:rPr>
          <w:rFonts w:ascii="Times New Roman" w:hAnsi="Times New Roman"/>
          <w:color w:val="auto"/>
          <w:sz w:val="24"/>
          <w:szCs w:val="24"/>
        </w:rPr>
      </w:pPr>
      <w:r w:rsidRPr="009844BE">
        <w:t xml:space="preserve">Podprogram 2 programu THÉTA a program TRIO se tematicky překrývají, nicméně z větší části se nepřekrývají časově. První výzva v programu THÉTA je plánována v roce 2017, ve stejném roce má být zároveň vyhlášena poslední soutěž v rámci programu TRIO. </w:t>
      </w:r>
    </w:p>
    <w:p w:rsidR="00E95E22" w:rsidRPr="009844BE" w:rsidRDefault="00E95E22" w:rsidP="00E95E22">
      <w:pPr>
        <w:spacing w:before="120" w:after="0" w:line="276" w:lineRule="auto"/>
      </w:pPr>
      <w:r w:rsidRPr="00E95E22">
        <w:rPr>
          <w:bCs/>
        </w:rPr>
        <w:t>Eliminace duplicit v roce 2017 bude zajištěna</w:t>
      </w:r>
      <w:r w:rsidRPr="00E95E22">
        <w:t xml:space="preserve"> obdobně jako u programu EPSILON, tj. veřejná soutěž</w:t>
      </w:r>
      <w:r w:rsidRPr="009844BE">
        <w:t xml:space="preserve"> u</w:t>
      </w:r>
      <w:r w:rsidR="00E30022">
        <w:t> </w:t>
      </w:r>
      <w:r w:rsidRPr="009844BE">
        <w:t>podprogramu 2 programu THÉTA bude tematicky vymezena oblastí Udržitelná energetika prioritní oblasti 2 Udržitelnost energetiky a materiálových zdrojů NPOV. Zároveň cíle oblasti Udržitelná energetika nebudou zahrnuty v podporovaných cílech programu TRIO v plánované soutěži v roce 2017.</w:t>
      </w:r>
    </w:p>
    <w:p w:rsidR="00E95E22" w:rsidRPr="00E95E22" w:rsidRDefault="00E95E22" w:rsidP="00E30022">
      <w:pPr>
        <w:keepNext/>
        <w:spacing w:before="120" w:after="0" w:line="276" w:lineRule="auto"/>
        <w:rPr>
          <w:b/>
        </w:rPr>
      </w:pPr>
      <w:r>
        <w:rPr>
          <w:b/>
        </w:rPr>
        <w:lastRenderedPageBreak/>
        <w:t>OP PIK</w:t>
      </w:r>
    </w:p>
    <w:p w:rsidR="00E95E22" w:rsidRPr="009844BE" w:rsidRDefault="00E95E22" w:rsidP="00E95E22">
      <w:pPr>
        <w:spacing w:before="120" w:after="0" w:line="276" w:lineRule="auto"/>
        <w:rPr>
          <w:rFonts w:ascii="Times New Roman" w:hAnsi="Times New Roman"/>
          <w:color w:val="auto"/>
          <w:sz w:val="24"/>
          <w:szCs w:val="24"/>
        </w:rPr>
      </w:pPr>
      <w:r w:rsidRPr="00E95E22">
        <w:rPr>
          <w:shd w:val="clear" w:color="auto" w:fill="FFFFFF"/>
        </w:rPr>
        <w:t xml:space="preserve">Program THÉTA </w:t>
      </w:r>
      <w:r w:rsidRPr="00E95E22">
        <w:rPr>
          <w:bCs/>
          <w:shd w:val="clear" w:color="auto" w:fill="FFFFFF"/>
        </w:rPr>
        <w:t>není v překryvu s programy OP PIK</w:t>
      </w:r>
      <w:r w:rsidRPr="00E95E22">
        <w:rPr>
          <w:shd w:val="clear" w:color="auto" w:fill="FFFFFF"/>
        </w:rPr>
        <w:t>. V rámci OP PIK je mu nejbližší program</w:t>
      </w:r>
      <w:r w:rsidRPr="009844BE">
        <w:rPr>
          <w:shd w:val="clear" w:color="auto" w:fill="FFFFFF"/>
        </w:rPr>
        <w:t xml:space="preserve"> Aplikace, který je zaměřen na získávání nových znalostí prostřednictvím realizace projektů průmyslového výzkumu a experimentálního vývoje. Oprávněnými příjemci programu Aplikace jsou podnikatelské subjekty a organizace pro výzkum a šíření znalostí. Projekty musí být v souladu s cíli RIS 3 a v rámci hodnocení je posuzováno, zdali zaměření projektu spadá pod národní domény specializace RIS3. Indikativní schválená alokace na program Aplikace z ERDF činí 313 132 814 EUR. </w:t>
      </w:r>
    </w:p>
    <w:p w:rsidR="00E95E22" w:rsidRPr="009844BE" w:rsidRDefault="00E95E22" w:rsidP="00E95E22">
      <w:pPr>
        <w:spacing w:before="120" w:after="0" w:line="276" w:lineRule="auto"/>
        <w:rPr>
          <w:rFonts w:ascii="Times New Roman" w:hAnsi="Times New Roman"/>
          <w:color w:val="auto"/>
          <w:sz w:val="24"/>
          <w:szCs w:val="24"/>
        </w:rPr>
      </w:pPr>
      <w:r w:rsidRPr="009844BE">
        <w:rPr>
          <w:shd w:val="clear" w:color="auto" w:fill="FFFFFF"/>
        </w:rPr>
        <w:t>Program je plánován do roku 2020. V první výzvě byla vyhlášena alokace 2 mld. Kč, v druhé výzvě 40</w:t>
      </w:r>
      <w:r w:rsidR="00C5621F">
        <w:rPr>
          <w:shd w:val="clear" w:color="auto" w:fill="FFFFFF"/>
        </w:rPr>
        <w:t> </w:t>
      </w:r>
      <w:r w:rsidRPr="009844BE">
        <w:rPr>
          <w:shd w:val="clear" w:color="auto" w:fill="FFFFFF"/>
        </w:rPr>
        <w:t>mil. Kč a pro třetí výzvu je plánována alokace 4,5 mld. Kč. V těchto třech výzvách tedy bude vyčerpáno souhrnně 6,54 mld. Kč, tj. cca 77</w:t>
      </w:r>
      <w:r w:rsidR="00C5621F">
        <w:rPr>
          <w:shd w:val="clear" w:color="auto" w:fill="FFFFFF"/>
        </w:rPr>
        <w:t> </w:t>
      </w:r>
      <w:r w:rsidRPr="009844BE">
        <w:rPr>
          <w:shd w:val="clear" w:color="auto" w:fill="FFFFFF"/>
        </w:rPr>
        <w:t>% alokace programu. Než tedy bude zahájen program THÉTA, bude alokace programu Aplikace, vyčerpána. Z tohoto důvodu zde není riziko překryvu ani mezi programy.</w:t>
      </w:r>
    </w:p>
    <w:p w:rsidR="00E95E22" w:rsidRPr="00E95E22" w:rsidRDefault="00E95E22" w:rsidP="00E95E22">
      <w:pPr>
        <w:spacing w:before="120" w:after="0" w:line="276" w:lineRule="auto"/>
        <w:rPr>
          <w:b/>
        </w:rPr>
      </w:pPr>
      <w:r>
        <w:rPr>
          <w:b/>
        </w:rPr>
        <w:t>OP Praha pól růstu</w:t>
      </w:r>
    </w:p>
    <w:p w:rsidR="00E95E22" w:rsidRDefault="00E95E22" w:rsidP="00E95E22">
      <w:pPr>
        <w:spacing w:before="120" w:after="0" w:line="276" w:lineRule="auto"/>
        <w:rPr>
          <w:shd w:val="clear" w:color="auto" w:fill="FFFFFF"/>
        </w:rPr>
      </w:pPr>
      <w:r w:rsidRPr="00E95E22">
        <w:rPr>
          <w:shd w:val="clear" w:color="auto" w:fill="FFFFFF"/>
        </w:rPr>
        <w:t xml:space="preserve">Program THÉTA </w:t>
      </w:r>
      <w:r w:rsidRPr="00E95E22">
        <w:rPr>
          <w:bCs/>
          <w:shd w:val="clear" w:color="auto" w:fill="FFFFFF"/>
        </w:rPr>
        <w:t>není v překryvu s programy OP Praha pól růstu</w:t>
      </w:r>
      <w:r w:rsidRPr="00E95E22">
        <w:rPr>
          <w:shd w:val="clear" w:color="auto" w:fill="FFFFFF"/>
        </w:rPr>
        <w:t>. V rámci programu se podporují</w:t>
      </w:r>
      <w:r w:rsidRPr="009844BE">
        <w:rPr>
          <w:shd w:val="clear" w:color="auto" w:fill="FFFFFF"/>
        </w:rPr>
        <w:t xml:space="preserve"> projekty realizované výhradně na území </w:t>
      </w:r>
      <w:r>
        <w:rPr>
          <w:shd w:val="clear" w:color="auto" w:fill="FFFFFF"/>
        </w:rPr>
        <w:t>h</w:t>
      </w:r>
      <w:r w:rsidRPr="009844BE">
        <w:rPr>
          <w:shd w:val="clear" w:color="auto" w:fill="FFFFFF"/>
        </w:rPr>
        <w:t xml:space="preserve">l. města Prahy, které se uplatní např. ve službách poskytovaných městem a nejsou zaměřeny na výzkum v oblasti energetiky (projekty proof-of-concept, projekty zadávaní veřejných zakázek v předobchodní fázi (PCP) a inovační poptávky veřejného sektoru (PPI, projekty spolupráce výzkumného sektoru s aplikační sférou, zejména inovační vouchery, “pokračovací” vouchery či vouchery na zapojení do mezinárodní spolupráce). </w:t>
      </w:r>
    </w:p>
    <w:p w:rsidR="00E9455C" w:rsidRDefault="00E9455C" w:rsidP="00E95E22">
      <w:pPr>
        <w:spacing w:before="120" w:after="0" w:line="276" w:lineRule="auto"/>
        <w:rPr>
          <w:shd w:val="clear" w:color="auto" w:fill="FFFFFF"/>
        </w:rPr>
      </w:pPr>
    </w:p>
    <w:p w:rsidR="00D91091" w:rsidRDefault="00D91091" w:rsidP="00BC5587">
      <w:pPr>
        <w:spacing w:before="120" w:after="0" w:line="276" w:lineRule="auto"/>
        <w:sectPr w:rsidR="00D91091" w:rsidSect="00E9455C">
          <w:footerReference w:type="default" r:id="rId12"/>
          <w:pgSz w:w="11906" w:h="16838"/>
          <w:pgMar w:top="2581" w:right="1133" w:bottom="1417" w:left="1133" w:header="708" w:footer="708" w:gutter="0"/>
          <w:cols w:space="708"/>
        </w:sectPr>
      </w:pPr>
    </w:p>
    <w:p w:rsidR="008C4588" w:rsidRPr="00A52D2C" w:rsidRDefault="0009700A" w:rsidP="00BC5587">
      <w:pPr>
        <w:pStyle w:val="Nadpis1"/>
        <w:spacing w:before="120" w:after="0" w:line="276" w:lineRule="auto"/>
      </w:pPr>
      <w:bookmarkStart w:id="7" w:name="_cjidv7kx51ru" w:colFirst="0" w:colLast="0"/>
      <w:bookmarkStart w:id="8" w:name="_Toc463269113"/>
      <w:bookmarkStart w:id="9" w:name="_Toc463269264"/>
      <w:bookmarkStart w:id="10" w:name="_Toc463269297"/>
      <w:bookmarkStart w:id="11" w:name="_Toc463296643"/>
      <w:bookmarkStart w:id="12" w:name="_Toc463438622"/>
      <w:bookmarkEnd w:id="7"/>
      <w:r w:rsidRPr="00A52D2C">
        <w:lastRenderedPageBreak/>
        <w:t>Současný stav a trendy v oblasti energetiky</w:t>
      </w:r>
      <w:bookmarkEnd w:id="8"/>
      <w:bookmarkEnd w:id="9"/>
      <w:bookmarkEnd w:id="10"/>
      <w:bookmarkEnd w:id="11"/>
      <w:bookmarkEnd w:id="12"/>
    </w:p>
    <w:p w:rsidR="008C4588" w:rsidRDefault="0009700A" w:rsidP="00BC5587">
      <w:pPr>
        <w:pStyle w:val="Nadpis2"/>
        <w:spacing w:before="120" w:after="0" w:line="276" w:lineRule="auto"/>
      </w:pPr>
      <w:bookmarkStart w:id="13" w:name="_lohbx8tvkwj" w:colFirst="0" w:colLast="0"/>
      <w:bookmarkStart w:id="14" w:name="_Toc463269114"/>
      <w:bookmarkStart w:id="15" w:name="_Toc463269265"/>
      <w:bookmarkStart w:id="16" w:name="_Toc463269298"/>
      <w:bookmarkStart w:id="17" w:name="_Toc463296644"/>
      <w:bookmarkStart w:id="18" w:name="_Toc463438623"/>
      <w:bookmarkEnd w:id="13"/>
      <w:r w:rsidRPr="000D59FC">
        <w:t>Zdůvodnění</w:t>
      </w:r>
      <w:r w:rsidRPr="00A52D2C">
        <w:t xml:space="preserve"> potřebnosti programu</w:t>
      </w:r>
      <w:bookmarkEnd w:id="14"/>
      <w:bookmarkEnd w:id="15"/>
      <w:bookmarkEnd w:id="16"/>
      <w:bookmarkEnd w:id="17"/>
      <w:bookmarkEnd w:id="18"/>
    </w:p>
    <w:p w:rsidR="00051753" w:rsidRPr="00051753" w:rsidRDefault="00051753" w:rsidP="00BC5587">
      <w:pPr>
        <w:spacing w:before="120" w:after="0" w:line="276" w:lineRule="auto"/>
        <w:rPr>
          <w:rFonts w:ascii="Times New Roman" w:hAnsi="Times New Roman"/>
          <w:color w:val="auto"/>
          <w:sz w:val="24"/>
          <w:szCs w:val="24"/>
        </w:rPr>
      </w:pPr>
      <w:r w:rsidRPr="00051753">
        <w:t xml:space="preserve">Česká energetická politika je do značné míry determinovaná mezinárodní energetickou politikou a globálním trhem, přičemž zásobování nejméně dvěma nezbytnými energetickými surovinami, plynem a ropou, česká ekonomika řeší </w:t>
      </w:r>
      <w:r w:rsidR="00E9257D">
        <w:t xml:space="preserve">téměř </w:t>
      </w:r>
      <w:r w:rsidRPr="00051753">
        <w:t>výlučně jejich dovozem. Legislativní rámec české energetické politiky je vymezen členstvím ČR v EU a také členstvím ve vybraných mnohostranných energetických organizacích. Nadnárodním rámcem pro národní energetickou politiku jsou sektorové politiky Evropské unie. Ve všech síťových energetických odvětvích systematicky narůstá vzájemná závislost jednotlivých národních subsystémů. Zcela zásadním faktorem jsou regulační zásahy na úrovni Evropské unie.</w:t>
      </w:r>
    </w:p>
    <w:p w:rsidR="00051753" w:rsidRPr="00051753" w:rsidRDefault="00051753" w:rsidP="00BC5587">
      <w:pPr>
        <w:spacing w:before="120" w:after="0" w:line="276" w:lineRule="auto"/>
        <w:rPr>
          <w:rFonts w:ascii="Times New Roman" w:hAnsi="Times New Roman"/>
          <w:color w:val="auto"/>
          <w:sz w:val="24"/>
          <w:szCs w:val="24"/>
        </w:rPr>
      </w:pPr>
      <w:r w:rsidRPr="00051753">
        <w:t xml:space="preserve">Státní energetická koncepce ČR respektuje základní směry očekávaného vývoje v EU a současně v jejich rámci formuluje priority, které bude ČR prosazovat ve spolupráci s ostatními státy na unijní úrovni. V posledních </w:t>
      </w:r>
      <w:r w:rsidR="00E9257D">
        <w:t>patnácti</w:t>
      </w:r>
      <w:r w:rsidRPr="00051753">
        <w:t xml:space="preserve"> letech se uskutečnila liberalizace a částečná integrace trhu s elektřinou a plynem v EU. Spolu s již nastartovanými procesy změn zdrojového mixu a mezinárodních závazků vytváří prostředí vzájemné závislosti, ve kterém prakticky žádná energetika členského státu již nemůže efektivně a dlouhodobě fungovat izolovaně od ostatních. Trh s elektřinou a plynem je v současnosti základním mechanismem, který zajišťuje v běžných podmínkách dodávku energie spotřebitelům.</w:t>
      </w:r>
    </w:p>
    <w:p w:rsidR="00051753" w:rsidRPr="00051753" w:rsidRDefault="00051753" w:rsidP="00BC5587">
      <w:pPr>
        <w:spacing w:before="120" w:after="0" w:line="276" w:lineRule="auto"/>
        <w:rPr>
          <w:rFonts w:ascii="Times New Roman" w:hAnsi="Times New Roman"/>
          <w:color w:val="auto"/>
          <w:sz w:val="24"/>
          <w:szCs w:val="24"/>
        </w:rPr>
      </w:pPr>
      <w:r w:rsidRPr="00051753">
        <w:t>Lze očekávat, že bude v následujících desetiletích docházet ke snižující se výkonové rezervě v okolních státech i v celé Evropě a je pravděpodobné, že hlavně stabilní zdroje dodávek energie budou v budoucnu chybět. Pro zajištění energetické bezpečnosti a soběstačnosti je proto rozumné zajistit určitou rezervu produkce elektřiny a zejména dostatek výrobních kapacit a jejich vhodný mix.</w:t>
      </w:r>
    </w:p>
    <w:p w:rsidR="00051753" w:rsidRPr="00051753" w:rsidRDefault="00051753" w:rsidP="00BC5587">
      <w:pPr>
        <w:spacing w:before="120" w:after="0" w:line="276" w:lineRule="auto"/>
        <w:rPr>
          <w:rFonts w:ascii="Times New Roman" w:hAnsi="Times New Roman"/>
          <w:color w:val="auto"/>
          <w:sz w:val="24"/>
          <w:szCs w:val="24"/>
        </w:rPr>
      </w:pPr>
      <w:r w:rsidRPr="00051753">
        <w:t>S modernizací rozvojových, často velmi lidnatých zemí dochází k intenzivnějšímu mezinárodnímu soupeření o nerostné zdroje, palivoenergetické suroviny nevyjímaje. Na světovém trhu s nerostnými surovinami došlo v posledním desetiletí k systémovým změnám, které byly způsobeny tím, že se z mnoha někdejších producentů či vývozců surovin stávají postupně jejich spotřebitelé či dokonce dovozci. Intenzivní soupeření o co nejlepší přístup k nerostným zdrojům vede k uzavírání nových spojenectví a celosvětovému akcentu na energetickou bezpečnost.</w:t>
      </w:r>
    </w:p>
    <w:p w:rsidR="00051753" w:rsidRDefault="00051753" w:rsidP="00BC5587">
      <w:pPr>
        <w:spacing w:before="120" w:after="0" w:line="276" w:lineRule="auto"/>
      </w:pPr>
      <w:r w:rsidRPr="00051753">
        <w:t>Zásadní výzvou pro energetický sektor (který bude v dalších letech a desetiletích procházet zásadní transformací), ale i pro přípravu jednotlivých politik, je řešení vztahu mezi globálními a regionálními problémy ochrany životního prostředí a zabezpečením společnosti energií. Promyšlené vybudování energetického mixu a diverzifikace energetických zdrojů bude utvářet budoucnost energetického sektoru na dlouhou dobu dopředu. Pozornost je třeba věnovat i bezpečnostním aspektům energetických zařízení, tedy elektráren, zpracovatelských a skladovacích zařízení pro plyn a ropu a přenosových, přepravních a distribučních soustav.</w:t>
      </w:r>
    </w:p>
    <w:p w:rsidR="00E9257D" w:rsidRPr="00051753" w:rsidRDefault="00E9257D" w:rsidP="00E9257D">
      <w:pPr>
        <w:spacing w:before="120" w:after="0" w:line="276" w:lineRule="auto"/>
        <w:rPr>
          <w:rFonts w:ascii="Times New Roman" w:hAnsi="Times New Roman"/>
          <w:color w:val="auto"/>
          <w:sz w:val="24"/>
          <w:szCs w:val="24"/>
        </w:rPr>
      </w:pPr>
      <w:r w:rsidRPr="00051753">
        <w:rPr>
          <w:shd w:val="clear" w:color="auto" w:fill="FFFFFF"/>
        </w:rPr>
        <w:t xml:space="preserve">Energetika prochází vlivem objektivních podmínek a politických cílů do r. 2040 zásadní transformací spočívající v obměně výrobní základny (náhrada zdrojů za výrobny s vyšší účinností s významným podílem decentrálních zdrojů), změně využití primárních energetických zdrojů, vyšším využitím elektřiny v dopravě a významnými úsporami na straně spotřeby (základní cíle jsou dány především </w:t>
      </w:r>
      <w:r w:rsidRPr="00051753">
        <w:rPr>
          <w:shd w:val="clear" w:color="auto" w:fill="FFFFFF"/>
        </w:rPr>
        <w:lastRenderedPageBreak/>
        <w:t xml:space="preserve">klimaticko-energetickými balíčky (závazky vyplývající z dohod na úrovni EU) - viz Národní výzkumná a inovační strategie pro inteligentní specializaci České republiky (Národní RIS3 strategie). </w:t>
      </w:r>
    </w:p>
    <w:p w:rsidR="00E9257D" w:rsidRDefault="00E9257D" w:rsidP="00E9257D">
      <w:pPr>
        <w:spacing w:before="120" w:after="0" w:line="276" w:lineRule="auto"/>
        <w:rPr>
          <w:shd w:val="clear" w:color="auto" w:fill="FFFFFF"/>
        </w:rPr>
      </w:pPr>
      <w:r w:rsidRPr="00051753">
        <w:rPr>
          <w:shd w:val="clear" w:color="auto" w:fill="FFFFFF"/>
        </w:rPr>
        <w:t xml:space="preserve">Výroba elektřiny v ČR má být, jak předpokládá SEK, založena na využití jaderné energie, zemního plynu doplněné o ekonomicky efektivní obnovitelné zdroje energie, se zajištěním potřebné infrastruktury. Trendem bude vzrůstající výroba elektřiny z decentrálních zdrojů, ať již založených na neobnovitelné (zemní plyn) či obnovitelné energii (především solární energii a biomase, doplňkově bioplynu a větrné energii). Distribuční soustavy prodělávají zásadní změny v důsledku zapojování decentrálních zdrojů a vzniku nových typů spotřeb. Důležitá proto bude tržně motivovaná kooperace strany výroby se stranou spotřeby, při uplatnění systému a technologií tzv. inteligentních sítí (Smart Grids). </w:t>
      </w:r>
    </w:p>
    <w:p w:rsidR="00161C2B" w:rsidRDefault="00E9257D" w:rsidP="00161C2B">
      <w:pPr>
        <w:spacing w:before="120" w:after="0" w:line="276" w:lineRule="auto"/>
      </w:pPr>
      <w:r w:rsidRPr="00051753">
        <w:rPr>
          <w:shd w:val="clear" w:color="auto" w:fill="FFFFFF"/>
        </w:rPr>
        <w:t>Segment dodávek tepla, včetně kogenerační výroby a distribuce tepla, dozná významných změn a v jeho dalším vývoji se odrazí státem nastavené podmínky, možnosti podnikatelských subjektů, ale i chování spotřebitelů. V současnosti je cca 50</w:t>
      </w:r>
      <w:r w:rsidR="00B93770">
        <w:rPr>
          <w:shd w:val="clear" w:color="auto" w:fill="FFFFFF"/>
        </w:rPr>
        <w:t xml:space="preserve"> </w:t>
      </w:r>
      <w:r w:rsidRPr="00051753">
        <w:rPr>
          <w:shd w:val="clear" w:color="auto" w:fill="FFFFFF"/>
        </w:rPr>
        <w:t>% dodávaného tepla z centrálních systémů. Více tepla je postupně produkováno z obnovitelných zdrojů energie (zejména biomasy, bioplynu, slunečních kolektorů pro ohřev vody, tepelných čerpadel), ale i z druhotných energetických surovin a perspektivně možná i vodíku nebo syntetických paliv (jako případné náhrady plynu).</w:t>
      </w:r>
    </w:p>
    <w:p w:rsidR="00161C2B" w:rsidRPr="00E870E4" w:rsidRDefault="00161C2B" w:rsidP="00161C2B">
      <w:pPr>
        <w:spacing w:before="120" w:after="0" w:line="276" w:lineRule="auto"/>
        <w:rPr>
          <w:rFonts w:ascii="Times New Roman" w:hAnsi="Times New Roman"/>
          <w:color w:val="auto"/>
          <w:sz w:val="24"/>
          <w:szCs w:val="24"/>
        </w:rPr>
      </w:pPr>
      <w:r>
        <w:t>Na uvedené výzvy v oblasti energetiky reaguje zejména klíčový národní strategický dokument – Státní energetická koncepce (SEK). Návrh programu Théta pak je přímou reakcí na úkol stanovený SEK, respektive p</w:t>
      </w:r>
      <w:r w:rsidRPr="00E870E4">
        <w:t xml:space="preserve">rogram </w:t>
      </w:r>
      <w:r>
        <w:t xml:space="preserve">Théta </w:t>
      </w:r>
      <w:r w:rsidRPr="00E870E4">
        <w:t xml:space="preserve">naplňuje strategickou prioritu energetiky ČR uvedenou v SEK: “IV. Výzkum, vývoj a inovace: Podpora výzkumu, vývoje a inovací zajišťující konkurenceschopnost české energetiky a podpora školství, s cílem nutnosti generační obměny a zlepšení kvality technické inteligence v oblasti energetiky”. </w:t>
      </w:r>
    </w:p>
    <w:p w:rsidR="00161C2B" w:rsidRDefault="00161C2B" w:rsidP="00161C2B">
      <w:pPr>
        <w:spacing w:before="120" w:after="0" w:line="276" w:lineRule="auto"/>
      </w:pPr>
      <w:r w:rsidRPr="00E870E4">
        <w:t xml:space="preserve">Cílem </w:t>
      </w:r>
      <w:r>
        <w:t xml:space="preserve">této </w:t>
      </w:r>
      <w:r w:rsidRPr="00E870E4">
        <w:t xml:space="preserve">strategické priority je mimo jiné vytvoření podmínek pro efektivní spolupráci a propojení průmyslu a středního a vysokého školství, zlepšení a prohloubení spolupráce základního a aplikovaného výzkumu, vytvoření podmínek pro hlubší a efektivnější zapojení české výzkumné a akademické obce a průmyslových energetických partnerů do mezinárodní spolupráce ve VaV a mezinárodních projektů jako jsou reaktory IV. generace, jaderná fúze, vývoj nových materiálů využitelných v energetice a energetickém strojírenství a využití dalších možností výzkumu, vývoje a inovací. </w:t>
      </w:r>
    </w:p>
    <w:p w:rsidR="00161C2B" w:rsidRPr="00051753" w:rsidRDefault="00161C2B" w:rsidP="00161C2B">
      <w:pPr>
        <w:spacing w:before="120" w:after="0" w:line="276" w:lineRule="auto"/>
        <w:rPr>
          <w:rFonts w:ascii="Times New Roman" w:hAnsi="Times New Roman"/>
          <w:color w:val="auto"/>
          <w:sz w:val="24"/>
          <w:szCs w:val="24"/>
        </w:rPr>
      </w:pPr>
      <w:r w:rsidRPr="00051753">
        <w:t xml:space="preserve">Identifikace klíčových priorit v oblasti energetických technologií probíhá také v rámci Evropského strategického plánu pro energetické technologie, který je hlavním uskupením v oblasti pátého pilíře Energetické unie zaměřeného na vědu a výzkum, a který klade důraz na integrální a systémový pohled v dané oblasti. Ve strategickém kontextu by měl program </w:t>
      </w:r>
      <w:r>
        <w:t xml:space="preserve">Théta </w:t>
      </w:r>
      <w:r w:rsidRPr="00051753">
        <w:t xml:space="preserve">napomáhat k realizaci klimaticko - energetické politiky a jejímu naplňování na úrovni ČR, a to nejen v oblastech klimaticko-energetických cílů do roku 2030, které jsou zaměřeny na i) snížení emisí skleníkových plynů, ii) zvýšení podílu obnovitelných zdrojů a iii) zvýšení energetické účinnosti. </w:t>
      </w:r>
    </w:p>
    <w:p w:rsidR="00161C2B" w:rsidRPr="00051753" w:rsidRDefault="00161C2B" w:rsidP="00161C2B">
      <w:pPr>
        <w:spacing w:before="120" w:after="0" w:line="276" w:lineRule="auto"/>
        <w:rPr>
          <w:rFonts w:ascii="Times New Roman" w:hAnsi="Times New Roman"/>
          <w:color w:val="auto"/>
          <w:sz w:val="24"/>
          <w:szCs w:val="24"/>
        </w:rPr>
      </w:pPr>
      <w:r w:rsidRPr="00051753">
        <w:t xml:space="preserve">V rámci sdělení Evropské komise ke stavu energetické unie na konci roku 2015 (COM (2015) 572) byl představen předběžný rámec tzv. Národních klimaticko - energetických plánů, které budou reflektovat plnění přijatých cílů, a to zejména v kontextu Energetické unie. Program </w:t>
      </w:r>
      <w:r>
        <w:t xml:space="preserve">Théta </w:t>
      </w:r>
      <w:r w:rsidRPr="00051753">
        <w:t xml:space="preserve">bude jedním z nástrojů </w:t>
      </w:r>
      <w:r w:rsidRPr="00051753">
        <w:lastRenderedPageBreak/>
        <w:t xml:space="preserve">naplňování pátého pilíře Energetické unie zaměřeného na vědu a výzkum v oblasti energetiky, ale také ambiciózního dekarbonizačního cíle do roku 2050. </w:t>
      </w:r>
    </w:p>
    <w:p w:rsidR="00491774" w:rsidRPr="00CD00F9" w:rsidRDefault="00491774" w:rsidP="00CD00F9">
      <w:pPr>
        <w:spacing w:before="120" w:after="0" w:line="276" w:lineRule="auto"/>
      </w:pPr>
      <w:r w:rsidRPr="00CD00F9">
        <w:t>V prosinci 2015 byla v Paříži schválena všemi 195 smluvními stranami dohoda v rámci Rámcové úmluvy OSN o změně klimatu (UNFCCC), která má omezit emise skleníkových plynů od roku 2020 a navázat tak na Kjótský protokol. Stanovuje závazky všech smluvních stran, včetně největších světových producentů emisí skleníkových plynů jako je Čína, USA či Indie.</w:t>
      </w:r>
    </w:p>
    <w:p w:rsidR="00491774" w:rsidRPr="00CD00F9" w:rsidRDefault="00491774" w:rsidP="00CD00F9">
      <w:pPr>
        <w:spacing w:before="120" w:after="0" w:line="276" w:lineRule="auto"/>
      </w:pPr>
      <w:r w:rsidRPr="00CD00F9">
        <w:t>Účel dohody je:</w:t>
      </w:r>
    </w:p>
    <w:p w:rsidR="00491774" w:rsidRPr="00CD00F9" w:rsidRDefault="00491774" w:rsidP="00CD00F9">
      <w:pPr>
        <w:pStyle w:val="Odstavecseseznamem"/>
        <w:spacing w:before="120" w:after="0" w:line="276" w:lineRule="auto"/>
      </w:pPr>
      <w:r w:rsidRPr="00CD00F9">
        <w:t>Udržení vzestupu globální průměrné teploty o výrazně nižší hodnotu, než 2 °C vzhledem k předindustriální úrovni a zvýšením úsilí o dosažení omezení toho nárůstu na 1,5 °C nad předindustriální úroveň, což by mělo výrazně snížit rizika a dopady změny klimatu;</w:t>
      </w:r>
    </w:p>
    <w:p w:rsidR="00491774" w:rsidRPr="00CD00F9" w:rsidRDefault="00491774" w:rsidP="00CD00F9">
      <w:pPr>
        <w:pStyle w:val="Odstavecseseznamem"/>
        <w:spacing w:before="120" w:after="0" w:line="276" w:lineRule="auto"/>
      </w:pPr>
      <w:r w:rsidRPr="00CD00F9">
        <w:t>Zvyšování schopnosti přizpůsobit se nepříznivým dopadům změnám klimatu, podporou odolnosti vůči změnám klimatu a podporou rozvoje společnos</w:t>
      </w:r>
      <w:r w:rsidR="00CD00F9">
        <w:t>ti s nízkou produkcí</w:t>
      </w:r>
      <w:r w:rsidRPr="00CD00F9">
        <w:t xml:space="preserve"> skleníkových plynů a to způsobem, který neohrožuje produkci potravin;</w:t>
      </w:r>
    </w:p>
    <w:p w:rsidR="00491774" w:rsidRPr="00CD00F9" w:rsidRDefault="00491774" w:rsidP="00CD00F9">
      <w:pPr>
        <w:pStyle w:val="Odstavecseseznamem"/>
        <w:spacing w:before="120" w:after="0" w:line="276" w:lineRule="auto"/>
      </w:pPr>
      <w:r w:rsidRPr="00CD00F9">
        <w:t>Tvorbou finančních toků v souladu s cestou společnosti k nízkým emisím skleníkových plynů a rozvojem společnosti odolnější vůči změnám klimatu.</w:t>
      </w:r>
    </w:p>
    <w:p w:rsidR="00491774" w:rsidRPr="00CD00F9" w:rsidRDefault="00491774" w:rsidP="00CD00F9">
      <w:pPr>
        <w:spacing w:before="120" w:after="0" w:line="276" w:lineRule="auto"/>
      </w:pPr>
      <w:r w:rsidRPr="00CD00F9">
        <w:t>Každá smluvní strana bude pravidelně předkládat svoje vnitrostátně stanovené národní příspěvky (INDC), ve kterých stanoví svoje závazky snižování emisí skleníkových plynů. Vyspělé státy mají do roku 2020 vytvořit finanční mechanismus, pomocí kterého bude poskytnuto nejméně 100 miliard dolarů ročně na podporu opatření na ochranu klimatu v rozvojových zemích a nastavit nový cíl financování opatření proti změnám klimatu po roce 2025.</w:t>
      </w:r>
    </w:p>
    <w:p w:rsidR="00161C2B" w:rsidRPr="00CD00F9" w:rsidRDefault="00491774" w:rsidP="00491774">
      <w:pPr>
        <w:spacing w:before="120" w:after="0" w:line="276" w:lineRule="auto"/>
      </w:pPr>
      <w:r w:rsidRPr="00CD00F9">
        <w:t>Vzhledem k tomu, že energetika produkuje podstatnou část skleníkových plynů a EU se přihlásila k brzké ratifikaci dohody, je zřejmé, že tato dohoda bude mít zásadní vliv na budoucí trend výroby energie.</w:t>
      </w:r>
    </w:p>
    <w:p w:rsidR="00051753" w:rsidRPr="00051753" w:rsidRDefault="00161C2B" w:rsidP="00BC5587">
      <w:pPr>
        <w:spacing w:before="120" w:after="0" w:line="276" w:lineRule="auto"/>
        <w:rPr>
          <w:rFonts w:ascii="Times New Roman" w:hAnsi="Times New Roman"/>
          <w:color w:val="auto"/>
          <w:sz w:val="24"/>
          <w:szCs w:val="24"/>
        </w:rPr>
      </w:pPr>
      <w:r>
        <w:t xml:space="preserve">Návrh </w:t>
      </w:r>
      <w:r w:rsidR="00051753" w:rsidRPr="00051753">
        <w:t>programu THÉTA vychází zejména z následujících strategických dokumentů, ze kterých vyplývají zejména pro TA ČR, MPO a SÚJB přímo nebo nepřímo úkoly týkající se podpory výzkumu v oblasti energetiky obecně a konkrétně také v oblasti jaderné energetiky:</w:t>
      </w:r>
    </w:p>
    <w:p w:rsidR="00051753" w:rsidRPr="00094B57" w:rsidRDefault="00051753" w:rsidP="00E9257D">
      <w:pPr>
        <w:pStyle w:val="Zvraznnnormln"/>
        <w:keepNext/>
        <w:spacing w:after="0" w:line="276" w:lineRule="auto"/>
        <w:rPr>
          <w:rFonts w:ascii="Times New Roman" w:hAnsi="Times New Roman"/>
          <w:color w:val="auto"/>
          <w:sz w:val="24"/>
          <w:szCs w:val="24"/>
        </w:rPr>
      </w:pPr>
      <w:r w:rsidRPr="00094B57">
        <w:t>Státní energetické koncepce České republiky (SEK)</w:t>
      </w:r>
    </w:p>
    <w:p w:rsidR="00051753" w:rsidRPr="00094B57" w:rsidRDefault="00426829" w:rsidP="00BC5587">
      <w:pPr>
        <w:pStyle w:val="Odstavecseseznamem"/>
        <w:spacing w:before="120" w:after="0" w:line="276" w:lineRule="auto"/>
      </w:pPr>
      <w:r>
        <w:t>Z</w:t>
      </w:r>
      <w:r w:rsidR="00051753" w:rsidRPr="00094B57">
        <w:t>ajistit podporu pilotních projektů VaV v oblasti energetiky v návaznosti na SET plán. Orientovat nový program strategicky usměrňované podpory výzkumných projektů v oblasti energetiky (inteligentní sítě, elektroakumulace, VaV v oblasti jaderných technologií) v kontextu prioritní oblasti “Udržitelná energetiky” podle usnesení vlády ČR ze dne 19. července 2012 č.</w:t>
      </w:r>
      <w:r>
        <w:t> </w:t>
      </w:r>
      <w:r w:rsidR="00051753" w:rsidRPr="00094B57">
        <w:t>552 Národní priority orientovaného výzkumu, experimentálního vývoje a inovací a potřeb plynoucích z naplňování Státní energetické koncepce;</w:t>
      </w:r>
    </w:p>
    <w:p w:rsidR="00051753" w:rsidRPr="00094B57" w:rsidRDefault="00426829" w:rsidP="00BC5587">
      <w:pPr>
        <w:pStyle w:val="Odstavecseseznamem"/>
        <w:spacing w:before="120" w:after="0" w:line="276" w:lineRule="auto"/>
      </w:pPr>
      <w:r>
        <w:t>P</w:t>
      </w:r>
      <w:r w:rsidR="00051753" w:rsidRPr="00094B57">
        <w:t>odpořit VaV v oblasti čisté mobility - připravit koordinovanou strategii na podporu VaV v této oblasti.</w:t>
      </w:r>
    </w:p>
    <w:p w:rsidR="00051753" w:rsidRPr="00094B57" w:rsidRDefault="00051753" w:rsidP="00BC5587">
      <w:pPr>
        <w:pStyle w:val="Zvraznnnormln"/>
        <w:spacing w:after="0" w:line="276" w:lineRule="auto"/>
        <w:rPr>
          <w:rFonts w:ascii="Times New Roman" w:hAnsi="Times New Roman"/>
          <w:color w:val="auto"/>
          <w:sz w:val="24"/>
          <w:szCs w:val="24"/>
        </w:rPr>
      </w:pPr>
      <w:r w:rsidRPr="00094B57">
        <w:t>Národní akční plán rozvoje jaderné energetiky v České republice</w:t>
      </w:r>
    </w:p>
    <w:p w:rsidR="00051753" w:rsidRPr="000D59FC" w:rsidRDefault="00426829" w:rsidP="00BC5587">
      <w:pPr>
        <w:pStyle w:val="Odstavecseseznamem"/>
        <w:numPr>
          <w:ilvl w:val="0"/>
          <w:numId w:val="28"/>
        </w:numPr>
        <w:spacing w:before="120" w:after="0" w:line="276" w:lineRule="auto"/>
        <w:rPr>
          <w:rFonts w:ascii="Arial" w:hAnsi="Arial"/>
        </w:rPr>
      </w:pPr>
      <w:r>
        <w:t>Z</w:t>
      </w:r>
      <w:r w:rsidR="00051753" w:rsidRPr="00051753">
        <w:t>ajistit financování technické podpory a výzkumu pro dozor, ať již přímo z rozpočtu SÚJB nebo formou jeho zahrnutí do podpory výzkumu v oblasti jaderné energetiky jako celku.</w:t>
      </w:r>
    </w:p>
    <w:p w:rsidR="00051753" w:rsidRPr="00094B57" w:rsidRDefault="00051753" w:rsidP="00BC5587">
      <w:pPr>
        <w:pStyle w:val="Zvraznnnormln"/>
        <w:spacing w:after="0" w:line="276" w:lineRule="auto"/>
        <w:rPr>
          <w:rFonts w:ascii="Times New Roman" w:hAnsi="Times New Roman"/>
          <w:color w:val="auto"/>
          <w:sz w:val="24"/>
          <w:szCs w:val="24"/>
        </w:rPr>
      </w:pPr>
      <w:r w:rsidRPr="00094B57">
        <w:lastRenderedPageBreak/>
        <w:t>Národní akční plán čisté mobility</w:t>
      </w:r>
    </w:p>
    <w:p w:rsidR="00051753" w:rsidRPr="00D91091" w:rsidRDefault="00051753" w:rsidP="00BC5587">
      <w:pPr>
        <w:pStyle w:val="Odstavecseseznamem"/>
        <w:spacing w:before="120" w:after="0" w:line="276" w:lineRule="auto"/>
      </w:pPr>
      <w:r w:rsidRPr="00D91091">
        <w:t xml:space="preserve">Aktivní podpora VaV v oblasti elektromobility a dalších alternativních paliv; </w:t>
      </w:r>
    </w:p>
    <w:p w:rsidR="00051753" w:rsidRPr="00D91091" w:rsidRDefault="00051753" w:rsidP="00BC5587">
      <w:pPr>
        <w:pStyle w:val="Odstavecseseznamem"/>
        <w:spacing w:before="120" w:after="0" w:line="276" w:lineRule="auto"/>
      </w:pPr>
      <w:r w:rsidRPr="00D91091">
        <w:t xml:space="preserve">Posílení spolupráce mezi VŠ, VO a průmyslem v oblasti rozvoje alternativních paliv v ČR; </w:t>
      </w:r>
    </w:p>
    <w:p w:rsidR="00051753" w:rsidRPr="00D91091" w:rsidRDefault="00051753" w:rsidP="00BC5587">
      <w:pPr>
        <w:pStyle w:val="Odstavecseseznamem"/>
        <w:spacing w:before="120" w:after="0" w:line="276" w:lineRule="auto"/>
        <w:rPr>
          <w:rFonts w:ascii="Arial" w:hAnsi="Arial"/>
        </w:rPr>
      </w:pPr>
      <w:r w:rsidRPr="00D91091">
        <w:t xml:space="preserve">VaV v oblasti technologií vozidel s pohonem na elektřinu, dobíjecí infrastruktury a vazby elektromobility na distribuční soustavu / oblast Smart Grids. </w:t>
      </w:r>
    </w:p>
    <w:p w:rsidR="00051753" w:rsidRPr="00051753" w:rsidRDefault="00051753" w:rsidP="00BC5587">
      <w:pPr>
        <w:spacing w:before="120" w:after="0" w:line="276" w:lineRule="auto"/>
        <w:rPr>
          <w:rFonts w:ascii="Times New Roman" w:hAnsi="Times New Roman"/>
          <w:color w:val="auto"/>
          <w:sz w:val="24"/>
          <w:szCs w:val="24"/>
        </w:rPr>
      </w:pPr>
      <w:r w:rsidRPr="00051753">
        <w:t xml:space="preserve">Více k vazbě programu THÉTA na strategické dokumenty v samostatné </w:t>
      </w:r>
      <w:hyperlink w:anchor="_Vazba_na_mezinárodní," w:history="1">
        <w:r w:rsidRPr="00094B57">
          <w:rPr>
            <w:rStyle w:val="Hypertextovodkaz"/>
          </w:rPr>
          <w:t>kapitole</w:t>
        </w:r>
      </w:hyperlink>
      <w:r w:rsidRPr="00051753">
        <w:t>.</w:t>
      </w:r>
    </w:p>
    <w:p w:rsidR="00051753" w:rsidRPr="00051753" w:rsidRDefault="00051753" w:rsidP="00BC5587">
      <w:pPr>
        <w:spacing w:before="120" w:after="0" w:line="276" w:lineRule="auto"/>
        <w:rPr>
          <w:rFonts w:ascii="Times New Roman" w:hAnsi="Times New Roman"/>
          <w:color w:val="auto"/>
          <w:sz w:val="24"/>
          <w:szCs w:val="24"/>
        </w:rPr>
      </w:pPr>
      <w:r w:rsidRPr="00051753">
        <w:t>TA ČR jakožto organizační složka státu je odpovědná za přípravu a realizaci programů aplikovaného výzkumu, experimentálního vývoje a inovací, včetně programů pro potřeby státní správy, veřejných soutěží ve výzkumu, experimentálním vývoji a inovacích pro účely poskytnutí účelové podpory projektů VaVaI a zadávání veřejných zakázek ve VaVaI.</w:t>
      </w:r>
    </w:p>
    <w:p w:rsidR="00E9257D" w:rsidRDefault="00051753" w:rsidP="00BC5587">
      <w:pPr>
        <w:spacing w:before="120" w:after="0" w:line="276" w:lineRule="auto"/>
      </w:pPr>
      <w:r w:rsidRPr="00051753">
        <w:t xml:space="preserve">V prosinci 2015 byla zřízena užší pracovní skupina za účelem návrhu textu nového programu. Program byl tvořen ve spolupráci s relevantními resorty, tj. s MPO, MŠMT, Státním úřadem pro jadernou bezpečnost, ERÚ, Technologickou platformou Udržitelná energetika a Ústavem termomechaniky AV ČR. </w:t>
      </w:r>
    </w:p>
    <w:p w:rsidR="00051753" w:rsidRPr="00051753" w:rsidRDefault="00161C2B" w:rsidP="00BC5587">
      <w:pPr>
        <w:spacing w:before="120" w:after="0" w:line="276" w:lineRule="auto"/>
        <w:rPr>
          <w:rFonts w:ascii="Times New Roman" w:hAnsi="Times New Roman"/>
          <w:color w:val="auto"/>
          <w:sz w:val="24"/>
          <w:szCs w:val="24"/>
        </w:rPr>
      </w:pPr>
      <w:r>
        <w:t xml:space="preserve">V rámci přípravy programu Théta byly identifikovány následující </w:t>
      </w:r>
      <w:r w:rsidR="00051753" w:rsidRPr="00051753">
        <w:rPr>
          <w:b/>
          <w:bCs/>
        </w:rPr>
        <w:t>základní nedostatky</w:t>
      </w:r>
      <w:r w:rsidR="00051753" w:rsidRPr="00051753">
        <w:t xml:space="preserve"> stávající podpory VaVaI v oblasti energetiky v</w:t>
      </w:r>
      <w:r>
        <w:t> </w:t>
      </w:r>
      <w:r w:rsidR="00051753" w:rsidRPr="00051753">
        <w:t>ČR</w:t>
      </w:r>
      <w:r>
        <w:t>, přičemž program Théta by tyto nedostatky měl z větší části eliminovat nebo zmírnit</w:t>
      </w:r>
      <w:r w:rsidR="00051753" w:rsidRPr="00051753">
        <w:t>:</w:t>
      </w:r>
    </w:p>
    <w:p w:rsidR="00051753" w:rsidRPr="000D59FC" w:rsidRDefault="00051753" w:rsidP="00BC5587">
      <w:pPr>
        <w:pStyle w:val="Odstavecseseznamem"/>
        <w:numPr>
          <w:ilvl w:val="0"/>
          <w:numId w:val="29"/>
        </w:numPr>
        <w:spacing w:before="120" w:after="0" w:line="276" w:lineRule="auto"/>
        <w:rPr>
          <w:rFonts w:ascii="Arial" w:hAnsi="Arial"/>
        </w:rPr>
      </w:pPr>
      <w:r w:rsidRPr="00051753">
        <w:t>Objem finančních prostředků na podporu VaVaI k řešení pro energetiku ČR klíčových problémů je nedostatečný. Energetika ve světě, EU i ČR prochází transformací a tento proces vyžaduje významnou a dostatečně flexibilní podporu VaVaI. Nejasný další vývoj podpory VaVaI v ČR. Proto urgentní, dnes jasné potřeby, můžeme řešit jen v připravovaném programu.</w:t>
      </w:r>
    </w:p>
    <w:p w:rsidR="00051753" w:rsidRPr="000D59FC" w:rsidRDefault="00051753" w:rsidP="00BC5587">
      <w:pPr>
        <w:pStyle w:val="Odstavecseseznamem"/>
        <w:numPr>
          <w:ilvl w:val="0"/>
          <w:numId w:val="29"/>
        </w:numPr>
        <w:spacing w:before="120" w:after="0" w:line="276" w:lineRule="auto"/>
        <w:rPr>
          <w:rFonts w:ascii="Arial" w:hAnsi="Arial"/>
        </w:rPr>
      </w:pPr>
      <w:r w:rsidRPr="00051753">
        <w:t>Mezinárodní energetická agentura při OECD provádí periodický přezkum energetické politiky (poslední přezkum proběhl na začátku roku 2016) =&gt; České republice je opakovaně „vyčítána“ absence systémové strategie veřejné podpory VaVaI v oblasti energetiky, absence sektorového přístupu k energetice a problematická formulace a naplňování strategických cílů ve stávajícím systému.</w:t>
      </w:r>
    </w:p>
    <w:p w:rsidR="00051753" w:rsidRPr="000D59FC" w:rsidRDefault="00051753" w:rsidP="00BC5587">
      <w:pPr>
        <w:pStyle w:val="Odstavecseseznamem"/>
        <w:numPr>
          <w:ilvl w:val="0"/>
          <w:numId w:val="29"/>
        </w:numPr>
        <w:spacing w:before="120" w:after="0" w:line="276" w:lineRule="auto"/>
        <w:rPr>
          <w:rFonts w:ascii="Arial" w:hAnsi="Arial"/>
        </w:rPr>
      </w:pPr>
      <w:r w:rsidRPr="00051753">
        <w:t xml:space="preserve">V průběhu roku 2015 také vznikla na úrovni EU tzv. Energetická unie, jedním z pěti pilířů je také výzkum a vývoj. Ten má hrát mimo </w:t>
      </w:r>
      <w:proofErr w:type="gramStart"/>
      <w:r w:rsidRPr="00051753">
        <w:t>jiné</w:t>
      </w:r>
      <w:proofErr w:type="gramEnd"/>
      <w:r w:rsidRPr="00051753">
        <w:t xml:space="preserve"> klíčovou roli v naplňování klimaticko-energetických cílů do roku 2030 (emise skleníkových plynů, energetická účinnost a obnovitelné zdroje energie) a má být provázán s ostatními pilíři Energetické unie. Evropská komise bude monitorovat další vývoj jednotlivých pilířů. Bez sektorového přístupu k energetice může být naplňování VaVaI pilíře v sektoru energetiky problematické.</w:t>
      </w:r>
    </w:p>
    <w:p w:rsidR="00051753" w:rsidRPr="000D59FC" w:rsidRDefault="00051753" w:rsidP="00BC5587">
      <w:pPr>
        <w:pStyle w:val="Odstavecseseznamem"/>
        <w:numPr>
          <w:ilvl w:val="0"/>
          <w:numId w:val="29"/>
        </w:numPr>
        <w:spacing w:before="120" w:after="0" w:line="276" w:lineRule="auto"/>
        <w:rPr>
          <w:rFonts w:ascii="Arial" w:hAnsi="Arial"/>
        </w:rPr>
      </w:pPr>
      <w:r w:rsidRPr="00051753">
        <w:t>Relativně konkrétně formulované klimaticko-energetické cíle (viz výše) vyžadují kontinuální strategickou podporu určitého typu technologií, které by n</w:t>
      </w:r>
      <w:r w:rsidR="00636838">
        <w:t>a</w:t>
      </w:r>
      <w:r w:rsidRPr="00051753">
        <w:t>pomohly k naplňování těchto cílů. Roztříštěná podpora bez strategického ukotvení může být spíše kontraproduktivní.</w:t>
      </w:r>
    </w:p>
    <w:p w:rsidR="00051753" w:rsidRPr="000D59FC" w:rsidRDefault="00051753" w:rsidP="00BC5587">
      <w:pPr>
        <w:pStyle w:val="Odstavecseseznamem"/>
        <w:numPr>
          <w:ilvl w:val="0"/>
          <w:numId w:val="29"/>
        </w:numPr>
        <w:spacing w:before="120" w:after="0" w:line="276" w:lineRule="auto"/>
        <w:rPr>
          <w:rFonts w:ascii="Arial" w:hAnsi="Arial"/>
        </w:rPr>
      </w:pPr>
      <w:r w:rsidRPr="00051753">
        <w:t>Aktuálně je kladen velký důraz na tzv. Evropský strategický plán pro energetické technologie (SET Plán), který nyní prochází transformací. Zejména je kladen důraz na integrální pohled se strategickým rozvojem a aktualizaci v oblasti technologií.</w:t>
      </w:r>
    </w:p>
    <w:p w:rsidR="00051753" w:rsidRPr="000D59FC" w:rsidRDefault="00051753" w:rsidP="00BC5587">
      <w:pPr>
        <w:pStyle w:val="Odstavecseseznamem"/>
        <w:numPr>
          <w:ilvl w:val="0"/>
          <w:numId w:val="29"/>
        </w:numPr>
        <w:spacing w:before="120" w:after="0" w:line="276" w:lineRule="auto"/>
        <w:rPr>
          <w:rFonts w:ascii="Arial" w:hAnsi="Arial"/>
        </w:rPr>
      </w:pPr>
      <w:r w:rsidRPr="00051753">
        <w:lastRenderedPageBreak/>
        <w:t>Na úrovni SET Plánu ale i jiných platforem vzniká také užší možnost zapojení do zahraničního VaVaI, které ale vychází z úzké spolupráce jednotlivých států nad rámec projektů typu H2020. Tento typ spolupráce je bez sektorového přístupu relativně téměř nedostupný.</w:t>
      </w:r>
    </w:p>
    <w:p w:rsidR="00051753" w:rsidRPr="000D59FC" w:rsidRDefault="00051753" w:rsidP="00BC5587">
      <w:pPr>
        <w:pStyle w:val="Odstavecseseznamem"/>
        <w:numPr>
          <w:ilvl w:val="0"/>
          <w:numId w:val="29"/>
        </w:numPr>
        <w:spacing w:before="120" w:after="0" w:line="276" w:lineRule="auto"/>
        <w:rPr>
          <w:rFonts w:ascii="Arial" w:hAnsi="Arial"/>
        </w:rPr>
      </w:pPr>
      <w:r w:rsidRPr="00051753">
        <w:t>V poslední době bylo schváleno množství strategických dokumentů v oblasti energetiky – Státní energetická koncepce, Národní akční plán pro chytré sítě, Národní akční plán pro čistou mobilitu, Národní akční plán pro rozvoj jaderné energetiky, Národní akční plán pro obnovitelné zdroje a Národní akční plán energetické účinnosti, Víceletý program podpory dalšího uplatnění udržitelných biopaliv v dopravě na období 2015-2020 atd. =&gt; tyto dokumenty je nutné v oblasti VaVaI naplňovat koordinovaně a se strategickým přesahem.</w:t>
      </w:r>
    </w:p>
    <w:p w:rsidR="00051753" w:rsidRPr="000D59FC" w:rsidRDefault="00051753" w:rsidP="00BC5587">
      <w:pPr>
        <w:pStyle w:val="Odstavecseseznamem"/>
        <w:numPr>
          <w:ilvl w:val="0"/>
          <w:numId w:val="29"/>
        </w:numPr>
        <w:spacing w:before="120" w:after="0" w:line="276" w:lineRule="auto"/>
        <w:rPr>
          <w:rFonts w:ascii="Arial" w:hAnsi="Arial"/>
        </w:rPr>
      </w:pPr>
      <w:r w:rsidRPr="00051753">
        <w:t>Schválená státní energetická koncepce (květen 2015) identifikovala jako jednu z důležitých potřeb vytvoření systému, který by umožňoval strategicky usměrňovanou podpory výzkumných projektů, aby docházelo k naplňování výše zmíněných strategických dokumentů integrálně a ne na relativně roztříštěné bázi plnění dílčích cílů. V oblasti SEK se zahájením naplňování úkolů objevují nové potřeby a v oblasti jaderné energetiky se projeví výsledky činnosti „Stálého výboru pro jadernou energetiku“ po jeho ustavení.</w:t>
      </w:r>
    </w:p>
    <w:p w:rsidR="00051753" w:rsidRPr="000D59FC" w:rsidRDefault="00051753" w:rsidP="00BC5587">
      <w:pPr>
        <w:pStyle w:val="Odstavecseseznamem"/>
        <w:numPr>
          <w:ilvl w:val="0"/>
          <w:numId w:val="29"/>
        </w:numPr>
        <w:spacing w:before="120" w:after="0" w:line="276" w:lineRule="auto"/>
        <w:rPr>
          <w:rFonts w:ascii="Arial" w:hAnsi="Arial"/>
        </w:rPr>
      </w:pPr>
      <w:r w:rsidRPr="00051753">
        <w:t>Jak EU (SET Plán), tak SEK identifikují nedostatečné zaměření na systémové pohledy v energetice (V ČR je dobře uchopena podpora „inovací“ a nejsou dostatečné vnímány zbylé dva segmenty: podpora časově náročného vývoje a demonstrací nových celků a podpora strategického rozhodování na úrovni podniků a státu).</w:t>
      </w:r>
    </w:p>
    <w:p w:rsidR="00051753" w:rsidRPr="000D59FC" w:rsidRDefault="00051753" w:rsidP="00BC5587">
      <w:pPr>
        <w:pStyle w:val="Odstavecseseznamem"/>
        <w:numPr>
          <w:ilvl w:val="0"/>
          <w:numId w:val="29"/>
        </w:numPr>
        <w:spacing w:before="120" w:after="0" w:line="276" w:lineRule="auto"/>
        <w:rPr>
          <w:rFonts w:ascii="Arial" w:hAnsi="Arial"/>
        </w:rPr>
      </w:pPr>
      <w:r w:rsidRPr="00051753">
        <w:t>VaVaI v oblasti energetiky je do jisté míry specifický. Je charakterizován velikostí a relativně dlouhým výzkumným cyklem. Stávající projekty s horizontem plnění na úrovni 3-5 let a důrazem na v relativně krátké době uplatnitelné výstupy VaVaI neumožňují plný rozvoj dlouhodobých energetických technologických perspektiv.</w:t>
      </w:r>
    </w:p>
    <w:p w:rsidR="00051753" w:rsidRPr="000D59FC" w:rsidRDefault="00051753" w:rsidP="00BC5587">
      <w:pPr>
        <w:pStyle w:val="Odstavecseseznamem"/>
        <w:numPr>
          <w:ilvl w:val="0"/>
          <w:numId w:val="29"/>
        </w:numPr>
        <w:spacing w:before="120" w:after="0" w:line="276" w:lineRule="auto"/>
        <w:rPr>
          <w:rFonts w:ascii="Arial" w:hAnsi="Arial"/>
        </w:rPr>
      </w:pPr>
      <w:r w:rsidRPr="00051753">
        <w:t>Pro strategické naplňování rozvoje v oblasti energetiky je pak důležitá nejenom relativně krátkodobější dimenze s přesným zadáním oblasti VaVaI na základě schválených strategických materiálů, ale také perspektivy, které vycházejí ze schválených materiálů pouze „volně“, ale naplňují je v dlouhém období. Strategický program podpory VaVaI musí tedy umožňovat také relativní flexibilitu a aktualizaci upřesňování strategických cílů.</w:t>
      </w:r>
    </w:p>
    <w:p w:rsidR="00051753" w:rsidRPr="000D59FC" w:rsidRDefault="00051753" w:rsidP="00BC5587">
      <w:pPr>
        <w:pStyle w:val="Odstavecseseznamem"/>
        <w:numPr>
          <w:ilvl w:val="0"/>
          <w:numId w:val="29"/>
        </w:numPr>
        <w:spacing w:before="120" w:after="0" w:line="276" w:lineRule="auto"/>
        <w:rPr>
          <w:rFonts w:ascii="Arial" w:hAnsi="Arial"/>
        </w:rPr>
      </w:pPr>
      <w:r w:rsidRPr="00051753">
        <w:t>Dlouhodobé perspektivy v energetice by neměly explicitně vycházet ze strategického zadání, ale měly by být na jeho základě věcně usměrňovány. Stávající rámec toto umožňuje jen velmi problematicky.</w:t>
      </w:r>
    </w:p>
    <w:p w:rsidR="00051753" w:rsidRPr="000D59FC" w:rsidRDefault="00051753" w:rsidP="00BC5587">
      <w:pPr>
        <w:pStyle w:val="Odstavecseseznamem"/>
        <w:numPr>
          <w:ilvl w:val="0"/>
          <w:numId w:val="29"/>
        </w:numPr>
        <w:spacing w:before="120" w:after="0" w:line="276" w:lineRule="auto"/>
        <w:rPr>
          <w:rFonts w:ascii="Arial" w:hAnsi="Arial"/>
        </w:rPr>
      </w:pPr>
      <w:r w:rsidRPr="00051753">
        <w:t xml:space="preserve">VaVaI v oblasti energetiky a zejména jaderné je charakterizován: </w:t>
      </w:r>
    </w:p>
    <w:p w:rsidR="00051753" w:rsidRPr="000D59FC" w:rsidRDefault="00051753" w:rsidP="00BC5587">
      <w:pPr>
        <w:pStyle w:val="Odstavecseseznamem"/>
        <w:numPr>
          <w:ilvl w:val="1"/>
          <w:numId w:val="29"/>
        </w:numPr>
        <w:spacing w:before="120" w:after="0" w:line="276" w:lineRule="auto"/>
        <w:rPr>
          <w:rFonts w:ascii="Arial" w:hAnsi="Arial"/>
        </w:rPr>
      </w:pPr>
      <w:r w:rsidRPr="00051753">
        <w:t xml:space="preserve">velikostí, </w:t>
      </w:r>
    </w:p>
    <w:p w:rsidR="00051753" w:rsidRPr="000D59FC" w:rsidRDefault="00051753" w:rsidP="00BC5587">
      <w:pPr>
        <w:pStyle w:val="Odstavecseseznamem"/>
        <w:numPr>
          <w:ilvl w:val="1"/>
          <w:numId w:val="29"/>
        </w:numPr>
        <w:spacing w:before="120" w:after="0" w:line="276" w:lineRule="auto"/>
        <w:rPr>
          <w:rFonts w:ascii="Arial" w:hAnsi="Arial"/>
        </w:rPr>
      </w:pPr>
      <w:r w:rsidRPr="00051753">
        <w:t xml:space="preserve">dlouhým výzkumným cyklem (někdy je VaVaI řešen dlouhými na sebe navazujícími projekty), </w:t>
      </w:r>
    </w:p>
    <w:p w:rsidR="00051753" w:rsidRPr="000D59FC" w:rsidRDefault="00051753" w:rsidP="00BC5587">
      <w:pPr>
        <w:pStyle w:val="Odstavecseseznamem"/>
        <w:numPr>
          <w:ilvl w:val="1"/>
          <w:numId w:val="29"/>
        </w:numPr>
        <w:spacing w:before="120" w:after="0" w:line="276" w:lineRule="auto"/>
        <w:rPr>
          <w:rFonts w:ascii="Arial" w:hAnsi="Arial"/>
        </w:rPr>
      </w:pPr>
      <w:r w:rsidRPr="00051753">
        <w:t xml:space="preserve">mezinárodní spoluprací a z toho pramenícím kofinancováním. </w:t>
      </w:r>
    </w:p>
    <w:p w:rsidR="00051753" w:rsidRPr="000D59FC" w:rsidRDefault="00051753" w:rsidP="00E53D60">
      <w:pPr>
        <w:pStyle w:val="Odstavecseseznamem"/>
        <w:numPr>
          <w:ilvl w:val="0"/>
          <w:numId w:val="29"/>
        </w:numPr>
        <w:spacing w:before="120" w:after="0" w:line="276" w:lineRule="auto"/>
        <w:rPr>
          <w:rFonts w:ascii="Arial" w:hAnsi="Arial"/>
        </w:rPr>
      </w:pPr>
      <w:r w:rsidRPr="00051753">
        <w:t>Dnešní programy neumožňují jednoduše segmentaci podpory a větší upřesnění segmentů výzvy (oblast energetiky potřebuje výzvy ve formě podobné HORIZON 2020), kofinancovaní projektů z více programů, synchronizaci výzvy specifické na kofinancování s partnery, podporu projektů dohodnutých na mezivládní úrovni.</w:t>
      </w:r>
    </w:p>
    <w:p w:rsidR="00051753" w:rsidRPr="000D59FC" w:rsidRDefault="00051753" w:rsidP="00BC5587">
      <w:pPr>
        <w:pStyle w:val="Odstavecseseznamem"/>
        <w:numPr>
          <w:ilvl w:val="0"/>
          <w:numId w:val="29"/>
        </w:numPr>
        <w:spacing w:before="120" w:after="0" w:line="276" w:lineRule="auto"/>
        <w:rPr>
          <w:rFonts w:ascii="Arial" w:hAnsi="Arial"/>
        </w:rPr>
      </w:pPr>
      <w:r w:rsidRPr="00051753">
        <w:t>Pro ČR je zcela zásadní potřeba posílení znalostní báze, tedy posílení zapojení do mezinárodní spolupráce včetně dvou důležitých segmentů SET Plan: Industry iniciativ a EERA (před komerční výzkum).</w:t>
      </w:r>
    </w:p>
    <w:p w:rsidR="008C4588" w:rsidRDefault="00426829" w:rsidP="00BC5587">
      <w:pPr>
        <w:pStyle w:val="Nadpis2"/>
        <w:spacing w:before="120" w:after="0" w:line="276" w:lineRule="auto"/>
      </w:pPr>
      <w:bookmarkStart w:id="19" w:name="_a1raz9o1tsg4" w:colFirst="0" w:colLast="0"/>
      <w:bookmarkStart w:id="20" w:name="_Toc463269115"/>
      <w:bookmarkStart w:id="21" w:name="_Toc463269266"/>
      <w:bookmarkStart w:id="22" w:name="_Toc463269299"/>
      <w:bookmarkStart w:id="23" w:name="_Toc463296645"/>
      <w:bookmarkStart w:id="24" w:name="_Toc463438624"/>
      <w:bookmarkEnd w:id="19"/>
      <w:r>
        <w:lastRenderedPageBreak/>
        <w:t>Velké výzkumné</w:t>
      </w:r>
      <w:r w:rsidR="0009700A" w:rsidRPr="00A52D2C">
        <w:t xml:space="preserve"> infrastruktur</w:t>
      </w:r>
      <w:bookmarkEnd w:id="20"/>
      <w:bookmarkEnd w:id="21"/>
      <w:bookmarkEnd w:id="22"/>
      <w:bookmarkEnd w:id="23"/>
      <w:r>
        <w:t>y v oblasti energetiky</w:t>
      </w:r>
      <w:bookmarkEnd w:id="24"/>
    </w:p>
    <w:p w:rsidR="00051753" w:rsidRPr="00051753" w:rsidRDefault="00051753" w:rsidP="00BC5587">
      <w:pPr>
        <w:spacing w:before="120" w:after="0" w:line="276" w:lineRule="auto"/>
        <w:rPr>
          <w:rFonts w:ascii="Times New Roman" w:hAnsi="Times New Roman"/>
          <w:color w:val="auto"/>
          <w:sz w:val="24"/>
          <w:szCs w:val="24"/>
        </w:rPr>
      </w:pPr>
      <w:r w:rsidRPr="00051753">
        <w:t>Cestovní mapa ČR velkých infrastruktur pro výzkum, experimentální vývoj a inovace pro léta 2016 až 2022 (Cestovní mapa) byla vzata vládou ČR na vědomí dne 30. září 2015. Podkladem pro její přípravu se staly výstupy z mezinárodního hodnocení výzkumných infrastruktur ČR, které proběhlo ve 2.</w:t>
      </w:r>
      <w:r w:rsidR="00094B57">
        <w:t> </w:t>
      </w:r>
      <w:r w:rsidRPr="00051753">
        <w:t xml:space="preserve">polovině roku 2014 na základě metodiky inspirované mj. hodnotícími procesy Evropského strategického fóra pro výzkumné infrastruktury (ESFRI). Do hodnocení byly zahrnuty všechny výzkumné infrastruktury ČR. Souhrnným výstupem hodnocení se stalo 58 pozitivně hodnocených výzkumných infrastruktur (z toho 42 vysoce prioritních), doporučených mezinárodní hodnotící komisí k udělení podpory z veřejných prostředků a členěných do 4 výkonnostních skupin (A1, A2, A3  a  A4) indikujících prioritu k udělení podpory z veřejných prostředků. Model financování je založen na kombinaci výdajů státního rozpočtu ČR na výzkum, vývoj a inovace (účelová podpora velkých infrastruktur - provozní náklady) s prostředky Evropských strukturálních a investičních fondů, které budou čerpány prostřednictvím Operačního programu Výzkum, vývoj a vzdělávání (OP VVV - investiční náklady). </w:t>
      </w:r>
    </w:p>
    <w:p w:rsidR="00051753" w:rsidRPr="00051753" w:rsidRDefault="00051753" w:rsidP="00BC5587">
      <w:pPr>
        <w:spacing w:before="120" w:after="0" w:line="276" w:lineRule="auto"/>
        <w:rPr>
          <w:rFonts w:ascii="Times New Roman" w:hAnsi="Times New Roman"/>
          <w:color w:val="auto"/>
          <w:sz w:val="24"/>
          <w:szCs w:val="24"/>
        </w:rPr>
      </w:pPr>
      <w:r w:rsidRPr="00051753">
        <w:t>Aktualizace Cestovní mapy bude navazovat na nadcházející kola hodnocení výzkumných infrastruktur ČR. Aktualizace Cestovní mapy ESFRI proběhne v roce 2016. Vyhlášení první doplňkové výzvy k</w:t>
      </w:r>
      <w:r w:rsidR="00094B57">
        <w:t> </w:t>
      </w:r>
      <w:r w:rsidRPr="00051753">
        <w:t>aktualizaci Cestovní mapy ČR velkých infrastruktur je plánováno na přelom roku 2016/  2017 se</w:t>
      </w:r>
      <w:r w:rsidR="00094B57">
        <w:t> </w:t>
      </w:r>
      <w:r w:rsidRPr="00051753">
        <w:t>zahájením eventuálního financování ze strany MŠMT od roku 2018 po dobu 5 let do roku 2022. V</w:t>
      </w:r>
      <w:r w:rsidR="00094B57">
        <w:t> </w:t>
      </w:r>
      <w:r w:rsidRPr="00051753">
        <w:t xml:space="preserve">dostatečném předstihu je nutné vypracovat politiku podpory výzkumných infrastruktur po roce 2022. </w:t>
      </w:r>
    </w:p>
    <w:p w:rsidR="00051753" w:rsidRPr="00051753" w:rsidRDefault="00051753" w:rsidP="00BC5587">
      <w:pPr>
        <w:spacing w:before="120" w:after="0" w:line="276" w:lineRule="auto"/>
        <w:rPr>
          <w:rFonts w:ascii="Times New Roman" w:hAnsi="Times New Roman"/>
          <w:color w:val="auto"/>
          <w:sz w:val="24"/>
          <w:szCs w:val="24"/>
        </w:rPr>
      </w:pPr>
      <w:r w:rsidRPr="00051753">
        <w:t>Energetika je jednou z 6 vědně-oborových oblastí, na které je členěna Cestovní mapa. Výzkum a vývoj prováděný za využití těch nejmodernějších výzkumných infrastruktur má přispět mimo jiné k</w:t>
      </w:r>
      <w:r w:rsidR="00094B57">
        <w:t> </w:t>
      </w:r>
      <w:r w:rsidRPr="00051753">
        <w:t xml:space="preserve">úspěšnému plnění cílů SET - plánu do roku 2050 v oblasti snížení energetické náročnosti, zvýšení bezpečnosti </w:t>
      </w:r>
      <w:r w:rsidR="003A602B">
        <w:t>a odolnosti elektrizační soustavy</w:t>
      </w:r>
      <w:r w:rsidRPr="00051753">
        <w:t>. Široké zaměření programů na výzkum a vývoj realizovaných na EU úrovni (obnovitelné zdroje, efektivní transformace energie a její využití v</w:t>
      </w:r>
      <w:r w:rsidR="00094B57">
        <w:t> </w:t>
      </w:r>
      <w:r w:rsidRPr="00051753">
        <w:t xml:space="preserve">průmyslu a dopravě, zachycování </w:t>
      </w:r>
      <w:r w:rsidR="003A602B">
        <w:t>oxidu uhličitého a technologie jeho ukládání</w:t>
      </w:r>
      <w:r w:rsidRPr="00051753">
        <w:t xml:space="preserve"> s cílem redukce emisí skleníkových plynů a biopaliv, jaderná energetika a mezioborové energetické technologie) vyvolává potřebu spolupráce na evropské úrovni a mezi jednotlivými členskými státy. Jedním z rysů energetického výzkumu a vývoje v ČR je jeho roztříštěnost mezi VO, které jsou ve srovnání s</w:t>
      </w:r>
      <w:r w:rsidR="00094B57">
        <w:t> </w:t>
      </w:r>
      <w:r w:rsidRPr="00051753">
        <w:t>evropskými protějšky výrazně menší velikosti. Je nutné tedy prohloubit spolupráci mezi VO a</w:t>
      </w:r>
      <w:r w:rsidR="00094B57">
        <w:t> </w:t>
      </w:r>
      <w:r w:rsidRPr="00051753">
        <w:t xml:space="preserve">koncentrovat jejich kapacity do větších celků za účelem jejich vyšší efektivity. Národní výzkumná energetická infrastruktura by se měla více integrovat do </w:t>
      </w:r>
      <w:proofErr w:type="gramStart"/>
      <w:r w:rsidRPr="00051753">
        <w:t>ERA</w:t>
      </w:r>
      <w:proofErr w:type="gramEnd"/>
      <w:r w:rsidRPr="00051753">
        <w:t xml:space="preserve"> a přilákat větší počet zahraničních odborníků do ČR.</w:t>
      </w:r>
    </w:p>
    <w:p w:rsidR="00051753" w:rsidRPr="00051753" w:rsidRDefault="00051753" w:rsidP="00BC5587">
      <w:pPr>
        <w:spacing w:before="120" w:after="0" w:line="276" w:lineRule="auto"/>
        <w:rPr>
          <w:rFonts w:ascii="Times New Roman" w:hAnsi="Times New Roman"/>
          <w:color w:val="auto"/>
          <w:sz w:val="24"/>
          <w:szCs w:val="24"/>
        </w:rPr>
      </w:pPr>
      <w:r w:rsidRPr="00051753">
        <w:t>Výzkumné infrastruktury ČR jsou v oblasti energetiky zaměřeny na problematiku jaderného štěpení a</w:t>
      </w:r>
      <w:r w:rsidR="00094B57">
        <w:t> </w:t>
      </w:r>
      <w:r w:rsidRPr="00051753">
        <w:t xml:space="preserve">fúze, efektivního využití energie, biopaliv, geotermální energie a rozvodů energie. Do výzkumných infrastruktur (VI) uvedených v Cestovní mapě se řadí následující: </w:t>
      </w:r>
    </w:p>
    <w:p w:rsidR="00051753" w:rsidRPr="000D59FC" w:rsidRDefault="00283C55" w:rsidP="00BC5587">
      <w:pPr>
        <w:pStyle w:val="Odstavecseseznamem"/>
        <w:numPr>
          <w:ilvl w:val="0"/>
          <w:numId w:val="30"/>
        </w:numPr>
        <w:spacing w:before="120" w:after="0" w:line="276" w:lineRule="auto"/>
        <w:rPr>
          <w:rFonts w:ascii="Arial" w:hAnsi="Arial"/>
        </w:rPr>
      </w:pPr>
      <w:r w:rsidRPr="00051753">
        <w:t>Experimentální jaderné reaktory LVR-15 a LR-0 - jedná se o VI pro základní a aplikovaný výzkum v oblasti aplikace neutronů, zejména pro jaderně energetické technologie generace II,</w:t>
      </w:r>
      <w:r>
        <w:t xml:space="preserve"> </w:t>
      </w:r>
      <w:r w:rsidRPr="00051753">
        <w:t>III,</w:t>
      </w:r>
      <w:r>
        <w:t xml:space="preserve"> </w:t>
      </w:r>
      <w:r w:rsidRPr="00051753">
        <w:t xml:space="preserve">IV a pro jadernou fúzi. </w:t>
      </w:r>
      <w:r w:rsidR="00051753" w:rsidRPr="00051753">
        <w:t>Hostitelskou institucí je Centrum výzkumu Řež, s.r.o. (priorita A2)</w:t>
      </w:r>
    </w:p>
    <w:p w:rsidR="00051753" w:rsidRPr="000D59FC" w:rsidRDefault="00051753" w:rsidP="00BC5587">
      <w:pPr>
        <w:pStyle w:val="Odstavecseseznamem"/>
        <w:numPr>
          <w:ilvl w:val="0"/>
          <w:numId w:val="30"/>
        </w:numPr>
        <w:spacing w:before="120" w:after="0" w:line="276" w:lineRule="auto"/>
        <w:rPr>
          <w:rFonts w:ascii="Arial" w:hAnsi="Arial"/>
        </w:rPr>
      </w:pPr>
      <w:r w:rsidRPr="00051753">
        <w:t xml:space="preserve">VI centra SUSEN (Udržitelná energetika) - jedná se o VI zaměřenou na energetický výzkum a vývoj s důrazem na jaderný výzkum a realizaci 4 programů VaV v oblasti bezpečnosti </w:t>
      </w:r>
      <w:r w:rsidRPr="00051753">
        <w:lastRenderedPageBreak/>
        <w:t>existujících zařízení a fúzní technologie. Hostitelskou institucí je Centrum výzkumu Řež, s.r.o. (priorita A4)</w:t>
      </w:r>
    </w:p>
    <w:p w:rsidR="00051753" w:rsidRPr="000D59FC" w:rsidRDefault="00051753" w:rsidP="00BC5587">
      <w:pPr>
        <w:pStyle w:val="Odstavecseseznamem"/>
        <w:numPr>
          <w:ilvl w:val="0"/>
          <w:numId w:val="30"/>
        </w:numPr>
        <w:spacing w:before="120" w:after="0" w:line="276" w:lineRule="auto"/>
        <w:rPr>
          <w:rFonts w:ascii="Arial" w:hAnsi="Arial"/>
        </w:rPr>
      </w:pPr>
      <w:r w:rsidRPr="00051753">
        <w:t>Jules Horowitz Reactor - účast ČR - jedná se o pokročilý evropský testovací reaktor, umístěném ve Francii, určený pro výzkum a vývoj a kvalifikaci materiálů a jaderného paliva. Hostitelskou institucí je Centrum výzkumu Řež, s.r.o. (priorita A2)</w:t>
      </w:r>
    </w:p>
    <w:p w:rsidR="00051753" w:rsidRPr="000D59FC" w:rsidRDefault="00051753" w:rsidP="00BC5587">
      <w:pPr>
        <w:pStyle w:val="Odstavecseseznamem"/>
        <w:numPr>
          <w:ilvl w:val="0"/>
          <w:numId w:val="30"/>
        </w:numPr>
        <w:spacing w:before="120" w:after="0" w:line="276" w:lineRule="auto"/>
        <w:rPr>
          <w:rFonts w:ascii="Arial" w:hAnsi="Arial"/>
        </w:rPr>
      </w:pPr>
      <w:r w:rsidRPr="00051753">
        <w:t>WCZV (VR-1- Školení reaktor pro výzkumnou činnost) - výukový reaktor pro vzdělávání studentů českých a zahraničních vysokých škol a pro výzkum a vývoj v oblastech bezpečnosti jaderných zařízení, reaktorové a neutronové fyziky, jaderného palivového cyklu a jako zdroj neutronů pro experimentální testy. Hostitelskou institucí je ČVUT v Praze. (priorita A1)</w:t>
      </w:r>
    </w:p>
    <w:p w:rsidR="00051753" w:rsidRPr="000D59FC" w:rsidRDefault="00051753" w:rsidP="00BC5587">
      <w:pPr>
        <w:pStyle w:val="Odstavecseseznamem"/>
        <w:numPr>
          <w:ilvl w:val="0"/>
          <w:numId w:val="30"/>
        </w:numPr>
        <w:spacing w:before="120" w:after="0" w:line="276" w:lineRule="auto"/>
        <w:rPr>
          <w:rFonts w:ascii="Arial" w:hAnsi="Arial"/>
        </w:rPr>
      </w:pPr>
      <w:r w:rsidRPr="00051753">
        <w:t xml:space="preserve">COMPASS - Tokamak pro výzkum termonukleární fúze - jedná se o jednu z klíčových VI ve společném úsilí EU o zvládnutí termonukleární fúze v rámci konsorcia EUROfusion. Hostitelskou institucí je Ústav fyziky a plazmatu AV ČR, </w:t>
      </w:r>
      <w:proofErr w:type="gramStart"/>
      <w:r w:rsidRPr="00051753">
        <w:t>v.v.</w:t>
      </w:r>
      <w:proofErr w:type="gramEnd"/>
      <w:r w:rsidRPr="00051753">
        <w:t>i. (priorita A1)</w:t>
      </w:r>
    </w:p>
    <w:p w:rsidR="00051753" w:rsidRPr="000D59FC" w:rsidRDefault="00051753" w:rsidP="00BC5587">
      <w:pPr>
        <w:pStyle w:val="Odstavecseseznamem"/>
        <w:numPr>
          <w:ilvl w:val="0"/>
          <w:numId w:val="30"/>
        </w:numPr>
        <w:spacing w:before="120" w:after="0" w:line="276" w:lineRule="auto"/>
        <w:rPr>
          <w:rFonts w:ascii="Arial" w:hAnsi="Arial"/>
        </w:rPr>
      </w:pPr>
      <w:r w:rsidRPr="00051753">
        <w:t>CVVOZEPPowerLab (Výkonové laboratoře CVVOZE) - jedná se o 2 laboratoře zaměřené na VaV v oblastech spínacích technologií, izolačních materiálů, elektromagentického rušení a kompatibility. Hostitelskou institucí je VUT v Brně. (priorita A4)</w:t>
      </w:r>
    </w:p>
    <w:p w:rsidR="00051753" w:rsidRPr="000D59FC" w:rsidRDefault="00051753" w:rsidP="00BC5587">
      <w:pPr>
        <w:pStyle w:val="Odstavecseseznamem"/>
        <w:numPr>
          <w:ilvl w:val="0"/>
          <w:numId w:val="30"/>
        </w:numPr>
        <w:spacing w:before="120" w:after="0" w:line="276" w:lineRule="auto"/>
        <w:rPr>
          <w:rFonts w:ascii="Arial" w:hAnsi="Arial"/>
        </w:rPr>
      </w:pPr>
      <w:r w:rsidRPr="00051753">
        <w:t>CATPRO (Katalytické procesy pro efektivní využití uhlíkatých energetických surovin) - VI zaměřená na provozování zařízení pro VaV související s efektivním využitím uhlíkatých energetických surovin prostřednictvím katalytických procesů. Hostitelskou institucí je Výzkumný ústav anorganické chemie, a.s. (priorita A1)</w:t>
      </w:r>
    </w:p>
    <w:p w:rsidR="00051753" w:rsidRPr="003A602B" w:rsidRDefault="00051753" w:rsidP="00BC5587">
      <w:pPr>
        <w:pStyle w:val="Odstavecseseznamem"/>
        <w:numPr>
          <w:ilvl w:val="0"/>
          <w:numId w:val="30"/>
        </w:numPr>
        <w:spacing w:before="120" w:after="0" w:line="276" w:lineRule="auto"/>
        <w:rPr>
          <w:rFonts w:ascii="Arial" w:hAnsi="Arial"/>
        </w:rPr>
      </w:pPr>
      <w:r w:rsidRPr="00051753">
        <w:t>RINGEN (VI pro geotermální energii) -  VI zaměřená na podporu výzkumu a poskytování služeb a expertíz v oboru využívání hlubinné geotermální energie a dalších souvisejících oblastech, jakými jsou podzemní stavby nebo těžba uhlovodíků. Hostitelskou institucí je Univerzita Karlova v Praze. (priorita A3)</w:t>
      </w:r>
    </w:p>
    <w:p w:rsidR="008C4588" w:rsidRDefault="0009700A" w:rsidP="00BC5587">
      <w:pPr>
        <w:pStyle w:val="Nadpis2"/>
        <w:spacing w:before="120" w:after="0" w:line="276" w:lineRule="auto"/>
      </w:pPr>
      <w:bookmarkStart w:id="25" w:name="_bnqkcoh7z1kc" w:colFirst="0" w:colLast="0"/>
      <w:bookmarkStart w:id="26" w:name="_Toc463269116"/>
      <w:bookmarkStart w:id="27" w:name="_Toc463269267"/>
      <w:bookmarkStart w:id="28" w:name="_Toc463269300"/>
      <w:bookmarkStart w:id="29" w:name="_Toc463296646"/>
      <w:bookmarkStart w:id="30" w:name="_Toc463438625"/>
      <w:bookmarkEnd w:id="25"/>
      <w:r w:rsidRPr="00A52D2C">
        <w:t>Zahraniční zkušenosti</w:t>
      </w:r>
      <w:bookmarkEnd w:id="26"/>
      <w:bookmarkEnd w:id="27"/>
      <w:bookmarkEnd w:id="28"/>
      <w:bookmarkEnd w:id="29"/>
      <w:bookmarkEnd w:id="30"/>
    </w:p>
    <w:p w:rsidR="00051753" w:rsidRPr="00231145" w:rsidRDefault="00051753" w:rsidP="00BC5587">
      <w:pPr>
        <w:spacing w:before="120" w:after="0" w:line="276" w:lineRule="auto"/>
        <w:rPr>
          <w:rFonts w:ascii="Times New Roman" w:hAnsi="Times New Roman"/>
          <w:b/>
          <w:color w:val="auto"/>
          <w:sz w:val="24"/>
          <w:szCs w:val="24"/>
        </w:rPr>
      </w:pPr>
      <w:r w:rsidRPr="00231145">
        <w:rPr>
          <w:b/>
        </w:rPr>
        <w:t>Evropské a mezinárodní mechanismy a programy</w:t>
      </w:r>
    </w:p>
    <w:p w:rsidR="00051753" w:rsidRPr="00051753" w:rsidRDefault="00051753" w:rsidP="00BC5587">
      <w:pPr>
        <w:spacing w:before="120" w:after="0" w:line="276" w:lineRule="auto"/>
        <w:rPr>
          <w:rFonts w:ascii="Times New Roman" w:hAnsi="Times New Roman"/>
          <w:color w:val="auto"/>
          <w:sz w:val="24"/>
          <w:szCs w:val="24"/>
        </w:rPr>
      </w:pPr>
      <w:r w:rsidRPr="00051753">
        <w:t>Hlavní mechanismy podpory energetického výzkumu a vývoje reflektují zakladatelské a nástupnické smlouvy formující dnešní EU, tyto mechanismy jsou:</w:t>
      </w:r>
    </w:p>
    <w:p w:rsidR="00051753" w:rsidRPr="000D59FC" w:rsidRDefault="00051753" w:rsidP="00BC5587">
      <w:pPr>
        <w:pStyle w:val="Odstavecseseznamem"/>
        <w:numPr>
          <w:ilvl w:val="0"/>
          <w:numId w:val="31"/>
        </w:numPr>
        <w:spacing w:before="120" w:after="0" w:line="276" w:lineRule="auto"/>
        <w:rPr>
          <w:rFonts w:ascii="Arial" w:hAnsi="Arial"/>
        </w:rPr>
      </w:pPr>
      <w:r w:rsidRPr="00051753">
        <w:t>Rámcové programy výzkumu a vývoje (poslední s tímto názvem byl 7. Rámcový program – 2007 - 2013, současným ekvivalentem je Horizon 2020 pro období 2014 – 2020).</w:t>
      </w:r>
    </w:p>
    <w:p w:rsidR="00051753" w:rsidRPr="000D59FC" w:rsidRDefault="00051753" w:rsidP="00BC5587">
      <w:pPr>
        <w:pStyle w:val="Odstavecseseznamem"/>
        <w:numPr>
          <w:ilvl w:val="0"/>
          <w:numId w:val="31"/>
        </w:numPr>
        <w:spacing w:before="120" w:after="0" w:line="276" w:lineRule="auto"/>
        <w:rPr>
          <w:rFonts w:ascii="Arial" w:hAnsi="Arial"/>
        </w:rPr>
      </w:pPr>
      <w:r w:rsidRPr="00051753">
        <w:t>Výzkumný program uhlí a ocele (Research Fund for Coal and Steel, RFCS)</w:t>
      </w:r>
    </w:p>
    <w:p w:rsidR="00051753" w:rsidRPr="000D59FC" w:rsidRDefault="00051753" w:rsidP="00BC5587">
      <w:pPr>
        <w:pStyle w:val="Odstavecseseznamem"/>
        <w:numPr>
          <w:ilvl w:val="0"/>
          <w:numId w:val="31"/>
        </w:numPr>
        <w:spacing w:before="120" w:after="0" w:line="276" w:lineRule="auto"/>
        <w:rPr>
          <w:rFonts w:ascii="Arial" w:hAnsi="Arial"/>
        </w:rPr>
      </w:pPr>
      <w:r w:rsidRPr="00051753">
        <w:t>Euratomu Research and Training Programme</w:t>
      </w:r>
    </w:p>
    <w:p w:rsidR="00051753" w:rsidRPr="00051753" w:rsidRDefault="00051753" w:rsidP="00BC5587">
      <w:pPr>
        <w:spacing w:before="120" w:after="0" w:line="276" w:lineRule="auto"/>
        <w:rPr>
          <w:rFonts w:ascii="Times New Roman" w:hAnsi="Times New Roman"/>
          <w:color w:val="auto"/>
          <w:sz w:val="24"/>
          <w:szCs w:val="24"/>
        </w:rPr>
      </w:pPr>
      <w:r w:rsidRPr="00051753">
        <w:t>Význam energetického výzkumu demonstruje fakt, že rozpočet na tuto část vzrost v 7. rámcovém programu o 41</w:t>
      </w:r>
      <w:r w:rsidR="00B93770">
        <w:t xml:space="preserve"> </w:t>
      </w:r>
      <w:r w:rsidRPr="00051753">
        <w:t>% (na 2,3 mld. EUR, bez Euratomu) oproti 6. rámcovému programu, přičemž hlavními tématy byly:</w:t>
      </w:r>
    </w:p>
    <w:p w:rsidR="00051753" w:rsidRPr="000D59FC" w:rsidRDefault="00051753" w:rsidP="00BC5587">
      <w:pPr>
        <w:pStyle w:val="Odstavecseseznamem"/>
        <w:numPr>
          <w:ilvl w:val="0"/>
          <w:numId w:val="32"/>
        </w:numPr>
        <w:spacing w:before="120" w:after="0" w:line="276" w:lineRule="auto"/>
        <w:rPr>
          <w:rFonts w:ascii="Arial" w:hAnsi="Arial"/>
        </w:rPr>
      </w:pPr>
      <w:r w:rsidRPr="00051753">
        <w:t>Hydrogen and fuel cells</w:t>
      </w:r>
    </w:p>
    <w:p w:rsidR="00051753" w:rsidRPr="000D59FC" w:rsidRDefault="00051753" w:rsidP="00BC5587">
      <w:pPr>
        <w:pStyle w:val="Odstavecseseznamem"/>
        <w:numPr>
          <w:ilvl w:val="0"/>
          <w:numId w:val="32"/>
        </w:numPr>
        <w:spacing w:before="120" w:after="0" w:line="276" w:lineRule="auto"/>
        <w:rPr>
          <w:rFonts w:ascii="Arial" w:hAnsi="Arial"/>
        </w:rPr>
      </w:pPr>
      <w:r w:rsidRPr="00051753">
        <w:t>Renewable electricity generation</w:t>
      </w:r>
    </w:p>
    <w:p w:rsidR="00051753" w:rsidRPr="000D59FC" w:rsidRDefault="00051753" w:rsidP="00BC5587">
      <w:pPr>
        <w:pStyle w:val="Odstavecseseznamem"/>
        <w:numPr>
          <w:ilvl w:val="0"/>
          <w:numId w:val="32"/>
        </w:numPr>
        <w:spacing w:before="120" w:after="0" w:line="276" w:lineRule="auto"/>
        <w:rPr>
          <w:rFonts w:ascii="Arial" w:hAnsi="Arial"/>
        </w:rPr>
      </w:pPr>
      <w:r w:rsidRPr="00051753">
        <w:t>Renewable fuel production</w:t>
      </w:r>
    </w:p>
    <w:p w:rsidR="00051753" w:rsidRPr="000D59FC" w:rsidRDefault="00051753" w:rsidP="00BC5587">
      <w:pPr>
        <w:pStyle w:val="Odstavecseseznamem"/>
        <w:numPr>
          <w:ilvl w:val="0"/>
          <w:numId w:val="32"/>
        </w:numPr>
        <w:spacing w:before="120" w:after="0" w:line="276" w:lineRule="auto"/>
        <w:rPr>
          <w:rFonts w:ascii="Arial" w:hAnsi="Arial"/>
        </w:rPr>
      </w:pPr>
      <w:r w:rsidRPr="00051753">
        <w:t>Renewables for heating and cooling</w:t>
      </w:r>
    </w:p>
    <w:p w:rsidR="00051753" w:rsidRPr="000D59FC" w:rsidRDefault="00051753" w:rsidP="00BC5587">
      <w:pPr>
        <w:pStyle w:val="Odstavecseseznamem"/>
        <w:numPr>
          <w:ilvl w:val="0"/>
          <w:numId w:val="32"/>
        </w:numPr>
        <w:spacing w:before="120" w:after="0" w:line="276" w:lineRule="auto"/>
        <w:rPr>
          <w:rFonts w:ascii="Arial" w:hAnsi="Arial"/>
        </w:rPr>
      </w:pPr>
      <w:r w:rsidRPr="00051753">
        <w:t>Clean coal technologies</w:t>
      </w:r>
    </w:p>
    <w:p w:rsidR="00051753" w:rsidRPr="000D59FC" w:rsidRDefault="00051753" w:rsidP="00BC5587">
      <w:pPr>
        <w:pStyle w:val="Odstavecseseznamem"/>
        <w:numPr>
          <w:ilvl w:val="0"/>
          <w:numId w:val="32"/>
        </w:numPr>
        <w:spacing w:before="120" w:after="0" w:line="276" w:lineRule="auto"/>
        <w:rPr>
          <w:rFonts w:ascii="Arial" w:hAnsi="Arial"/>
        </w:rPr>
      </w:pPr>
      <w:r w:rsidRPr="00051753">
        <w:t>Smart energy networks</w:t>
      </w:r>
    </w:p>
    <w:p w:rsidR="00051753" w:rsidRPr="000D59FC" w:rsidRDefault="00051753" w:rsidP="00BC5587">
      <w:pPr>
        <w:pStyle w:val="Odstavecseseznamem"/>
        <w:numPr>
          <w:ilvl w:val="0"/>
          <w:numId w:val="32"/>
        </w:numPr>
        <w:spacing w:before="120" w:after="0" w:line="276" w:lineRule="auto"/>
        <w:rPr>
          <w:rFonts w:ascii="Arial" w:hAnsi="Arial"/>
        </w:rPr>
      </w:pPr>
      <w:r w:rsidRPr="00051753">
        <w:lastRenderedPageBreak/>
        <w:t>Energy efficiency and savings</w:t>
      </w:r>
    </w:p>
    <w:p w:rsidR="00051753" w:rsidRPr="000D59FC" w:rsidRDefault="00051753" w:rsidP="00BC5587">
      <w:pPr>
        <w:pStyle w:val="Odstavecseseznamem"/>
        <w:numPr>
          <w:ilvl w:val="0"/>
          <w:numId w:val="32"/>
        </w:numPr>
        <w:spacing w:before="120" w:after="0" w:line="276" w:lineRule="auto"/>
        <w:rPr>
          <w:rFonts w:ascii="Arial" w:hAnsi="Arial"/>
        </w:rPr>
      </w:pPr>
      <w:r w:rsidRPr="00051753">
        <w:t>Knowledge for energy policy making</w:t>
      </w:r>
    </w:p>
    <w:p w:rsidR="00051753" w:rsidRPr="00051753" w:rsidRDefault="00051753" w:rsidP="00BC5587">
      <w:pPr>
        <w:spacing w:before="120" w:after="0" w:line="276" w:lineRule="auto"/>
        <w:rPr>
          <w:rFonts w:ascii="Times New Roman" w:hAnsi="Times New Roman"/>
          <w:color w:val="auto"/>
          <w:sz w:val="24"/>
          <w:szCs w:val="24"/>
        </w:rPr>
      </w:pPr>
      <w:r w:rsidRPr="00051753">
        <w:t>Další radikální nárůst nastal v programu Horizon 2020, kde hodnota energeticky orientovaného výzkumu a vývoje tvoří téměř 8 mld. EUR. Charakteristický je nárůst projektů pilotního a demonstračního charakteru, které jsou zpravidla vydefinovány evropskými technologickými platformami (ETP) a evropskými průmyslovými iniciativami (EII).</w:t>
      </w:r>
    </w:p>
    <w:p w:rsidR="00051753" w:rsidRPr="00051753" w:rsidRDefault="00051753" w:rsidP="00BC5587">
      <w:pPr>
        <w:spacing w:before="120" w:after="0" w:line="276" w:lineRule="auto"/>
        <w:rPr>
          <w:rFonts w:ascii="Times New Roman" w:hAnsi="Times New Roman"/>
          <w:color w:val="auto"/>
          <w:sz w:val="24"/>
          <w:szCs w:val="24"/>
        </w:rPr>
      </w:pPr>
      <w:r w:rsidRPr="00051753">
        <w:t>V programu Horizon 2020 je energetika (Secure, clean and efficient energy) především součástí společenských výzev (societal challenges), nicméně je obsažena i dalších součástí – Excellent Science (kde jsou např. FET – Future and Emerging Technologies) a Industrial Leadership (kde jsou např. pokročilé materiály či přístup rizikového financování pro malé a střední podniky) – ilustrace na následujícím obrázku.</w:t>
      </w:r>
    </w:p>
    <w:p w:rsidR="00051753" w:rsidRPr="00051753" w:rsidRDefault="00051753" w:rsidP="00BC5587">
      <w:pPr>
        <w:spacing w:before="120" w:after="0" w:line="276" w:lineRule="auto"/>
        <w:rPr>
          <w:rFonts w:ascii="Times New Roman" w:hAnsi="Times New Roman"/>
          <w:color w:val="auto"/>
          <w:sz w:val="24"/>
          <w:szCs w:val="24"/>
        </w:rPr>
      </w:pPr>
      <w:r w:rsidRPr="00051753">
        <w:rPr>
          <w:noProof/>
        </w:rPr>
        <w:drawing>
          <wp:inline distT="0" distB="0" distL="0" distR="0" wp14:anchorId="144ACA4D" wp14:editId="143F9FC0">
            <wp:extent cx="5562600" cy="3621330"/>
            <wp:effectExtent l="0" t="0" r="0" b="0"/>
            <wp:docPr id="4" name="Obrázek 4" descr="https://lh5.googleusercontent.com/_S49IRhnKiuRi0qgEA8oK5GCIxCCnpzJ3OMbC2YBD_ivzgDAfSJfZZn5pMebbWXO7SClcbJJlNznacl3JWX2nxhgO9OOpketr4B3eaUOqVV1Cix8iydZW_6Xcb_HbKxzcLRCy5nBBPX1Mmq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_S49IRhnKiuRi0qgEA8oK5GCIxCCnpzJ3OMbC2YBD_ivzgDAfSJfZZn5pMebbWXO7SClcbJJlNznacl3JWX2nxhgO9OOpketr4B3eaUOqVV1Cix8iydZW_6Xcb_HbKxzcLRCy5nBBPX1MmqV-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4752" cy="3629241"/>
                    </a:xfrm>
                    <a:prstGeom prst="rect">
                      <a:avLst/>
                    </a:prstGeom>
                    <a:noFill/>
                    <a:ln>
                      <a:noFill/>
                    </a:ln>
                  </pic:spPr>
                </pic:pic>
              </a:graphicData>
            </a:graphic>
          </wp:inline>
        </w:drawing>
      </w:r>
    </w:p>
    <w:p w:rsidR="00051753" w:rsidRPr="00051753" w:rsidRDefault="00051753" w:rsidP="00BC5587">
      <w:pPr>
        <w:spacing w:before="120" w:after="0" w:line="276" w:lineRule="auto"/>
        <w:rPr>
          <w:rFonts w:ascii="Times New Roman" w:hAnsi="Times New Roman"/>
          <w:color w:val="auto"/>
          <w:sz w:val="24"/>
          <w:szCs w:val="24"/>
        </w:rPr>
      </w:pPr>
      <w:r w:rsidRPr="00051753">
        <w:t>Energetika v části společenských výzev má 3 hlavní části:</w:t>
      </w:r>
    </w:p>
    <w:p w:rsidR="00051753" w:rsidRPr="000D59FC" w:rsidRDefault="00051753" w:rsidP="00BC5587">
      <w:pPr>
        <w:pStyle w:val="Odstavecseseznamem"/>
        <w:numPr>
          <w:ilvl w:val="0"/>
          <w:numId w:val="33"/>
        </w:numPr>
        <w:spacing w:before="120" w:after="0" w:line="276" w:lineRule="auto"/>
        <w:rPr>
          <w:rFonts w:ascii="Arial" w:hAnsi="Arial"/>
        </w:rPr>
      </w:pPr>
      <w:r w:rsidRPr="00051753">
        <w:t>energetická účinnost,</w:t>
      </w:r>
    </w:p>
    <w:p w:rsidR="00051753" w:rsidRPr="000D59FC" w:rsidRDefault="00051753" w:rsidP="00BC5587">
      <w:pPr>
        <w:pStyle w:val="Odstavecseseznamem"/>
        <w:numPr>
          <w:ilvl w:val="0"/>
          <w:numId w:val="33"/>
        </w:numPr>
        <w:spacing w:before="120" w:after="0" w:line="276" w:lineRule="auto"/>
        <w:rPr>
          <w:rFonts w:ascii="Arial" w:hAnsi="Arial"/>
        </w:rPr>
      </w:pPr>
      <w:r w:rsidRPr="00051753">
        <w:t>nízkouhlíkové technologie (včetně obnovitelných zdrojů)</w:t>
      </w:r>
    </w:p>
    <w:p w:rsidR="00051753" w:rsidRPr="000D59FC" w:rsidRDefault="00051753" w:rsidP="00BC5587">
      <w:pPr>
        <w:pStyle w:val="Odstavecseseznamem"/>
        <w:numPr>
          <w:ilvl w:val="0"/>
          <w:numId w:val="33"/>
        </w:numPr>
        <w:spacing w:before="120" w:after="0" w:line="276" w:lineRule="auto"/>
        <w:rPr>
          <w:rFonts w:ascii="Arial" w:hAnsi="Arial"/>
        </w:rPr>
      </w:pPr>
      <w:r w:rsidRPr="00051753">
        <w:t>smart cities.</w:t>
      </w:r>
    </w:p>
    <w:p w:rsidR="00051753" w:rsidRPr="00051753" w:rsidRDefault="00051753" w:rsidP="00BC5587">
      <w:pPr>
        <w:spacing w:before="120" w:after="0" w:line="276" w:lineRule="auto"/>
        <w:rPr>
          <w:rFonts w:ascii="Times New Roman" w:hAnsi="Times New Roman"/>
          <w:color w:val="auto"/>
          <w:sz w:val="24"/>
          <w:szCs w:val="24"/>
        </w:rPr>
      </w:pPr>
      <w:r w:rsidRPr="00051753">
        <w:t>Tyto 3 části jsou doplněny mnoha dalšími oblastmi, z nichž značná část pochází z dříve samostatného (a nyní do Horizon 2020 absorbovaného) programu Intelligent Energy for Europe.</w:t>
      </w:r>
    </w:p>
    <w:p w:rsidR="00051753" w:rsidRPr="00051753" w:rsidRDefault="00051753" w:rsidP="00BC5587">
      <w:pPr>
        <w:spacing w:before="120" w:after="0" w:line="276" w:lineRule="auto"/>
        <w:rPr>
          <w:rFonts w:ascii="Times New Roman" w:hAnsi="Times New Roman"/>
          <w:color w:val="auto"/>
          <w:sz w:val="24"/>
          <w:szCs w:val="24"/>
        </w:rPr>
      </w:pPr>
      <w:r w:rsidRPr="00051753">
        <w:t>Energetika v rámci Horizon 2020 je součástí dalších mechanismů dosud málo využívanými subjekty z ČR – public-public partnerships (relevantní je hlavně mechanismus ERA-Net Cofund) a public-private partnernerships (relevantní je především Hydrogen and Fuel Cells Joint Technology Initiative).</w:t>
      </w:r>
    </w:p>
    <w:p w:rsidR="00051753" w:rsidRPr="00051753" w:rsidRDefault="00051753" w:rsidP="00BC5587">
      <w:pPr>
        <w:spacing w:before="120" w:after="0" w:line="276" w:lineRule="auto"/>
        <w:rPr>
          <w:rFonts w:ascii="Times New Roman" w:hAnsi="Times New Roman"/>
          <w:color w:val="auto"/>
          <w:sz w:val="24"/>
          <w:szCs w:val="24"/>
        </w:rPr>
      </w:pPr>
      <w:r w:rsidRPr="00051753">
        <w:lastRenderedPageBreak/>
        <w:t>Samostatným mechanismem podpory je EIT (European Institute for Innovation and Technology) a jeho KIC (Knowledge Innovation Communities), v rámci kterých existuje již od roku 2010 InnoEnergy. Cílem KIC je především podpora inovací, sekundárně pak podpora vzdělávání. Tematickými oblastmi KIC Innoenergy (dříve 6 „kolokačních center“) jsou:</w:t>
      </w:r>
    </w:p>
    <w:p w:rsidR="00051753" w:rsidRPr="000D59FC" w:rsidRDefault="00051753" w:rsidP="00BC5587">
      <w:pPr>
        <w:pStyle w:val="Odstavecseseznamem"/>
        <w:numPr>
          <w:ilvl w:val="0"/>
          <w:numId w:val="34"/>
        </w:numPr>
        <w:spacing w:before="120" w:after="0" w:line="276" w:lineRule="auto"/>
        <w:rPr>
          <w:rFonts w:ascii="Arial" w:hAnsi="Arial"/>
        </w:rPr>
      </w:pPr>
      <w:r w:rsidRPr="00051753">
        <w:t>energetická účinnost</w:t>
      </w:r>
    </w:p>
    <w:p w:rsidR="00051753" w:rsidRPr="000D59FC" w:rsidRDefault="00051753" w:rsidP="00BC5587">
      <w:pPr>
        <w:pStyle w:val="Odstavecseseznamem"/>
        <w:numPr>
          <w:ilvl w:val="0"/>
          <w:numId w:val="34"/>
        </w:numPr>
        <w:spacing w:before="120" w:after="0" w:line="276" w:lineRule="auto"/>
        <w:rPr>
          <w:rFonts w:ascii="Arial" w:hAnsi="Arial"/>
        </w:rPr>
      </w:pPr>
      <w:r w:rsidRPr="00051753">
        <w:t>obnovitelné zdroje</w:t>
      </w:r>
    </w:p>
    <w:p w:rsidR="00051753" w:rsidRPr="000D59FC" w:rsidRDefault="00051753" w:rsidP="00BC5587">
      <w:pPr>
        <w:pStyle w:val="Odstavecseseznamem"/>
        <w:numPr>
          <w:ilvl w:val="0"/>
          <w:numId w:val="34"/>
        </w:numPr>
        <w:spacing w:before="120" w:after="0" w:line="276" w:lineRule="auto"/>
        <w:rPr>
          <w:rFonts w:ascii="Arial" w:hAnsi="Arial"/>
        </w:rPr>
      </w:pPr>
      <w:r w:rsidRPr="00051753">
        <w:t>inteligentní a účinné budovy a města</w:t>
      </w:r>
    </w:p>
    <w:p w:rsidR="00051753" w:rsidRPr="000D59FC" w:rsidRDefault="00051753" w:rsidP="00BC5587">
      <w:pPr>
        <w:pStyle w:val="Odstavecseseznamem"/>
        <w:numPr>
          <w:ilvl w:val="0"/>
          <w:numId w:val="34"/>
        </w:numPr>
        <w:spacing w:before="120" w:after="0" w:line="276" w:lineRule="auto"/>
        <w:rPr>
          <w:rFonts w:ascii="Arial" w:hAnsi="Arial"/>
        </w:rPr>
      </w:pPr>
      <w:r w:rsidRPr="00051753">
        <w:t>smart grids</w:t>
      </w:r>
    </w:p>
    <w:p w:rsidR="00051753" w:rsidRPr="000D59FC" w:rsidRDefault="00051753" w:rsidP="00BC5587">
      <w:pPr>
        <w:pStyle w:val="Odstavecseseznamem"/>
        <w:numPr>
          <w:ilvl w:val="0"/>
          <w:numId w:val="34"/>
        </w:numPr>
        <w:spacing w:before="120" w:after="0" w:line="276" w:lineRule="auto"/>
        <w:rPr>
          <w:rFonts w:ascii="Arial" w:hAnsi="Arial"/>
        </w:rPr>
      </w:pPr>
      <w:r w:rsidRPr="00051753">
        <w:t>akumulace energie</w:t>
      </w:r>
    </w:p>
    <w:p w:rsidR="00051753" w:rsidRPr="000D59FC" w:rsidRDefault="00051753" w:rsidP="00BC5587">
      <w:pPr>
        <w:pStyle w:val="Odstavecseseznamem"/>
        <w:numPr>
          <w:ilvl w:val="0"/>
          <w:numId w:val="34"/>
        </w:numPr>
        <w:spacing w:before="120" w:after="0" w:line="276" w:lineRule="auto"/>
        <w:rPr>
          <w:rFonts w:ascii="Arial" w:hAnsi="Arial"/>
        </w:rPr>
      </w:pPr>
      <w:r w:rsidRPr="00051753">
        <w:t>koexistence udržitelné jaderné energie a obnovitelných zdrojů</w:t>
      </w:r>
    </w:p>
    <w:p w:rsidR="00051753" w:rsidRPr="000D59FC" w:rsidRDefault="00051753" w:rsidP="00BC5587">
      <w:pPr>
        <w:pStyle w:val="Odstavecseseznamem"/>
        <w:numPr>
          <w:ilvl w:val="0"/>
          <w:numId w:val="34"/>
        </w:numPr>
        <w:spacing w:before="120" w:after="0" w:line="276" w:lineRule="auto"/>
        <w:rPr>
          <w:rFonts w:ascii="Arial" w:hAnsi="Arial"/>
        </w:rPr>
      </w:pPr>
      <w:r w:rsidRPr="00051753">
        <w:t>technologie čistého uhlí a plynu</w:t>
      </w:r>
    </w:p>
    <w:p w:rsidR="00051753" w:rsidRPr="00051753" w:rsidRDefault="00051753" w:rsidP="00BC5587">
      <w:pPr>
        <w:spacing w:before="120" w:after="0" w:line="276" w:lineRule="auto"/>
        <w:rPr>
          <w:rFonts w:ascii="Times New Roman" w:hAnsi="Times New Roman"/>
          <w:color w:val="auto"/>
          <w:sz w:val="24"/>
          <w:szCs w:val="24"/>
        </w:rPr>
      </w:pPr>
      <w:r w:rsidRPr="00051753">
        <w:t>Účast českých subjektů v evropských mechanismech podpory výzkumu a vývoje je nedostatečná, resp. nevyvážená. Excelentní je tradičně v části Euratom, v jiných oblastech je naopak velmi nedostatečná. Účast subjektů z ČR v 7. rámcovém programu byla v 23 projektech a programu Euratom, část jaderného štěpení (Fission) byla v 71 projektech (velká část tvoří ÚJV Řež). Účast českých subjektů v RFCS je zanedbatelná. V rámci Horizon 2020 jsou subjekty z ČR je zapojeny celkem ve 22 projektech, nejčastěji však formou CSA (Coordination support action), což jsou převážně vzdělávací projekty a projekty na získání dobré praxe. Průměrná je účast v bývalém mechanismu Intelligent Energy for Europe (díky poradenským firmám působícím v oblasti energetických úspor).</w:t>
      </w:r>
    </w:p>
    <w:p w:rsidR="00051753" w:rsidRPr="00051753" w:rsidRDefault="00051753" w:rsidP="00BC5587">
      <w:pPr>
        <w:spacing w:before="120" w:after="0" w:line="276" w:lineRule="auto"/>
        <w:rPr>
          <w:rFonts w:ascii="Times New Roman" w:hAnsi="Times New Roman"/>
          <w:color w:val="auto"/>
          <w:sz w:val="24"/>
          <w:szCs w:val="24"/>
        </w:rPr>
      </w:pPr>
      <w:r w:rsidRPr="00051753">
        <w:t>Energetický výzkum je obsažen ve 2 agenturách OECD – IEA (International Energy Agency) a NEA (Nuclear Energy Agency).</w:t>
      </w:r>
    </w:p>
    <w:p w:rsidR="00051753" w:rsidRPr="00051753" w:rsidRDefault="00051753" w:rsidP="00BC5587">
      <w:pPr>
        <w:spacing w:before="120" w:after="0" w:line="276" w:lineRule="auto"/>
        <w:rPr>
          <w:rFonts w:ascii="Times New Roman" w:hAnsi="Times New Roman"/>
          <w:color w:val="auto"/>
          <w:sz w:val="24"/>
          <w:szCs w:val="24"/>
        </w:rPr>
      </w:pPr>
      <w:r w:rsidRPr="00051753">
        <w:t>V rámci IEA se nejedná o významně o vlastní výzkum a vývoj, ale o srovnávání výsledků výzkumně-vývojových projektů participujících subjektů a zemí a z toho odvození dodatečné přidané hodnoty (benchmarks, nejlepší praxe, odvozování standardů, atd.). Hlavními oblastmi spolupráce jsou:</w:t>
      </w:r>
    </w:p>
    <w:p w:rsidR="00051753" w:rsidRPr="000D59FC" w:rsidRDefault="00051753" w:rsidP="00BC5587">
      <w:pPr>
        <w:pStyle w:val="Odstavecseseznamem"/>
        <w:numPr>
          <w:ilvl w:val="0"/>
          <w:numId w:val="35"/>
        </w:numPr>
        <w:spacing w:before="120" w:after="0" w:line="276" w:lineRule="auto"/>
        <w:rPr>
          <w:rFonts w:ascii="Arial" w:hAnsi="Arial"/>
        </w:rPr>
      </w:pPr>
      <w:r w:rsidRPr="00051753">
        <w:t>Finální užití energie v budovách</w:t>
      </w:r>
    </w:p>
    <w:p w:rsidR="00051753" w:rsidRPr="000D59FC" w:rsidRDefault="00051753" w:rsidP="00BC5587">
      <w:pPr>
        <w:pStyle w:val="Odstavecseseznamem"/>
        <w:numPr>
          <w:ilvl w:val="0"/>
          <w:numId w:val="35"/>
        </w:numPr>
        <w:spacing w:before="120" w:after="0" w:line="276" w:lineRule="auto"/>
        <w:rPr>
          <w:rFonts w:ascii="Arial" w:hAnsi="Arial"/>
        </w:rPr>
      </w:pPr>
      <w:r w:rsidRPr="00051753">
        <w:t>Finální užití energie v průmyslu</w:t>
      </w:r>
    </w:p>
    <w:p w:rsidR="00051753" w:rsidRPr="000D59FC" w:rsidRDefault="00051753" w:rsidP="00BC5587">
      <w:pPr>
        <w:pStyle w:val="Odstavecseseznamem"/>
        <w:numPr>
          <w:ilvl w:val="0"/>
          <w:numId w:val="35"/>
        </w:numPr>
        <w:spacing w:before="120" w:after="0" w:line="276" w:lineRule="auto"/>
        <w:rPr>
          <w:rFonts w:ascii="Arial" w:hAnsi="Arial"/>
        </w:rPr>
      </w:pPr>
      <w:r w:rsidRPr="00051753">
        <w:t>Finální užití energie v dopravě</w:t>
      </w:r>
    </w:p>
    <w:p w:rsidR="00051753" w:rsidRPr="000D59FC" w:rsidRDefault="00051753" w:rsidP="00BC5587">
      <w:pPr>
        <w:pStyle w:val="Odstavecseseznamem"/>
        <w:numPr>
          <w:ilvl w:val="0"/>
          <w:numId w:val="35"/>
        </w:numPr>
        <w:spacing w:before="120" w:after="0" w:line="276" w:lineRule="auto"/>
        <w:rPr>
          <w:rFonts w:ascii="Arial" w:hAnsi="Arial"/>
        </w:rPr>
      </w:pPr>
      <w:r w:rsidRPr="00051753">
        <w:t>Fosilní paliva</w:t>
      </w:r>
    </w:p>
    <w:p w:rsidR="00051753" w:rsidRPr="000D59FC" w:rsidRDefault="00051753" w:rsidP="00BC5587">
      <w:pPr>
        <w:pStyle w:val="Odstavecseseznamem"/>
        <w:numPr>
          <w:ilvl w:val="0"/>
          <w:numId w:val="35"/>
        </w:numPr>
        <w:spacing w:before="120" w:after="0" w:line="276" w:lineRule="auto"/>
        <w:rPr>
          <w:rFonts w:ascii="Arial" w:hAnsi="Arial"/>
        </w:rPr>
      </w:pPr>
      <w:r w:rsidRPr="00051753">
        <w:t>Fúzní energie</w:t>
      </w:r>
    </w:p>
    <w:p w:rsidR="00051753" w:rsidRPr="000D59FC" w:rsidRDefault="00051753" w:rsidP="00BC5587">
      <w:pPr>
        <w:pStyle w:val="Odstavecseseznamem"/>
        <w:numPr>
          <w:ilvl w:val="0"/>
          <w:numId w:val="35"/>
        </w:numPr>
        <w:spacing w:before="120" w:after="0" w:line="276" w:lineRule="auto"/>
        <w:rPr>
          <w:rFonts w:ascii="Arial" w:hAnsi="Arial"/>
        </w:rPr>
      </w:pPr>
      <w:r w:rsidRPr="00051753">
        <w:t>Obnovitelné zdroje energie a vodík</w:t>
      </w:r>
    </w:p>
    <w:p w:rsidR="00051753" w:rsidRPr="000D59FC" w:rsidRDefault="00051753" w:rsidP="00BC5587">
      <w:pPr>
        <w:pStyle w:val="Odstavecseseznamem"/>
        <w:numPr>
          <w:ilvl w:val="0"/>
          <w:numId w:val="35"/>
        </w:numPr>
        <w:spacing w:before="120" w:after="0" w:line="276" w:lineRule="auto"/>
        <w:rPr>
          <w:rFonts w:ascii="Arial" w:hAnsi="Arial"/>
        </w:rPr>
      </w:pPr>
      <w:r w:rsidRPr="00051753">
        <w:t>Řízení spotřeby a smart grids</w:t>
      </w:r>
    </w:p>
    <w:p w:rsidR="00051753" w:rsidRPr="000D59FC" w:rsidRDefault="00051753" w:rsidP="00BC5587">
      <w:pPr>
        <w:pStyle w:val="Odstavecseseznamem"/>
        <w:numPr>
          <w:ilvl w:val="0"/>
          <w:numId w:val="35"/>
        </w:numPr>
        <w:spacing w:before="120" w:after="0" w:line="276" w:lineRule="auto"/>
        <w:rPr>
          <w:rFonts w:ascii="Arial" w:hAnsi="Arial"/>
        </w:rPr>
      </w:pPr>
      <w:r w:rsidRPr="00051753">
        <w:t>Průřezová témata</w:t>
      </w:r>
    </w:p>
    <w:p w:rsidR="00051753" w:rsidRPr="00051753" w:rsidRDefault="00051753" w:rsidP="00BC5587">
      <w:pPr>
        <w:spacing w:before="120" w:after="0" w:line="276" w:lineRule="auto"/>
        <w:rPr>
          <w:rFonts w:ascii="Times New Roman" w:hAnsi="Times New Roman"/>
          <w:color w:val="auto"/>
          <w:sz w:val="24"/>
          <w:szCs w:val="24"/>
        </w:rPr>
      </w:pPr>
      <w:r w:rsidRPr="00051753">
        <w:t>V současné době je aktivních v rámci těchto oblastí 40 technologických kolaborativních programů (TCP). Účast organizací a zástupců z ČR byla dosud velmi malá: ČEZ se účastnil jako průmyslový partner v Greenhouse Gas R&amp;D Programme od 2008 do konce 2013, VŠB-TU a ČVUT v Praze se účastní programu Fluidized bed conversion a sporadická je účast v programech energetické účinnosti (VUT v Brně).</w:t>
      </w:r>
    </w:p>
    <w:p w:rsidR="00051753" w:rsidRPr="00094B57" w:rsidRDefault="00051753" w:rsidP="00BC5587">
      <w:pPr>
        <w:pStyle w:val="Zvraznnnormln"/>
        <w:spacing w:after="0" w:line="276" w:lineRule="auto"/>
        <w:rPr>
          <w:rFonts w:ascii="Times New Roman" w:hAnsi="Times New Roman"/>
          <w:color w:val="auto"/>
          <w:sz w:val="24"/>
          <w:szCs w:val="24"/>
        </w:rPr>
      </w:pPr>
      <w:r w:rsidRPr="00094B57">
        <w:t>Národní programy podpory</w:t>
      </w:r>
    </w:p>
    <w:p w:rsidR="00051753" w:rsidRPr="00051753" w:rsidRDefault="00051753" w:rsidP="00BC5587">
      <w:pPr>
        <w:spacing w:before="120" w:after="0" w:line="276" w:lineRule="auto"/>
        <w:rPr>
          <w:rFonts w:ascii="Times New Roman" w:hAnsi="Times New Roman"/>
          <w:color w:val="auto"/>
          <w:sz w:val="24"/>
          <w:szCs w:val="24"/>
        </w:rPr>
      </w:pPr>
      <w:r w:rsidRPr="00051753">
        <w:t xml:space="preserve">Cílem stručné analýzy je poukázat na nedostatečnost veřejné podpory energetického výzkumu a vývoje v ČR ve srovnání s ekvivalentními státy (Rakousko, Belgie, Holandsko, Dánsko, Švédsko, </w:t>
      </w:r>
      <w:r w:rsidRPr="00051753">
        <w:lastRenderedPageBreak/>
        <w:t>Finsko), ale rovněž poukázat na stav a praxi ve velkých státech (Německo, Velká Británie, Francie). Speciálním tématem je pak jaderný výzkum.  </w:t>
      </w:r>
    </w:p>
    <w:p w:rsidR="00051753" w:rsidRPr="00051753" w:rsidRDefault="00051753" w:rsidP="00BC5587">
      <w:pPr>
        <w:spacing w:before="120" w:after="0" w:line="276" w:lineRule="auto"/>
        <w:rPr>
          <w:rFonts w:ascii="Times New Roman" w:hAnsi="Times New Roman"/>
          <w:color w:val="auto"/>
          <w:sz w:val="24"/>
          <w:szCs w:val="24"/>
        </w:rPr>
      </w:pPr>
      <w:r w:rsidRPr="00051753">
        <w:t>Odhady veřejné podpory energeticky orientovaného výzkumu a vývoje ve vybraných zemích:</w:t>
      </w:r>
    </w:p>
    <w:tbl>
      <w:tblPr>
        <w:tblW w:w="0" w:type="auto"/>
        <w:jc w:val="center"/>
        <w:tblCellMar>
          <w:top w:w="15" w:type="dxa"/>
          <w:left w:w="15" w:type="dxa"/>
          <w:bottom w:w="15" w:type="dxa"/>
          <w:right w:w="15" w:type="dxa"/>
        </w:tblCellMar>
        <w:tblLook w:val="04A0" w:firstRow="1" w:lastRow="0" w:firstColumn="1" w:lastColumn="0" w:noHBand="0" w:noVBand="1"/>
      </w:tblPr>
      <w:tblGrid>
        <w:gridCol w:w="1135"/>
        <w:gridCol w:w="2318"/>
      </w:tblGrid>
      <w:tr w:rsidR="00051753" w:rsidRPr="00051753" w:rsidTr="00020305">
        <w:trPr>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rsidR="00051753" w:rsidRPr="005A1F36" w:rsidRDefault="00051753" w:rsidP="00BC5587">
            <w:pPr>
              <w:spacing w:before="120" w:after="0" w:line="276" w:lineRule="auto"/>
              <w:rPr>
                <w:rFonts w:ascii="Times New Roman" w:hAnsi="Times New Roman"/>
                <w:b/>
                <w:color w:val="auto"/>
                <w:sz w:val="24"/>
                <w:szCs w:val="24"/>
              </w:rPr>
            </w:pPr>
            <w:r w:rsidRPr="005A1F36">
              <w:rPr>
                <w:b/>
              </w:rPr>
              <w:t>Stát</w:t>
            </w:r>
          </w:p>
        </w:tc>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rsidR="00051753" w:rsidRPr="005A1F36" w:rsidRDefault="00051753" w:rsidP="00BC5587">
            <w:pPr>
              <w:spacing w:before="120" w:after="0" w:line="276" w:lineRule="auto"/>
              <w:rPr>
                <w:rFonts w:ascii="Times New Roman" w:hAnsi="Times New Roman"/>
                <w:b/>
                <w:color w:val="auto"/>
                <w:sz w:val="24"/>
                <w:szCs w:val="24"/>
              </w:rPr>
            </w:pPr>
            <w:r w:rsidRPr="005A1F36">
              <w:rPr>
                <w:b/>
              </w:rPr>
              <w:t>Ekvivalent v Kč / rok</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Belgie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2,5 mld. Kč</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Dánsko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3,8 mld. Kč</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Nizozemí</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4,0 mld. Kč</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Finsko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6,4 ml</w:t>
            </w:r>
            <w:r w:rsidR="005A1F36">
              <w:t>d</w:t>
            </w:r>
            <w:r w:rsidRPr="00051753">
              <w:t>. Kč</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Švédsko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4,7 mld. Kč</w:t>
            </w:r>
          </w:p>
        </w:tc>
      </w:tr>
      <w:tr w:rsidR="00051753" w:rsidRPr="00051753" w:rsidTr="00FC7BC8">
        <w:trPr>
          <w:jc w:val="center"/>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Rakousko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051753" w:rsidRPr="00051753" w:rsidRDefault="00051753" w:rsidP="00BC5587">
            <w:pPr>
              <w:spacing w:before="120" w:after="0" w:line="276" w:lineRule="auto"/>
              <w:rPr>
                <w:rFonts w:ascii="Times New Roman" w:hAnsi="Times New Roman"/>
                <w:color w:val="auto"/>
                <w:sz w:val="24"/>
                <w:szCs w:val="24"/>
              </w:rPr>
            </w:pPr>
            <w:r w:rsidRPr="00051753">
              <w:t>3 mld. Kč</w:t>
            </w:r>
          </w:p>
        </w:tc>
      </w:tr>
    </w:tbl>
    <w:p w:rsidR="00D91091" w:rsidRPr="00231145" w:rsidRDefault="00051753" w:rsidP="00231145">
      <w:pPr>
        <w:spacing w:before="120" w:after="0" w:line="276" w:lineRule="auto"/>
        <w:rPr>
          <w:rFonts w:ascii="Times New Roman" w:hAnsi="Times New Roman"/>
          <w:color w:val="auto"/>
          <w:sz w:val="24"/>
          <w:szCs w:val="24"/>
        </w:rPr>
      </w:pPr>
      <w:r w:rsidRPr="00051753">
        <w:t>Tyto údaje je nutné brát pouze jako indikativní, protože nelze přesně vydělit kategorie používané v ČR (institucionální a účelová podpora</w:t>
      </w:r>
      <w:r w:rsidR="00231145">
        <w:t>, základní a aplikovaný výzkum</w:t>
      </w:r>
      <w:r w:rsidRPr="00051753">
        <w:t>). Lze však usuzovat, že většina výdajů spadá do kategorie účelové podpory.</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Rakousko</w:t>
      </w:r>
    </w:p>
    <w:p w:rsidR="00051753" w:rsidRPr="00051753" w:rsidRDefault="00051753" w:rsidP="00BC5587">
      <w:pPr>
        <w:spacing w:before="120" w:after="0" w:line="276" w:lineRule="auto"/>
        <w:rPr>
          <w:rFonts w:ascii="Times New Roman" w:hAnsi="Times New Roman"/>
          <w:color w:val="auto"/>
          <w:sz w:val="24"/>
          <w:szCs w:val="24"/>
        </w:rPr>
      </w:pPr>
      <w:r w:rsidRPr="00051753">
        <w:t>Základní cíle pro energetický výzkum a vývoj jsou definovány s cílem naplnění klimaticko-energetických závazků. Hlavní zdrojem finančních prostředků pro energetický výzkum a vývoj je od r. 2007 Climate and Energy Fund (spravovaný společně ministerstvy BMVIT – doprava, inovace a technologie a BMLFUW – věda, výzkum a ekonomika). Nosnými programy jsou:</w:t>
      </w:r>
    </w:p>
    <w:p w:rsidR="00051753" w:rsidRPr="000D59FC" w:rsidRDefault="00051753" w:rsidP="00BC5587">
      <w:pPr>
        <w:pStyle w:val="Odstavecseseznamem"/>
        <w:numPr>
          <w:ilvl w:val="0"/>
          <w:numId w:val="36"/>
        </w:numPr>
        <w:spacing w:before="120" w:after="0" w:line="276" w:lineRule="auto"/>
        <w:rPr>
          <w:rFonts w:ascii="Arial" w:hAnsi="Arial"/>
        </w:rPr>
      </w:pPr>
      <w:r w:rsidRPr="00051753">
        <w:t>E!Missio0n – zaměření je především na perspektivní technologie (tedy ekvivalent podprogramu 3 THÉTA), energetickou účinnost a úspory, obnovitelné zdroje, smart grids a akumulaci energie.</w:t>
      </w:r>
    </w:p>
    <w:p w:rsidR="00051753" w:rsidRPr="000D59FC" w:rsidRDefault="00051753" w:rsidP="00BC5587">
      <w:pPr>
        <w:pStyle w:val="Odstavecseseznamem"/>
        <w:numPr>
          <w:ilvl w:val="0"/>
          <w:numId w:val="36"/>
        </w:numPr>
        <w:spacing w:before="120" w:after="0" w:line="276" w:lineRule="auto"/>
        <w:rPr>
          <w:rFonts w:ascii="Arial" w:hAnsi="Arial"/>
        </w:rPr>
      </w:pPr>
      <w:r w:rsidRPr="00051753">
        <w:t>Programy Smart cities a City of tomorrow – technologie, systémy a municipální služby.</w:t>
      </w:r>
    </w:p>
    <w:p w:rsidR="00051753" w:rsidRPr="000D59FC" w:rsidRDefault="00051753" w:rsidP="00BC5587">
      <w:pPr>
        <w:pStyle w:val="Odstavecseseznamem"/>
        <w:numPr>
          <w:ilvl w:val="0"/>
          <w:numId w:val="36"/>
        </w:numPr>
        <w:spacing w:before="120" w:after="0" w:line="276" w:lineRule="auto"/>
        <w:rPr>
          <w:rFonts w:ascii="Arial" w:hAnsi="Arial"/>
        </w:rPr>
      </w:pPr>
      <w:r w:rsidRPr="00051753">
        <w:t>Klíčové aspekty budoucí mobility, především se zaměřením na elektromobilitu</w:t>
      </w:r>
    </w:p>
    <w:p w:rsidR="00051753" w:rsidRPr="00051753" w:rsidRDefault="00051753" w:rsidP="00BC5587">
      <w:pPr>
        <w:spacing w:before="120" w:after="0" w:line="276" w:lineRule="auto"/>
        <w:rPr>
          <w:rFonts w:ascii="Times New Roman" w:hAnsi="Times New Roman"/>
          <w:color w:val="auto"/>
          <w:sz w:val="24"/>
          <w:szCs w:val="24"/>
        </w:rPr>
      </w:pPr>
      <w:r w:rsidRPr="00051753">
        <w:t>Federální ministerstvo zemědělství, lesnictví, životního prostředí a vodního hospodářství financuje energetický výzkum skrz program „klima: aktiv“.</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Švédsko</w:t>
      </w:r>
    </w:p>
    <w:p w:rsidR="00051753" w:rsidRPr="00051753" w:rsidRDefault="00051753" w:rsidP="00BC5587">
      <w:pPr>
        <w:spacing w:before="120" w:after="0" w:line="276" w:lineRule="auto"/>
        <w:rPr>
          <w:rFonts w:ascii="Times New Roman" w:hAnsi="Times New Roman"/>
          <w:color w:val="auto"/>
          <w:sz w:val="24"/>
          <w:szCs w:val="24"/>
        </w:rPr>
      </w:pPr>
      <w:r w:rsidRPr="00051753">
        <w:t>Veřejná podpora výzkumu a vývoje dramaticky narostla v období 2009-2011, především díky fondům pro demonstrační projekty. Švédsko se stalo inovačním lídrem v několika oblastech jako smart grids, druhá generace kapalných biopaliv a překvapivě rovněž separace a ukládání CO2 do geologického podloží (technologie CCS).</w:t>
      </w:r>
    </w:p>
    <w:p w:rsidR="00051753" w:rsidRPr="00051753" w:rsidRDefault="00051753" w:rsidP="00BC5587">
      <w:pPr>
        <w:spacing w:before="120" w:after="0" w:line="276" w:lineRule="auto"/>
        <w:rPr>
          <w:rFonts w:ascii="Times New Roman" w:hAnsi="Times New Roman"/>
          <w:color w:val="auto"/>
          <w:sz w:val="24"/>
          <w:szCs w:val="24"/>
        </w:rPr>
      </w:pPr>
      <w:r w:rsidRPr="00051753">
        <w:t>Hlavními poskytovateli veřejné podpory jsou:</w:t>
      </w:r>
    </w:p>
    <w:p w:rsidR="00051753" w:rsidRPr="000D59FC" w:rsidRDefault="00051753" w:rsidP="00BC5587">
      <w:pPr>
        <w:pStyle w:val="Odstavecseseznamem"/>
        <w:numPr>
          <w:ilvl w:val="0"/>
          <w:numId w:val="37"/>
        </w:numPr>
        <w:spacing w:before="120" w:after="0" w:line="276" w:lineRule="auto"/>
        <w:rPr>
          <w:rFonts w:ascii="Arial" w:hAnsi="Arial"/>
        </w:rPr>
      </w:pPr>
      <w:r w:rsidRPr="00051753">
        <w:lastRenderedPageBreak/>
        <w:t>Swedish Energy Agency (SEA) – mnoho programů pokrývajících elektromobilitu, smart grids, systémové studie (general energy system studies, což je přímý ekvivalent progrogramu 1 THÉTA), obnovitelné zdroje (biomasa, vodní energie, v minulosti rovněž solární energie, což bylo následně shledáno jako nepříliš efektivní cesta) či energetické úspory. Zajímavé je, že předmětem podpory jsou i start-upy. Roční rozpočet na podporu energetického výzkumu a vývoje je min. 170 mil. EUR.</w:t>
      </w:r>
    </w:p>
    <w:p w:rsidR="00051753" w:rsidRPr="000D59FC" w:rsidRDefault="00051753" w:rsidP="00BC5587">
      <w:pPr>
        <w:pStyle w:val="Odstavecseseznamem"/>
        <w:numPr>
          <w:ilvl w:val="0"/>
          <w:numId w:val="37"/>
        </w:numPr>
        <w:spacing w:before="120" w:after="0" w:line="276" w:lineRule="auto"/>
        <w:rPr>
          <w:rFonts w:ascii="Arial" w:hAnsi="Arial"/>
        </w:rPr>
      </w:pPr>
      <w:r w:rsidRPr="00051753">
        <w:t>VINNOVA – podpora inovačního projektů a udržitelného rozvoje.</w:t>
      </w:r>
    </w:p>
    <w:p w:rsidR="00051753" w:rsidRPr="00051753" w:rsidRDefault="00051753" w:rsidP="00BC5587">
      <w:pPr>
        <w:spacing w:before="120" w:after="0" w:line="276" w:lineRule="auto"/>
        <w:rPr>
          <w:rFonts w:ascii="Times New Roman" w:hAnsi="Times New Roman"/>
          <w:color w:val="auto"/>
          <w:sz w:val="24"/>
          <w:szCs w:val="24"/>
        </w:rPr>
      </w:pPr>
      <w:r w:rsidRPr="00051753">
        <w:t>SEA od roku 2008 má mechanismus na podporu demonstračních projektů, hlavními podpořenými projekty jsou z oblasti biopaliv.</w:t>
      </w:r>
    </w:p>
    <w:p w:rsidR="00051753" w:rsidRPr="00051753" w:rsidRDefault="00051753" w:rsidP="00BC5587">
      <w:pPr>
        <w:spacing w:before="120" w:after="0" w:line="276" w:lineRule="auto"/>
        <w:rPr>
          <w:rFonts w:ascii="Times New Roman" w:hAnsi="Times New Roman"/>
          <w:color w:val="auto"/>
          <w:sz w:val="24"/>
          <w:szCs w:val="24"/>
        </w:rPr>
      </w:pPr>
      <w:r w:rsidRPr="00051753">
        <w:t>Významným prvkem jsou rovněž spolupráce veřejného a privátního sektoru, vytvořeno bylo 8 center (v jistých aspektech ekvivalenty „kompetenčních center“ jakožto typu podpor TAČR): Spalovací motory, vysokoteplotní koroze, katalýza, engineering v elektrické energii, plynová výměna, gasifikace a spalovací procesy.</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Finsko</w:t>
      </w:r>
    </w:p>
    <w:p w:rsidR="00051753" w:rsidRPr="00051753" w:rsidRDefault="00051753" w:rsidP="00BC5587">
      <w:pPr>
        <w:spacing w:before="120" w:after="0" w:line="276" w:lineRule="auto"/>
        <w:rPr>
          <w:rFonts w:ascii="Times New Roman" w:hAnsi="Times New Roman"/>
          <w:color w:val="auto"/>
          <w:sz w:val="24"/>
          <w:szCs w:val="24"/>
        </w:rPr>
      </w:pPr>
      <w:r w:rsidRPr="00051753">
        <w:t>Finsko je nejvýznamnějším podporovatelem výzkumu a vývoje (v poměru k HDP), což se rovněž reflektuje v energetickém výzkumu a vývoji (první pozice v rámci zemí OECD IEA).</w:t>
      </w:r>
    </w:p>
    <w:p w:rsidR="00051753" w:rsidRPr="00051753" w:rsidRDefault="00051753" w:rsidP="00BC5587">
      <w:pPr>
        <w:spacing w:before="120" w:after="0" w:line="276" w:lineRule="auto"/>
        <w:rPr>
          <w:rFonts w:ascii="Times New Roman" w:hAnsi="Times New Roman"/>
          <w:color w:val="auto"/>
          <w:sz w:val="24"/>
          <w:szCs w:val="24"/>
        </w:rPr>
      </w:pPr>
      <w:r w:rsidRPr="00051753">
        <w:t>Hlavními poskytovateli veřejné podpory jsou:</w:t>
      </w:r>
    </w:p>
    <w:p w:rsidR="00051753" w:rsidRPr="000D59FC" w:rsidRDefault="00051753" w:rsidP="00BC5587">
      <w:pPr>
        <w:pStyle w:val="Odstavecseseznamem"/>
        <w:numPr>
          <w:ilvl w:val="0"/>
          <w:numId w:val="38"/>
        </w:numPr>
        <w:spacing w:before="120" w:after="0" w:line="276" w:lineRule="auto"/>
        <w:rPr>
          <w:rFonts w:ascii="Arial" w:hAnsi="Arial"/>
        </w:rPr>
      </w:pPr>
      <w:r w:rsidRPr="00051753">
        <w:t>TEKES (Agentura pro technologie a inovace) - hlavními podporovanými oblastmi jsou elektro, biomasa a biorafinace, udržitelné komunity, vodíkové články a vodíková ekonomika</w:t>
      </w:r>
    </w:p>
    <w:p w:rsidR="00051753" w:rsidRPr="000D59FC" w:rsidRDefault="00051753" w:rsidP="00BC5587">
      <w:pPr>
        <w:pStyle w:val="Odstavecseseznamem"/>
        <w:numPr>
          <w:ilvl w:val="0"/>
          <w:numId w:val="38"/>
        </w:numPr>
        <w:spacing w:before="120" w:after="0" w:line="276" w:lineRule="auto"/>
        <w:rPr>
          <w:rFonts w:ascii="Arial" w:hAnsi="Arial"/>
        </w:rPr>
      </w:pPr>
      <w:r w:rsidRPr="00051753">
        <w:t>Program strategických center vědy, technologie a inovací – mezi důležitá centra patří Forestcluster (bioekonomika), Materiály a engineering, Budovy a především CLEEN (klastr pro vědu, technologie a inovace v energetice a životním prostředí vytvořený v r. 2008) – hlavními podporovanými oblasti jsou smart grids a energetické trhy, účinnost finálního užití energie, spalovací motory budoucí generace a CCS</w:t>
      </w:r>
    </w:p>
    <w:p w:rsidR="00051753" w:rsidRPr="00051753" w:rsidRDefault="00051753" w:rsidP="00BC5587">
      <w:pPr>
        <w:spacing w:before="120" w:after="0" w:line="276" w:lineRule="auto"/>
        <w:rPr>
          <w:rFonts w:ascii="Times New Roman" w:hAnsi="Times New Roman"/>
          <w:color w:val="auto"/>
          <w:sz w:val="24"/>
          <w:szCs w:val="24"/>
        </w:rPr>
      </w:pPr>
      <w:r w:rsidRPr="00051753">
        <w:t>Veřejná podpora energetického výzkumu a vývoje se pohybuje nad 250 mil. EUR/rok.</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Belgie</w:t>
      </w:r>
    </w:p>
    <w:p w:rsidR="00051753" w:rsidRPr="00051753" w:rsidRDefault="00051753" w:rsidP="00BC5587">
      <w:pPr>
        <w:spacing w:before="120" w:after="0" w:line="276" w:lineRule="auto"/>
        <w:rPr>
          <w:rFonts w:ascii="Times New Roman" w:hAnsi="Times New Roman"/>
          <w:color w:val="auto"/>
          <w:sz w:val="24"/>
          <w:szCs w:val="24"/>
        </w:rPr>
      </w:pPr>
      <w:r w:rsidRPr="00051753">
        <w:t xml:space="preserve">V Belgii je situace poněkud fragmentovaná, jelikož odráží složitější uspořádání země; </w:t>
      </w:r>
      <w:r w:rsidR="00283C55" w:rsidRPr="00051753">
        <w:t>veř</w:t>
      </w:r>
      <w:r w:rsidR="00283C55">
        <w:t>ejná podpora je poskytována prostřednictvím</w:t>
      </w:r>
      <w:r w:rsidR="00283C55" w:rsidRPr="00051753">
        <w:t>:</w:t>
      </w:r>
    </w:p>
    <w:p w:rsidR="00051753" w:rsidRPr="000D59FC" w:rsidRDefault="00051753" w:rsidP="00BC5587">
      <w:pPr>
        <w:pStyle w:val="Odstavecseseznamem"/>
        <w:numPr>
          <w:ilvl w:val="0"/>
          <w:numId w:val="39"/>
        </w:numPr>
        <w:spacing w:before="120" w:after="0" w:line="276" w:lineRule="auto"/>
        <w:rPr>
          <w:rFonts w:ascii="Arial" w:hAnsi="Arial"/>
        </w:rPr>
      </w:pPr>
      <w:r w:rsidRPr="00051753">
        <w:t>Federální vládu (skrz BELSPO) – programy udržitelného rozvoje a podpory separace a ukládání CO2 do geologického podloží (CCS), tato agentura je rovněž zodpovědná za financování federálních výzkumných institucí (v oblasti energetiky se jedná především o SCK.CEN – jaderný výzkum).</w:t>
      </w:r>
    </w:p>
    <w:p w:rsidR="00051753" w:rsidRPr="000D59FC" w:rsidRDefault="00051753" w:rsidP="00BC5587">
      <w:pPr>
        <w:pStyle w:val="Odstavecseseznamem"/>
        <w:numPr>
          <w:ilvl w:val="0"/>
          <w:numId w:val="39"/>
        </w:numPr>
        <w:spacing w:before="120" w:after="0" w:line="276" w:lineRule="auto"/>
        <w:rPr>
          <w:rFonts w:ascii="Arial" w:hAnsi="Arial"/>
        </w:rPr>
      </w:pPr>
      <w:r w:rsidRPr="00051753">
        <w:t>Region hlavního města Bruselu (skrz agenturu Innoviris)</w:t>
      </w:r>
    </w:p>
    <w:p w:rsidR="00051753" w:rsidRPr="000D59FC" w:rsidRDefault="00051753" w:rsidP="00BC5587">
      <w:pPr>
        <w:pStyle w:val="Odstavecseseznamem"/>
        <w:numPr>
          <w:ilvl w:val="0"/>
          <w:numId w:val="39"/>
        </w:numPr>
        <w:spacing w:before="120" w:after="0" w:line="276" w:lineRule="auto"/>
        <w:rPr>
          <w:rFonts w:ascii="Arial" w:hAnsi="Arial"/>
        </w:rPr>
      </w:pPr>
      <w:r w:rsidRPr="00051753">
        <w:t>Valonský region – podpora se uskutečňuje veřejnou službu regionu (části zodpovědné za výzkum a za energetiku); mechanismem podpory je především klastrace.</w:t>
      </w:r>
    </w:p>
    <w:p w:rsidR="00051753" w:rsidRPr="000D59FC" w:rsidRDefault="00051753" w:rsidP="00BC5587">
      <w:pPr>
        <w:pStyle w:val="Odstavecseseznamem"/>
        <w:numPr>
          <w:ilvl w:val="0"/>
          <w:numId w:val="39"/>
        </w:numPr>
        <w:spacing w:before="120" w:after="0" w:line="276" w:lineRule="auto"/>
        <w:rPr>
          <w:rFonts w:ascii="Arial" w:hAnsi="Arial"/>
        </w:rPr>
      </w:pPr>
      <w:r w:rsidRPr="00051753">
        <w:t>Vlámský region – mechanismus strategických výzkumných center (relevantní jsou především VITO a IMEC)</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Dánsko</w:t>
      </w:r>
    </w:p>
    <w:p w:rsidR="00051753" w:rsidRPr="00051753" w:rsidRDefault="00051753" w:rsidP="00BC5587">
      <w:pPr>
        <w:spacing w:before="120" w:after="0" w:line="276" w:lineRule="auto"/>
        <w:rPr>
          <w:rFonts w:ascii="Times New Roman" w:hAnsi="Times New Roman"/>
          <w:color w:val="auto"/>
          <w:sz w:val="24"/>
          <w:szCs w:val="24"/>
        </w:rPr>
      </w:pPr>
      <w:r w:rsidRPr="00051753">
        <w:lastRenderedPageBreak/>
        <w:t xml:space="preserve">Dlouhodobým cílem (k r. 2050) je zajistit spotřebu obnovitelnými zdroji (elektřina, teplo, doprava). Proto jsou klíčovými tématy energetická účinnost, elektrifikace a obnovitelné zdroje a z toho vyplývající nová řešení pro pokročilé systémy řízení sítí, akumulaci energie a nové kategorie OZE. Veřejná podpora zásadním způsobem narostla po r. 2006 (jen v období mezi 2006 a 2010 se zdvojnásobila) </w:t>
      </w:r>
    </w:p>
    <w:p w:rsidR="00051753" w:rsidRPr="00051753" w:rsidRDefault="00051753" w:rsidP="00BC5587">
      <w:pPr>
        <w:spacing w:before="120" w:after="0" w:line="276" w:lineRule="auto"/>
        <w:rPr>
          <w:rFonts w:ascii="Times New Roman" w:hAnsi="Times New Roman"/>
          <w:color w:val="auto"/>
          <w:sz w:val="24"/>
          <w:szCs w:val="24"/>
        </w:rPr>
      </w:pPr>
      <w:r w:rsidRPr="00051753">
        <w:t>Hlavní poskytovateli veřejné podpory jsou:</w:t>
      </w:r>
    </w:p>
    <w:p w:rsidR="00051753" w:rsidRPr="000D59FC" w:rsidRDefault="00051753" w:rsidP="00BC5587">
      <w:pPr>
        <w:pStyle w:val="Odstavecseseznamem"/>
        <w:numPr>
          <w:ilvl w:val="0"/>
          <w:numId w:val="40"/>
        </w:numPr>
        <w:spacing w:before="120" w:after="0" w:line="276" w:lineRule="auto"/>
        <w:rPr>
          <w:rFonts w:ascii="Arial" w:hAnsi="Arial"/>
        </w:rPr>
      </w:pPr>
      <w:r w:rsidRPr="00051753">
        <w:t>Dánská energetická agentura – skrz program EDDP/EUDP (partnerství veřejného a privátního sektoru), zaměření je především na demonstrační projekty.</w:t>
      </w:r>
    </w:p>
    <w:p w:rsidR="00051753" w:rsidRPr="000D59FC" w:rsidRDefault="00051753" w:rsidP="00BC5587">
      <w:pPr>
        <w:pStyle w:val="Odstavecseseznamem"/>
        <w:numPr>
          <w:ilvl w:val="0"/>
          <w:numId w:val="40"/>
        </w:numPr>
        <w:spacing w:before="120" w:after="0" w:line="276" w:lineRule="auto"/>
        <w:rPr>
          <w:rFonts w:ascii="Arial" w:hAnsi="Arial"/>
        </w:rPr>
      </w:pPr>
      <w:r w:rsidRPr="00051753">
        <w:t>Dánská rada pro strategický výzkum - skrz program strategického výzkumu pro energetiku a životní prostředí.</w:t>
      </w:r>
    </w:p>
    <w:p w:rsidR="00051753" w:rsidRPr="000D59FC" w:rsidRDefault="00051753" w:rsidP="00BC5587">
      <w:pPr>
        <w:pStyle w:val="Odstavecseseznamem"/>
        <w:numPr>
          <w:ilvl w:val="0"/>
          <w:numId w:val="40"/>
        </w:numPr>
        <w:spacing w:before="120" w:after="0" w:line="276" w:lineRule="auto"/>
        <w:rPr>
          <w:rFonts w:ascii="Arial" w:hAnsi="Arial"/>
        </w:rPr>
      </w:pPr>
      <w:r w:rsidRPr="00051753">
        <w:t>Ministerstvo pro klima, energetiku a stavebnictví (Ministry of Climate, Energy and Buildung) – prostřednictvím programů ForskNG, ForskVE a ForskEL.</w:t>
      </w:r>
    </w:p>
    <w:p w:rsidR="00051753" w:rsidRPr="00051753" w:rsidRDefault="00051753" w:rsidP="00BC5587">
      <w:pPr>
        <w:spacing w:before="120" w:after="0" w:line="276" w:lineRule="auto"/>
        <w:rPr>
          <w:rFonts w:ascii="Times New Roman" w:hAnsi="Times New Roman"/>
          <w:color w:val="auto"/>
          <w:sz w:val="24"/>
          <w:szCs w:val="24"/>
        </w:rPr>
      </w:pPr>
      <w:r w:rsidRPr="00051753">
        <w:t>Obecně jsou klíčovými oblastmi podpory využití biomasy (včetně gasifikace biomasy) a větrné energie, energetika dopravy, smart grids, akumulace energie a separace a ukládání CO2 do geologického podloží (předmětem podpory byla jak separační část, tak ukládání do vytěžených ropných polí).</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Nizozemí</w:t>
      </w:r>
    </w:p>
    <w:p w:rsidR="00051753" w:rsidRPr="00051753" w:rsidRDefault="00051753" w:rsidP="00BC5587">
      <w:pPr>
        <w:spacing w:before="120" w:after="0" w:line="276" w:lineRule="auto"/>
        <w:rPr>
          <w:rFonts w:ascii="Times New Roman" w:hAnsi="Times New Roman"/>
          <w:color w:val="auto"/>
          <w:sz w:val="24"/>
          <w:szCs w:val="24"/>
        </w:rPr>
      </w:pPr>
      <w:r w:rsidRPr="00051753">
        <w:t>Veřejná podpora energetického výzkumu a vývoje se významně zvýšila po roce 2005. Zásadními oblastmi podpory VaV jsou: biomasa a bioekonomika, off-shore wind, smart grids, využití solární energie, úspora energie v budovách, úspora energie v průmyslu a využití zemního plynu.</w:t>
      </w:r>
    </w:p>
    <w:p w:rsidR="00051753" w:rsidRPr="00051753" w:rsidRDefault="00051753" w:rsidP="00BC5587">
      <w:pPr>
        <w:spacing w:before="120" w:after="0" w:line="276" w:lineRule="auto"/>
        <w:rPr>
          <w:rFonts w:ascii="Times New Roman" w:hAnsi="Times New Roman"/>
          <w:color w:val="auto"/>
          <w:sz w:val="24"/>
          <w:szCs w:val="24"/>
        </w:rPr>
      </w:pPr>
      <w:r w:rsidRPr="00051753">
        <w:t>Recentně bylo identifikováno 8 sektorů klíčových pro konkurenceschopnost holandského hospodářství, jeden z nich je energetika (dalšími příbuznými jsou: nakládání s vodními zdroji, high-tech systémy a materiály a chemie).</w:t>
      </w:r>
    </w:p>
    <w:p w:rsidR="00051753" w:rsidRPr="00051753" w:rsidRDefault="00051753" w:rsidP="00BC5587">
      <w:pPr>
        <w:spacing w:before="120" w:after="0" w:line="276" w:lineRule="auto"/>
        <w:rPr>
          <w:rFonts w:ascii="Times New Roman" w:hAnsi="Times New Roman"/>
          <w:color w:val="auto"/>
          <w:sz w:val="24"/>
          <w:szCs w:val="24"/>
        </w:rPr>
      </w:pPr>
      <w:r w:rsidRPr="00051753">
        <w:t>Hlavními subjekty poskytující veřejnou podporu jsou (přes 300 mil. EUR/rok):</w:t>
      </w:r>
    </w:p>
    <w:p w:rsidR="00051753" w:rsidRPr="000D59FC" w:rsidRDefault="00051753" w:rsidP="00BC5587">
      <w:pPr>
        <w:pStyle w:val="Odstavecseseznamem"/>
        <w:numPr>
          <w:ilvl w:val="0"/>
          <w:numId w:val="41"/>
        </w:numPr>
        <w:spacing w:before="120" w:after="0" w:line="276" w:lineRule="auto"/>
        <w:rPr>
          <w:rFonts w:ascii="Arial" w:hAnsi="Arial"/>
        </w:rPr>
      </w:pPr>
      <w:r w:rsidRPr="00051753">
        <w:t>OCW (Ministerstvo vzdělávání, kultury a vědy) – cca 65</w:t>
      </w:r>
      <w:r w:rsidR="00B93770">
        <w:t xml:space="preserve"> </w:t>
      </w:r>
      <w:r w:rsidRPr="00051753">
        <w:t>% všech výdajů (hlavními podporovanými oblastmi byly dosud biopaliva, separace a ukládání CO2 do geologického podloží (technologie CCS), obnovitelné zdroje, výroba energie, smart grids, energetická politika, úspory energie, zemní plyn, jaderná energie a ropa. Výdaje plynou Holandskou organizaci pro vědecký výzkum (koncovými recipienty jsou výzkumné organizace a vysoké školy)</w:t>
      </w:r>
    </w:p>
    <w:p w:rsidR="00051753" w:rsidRPr="000D59FC" w:rsidRDefault="00051753" w:rsidP="00BC5587">
      <w:pPr>
        <w:pStyle w:val="Odstavecseseznamem"/>
        <w:numPr>
          <w:ilvl w:val="0"/>
          <w:numId w:val="41"/>
        </w:numPr>
        <w:spacing w:before="120" w:after="0" w:line="276" w:lineRule="auto"/>
        <w:rPr>
          <w:rFonts w:ascii="Arial" w:hAnsi="Arial"/>
        </w:rPr>
      </w:pPr>
      <w:r w:rsidRPr="00051753">
        <w:t>EZ (Ministerstvo hospodářství) – podpora se realizuje přes holandskou energetickou agenturu a napřímo pro klíčové energetické sektory</w:t>
      </w:r>
    </w:p>
    <w:p w:rsidR="00051753" w:rsidRPr="000D59FC" w:rsidRDefault="00051753" w:rsidP="00BC5587">
      <w:pPr>
        <w:pStyle w:val="Odstavecseseznamem"/>
        <w:numPr>
          <w:ilvl w:val="0"/>
          <w:numId w:val="41"/>
        </w:numPr>
        <w:spacing w:before="120" w:after="0" w:line="276" w:lineRule="auto"/>
        <w:rPr>
          <w:rFonts w:ascii="Arial" w:hAnsi="Arial"/>
        </w:rPr>
      </w:pPr>
      <w:r w:rsidRPr="00051753">
        <w:t>BZK (Ministerstvo vnitra a vztahů království)</w:t>
      </w:r>
    </w:p>
    <w:p w:rsidR="00051753" w:rsidRPr="00FC7BC8" w:rsidRDefault="00051753" w:rsidP="00BC5587">
      <w:pPr>
        <w:pStyle w:val="Zvraznnnormln"/>
        <w:spacing w:after="0" w:line="276" w:lineRule="auto"/>
        <w:rPr>
          <w:rFonts w:ascii="Times New Roman" w:hAnsi="Times New Roman"/>
          <w:color w:val="auto"/>
          <w:sz w:val="24"/>
          <w:szCs w:val="24"/>
        </w:rPr>
      </w:pPr>
      <w:r w:rsidRPr="00FC7BC8">
        <w:t>Německo</w:t>
      </w:r>
    </w:p>
    <w:p w:rsidR="00051753" w:rsidRPr="00051753" w:rsidRDefault="00051753" w:rsidP="00BC5587">
      <w:pPr>
        <w:spacing w:before="120" w:after="0" w:line="276" w:lineRule="auto"/>
        <w:rPr>
          <w:rFonts w:ascii="Times New Roman" w:hAnsi="Times New Roman"/>
          <w:color w:val="auto"/>
          <w:sz w:val="24"/>
          <w:szCs w:val="24"/>
        </w:rPr>
      </w:pPr>
      <w:r w:rsidRPr="00051753">
        <w:t>Podpora výzkumu a vývoje (a v tom energetického) byla vždy na vysoké úrovni odrážejíc průmyslový chara</w:t>
      </w:r>
      <w:r w:rsidR="003A602B">
        <w:t xml:space="preserve">kter Německa. Podpora se </w:t>
      </w:r>
      <w:proofErr w:type="spellStart"/>
      <w:r w:rsidR="003A602B">
        <w:t>realokovala</w:t>
      </w:r>
      <w:proofErr w:type="spellEnd"/>
      <w:r w:rsidRPr="00051753">
        <w:t xml:space="preserve"> v souvislosti s Energiewende.</w:t>
      </w:r>
    </w:p>
    <w:p w:rsidR="00051753" w:rsidRPr="00051753" w:rsidRDefault="00051753" w:rsidP="00BC5587">
      <w:pPr>
        <w:spacing w:before="120" w:after="0" w:line="276" w:lineRule="auto"/>
        <w:rPr>
          <w:rFonts w:ascii="Times New Roman" w:hAnsi="Times New Roman"/>
          <w:color w:val="auto"/>
          <w:sz w:val="24"/>
          <w:szCs w:val="24"/>
        </w:rPr>
      </w:pPr>
      <w:r w:rsidRPr="00051753">
        <w:t>Německá podpora energetického výzkumu a vývoje činila cca 3,5 ml. EUR v období 2011-2014. Hlavními institucemi podpory jsou ministerstva, především:</w:t>
      </w:r>
    </w:p>
    <w:p w:rsidR="00051753" w:rsidRPr="000D59FC" w:rsidRDefault="00051753" w:rsidP="00BC5587">
      <w:pPr>
        <w:pStyle w:val="Odstavecseseznamem"/>
        <w:numPr>
          <w:ilvl w:val="0"/>
          <w:numId w:val="42"/>
        </w:numPr>
        <w:spacing w:before="120" w:after="0" w:line="276" w:lineRule="auto"/>
        <w:rPr>
          <w:rFonts w:ascii="Arial" w:hAnsi="Arial"/>
        </w:rPr>
      </w:pPr>
      <w:r w:rsidRPr="00051753">
        <w:t>BMWi (Federální ministerstvo pro vědu a technologie)</w:t>
      </w:r>
    </w:p>
    <w:p w:rsidR="00051753" w:rsidRPr="000D59FC" w:rsidRDefault="00051753" w:rsidP="00BC5587">
      <w:pPr>
        <w:pStyle w:val="Odstavecseseznamem"/>
        <w:numPr>
          <w:ilvl w:val="0"/>
          <w:numId w:val="42"/>
        </w:numPr>
        <w:spacing w:before="120" w:after="0" w:line="276" w:lineRule="auto"/>
        <w:rPr>
          <w:rFonts w:ascii="Arial" w:hAnsi="Arial"/>
        </w:rPr>
      </w:pPr>
      <w:r w:rsidRPr="00051753">
        <w:lastRenderedPageBreak/>
        <w:t>BMU (Federální ministerstvo životního prostředí a reaktorové bezpečnosti)</w:t>
      </w:r>
    </w:p>
    <w:p w:rsidR="00051753" w:rsidRPr="000D59FC" w:rsidRDefault="00051753" w:rsidP="00BC5587">
      <w:pPr>
        <w:pStyle w:val="Odstavecseseznamem"/>
        <w:numPr>
          <w:ilvl w:val="0"/>
          <w:numId w:val="42"/>
        </w:numPr>
        <w:spacing w:before="120" w:after="0" w:line="276" w:lineRule="auto"/>
        <w:rPr>
          <w:rFonts w:ascii="Arial" w:hAnsi="Arial"/>
        </w:rPr>
      </w:pPr>
      <w:r w:rsidRPr="00051753">
        <w:t>BMBF (Federální ministerstvo stavebnictví a výzkumu)</w:t>
      </w:r>
    </w:p>
    <w:p w:rsidR="00051753" w:rsidRPr="00051753" w:rsidRDefault="00051753" w:rsidP="00BC5587">
      <w:pPr>
        <w:spacing w:before="120" w:after="0" w:line="276" w:lineRule="auto"/>
        <w:rPr>
          <w:rFonts w:ascii="Times New Roman" w:hAnsi="Times New Roman"/>
          <w:color w:val="auto"/>
          <w:sz w:val="24"/>
          <w:szCs w:val="24"/>
        </w:rPr>
      </w:pPr>
      <w:r w:rsidRPr="00051753">
        <w:t>Zásadními programy jsou:</w:t>
      </w:r>
    </w:p>
    <w:p w:rsidR="00051753" w:rsidRPr="000D59FC" w:rsidRDefault="00051753" w:rsidP="00BC5587">
      <w:pPr>
        <w:pStyle w:val="Odstavecseseznamem"/>
        <w:numPr>
          <w:ilvl w:val="0"/>
          <w:numId w:val="43"/>
        </w:numPr>
        <w:spacing w:before="120" w:after="0" w:line="276" w:lineRule="auto"/>
        <w:rPr>
          <w:rFonts w:ascii="Arial" w:hAnsi="Arial"/>
        </w:rPr>
      </w:pPr>
      <w:r w:rsidRPr="00051753">
        <w:t>Společná iniciativa pro akumulaci energie</w:t>
      </w:r>
    </w:p>
    <w:p w:rsidR="00051753" w:rsidRPr="000D59FC" w:rsidRDefault="00051753" w:rsidP="00BC5587">
      <w:pPr>
        <w:pStyle w:val="Odstavecseseznamem"/>
        <w:numPr>
          <w:ilvl w:val="0"/>
          <w:numId w:val="43"/>
        </w:numPr>
        <w:spacing w:before="120" w:after="0" w:line="276" w:lineRule="auto"/>
        <w:rPr>
          <w:rFonts w:ascii="Arial" w:hAnsi="Arial"/>
        </w:rPr>
      </w:pPr>
      <w:r w:rsidRPr="00051753">
        <w:t>Společná iniciativa pro budoucnost sítí</w:t>
      </w:r>
    </w:p>
    <w:p w:rsidR="00051753" w:rsidRPr="000D59FC" w:rsidRDefault="00051753" w:rsidP="00BC5587">
      <w:pPr>
        <w:pStyle w:val="Odstavecseseznamem"/>
        <w:numPr>
          <w:ilvl w:val="0"/>
          <w:numId w:val="43"/>
        </w:numPr>
        <w:spacing w:before="120" w:after="0" w:line="276" w:lineRule="auto"/>
        <w:rPr>
          <w:rFonts w:ascii="Arial" w:hAnsi="Arial"/>
        </w:rPr>
      </w:pPr>
      <w:r w:rsidRPr="00051753">
        <w:t>Národní inovační program pro vodíkové technologie a palivové články (NIP) – partnerství veřejného a privátního sektoru, 2008-2016</w:t>
      </w:r>
    </w:p>
    <w:p w:rsidR="00051753" w:rsidRPr="00051753" w:rsidRDefault="00051753" w:rsidP="00BC5587">
      <w:pPr>
        <w:spacing w:before="120" w:after="0" w:line="276" w:lineRule="auto"/>
        <w:rPr>
          <w:rFonts w:ascii="Times New Roman" w:hAnsi="Times New Roman"/>
          <w:color w:val="auto"/>
          <w:sz w:val="24"/>
          <w:szCs w:val="24"/>
        </w:rPr>
      </w:pPr>
      <w:r w:rsidRPr="00051753">
        <w:t xml:space="preserve">Specifickým rysem institucionálního uspořádání aplikovaného výzkumu a vývoje je existence sítě fraunhoferových společností (Fraunhofer-Gesellschaft zur Förderung der angewandten Forschung e. V.). Zdrojem financí jsou </w:t>
      </w:r>
      <w:r w:rsidR="00283C55" w:rsidRPr="00051753">
        <w:t>z</w:t>
      </w:r>
      <w:r w:rsidR="00B93770">
        <w:t>e </w:t>
      </w:r>
      <w:r w:rsidRPr="00051753">
        <w:t>70</w:t>
      </w:r>
      <w:r w:rsidR="00B93770">
        <w:t xml:space="preserve"> </w:t>
      </w:r>
      <w:r w:rsidRPr="00051753">
        <w:t>% kontrakty s průmyslem nebo speciální strategické kontrakty s vládou, zbytek pak tvoří granty z federální vlády a zemských vlád.</w:t>
      </w:r>
    </w:p>
    <w:p w:rsidR="00051753" w:rsidRPr="00051753" w:rsidRDefault="00051753" w:rsidP="00BC5587">
      <w:pPr>
        <w:spacing w:before="120" w:after="0" w:line="276" w:lineRule="auto"/>
        <w:rPr>
          <w:rFonts w:ascii="Times New Roman" w:hAnsi="Times New Roman"/>
          <w:color w:val="auto"/>
          <w:sz w:val="24"/>
          <w:szCs w:val="24"/>
        </w:rPr>
      </w:pPr>
      <w:r w:rsidRPr="00051753">
        <w:t>Veřejné výdaje na energeticky orientovaný výzkum a vývoj dosahují téměř 1 mld. EUR/rok</w:t>
      </w:r>
    </w:p>
    <w:p w:rsidR="00051753" w:rsidRPr="00F51F10" w:rsidRDefault="00051753" w:rsidP="00BC5587">
      <w:pPr>
        <w:pStyle w:val="Zvraznnnormln"/>
        <w:spacing w:after="0" w:line="276" w:lineRule="auto"/>
      </w:pPr>
      <w:r w:rsidRPr="00F51F10">
        <w:t>Spojené království</w:t>
      </w:r>
    </w:p>
    <w:p w:rsidR="00051753" w:rsidRPr="00051753" w:rsidRDefault="00051753" w:rsidP="00BC5587">
      <w:pPr>
        <w:spacing w:before="120" w:after="0" w:line="276" w:lineRule="auto"/>
        <w:rPr>
          <w:rFonts w:ascii="Times New Roman" w:hAnsi="Times New Roman"/>
          <w:color w:val="auto"/>
          <w:sz w:val="24"/>
          <w:szCs w:val="24"/>
        </w:rPr>
      </w:pPr>
      <w:r w:rsidRPr="00051753">
        <w:t>Nízkouhlíkové technologie ve výrobě energie a dopravě je středobodem energetické koncepce Velké Británie (a přetransformováno i do oblasti výzkumu a vývoje), avšak s jasným důrazem na ekonomický růst a konkurenceschopnost.</w:t>
      </w:r>
    </w:p>
    <w:p w:rsidR="00051753" w:rsidRPr="00051753" w:rsidRDefault="00051753" w:rsidP="00BC5587">
      <w:pPr>
        <w:spacing w:before="120" w:after="0" w:line="276" w:lineRule="auto"/>
        <w:rPr>
          <w:rFonts w:ascii="Times New Roman" w:hAnsi="Times New Roman"/>
          <w:color w:val="auto"/>
          <w:sz w:val="24"/>
          <w:szCs w:val="24"/>
        </w:rPr>
      </w:pPr>
      <w:r w:rsidRPr="00051753">
        <w:t>Hlavní subjekty pro poskytování veřejné podpory jsou:</w:t>
      </w:r>
    </w:p>
    <w:p w:rsidR="00051753" w:rsidRPr="000D59FC" w:rsidRDefault="00051753" w:rsidP="00BC5587">
      <w:pPr>
        <w:pStyle w:val="Odstavecseseznamem"/>
        <w:numPr>
          <w:ilvl w:val="0"/>
          <w:numId w:val="44"/>
        </w:numPr>
        <w:spacing w:before="120" w:after="0" w:line="276" w:lineRule="auto"/>
        <w:rPr>
          <w:rFonts w:ascii="Arial" w:hAnsi="Arial"/>
        </w:rPr>
      </w:pPr>
      <w:r w:rsidRPr="00051753">
        <w:t>Research Councils UK – energetický program (EPSRC) v objemu cca 130 mil. GBP je zaměřen na široké spektrum oblastí – obnovitelné zdroje, jadernou energetiku, separace a ukládání CO2 do geologického podloží a nízkouhlíková doprava.</w:t>
      </w:r>
    </w:p>
    <w:p w:rsidR="00051753" w:rsidRPr="000D59FC" w:rsidRDefault="00051753" w:rsidP="00BC5587">
      <w:pPr>
        <w:pStyle w:val="Odstavecseseznamem"/>
        <w:numPr>
          <w:ilvl w:val="0"/>
          <w:numId w:val="44"/>
        </w:numPr>
        <w:spacing w:before="120" w:after="0" w:line="276" w:lineRule="auto"/>
        <w:rPr>
          <w:rFonts w:ascii="Arial" w:hAnsi="Arial"/>
        </w:rPr>
      </w:pPr>
      <w:r w:rsidRPr="00051753">
        <w:t>Energy Technology Institute (ETI) – podstatou je partnerství privátního a veřejného sektoru, reprezentovaného globálními hráči v energetice a inženýrinku (BP, Shell, EDF Energy, Caterpillar, Rolls-Royce) a britskou vládou. Předmětem podpory jsou jednak programy technologického vývoje, jednak strategické a systémové modelování (ekvivalent podprogramu 1 THÉTA). Technologickými oblastmi jsou distribuovaná energie, budovy, distribuce a akumulace energie, separace a ukládání CO2 do geologického podloží, smart systému pro elektriku a teplo, doprava a bioenergie. Roční rozpočet je cca 60 mil. GBP.</w:t>
      </w:r>
    </w:p>
    <w:p w:rsidR="00051753" w:rsidRPr="000D59FC" w:rsidRDefault="00051753" w:rsidP="00BC5587">
      <w:pPr>
        <w:pStyle w:val="Odstavecseseznamem"/>
        <w:numPr>
          <w:ilvl w:val="0"/>
          <w:numId w:val="44"/>
        </w:numPr>
        <w:spacing w:before="120" w:after="0" w:line="276" w:lineRule="auto"/>
        <w:rPr>
          <w:rFonts w:ascii="Arial" w:hAnsi="Arial"/>
        </w:rPr>
      </w:pPr>
      <w:r w:rsidRPr="00051753">
        <w:t xml:space="preserve">Carbon Trust – organizace jednak poskytuje expertízy pro snižování závislosti na uhlíkových palivech, jednak zakládání a investuje do strat-upů s inovativními nízkouhlíkovými technologiemi. </w:t>
      </w:r>
    </w:p>
    <w:p w:rsidR="00051753" w:rsidRPr="00051753" w:rsidRDefault="00051753" w:rsidP="00BC5587">
      <w:pPr>
        <w:spacing w:before="120" w:after="0" w:line="276" w:lineRule="auto"/>
        <w:rPr>
          <w:rFonts w:ascii="Times New Roman" w:hAnsi="Times New Roman"/>
          <w:color w:val="auto"/>
          <w:sz w:val="24"/>
          <w:szCs w:val="24"/>
        </w:rPr>
      </w:pPr>
      <w:r w:rsidRPr="00051753">
        <w:t>V dřívějších letech organizace strategie energetického výzkumu a DECC, po referendu o Brexitu roli přebralo Ministerstvo obchodu, energetiky a strategie průmyslu (BEIS).</w:t>
      </w:r>
    </w:p>
    <w:p w:rsidR="00051753" w:rsidRPr="00051753" w:rsidRDefault="00051753" w:rsidP="00BC5587">
      <w:pPr>
        <w:spacing w:before="120" w:after="0" w:line="276" w:lineRule="auto"/>
        <w:rPr>
          <w:rFonts w:ascii="Times New Roman" w:hAnsi="Times New Roman"/>
          <w:color w:val="auto"/>
          <w:sz w:val="24"/>
          <w:szCs w:val="24"/>
        </w:rPr>
      </w:pPr>
      <w:r w:rsidRPr="00051753">
        <w:t>Velká Británie měla v minulých desetiletích velmi silný jaderný výzkum, civilní část byla však v 90. letech minulého století redukována a privatizována, v současné době jsou činěny kroky ke zpětné konsolidaci.</w:t>
      </w:r>
    </w:p>
    <w:p w:rsidR="00051753" w:rsidRPr="00FC7BC8" w:rsidRDefault="00051753" w:rsidP="00BC5587">
      <w:pPr>
        <w:spacing w:before="120" w:after="0" w:line="276" w:lineRule="auto"/>
        <w:rPr>
          <w:rFonts w:ascii="Times New Roman" w:hAnsi="Times New Roman"/>
          <w:b/>
          <w:color w:val="auto"/>
          <w:sz w:val="24"/>
          <w:szCs w:val="24"/>
        </w:rPr>
      </w:pPr>
      <w:r w:rsidRPr="00FC7BC8">
        <w:rPr>
          <w:b/>
        </w:rPr>
        <w:t>Francie</w:t>
      </w:r>
    </w:p>
    <w:p w:rsidR="00051753" w:rsidRPr="00051753" w:rsidRDefault="00051753" w:rsidP="00BC5587">
      <w:pPr>
        <w:spacing w:before="120" w:after="0" w:line="276" w:lineRule="auto"/>
        <w:rPr>
          <w:rFonts w:ascii="Times New Roman" w:hAnsi="Times New Roman"/>
          <w:color w:val="auto"/>
          <w:sz w:val="24"/>
          <w:szCs w:val="24"/>
        </w:rPr>
      </w:pPr>
      <w:r w:rsidRPr="00051753">
        <w:lastRenderedPageBreak/>
        <w:t>Francie je charakteristická nejednoduše rozklíčovatelným institucionálním prostředím výzkumu (toky podpory), což navozuje přesvědčení, že významná část podpory se realizuje cestou, která se blíží institucionální podpoře. Hlavními institucemi podpory jsou:</w:t>
      </w:r>
    </w:p>
    <w:p w:rsidR="00051753" w:rsidRPr="000D59FC" w:rsidRDefault="00051753" w:rsidP="00BC5587">
      <w:pPr>
        <w:pStyle w:val="Odstavecseseznamem"/>
        <w:numPr>
          <w:ilvl w:val="0"/>
          <w:numId w:val="45"/>
        </w:numPr>
        <w:spacing w:before="120" w:after="0" w:line="276" w:lineRule="auto"/>
        <w:rPr>
          <w:rFonts w:ascii="Arial" w:hAnsi="Arial"/>
        </w:rPr>
      </w:pPr>
      <w:r w:rsidRPr="00051753">
        <w:t xml:space="preserve">Národní agentura výzkumu (Agence nationale de la recherche, ANR, založeno 2007) – podporuje spolupráci mezi veřejnými výzkumnými institucemi a průmyslem a rovněž mezi francouzskou a zahraniční výzkumnou sférou; participuje rovněž v ERA-Netech. Udržitelná energie je jednou z 8 tématických oblastí. </w:t>
      </w:r>
    </w:p>
    <w:p w:rsidR="00051753" w:rsidRPr="000D59FC" w:rsidRDefault="00051753" w:rsidP="00BC5587">
      <w:pPr>
        <w:pStyle w:val="Odstavecseseznamem"/>
        <w:numPr>
          <w:ilvl w:val="0"/>
          <w:numId w:val="45"/>
        </w:numPr>
        <w:spacing w:before="120" w:after="0" w:line="276" w:lineRule="auto"/>
        <w:rPr>
          <w:rFonts w:ascii="Arial" w:hAnsi="Arial"/>
        </w:rPr>
      </w:pPr>
      <w:r w:rsidRPr="00051753">
        <w:t>Environment and Energy Agency (ADEME) – zaměřuje se na financování především obnovitelných zdrojů (vč. zvýšení účinnosti a integrace do distribučních soustav).</w:t>
      </w:r>
    </w:p>
    <w:p w:rsidR="00051753" w:rsidRPr="00051753" w:rsidRDefault="00051753" w:rsidP="00BC5587">
      <w:pPr>
        <w:spacing w:before="120" w:after="0" w:line="276" w:lineRule="auto"/>
        <w:rPr>
          <w:rFonts w:ascii="Times New Roman" w:hAnsi="Times New Roman"/>
          <w:color w:val="auto"/>
          <w:sz w:val="24"/>
          <w:szCs w:val="24"/>
        </w:rPr>
      </w:pPr>
      <w:r w:rsidRPr="00051753">
        <w:t>Ve Francii je velmi rozsáhlý je jaderný výzkum koncentrovaný především do CEA (Le Commissariat à l’énergie atomique et aux énergies alternatives; záběr je jak jaderné štěpení, tak fúze), součástí je i vojenský jaderný výzkum (udržování jaderného arzenálu a ponorek); nezanedbatelnou částí je rovněž základní výzkum ve fyzice a biologii.</w:t>
      </w:r>
    </w:p>
    <w:p w:rsidR="006E38F6" w:rsidRDefault="006E38F6" w:rsidP="00BC5587">
      <w:pPr>
        <w:spacing w:before="120" w:after="0" w:line="276" w:lineRule="auto"/>
      </w:pPr>
    </w:p>
    <w:p w:rsidR="00051753" w:rsidRDefault="00051753" w:rsidP="00BC5587">
      <w:pPr>
        <w:spacing w:before="120" w:after="0" w:line="276" w:lineRule="auto"/>
      </w:pPr>
      <w:r w:rsidRPr="00051753">
        <w:t>Mimo klasické evropské a národní programy podpory existují ještě regionální formace. Jako příklad může sloužit N-INNER (severoevropský program inovativních energetických technologií), který realizuje podporu sdružujících prostředky Dánska, Finska, Islandu, Norska, Německa a Estonska.</w:t>
      </w:r>
    </w:p>
    <w:p w:rsidR="00D91091" w:rsidRDefault="00D91091" w:rsidP="00BC5587">
      <w:pPr>
        <w:spacing w:before="120" w:after="0" w:line="276" w:lineRule="auto"/>
        <w:rPr>
          <w:rFonts w:ascii="Times New Roman" w:hAnsi="Times New Roman"/>
          <w:color w:val="auto"/>
          <w:sz w:val="24"/>
          <w:szCs w:val="24"/>
        </w:rPr>
        <w:sectPr w:rsidR="00D91091" w:rsidSect="00E9455C">
          <w:pgSz w:w="11906" w:h="16838"/>
          <w:pgMar w:top="2581" w:right="1133" w:bottom="1417" w:left="1133" w:header="708" w:footer="708" w:gutter="0"/>
          <w:cols w:space="708"/>
        </w:sectPr>
      </w:pPr>
    </w:p>
    <w:p w:rsidR="00DC34B7" w:rsidRDefault="00C5621F" w:rsidP="00BC5587">
      <w:pPr>
        <w:pStyle w:val="Nadpis1"/>
        <w:spacing w:before="120" w:after="0" w:line="276" w:lineRule="auto"/>
      </w:pPr>
      <w:bookmarkStart w:id="31" w:name="_v641s6w7qs2k" w:colFirst="0" w:colLast="0"/>
      <w:bookmarkStart w:id="32" w:name="_Vazba_na_mezinárodní,"/>
      <w:bookmarkStart w:id="33" w:name="_Toc463269117"/>
      <w:bookmarkStart w:id="34" w:name="_Toc463269268"/>
      <w:bookmarkStart w:id="35" w:name="_Toc463269301"/>
      <w:bookmarkStart w:id="36" w:name="_Toc463296647"/>
      <w:bookmarkStart w:id="37" w:name="_Toc463438626"/>
      <w:bookmarkEnd w:id="31"/>
      <w:bookmarkEnd w:id="32"/>
      <w:r>
        <w:lastRenderedPageBreak/>
        <w:t xml:space="preserve">Vazba na mezinárodní a národní </w:t>
      </w:r>
      <w:r w:rsidR="00DC34B7" w:rsidRPr="00A52D2C">
        <w:t>strategie</w:t>
      </w:r>
      <w:bookmarkEnd w:id="33"/>
      <w:bookmarkEnd w:id="34"/>
      <w:bookmarkEnd w:id="35"/>
      <w:bookmarkEnd w:id="36"/>
      <w:bookmarkEnd w:id="37"/>
    </w:p>
    <w:p w:rsidR="00231145" w:rsidRDefault="00231145" w:rsidP="00231145">
      <w:pPr>
        <w:pStyle w:val="Nadpis2"/>
        <w:spacing w:before="120" w:after="0" w:line="276" w:lineRule="auto"/>
      </w:pPr>
      <w:bookmarkStart w:id="38" w:name="_Toc463269118"/>
      <w:bookmarkStart w:id="39" w:name="_Toc463269269"/>
      <w:bookmarkStart w:id="40" w:name="_Toc463269302"/>
      <w:bookmarkStart w:id="41" w:name="_Toc463296648"/>
      <w:bookmarkStart w:id="42" w:name="_Toc463438627"/>
      <w:r>
        <w:t>Horizon 2020</w:t>
      </w:r>
      <w:bookmarkEnd w:id="38"/>
      <w:bookmarkEnd w:id="39"/>
      <w:bookmarkEnd w:id="40"/>
      <w:bookmarkEnd w:id="41"/>
      <w:bookmarkEnd w:id="42"/>
    </w:p>
    <w:p w:rsidR="00051753" w:rsidRPr="00051753" w:rsidRDefault="00051753" w:rsidP="00BC5587">
      <w:pPr>
        <w:spacing w:before="120" w:after="0" w:line="276" w:lineRule="auto"/>
        <w:rPr>
          <w:rFonts w:ascii="Times New Roman" w:hAnsi="Times New Roman"/>
          <w:color w:val="auto"/>
          <w:sz w:val="24"/>
          <w:szCs w:val="24"/>
        </w:rPr>
      </w:pPr>
      <w:r w:rsidRPr="00051753">
        <w:t xml:space="preserve">Veškeré programy na podporu VaVaI vychází ze strategických cílů definovaných na EU úrovni programem “Horizont 2020 - rámcový program pro výzkum a inovace”. Jedná se o základní strategický program financující vědu, výzkum a inovace v letech 2014 - 2020 na evropské úrovni za účelem plnění </w:t>
      </w:r>
      <w:r w:rsidRPr="00051753">
        <w:rPr>
          <w:shd w:val="clear" w:color="auto" w:fill="FFFFFF"/>
        </w:rPr>
        <w:t xml:space="preserve">cílů energetické unie v oblasti výzkumu a inovací. V období 2014–2015 z něj byl uvolněn finanční příspěvek ve výši více než 9 miliard EUR na podporu výzkumu v energetice (včetně jaderné energetiky), ekologické dopravy, opatření v oblasti klimatu a účinného využívání zdrojů, biohospodářství a klíčových základních technologií. </w:t>
      </w:r>
    </w:p>
    <w:p w:rsidR="00051753" w:rsidRPr="00D91091" w:rsidRDefault="00051753" w:rsidP="00BC5587">
      <w:pPr>
        <w:pStyle w:val="Odstavecseseznamem"/>
        <w:spacing w:before="120" w:after="0" w:line="276" w:lineRule="auto"/>
        <w:rPr>
          <w:rFonts w:ascii="Times New Roman" w:hAnsi="Times New Roman"/>
          <w:color w:val="auto"/>
          <w:sz w:val="24"/>
          <w:szCs w:val="24"/>
        </w:rPr>
      </w:pPr>
      <w:r w:rsidRPr="00D91091">
        <w:rPr>
          <w:b/>
          <w:bCs/>
          <w:shd w:val="clear" w:color="auto" w:fill="FFFFFF"/>
        </w:rPr>
        <w:t>Priorita Společenské výzvy</w:t>
      </w:r>
      <w:r w:rsidRPr="00D91091">
        <w:rPr>
          <w:shd w:val="clear" w:color="auto" w:fill="FFFFFF"/>
        </w:rPr>
        <w:t xml:space="preserve"> podporuje výzkum, který směřuje k řešení zásadních otázek a problémů, s nimiž se potýká evropská společnost, mimo jiné v následujících oblastech: i) </w:t>
      </w:r>
      <w:r w:rsidRPr="00D91091">
        <w:rPr>
          <w:b/>
          <w:bCs/>
          <w:shd w:val="clear" w:color="auto" w:fill="FFFFFF"/>
        </w:rPr>
        <w:t>Zajištěná čistá a účinná energie</w:t>
      </w:r>
      <w:r w:rsidRPr="00D91091">
        <w:rPr>
          <w:shd w:val="clear" w:color="auto" w:fill="FFFFFF"/>
        </w:rPr>
        <w:t>, která se zaměřuje na přechod na spolehlivý, cenově dostupný, všeobecně přijatý, udržitelný a konkurenceschopný energetický systém a na snížení závislosti na fosilních palivech a kterou tvoří sedm oblastí: Snížení spotřeby energie a uhlíkové stopy prostřednictvím inteligentního a udržitelného využívání energie; Levné dodávky nízkouhlíkové elektřiny; Alternativní pohonné hmoty a mobilní zdroje energie; Jednotná inteligen</w:t>
      </w:r>
      <w:r w:rsidR="003A602B">
        <w:rPr>
          <w:shd w:val="clear" w:color="auto" w:fill="FFFFFF"/>
        </w:rPr>
        <w:t>tní evropská elektrická přenosová</w:t>
      </w:r>
      <w:r w:rsidRPr="00D91091">
        <w:rPr>
          <w:shd w:val="clear" w:color="auto" w:fill="FFFFFF"/>
        </w:rPr>
        <w:t xml:space="preserve"> síť; Nové znalosti a technologie; Solidní postup rozhodování a zapojení veřejnosti; Přijetí energetických inovací na trhu - program Inteligentní energie - Evropa; Ii) Inteligentní</w:t>
      </w:r>
      <w:r w:rsidRPr="00D91091">
        <w:rPr>
          <w:b/>
          <w:bCs/>
          <w:shd w:val="clear" w:color="auto" w:fill="FFFFFF"/>
        </w:rPr>
        <w:t>, ekologická a integrovaná doprava</w:t>
      </w:r>
      <w:r w:rsidRPr="00D91091">
        <w:rPr>
          <w:shd w:val="clear" w:color="auto" w:fill="FFFFFF"/>
        </w:rPr>
        <w:t xml:space="preserve">, která se zaměřuje na zavedení dopravního systému, který bude účinně využívat zdroje, bude šetrný k životnímu prostředí, bude bezpečný a funkční. Hlavní směry výzkumu tvoří mimo jiné úsporná a ekologická doprava, lepší mobilita, zvýšení bezpečnosti; iii) </w:t>
      </w:r>
      <w:r w:rsidRPr="00D91091">
        <w:rPr>
          <w:b/>
          <w:bCs/>
          <w:shd w:val="clear" w:color="auto" w:fill="FFFFFF"/>
        </w:rPr>
        <w:t>Ochrana klimatu, životní prostředí, účinné využívání zdrojů, suroviny</w:t>
      </w:r>
      <w:r w:rsidRPr="00D91091">
        <w:rPr>
          <w:shd w:val="clear" w:color="auto" w:fill="FFFFFF"/>
        </w:rPr>
        <w:t xml:space="preserve">, zaměřeného mimo jiné na dosažení účinného využívání zdrojů a udržitelných dodávek surovin a na problematiku směřování k nízkouhlíkové Evropě; iv) </w:t>
      </w:r>
      <w:r w:rsidRPr="00D91091">
        <w:rPr>
          <w:b/>
          <w:bCs/>
          <w:shd w:val="clear" w:color="auto" w:fill="FFFFFF"/>
        </w:rPr>
        <w:t xml:space="preserve">Bezpečná společnost </w:t>
      </w:r>
      <w:r w:rsidRPr="00D91091">
        <w:rPr>
          <w:shd w:val="clear" w:color="auto" w:fill="FFFFFF"/>
        </w:rPr>
        <w:t xml:space="preserve">zaměřeného mimo jiné na ochranu kritických infrastruktur, bezpečnost, včetně kybernetické bezpečnosti. </w:t>
      </w:r>
    </w:p>
    <w:p w:rsidR="00051753" w:rsidRPr="00D91091" w:rsidRDefault="00051753" w:rsidP="00BC5587">
      <w:pPr>
        <w:pStyle w:val="Odstavecseseznamem"/>
        <w:spacing w:before="120" w:after="0" w:line="276" w:lineRule="auto"/>
        <w:rPr>
          <w:rFonts w:ascii="Times New Roman" w:hAnsi="Times New Roman"/>
          <w:color w:val="auto"/>
          <w:sz w:val="24"/>
          <w:szCs w:val="24"/>
        </w:rPr>
      </w:pPr>
      <w:r w:rsidRPr="00D91091">
        <w:rPr>
          <w:b/>
          <w:bCs/>
          <w:shd w:val="clear" w:color="auto" w:fill="FFFFFF"/>
        </w:rPr>
        <w:t>Priorita Vynikající věda</w:t>
      </w:r>
      <w:r w:rsidRPr="00D91091">
        <w:rPr>
          <w:shd w:val="clear" w:color="auto" w:fill="FFFFFF"/>
        </w:rPr>
        <w:t xml:space="preserve"> podporuje excelentní výzkum, a to napříč všemi obory, a vytváří podmínky pro jeho provozování. Jedná se zejména o podporu vynikajících projektů hraničního výzkumu, vývoj nových a ambiciózních technologií a mobilitu vynikajících výzkumných pracovníků a špičkové infrastruktury. </w:t>
      </w:r>
    </w:p>
    <w:p w:rsidR="00051753" w:rsidRPr="00D91091" w:rsidRDefault="00051753" w:rsidP="00BC5587">
      <w:pPr>
        <w:pStyle w:val="Odstavecseseznamem"/>
        <w:spacing w:before="120" w:after="0" w:line="276" w:lineRule="auto"/>
        <w:rPr>
          <w:rFonts w:ascii="Times New Roman" w:hAnsi="Times New Roman"/>
          <w:color w:val="auto"/>
          <w:sz w:val="24"/>
          <w:szCs w:val="24"/>
        </w:rPr>
      </w:pPr>
      <w:r w:rsidRPr="00D91091">
        <w:rPr>
          <w:b/>
          <w:bCs/>
          <w:shd w:val="clear" w:color="auto" w:fill="FFFFFF"/>
        </w:rPr>
        <w:t>Priorita Vedoucí postavení evropského průmyslu</w:t>
      </w:r>
      <w:r w:rsidRPr="00D91091">
        <w:rPr>
          <w:shd w:val="clear" w:color="auto" w:fill="FFFFFF"/>
        </w:rPr>
        <w:t xml:space="preserve"> podporuje zlepšení konkurenceschopnosti evropského průmyslu mimo jiné prostřednictvím průmyslových a průlomových technologií v následujících směrech: ICT, nanotechnologie, pokročilé materiály, bioetchnologie, pokročilá výroby a zpracování a vesmírné technologie.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Rozpočet programu Horizont 2020 pokryje dále inciciativy jako např. EURATOM. Nařízení Rady (EURATOM) z prosince 2013 o programu Evropského společenství pro atomovou energii pro výzkum a odbornou přípravu je určeno pro období 2014 až 2018 a doplňuje program Horizont 2020.</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 xml:space="preserve">Činnosti nezbytné k dosažení cílů programu jsou rozděleny na nepřímé akce (podpora bezpečnosti jaderných systémů; dlouhodobá řešení pro nakládání s konečným jaderným odpadem; rozvoj a udržování odborných znalostí; radiační ochrana a lékařské využití záření; demonstrace </w:t>
      </w:r>
      <w:r w:rsidRPr="00051753">
        <w:rPr>
          <w:shd w:val="clear" w:color="auto" w:fill="FFFFFF"/>
        </w:rPr>
        <w:lastRenderedPageBreak/>
        <w:t xml:space="preserve">proveditelnosti jaderné syntézy; vývoj materiálů, technologií a koncepcí budoucích elektráren založených na jaderné syntéze; podpora inovací a konkurenceschopnosti průmyslu prostřednictvím přenosu technologií; dostupnost a využívání klíčových výzkumných infrastruktur; evropský program jaderné syntézy). Další část </w:t>
      </w:r>
      <w:proofErr w:type="gramStart"/>
      <w:r w:rsidRPr="00051753">
        <w:rPr>
          <w:shd w:val="clear" w:color="auto" w:fill="FFFFFF"/>
        </w:rPr>
        <w:t>tvoří</w:t>
      </w:r>
      <w:proofErr w:type="gramEnd"/>
      <w:r w:rsidRPr="00051753">
        <w:rPr>
          <w:shd w:val="clear" w:color="auto" w:fill="FFFFFF"/>
        </w:rPr>
        <w:t xml:space="preserve"> přímé akce Joint Research </w:t>
      </w:r>
      <w:proofErr w:type="gramStart"/>
      <w:r w:rsidRPr="00051753">
        <w:rPr>
          <w:shd w:val="clear" w:color="auto" w:fill="FFFFFF"/>
        </w:rPr>
        <w:t>Centre</w:t>
      </w:r>
      <w:proofErr w:type="gramEnd"/>
      <w:r w:rsidRPr="00051753">
        <w:rPr>
          <w:shd w:val="clear" w:color="auto" w:fill="FFFFFF"/>
        </w:rPr>
        <w:t xml:space="preserve"> (JRC).</w:t>
      </w:r>
    </w:p>
    <w:p w:rsidR="00DC34B7" w:rsidRDefault="000D59FC" w:rsidP="00BC5587">
      <w:pPr>
        <w:pStyle w:val="Nadpis2"/>
        <w:spacing w:before="120" w:after="0" w:line="276" w:lineRule="auto"/>
      </w:pPr>
      <w:bookmarkStart w:id="43" w:name="_enb1soboz807" w:colFirst="0" w:colLast="0"/>
      <w:bookmarkStart w:id="44" w:name="_Toc463269119"/>
      <w:bookmarkStart w:id="45" w:name="_Toc463269270"/>
      <w:bookmarkStart w:id="46" w:name="_Toc463269303"/>
      <w:bookmarkStart w:id="47" w:name="_Toc463296649"/>
      <w:bookmarkStart w:id="48" w:name="_Toc463438628"/>
      <w:bookmarkEnd w:id="43"/>
      <w:r>
        <w:t>SET PLÁN</w:t>
      </w:r>
      <w:r w:rsidR="00DC34B7" w:rsidRPr="00A52D2C">
        <w:t>/ ENERGETICKÁ UNIE</w:t>
      </w:r>
      <w:bookmarkEnd w:id="44"/>
      <w:bookmarkEnd w:id="45"/>
      <w:bookmarkEnd w:id="46"/>
      <w:bookmarkEnd w:id="47"/>
      <w:bookmarkEnd w:id="48"/>
    </w:p>
    <w:p w:rsidR="00051753" w:rsidRPr="00051753" w:rsidRDefault="00051753" w:rsidP="00BC5587">
      <w:pPr>
        <w:spacing w:before="120" w:after="0" w:line="276" w:lineRule="auto"/>
        <w:rPr>
          <w:rFonts w:ascii="Times New Roman" w:hAnsi="Times New Roman"/>
          <w:color w:val="auto"/>
          <w:sz w:val="24"/>
          <w:szCs w:val="24"/>
        </w:rPr>
      </w:pPr>
      <w:r w:rsidRPr="00051753">
        <w:t xml:space="preserve">Evropský strategický plán pro energetické technologie (SET plán) </w:t>
      </w:r>
      <w:r w:rsidRPr="00051753">
        <w:rPr>
          <w:color w:val="111111"/>
          <w:shd w:val="clear" w:color="auto" w:fill="FFFFFF"/>
        </w:rPr>
        <w:t xml:space="preserve">byl zveřejněn v listopadu roku 2007 a jeho hlavním účelem je podpora nízkouhlíkových technologií pro energetiku za účelem </w:t>
      </w:r>
      <w:r w:rsidRPr="00051753">
        <w:rPr>
          <w:shd w:val="clear" w:color="auto" w:fill="FFFFFF"/>
        </w:rPr>
        <w:t xml:space="preserve">boje proti klimatickým změnám a zlepšení bezpečnosti a konkurenceschopnosti v oblasti dodávek energie.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SET - plán má za cíl vytvořit soubor politik a opatření na podporu cíle Strategie Evropa 2020: šance pro zelenou Evropu, a to omezit do roku 2020 o 20 % množství skleníkových plynů oproti úrovni z roku 1990, zajistit 20</w:t>
      </w:r>
      <w:r w:rsidR="00B93770">
        <w:rPr>
          <w:shd w:val="clear" w:color="auto" w:fill="FFFFFF"/>
        </w:rPr>
        <w:t> </w:t>
      </w:r>
      <w:r w:rsidRPr="00051753">
        <w:rPr>
          <w:shd w:val="clear" w:color="auto" w:fill="FFFFFF"/>
        </w:rPr>
        <w:t>% podíl obnovitelných zdrojů v celkové spotřebě energie v EU a snížit celkovou primární spotřebu energie o 20 %, tj. zvýšit energetickou účinnost v Evropě o 20 %. Zároveň mají nízkouhlíkové technologie posílit konkurenceschopnost Evropy. Do roku 2050 se SET plán zaměřuje na omezení změny klimatu (globální oteplení pod 2 st. Celsia), a to zejména snížením emisí skleníkových plynů o 80 - 95 %. V říjnu 2014 schválila Evropská rada cíl do roku 2030: snížení emisí skleníkových plynů alespoň o 40 % ve srovnání s rokem 1990, výroby alespoň 27 % energie z obnovitelných zdrojů a také orientační cíl úspor energie do roku 2030. Pro rok 2020 se plánuje přezkoumání těchto cílů.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V září 2015 Komise předložila sdělení „Směrem k integrovanému strategickému plánu pro energetické technologie” s cílem modernizovat a upravit SET-plán v souladu s aktuálními základními cíli a prioritami Energetické unie. Toto sdělení představuje nový impuls pro rozvoj a rozšiřování nízkouhlíkových technologií lepší koordinací a prioritizací úsilí ve výzkumu a inovacích v celé Evropě. Komise hodlá přizpůsobit SET-plán novým výzvám prostřednictvím cílenějšího zaměření úsilí, integrovanějšího přístupu a nové řídící a správní struktury. V zájmu zajištění maximální účinnosti a dopadu SET-plánu je mimo jiné nezbytné</w:t>
      </w:r>
      <w:r w:rsidRPr="004C0EE0">
        <w:rPr>
          <w:shd w:val="clear" w:color="auto" w:fill="FFFFFF"/>
        </w:rPr>
        <w:t xml:space="preserve"> zvýšit</w:t>
      </w:r>
      <w:r w:rsidRPr="00051753">
        <w:rPr>
          <w:shd w:val="clear" w:color="auto" w:fill="FFFFFF"/>
        </w:rPr>
        <w:t xml:space="preserve"> finanční závazky členských států a soukromého sektoru a rozšířit účast zainteresovaných stran ve všech fázích výzkumu a inovací. V zájmu snižování emisí musí i do budoucna investice EU do výzkumu a inovací zahrnovat všechny technologie a celý dodavatelský řetězec technologií od materiálů až po jejich zpracování.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 xml:space="preserve">SET-plán obsahuje deset opatření, které by měly přispět ke snížení emisí skleníkových plynů v EU, nastartovat výzkum nových technologií a pomoci v dosažení cílů Lisabonské strategie, tj. zejména k urychlení transformace energetického systému, tvorbě nových pracovních míst a zajištění hospodářského růstu. Celý plán stojí na dosažení „synergického efektu“ mezi všemi zúčastněnými stranami při výzkumu, vývoji a implementaci moderních technologií do evropské ekonomiky.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 xml:space="preserve">SET plán klade dále důraz na zlepšování energetické účinnosti, zavádění vysoce výkonných technologií, vývoj “chytrých” řešení a služeb pro domácnosti a spotřebitele energie, nových materiálů a technologií užívaných v budovách, snížení energetické náročnosti evropského průmyslu, výzkum a vývoj za účelem posílení e-mobility, výzkum a vývoj v oblasti udržitelné dopravy a v oblasti zachycování a ukládání uhlíku, zvýšení bezpečnosti a kvality jaderné energetiky a celého energetického systému, na rozvoj energetiky na bázi public-private partnership, odstraňování </w:t>
      </w:r>
      <w:r w:rsidRPr="00051753">
        <w:rPr>
          <w:shd w:val="clear" w:color="auto" w:fill="FFFFFF"/>
        </w:rPr>
        <w:lastRenderedPageBreak/>
        <w:t xml:space="preserve">zbytečné administrativy nebo sjednocení mezinárodních standardů. SET plán se zaměřuje především na modernizaci energetiky ve smyslu redukce emisí CO2. </w:t>
      </w:r>
    </w:p>
    <w:p w:rsidR="00051753" w:rsidRPr="00051753" w:rsidRDefault="00051753" w:rsidP="00BC5587">
      <w:pPr>
        <w:spacing w:before="120" w:after="0" w:line="276" w:lineRule="auto"/>
        <w:rPr>
          <w:rFonts w:ascii="Times New Roman" w:hAnsi="Times New Roman"/>
          <w:color w:val="auto"/>
          <w:sz w:val="24"/>
          <w:szCs w:val="24"/>
        </w:rPr>
      </w:pPr>
      <w:r w:rsidRPr="00051753">
        <w:rPr>
          <w:shd w:val="clear" w:color="auto" w:fill="FFFFFF"/>
        </w:rPr>
        <w:t>Činnosti v oblasti výzkumu a vývoje v rámci plánu SET - plánu mají být zaměřeny na tyto specifické prvky jako pilíře evropské energetické politiky:</w:t>
      </w:r>
    </w:p>
    <w:p w:rsidR="00051753" w:rsidRPr="000D59FC" w:rsidRDefault="00051753" w:rsidP="00BC5587">
      <w:pPr>
        <w:pStyle w:val="Odstavecseseznamem"/>
        <w:numPr>
          <w:ilvl w:val="0"/>
          <w:numId w:val="46"/>
        </w:numPr>
        <w:spacing w:before="120" w:after="0" w:line="276" w:lineRule="auto"/>
        <w:rPr>
          <w:rFonts w:ascii="Arial" w:hAnsi="Arial"/>
        </w:rPr>
      </w:pPr>
      <w:r w:rsidRPr="000D59FC">
        <w:rPr>
          <w:b/>
          <w:bCs/>
        </w:rPr>
        <w:t>konkurenceschopnost</w:t>
      </w:r>
      <w:r w:rsidRPr="00051753">
        <w:t>: energetické sítě a infrastruktura, vnitřní trh a konkurenceschopnost, výzkum a inovace v odvětví energetiky,</w:t>
      </w:r>
    </w:p>
    <w:p w:rsidR="00051753" w:rsidRPr="000D59FC" w:rsidRDefault="00051753" w:rsidP="00BC5587">
      <w:pPr>
        <w:pStyle w:val="Odstavecseseznamem"/>
        <w:numPr>
          <w:ilvl w:val="0"/>
          <w:numId w:val="46"/>
        </w:numPr>
        <w:spacing w:before="120" w:after="0" w:line="276" w:lineRule="auto"/>
        <w:rPr>
          <w:rFonts w:ascii="Arial" w:hAnsi="Arial"/>
        </w:rPr>
      </w:pPr>
      <w:r w:rsidRPr="000D59FC">
        <w:rPr>
          <w:b/>
          <w:bCs/>
        </w:rPr>
        <w:t>bezpečnost dodávek</w:t>
      </w:r>
      <w:r w:rsidRPr="00051753">
        <w:t>: vnější energetická politika, ropa, zemní plyn,</w:t>
      </w:r>
    </w:p>
    <w:p w:rsidR="00051753" w:rsidRPr="00495BF7" w:rsidRDefault="00051753" w:rsidP="00BC5587">
      <w:pPr>
        <w:pStyle w:val="Odstavecseseznamem"/>
        <w:numPr>
          <w:ilvl w:val="0"/>
          <w:numId w:val="46"/>
        </w:numPr>
        <w:spacing w:before="120" w:after="0" w:line="276" w:lineRule="auto"/>
        <w:rPr>
          <w:rFonts w:ascii="Arial" w:hAnsi="Arial"/>
        </w:rPr>
      </w:pPr>
      <w:r w:rsidRPr="000D59FC">
        <w:rPr>
          <w:b/>
          <w:bCs/>
        </w:rPr>
        <w:t>klima</w:t>
      </w:r>
      <w:r w:rsidRPr="00051753">
        <w:t>: energetická účinnost, energie z obnovitelných zdrojů, zachycování a ukládání oxidu uhličitého, systém EU pro obchodování s emisemi (ETS).</w:t>
      </w:r>
    </w:p>
    <w:p w:rsidR="00495BF7" w:rsidRDefault="00495BF7" w:rsidP="00495BF7">
      <w:pPr>
        <w:spacing w:before="120" w:after="0" w:line="276" w:lineRule="auto"/>
        <w:rPr>
          <w:shd w:val="clear" w:color="auto" w:fill="FFFFFF"/>
        </w:rPr>
      </w:pPr>
      <w:r w:rsidRPr="00495BF7">
        <w:rPr>
          <w:shd w:val="clear" w:color="auto" w:fill="FFFFFF"/>
        </w:rPr>
        <w:t>Na úrovni Evropské unie pak vznikla pro sektor energetiky důležitá iniciativa tzv. Energetická unie. Za</w:t>
      </w:r>
      <w:r>
        <w:rPr>
          <w:shd w:val="clear" w:color="auto" w:fill="FFFFFF"/>
        </w:rPr>
        <w:t> </w:t>
      </w:r>
      <w:r w:rsidRPr="00495BF7">
        <w:rPr>
          <w:shd w:val="clear" w:color="auto" w:fill="FFFFFF"/>
        </w:rPr>
        <w:t>oficiální vznik Energetické unie je možné považovat 25. únor 2015, kdy Evropská komise vydala sdělení k Rámcové strategii k vytvoření odolné energetické unie s pomocí progresivní politiky v oblasti změny klimatu. V rámci tohoto sdělení bylo identifikováno pět dimenzí energetické unie, jedná se o energetickou bezpečnost; integrovaný Evropský trh, energetickou účinnost; dekarbonizaci ekonomiky a v neposlední řadě výzkum, inovace a konkurenceschopnost. Právě SET-plán by měl hrát centrální roli v evropském energetickém výzkumu a inovacích a akceleraci transformace energetického sektoru. Ve výše zmíněném sdělení pak bylo identifikováno šest základních priorit v oblasti výzkumu, inovací a konkurenceschopnosti.</w:t>
      </w:r>
    </w:p>
    <w:p w:rsidR="00495BF7" w:rsidRPr="00495BF7" w:rsidRDefault="00495BF7" w:rsidP="00495BF7">
      <w:pPr>
        <w:spacing w:before="120" w:after="0" w:line="276" w:lineRule="auto"/>
        <w:rPr>
          <w:shd w:val="clear" w:color="auto" w:fill="FFFFFF"/>
        </w:rPr>
      </w:pPr>
      <w:r w:rsidRPr="00495BF7">
        <w:rPr>
          <w:shd w:val="clear" w:color="auto" w:fill="FFFFFF"/>
        </w:rPr>
        <w:t>Dne 18. listopadu pak bylo vydáno sdělení ke stavu Energetické unie na konci roku 2015, které je první zprávou o naplňování cílů v jednotlivých dimenzích Energetické unie. Do konce roku 2016 by pak mělo vyjít sdělení věnované přímo Integrované strategii v oblasti vědy, inovací a konkurenceschopnosti, které bude zapadat do širšího rozměru Energetické unie. Program THÉTA je tedy svým způsobem reakcí na toto aktivitu na Evropské úrovni a do jisté předjímá další možné směřování a připravuje ČR na zvýšený důraz Evropské unie v této oblasti.</w:t>
      </w:r>
    </w:p>
    <w:p w:rsidR="00DC34B7" w:rsidRDefault="00DC34B7" w:rsidP="00BC5587">
      <w:pPr>
        <w:pStyle w:val="Nadpis2"/>
        <w:spacing w:before="120" w:after="0" w:line="276" w:lineRule="auto"/>
      </w:pPr>
      <w:bookmarkStart w:id="49" w:name="_jhmuo88vna5s" w:colFirst="0" w:colLast="0"/>
      <w:bookmarkStart w:id="50" w:name="_Toc463269120"/>
      <w:bookmarkStart w:id="51" w:name="_Toc463269271"/>
      <w:bookmarkStart w:id="52" w:name="_Toc463269304"/>
      <w:bookmarkStart w:id="53" w:name="_Toc463296650"/>
      <w:bookmarkStart w:id="54" w:name="_Toc463438629"/>
      <w:bookmarkEnd w:id="49"/>
      <w:r w:rsidRPr="00A52D2C">
        <w:t>NP VaVaI</w:t>
      </w:r>
      <w:bookmarkEnd w:id="50"/>
      <w:bookmarkEnd w:id="51"/>
      <w:bookmarkEnd w:id="52"/>
      <w:bookmarkEnd w:id="53"/>
      <w:bookmarkEnd w:id="54"/>
    </w:p>
    <w:p w:rsidR="00E870E4" w:rsidRPr="00E870E4" w:rsidRDefault="00E870E4" w:rsidP="00BC5587">
      <w:pPr>
        <w:spacing w:before="120" w:after="0" w:line="276" w:lineRule="auto"/>
        <w:rPr>
          <w:rFonts w:ascii="Times New Roman" w:hAnsi="Times New Roman"/>
          <w:color w:val="auto"/>
          <w:sz w:val="24"/>
          <w:szCs w:val="24"/>
        </w:rPr>
      </w:pPr>
      <w:r w:rsidRPr="00E870E4">
        <w:t>NP VaVaI na léta 2016 - 2020 představuje vrcholový strategický dokument na národní úrovni, který udává hlavní strategické směry v oblasti výzkumu, vývoje a inovací a zastřešuje ostatní související strategické dokumenty České republiky. Základním cílem NP VaVaI je zajistit rozvoj všech složek výzkumu a vývoje v České republice - základního výzkumu, aplikovaného výzkumu a experimentálního vývoje, které mají každá svou nezastupitelnou roli a využít jejich provázanosti a synergií k podpoře ekonomického, kulturního a sociálního rozvoje České republiky.</w:t>
      </w:r>
    </w:p>
    <w:p w:rsidR="00E870E4" w:rsidRPr="00E870E4" w:rsidRDefault="00E870E4" w:rsidP="00BC5587">
      <w:pPr>
        <w:spacing w:before="120" w:after="0" w:line="276" w:lineRule="auto"/>
        <w:rPr>
          <w:rFonts w:ascii="Times New Roman" w:hAnsi="Times New Roman"/>
          <w:color w:val="auto"/>
          <w:sz w:val="24"/>
          <w:szCs w:val="24"/>
        </w:rPr>
      </w:pPr>
      <w:r w:rsidRPr="00E870E4">
        <w:t>Mezi zásadní oblasti, na které by se měla politika výzkumu, vývoje a inovací v České republice od roku 2016 zaměřit patří mimo jiné vytvoření silné základny aplikovaného výzkumu a zavedení strategického a dlouhodobého dialogu o prioritách aplikovaného výzkumu.  </w:t>
      </w:r>
    </w:p>
    <w:p w:rsidR="00E870E4" w:rsidRPr="00E870E4" w:rsidRDefault="00E870E4" w:rsidP="00BC5587">
      <w:pPr>
        <w:spacing w:before="120" w:after="0" w:line="276" w:lineRule="auto"/>
        <w:rPr>
          <w:rFonts w:ascii="Times New Roman" w:hAnsi="Times New Roman"/>
          <w:color w:val="auto"/>
          <w:sz w:val="24"/>
          <w:szCs w:val="24"/>
        </w:rPr>
      </w:pPr>
      <w:r w:rsidRPr="00E870E4">
        <w:t>Klíčové potřeby/problémy jsou strukturovány do následujících pěti oblastí: i) Řízení systému VaVaI, ii) Veřejný sektor VaVaI, iii) Spolupráce soukromého a veřejného sektoru VaVaI, iv) Inovace v podnicích, v) Výzvy pro zaměření VaVaI.      </w:t>
      </w:r>
    </w:p>
    <w:p w:rsidR="00E870E4" w:rsidRDefault="00E870E4" w:rsidP="00BC5587">
      <w:pPr>
        <w:spacing w:before="120" w:after="0" w:line="276" w:lineRule="auto"/>
      </w:pPr>
      <w:r w:rsidRPr="00E870E4">
        <w:t xml:space="preserve">Program zajišťuje zacílení finančních prostředků na aktivity vedoucí k posílení výzkumné a inovační kapacity a do prioritně vytyčené perspektivní oblasti s cílem plně využít znalostní potenciál na národní </w:t>
      </w:r>
      <w:r w:rsidRPr="00E870E4">
        <w:lastRenderedPageBreak/>
        <w:t xml:space="preserve">i krajské úrovni. Z tohoto hlediska program naplňuje část úkolů NP VaVaI a pohybuje se uvnitř jejího rámce. </w:t>
      </w:r>
    </w:p>
    <w:p w:rsidR="00D5502B" w:rsidRDefault="00D5502B" w:rsidP="00BC5587">
      <w:pPr>
        <w:spacing w:before="120" w:after="0" w:line="276" w:lineRule="auto"/>
      </w:pPr>
      <w:r>
        <w:t xml:space="preserve">Zároveň NP VaVaI obsahuje návrh výzkumných témat ve vymezených odvětvích v oblasti aplikovaného výzkumu. Klíčová </w:t>
      </w:r>
      <w:r w:rsidR="00106054">
        <w:t xml:space="preserve">(obecná) </w:t>
      </w:r>
      <w:r>
        <w:t>témata za sektorovou platformu ENERGETIKA se zaměřují na analýzu možností a limitů rozvoje energetiky v ČR pro různé časové horizonty, technologie pro energetiku a jejich uplatnění v praxi a nové technologie a procesy s potenciálním významným vlivem na energetiku.</w:t>
      </w:r>
      <w:r w:rsidR="00106054">
        <w:t xml:space="preserve"> Program THÉTA se na tato témata zaměřuje, a to v jednotlivých podprogramech.</w:t>
      </w:r>
    </w:p>
    <w:p w:rsidR="00DC34B7" w:rsidRDefault="00DC34B7" w:rsidP="00BC5587">
      <w:pPr>
        <w:pStyle w:val="Nadpis2"/>
        <w:spacing w:before="120" w:after="0" w:line="276" w:lineRule="auto"/>
      </w:pPr>
      <w:bookmarkStart w:id="55" w:name="_kd8c3q551u14" w:colFirst="0" w:colLast="0"/>
      <w:bookmarkStart w:id="56" w:name="_Toc463269121"/>
      <w:bookmarkStart w:id="57" w:name="_Toc463269272"/>
      <w:bookmarkStart w:id="58" w:name="_Toc463269305"/>
      <w:bookmarkStart w:id="59" w:name="_Toc463296651"/>
      <w:bookmarkStart w:id="60" w:name="_Toc463438630"/>
      <w:bookmarkEnd w:id="55"/>
      <w:r w:rsidRPr="00A52D2C">
        <w:t>Národní RIS3 strategie</w:t>
      </w:r>
      <w:bookmarkEnd w:id="56"/>
      <w:bookmarkEnd w:id="57"/>
      <w:bookmarkEnd w:id="58"/>
      <w:bookmarkEnd w:id="59"/>
      <w:bookmarkEnd w:id="60"/>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Národní výzkumná a inovační strategie pro inteligentní specializaci České republiky (Národní RIS3 strategie) je nový strategický dokument, jehož aktualizované znění bylo vládou ČR schválená dne 11. 7. 2016.</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Cílem Národní RIS3 strategie je efektivní zacílení finančních prostředků – evropských, národních a soukromých – na aktivity vedoucí k posílení inovační kapacity a do prioritně vytyčených perspektivních oblastí s cílem zlepšit aplikační využití výzkumu a vývoje, plně využít znalostní potenciál na národní i krajské úrovni a podpořit tak snižování nezaměstnanosti a posilování konkurenceschopnosti ekonomiky. Dílčím cílem RIS3 strategie je účelné propojení akademického a podnikatelského sektoru.</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Národní RIS3 strategie identifikovala následující </w:t>
      </w:r>
      <w:r w:rsidRPr="00E870E4">
        <w:rPr>
          <w:b/>
          <w:bCs/>
          <w:shd w:val="clear" w:color="auto" w:fill="FFFFFF"/>
        </w:rPr>
        <w:t>problémové okruhy a témata v oblasti výzkumu a vývoje</w:t>
      </w:r>
      <w:r w:rsidRPr="00E870E4">
        <w:rPr>
          <w:shd w:val="clear" w:color="auto" w:fill="FFFFFF"/>
        </w:rPr>
        <w:t>: i) Nevyrovnaná kvalita veřejného výzkumu; ii) Digitální agenda a veřejný výzkum; iii) Nízká relevance a málo rozvinutá spolupráce veřejného výzkumu s aplikační sférou; Nízká mezinárodní otevřenost výzkumného prostředí v ČR; Nedostatky v řízení a správě (governance) v oblasti politiky VaV.</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Pro potřeby inteligentní specializace v ČR jsou definovány </w:t>
      </w:r>
      <w:r w:rsidRPr="00E870E4">
        <w:rPr>
          <w:b/>
          <w:bCs/>
          <w:shd w:val="clear" w:color="auto" w:fill="FFFFFF"/>
        </w:rPr>
        <w:t>společenské výzvy</w:t>
      </w:r>
      <w:r w:rsidRPr="00E870E4">
        <w:rPr>
          <w:shd w:val="clear" w:color="auto" w:fill="FFFFFF"/>
        </w:rPr>
        <w:t xml:space="preserve"> (vnější stimuly, které vytvářejí příležitost pro inovativní řešení), a to ve vazbě na trendy a cíle identifikované v rámci Národních priorit orientovaného výzkumu, experimentálního vývoje a inovací. Mezi ně patří: i) Konkurenceschopná ekonomika založená na znalostech; ii) </w:t>
      </w:r>
      <w:r w:rsidRPr="00E870E4">
        <w:rPr>
          <w:b/>
          <w:bCs/>
          <w:shd w:val="clear" w:color="auto" w:fill="FFFFFF"/>
        </w:rPr>
        <w:t>Udržitelnost energetiky a materiálových zdrojů; iii</w:t>
      </w:r>
      <w:r w:rsidRPr="00E870E4">
        <w:rPr>
          <w:shd w:val="clear" w:color="auto" w:fill="FFFFFF"/>
        </w:rPr>
        <w:t xml:space="preserve">) Prostředí pro kvalitní život; iv) Sociální a kulturní výzvy; v) Zdravá populace; vi) Bezpečná společnost.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V dokumentu jsou dále vydefinovány v souladu s definicí Key Enabling Technologies (technologie náročné na znalosti a spojené s intenzivním VaV a rychlými inovačními cykly, vysokými kapitálovými náklady a vysoce kvalifikovanými pracovními místy) znalostní domény jako soubor poznatků a technologických schopností s širokým spektrem možných aplikací v oblastech soukromé a veřejné spotřeby následovně: </w:t>
      </w:r>
    </w:p>
    <w:p w:rsidR="00E870E4" w:rsidRPr="000D59FC" w:rsidRDefault="00E870E4" w:rsidP="00BC5587">
      <w:pPr>
        <w:pStyle w:val="Odstavecseseznamem"/>
        <w:numPr>
          <w:ilvl w:val="0"/>
          <w:numId w:val="47"/>
        </w:numPr>
        <w:spacing w:before="120" w:after="0" w:line="276" w:lineRule="auto"/>
        <w:rPr>
          <w:rFonts w:ascii="Arial" w:hAnsi="Arial"/>
        </w:rPr>
      </w:pPr>
      <w:r w:rsidRPr="000D59FC">
        <w:rPr>
          <w:shd w:val="clear" w:color="auto" w:fill="FFFFFF"/>
        </w:rPr>
        <w:t xml:space="preserve">pokročilé materiály, </w:t>
      </w:r>
    </w:p>
    <w:p w:rsidR="00E870E4" w:rsidRPr="000D59FC" w:rsidRDefault="00E870E4" w:rsidP="00BC5587">
      <w:pPr>
        <w:pStyle w:val="Odstavecseseznamem"/>
        <w:numPr>
          <w:ilvl w:val="0"/>
          <w:numId w:val="47"/>
        </w:numPr>
        <w:spacing w:before="120" w:after="0" w:line="276" w:lineRule="auto"/>
        <w:rPr>
          <w:rFonts w:ascii="Arial" w:hAnsi="Arial"/>
        </w:rPr>
      </w:pPr>
      <w:r w:rsidRPr="000D59FC">
        <w:rPr>
          <w:shd w:val="clear" w:color="auto" w:fill="FFFFFF"/>
        </w:rPr>
        <w:t xml:space="preserve">nanotechnologie, mikro a nanoelektronika, </w:t>
      </w:r>
    </w:p>
    <w:p w:rsidR="00E870E4" w:rsidRPr="000D59FC" w:rsidRDefault="00E870E4" w:rsidP="00BC5587">
      <w:pPr>
        <w:pStyle w:val="Odstavecseseznamem"/>
        <w:numPr>
          <w:ilvl w:val="0"/>
          <w:numId w:val="47"/>
        </w:numPr>
        <w:spacing w:before="120" w:after="0" w:line="276" w:lineRule="auto"/>
        <w:rPr>
          <w:rFonts w:ascii="Arial" w:hAnsi="Arial"/>
        </w:rPr>
      </w:pPr>
      <w:r w:rsidRPr="000D59FC">
        <w:rPr>
          <w:shd w:val="clear" w:color="auto" w:fill="FFFFFF"/>
        </w:rPr>
        <w:t xml:space="preserve">fotonika, </w:t>
      </w:r>
    </w:p>
    <w:p w:rsidR="00E870E4" w:rsidRPr="000D59FC" w:rsidRDefault="00E870E4" w:rsidP="00BC5587">
      <w:pPr>
        <w:pStyle w:val="Odstavecseseznamem"/>
        <w:numPr>
          <w:ilvl w:val="0"/>
          <w:numId w:val="47"/>
        </w:numPr>
        <w:spacing w:before="120" w:after="0" w:line="276" w:lineRule="auto"/>
        <w:rPr>
          <w:rFonts w:ascii="Arial" w:hAnsi="Arial"/>
        </w:rPr>
      </w:pPr>
      <w:r w:rsidRPr="000D59FC">
        <w:rPr>
          <w:shd w:val="clear" w:color="auto" w:fill="FFFFFF"/>
        </w:rPr>
        <w:t xml:space="preserve">pokročilé výrobní technologie, </w:t>
      </w:r>
    </w:p>
    <w:p w:rsidR="00E870E4" w:rsidRPr="000D59FC" w:rsidRDefault="00E870E4" w:rsidP="00BC5587">
      <w:pPr>
        <w:pStyle w:val="Odstavecseseznamem"/>
        <w:numPr>
          <w:ilvl w:val="0"/>
          <w:numId w:val="47"/>
        </w:numPr>
        <w:spacing w:before="120" w:after="0" w:line="276" w:lineRule="auto"/>
        <w:rPr>
          <w:rFonts w:ascii="Arial" w:hAnsi="Arial"/>
        </w:rPr>
      </w:pPr>
      <w:r w:rsidRPr="000D59FC">
        <w:rPr>
          <w:shd w:val="clear" w:color="auto" w:fill="FFFFFF"/>
        </w:rPr>
        <w:t xml:space="preserve">průmyslové biotechnologie.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lastRenderedPageBreak/>
        <w:t xml:space="preserve">Tyto ryze technologické znalosti jsou doplněny o společenskovědní znalosti nezbytné pro netechnické inovace a o doménu znalostí pro digitální ekonomiku a kulturní a kreativní průmysly.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Veřejné investice do VaVaI mají zajistit existenci odpovídající úrovně znalostí a expertízy ve znalostních doménách, které jsou klíčové pro udržení dlouhodobé mezinárodní konkurenceschopnosti ekonomiky a mechanismy pro provázání nabídky znalostí s poptávkou uživatelů.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Mezi oblasti ekonomické specializace, kde ČR vykazuje nadprůměrný růstový potenciál, patří výroba dopravních prostředků a zařízení, strojírenství, elektronika a elektrotechnika, IT služby a software, výroba a distribuce elektrické energie, a léčiva a zdravotnické prostředky. Jedná se o aplikační oblasti, v nichž se uplatňuje vysokou mírou specifická znalost a technologické kompetence a které je vhodné do budoucna v rámci Strategie inteligentní specializace rozvíjet a posilovat.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Oblast Výroba a distribuce elektrické energie obsahuje následující podoblasti: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Výroba a přeměna energie, zařízení pro výrobu a rozvod energie;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Přenos a řízení výroby a přenosu elektrické energie, inteligentní energetické sítě;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Výkonová elektronika, silnoproudá elektrotechnika;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Jaderná energetika;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Těžba a využití uhlí;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Obnovitelné zdroje energie, energetické využití odpadů;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Energetické materiály;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Nízkouhlíkové technologie a energetické úspory; </w:t>
      </w:r>
    </w:p>
    <w:p w:rsidR="00E870E4" w:rsidRPr="000D59FC" w:rsidRDefault="00E870E4" w:rsidP="00BC5587">
      <w:pPr>
        <w:pStyle w:val="Odstavecseseznamem"/>
        <w:numPr>
          <w:ilvl w:val="0"/>
          <w:numId w:val="48"/>
        </w:numPr>
        <w:spacing w:before="120" w:after="0" w:line="276" w:lineRule="auto"/>
        <w:rPr>
          <w:rFonts w:ascii="Arial" w:hAnsi="Arial"/>
        </w:rPr>
      </w:pPr>
      <w:r w:rsidRPr="000D59FC">
        <w:rPr>
          <w:shd w:val="clear" w:color="auto" w:fill="FFFFFF"/>
        </w:rPr>
        <w:t xml:space="preserve">Energetická optimalizace činností pro uskutečnění a zabezpečení dopravy.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Vedle konkretizace aplikačních oblastí v rámci národní ekonomické a výzkumné specializace byly dále z regionální úrovně identifikovány oblasti regionálně specifické specializace, které by rovněž měly být zohledněny při nastavování budoucích intervencí při realizaci Strategie inteligentní specializace.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Na národní úrovni byla definovaná prioritní témata (viz NPOV), na jejichž výzkum bude veřejný sektor do budoucna směřovat veřejné prostředky. Jedná se o společenské výzvy, na něž bude česká společnost nucena reagovat a pro něž je nezbytné udržovat a dále rozvíjet znalostní zázemí. </w:t>
      </w:r>
      <w:r w:rsidRPr="00E870E4">
        <w:rPr>
          <w:b/>
          <w:bCs/>
          <w:shd w:val="clear" w:color="auto" w:fill="FFFFFF"/>
        </w:rPr>
        <w:t>Mezi tyto společenské výzvy, na něž budou zaměřeny intervence v oblasti výzkumu při implementaci Strategie inteligentní specializace</w:t>
      </w:r>
      <w:r w:rsidR="00A171E8">
        <w:rPr>
          <w:b/>
          <w:bCs/>
          <w:shd w:val="clear" w:color="auto" w:fill="FFFFFF"/>
        </w:rPr>
        <w:t>,</w:t>
      </w:r>
      <w:r w:rsidRPr="00E870E4">
        <w:rPr>
          <w:b/>
          <w:bCs/>
          <w:shd w:val="clear" w:color="auto" w:fill="FFFFFF"/>
        </w:rPr>
        <w:t xml:space="preserve"> patří rovněž oblast “Udržitelnost energetiky a materiálových zdrojů”</w:t>
      </w:r>
      <w:r w:rsidRPr="00E870E4">
        <w:rPr>
          <w:shd w:val="clear" w:color="auto" w:fill="FFFFFF"/>
        </w:rPr>
        <w:t xml:space="preserve">, zaměřená na udržitelnou energetiku, snižování energetické náročnosti hospodářství a materiálovou základnu.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V oblasti technologií pro výrobu elektřiny a tepla v jaderných zdrojích</w:t>
      </w:r>
      <w:r w:rsidRPr="00E870E4">
        <w:rPr>
          <w:shd w:val="clear" w:color="auto" w:fill="FFFFFF"/>
        </w:rPr>
        <w:t xml:space="preserve"> bude významným úkolem výzkumu a vývoje zejména stálé zajišťování vysoké úrovně bezpečnosti, včetně získání znalostí a potřebných nástrojů a dat ve všech potřebných oblastech k průběžnému zajištění kvalitní legislativy, dozorné činnosti SÚJB (včetně odborné podpory regulátora), potřeb provozovatelů.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Významnou oblastí výzkumu je problematika využití projektových rezerv, ať výkonnostních (včetně optimalizace palivových cyklů) či životnostních (spojeno s odvozením chování a stárnutí materiálů, komponent a zařízení). Potenciál představuje příprava dokonalejších metod zpracování a úpravy radioaktivních odpadů a dekontaminace a demontáže jaderných elektráren po ukončení provozu (včetně uplatnění robotů). Důležitým výzkumným tématem jsou i systémy IV. generace a malé a střední reaktory (SMR).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lastRenderedPageBreak/>
        <w:t>V oblasti výroby energie z fosilních paliv</w:t>
      </w:r>
      <w:r w:rsidRPr="00E870E4">
        <w:rPr>
          <w:shd w:val="clear" w:color="auto" w:fill="FFFFFF"/>
        </w:rPr>
        <w:t xml:space="preserve"> musí výzkum a vývoj zajistit potřebné nástroje pro umožnění provozu s větší flexibilitou, včetně zvýšení regulačního rozsahu zdroje (s poznáním vlivů na životnosti materiálů a zařízení a jejich údržbu), technologie k průběžnému plnění snižujících se limitů na emise z provozovaných zdrojů (především uhelných) a zvyšování jejich účinnosti (technická řešení, pokročilé modely řízení). Předmětem výzkumu by mělo být rovněž využití vedlejších energetických produktů ze spalovacích procesů uhelných zdrojů (popel, popílky, energosádrovec, apod.), především pro produkci stavebních a konstrukčních materiálů, a to včetně odvození podmínek použití nových materiálů (hodnocení dopadů škodlivých látek, návrhy testovacích metod, ekotoxikologie, atd.).  Možným směrem vývoje je také zhodnocení černého a hnědého uhlí jiným způsobem než spalováním.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V oblasti výroby a distribuce tepla</w:t>
      </w:r>
      <w:r w:rsidRPr="00E870E4">
        <w:rPr>
          <w:shd w:val="clear" w:color="auto" w:fill="FFFFFF"/>
        </w:rPr>
        <w:t xml:space="preserve"> je velkou výzvou do budoucna zefektivnění systémů, a to podle konkrétních podmínek na zdroji (výkonové rozsahy kotlů, optimální řešení pro odstraňování oxidu síry, dusíku a prachu, snížení minimálního vynucení kondenzační výroby, řešení pro multipalivové  využití, atd.) či v teplárenské síti (technické možnosti snížení ztrát, moderní systémy řízení soustavy). Vyšší pozornost by měla být věnována i procesu chlazení, resp. problematice výzkumu vhodných chladiv, která má také velký význam pro životní prostředí. Zásadními vývojovými tématy jsou rovněž akumulace energie (tepla či přebytků elektřiny v elektrizační soustavě) a „hybridizace“ soustav – efektivní částečná decentralizace systémů (synergie centrálních a decentrálních zařízení). Pozornost musí být věnována vývoji inovativních technologií malé kogenerace a mikrogenerace (zdokonalené motory, palivové články, ORC cykly, atd.), trigeneraci a výrobě a distribuci chladu a jejich ověřování praxi.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Pro nákladově </w:t>
      </w:r>
      <w:r w:rsidRPr="00E870E4">
        <w:rPr>
          <w:b/>
          <w:bCs/>
          <w:shd w:val="clear" w:color="auto" w:fill="FFFFFF"/>
        </w:rPr>
        <w:t xml:space="preserve">efektivní využití obnovitelných zdrojů </w:t>
      </w:r>
      <w:r w:rsidRPr="00E870E4">
        <w:rPr>
          <w:shd w:val="clear" w:color="auto" w:fill="FFFFFF"/>
        </w:rPr>
        <w:t xml:space="preserve">je potřebné vyvíjet a testovat takové technologie, které odpovídají podmínkám ČR. Systémy využívající biomasu mají značný potenciál – budoucí řešení jsou především v opatřování tepla v lokálním (regionálním) měřítku. Výzkum a vývoj se musí soustředit na udržitelné opatřování biomasy (zbytky a odpady z lesnictví a zemědělství), cíleně pěstovaná biomasa a její transformace do podoby vhodné pro přepravu a konečné využití.  Kotle musí být k dispozici ve všech potřebných výkonových řadách splňující budoucí požadavky (u malých kotlů ekodesign). Předmětem musí být vhodné transformační procesy biomasy ukazující nejefektivnější řešení v budoucnu. Tématy u bioplynových stanic jsou rozšiřování palivové základny a využití tepla.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 xml:space="preserve">Využití vodní energie </w:t>
      </w:r>
      <w:r w:rsidRPr="00E870E4">
        <w:rPr>
          <w:shd w:val="clear" w:color="auto" w:fill="FFFFFF"/>
        </w:rPr>
        <w:t>větších výkonů bude svázáno se zefektivněním provozu zařízení (inovativní stroje a jejich řízení) a snižováním environmentálních vlivů při výstavbě a provozu zařízení. Využití solární energie by se mělo soustředit na rozšíření střešních fotovoltaických instalací, inovativní řešení pro solární termické systémy. Akumulace tepla, atd.). Vývoj musí být rovněž soustředěn na využití tepelných čerpadel.</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Decentrální zdroje</w:t>
      </w:r>
      <w:r w:rsidRPr="00E870E4">
        <w:rPr>
          <w:shd w:val="clear" w:color="auto" w:fill="FFFFFF"/>
        </w:rPr>
        <w:t xml:space="preserve"> je nutné připravovat nejen jako izolované technologie, ale také explorovat jejich synergické fungování – např. spojování do virtuálních elektráren a zdrojů zajištění tepla. Předmětem vývoje bude také technologie power-to-gas, tj. přeměna energie na vodík nebo metan za účelem akumulace energie.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 xml:space="preserve">V oblasti elektrických sítí </w:t>
      </w:r>
      <w:r w:rsidRPr="00E870E4">
        <w:rPr>
          <w:shd w:val="clear" w:color="auto" w:fill="FFFFFF"/>
        </w:rPr>
        <w:t xml:space="preserve">bude výzkum a vývoj orientován na zabezpečení spolehlivého a bezpečného (včetně zabezpečení) provozu elektrizační soustavy – nové prvky automatizace (dálkově </w:t>
      </w:r>
      <w:r w:rsidRPr="00E870E4">
        <w:rPr>
          <w:shd w:val="clear" w:color="auto" w:fill="FFFFFF"/>
        </w:rPr>
        <w:lastRenderedPageBreak/>
        <w:t xml:space="preserve">ovládané prvky), pokročilé přístupy v diagnostice a monitoringu (prediktivní diagnostika, atd.), inteligentní měření spotřeby (smart metering) a integrace obnovitelných zdrojů, distribuované výroby a elektromobility. Zásadním tématem je optimalizace výroby a spotřeby – pokročilý load management (rozvíjení HDO) a řízení spotřeby na základě cenových a jiných motivačních signálů (demand side management / demand response).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Klíčovým prvkem mezi výrobou a spotřebou bude do budoucna </w:t>
      </w:r>
      <w:r w:rsidRPr="00E870E4">
        <w:rPr>
          <w:b/>
          <w:bCs/>
          <w:shd w:val="clear" w:color="auto" w:fill="FFFFFF"/>
        </w:rPr>
        <w:t>akumulace energie</w:t>
      </w:r>
      <w:r w:rsidRPr="00E870E4">
        <w:rPr>
          <w:shd w:val="clear" w:color="auto" w:fill="FFFFFF"/>
        </w:rPr>
        <w:t xml:space="preserve">. Důležité je proto vyvíjet a testovat systémy akumulace energie o různé fyzikální a chemické podstatě potenciálně vhodné pro danou funkcionalitu (energie a výkon; zapojení do sítě či řešení pro ostrovní provoz; Atd.) se zohledněním potenciálu pro zlevnění.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V oblasti energetických úspor</w:t>
      </w:r>
      <w:r w:rsidRPr="00E870E4">
        <w:rPr>
          <w:shd w:val="clear" w:color="auto" w:fill="FFFFFF"/>
        </w:rPr>
        <w:t xml:space="preserve"> je klíčové vyvíjet a demonstrovat prakticky uplatnitelná řešení pro koncovou spotřebu – rezidenční sféru, průmysl, služby i zemědělství. Komplexní oblastí je příprava a demonstrace integrálních řešení pro města a městské aglomerace (smart cities and regions) ve vazbě na evropské iniciativy, avšak zohledňující specifika ČR. Podstatou je synergicky integrovat výrobu a přenos energie, využití energií v budovách a energetickou náročnost dopravy, a to vše při aplikaci ICT technologií. Energetické úspory musí být zaměřeny nejen na technická řešení, ale i na obchodní modely a modely financování. Podstatné je i snížení energetické náročnosti budov.</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Oblast energie pro dopravu</w:t>
      </w:r>
      <w:r w:rsidRPr="00E870E4">
        <w:rPr>
          <w:shd w:val="clear" w:color="auto" w:fill="FFFFFF"/>
        </w:rPr>
        <w:t xml:space="preserve"> má být zaměřena na přípravu a demonstrace řešení pro širší využití  elektromobility, hybridních vozidel a na vývoj konceptů a ověřování klíčových prvků pro pohony a přepravu na bázi palivových článků. Důležitou oblastí je také vývoj nových typů biopaliv či využití vedlejších energetických produktů k budování silniční sítě a infrastruktury.</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V oblasti perspektivních energetických technologií</w:t>
      </w:r>
      <w:r w:rsidRPr="00E870E4">
        <w:rPr>
          <w:shd w:val="clear" w:color="auto" w:fill="FFFFFF"/>
        </w:rPr>
        <w:t>, k jejichž uplatnění dojde v delším časovém horizontu, bude výzkum a vývoj zaměřen např. na malé modulární reaktory pracující v oblasti vysokých teplot s vysokou bezpečností a reaktory čtvrté generace, vodíkové technologie zejména pro akumulaci energie, jaderné fúze, pokročilé technologie akumulace a transformace energie a termodynamické cykly.  </w:t>
      </w:r>
    </w:p>
    <w:p w:rsidR="00E870E4" w:rsidRPr="00E870E4" w:rsidRDefault="00E870E4" w:rsidP="00BC5587">
      <w:pPr>
        <w:spacing w:before="120" w:after="0" w:line="276" w:lineRule="auto"/>
        <w:rPr>
          <w:rFonts w:ascii="Times New Roman" w:hAnsi="Times New Roman"/>
          <w:color w:val="auto"/>
          <w:sz w:val="24"/>
          <w:szCs w:val="24"/>
        </w:rPr>
      </w:pPr>
      <w:r w:rsidRPr="00E870E4">
        <w:rPr>
          <w:b/>
          <w:bCs/>
          <w:shd w:val="clear" w:color="auto" w:fill="FFFFFF"/>
        </w:rPr>
        <w:t>Pro podporu rozhodování v oblasti energetiky</w:t>
      </w:r>
      <w:r w:rsidRPr="00E870E4">
        <w:rPr>
          <w:shd w:val="clear" w:color="auto" w:fill="FFFFFF"/>
        </w:rPr>
        <w:t xml:space="preserve"> je nezbytné disponovat kvalitními analytickými podklady, které se mohou vztahovat k jednotlivým výše uvedeným oblastem či být společné pro několik z nich. Konvenčním a větším obnovitelným zdrojům i distribuci energie je společný vývoj modelů rizikově orientovaného rozhodování (modely provozování, údržba) založených na pokročilých matematických řešeních a nakládání s daty. Dalším tématem je analýza možností a limitů rozvoje energetiky v ČR pro různé časové horizonty či modely zajištění energetické bezpečnosti a zvýšení energetické a surovinové efektivity hospodářství.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Zohledněna musí být také průřezová témata výzkumu a vývoje, kterými jsou uplatnění ICT technologií (digitalizace, big data), nové materiály a výrobní technologie (rapid prototyping,  customized manufacturing, atd.).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V oblasti nanotechnologií je zapotřebí orientovat výzkum na možnosti aplikace grafenu (grafenový  superkondenzátor) a použití nanomateriálů v konstrukci baterií (3D baterie).</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Výzkum a inovace v oblasti energetiky a nízkouhlíkových řešení jsou jednou z nejčastěji volených oblastí inteligentní specializace. Zvolilo si je více než 100 regionů EU, což znamená, že na tuto oblast budou vyčleněny značné prostředky z evropských strukturálních a investičních fondů. Tuto činnost by </w:t>
      </w:r>
      <w:r w:rsidRPr="00E870E4">
        <w:rPr>
          <w:shd w:val="clear" w:color="auto" w:fill="FFFFFF"/>
        </w:rPr>
        <w:lastRenderedPageBreak/>
        <w:t xml:space="preserve">měla podporovat platforma inteligentní specializace v oblasti energetiky, kterou Komise zřídila v roce 2015. </w:t>
      </w:r>
    </w:p>
    <w:p w:rsidR="00DC34B7" w:rsidRDefault="00DC34B7" w:rsidP="00BC5587">
      <w:pPr>
        <w:pStyle w:val="Nadpis2"/>
        <w:spacing w:before="120" w:after="0" w:line="276" w:lineRule="auto"/>
      </w:pPr>
      <w:bookmarkStart w:id="61" w:name="_npjryrkp8uxp" w:colFirst="0" w:colLast="0"/>
      <w:bookmarkStart w:id="62" w:name="_Toc463269122"/>
      <w:bookmarkStart w:id="63" w:name="_Toc463269273"/>
      <w:bookmarkStart w:id="64" w:name="_Toc463269306"/>
      <w:bookmarkStart w:id="65" w:name="_Toc463296652"/>
      <w:bookmarkStart w:id="66" w:name="_Toc463438631"/>
      <w:bookmarkEnd w:id="61"/>
      <w:r w:rsidRPr="00A52D2C">
        <w:t>NPOV</w:t>
      </w:r>
      <w:bookmarkEnd w:id="62"/>
      <w:bookmarkEnd w:id="63"/>
      <w:bookmarkEnd w:id="64"/>
      <w:bookmarkEnd w:id="65"/>
      <w:bookmarkEnd w:id="66"/>
    </w:p>
    <w:p w:rsidR="00E870E4" w:rsidRPr="00E870E4" w:rsidRDefault="00E870E4" w:rsidP="00BC5587">
      <w:pPr>
        <w:spacing w:before="120" w:after="0" w:line="276" w:lineRule="auto"/>
        <w:rPr>
          <w:rFonts w:ascii="Times New Roman" w:hAnsi="Times New Roman"/>
          <w:color w:val="auto"/>
          <w:sz w:val="24"/>
          <w:szCs w:val="24"/>
        </w:rPr>
      </w:pPr>
      <w:r w:rsidRPr="00E870E4">
        <w:t xml:space="preserve">Národní priority orientovaného výzkumu, experimentálního vývoje a inovací (NPOV) navazují na cíle a aktivity Národní politiky výzkumu, vývoje a inovací ČR na léta 2009 - 2015 a formulují priority pro strategické orientování aplikovaného, ale i části základního, VaVaI do oblastí, které napomohou řešit zásadní problémy a výzvy ČR a umožní využít potenciální příležitosti pro vyvážený rozvoj ČR. Jejich aplikací dojde k efektivnějšímu využívání veřejných prostředků na účelovou podporu VaVaI. </w:t>
      </w:r>
    </w:p>
    <w:p w:rsidR="00E870E4" w:rsidRPr="00E870E4" w:rsidRDefault="00E870E4" w:rsidP="00BC5587">
      <w:pPr>
        <w:spacing w:before="120" w:after="0" w:line="276" w:lineRule="auto"/>
        <w:rPr>
          <w:rFonts w:ascii="Times New Roman" w:hAnsi="Times New Roman"/>
          <w:color w:val="auto"/>
          <w:sz w:val="24"/>
          <w:szCs w:val="24"/>
        </w:rPr>
      </w:pPr>
      <w:r w:rsidRPr="00E870E4">
        <w:t xml:space="preserve">Priority VaVaI jsou navrženy na období do roku 2030, nově se stanou součástí NP VaVaI a budou následně mimo jiné využívány při přípravě programů VaVaI pro poskytování účelové podpory. </w:t>
      </w:r>
    </w:p>
    <w:p w:rsidR="00E870E4" w:rsidRPr="00E870E4" w:rsidRDefault="00E870E4" w:rsidP="00BC5587">
      <w:pPr>
        <w:spacing w:before="120" w:after="0" w:line="276" w:lineRule="auto"/>
        <w:rPr>
          <w:rFonts w:ascii="Times New Roman" w:hAnsi="Times New Roman"/>
          <w:color w:val="auto"/>
          <w:sz w:val="24"/>
          <w:szCs w:val="24"/>
        </w:rPr>
      </w:pPr>
      <w:r w:rsidRPr="00E870E4">
        <w:rPr>
          <w:b/>
          <w:bCs/>
        </w:rPr>
        <w:t>Program plní cíle prioritní oblasti “Udržitelnost energetiky a materiálových zdrojů” NPOV</w:t>
      </w:r>
      <w:r w:rsidRPr="00E870E4">
        <w:t xml:space="preserve">, která se zabývá energetikou a materiálovými zdroji. Prioritní oblast je rozdělena do tří oblastí: Udržitelná energetika, Snižování energetické náročnosti hospodářství a Materiálová základna. Hlavním cílem oblasti “Udržitelná energetika” je dosažení dlouhodobě udržitelného energetického mixu založeného na mnoha zdrojích, s přednostním využitím všech tuzemských energetických zdrojů, zvýšení energetické soběstačnosti a zajištění energetické bezpečnosti ČR. Oblast se dělí na sedm podoblastí: </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obnovitelné zdroje energie</w:t>
      </w:r>
      <w:r w:rsidRPr="00E870E4">
        <w:t xml:space="preserve">, zaměřenou na prioritní dílčí cíle: vývoj ekonomicky efektivní solární energetiky, ekonomicky efektivního využití geotermální energie a biomasy, </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jaderné zdroje energie</w:t>
      </w:r>
      <w:r w:rsidRPr="00E870E4">
        <w:t xml:space="preserve">, zaměřenou na prioritní dílčí cíle: efektivní dlouhodobé využití jaderných elektráren, podpora bezpečnosti jaderných zařízení, výzkum zajišťující podporu výstavby a provozu nových ekonomicky efektivních a bezpečných bloků, výzkum a vývoj palivového cyklu, ukládání radioaktivního odpadu a použitého paliva, VaV v oblasti reaktorů IV. generace, zejména efektivních a bezpečných rychlých reaktorů, </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fosilní zdroje energie</w:t>
      </w:r>
      <w:r w:rsidRPr="00E870E4">
        <w:t>, zaměřenou na prioritní dílčí cíle: podpora ekonomicky efektivní a ekologická fosilní energetika a teplárenství,</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elektrické sítě včetně akumulace energie</w:t>
      </w:r>
      <w:r w:rsidRPr="00E870E4">
        <w:t>, zaměřenou na prioritní dílčí cíle: kapacita, spolehlivost a bezpečnost páteřních přenosových sítí elektřiny, modifikace sítí pro “demand-side management”, bezpečnost a odolnost distribučních sítí,</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výroba a distribuce tepla/chladu, včetně kogenerace a trigeneraci</w:t>
      </w:r>
      <w:r w:rsidRPr="00E870E4">
        <w:t xml:space="preserve">, zaměřenou na prioritní dílčí cíle: odběr tepla z elektráren v základním zatížení, vysokoúčinná kogenerace (trigeneraci) ve zdrojích SCZT v provozech s dílčím zatížením (systémové služby), distribuovaná kombinovaná výroba elektřiny, tepla a chladu ze všech typů zdrojů, přenos a akumulaci tepla, efektivní řízení úpravy vnitřního prostředí, alternativní zdroje - využití odpadu, </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energie v dopravě</w:t>
      </w:r>
      <w:r w:rsidRPr="00E870E4">
        <w:t>, zaměřenou na prioritní dílčí cíle: zvýšení podílu kapalných biopaliv jako náhrady fosilních zdrojů, zvýšení podílu využití elektrické energie pro pohony jako náhrada za fosilní zdroje, zavádění využití vodíku jako zdroje energie pro pohon v dopravě,</w:t>
      </w:r>
    </w:p>
    <w:p w:rsidR="00E870E4" w:rsidRPr="000D59FC" w:rsidRDefault="00E870E4" w:rsidP="00BC5587">
      <w:pPr>
        <w:pStyle w:val="Odstavecseseznamem"/>
        <w:numPr>
          <w:ilvl w:val="0"/>
          <w:numId w:val="49"/>
        </w:numPr>
        <w:spacing w:before="120" w:after="0" w:line="276" w:lineRule="auto"/>
        <w:rPr>
          <w:rFonts w:ascii="Arial" w:hAnsi="Arial"/>
        </w:rPr>
      </w:pPr>
      <w:r w:rsidRPr="000D59FC">
        <w:rPr>
          <w:b/>
          <w:bCs/>
        </w:rPr>
        <w:t>systémový rozvoj energetiky ČR v kontextu rozvoje energetiky EU</w:t>
      </w:r>
      <w:r w:rsidRPr="00E870E4">
        <w:t xml:space="preserve">, zaměřenou na prioritní dílčí cíle: systémové analýzy a nové metodické postupy pro podporu vyvážené státní energetické koncepce (SEK), dalších příbuzných strategických dokumentů státu a regionálních </w:t>
      </w:r>
      <w:r w:rsidRPr="00E870E4">
        <w:lastRenderedPageBreak/>
        <w:t>rozvojových koncepcí s ohledem na rámec EU, nové nástroje pro tvorbu regulatoriky pro optimální rozvoj energetiky v ČR, které budou využívány pro integraci státních a regionálních strategií a zajištění jejich kompatibility a integrální koncepce rozvoje municipalit a regionů s ověřováním demonstračními projekty (vazba na SET Plan - Smart Cities a Smart Regions).</w:t>
      </w:r>
    </w:p>
    <w:p w:rsidR="00E870E4" w:rsidRPr="00E870E4" w:rsidRDefault="00E870E4" w:rsidP="00BC5587">
      <w:pPr>
        <w:spacing w:before="120" w:after="0" w:line="276" w:lineRule="auto"/>
        <w:rPr>
          <w:rFonts w:ascii="Times New Roman" w:hAnsi="Times New Roman"/>
          <w:color w:val="auto"/>
          <w:sz w:val="24"/>
          <w:szCs w:val="24"/>
        </w:rPr>
      </w:pPr>
      <w:r w:rsidRPr="00E870E4">
        <w:t>Cíle jednotlivých podoblastí směřují ke zvýšení OZE v konečné spotřebě energie, zajištění bezpečných a spolehlivých dodávek elektrické a tepelné energie v konečné spotřebě energie a z různých zdrojů, efektivnímu a bezpečnému využití jaderné energie, zvýšení účinnosti výroby energie, snížení emisí skleníkových plynů a negativních dopadů energetické výroby, zvýšení ekologizace a elektrifikace dopravy a zajištění strategického řízení sektoru energetiky. Tyto výzvy vyžadují dobře koncipovaný kvalitní výzkum s dlouhodobou podporou. Pro naplnění stěžejních cílů a prioritních dílčích cílů je nezbytné realizovat celou řadu systémových opatření, např. zajistit strategické řízení VaVaI v oblasti energetiky, vytvářet účinné nástroje k uplatňování strategického řízení VaVaI a směřovat veřejnou podporu na prioritní cíle v oblasti energetiky, budovat infrastrukturu pro VaVaI (nové technologie) v energetice, posílit spolupráci mezi akademickým výzkumem, VŠ, aplikovaným výzkumem a podniky, zlepšit provázanost všech fází VaVaI, zajistit vazby na energetickou politiku EU, využívat výzkumnou infrastrukturu v zahraničí a zapojit se do mezinárodních aktivit.</w:t>
      </w:r>
    </w:p>
    <w:p w:rsidR="00DC34B7" w:rsidRDefault="00DC34B7" w:rsidP="00BC5587">
      <w:pPr>
        <w:pStyle w:val="Nadpis2"/>
        <w:spacing w:before="120" w:after="0" w:line="276" w:lineRule="auto"/>
      </w:pPr>
      <w:bookmarkStart w:id="67" w:name="_s7cas0cg9yyi" w:colFirst="0" w:colLast="0"/>
      <w:bookmarkStart w:id="68" w:name="_Toc463269123"/>
      <w:bookmarkStart w:id="69" w:name="_Toc463269274"/>
      <w:bookmarkStart w:id="70" w:name="_Toc463269307"/>
      <w:bookmarkStart w:id="71" w:name="_Toc463296653"/>
      <w:bookmarkStart w:id="72" w:name="_Toc463438632"/>
      <w:bookmarkEnd w:id="67"/>
      <w:r w:rsidRPr="00A52D2C">
        <w:t>Státní energetická koncepce</w:t>
      </w:r>
      <w:r w:rsidR="00231145">
        <w:t xml:space="preserve"> (SEK)</w:t>
      </w:r>
      <w:bookmarkEnd w:id="68"/>
      <w:bookmarkEnd w:id="69"/>
      <w:bookmarkEnd w:id="70"/>
      <w:bookmarkEnd w:id="71"/>
      <w:bookmarkEnd w:id="72"/>
    </w:p>
    <w:p w:rsidR="00910C52" w:rsidRPr="00910C52" w:rsidRDefault="00910C52" w:rsidP="00BC5587">
      <w:pPr>
        <w:spacing w:before="120" w:after="0" w:line="276" w:lineRule="auto"/>
        <w:rPr>
          <w:rFonts w:ascii="Times New Roman" w:hAnsi="Times New Roman"/>
          <w:color w:val="auto"/>
          <w:sz w:val="24"/>
          <w:szCs w:val="24"/>
        </w:rPr>
      </w:pPr>
      <w:r w:rsidRPr="00E870E4">
        <w:rPr>
          <w:shd w:val="clear" w:color="auto" w:fill="FFFFFF"/>
        </w:rPr>
        <w:t xml:space="preserve">Dne </w:t>
      </w:r>
      <w:r>
        <w:rPr>
          <w:shd w:val="clear" w:color="auto" w:fill="FFFFFF"/>
        </w:rPr>
        <w:t>18</w:t>
      </w:r>
      <w:r w:rsidRPr="00E870E4">
        <w:rPr>
          <w:shd w:val="clear" w:color="auto" w:fill="FFFFFF"/>
        </w:rPr>
        <w:t xml:space="preserve">. </w:t>
      </w:r>
      <w:r>
        <w:rPr>
          <w:shd w:val="clear" w:color="auto" w:fill="FFFFFF"/>
        </w:rPr>
        <w:t xml:space="preserve">května </w:t>
      </w:r>
      <w:r w:rsidRPr="00E870E4">
        <w:rPr>
          <w:shd w:val="clear" w:color="auto" w:fill="FFFFFF"/>
        </w:rPr>
        <w:t xml:space="preserve">2015 schválila vláda ČR svým usnesením č. </w:t>
      </w:r>
      <w:r>
        <w:rPr>
          <w:shd w:val="clear" w:color="auto" w:fill="FFFFFF"/>
        </w:rPr>
        <w:t>362</w:t>
      </w:r>
      <w:r>
        <w:rPr>
          <w:shd w:val="clear" w:color="auto" w:fill="FFFFFF"/>
        </w:rPr>
        <w:t>/2015</w:t>
      </w:r>
      <w:r>
        <w:rPr>
          <w:shd w:val="clear" w:color="auto" w:fill="FFFFFF"/>
        </w:rPr>
        <w:t xml:space="preserve"> Státní energetickou koncepci České republiky</w:t>
      </w:r>
      <w:r w:rsidRPr="00E870E4">
        <w:rPr>
          <w:shd w:val="clear" w:color="auto" w:fill="FFFFFF"/>
        </w:rPr>
        <w:t>.</w:t>
      </w:r>
    </w:p>
    <w:p w:rsidR="00E870E4" w:rsidRPr="00E870E4" w:rsidRDefault="00E870E4" w:rsidP="00BC5587">
      <w:pPr>
        <w:spacing w:before="120" w:after="0" w:line="276" w:lineRule="auto"/>
        <w:rPr>
          <w:rFonts w:ascii="Times New Roman" w:hAnsi="Times New Roman"/>
          <w:color w:val="auto"/>
          <w:sz w:val="24"/>
          <w:szCs w:val="24"/>
        </w:rPr>
      </w:pPr>
      <w:r w:rsidRPr="00E870E4">
        <w:t xml:space="preserve">Program naplňuje strategickou prioritu energetiky ČR uvedenou v SEK: “IV. Výzkum, vývoj a inovace: Podpora výzkumu, vývoje a inovací zajišťující konkurenceschopnost české energetiky a podpora školství, s cílem nutnosti generační obměny a zlepšení kvality technické inteligence v oblasti energetiky”. </w:t>
      </w:r>
    </w:p>
    <w:p w:rsidR="00E870E4" w:rsidRPr="00E870E4" w:rsidRDefault="00E870E4" w:rsidP="00BC5587">
      <w:pPr>
        <w:spacing w:before="120" w:after="0" w:line="276" w:lineRule="auto"/>
        <w:rPr>
          <w:rFonts w:ascii="Times New Roman" w:hAnsi="Times New Roman"/>
          <w:color w:val="auto"/>
          <w:sz w:val="24"/>
          <w:szCs w:val="24"/>
        </w:rPr>
      </w:pPr>
      <w:r w:rsidRPr="00E870E4">
        <w:t xml:space="preserve">Cílem strategické priority je mimo jiné vytvoření podmínek pro efektivní spolupráci a propojení průmyslu a středního a vysokého školství, zlepšení a prohloubení spolupráce základního a aplikovaného výzkumu, vytvoření podmínek pro hlubší a efektivnější zapojení české výzkumné a akademické obce a průmyslových energetických partnerů do mezinárodní spolupráce ve VaV a mezinárodních projektů jako jsou reaktory IV. generace, jaderná fúze, vývoj nových materiálů využitelných v energetice a energetickém strojírenství a využití dalších možností výzkumu, vývoje a inovací. </w:t>
      </w:r>
    </w:p>
    <w:p w:rsidR="00E870E4" w:rsidRPr="00E870E4" w:rsidRDefault="00E870E4" w:rsidP="00BC5587">
      <w:pPr>
        <w:spacing w:before="120" w:after="0" w:line="276" w:lineRule="auto"/>
        <w:rPr>
          <w:rFonts w:ascii="Times New Roman" w:hAnsi="Times New Roman"/>
          <w:color w:val="auto"/>
          <w:sz w:val="24"/>
          <w:szCs w:val="24"/>
        </w:rPr>
      </w:pPr>
      <w:r w:rsidRPr="00E870E4">
        <w:t>Odpovědností TA ČR je zajistit v součinnosti s MPO a MŠMT podporu pilotních projektů VaV v oblasti energetiky v návaznosti na SET plán a orientovat nový program strategicky usměrňované podpory výzkumných projektů v oblasti energetiky (inteligentní sítě, elektroakumulace, VaV v oblasti jaderných technologií) v kontextu prioritní oblasti “Udržitelná energetika” Národních priorit orientovaného výzkumu, experimentálního vývoje a inovací a potř</w:t>
      </w:r>
      <w:r w:rsidR="008F2E50">
        <w:t>eb plynoucích z naplňování SEK</w:t>
      </w:r>
      <w:r w:rsidRPr="00E870E4">
        <w:t xml:space="preserve"> (viz usnesení vlády ČR ze dne 19. 7. 2012 č. 552).</w:t>
      </w:r>
    </w:p>
    <w:p w:rsidR="00E870E4" w:rsidRPr="00E870E4" w:rsidRDefault="00E870E4" w:rsidP="00BC5587">
      <w:pPr>
        <w:spacing w:before="120" w:after="0" w:line="276" w:lineRule="auto"/>
        <w:rPr>
          <w:rFonts w:ascii="Times New Roman" w:hAnsi="Times New Roman"/>
          <w:color w:val="auto"/>
          <w:sz w:val="24"/>
          <w:szCs w:val="24"/>
        </w:rPr>
      </w:pPr>
      <w:r w:rsidRPr="00E870E4">
        <w:t>Odpovědností MPO a MŠMT je v součinnosti s MD, MŽP, TA ČR a dalšími podpořit VaV v oblasti čisté mobility a připravit koordinovanou strategii na podporu VaV v této oblasti.</w:t>
      </w:r>
    </w:p>
    <w:p w:rsidR="00E870E4" w:rsidRPr="00E870E4" w:rsidRDefault="00E870E4" w:rsidP="00BC5587">
      <w:pPr>
        <w:spacing w:before="120" w:after="0" w:line="276" w:lineRule="auto"/>
        <w:rPr>
          <w:rFonts w:ascii="Times New Roman" w:hAnsi="Times New Roman"/>
          <w:color w:val="auto"/>
          <w:sz w:val="24"/>
          <w:szCs w:val="24"/>
        </w:rPr>
      </w:pPr>
      <w:r w:rsidRPr="00E870E4">
        <w:t>Program naplňuje vize, hlavní cíle a následující dílčí cíle podpory konkrétních významných oblastí tuzemské energetiky, které jsou následující:</w:t>
      </w:r>
    </w:p>
    <w:p w:rsidR="00D91091" w:rsidRPr="000451FD" w:rsidRDefault="00E870E4" w:rsidP="00910C52">
      <w:pPr>
        <w:keepNext/>
        <w:spacing w:before="120" w:after="0" w:line="276" w:lineRule="auto"/>
        <w:rPr>
          <w:rFonts w:ascii="Arial" w:hAnsi="Arial"/>
          <w:b/>
        </w:rPr>
      </w:pPr>
      <w:r w:rsidRPr="000451FD">
        <w:rPr>
          <w:b/>
        </w:rPr>
        <w:lastRenderedPageBreak/>
        <w:t>Výzkum, vývoj, inovace</w:t>
      </w:r>
    </w:p>
    <w:p w:rsidR="00E870E4" w:rsidRPr="00D91091" w:rsidRDefault="00E870E4" w:rsidP="00BC5587">
      <w:pPr>
        <w:pStyle w:val="Odstavecseseznamem"/>
        <w:spacing w:before="120" w:after="0" w:line="276" w:lineRule="auto"/>
        <w:rPr>
          <w:rFonts w:ascii="Arial" w:hAnsi="Arial"/>
        </w:rPr>
      </w:pPr>
      <w:r w:rsidRPr="00D91091">
        <w:rPr>
          <w:b/>
          <w:bCs/>
        </w:rPr>
        <w:t xml:space="preserve">obnovitelné zdroje energie </w:t>
      </w:r>
      <w:r w:rsidRPr="00E870E4">
        <w:t>- podpora projektů zaměřená na účinnější využití biomasy, rozvoj pokročilých biopaliv vyrobených z nepotravinářské biomasy a odpadů, nových fotovoltaických systémů, včetně řídících prvků, geotermálních zdrojů v geologických podmínkách ČR, výrobu a energetické využití vodíku včetně palivových článků, tepelná čerpadla všech kategorií s vysokou účinností</w:t>
      </w:r>
    </w:p>
    <w:p w:rsidR="00E870E4" w:rsidRPr="00D91091" w:rsidRDefault="00E870E4" w:rsidP="00BC5587">
      <w:pPr>
        <w:pStyle w:val="Odstavecseseznamem"/>
        <w:spacing w:before="120" w:after="0" w:line="276" w:lineRule="auto"/>
        <w:rPr>
          <w:rFonts w:ascii="Arial" w:hAnsi="Arial"/>
          <w:b/>
          <w:bCs/>
        </w:rPr>
      </w:pPr>
      <w:r w:rsidRPr="00D91091">
        <w:rPr>
          <w:b/>
          <w:bCs/>
        </w:rPr>
        <w:t>jaderné technologie</w:t>
      </w:r>
      <w:r w:rsidRPr="00E870E4">
        <w:t xml:space="preserve"> - podpora projektů zaměřená na výzkum perspektivních jaderných technologií III. + a IV. generace, zvyšování efektivnosti, životnosti a bezpečnosti jaderných zdrojů včetně řešení nakládání s radioaktivními odpady a vyhořelým jaderným palivem a řešení konce palivového cyklu a na vývoj strojírenských a speciálních stavebních technologií pro jadernou energetiku ve vazbě na materiálové inženýrství</w:t>
      </w:r>
    </w:p>
    <w:p w:rsidR="00E870E4" w:rsidRPr="00D91091" w:rsidRDefault="00E870E4" w:rsidP="00BC5587">
      <w:pPr>
        <w:pStyle w:val="Odstavecseseznamem"/>
        <w:spacing w:before="120" w:after="0" w:line="276" w:lineRule="auto"/>
        <w:rPr>
          <w:rFonts w:ascii="Arial" w:hAnsi="Arial"/>
          <w:b/>
          <w:bCs/>
        </w:rPr>
      </w:pPr>
      <w:r w:rsidRPr="00D91091">
        <w:rPr>
          <w:b/>
          <w:bCs/>
        </w:rPr>
        <w:t xml:space="preserve">účinnější využívání fosilních zdrojů energie (uhlí, zemní plyn) </w:t>
      </w:r>
      <w:r w:rsidRPr="00E870E4">
        <w:t>- podpora projektů zaměřená na výzkum účinnějších a nových technologií spalování tradičních fosilních paliv, vývoj vysokoteplotních materiálů a na aplikovaný výzkum, inovace plynových a parních turbín, výměníků tepla, kogeneračních systémů a problematiky geologického ukládání oxidu uhličitého</w:t>
      </w:r>
    </w:p>
    <w:p w:rsidR="00E870E4" w:rsidRPr="00D91091" w:rsidRDefault="00E870E4" w:rsidP="00BC5587">
      <w:pPr>
        <w:pStyle w:val="Odstavecseseznamem"/>
        <w:spacing w:before="120" w:after="0" w:line="276" w:lineRule="auto"/>
        <w:rPr>
          <w:rFonts w:ascii="Arial" w:hAnsi="Arial"/>
          <w:b/>
          <w:bCs/>
        </w:rPr>
      </w:pPr>
      <w:r w:rsidRPr="00D91091">
        <w:rPr>
          <w:b/>
          <w:bCs/>
        </w:rPr>
        <w:t>zvyšování účinnosti a spolehlivosti energetických systémů a rozvodných sítí</w:t>
      </w:r>
      <w:r w:rsidRPr="00E870E4">
        <w:t xml:space="preserve"> - podpora projektů zaměřená na zvýšení účinnosti a spolehlivosti energetických systémů a rozvodných sítí, včetně integrace decentralizovaných energetických zdrojů a jejich zálohování pro případ rizikových situací, rozvoj řídících systémů na úrovni distribučních a přenosových sítí, na úrovni distribučních systémů rozvoj inteligentních sítí a využívání decentralizovaného řízení sítí, výroby a spotřeby, včetně možností řízení akumulace v centrálních i lokálních systémech, na úrovni přenosových sítí systémy řízení spolehlivosti soustav a jejich regionální integrace, systémy údržby a provozu sítí založené na monitorování prvků a řízení rizik a na havarijní mechanismy řízení ostrovních systémů, vývoj ochranných prostředků proti kybernetickým útokům a ochraně telekomunikačních systémů, pilotní projekty v oblasti elektroakumulace</w:t>
      </w:r>
    </w:p>
    <w:p w:rsidR="00E870E4" w:rsidRPr="00D91091" w:rsidRDefault="00E870E4" w:rsidP="00BC5587">
      <w:pPr>
        <w:pStyle w:val="Odstavecseseznamem"/>
        <w:spacing w:before="120" w:after="0" w:line="276" w:lineRule="auto"/>
        <w:rPr>
          <w:rFonts w:ascii="Arial" w:hAnsi="Arial"/>
          <w:b/>
          <w:bCs/>
        </w:rPr>
      </w:pPr>
      <w:r w:rsidRPr="00D91091">
        <w:rPr>
          <w:b/>
          <w:bCs/>
        </w:rPr>
        <w:t>energetické využití odpadů</w:t>
      </w:r>
      <w:r w:rsidRPr="00E870E4">
        <w:t xml:space="preserve"> - podpora projektů zaměřených na výzkum a vývoj nových technologií energetického využití druhotných surovin a odpadů, které nelze materiálově využít</w:t>
      </w:r>
    </w:p>
    <w:p w:rsidR="00E870E4" w:rsidRPr="00D91091" w:rsidRDefault="00E870E4" w:rsidP="00BC5587">
      <w:pPr>
        <w:pStyle w:val="Odstavecseseznamem"/>
        <w:spacing w:before="120" w:after="0" w:line="276" w:lineRule="auto"/>
        <w:rPr>
          <w:rFonts w:ascii="Arial" w:hAnsi="Arial"/>
          <w:b/>
          <w:bCs/>
        </w:rPr>
      </w:pPr>
      <w:r w:rsidRPr="00D91091">
        <w:rPr>
          <w:b/>
          <w:bCs/>
        </w:rPr>
        <w:t>dopravní systémy</w:t>
      </w:r>
      <w:r w:rsidRPr="00E870E4">
        <w:t xml:space="preserve"> - podpora VaV zaměřená na zvýšení efektivnosti systémů a prostředků hromadné dopravy včetně vozidel elektrické trakce a jejich pohonů, vývoj palivových článků, akumulátorů pro rozvoj elektromobilů, vývoj infrastruktury pro elektromobily a vodíkové hospodářství, projekty zaměřené na snížení ztrát v napájecích soustavách a zařízeních elektrické trakce v dopravě</w:t>
      </w:r>
    </w:p>
    <w:p w:rsidR="00E870E4" w:rsidRPr="000451FD" w:rsidRDefault="00E870E4" w:rsidP="00910C52">
      <w:pPr>
        <w:keepNext/>
        <w:spacing w:before="120" w:after="0" w:line="276" w:lineRule="auto"/>
        <w:rPr>
          <w:rFonts w:ascii="Arial" w:hAnsi="Arial"/>
          <w:b/>
        </w:rPr>
      </w:pPr>
      <w:r w:rsidRPr="000451FD">
        <w:rPr>
          <w:b/>
        </w:rPr>
        <w:t>Vnější energetická politika a mezinárodní vazby v politice</w:t>
      </w:r>
    </w:p>
    <w:p w:rsidR="00E870E4" w:rsidRPr="00D91091" w:rsidRDefault="00E870E4" w:rsidP="00BC5587">
      <w:pPr>
        <w:pStyle w:val="Odstavecseseznamem"/>
        <w:spacing w:before="120" w:after="0" w:line="276" w:lineRule="auto"/>
        <w:rPr>
          <w:rFonts w:ascii="Arial" w:hAnsi="Arial"/>
          <w:b/>
          <w:bCs/>
        </w:rPr>
      </w:pPr>
      <w:r w:rsidRPr="00E870E4">
        <w:t>podporovat včasnou výměnu informací a koordinaci energetických politik zemí regionu, ale i v rámci EU, a jejich vazbu na společné analýzy bezpečnosti a spolehlivosti dodávek všech forem energie</w:t>
      </w:r>
    </w:p>
    <w:p w:rsidR="00E870E4" w:rsidRPr="000451FD" w:rsidRDefault="00E870E4" w:rsidP="00BC5587">
      <w:pPr>
        <w:pStyle w:val="Odstavecseseznamem"/>
        <w:spacing w:before="120" w:after="0" w:line="276" w:lineRule="auto"/>
        <w:rPr>
          <w:rFonts w:ascii="Arial" w:hAnsi="Arial"/>
          <w:b/>
          <w:bCs/>
        </w:rPr>
      </w:pPr>
      <w:r w:rsidRPr="00E870E4">
        <w:t>podporovat stanovení dalších administrativních omezení a opatření EU v oblasti výroby, přepravy a konečného užití energie pouze na základě úplných a kvalitních analýz ekonomických dopadů na konkurenceschopnost průmyslu a životní úroveň domácností atd.</w:t>
      </w:r>
    </w:p>
    <w:p w:rsidR="000451FD" w:rsidRPr="000451FD" w:rsidRDefault="000451FD" w:rsidP="000451FD">
      <w:pPr>
        <w:spacing w:before="120" w:after="0" w:line="276" w:lineRule="auto"/>
        <w:rPr>
          <w:rFonts w:ascii="Arial" w:hAnsi="Arial"/>
          <w:b/>
          <w:bCs/>
        </w:rPr>
      </w:pPr>
    </w:p>
    <w:p w:rsidR="00DC34B7" w:rsidRDefault="00DC34B7" w:rsidP="006E38F6">
      <w:pPr>
        <w:pStyle w:val="Nadpis3"/>
      </w:pPr>
      <w:bookmarkStart w:id="73" w:name="_9j0mdqmkzwwj" w:colFirst="0" w:colLast="0"/>
      <w:bookmarkStart w:id="74" w:name="_Toc462344791"/>
      <w:bookmarkStart w:id="75" w:name="_Toc463269124"/>
      <w:bookmarkStart w:id="76" w:name="_Toc463269308"/>
      <w:bookmarkEnd w:id="73"/>
      <w:r w:rsidRPr="006E38F6">
        <w:lastRenderedPageBreak/>
        <w:t>Národní</w:t>
      </w:r>
      <w:r w:rsidRPr="00A52D2C">
        <w:t xml:space="preserve"> akční plán rozvoje jaderné energetiky v</w:t>
      </w:r>
      <w:r w:rsidR="00E870E4">
        <w:t> </w:t>
      </w:r>
      <w:r w:rsidRPr="00A52D2C">
        <w:t>ČR</w:t>
      </w:r>
      <w:bookmarkEnd w:id="74"/>
      <w:bookmarkEnd w:id="75"/>
      <w:bookmarkEnd w:id="76"/>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Dne 3. června 2015 schválila vláda ČR svým usnesením č. 419</w:t>
      </w:r>
      <w:r w:rsidR="004E7868">
        <w:rPr>
          <w:shd w:val="clear" w:color="auto" w:fill="FFFFFF"/>
        </w:rPr>
        <w:t>/2015</w:t>
      </w:r>
      <w:r w:rsidRPr="00E870E4">
        <w:rPr>
          <w:shd w:val="clear" w:color="auto" w:fill="FFFFFF"/>
        </w:rPr>
        <w:t xml:space="preserve"> Národní akční plán rozvoje jaderné energetiky v České republice.</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Tento dokument navazuje na aktualizovanou</w:t>
      </w:r>
      <w:r w:rsidR="008F2E50">
        <w:rPr>
          <w:shd w:val="clear" w:color="auto" w:fill="FFFFFF"/>
        </w:rPr>
        <w:t xml:space="preserve"> Státní energetickou koncepci (</w:t>
      </w:r>
      <w:r w:rsidRPr="00E870E4">
        <w:rPr>
          <w:shd w:val="clear" w:color="auto" w:fill="FFFFFF"/>
        </w:rPr>
        <w:t>SEK) a v mezích jejího strategického zadání transformuje dílčí cíle tohoto dokumentu do konkrétních realizačních kroků. Realizační kroky a role státu jsou popsány v oblastech, jakými jsou regulace v oblasti jaderné bezpečnosti, zajištění dlouhodobě udržitelné infrastruktury potřebné pro výstavbu, dlouhodobý bezpečný provoz jaderných zařízení a jejich vyřazování z provozu, ukládání jaderného odpadu všech kategorií, a to jak z jaderné energetiky tak i jaderného výzkumu, medicíny a průmyslu, výzkum v oblasti jaderné energetiky nebo školství a vzdělávání. NAP JE definuje úkoly pro jednotlivé rezorty (legislativa, koncepce, výkon státní správy), zejména průmyslu, školství, vědy a výzkumu, legislativy, místního rozvoje, dopravy, zahraničí.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Vize rozvoje jaderné energetiky jsou</w:t>
      </w:r>
    </w:p>
    <w:p w:rsidR="00E870E4" w:rsidRPr="000D59FC" w:rsidRDefault="00E870E4" w:rsidP="00BC5587">
      <w:pPr>
        <w:pStyle w:val="Odstavecseseznamem"/>
        <w:numPr>
          <w:ilvl w:val="0"/>
          <w:numId w:val="50"/>
        </w:numPr>
        <w:spacing w:before="120" w:after="0" w:line="276" w:lineRule="auto"/>
        <w:rPr>
          <w:rFonts w:ascii="Arial" w:hAnsi="Arial"/>
        </w:rPr>
      </w:pPr>
      <w:r w:rsidRPr="000D59FC">
        <w:rPr>
          <w:shd w:val="clear" w:color="auto" w:fill="FFFFFF"/>
        </w:rPr>
        <w:t>Přechod na nízkouhlíkovou energetiku do roku 2050 v kontextu naplňování českých mezinárodních závazků.</w:t>
      </w:r>
    </w:p>
    <w:p w:rsidR="00E870E4" w:rsidRPr="000D59FC" w:rsidRDefault="00E870E4" w:rsidP="00BC5587">
      <w:pPr>
        <w:pStyle w:val="Odstavecseseznamem"/>
        <w:numPr>
          <w:ilvl w:val="0"/>
          <w:numId w:val="50"/>
        </w:numPr>
        <w:spacing w:before="120" w:after="0" w:line="276" w:lineRule="auto"/>
        <w:rPr>
          <w:rFonts w:ascii="Arial" w:hAnsi="Arial"/>
        </w:rPr>
      </w:pPr>
      <w:r w:rsidRPr="000D59FC">
        <w:rPr>
          <w:shd w:val="clear" w:color="auto" w:fill="FFFFFF"/>
        </w:rPr>
        <w:t>Zajištění energetické bezpečnosti (schopnosti dlouhodobých dodávek elektřiny i při výpadku vnějších dodávek zdrojů.</w:t>
      </w:r>
    </w:p>
    <w:p w:rsidR="00E870E4" w:rsidRPr="000D59FC" w:rsidRDefault="00E870E4" w:rsidP="00BC5587">
      <w:pPr>
        <w:pStyle w:val="Odstavecseseznamem"/>
        <w:numPr>
          <w:ilvl w:val="0"/>
          <w:numId w:val="50"/>
        </w:numPr>
        <w:spacing w:before="120" w:after="0" w:line="276" w:lineRule="auto"/>
        <w:rPr>
          <w:rFonts w:ascii="Arial" w:hAnsi="Arial"/>
        </w:rPr>
      </w:pPr>
      <w:r w:rsidRPr="000D59FC">
        <w:rPr>
          <w:shd w:val="clear" w:color="auto" w:fill="FFFFFF"/>
        </w:rPr>
        <w:t xml:space="preserve">Průmyslovou produkci a exportní potenciál. </w:t>
      </w:r>
    </w:p>
    <w:p w:rsidR="00E870E4" w:rsidRPr="000D59FC" w:rsidRDefault="00E870E4" w:rsidP="00BC5587">
      <w:pPr>
        <w:pStyle w:val="Odstavecseseznamem"/>
        <w:numPr>
          <w:ilvl w:val="0"/>
          <w:numId w:val="50"/>
        </w:numPr>
        <w:spacing w:before="120" w:after="0" w:line="276" w:lineRule="auto"/>
        <w:rPr>
          <w:rFonts w:ascii="Arial" w:hAnsi="Arial"/>
        </w:rPr>
      </w:pPr>
      <w:r w:rsidRPr="000D59FC">
        <w:rPr>
          <w:shd w:val="clear" w:color="auto" w:fill="FFFFFF"/>
        </w:rPr>
        <w:t>Znalostní základnu ekonomiky (tahoun hi-tech průmyslové výroby, organizačních a konstrukčních dovedností.</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Státní energetická koncepce předpokládá, že jaderná energetika bude hrát spolu s obnovitelnými zdroji energie klíčovou roli v energetice.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Zajištění financování v oblasti výzkumu pro zajištění vysoké úrovně jaderné bezpečnosti je nezbytné pro dozor nad jadernou bezpečností pro účely zajištění dostupnosti potřebných znalostí a podpory, zejména provozovatelů a dalších subjektů, v oblasti jaderné energetiky. Zajištění financování v oblasti vědy a výzkumu (VaV) v </w:t>
      </w:r>
      <w:proofErr w:type="gramStart"/>
      <w:r w:rsidRPr="00E870E4">
        <w:rPr>
          <w:shd w:val="clear" w:color="auto" w:fill="FFFFFF"/>
        </w:rPr>
        <w:t>JE</w:t>
      </w:r>
      <w:proofErr w:type="gramEnd"/>
      <w:r w:rsidRPr="00E870E4">
        <w:rPr>
          <w:shd w:val="clear" w:color="auto" w:fill="FFFFFF"/>
        </w:rPr>
        <w:t xml:space="preserve"> </w:t>
      </w:r>
      <w:proofErr w:type="spellStart"/>
      <w:r w:rsidRPr="00E870E4">
        <w:rPr>
          <w:shd w:val="clear" w:color="auto" w:fill="FFFFFF"/>
        </w:rPr>
        <w:t>je</w:t>
      </w:r>
      <w:proofErr w:type="spellEnd"/>
      <w:r w:rsidRPr="00E870E4">
        <w:rPr>
          <w:shd w:val="clear" w:color="auto" w:fill="FFFFFF"/>
        </w:rPr>
        <w:t xml:space="preserve"> nezbytné z důvodů optimalizace provozu JE a posílení role ČR ve výzkumu dalších generací JE (GenIV, rychlé reaktory, uzavřený palivový cyklus atp.).      </w:t>
      </w:r>
    </w:p>
    <w:p w:rsidR="00E870E4" w:rsidRPr="00E870E4" w:rsidRDefault="00E870E4" w:rsidP="00BC5587">
      <w:pPr>
        <w:spacing w:before="120" w:after="0" w:line="276" w:lineRule="auto"/>
        <w:rPr>
          <w:rFonts w:ascii="Times New Roman" w:hAnsi="Times New Roman"/>
          <w:color w:val="auto"/>
          <w:sz w:val="24"/>
          <w:szCs w:val="24"/>
        </w:rPr>
      </w:pPr>
      <w:r w:rsidRPr="00E870E4">
        <w:t>Mezi opatření pro posílení jaderné bezpečnosti patří mimo jiné zajistit financování technické podpory a výzkumu pro dozor, ať již přímo z rozpočtu SÚJB nebo formou jeho zahrnutí do podpory výzkumu v oblasti jaderné energetiky jako celku, za což zodpovídá SÚJB/TA ČR.</w:t>
      </w:r>
    </w:p>
    <w:p w:rsidR="00DC34B7" w:rsidRDefault="00DC34B7" w:rsidP="006E38F6">
      <w:pPr>
        <w:pStyle w:val="Nadpis3"/>
      </w:pPr>
      <w:bookmarkStart w:id="77" w:name="_w5zk3zp2usl7" w:colFirst="0" w:colLast="0"/>
      <w:bookmarkStart w:id="78" w:name="_Toc462344792"/>
      <w:bookmarkStart w:id="79" w:name="_Toc463269125"/>
      <w:bookmarkStart w:id="80" w:name="_Toc463269309"/>
      <w:bookmarkEnd w:id="77"/>
      <w:r w:rsidRPr="00A52D2C">
        <w:t>Národní akční plán pro chytré sítě</w:t>
      </w:r>
      <w:bookmarkEnd w:id="78"/>
      <w:bookmarkEnd w:id="79"/>
      <w:bookmarkEnd w:id="80"/>
    </w:p>
    <w:p w:rsidR="00332639" w:rsidRPr="00332639" w:rsidRDefault="00332639" w:rsidP="00BC5587">
      <w:pPr>
        <w:spacing w:before="120" w:after="0" w:line="276" w:lineRule="auto"/>
        <w:rPr>
          <w:rFonts w:ascii="Times New Roman" w:hAnsi="Times New Roman"/>
          <w:color w:val="auto"/>
          <w:sz w:val="24"/>
          <w:szCs w:val="24"/>
        </w:rPr>
      </w:pPr>
      <w:r w:rsidRPr="00332639">
        <w:rPr>
          <w:shd w:val="clear" w:color="auto" w:fill="FFFFFF"/>
        </w:rPr>
        <w:t>Dne 4. března 2015 schválila</w:t>
      </w:r>
      <w:r w:rsidR="00910C52">
        <w:rPr>
          <w:shd w:val="clear" w:color="auto" w:fill="FFFFFF"/>
        </w:rPr>
        <w:t xml:space="preserve"> vláda ČR svým usnesením č. 14</w:t>
      </w:r>
      <w:r w:rsidR="0019473F">
        <w:rPr>
          <w:shd w:val="clear" w:color="auto" w:fill="FFFFFF"/>
        </w:rPr>
        <w:t>9</w:t>
      </w:r>
      <w:r w:rsidR="004E7868">
        <w:rPr>
          <w:shd w:val="clear" w:color="auto" w:fill="FFFFFF"/>
        </w:rPr>
        <w:t>/2015</w:t>
      </w:r>
      <w:r w:rsidR="0019473F">
        <w:rPr>
          <w:shd w:val="clear" w:color="auto" w:fill="FFFFFF"/>
        </w:rPr>
        <w:t xml:space="preserve"> </w:t>
      </w:r>
      <w:r w:rsidRPr="00332639">
        <w:rPr>
          <w:shd w:val="clear" w:color="auto" w:fill="FFFFFF"/>
        </w:rPr>
        <w:t>Národní akční plán pro chytré sítě</w:t>
      </w:r>
      <w:r w:rsidR="004E7868">
        <w:rPr>
          <w:shd w:val="clear" w:color="auto" w:fill="FFFFFF"/>
        </w:rPr>
        <w:t xml:space="preserve"> v České republice</w:t>
      </w:r>
      <w:r w:rsidRPr="00332639">
        <w:rPr>
          <w:shd w:val="clear" w:color="auto" w:fill="FFFFFF"/>
        </w:rPr>
        <w:t xml:space="preserve">. </w:t>
      </w:r>
    </w:p>
    <w:p w:rsidR="00E870E4" w:rsidRPr="00E870E4" w:rsidRDefault="00E870E4" w:rsidP="00BC5587">
      <w:pPr>
        <w:spacing w:before="120" w:after="0" w:line="276" w:lineRule="auto"/>
        <w:rPr>
          <w:rFonts w:ascii="Times New Roman" w:hAnsi="Times New Roman"/>
          <w:color w:val="auto"/>
          <w:sz w:val="24"/>
          <w:szCs w:val="24"/>
        </w:rPr>
      </w:pPr>
      <w:r w:rsidRPr="00332639">
        <w:t>Národní akční plán</w:t>
      </w:r>
      <w:r w:rsidRPr="00E870E4">
        <w:t xml:space="preserve"> pro chytré sítě (NAP SG) pro období 2015 - 2020 s výhledem do roku 2040 připravilo MPO na</w:t>
      </w:r>
      <w:r w:rsidR="008F2E50">
        <w:t xml:space="preserve"> základě úkolu formulovaného v </w:t>
      </w:r>
      <w:r w:rsidRPr="00E870E4">
        <w:t xml:space="preserve">SEK, jejíž jednou z priorit je rozvoj síťové infrastruktury pro zabezpečení spolehlivého a bezpečného provozu při požadovaném rozvoji distribuované výroby, řízení výroby, akumulace a spotřeby s přihlédnutím k požadavku zvyšování energetické účinnosti. </w:t>
      </w:r>
    </w:p>
    <w:p w:rsidR="00E870E4" w:rsidRPr="00E870E4" w:rsidRDefault="00E870E4" w:rsidP="00BC5587">
      <w:pPr>
        <w:spacing w:before="120" w:after="0" w:line="276" w:lineRule="auto"/>
        <w:rPr>
          <w:rFonts w:ascii="Times New Roman" w:hAnsi="Times New Roman"/>
          <w:color w:val="auto"/>
          <w:sz w:val="24"/>
          <w:szCs w:val="24"/>
        </w:rPr>
      </w:pPr>
      <w:r w:rsidRPr="00E870E4">
        <w:lastRenderedPageBreak/>
        <w:t xml:space="preserve">Chytré/inteligentní sítě (SG - Smart Grids) jsou elektrické sítě, které jsou schopny efektivně propojit chování a akce všech uživatelů k nim připojených k zajištění ekonomicky efektivní, udržitelné energetické soustavy provozované s malými ztrátami a vysokou spolehlivostí dodávky a bezpečnosti. Inteligentní sítě poskytnou technickou podporu pro zvýšení účinnosti využití energie a efektivní provozování pokročilých konceptů, např. typu Smart City a elektromobility. Zavedení inteligentních sítí umožní zapojit spotřebu i distribuovanou (decentrální) výrobu elektřiny do decentralizovaného řízení a regulace soustavy. To vyvolává nutnost změny v oblasti přenosových a distribučních sítí ve smyslu technologických změn, nových sofistikovanějších řešení jak HW, tak SW (SG) a stejně tak i změnu modelu řízení elektrizační soustavy. </w:t>
      </w:r>
    </w:p>
    <w:p w:rsidR="00E870E4" w:rsidRPr="00E870E4" w:rsidRDefault="00E870E4" w:rsidP="00BC5587">
      <w:pPr>
        <w:spacing w:before="120" w:after="0" w:line="276" w:lineRule="auto"/>
        <w:rPr>
          <w:rFonts w:ascii="Times New Roman" w:hAnsi="Times New Roman"/>
          <w:color w:val="auto"/>
          <w:sz w:val="24"/>
          <w:szCs w:val="24"/>
        </w:rPr>
      </w:pPr>
      <w:r w:rsidRPr="00E870E4">
        <w:t xml:space="preserve">SG se skládá z přenosových a distribučních soustav vybavených určitým stupněm inteligence (automatizace, komunikace a regulace). Mezi významné prvky SG patří také systémy inteligentního měření a systémy řízení spotřeby elektřiny (AMM). Očekávané změny v elektroenergetice, především vyšší zapojení zákazníků a významné zapojení decentrální výroby v energetickém mixu, představuje velkou změnu v dosavadním pojetí energetiky. Především v souvislosti s rozvojem akumulačních kapacit, obnovitelných zdrojů, elektromobility a malých zdrojů včetně kogeneračních se očekávají zvýšené nároky na řiditelnost soustavy, systémy chránění, měřící techniku, automatizační techniku a ostatní prvky elektrizační soustavy. Nedílnou součástí je zajištění kybernetické bezpečnosti. </w:t>
      </w:r>
    </w:p>
    <w:p w:rsidR="00E870E4" w:rsidRPr="00E870E4" w:rsidRDefault="00E870E4" w:rsidP="00BC5587">
      <w:pPr>
        <w:spacing w:before="120" w:after="0" w:line="276" w:lineRule="auto"/>
        <w:rPr>
          <w:rFonts w:ascii="Times New Roman" w:hAnsi="Times New Roman"/>
          <w:color w:val="auto"/>
          <w:sz w:val="24"/>
          <w:szCs w:val="24"/>
        </w:rPr>
      </w:pPr>
      <w:r w:rsidRPr="00E870E4">
        <w:t>NAP SG poskytuje př</w:t>
      </w:r>
      <w:r w:rsidR="008F2E50">
        <w:t xml:space="preserve">ehled nutných změn, aby cíle v </w:t>
      </w:r>
      <w:r w:rsidRPr="00E870E4">
        <w:t xml:space="preserve">SEK byly dosaženy. Součástí je ucelený návrh opatření, která zajistí přípravu a realizaci nutných změn a harmonogram, kdy je nutné jednotlivá opatření realizovat. Období do konce roku 2019 lze charakterizovat jako období přípravné (analýzy, způsoby řešení jednotlivých problémů, dílčí opatření, vypracování a finální odsouhlasení modelu SG, dokončení a vyhodnocení pilotních projektů, zpracování projektu implementace AMM). Další období představují postupnou realizaci modelu SG s cílem dosáhnout při maximální ekonomické efektivnosti žádané úrovně “inteligence” SG v období mezi rokem 2030 a 2040. </w:t>
      </w:r>
    </w:p>
    <w:p w:rsidR="00DC34B7" w:rsidRDefault="00DC34B7" w:rsidP="006E38F6">
      <w:pPr>
        <w:pStyle w:val="Nadpis3"/>
      </w:pPr>
      <w:bookmarkStart w:id="81" w:name="_um10rdaq1zj7" w:colFirst="0" w:colLast="0"/>
      <w:bookmarkStart w:id="82" w:name="_Toc462344793"/>
      <w:bookmarkStart w:id="83" w:name="_Toc463269126"/>
      <w:bookmarkStart w:id="84" w:name="_Toc463269310"/>
      <w:bookmarkEnd w:id="81"/>
      <w:r w:rsidRPr="00A52D2C">
        <w:t>Národní akční plán čisté mobility</w:t>
      </w:r>
      <w:bookmarkEnd w:id="82"/>
      <w:bookmarkEnd w:id="83"/>
      <w:bookmarkEnd w:id="84"/>
    </w:p>
    <w:p w:rsidR="00332639" w:rsidRDefault="00332639" w:rsidP="00BC5587">
      <w:pPr>
        <w:spacing w:before="120" w:after="0" w:line="276" w:lineRule="auto"/>
        <w:rPr>
          <w:shd w:val="clear" w:color="auto" w:fill="FFFFFF"/>
        </w:rPr>
      </w:pPr>
      <w:r w:rsidRPr="00332639">
        <w:rPr>
          <w:shd w:val="clear" w:color="auto" w:fill="FFFFFF"/>
        </w:rPr>
        <w:t>Dne 20. listopadu 2015 schválila vláda ČR svým usnesením č. 941</w:t>
      </w:r>
      <w:r w:rsidR="004E7868">
        <w:rPr>
          <w:shd w:val="clear" w:color="auto" w:fill="FFFFFF"/>
        </w:rPr>
        <w:t>/2015</w:t>
      </w:r>
      <w:r w:rsidRPr="00332639">
        <w:rPr>
          <w:shd w:val="clear" w:color="auto" w:fill="FFFFFF"/>
        </w:rPr>
        <w:t xml:space="preserve"> Národní akční plán </w:t>
      </w:r>
      <w:r>
        <w:rPr>
          <w:shd w:val="clear" w:color="auto" w:fill="FFFFFF"/>
        </w:rPr>
        <w:t>čisté mobility</w:t>
      </w:r>
      <w:r w:rsidR="004E7868">
        <w:rPr>
          <w:shd w:val="clear" w:color="auto" w:fill="FFFFFF"/>
        </w:rPr>
        <w:t xml:space="preserve"> v České </w:t>
      </w:r>
      <w:proofErr w:type="spellStart"/>
      <w:r w:rsidR="004E7868">
        <w:rPr>
          <w:shd w:val="clear" w:color="auto" w:fill="FFFFFF"/>
        </w:rPr>
        <w:t>repulice</w:t>
      </w:r>
      <w:proofErr w:type="spellEnd"/>
      <w:r>
        <w:rPr>
          <w:shd w:val="clear" w:color="auto" w:fill="FFFFFF"/>
        </w:rPr>
        <w:t xml:space="preserve">. </w:t>
      </w:r>
    </w:p>
    <w:p w:rsidR="00E870E4" w:rsidRPr="00E870E4" w:rsidRDefault="00E870E4" w:rsidP="00BC5587">
      <w:pPr>
        <w:spacing w:before="120" w:after="0" w:line="276" w:lineRule="auto"/>
        <w:rPr>
          <w:rFonts w:ascii="Times New Roman" w:hAnsi="Times New Roman"/>
          <w:color w:val="auto"/>
          <w:sz w:val="24"/>
          <w:szCs w:val="24"/>
        </w:rPr>
      </w:pPr>
      <w:r w:rsidRPr="00E870E4">
        <w:t>NAP CM pro období 2015 - 2018 s výhledem do roku 2030 vychází z požadavku směrnice 2014/94/EU o zavádění infrastruktury pro alternativní paliva na přijetí vnitrostátního rámce politiky pro rozvoj trhu alternativních paliv v odvětví dopravy a příslušné infrastruktury. Daná směrnice stanoví v</w:t>
      </w:r>
      <w:r w:rsidR="008F2E50">
        <w:t> </w:t>
      </w:r>
      <w:r w:rsidRPr="00E870E4">
        <w:t>případě elektromobility, zemního plynu a částečně vodíku povinnost rozvíjet příslušnou infrastrukturu dobíjecích a plnících stanic, a to na základě stanovení národních cílů a opatření k</w:t>
      </w:r>
      <w:r w:rsidR="008F2E50">
        <w:t> </w:t>
      </w:r>
      <w:r w:rsidRPr="00E870E4">
        <w:t>naplňování těchto cílů. NAP se zabývá elektromobilitou, CNG, LNG a v omezené míře vodíkovou technologií a navazuje na základní strategické dokumenty vlády ČR v oblasti energetiky, dopravy a</w:t>
      </w:r>
      <w:r w:rsidR="008F2E50">
        <w:t> </w:t>
      </w:r>
      <w:r w:rsidRPr="00E870E4">
        <w:t>životního prostředí za účelem naplnění základních cílů:</w:t>
      </w:r>
    </w:p>
    <w:p w:rsidR="00E870E4" w:rsidRPr="000D59FC" w:rsidRDefault="00E870E4" w:rsidP="00BC5587">
      <w:pPr>
        <w:pStyle w:val="Odstavecseseznamem"/>
        <w:numPr>
          <w:ilvl w:val="0"/>
          <w:numId w:val="51"/>
        </w:numPr>
        <w:spacing w:before="120" w:after="0" w:line="276" w:lineRule="auto"/>
        <w:rPr>
          <w:rFonts w:ascii="Arial" w:hAnsi="Arial"/>
        </w:rPr>
      </w:pPr>
      <w:r w:rsidRPr="00E870E4">
        <w:t>snížení negativních dopadů dopravy na životní prostředí, zejména pokud jde o emise látek znečišťujících ovzduší a emise skleníkových plynů</w:t>
      </w:r>
    </w:p>
    <w:p w:rsidR="00E870E4" w:rsidRPr="000D59FC" w:rsidRDefault="00E870E4" w:rsidP="00BC5587">
      <w:pPr>
        <w:pStyle w:val="Odstavecseseznamem"/>
        <w:numPr>
          <w:ilvl w:val="0"/>
          <w:numId w:val="51"/>
        </w:numPr>
        <w:spacing w:before="120" w:after="0" w:line="276" w:lineRule="auto"/>
        <w:rPr>
          <w:rFonts w:ascii="Arial" w:hAnsi="Arial"/>
        </w:rPr>
      </w:pPr>
      <w:r w:rsidRPr="00E870E4">
        <w:t>snížení závislosti na kapalných palivech, diverzifikace zdrojového mixu a vyšší energetická účinnost v dopravě.</w:t>
      </w:r>
    </w:p>
    <w:p w:rsidR="00E870E4" w:rsidRPr="00E870E4" w:rsidRDefault="00E870E4" w:rsidP="00BC5587">
      <w:pPr>
        <w:spacing w:before="120" w:after="0" w:line="276" w:lineRule="auto"/>
        <w:rPr>
          <w:rFonts w:ascii="Times New Roman" w:hAnsi="Times New Roman"/>
          <w:color w:val="auto"/>
          <w:sz w:val="24"/>
          <w:szCs w:val="24"/>
        </w:rPr>
      </w:pPr>
      <w:r w:rsidRPr="00E870E4">
        <w:lastRenderedPageBreak/>
        <w:t xml:space="preserve">Globálním cílem je dosáhnout v dlouhodobém horizontu (po 2030) toho, aby elektromobilita byla vnímána jako standardní technologie, zemní plyn jako standardní palivo a aby se vodíková technologie dostala minimálně z fáze VaV, tj. aby byla realizována základní opatření k rozvoji této technologie ve střednědobém a dlouhodobém měřítku. </w:t>
      </w:r>
    </w:p>
    <w:p w:rsidR="00E870E4" w:rsidRPr="00E870E4" w:rsidRDefault="00E870E4" w:rsidP="00BC5587">
      <w:pPr>
        <w:spacing w:before="120" w:after="0" w:line="276" w:lineRule="auto"/>
        <w:rPr>
          <w:rFonts w:ascii="Times New Roman" w:hAnsi="Times New Roman"/>
          <w:color w:val="auto"/>
          <w:sz w:val="24"/>
          <w:szCs w:val="24"/>
        </w:rPr>
      </w:pPr>
      <w:r w:rsidRPr="00E870E4">
        <w:t>Podpora VaV v oblasti čisté mobility je důležitá pro udržení konkurenceschopnosti ČR v evropském i</w:t>
      </w:r>
      <w:r w:rsidR="008F2E50">
        <w:t> </w:t>
      </w:r>
      <w:r w:rsidRPr="00E870E4">
        <w:t xml:space="preserve">celosvětovém kontextu a rovněž splnění závazků ze strategie EU v oblasti snižování emisí skleníkových plynů do roku 2030. </w:t>
      </w:r>
    </w:p>
    <w:p w:rsidR="00E870E4" w:rsidRPr="00E870E4" w:rsidRDefault="00E870E4" w:rsidP="00BC5587">
      <w:pPr>
        <w:spacing w:before="120" w:after="0" w:line="276" w:lineRule="auto"/>
        <w:rPr>
          <w:rFonts w:ascii="Times New Roman" w:hAnsi="Times New Roman"/>
          <w:color w:val="auto"/>
          <w:sz w:val="24"/>
          <w:szCs w:val="24"/>
        </w:rPr>
      </w:pPr>
      <w:r w:rsidRPr="00E870E4">
        <w:t>Klíčovým principem je princip technologické neutrality, tj. nezacílení podpory pouze na jeden druh alternativních paliv. V současné době jsou pro účely NAP využitelné následující národní programy TA ČR: Alfa, Beta, Epsilon, Gama a Delta s tím, že za nejvhodnější je možné považovat program EPSILON (jeho podprogram Energetika a materiály) a dále OP Doprava, IROP a OPPIK. Mezi strategické cíle NAP patří rozvoj elektromobility, rozvoj vozidel na CNG, rozvoj vozidel na LNG, nastartování rozvoje vodíkové technologie v dopravě, výzkum a vývoj v oblasti alternativních paliv. V rámci strategického cíle podpory VaV v oblasti alternativních paliv jsou navržena následující opatření:</w:t>
      </w:r>
    </w:p>
    <w:p w:rsidR="00E870E4" w:rsidRPr="000D59FC" w:rsidRDefault="00E870E4" w:rsidP="00BC5587">
      <w:pPr>
        <w:pStyle w:val="Odstavecseseznamem"/>
        <w:numPr>
          <w:ilvl w:val="0"/>
          <w:numId w:val="52"/>
        </w:numPr>
        <w:spacing w:before="120" w:after="0" w:line="276" w:lineRule="auto"/>
        <w:rPr>
          <w:rFonts w:ascii="Arial" w:hAnsi="Arial"/>
        </w:rPr>
      </w:pPr>
      <w:r w:rsidRPr="00E870E4">
        <w:t xml:space="preserve">aktivní přístup k vývoji v oblasti elektromobility a dalších alternativních paliv (CNG/LNG a pokročilá biopaliva) - odpovědnost TA ČR ve spolupráci s MPO a CI (návaznost na SC 5 - VaV v oblasti alternativních paliv, cíl opatření - prioritizace výzkumných témat a vyhlašovaných programů zaměřených na oblast čisté mobility/alternativních paliv, popis opatření - v rámci nových výzev v programu EPSILON a TRIO prosadit jako prioritu oblast čisté mobility, termín 2016), </w:t>
      </w:r>
    </w:p>
    <w:p w:rsidR="00E870E4" w:rsidRPr="000D59FC" w:rsidRDefault="00E870E4" w:rsidP="00BC5587">
      <w:pPr>
        <w:pStyle w:val="Odstavecseseznamem"/>
        <w:numPr>
          <w:ilvl w:val="0"/>
          <w:numId w:val="52"/>
        </w:numPr>
        <w:spacing w:before="120" w:after="0" w:line="276" w:lineRule="auto"/>
        <w:rPr>
          <w:rFonts w:ascii="Arial" w:hAnsi="Arial"/>
        </w:rPr>
      </w:pPr>
      <w:r w:rsidRPr="00E870E4">
        <w:t xml:space="preserve">VaV v oblasti technologií vozidel s pohonem na elektřinu, </w:t>
      </w:r>
    </w:p>
    <w:p w:rsidR="00E870E4" w:rsidRPr="000D59FC" w:rsidRDefault="00E870E4" w:rsidP="00BC5587">
      <w:pPr>
        <w:pStyle w:val="Odstavecseseznamem"/>
        <w:numPr>
          <w:ilvl w:val="0"/>
          <w:numId w:val="52"/>
        </w:numPr>
        <w:spacing w:before="120" w:after="0" w:line="276" w:lineRule="auto"/>
        <w:rPr>
          <w:rFonts w:ascii="Arial" w:hAnsi="Arial"/>
        </w:rPr>
      </w:pPr>
      <w:r w:rsidRPr="00E870E4">
        <w:t>VaV v oblasti dobíjecí infrastruktury a vazby elektromobility na distribuční soustavu/oblast Smart Grids  - odpovědnost místopředseda vlády pro VaVaI ve spolupráci s MD, MPO a TA CŘ,</w:t>
      </w:r>
    </w:p>
    <w:p w:rsidR="00E870E4" w:rsidRPr="000D59FC" w:rsidRDefault="00E870E4" w:rsidP="00BC5587">
      <w:pPr>
        <w:pStyle w:val="Odstavecseseznamem"/>
        <w:numPr>
          <w:ilvl w:val="0"/>
          <w:numId w:val="52"/>
        </w:numPr>
        <w:spacing w:before="120" w:after="0" w:line="276" w:lineRule="auto"/>
        <w:rPr>
          <w:rFonts w:ascii="Arial" w:hAnsi="Arial"/>
        </w:rPr>
      </w:pPr>
      <w:r w:rsidRPr="00E870E4">
        <w:t xml:space="preserve">posílení spolupráce mezi VŠ, VO a průmyslem v oblasti rozvoje elektromobility a dalších moderních vývojových trendů v oblasti alternativních paliv - odpovědnost místopředseda vlády pro VaVaI ve spolupráci s MD, MŠMT, MPO a TA CŘ, </w:t>
      </w:r>
    </w:p>
    <w:p w:rsidR="00E870E4" w:rsidRPr="000D59FC" w:rsidRDefault="00E870E4" w:rsidP="00BC5587">
      <w:pPr>
        <w:pStyle w:val="Odstavecseseznamem"/>
        <w:numPr>
          <w:ilvl w:val="0"/>
          <w:numId w:val="52"/>
        </w:numPr>
        <w:spacing w:before="120" w:after="0" w:line="276" w:lineRule="auto"/>
        <w:rPr>
          <w:rFonts w:ascii="Arial" w:hAnsi="Arial"/>
        </w:rPr>
      </w:pPr>
      <w:r w:rsidRPr="00E870E4">
        <w:t>výzkum dopadu nových paliv a technologií na emise v reálném provozu během běžného používání, včetně emisí dosud nelimitovaných či nesledovaných rizikových látek a dopadu těchto emisí na lidské zdraví.</w:t>
      </w:r>
    </w:p>
    <w:p w:rsidR="00DC34B7" w:rsidRDefault="00DC34B7" w:rsidP="006E38F6">
      <w:pPr>
        <w:pStyle w:val="Nadpis3"/>
      </w:pPr>
      <w:bookmarkStart w:id="85" w:name="_jlelynphe8lo" w:colFirst="0" w:colLast="0"/>
      <w:bookmarkStart w:id="86" w:name="_Toc462344794"/>
      <w:bookmarkStart w:id="87" w:name="_Toc463269127"/>
      <w:bookmarkStart w:id="88" w:name="_Toc463269311"/>
      <w:bookmarkEnd w:id="85"/>
      <w:r w:rsidRPr="00A52D2C">
        <w:t>Národní akční plán energetické účinnosti České republiky (NAPEE)</w:t>
      </w:r>
      <w:bookmarkEnd w:id="86"/>
      <w:bookmarkEnd w:id="87"/>
      <w:bookmarkEnd w:id="88"/>
    </w:p>
    <w:p w:rsidR="00332639" w:rsidRPr="00E870E4" w:rsidRDefault="004E7868" w:rsidP="00332639">
      <w:pPr>
        <w:spacing w:before="120" w:after="0" w:line="276" w:lineRule="auto"/>
        <w:rPr>
          <w:rFonts w:ascii="Times New Roman" w:hAnsi="Times New Roman"/>
          <w:color w:val="auto"/>
          <w:sz w:val="24"/>
          <w:szCs w:val="24"/>
        </w:rPr>
      </w:pPr>
      <w:r>
        <w:rPr>
          <w:shd w:val="clear" w:color="auto" w:fill="FFFFFF"/>
        </w:rPr>
        <w:t>Dne 16. března 2016 v</w:t>
      </w:r>
      <w:r w:rsidR="00332639" w:rsidRPr="00E870E4">
        <w:rPr>
          <w:shd w:val="clear" w:color="auto" w:fill="FFFFFF"/>
        </w:rPr>
        <w:t xml:space="preserve">láda ČR </w:t>
      </w:r>
      <w:r w:rsidR="00332639">
        <w:rPr>
          <w:shd w:val="clear" w:color="auto" w:fill="FFFFFF"/>
        </w:rPr>
        <w:t>schválila</w:t>
      </w:r>
      <w:r>
        <w:rPr>
          <w:shd w:val="clear" w:color="auto" w:fill="FFFFFF"/>
        </w:rPr>
        <w:t xml:space="preserve"> svým usnesením č. 215/2016 aktualizaci NAPEE.</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Národní akční plán energetické účinnosti/efektivity (NAPEE) popisuje plánovaná opatření zaměřená na zvýšení energetické účinnosti a očekávané nebo dosažené úspory energie, včetně úspor při dodávkách, přenosu či přepravě a distribuci energie, jakož i v konečném využití energie. </w:t>
      </w:r>
    </w:p>
    <w:p w:rsidR="00E870E4" w:rsidRPr="00E870E4" w:rsidRDefault="00E870E4" w:rsidP="00BC5587">
      <w:pPr>
        <w:spacing w:before="120" w:after="0" w:line="276" w:lineRule="auto"/>
        <w:rPr>
          <w:rFonts w:ascii="Times New Roman" w:hAnsi="Times New Roman"/>
          <w:color w:val="auto"/>
          <w:sz w:val="24"/>
          <w:szCs w:val="24"/>
        </w:rPr>
      </w:pPr>
      <w:r w:rsidRPr="00E870E4">
        <w:rPr>
          <w:shd w:val="clear" w:color="auto" w:fill="FFFFFF"/>
        </w:rPr>
        <w:t xml:space="preserve">Čtvrtá aktualizace NAPEE byla zpracována v návaznosti na dokončení procesu schválení programů financovaných z Evropských investičních a strukturálních fondů. V rámci aktualizace byl přepočítán kumulativní cíl úspor energie v konečné spotřebě podle článku 7 směrnice o energetické účinnosti dle metodiky Eurostat na hodnotu 50,67 PJ (14,08 TWh) a na základě vyhodnocení současného nastavení alternativního schématu byla přidána další politická opatření v oblasti bytové výstavby, průmyslu, dopravy, zemědělství a zvýšení energetické účinnosti na úrovni samosprávy. Na financování opatření, </w:t>
      </w:r>
      <w:r w:rsidRPr="00E870E4">
        <w:rPr>
          <w:shd w:val="clear" w:color="auto" w:fill="FFFFFF"/>
        </w:rPr>
        <w:lastRenderedPageBreak/>
        <w:t>které přispívají ke zvýšení energetické účinnosti např. podporou energeticky účinnějších technologií, kombinované výroby elektřiny a tepla, snížení ztrát v distribučních sítích v různých oblastech hospodářství a domácnostech se zaměřují zejména OP PIK, OP PPR, IROP a OP ŽP, Program JESSICA a dále národní programy podpory jako Nová Zelená úsporám, program Nový Panel, Státní programy na podporu úspor energie a využití OZE (EFEKT) a Společný program pro výměnu kotlů.</w:t>
      </w:r>
    </w:p>
    <w:p w:rsidR="008A649B" w:rsidRPr="008A649B" w:rsidRDefault="00E870E4" w:rsidP="00BC5587">
      <w:pPr>
        <w:spacing w:before="120" w:after="0" w:line="276" w:lineRule="auto"/>
        <w:rPr>
          <w:rFonts w:ascii="Times New Roman" w:hAnsi="Times New Roman"/>
          <w:color w:val="auto"/>
          <w:sz w:val="24"/>
          <w:szCs w:val="24"/>
        </w:rPr>
      </w:pPr>
      <w:r w:rsidRPr="00E870E4">
        <w:rPr>
          <w:shd w:val="clear" w:color="auto" w:fill="FFFFFF"/>
        </w:rPr>
        <w:t>Mezi jedno z průřezových opatření zvyšujících energetickou účinnost napříč ekonomickými sektory patří podpora výzkum a inovací za účelem zvyšování energetické účinnosti v souladu s environmentální strategií EU 2020. Cílem tohoto opatření je zvýšit úspory energie prostřednictvím výzkumu a aplikace nových technologií v oblasti úspor energie prostřednictvím vědeckých pracovišť, universit a klastrů (soukromé společnosti v profesní spolupráci s vědeckými, universitními pracovišti). Tato podpora zahrnuje i oblast rozvoje energeticky úsporných stavebních výrobků a způsobu využití materiálů. Monitorování přínosů je možné nepřímo na základě prostředků vynaložených na výzkum a jeho aplikaci do praxe, na šíření informací o možnostech energetických úspor v rámci vědeckého výzkumu (konference, odborné semináře, odborná literatura a publikace).</w:t>
      </w:r>
      <w:bookmarkStart w:id="89" w:name="_ip5z11xji8w6" w:colFirst="0" w:colLast="0"/>
      <w:bookmarkEnd w:id="89"/>
    </w:p>
    <w:p w:rsidR="008A649B" w:rsidRDefault="00DC34B7" w:rsidP="006E38F6">
      <w:pPr>
        <w:pStyle w:val="Nadpis3"/>
      </w:pPr>
      <w:bookmarkStart w:id="90" w:name="_Toc462344795"/>
      <w:bookmarkStart w:id="91" w:name="_Toc463269128"/>
      <w:bookmarkStart w:id="92" w:name="_Toc463269312"/>
      <w:r w:rsidRPr="00A52D2C">
        <w:t>Akční plán pro biomasu v ČR 2012-2020</w:t>
      </w:r>
      <w:bookmarkEnd w:id="90"/>
      <w:bookmarkEnd w:id="91"/>
      <w:bookmarkEnd w:id="92"/>
    </w:p>
    <w:p w:rsidR="00E878DF" w:rsidRPr="00E878DF" w:rsidRDefault="00E878DF" w:rsidP="00BC5587">
      <w:pPr>
        <w:spacing w:before="120" w:after="0" w:line="276" w:lineRule="auto"/>
        <w:rPr>
          <w:shd w:val="clear" w:color="auto" w:fill="FFFFFF"/>
        </w:rPr>
      </w:pPr>
      <w:r w:rsidRPr="00E878DF">
        <w:rPr>
          <w:bCs/>
        </w:rPr>
        <w:t>Dne 12.</w:t>
      </w:r>
      <w:r>
        <w:rPr>
          <w:bCs/>
        </w:rPr>
        <w:t xml:space="preserve"> </w:t>
      </w:r>
      <w:r w:rsidR="002879D8">
        <w:rPr>
          <w:bCs/>
        </w:rPr>
        <w:t>září</w:t>
      </w:r>
      <w:r w:rsidRPr="00E878DF">
        <w:rPr>
          <w:bCs/>
        </w:rPr>
        <w:t>.</w:t>
      </w:r>
      <w:r>
        <w:rPr>
          <w:bCs/>
        </w:rPr>
        <w:t xml:space="preserve"> </w:t>
      </w:r>
      <w:r w:rsidR="004E7868">
        <w:rPr>
          <w:bCs/>
        </w:rPr>
        <w:t>2012 vláda ČR schválila svým</w:t>
      </w:r>
      <w:r w:rsidR="002879D8">
        <w:rPr>
          <w:bCs/>
        </w:rPr>
        <w:t xml:space="preserve"> </w:t>
      </w:r>
      <w:r w:rsidR="002879D8" w:rsidRPr="004E7868">
        <w:rPr>
          <w:bCs/>
        </w:rPr>
        <w:t xml:space="preserve">usnesením </w:t>
      </w:r>
      <w:r w:rsidR="004E7868" w:rsidRPr="004E7868">
        <w:rPr>
          <w:bCs/>
        </w:rPr>
        <w:t>č. 659</w:t>
      </w:r>
      <w:r w:rsidR="004E7868">
        <w:rPr>
          <w:bCs/>
        </w:rPr>
        <w:t xml:space="preserve">/2012 </w:t>
      </w:r>
      <w:r w:rsidRPr="00E878DF">
        <w:rPr>
          <w:bCs/>
        </w:rPr>
        <w:t>Akční plán pro biomasu v ČR na období 2012 – 2020.</w:t>
      </w:r>
      <w:r w:rsidRPr="00E878DF">
        <w:rPr>
          <w:shd w:val="clear" w:color="auto" w:fill="FFFFFF"/>
        </w:rPr>
        <w:t xml:space="preserve"> </w:t>
      </w:r>
    </w:p>
    <w:p w:rsidR="008A649B" w:rsidRPr="008A649B" w:rsidRDefault="008A649B" w:rsidP="00BC5587">
      <w:pPr>
        <w:spacing w:before="120" w:after="0" w:line="276" w:lineRule="auto"/>
        <w:rPr>
          <w:rFonts w:ascii="Times New Roman" w:hAnsi="Times New Roman"/>
        </w:rPr>
      </w:pPr>
      <w:r w:rsidRPr="00E878DF">
        <w:rPr>
          <w:shd w:val="clear" w:color="auto" w:fill="FFFFFF"/>
        </w:rPr>
        <w:t>Cílem tohoto dokumentu je především vymezit opatření a principy, která povedou k efektivnímu</w:t>
      </w:r>
      <w:r w:rsidRPr="008A649B">
        <w:rPr>
          <w:shd w:val="clear" w:color="auto" w:fill="FFFFFF"/>
        </w:rPr>
        <w:t xml:space="preserve"> a účelnému využití energetického potenciálu biomasy a pomohou tak naplnit závazky ČR pro výrobu energie z obnovitelných zdrojů do roku 2020. Podíl energie na hrubé domácí spotřebě by měl v roce 2020 dosáhnout 13,5 % a podíl obnovitelné energie v dopravě 10 %.</w:t>
      </w:r>
    </w:p>
    <w:p w:rsidR="000A1B2A" w:rsidRPr="000A1B2A" w:rsidRDefault="008A649B" w:rsidP="00BC5587">
      <w:pPr>
        <w:spacing w:before="120" w:after="0" w:line="276" w:lineRule="auto"/>
        <w:rPr>
          <w:shd w:val="clear" w:color="auto" w:fill="FFFFFF"/>
        </w:rPr>
      </w:pPr>
      <w:r w:rsidRPr="008A649B">
        <w:rPr>
          <w:shd w:val="clear" w:color="auto" w:fill="FFFFFF"/>
        </w:rPr>
        <w:t xml:space="preserve">Závěry a doporučení v oblasti výzkumu jsou následující: i) Podpořit další rozvoj aplikovaného výzkumu v oblasti využití alternativních paliv mající původ ve fytomase; ii) Podpořit výzkum v oblasti využití biomasy na lignocelulózu bohatých substrátů pro výrobu bioetanolu. Jako perspektivní se ukazuje zaměřit výzkum na vývoj kvasinek schopných rozkládat do podoby bioetanolu vyšší cukry jako je xylóza či arabinóza či naopak jak transformovat lignocelulózové vstupy na biobutanol, který je považován za perspektivnější palivo než etanol; iii) Podpořit výzkum, vývoj a demonstrace u vybraných komponent BPS i výroben biometanu, iv) Sledovat další vývoj technologie rychlé pyrolýzy a rafinace biooleje pro možné reálné energetické využití vč. jako motorové palivo; v) Jako perspektivní se doporučuje sledovat výzkum technologií: - Fluidního zplyňování biomasy (pro palivovou variabilitu), - Hořákového zplyňování černého výluhu z výroby celulózy (pro vhodnost plynu pro syntézní reakce), - Vysokoteplotní palivové články typu SOFC; vi) Podpořit výzkum nových efektivních plodin </w:t>
      </w:r>
      <w:r w:rsidR="00FC7BC8">
        <w:rPr>
          <w:shd w:val="clear" w:color="auto" w:fill="FFFFFF"/>
        </w:rPr>
        <w:t>pro nepotravinářské využití.</w:t>
      </w:r>
    </w:p>
    <w:p w:rsidR="000A1B2A" w:rsidRDefault="000A1B2A" w:rsidP="006E38F6">
      <w:pPr>
        <w:pStyle w:val="Nadpis3"/>
      </w:pPr>
      <w:r>
        <w:t>Národní akční plán pro obnovitelné zdroje energie</w:t>
      </w:r>
    </w:p>
    <w:p w:rsidR="00332639" w:rsidRPr="00332639" w:rsidRDefault="00332639" w:rsidP="00332639">
      <w:pPr>
        <w:spacing w:before="120" w:after="0" w:line="276" w:lineRule="auto"/>
        <w:rPr>
          <w:rFonts w:ascii="Times New Roman" w:hAnsi="Times New Roman"/>
          <w:color w:val="auto"/>
          <w:sz w:val="24"/>
          <w:szCs w:val="24"/>
        </w:rPr>
      </w:pPr>
      <w:r w:rsidRPr="00E878DF">
        <w:rPr>
          <w:shd w:val="clear" w:color="auto" w:fill="FFFFFF"/>
        </w:rPr>
        <w:t>D</w:t>
      </w:r>
      <w:r w:rsidR="002879D8">
        <w:rPr>
          <w:shd w:val="clear" w:color="auto" w:fill="FFFFFF"/>
        </w:rPr>
        <w:t>ne 25</w:t>
      </w:r>
      <w:r w:rsidR="00E878DF" w:rsidRPr="00E878DF">
        <w:rPr>
          <w:shd w:val="clear" w:color="auto" w:fill="FFFFFF"/>
        </w:rPr>
        <w:t>. ledna 2016</w:t>
      </w:r>
      <w:r w:rsidRPr="00E878DF">
        <w:rPr>
          <w:shd w:val="clear" w:color="auto" w:fill="FFFFFF"/>
        </w:rPr>
        <w:t xml:space="preserve"> </w:t>
      </w:r>
      <w:r w:rsidR="004E7868">
        <w:rPr>
          <w:shd w:val="clear" w:color="auto" w:fill="FFFFFF"/>
        </w:rPr>
        <w:t>vláda ČR schválila svým usnesením č.</w:t>
      </w:r>
      <w:r w:rsidR="002879D8">
        <w:rPr>
          <w:shd w:val="clear" w:color="auto" w:fill="FFFFFF"/>
        </w:rPr>
        <w:t xml:space="preserve"> </w:t>
      </w:r>
      <w:r w:rsidR="002879D8" w:rsidRPr="004E7868">
        <w:rPr>
          <w:shd w:val="clear" w:color="auto" w:fill="FFFFFF"/>
        </w:rPr>
        <w:t>47/2016</w:t>
      </w:r>
      <w:r w:rsidRPr="00E878DF">
        <w:rPr>
          <w:shd w:val="clear" w:color="auto" w:fill="FFFFFF"/>
        </w:rPr>
        <w:t xml:space="preserve"> </w:t>
      </w:r>
      <w:r w:rsidR="00E878DF" w:rsidRPr="00E878DF">
        <w:rPr>
          <w:shd w:val="clear" w:color="auto" w:fill="FFFFFF"/>
        </w:rPr>
        <w:t>aktualizaci Národního akčního plánu pro OZE</w:t>
      </w:r>
      <w:r w:rsidRPr="00E878DF">
        <w:rPr>
          <w:shd w:val="clear" w:color="auto" w:fill="FFFFFF"/>
        </w:rPr>
        <w:t>.</w:t>
      </w:r>
      <w:r w:rsidR="002879D8">
        <w:rPr>
          <w:shd w:val="clear" w:color="auto" w:fill="FFFFFF"/>
        </w:rPr>
        <w:t xml:space="preserve"> </w:t>
      </w:r>
    </w:p>
    <w:p w:rsidR="000A1B2A" w:rsidRPr="008F2E50" w:rsidRDefault="000A1B2A" w:rsidP="008F2E50">
      <w:pPr>
        <w:spacing w:before="120" w:after="0" w:line="276" w:lineRule="auto"/>
        <w:rPr>
          <w:shd w:val="clear" w:color="auto" w:fill="FFFFFF"/>
        </w:rPr>
      </w:pPr>
      <w:r w:rsidRPr="008F2E50">
        <w:rPr>
          <w:shd w:val="clear" w:color="auto" w:fill="FFFFFF"/>
        </w:rPr>
        <w:t>Národní akční plán pro obnovitelné zdroje energie (NAP pro OZE) je jedním z kroků, jak snížit závislost České republiky na fosilních pa</w:t>
      </w:r>
      <w:r w:rsidR="00E878DF">
        <w:rPr>
          <w:shd w:val="clear" w:color="auto" w:fill="FFFFFF"/>
        </w:rPr>
        <w:t>livech. Materiál, který v lednu</w:t>
      </w:r>
      <w:r w:rsidRPr="008F2E50">
        <w:rPr>
          <w:shd w:val="clear" w:color="auto" w:fill="FFFFFF"/>
        </w:rPr>
        <w:t xml:space="preserve"> 2016 schválila vláda, připravilo Ministerstvo průmyslu a obchodu ve spolupráci s dalšími resorty a subjekty, mezi nimiž bylo </w:t>
      </w:r>
      <w:r w:rsidRPr="008F2E50">
        <w:rPr>
          <w:shd w:val="clear" w:color="auto" w:fill="FFFFFF"/>
        </w:rPr>
        <w:lastRenderedPageBreak/>
        <w:t>zastoupeno Ministerstvo životního prostředí, Ministerstvo zemědělství, Energetický regulační úřad, Komora OZE a zástupci asociací provozující OZE.</w:t>
      </w:r>
    </w:p>
    <w:p w:rsidR="000A1B2A" w:rsidRPr="008F2E50" w:rsidRDefault="000A1B2A" w:rsidP="008F2E50">
      <w:pPr>
        <w:spacing w:before="120" w:after="0" w:line="276" w:lineRule="auto"/>
        <w:rPr>
          <w:shd w:val="clear" w:color="auto" w:fill="FFFFFF"/>
        </w:rPr>
      </w:pPr>
      <w:r w:rsidRPr="008F2E50">
        <w:rPr>
          <w:shd w:val="clear" w:color="auto" w:fill="FFFFFF"/>
        </w:rPr>
        <w:t>NAP pro OZE vychází ze směrnice Evropského parlamentu a Rady</w:t>
      </w:r>
      <w:r w:rsidR="00E878DF">
        <w:rPr>
          <w:shd w:val="clear" w:color="auto" w:fill="FFFFFF"/>
        </w:rPr>
        <w:t xml:space="preserve"> č. 2009/28/ES ze dne 23. dubna </w:t>
      </w:r>
      <w:r w:rsidRPr="008F2E50">
        <w:rPr>
          <w:shd w:val="clear" w:color="auto" w:fill="FFFFFF"/>
        </w:rPr>
        <w:t xml:space="preserve">2009 o podpoře využívání energie z obnovitelných zdrojů a pro Evropskou unii jako celek z této směrnice vyplývá cíl v roce 2020 dosáhnout 20 % podílu energie </w:t>
      </w:r>
      <w:r w:rsidR="00E878DF">
        <w:rPr>
          <w:shd w:val="clear" w:color="auto" w:fill="FFFFFF"/>
        </w:rPr>
        <w:t>z obnovitelných zdrojů a cíl 10 </w:t>
      </w:r>
      <w:r w:rsidRPr="008F2E50">
        <w:rPr>
          <w:shd w:val="clear" w:color="auto" w:fill="FFFFFF"/>
        </w:rPr>
        <w:t>% podílu energie z obnovitelných zdrojů v dopravě. Pro Českou republiku byl Evropskou Komisí stanoven minimálně 13 % podíl energie z obnovitelných zdrojů na hrubé konečné spotřebě energie. Splnění tohoto cíle musí zároveň zajistit minimálně 10</w:t>
      </w:r>
      <w:r w:rsidR="00B93770">
        <w:rPr>
          <w:shd w:val="clear" w:color="auto" w:fill="FFFFFF"/>
        </w:rPr>
        <w:t> </w:t>
      </w:r>
      <w:r w:rsidRPr="008F2E50">
        <w:rPr>
          <w:shd w:val="clear" w:color="auto" w:fill="FFFFFF"/>
        </w:rPr>
        <w:t>% podíl obnovitelných zdrojů v dopravě.</w:t>
      </w:r>
    </w:p>
    <w:p w:rsidR="000A1B2A" w:rsidRPr="008F2E50" w:rsidRDefault="000A1B2A" w:rsidP="008F2E50">
      <w:pPr>
        <w:spacing w:before="120" w:after="0" w:line="276" w:lineRule="auto"/>
        <w:rPr>
          <w:shd w:val="clear" w:color="auto" w:fill="FFFFFF"/>
        </w:rPr>
      </w:pPr>
      <w:r w:rsidRPr="008F2E50">
        <w:rPr>
          <w:shd w:val="clear" w:color="auto" w:fill="FFFFFF"/>
        </w:rPr>
        <w:t>Legislativně je akční plán ukotven v zákoně č. 165/2012 Sb., o podporovaných zdrojích energie. Z důvodu dynamického vývoje obnovitelných zdrojů energie se Česká republika rozhodla přistoupit k pravidelné aktualizaci akčního plánu, aniž by to bylo požadováno zmíněnou směrnicí a tato aktualizace je součástí zákona o podporovaných zdrojích energie.</w:t>
      </w:r>
    </w:p>
    <w:p w:rsidR="000A1B2A" w:rsidRPr="008F2E50" w:rsidRDefault="000A1B2A" w:rsidP="008F2E50">
      <w:pPr>
        <w:spacing w:before="120" w:after="0" w:line="276" w:lineRule="auto"/>
        <w:rPr>
          <w:shd w:val="clear" w:color="auto" w:fill="FFFFFF"/>
        </w:rPr>
      </w:pPr>
      <w:r w:rsidRPr="008F2E50">
        <w:rPr>
          <w:shd w:val="clear" w:color="auto" w:fill="FFFFFF"/>
        </w:rPr>
        <w:t>Zpracovaný Národní akční plán navrhuje (předpokládá) v roce 2020 dosažení 15,3 % podílu energie z obnovitelných zdrojů na hrubé konečné spotřebě energie a 10 % podílu energie z obnovitelných zdrojů na hrubé konečné spotřebě v dopravě.</w:t>
      </w:r>
    </w:p>
    <w:p w:rsidR="000A1B2A" w:rsidRPr="008F2E50" w:rsidRDefault="000A1B2A" w:rsidP="00BC5587">
      <w:pPr>
        <w:spacing w:before="120" w:after="0" w:line="276" w:lineRule="auto"/>
        <w:rPr>
          <w:b/>
          <w:i/>
        </w:rPr>
      </w:pPr>
      <w:r w:rsidRPr="008F2E50">
        <w:rPr>
          <w:b/>
          <w:i/>
          <w:shd w:val="clear" w:color="auto" w:fill="FFFFFF"/>
        </w:rPr>
        <w:t>Přestože NAP definuje cíle pouze do roku 2020, které budou plněny především existujícími a odzkoušenými technologiemi, poukazuje NAP na potřebnost některých směrů výzkumných prací, např. výzkum a vývoj využívání lesní biomasy. Výzkum a vývoj může napomoci plnit závazky s co nejmenšími náklady, role výzkumu bude zásadní pro plnění následných závazků po roce 2020.</w:t>
      </w:r>
      <w:r w:rsidRPr="008F2E50">
        <w:rPr>
          <w:b/>
          <w:i/>
        </w:rPr>
        <w:t xml:space="preserve"> </w:t>
      </w:r>
    </w:p>
    <w:p w:rsidR="00DC34B7" w:rsidRDefault="00DC34B7" w:rsidP="00BC5587">
      <w:pPr>
        <w:pStyle w:val="Nadpis2"/>
        <w:spacing w:before="120" w:after="0" w:line="276" w:lineRule="auto"/>
      </w:pPr>
      <w:bookmarkStart w:id="93" w:name="_u6wmkx4h497k" w:colFirst="0" w:colLast="0"/>
      <w:bookmarkStart w:id="94" w:name="_Toc463269129"/>
      <w:bookmarkStart w:id="95" w:name="_Toc463269275"/>
      <w:bookmarkStart w:id="96" w:name="_Toc463269313"/>
      <w:bookmarkStart w:id="97" w:name="_Toc463296654"/>
      <w:bookmarkStart w:id="98" w:name="_Toc463438633"/>
      <w:bookmarkEnd w:id="93"/>
      <w:r w:rsidRPr="00A52D2C">
        <w:t>Víceletý program podpory dalšího uplatnění udržitelných biopaliv v dopravě na období 2015-2020</w:t>
      </w:r>
      <w:bookmarkEnd w:id="94"/>
      <w:bookmarkEnd w:id="95"/>
      <w:bookmarkEnd w:id="96"/>
      <w:bookmarkEnd w:id="97"/>
      <w:bookmarkEnd w:id="98"/>
    </w:p>
    <w:p w:rsidR="00910C52" w:rsidRDefault="00910C52" w:rsidP="00BC5587">
      <w:pPr>
        <w:spacing w:before="120" w:after="0" w:line="276" w:lineRule="auto"/>
        <w:rPr>
          <w:shd w:val="clear" w:color="auto" w:fill="FFFFFF"/>
        </w:rPr>
      </w:pPr>
      <w:r w:rsidRPr="00E870E4">
        <w:rPr>
          <w:shd w:val="clear" w:color="auto" w:fill="FFFFFF"/>
        </w:rPr>
        <w:t xml:space="preserve">Dne </w:t>
      </w:r>
      <w:r>
        <w:rPr>
          <w:shd w:val="clear" w:color="auto" w:fill="FFFFFF"/>
        </w:rPr>
        <w:t>6</w:t>
      </w:r>
      <w:r w:rsidRPr="00E870E4">
        <w:rPr>
          <w:shd w:val="clear" w:color="auto" w:fill="FFFFFF"/>
        </w:rPr>
        <w:t xml:space="preserve">. </w:t>
      </w:r>
      <w:r>
        <w:rPr>
          <w:shd w:val="clear" w:color="auto" w:fill="FFFFFF"/>
        </w:rPr>
        <w:t>srpna</w:t>
      </w:r>
      <w:r w:rsidRPr="00E870E4">
        <w:rPr>
          <w:shd w:val="clear" w:color="auto" w:fill="FFFFFF"/>
        </w:rPr>
        <w:t xml:space="preserve"> 201</w:t>
      </w:r>
      <w:r>
        <w:rPr>
          <w:shd w:val="clear" w:color="auto" w:fill="FFFFFF"/>
        </w:rPr>
        <w:t>4</w:t>
      </w:r>
      <w:r w:rsidRPr="00E870E4">
        <w:rPr>
          <w:shd w:val="clear" w:color="auto" w:fill="FFFFFF"/>
        </w:rPr>
        <w:t xml:space="preserve"> schválila vláda ČR svým usnesením č. </w:t>
      </w:r>
      <w:r>
        <w:rPr>
          <w:shd w:val="clear" w:color="auto" w:fill="FFFFFF"/>
        </w:rPr>
        <w:t>655</w:t>
      </w:r>
      <w:r w:rsidR="006C51A5">
        <w:rPr>
          <w:shd w:val="clear" w:color="auto" w:fill="FFFFFF"/>
        </w:rPr>
        <w:t>/2014</w:t>
      </w:r>
      <w:r w:rsidRPr="00E870E4">
        <w:rPr>
          <w:shd w:val="clear" w:color="auto" w:fill="FFFFFF"/>
        </w:rPr>
        <w:t xml:space="preserve"> </w:t>
      </w:r>
      <w:r>
        <w:rPr>
          <w:shd w:val="clear" w:color="auto" w:fill="FFFFFF"/>
        </w:rPr>
        <w:t>Víceletý program podpory dalšího uplatnění udržitelný biopaliv v dopravě na období na období 2015 - 2020</w:t>
      </w:r>
      <w:r w:rsidRPr="00E870E4">
        <w:rPr>
          <w:shd w:val="clear" w:color="auto" w:fill="FFFFFF"/>
        </w:rPr>
        <w:t>.</w:t>
      </w:r>
    </w:p>
    <w:p w:rsidR="008A649B" w:rsidRPr="008A649B" w:rsidRDefault="00910C52" w:rsidP="00BC5587">
      <w:pPr>
        <w:spacing w:before="120" w:after="0" w:line="276" w:lineRule="auto"/>
        <w:rPr>
          <w:rFonts w:ascii="Times New Roman" w:hAnsi="Times New Roman"/>
          <w:color w:val="auto"/>
          <w:sz w:val="24"/>
          <w:szCs w:val="24"/>
        </w:rPr>
      </w:pPr>
      <w:r>
        <w:rPr>
          <w:shd w:val="clear" w:color="auto" w:fill="FFFFFF"/>
        </w:rPr>
        <w:t>H</w:t>
      </w:r>
      <w:r w:rsidR="008A649B" w:rsidRPr="008A649B">
        <w:rPr>
          <w:shd w:val="clear" w:color="auto" w:fill="FFFFFF"/>
        </w:rPr>
        <w:t>lavním cílem</w:t>
      </w:r>
      <w:r>
        <w:rPr>
          <w:shd w:val="clear" w:color="auto" w:fill="FFFFFF"/>
        </w:rPr>
        <w:t xml:space="preserve"> tohoto dokumentu </w:t>
      </w:r>
      <w:r w:rsidR="008A649B" w:rsidRPr="008A649B">
        <w:rPr>
          <w:shd w:val="clear" w:color="auto" w:fill="FFFFFF"/>
        </w:rPr>
        <w:t xml:space="preserve">je zachování stávající podpory využívání čistých biopaliv a vysokoprocentních směsí biopaliv v dopravě. Program reflektuje aktuální cíle Evropské unie v oblasti obnovitelných zdrojů energie, technologický vývoj a legislativní změny v sektoru biopaliv a který od 1. 7. 2015 nahradil minulý program a zajistil pokračování stávající finanční podpory. </w:t>
      </w:r>
    </w:p>
    <w:p w:rsidR="008A649B" w:rsidRPr="008A649B" w:rsidRDefault="008A649B" w:rsidP="00BC5587">
      <w:pPr>
        <w:spacing w:before="120" w:after="0" w:line="276" w:lineRule="auto"/>
        <w:rPr>
          <w:rFonts w:ascii="Times New Roman" w:hAnsi="Times New Roman"/>
          <w:color w:val="auto"/>
          <w:sz w:val="24"/>
          <w:szCs w:val="24"/>
        </w:rPr>
      </w:pPr>
      <w:r w:rsidRPr="008A649B">
        <w:rPr>
          <w:shd w:val="clear" w:color="auto" w:fill="FFFFFF"/>
        </w:rPr>
        <w:t>Hlavními cíli je splnění závazného cíle náhrady alespoň 10 % konečné spotřeby energie v dopravě energií z obnovitelných zdrojů, tj. biopalivy a elektřinou a povinnosti snižování emisí GHG (emise skleníkových plynů) na jednotku energie obsaženou v pohonné hmotě v jejím úplném životním cyklu. Požaduje se snížení emisí GHG o 2 % do konce roku 2014, o 4 % do konce roku 2017 a o 6 % do konce roku 2020 ve srovnání se základní hodnotou emisí GHG pro fosilní pohonné hmoty. Jsou omezeny možnosti dosažení stanovených cílů pro konvenční biopaliva a vytváří se tlak na využívání biopaliv s úsporou emisí GHG výrazně vyšší než 50 % již od roku 2017. Výroba biopaliv s úsporou emisí GHG přesahující 70 % se zatím v poměrně malé míře orientuje na odpadní rostlinné a živočišné oleje. Přes výsledky výzkumu moderních biopaliv, vyrobených ze zbytků biomasy, biogenních odpadů a energetické biomasy, další konverzní jednotky na výrobu moderních biopaliv nejsou v současnosti k dispozici a zatím neexistuje reálný záměr je v ČR vybudovat.  </w:t>
      </w:r>
    </w:p>
    <w:p w:rsidR="008A649B" w:rsidRPr="008A649B" w:rsidRDefault="008A649B" w:rsidP="00BC5587">
      <w:pPr>
        <w:spacing w:before="120" w:after="0" w:line="276" w:lineRule="auto"/>
      </w:pPr>
      <w:r w:rsidRPr="008A649B">
        <w:rPr>
          <w:shd w:val="clear" w:color="auto" w:fill="FFFFFF"/>
        </w:rPr>
        <w:lastRenderedPageBreak/>
        <w:t>Z důvodu požadovaného navýšení úspor emisí GHG v období 2017 – 2020 lze očekávat tlak na dosažení vyšší efektivity ze strany dodavatelů pohonných hmot na všechny ostatní články výrobního řetězce biopaliv. Předpokládá se, že ve vztahu k tradičním biopalivům bude nejširší prostor pro orientovaný výzkum a vývoj v oblasti pěstování a zpracování biomasy. V oblasti pokročilých biopaliv bude nutné dosáhnout vyšší efektivity a konkurenceschopnosti napříč celým sektorem.     </w:t>
      </w:r>
    </w:p>
    <w:p w:rsidR="00DC34B7" w:rsidRDefault="00DC34B7" w:rsidP="00BC5587">
      <w:pPr>
        <w:pStyle w:val="Nadpis2"/>
        <w:spacing w:before="120" w:after="0" w:line="276" w:lineRule="auto"/>
      </w:pPr>
      <w:bookmarkStart w:id="99" w:name="_7pfsqa8aw6y5" w:colFirst="0" w:colLast="0"/>
      <w:bookmarkStart w:id="100" w:name="_Toc463269130"/>
      <w:bookmarkStart w:id="101" w:name="_Toc463269276"/>
      <w:bookmarkStart w:id="102" w:name="_Toc463269314"/>
      <w:bookmarkStart w:id="103" w:name="_Toc463296655"/>
      <w:bookmarkStart w:id="104" w:name="_Toc463438634"/>
      <w:bookmarkEnd w:id="99"/>
      <w:r w:rsidRPr="00A52D2C">
        <w:t>Industry 4.0</w:t>
      </w:r>
      <w:bookmarkEnd w:id="100"/>
      <w:bookmarkEnd w:id="101"/>
      <w:bookmarkEnd w:id="102"/>
      <w:bookmarkEnd w:id="103"/>
      <w:bookmarkEnd w:id="104"/>
    </w:p>
    <w:p w:rsidR="002879D8" w:rsidRDefault="004E7868" w:rsidP="00BC5587">
      <w:pPr>
        <w:spacing w:before="120" w:after="0" w:line="276" w:lineRule="auto"/>
      </w:pPr>
      <w:r>
        <w:t xml:space="preserve">Dne </w:t>
      </w:r>
      <w:r>
        <w:t>24. srpna 2016</w:t>
      </w:r>
      <w:r>
        <w:t xml:space="preserve"> vláda ČR vzala</w:t>
      </w:r>
      <w:r w:rsidR="002879D8">
        <w:t xml:space="preserve"> na vědomí </w:t>
      </w:r>
      <w:r>
        <w:t>svým usnesením č. 729/2016 Iniciativu Průmysl 4.0.</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Iniciativa Průmysl 4.0 má významným způsobem přispět k zásadní transformaci stávajícího prostoru aplikovaného výzkumu směrem k vysoce efektivnímu národnímu ekosystému aplikovaného výzkumu opírajícího se o silná národní centra aplikovaného výzkumu pro Průmysl 4.0. </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Je důležité podporu VaV koncentrovat v perspektivních oblastech odpovídajících specializaci české ekonomiky. Pro plné pokrytí VaV prací Průmyslu 4.0 se doporučuje realizovat projekty ve 4 skupinách: a) rozsáhlé projekty řešící VaV nových technologií a otevřených platforem, které by měly sledovat ambiciózní cíle (FET) s případně větším rizikem jejich nedosažení, musí se jednat o účinné propojení výzkumných týmů v oblasti základního a aplikovaného výzkumu a tím umožnit řešit projekty na vysoké teoretické i aplikační úrovni, b) projekty řešící konkrétní implementaci nově vyvinutých technologií či přizpůsobení otevřených platforem potřebám finálního produktu, finální zakázky nebo nové služby, projekty budou řešeny zejména formou kolaborativního výzkumu mezi VO a podnikem, jedná se o projekty s relativně malou mírou rizika nedosažení cílů, podporované programy aplikovaného výzkumu TA ČR, případně MPO, c) projekty podporující vývoj nových technologií pro vytváření nových trhů a zejména nových služeb a d) doprovodné projekty pro rozvoj lidských zdrojů ve VaV. </w:t>
      </w:r>
    </w:p>
    <w:p w:rsidR="008A649B" w:rsidRPr="008A649B" w:rsidRDefault="008A649B" w:rsidP="00BC5587">
      <w:pPr>
        <w:spacing w:before="120" w:after="0" w:line="276" w:lineRule="auto"/>
      </w:pPr>
      <w:r w:rsidRPr="008A649B">
        <w:t>Oblast bezpečnostního výzkumu je integrální oblastí Iniciativy Průmysl 4.0. Role státu je v oblasti bezpečnosti výrobních a energetických systémů nezastupitelná. Je nutné zpracovat metody a techniky automatizovaného vyhodnocování stupně bezpečnosti rizika, s využitím základních principů technologií Průmyslu 4.0., dále metody koordinace a kooperace mezi energetickými sítěmi či sítěmi surovinového zásobování s cílem posilovat vzájemnou bezpečnost. Samy energetické sítě (s důrazem na systémy decentralizované energetiky) a sítě surovinového zásobování, včetně vazeb mezi výrobními průmyslovými systémy, energetickými systémy a eventuálně systémy zásobování surovinami, mají být organizovány dle principů Průmyslu 4.0. Zvláštní pozornost bude věnována kybernetické bezpečnosti a umělé inteligenci.</w:t>
      </w:r>
    </w:p>
    <w:p w:rsidR="00F01E60" w:rsidRDefault="004773C8" w:rsidP="00BC5587">
      <w:pPr>
        <w:pStyle w:val="Nadpis2"/>
        <w:spacing w:before="120" w:after="0" w:line="276" w:lineRule="auto"/>
      </w:pPr>
      <w:bookmarkStart w:id="105" w:name="_rocslvhr0cr3" w:colFirst="0" w:colLast="0"/>
      <w:bookmarkStart w:id="106" w:name="_Toc463269131"/>
      <w:bookmarkStart w:id="107" w:name="_Toc463269277"/>
      <w:bookmarkStart w:id="108" w:name="_Toc463269315"/>
      <w:bookmarkStart w:id="109" w:name="_Toc463296656"/>
      <w:bookmarkStart w:id="110" w:name="_Toc463438635"/>
      <w:bookmarkEnd w:id="105"/>
      <w:r>
        <w:t>Ostatní relevantní s</w:t>
      </w:r>
      <w:r w:rsidR="00DC34B7" w:rsidRPr="00A52D2C">
        <w:t>trategie</w:t>
      </w:r>
      <w:bookmarkEnd w:id="110"/>
    </w:p>
    <w:p w:rsidR="00DC34B7" w:rsidRPr="00F01E60" w:rsidRDefault="00DC34B7" w:rsidP="00F01E60">
      <w:pPr>
        <w:spacing w:before="120" w:after="0" w:line="276" w:lineRule="auto"/>
        <w:rPr>
          <w:b/>
        </w:rPr>
      </w:pPr>
      <w:r w:rsidRPr="00A52D2C">
        <w:t xml:space="preserve"> </w:t>
      </w:r>
      <w:r w:rsidR="004773C8" w:rsidRPr="00F01E60">
        <w:rPr>
          <w:b/>
        </w:rPr>
        <w:t xml:space="preserve">Strategie </w:t>
      </w:r>
      <w:r w:rsidRPr="00F01E60">
        <w:rPr>
          <w:b/>
        </w:rPr>
        <w:t>Akademie věd 21</w:t>
      </w:r>
      <w:bookmarkEnd w:id="106"/>
      <w:bookmarkEnd w:id="107"/>
      <w:bookmarkEnd w:id="108"/>
      <w:bookmarkEnd w:id="109"/>
    </w:p>
    <w:p w:rsidR="00DC34B7" w:rsidRDefault="00DC34B7" w:rsidP="00BC5587">
      <w:pPr>
        <w:spacing w:before="120" w:after="0" w:line="276" w:lineRule="auto"/>
      </w:pPr>
      <w:r w:rsidRPr="00A52D2C">
        <w:t>Akademie věd České republiky momentálně disponuje dvěma energetickými výzkumnými programy: Účinná přeměna a skladování energie a Sy</w:t>
      </w:r>
      <w:r w:rsidR="00473AB1">
        <w:t xml:space="preserve">stémy pro jadernou energetiku. </w:t>
      </w:r>
      <w:r w:rsidRPr="00A52D2C">
        <w:t xml:space="preserve">První program je zaměřen na zlepšení efektivity klasických elektráren, nová paliva, decentralizaci a inteligentní přenosy energie, obnovitelné zdroje, diagnostiku a řízení procesů přeměny energie, nové materiály a skladování energie, a to především z obnovitelných zdrojů. Druhý program je jaderný. Jeho hlavním cílem je studium klíčových problémů jak v oblasti pokročilých štěpných reaktorů IV. generace, tak i v oblasti řízené termonukleární fúze, která nabízí prakticky nevyčerpatelný a pro životní prostředí přijatelný </w:t>
      </w:r>
      <w:r w:rsidRPr="00A52D2C">
        <w:lastRenderedPageBreak/>
        <w:t>zdroj energie pro budoucí generace. Řada problémů souvisejících s rozvojem IV. generace štěpných reaktorů s vysokou pasivní bezpečností je v zásadě podobná problémům fúzního reaktoru. Strategie AV21 v principu umožňuje kombinované financování.</w:t>
      </w:r>
    </w:p>
    <w:p w:rsidR="004773C8" w:rsidRPr="008F2E50" w:rsidRDefault="004773C8" w:rsidP="00BC5587">
      <w:pPr>
        <w:spacing w:before="120" w:after="0" w:line="276" w:lineRule="auto"/>
        <w:rPr>
          <w:b/>
        </w:rPr>
      </w:pPr>
      <w:r w:rsidRPr="008F2E50">
        <w:rPr>
          <w:b/>
        </w:rPr>
        <w:t xml:space="preserve">Strategie </w:t>
      </w:r>
      <w:r w:rsidR="008F2E50">
        <w:rPr>
          <w:b/>
        </w:rPr>
        <w:t xml:space="preserve">technických </w:t>
      </w:r>
      <w:r w:rsidRPr="008F2E50">
        <w:rPr>
          <w:b/>
        </w:rPr>
        <w:t>vysokých škol</w:t>
      </w:r>
    </w:p>
    <w:p w:rsidR="008F2E50" w:rsidRDefault="008F2E50" w:rsidP="008F2E50">
      <w:pPr>
        <w:spacing w:before="120" w:after="0" w:line="276" w:lineRule="auto"/>
      </w:pPr>
      <w:r>
        <w:t>Všechny významné technicky orientované vysoké školy mají ve svých strategických plánech zahrnutou energetiku (především ČVUT v Praze, VUT v Brně, VŠB-TU v Ostravě, ZČU v Plzni). Akademická obec technických vysokých škol ČR se aktivně účastní vytváření energetické koncepce a její realizace pro 21. století, které je charakteristické ústupem od karbonové koncepce, podporou obnovitelných zdrojů, realizací regionálních zdrojů a především šetrným užíváním energie, tedy úsporami energie.</w:t>
      </w:r>
    </w:p>
    <w:p w:rsidR="008F2E50" w:rsidRDefault="008F2E50" w:rsidP="008F2E50">
      <w:pPr>
        <w:spacing w:before="120" w:after="0" w:line="276" w:lineRule="auto"/>
      </w:pPr>
      <w:r>
        <w:t>Pro tuto činnost rozhodující technické vysoké školy v ČR vybudovaly v rámci podpory z operačního programu Výzkum a vývoj pro inovace (VaVpI) výzkumné zázemí, které ve spolupráci s průmyslovou sférou je schopno takovou koncepci úspěšně realizovat pro ČR a EU.</w:t>
      </w:r>
    </w:p>
    <w:p w:rsidR="00B83750" w:rsidRDefault="008F2E50" w:rsidP="00B83750">
      <w:pPr>
        <w:spacing w:before="120" w:after="0" w:line="276" w:lineRule="auto"/>
      </w:pPr>
      <w:r>
        <w:t>Realizace energetické koncepce pro 21. století vyžaduje jak základní výzkum, tak především aplikovaný výzkum a vývoj v širokém spektru odborností od stavebního inženýrství přes strojní a elektrotechnické včetně informatiky a kybernetiky po jaderné, fyzikální a chemické inženýrství. Při tom je potřeba sledovat řadu systémových souvislostí s dopady na životní prostředí a ekon</w:t>
      </w:r>
      <w:r w:rsidR="00B83750">
        <w:t xml:space="preserve">omickou a sociální udržitelnost. </w:t>
      </w:r>
    </w:p>
    <w:p w:rsidR="00B83750" w:rsidRDefault="00B83750" w:rsidP="00B83750">
      <w:pPr>
        <w:spacing w:before="120" w:after="0" w:line="276" w:lineRule="auto"/>
        <w:sectPr w:rsidR="00B83750" w:rsidSect="00E9455C">
          <w:pgSz w:w="11906" w:h="16838"/>
          <w:pgMar w:top="2581" w:right="1133" w:bottom="1417" w:left="1133" w:header="708" w:footer="708" w:gutter="0"/>
          <w:cols w:space="708"/>
        </w:sectPr>
      </w:pPr>
    </w:p>
    <w:p w:rsidR="008C4588" w:rsidRDefault="0009700A" w:rsidP="00BC5587">
      <w:pPr>
        <w:pStyle w:val="Nadpis1"/>
        <w:spacing w:before="120" w:after="0" w:line="276" w:lineRule="auto"/>
      </w:pPr>
      <w:bookmarkStart w:id="111" w:name="_Toc463269132"/>
      <w:bookmarkStart w:id="112" w:name="_Toc463269278"/>
      <w:bookmarkStart w:id="113" w:name="_Toc463269316"/>
      <w:bookmarkStart w:id="114" w:name="_Toc463296657"/>
      <w:bookmarkStart w:id="115" w:name="_Toc463438636"/>
      <w:r w:rsidRPr="00A52D2C">
        <w:lastRenderedPageBreak/>
        <w:t>Pojetí programu</w:t>
      </w:r>
      <w:bookmarkEnd w:id="111"/>
      <w:bookmarkEnd w:id="112"/>
      <w:bookmarkEnd w:id="113"/>
      <w:bookmarkEnd w:id="114"/>
      <w:bookmarkEnd w:id="115"/>
    </w:p>
    <w:p w:rsidR="00D17465" w:rsidRDefault="00D17465" w:rsidP="00BC5587">
      <w:pPr>
        <w:spacing w:before="120" w:after="0" w:line="276" w:lineRule="auto"/>
      </w:pPr>
      <w:r w:rsidRPr="00D17465">
        <w:t>Cílem programu je prostřednictvím výstupů, výsledků a dopadů z podpořených projektů přispět ve střednědobém a dlouhodobém horizontu k naplnění vize transformace a modernizace energetického sektoru v souladu se schválenými strategickými materiály. Tohoto cíle bude dosaženo prostřednictvím podpory výzkumu, vývoje a inovací v oblasti energetiky se zaměřením na (i) podporu projektů ve veřejném zájmu, (ii) nové technologie a systémové prvky s vysokým potenciálem pro rychlé uplatnění v praxi a (iii) podporu dlouhodobých technologických perspektiv</w:t>
      </w:r>
    </w:p>
    <w:p w:rsidR="008A649B" w:rsidRPr="008A649B" w:rsidRDefault="008A649B" w:rsidP="00BC5587">
      <w:pPr>
        <w:spacing w:before="120" w:after="0" w:line="276" w:lineRule="auto"/>
        <w:rPr>
          <w:rFonts w:ascii="Times New Roman" w:hAnsi="Times New Roman"/>
          <w:color w:val="auto"/>
          <w:sz w:val="24"/>
          <w:szCs w:val="24"/>
        </w:rPr>
      </w:pPr>
      <w:r w:rsidRPr="008A649B">
        <w:t>Vzhledem k rozsáhlosti cíle a šíři jeho zaměření je program THÉTA rozdělen do celkem tři podprogramů, konkrétně:</w:t>
      </w:r>
    </w:p>
    <w:p w:rsidR="008A649B" w:rsidRPr="00FC7BC8" w:rsidRDefault="008A649B" w:rsidP="00BC5587">
      <w:pPr>
        <w:pStyle w:val="Odstavecseseznamem"/>
        <w:spacing w:before="120" w:after="0" w:line="276" w:lineRule="auto"/>
      </w:pPr>
      <w:r w:rsidRPr="00FC7BC8">
        <w:t>Podprogram 1 (PP1) - Výzkum ve veřejném zájmu</w:t>
      </w:r>
    </w:p>
    <w:p w:rsidR="008A649B" w:rsidRPr="00FC7BC8" w:rsidRDefault="008A649B" w:rsidP="00BC5587">
      <w:pPr>
        <w:pStyle w:val="Odstavecseseznamem"/>
        <w:spacing w:before="120" w:after="0" w:line="276" w:lineRule="auto"/>
      </w:pPr>
      <w:r w:rsidRPr="00FC7BC8">
        <w:t>Podprogram 2 (PP2) - Strategické energetické technologie</w:t>
      </w:r>
    </w:p>
    <w:p w:rsidR="008A649B" w:rsidRPr="00FC7BC8" w:rsidRDefault="008A649B" w:rsidP="00BC5587">
      <w:pPr>
        <w:pStyle w:val="Odstavecseseznamem"/>
        <w:spacing w:before="120" w:after="0" w:line="276" w:lineRule="auto"/>
      </w:pPr>
      <w:r w:rsidRPr="00FC7BC8">
        <w:t>Podprogram 3 (PP3) - Dlouhodobé technologické perspektivy</w:t>
      </w:r>
    </w:p>
    <w:p w:rsidR="008A649B" w:rsidRPr="008A649B" w:rsidRDefault="008A649B" w:rsidP="00BC5587">
      <w:pPr>
        <w:spacing w:before="120" w:after="0" w:line="276" w:lineRule="auto"/>
        <w:rPr>
          <w:rFonts w:ascii="Times New Roman" w:hAnsi="Times New Roman"/>
          <w:color w:val="auto"/>
          <w:sz w:val="24"/>
          <w:szCs w:val="24"/>
        </w:rPr>
      </w:pPr>
      <w:r w:rsidRPr="008A649B">
        <w:rPr>
          <w:shd w:val="clear" w:color="auto" w:fill="FFFFFF"/>
        </w:rPr>
        <w:t xml:space="preserve">Každý z podprogramů reaguje na různé potřeby výzkumu, vývoje a inovací v energetickém sektoru. </w:t>
      </w:r>
    </w:p>
    <w:p w:rsidR="008A649B" w:rsidRPr="008A649B" w:rsidRDefault="008A649B" w:rsidP="00BC5587">
      <w:pPr>
        <w:spacing w:before="120" w:after="0" w:line="276" w:lineRule="auto"/>
        <w:rPr>
          <w:rFonts w:ascii="Times New Roman" w:hAnsi="Times New Roman"/>
          <w:color w:val="auto"/>
          <w:sz w:val="24"/>
          <w:szCs w:val="24"/>
        </w:rPr>
      </w:pPr>
      <w:r w:rsidRPr="00FC7BC8">
        <w:rPr>
          <w:b/>
          <w:i/>
          <w:iCs/>
          <w:shd w:val="clear" w:color="auto" w:fill="FFFFFF"/>
        </w:rPr>
        <w:t>První podprogram</w:t>
      </w:r>
      <w:r w:rsidRPr="008A649B">
        <w:rPr>
          <w:shd w:val="clear" w:color="auto" w:fill="FFFFFF"/>
        </w:rPr>
        <w:t xml:space="preserve"> je zaměřen na podporu VaV ve veřejném zájmu, konkrétněji pak na podporu výzkumu a vývoje v oblasti jaderné bezpečnosti a radiační ochrany, energetické regulace a v dalších oblastech, které vyžadují výstupy výzkumu a vývoje pro zkvalitnění řízení a tvorbu strategických a koncepčních dokumentů v odvětví energetiky. Program takového typu zatím v České republice chyběl.</w:t>
      </w:r>
    </w:p>
    <w:p w:rsidR="008A649B" w:rsidRPr="008A649B" w:rsidRDefault="008A649B" w:rsidP="00BC5587">
      <w:pPr>
        <w:spacing w:before="120" w:after="0" w:line="276" w:lineRule="auto"/>
        <w:rPr>
          <w:rFonts w:ascii="Times New Roman" w:hAnsi="Times New Roman"/>
          <w:color w:val="auto"/>
          <w:sz w:val="24"/>
          <w:szCs w:val="24"/>
        </w:rPr>
      </w:pPr>
      <w:r w:rsidRPr="00FC7BC8">
        <w:rPr>
          <w:b/>
          <w:i/>
          <w:iCs/>
          <w:shd w:val="clear" w:color="auto" w:fill="FFFFFF"/>
        </w:rPr>
        <w:t>Druhý podprogram</w:t>
      </w:r>
      <w:r w:rsidRPr="008A649B">
        <w:rPr>
          <w:shd w:val="clear" w:color="auto" w:fill="FFFFFF"/>
        </w:rPr>
        <w:t xml:space="preserve"> je zaměřen na podporu výzkumu, vývoje a inovací v oblasti energetických technologií a systémových prvků, která povede ve střednědobém a dlouhodobém horizontu k naplnění vize transformace a modernizace energetického sektoru v souladu se schválenými strategickými materiály. V rámci podprogramu by měly být upřednostňovány projekty zaměřené na takové energetické technologie, které zvyšují konkurenceschopnost českého hospodářství, mají exportní potenciál s vysokou přidanou hodnotou a také přispívají k ochraně životního prostředí. Realizace tohoto programu naváže na stávající národní programy podpory VaVaI, a to zejména programy TIP, TRIO, ALFA a EPSILON.</w:t>
      </w:r>
    </w:p>
    <w:p w:rsidR="008A649B" w:rsidRPr="008A649B" w:rsidRDefault="008A649B" w:rsidP="00BC5587">
      <w:pPr>
        <w:spacing w:before="120" w:after="0" w:line="276" w:lineRule="auto"/>
        <w:rPr>
          <w:rFonts w:ascii="Times New Roman" w:hAnsi="Times New Roman"/>
          <w:color w:val="auto"/>
          <w:sz w:val="24"/>
          <w:szCs w:val="24"/>
        </w:rPr>
      </w:pPr>
      <w:r w:rsidRPr="00FC7BC8">
        <w:rPr>
          <w:b/>
          <w:i/>
          <w:iCs/>
          <w:shd w:val="clear" w:color="auto" w:fill="FFFFFF"/>
        </w:rPr>
        <w:t>Třetí podprogram</w:t>
      </w:r>
      <w:r w:rsidRPr="008A649B">
        <w:rPr>
          <w:i/>
          <w:iCs/>
          <w:shd w:val="clear" w:color="auto" w:fill="FFFFFF"/>
        </w:rPr>
        <w:t xml:space="preserve"> </w:t>
      </w:r>
      <w:r w:rsidRPr="008A649B">
        <w:rPr>
          <w:shd w:val="clear" w:color="auto" w:fill="FFFFFF"/>
        </w:rPr>
        <w:t>je zaměřen na podporu dlouhodobých technologických perspektiv v energetice, které budou realizovány prostřednictvím výzkumných a vývojových aktivit zejména výzkumných organizací. Bude se jednat mimo jiné o (zpravidla dlouhodobé) projekty aplikovaného výzkumu (se zahrnutím nezbytných činností orientovaného základního výzkumu), u kterých se neočekává okamžitá aplikace, a které budou podporovat systémová energetická řešení. Podprogram je zaměřen na výzkumná témata, která jsou identifikována tak, aby přinášela novou kvalitu v dopadu energetického průmyslu na společnost - zabezpečení dodávky energie, ochrany životního prostředí a sociální přiměřenosti, což jsou zásadní kritéria pohledu na energetickou realitu. Obdobně jako první podprogram, i v případě třetího podprogramu platí, že program takového typu zatím v České republice chyběl.</w:t>
      </w:r>
    </w:p>
    <w:p w:rsidR="008A649B" w:rsidRPr="008A649B" w:rsidRDefault="008A649B" w:rsidP="00BC5587">
      <w:pPr>
        <w:spacing w:before="120" w:after="0" w:line="276" w:lineRule="auto"/>
        <w:rPr>
          <w:rFonts w:ascii="Times New Roman" w:hAnsi="Times New Roman"/>
          <w:color w:val="auto"/>
          <w:sz w:val="24"/>
          <w:szCs w:val="24"/>
        </w:rPr>
      </w:pPr>
      <w:r w:rsidRPr="008A649B">
        <w:rPr>
          <w:shd w:val="clear" w:color="auto" w:fill="FFFFFF"/>
        </w:rPr>
        <w:t xml:space="preserve">Stručně je možné shrnout, že první a třetí podprogram nemají své předchůdce, jsou tak novým významným nástrojem podpory VaV v sektoru energetiky vzniklým jako reakce na vzniklou potřebu i poptávku ze strany státu, výzkumné i podnikové sféry. Vznik programu THÉTA je tedy důležitým </w:t>
      </w:r>
      <w:r w:rsidRPr="008A649B">
        <w:rPr>
          <w:shd w:val="clear" w:color="auto" w:fill="FFFFFF"/>
        </w:rPr>
        <w:lastRenderedPageBreak/>
        <w:t>krokem k naplnění úlohy státu při řízení a transformaci sektoru energetiky, tj. sektoru klíčového pro národní hospodářství i bezpečnost.</w:t>
      </w:r>
    </w:p>
    <w:p w:rsidR="00FC7BC8" w:rsidRDefault="00FC7BC8" w:rsidP="00BC5587">
      <w:pPr>
        <w:spacing w:before="120" w:after="0" w:line="276" w:lineRule="auto"/>
        <w:rPr>
          <w:shd w:val="clear" w:color="auto" w:fill="FFFFFF"/>
        </w:rPr>
      </w:pPr>
      <w:r>
        <w:rPr>
          <w:shd w:val="clear" w:color="auto" w:fill="FFFFFF"/>
        </w:rPr>
        <w:t xml:space="preserve">Podprogram 2 své předchůdce má, a to </w:t>
      </w:r>
      <w:r w:rsidR="008A649B" w:rsidRPr="008A649B">
        <w:rPr>
          <w:shd w:val="clear" w:color="auto" w:fill="FFFFFF"/>
        </w:rPr>
        <w:t>zejména pr</w:t>
      </w:r>
      <w:r>
        <w:rPr>
          <w:shd w:val="clear" w:color="auto" w:fill="FFFFFF"/>
        </w:rPr>
        <w:t>ogramy ALFA, TIP, TRIO, EPSILON</w:t>
      </w:r>
      <w:r w:rsidR="008A649B" w:rsidRPr="008A649B">
        <w:rPr>
          <w:shd w:val="clear" w:color="auto" w:fill="FFFFFF"/>
        </w:rPr>
        <w:t xml:space="preserve">. </w:t>
      </w:r>
    </w:p>
    <w:p w:rsidR="008A649B" w:rsidRPr="008A649B" w:rsidRDefault="008A649B" w:rsidP="00BC5587">
      <w:pPr>
        <w:spacing w:before="120" w:after="0" w:line="276" w:lineRule="auto"/>
        <w:rPr>
          <w:rFonts w:ascii="Times New Roman" w:hAnsi="Times New Roman"/>
          <w:color w:val="auto"/>
          <w:sz w:val="24"/>
          <w:szCs w:val="24"/>
        </w:rPr>
      </w:pPr>
      <w:r w:rsidRPr="008A649B">
        <w:rPr>
          <w:shd w:val="clear" w:color="auto" w:fill="FFFFFF"/>
        </w:rPr>
        <w:t>Základní myšlenkou prog</w:t>
      </w:r>
      <w:r w:rsidR="00FC7BC8">
        <w:rPr>
          <w:shd w:val="clear" w:color="auto" w:fill="FFFFFF"/>
        </w:rPr>
        <w:t xml:space="preserve">ramu THÉTA </w:t>
      </w:r>
      <w:r w:rsidRPr="008A649B">
        <w:rPr>
          <w:shd w:val="clear" w:color="auto" w:fill="FFFFFF"/>
        </w:rPr>
        <w:t>je koncentrovat podporu VaVaI pro sektor energetiky na “jedno místo”, respektive v rámci jednoho programu. To umožní lépe sledovat dosavadní výsledky projektů VaVaI, navazovat na ně, ale i lépe koordinovat vyhlašování jednotlivých veřejných soutěží.</w:t>
      </w:r>
    </w:p>
    <w:p w:rsidR="008A649B" w:rsidRPr="008A649B" w:rsidRDefault="008A649B" w:rsidP="00BC5587">
      <w:pPr>
        <w:spacing w:before="120" w:after="0" w:line="276" w:lineRule="auto"/>
        <w:rPr>
          <w:rFonts w:ascii="Times New Roman" w:hAnsi="Times New Roman"/>
          <w:color w:val="auto"/>
          <w:sz w:val="24"/>
          <w:szCs w:val="24"/>
        </w:rPr>
      </w:pPr>
      <w:r w:rsidRPr="008A649B">
        <w:rPr>
          <w:shd w:val="clear" w:color="auto" w:fill="FFFFFF"/>
        </w:rPr>
        <w:t>Tak jako byly do přípravy samotného programu THÉTA zahrnuty jednotlivé zainteresované strany (stakeholders - tj. zejména zástupci státních institucí, výzkumní i podnikové sféry), předpokládá se jejich zahrnutí i přípravě jednotlivých veřejných soutěží.</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Alokace programu je rozdělena na jednotlivé podprogramy v poměru: </w:t>
      </w:r>
    </w:p>
    <w:p w:rsidR="008A649B" w:rsidRPr="000D59FC" w:rsidRDefault="008A649B" w:rsidP="00BC5587">
      <w:pPr>
        <w:pStyle w:val="Odstavecseseznamem"/>
        <w:numPr>
          <w:ilvl w:val="0"/>
          <w:numId w:val="53"/>
        </w:numPr>
        <w:spacing w:before="120" w:after="0" w:line="276" w:lineRule="auto"/>
        <w:rPr>
          <w:rFonts w:ascii="Arial" w:hAnsi="Arial"/>
        </w:rPr>
      </w:pPr>
      <w:r w:rsidRPr="008A649B">
        <w:t xml:space="preserve">PP1: 15 %, 600 mil. Kč výdajů státního rozpočtu za celou dobu trvání programu, </w:t>
      </w:r>
    </w:p>
    <w:p w:rsidR="008A649B" w:rsidRPr="000D59FC" w:rsidRDefault="008A649B" w:rsidP="00BC5587">
      <w:pPr>
        <w:pStyle w:val="Odstavecseseznamem"/>
        <w:numPr>
          <w:ilvl w:val="0"/>
          <w:numId w:val="53"/>
        </w:numPr>
        <w:spacing w:before="120" w:after="0" w:line="276" w:lineRule="auto"/>
        <w:rPr>
          <w:rFonts w:ascii="Arial" w:hAnsi="Arial"/>
        </w:rPr>
      </w:pPr>
      <w:r w:rsidRPr="008A649B">
        <w:t>PP2: 50 %, 2 000 mil. Kč výdajů státního rozpočtu za celou dobu trvání programu,</w:t>
      </w:r>
    </w:p>
    <w:p w:rsidR="008A649B" w:rsidRPr="000D59FC" w:rsidRDefault="008A649B" w:rsidP="00BC5587">
      <w:pPr>
        <w:pStyle w:val="Odstavecseseznamem"/>
        <w:numPr>
          <w:ilvl w:val="0"/>
          <w:numId w:val="53"/>
        </w:numPr>
        <w:spacing w:before="120" w:after="0" w:line="276" w:lineRule="auto"/>
        <w:rPr>
          <w:rFonts w:ascii="Arial" w:hAnsi="Arial"/>
        </w:rPr>
      </w:pPr>
      <w:r w:rsidRPr="008A649B">
        <w:t>PP3: 35 %, 1 400 mil. Kč výdajů státního rozpočtu za celou dobu trvání programu.  </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V jednotlivých podprogramech jsou předpokládány projekty o průměrné délce a velikosti: </w:t>
      </w:r>
    </w:p>
    <w:p w:rsidR="008A649B" w:rsidRPr="000D59FC" w:rsidRDefault="008A649B" w:rsidP="00BC5587">
      <w:pPr>
        <w:pStyle w:val="Odstavecseseznamem"/>
        <w:numPr>
          <w:ilvl w:val="0"/>
          <w:numId w:val="54"/>
        </w:numPr>
        <w:spacing w:before="120" w:after="0" w:line="276" w:lineRule="auto"/>
        <w:rPr>
          <w:rFonts w:ascii="Arial" w:hAnsi="Arial"/>
        </w:rPr>
      </w:pPr>
      <w:r w:rsidRPr="008A649B">
        <w:t>PP1: 2-3 roky (typický projekt pak bude pravděpodobně dvouletý) s průměrnou podporou ze státního rozpočtu na realizace celého projektu přibližně 4 mil. Kč</w:t>
      </w:r>
    </w:p>
    <w:p w:rsidR="008A649B" w:rsidRPr="000D59FC" w:rsidRDefault="008A649B" w:rsidP="00BC5587">
      <w:pPr>
        <w:pStyle w:val="Odstavecseseznamem"/>
        <w:numPr>
          <w:ilvl w:val="0"/>
          <w:numId w:val="54"/>
        </w:numPr>
        <w:spacing w:before="120" w:after="0" w:line="276" w:lineRule="auto"/>
        <w:rPr>
          <w:rFonts w:ascii="Arial" w:hAnsi="Arial"/>
        </w:rPr>
      </w:pPr>
      <w:r w:rsidRPr="008A649B">
        <w:t xml:space="preserve">PP2: 2-4 roky (typický projekt pak bude pravděpodobně tříletý) s průměrnou podporou ze </w:t>
      </w:r>
      <w:r w:rsidR="00283C55" w:rsidRPr="008A649B">
        <w:t>státního</w:t>
      </w:r>
      <w:r w:rsidRPr="008A649B">
        <w:t xml:space="preserve"> rozpočtu na realizace celého projektu přibližně </w:t>
      </w:r>
      <w:r w:rsidR="00020305">
        <w:t>2</w:t>
      </w:r>
      <w:r w:rsidRPr="008A649B">
        <w:t>0 mil. Kč</w:t>
      </w:r>
    </w:p>
    <w:p w:rsidR="008A649B" w:rsidRPr="000D59FC" w:rsidRDefault="008A649B" w:rsidP="00BC5587">
      <w:pPr>
        <w:pStyle w:val="Odstavecseseznamem"/>
        <w:numPr>
          <w:ilvl w:val="0"/>
          <w:numId w:val="54"/>
        </w:numPr>
        <w:spacing w:before="120" w:after="0" w:line="276" w:lineRule="auto"/>
        <w:rPr>
          <w:rFonts w:ascii="Arial" w:hAnsi="Arial"/>
        </w:rPr>
      </w:pPr>
      <w:r w:rsidRPr="008A649B">
        <w:t xml:space="preserve">PP3: 4-8 roky s průměrnou podporou ze </w:t>
      </w:r>
      <w:r w:rsidR="00283C55" w:rsidRPr="008A649B">
        <w:t>státního</w:t>
      </w:r>
      <w:r w:rsidRPr="008A649B">
        <w:t xml:space="preserve"> rozpočtu na realizace celého projektu přibližně </w:t>
      </w:r>
      <w:r w:rsidR="00020305">
        <w:t>3</w:t>
      </w:r>
      <w:r w:rsidRPr="008A649B">
        <w:t>0 mil. Kč</w:t>
      </w:r>
    </w:p>
    <w:p w:rsidR="008A649B" w:rsidRPr="008A649B" w:rsidRDefault="008A649B" w:rsidP="00BC5587">
      <w:pPr>
        <w:spacing w:before="120" w:after="0" w:line="276" w:lineRule="auto"/>
        <w:rPr>
          <w:rFonts w:ascii="Times New Roman" w:hAnsi="Times New Roman"/>
          <w:color w:val="auto"/>
          <w:sz w:val="24"/>
          <w:szCs w:val="24"/>
        </w:rPr>
      </w:pPr>
      <w:r w:rsidRPr="008A649B">
        <w:t>První soutěž ve všech podprogramech by měla být vyhlášena v roce 2017. Podprogram 1 by následně měl mít vyhlášenou veřejnou soutěž v roce 2018, 2019 a následně každý jeden až dva roky až do roku 2023. U podprogramu 2 se předpokládá vyhlášení veřejné soutěže každý rok, a to až do roku 2023. Podprogram 3 by měl mít vyhlášeny celkem tři veřejné soutěže, kromě roku 2017 dále v letech 2019 a</w:t>
      </w:r>
      <w:r w:rsidR="00FC7BC8">
        <w:t> </w:t>
      </w:r>
      <w:r w:rsidRPr="008A649B">
        <w:t xml:space="preserve">2021. </w:t>
      </w:r>
    </w:p>
    <w:p w:rsidR="008A649B" w:rsidRPr="008A649B" w:rsidRDefault="008A649B" w:rsidP="00BC5587">
      <w:pPr>
        <w:spacing w:before="120" w:after="0" w:line="276" w:lineRule="auto"/>
        <w:rPr>
          <w:rFonts w:ascii="Times New Roman" w:hAnsi="Times New Roman"/>
          <w:color w:val="auto"/>
          <w:sz w:val="24"/>
          <w:szCs w:val="24"/>
        </w:rPr>
      </w:pPr>
      <w:r w:rsidRPr="008A649B">
        <w:t>V rámci přípravy veřejných soutěží bude specifikováno, zda bude vyhlášena v daném roce veřejná soutěž souhrnně pro všechny podprogramy nebo zda budou mít podprogramy samostatné veřejné soutěže.</w:t>
      </w:r>
    </w:p>
    <w:p w:rsidR="008A649B" w:rsidRPr="008A649B" w:rsidRDefault="008A649B" w:rsidP="00BC5587">
      <w:pPr>
        <w:spacing w:before="120" w:after="0" w:line="276" w:lineRule="auto"/>
        <w:rPr>
          <w:rFonts w:ascii="Times New Roman" w:hAnsi="Times New Roman"/>
          <w:color w:val="auto"/>
          <w:sz w:val="24"/>
          <w:szCs w:val="24"/>
        </w:rPr>
      </w:pPr>
      <w:r w:rsidRPr="008A649B">
        <w:t>V rámci přípravy veřejných soutěží budou detailně specifikovány následující parametry soutěže:</w:t>
      </w:r>
    </w:p>
    <w:p w:rsidR="008A649B" w:rsidRPr="000D59FC" w:rsidRDefault="008A649B" w:rsidP="00BC5587">
      <w:pPr>
        <w:pStyle w:val="Odstavecseseznamem"/>
        <w:numPr>
          <w:ilvl w:val="0"/>
          <w:numId w:val="55"/>
        </w:numPr>
        <w:spacing w:before="120" w:after="0" w:line="276" w:lineRule="auto"/>
        <w:rPr>
          <w:rFonts w:ascii="Arial" w:hAnsi="Arial"/>
        </w:rPr>
      </w:pPr>
      <w:r w:rsidRPr="008A649B">
        <w:t>zaměření soutěže, a to mj. v návaznosti na aktuální priority a strategické dokumenty;</w:t>
      </w:r>
    </w:p>
    <w:p w:rsidR="008A649B" w:rsidRPr="000D59FC" w:rsidRDefault="008A649B" w:rsidP="00BC5587">
      <w:pPr>
        <w:pStyle w:val="Odstavecseseznamem"/>
        <w:numPr>
          <w:ilvl w:val="0"/>
          <w:numId w:val="55"/>
        </w:numPr>
        <w:spacing w:before="120" w:after="0" w:line="276" w:lineRule="auto"/>
        <w:rPr>
          <w:rFonts w:ascii="Arial" w:hAnsi="Arial"/>
        </w:rPr>
      </w:pPr>
      <w:r w:rsidRPr="008A649B">
        <w:t>případná omezení týkající se délky trvání projektu, míry podpory, výsledků projektů, způsobilých a uznaných nákladů;</w:t>
      </w:r>
    </w:p>
    <w:p w:rsidR="008A649B" w:rsidRPr="000D59FC" w:rsidRDefault="008A649B" w:rsidP="00BC5587">
      <w:pPr>
        <w:pStyle w:val="Odstavecseseznamem"/>
        <w:numPr>
          <w:ilvl w:val="0"/>
          <w:numId w:val="55"/>
        </w:numPr>
        <w:spacing w:before="120" w:after="0" w:line="276" w:lineRule="auto"/>
        <w:rPr>
          <w:rFonts w:ascii="Arial" w:hAnsi="Arial"/>
        </w:rPr>
      </w:pPr>
      <w:r w:rsidRPr="008A649B">
        <w:t>přesné nastavení kritérií hodnocení projektů, včetně případných bonifikačních kritérií.</w:t>
      </w:r>
    </w:p>
    <w:p w:rsidR="00AE2325" w:rsidRDefault="00AE2325">
      <w:pPr>
        <w:spacing w:after="0" w:line="276" w:lineRule="auto"/>
        <w:jc w:val="left"/>
        <w:rPr>
          <w:b/>
          <w:color w:val="FF0000"/>
          <w:sz w:val="24"/>
          <w:szCs w:val="28"/>
        </w:rPr>
      </w:pPr>
      <w:bookmarkStart w:id="116" w:name="_z6c8ukd0s8xv" w:colFirst="0" w:colLast="0"/>
      <w:bookmarkEnd w:id="116"/>
      <w:r>
        <w:br w:type="page"/>
      </w:r>
    </w:p>
    <w:p w:rsidR="008C4588" w:rsidRPr="00A52D2C" w:rsidRDefault="0009700A" w:rsidP="00BC5587">
      <w:pPr>
        <w:pStyle w:val="Nadpis2"/>
        <w:spacing w:before="120" w:after="0" w:line="276" w:lineRule="auto"/>
      </w:pPr>
      <w:bookmarkStart w:id="117" w:name="_Toc463269133"/>
      <w:bookmarkStart w:id="118" w:name="_Toc463269279"/>
      <w:bookmarkStart w:id="119" w:name="_Toc463269317"/>
      <w:bookmarkStart w:id="120" w:name="_Toc463296658"/>
      <w:bookmarkStart w:id="121" w:name="_Toc463438637"/>
      <w:r w:rsidRPr="00A52D2C">
        <w:lastRenderedPageBreak/>
        <w:t>Podprogramy - detailní specifikace</w:t>
      </w:r>
      <w:bookmarkEnd w:id="117"/>
      <w:bookmarkEnd w:id="118"/>
      <w:bookmarkEnd w:id="119"/>
      <w:bookmarkEnd w:id="120"/>
      <w:bookmarkEnd w:id="121"/>
    </w:p>
    <w:p w:rsidR="008C4588" w:rsidRPr="00A52D2C" w:rsidRDefault="0009700A" w:rsidP="006E38F6">
      <w:pPr>
        <w:pStyle w:val="Nadpis3"/>
      </w:pPr>
      <w:bookmarkStart w:id="122" w:name="_g5svq0l3qi1r" w:colFirst="0" w:colLast="0"/>
      <w:bookmarkStart w:id="123" w:name="_Toc462344801"/>
      <w:bookmarkStart w:id="124" w:name="_Toc463269134"/>
      <w:bookmarkStart w:id="125" w:name="_Toc463269318"/>
      <w:bookmarkEnd w:id="122"/>
      <w:r w:rsidRPr="00A52D2C">
        <w:t>PP1 - Výzkum ve veřejném zájmu</w:t>
      </w:r>
      <w:bookmarkEnd w:id="123"/>
      <w:bookmarkEnd w:id="124"/>
      <w:bookmarkEnd w:id="125"/>
    </w:p>
    <w:p w:rsidR="008A649B" w:rsidRPr="003E15BB" w:rsidRDefault="008A649B" w:rsidP="00BC5587">
      <w:pPr>
        <w:pStyle w:val="Zvraznnnormln"/>
        <w:spacing w:after="0" w:line="276" w:lineRule="auto"/>
        <w:rPr>
          <w:rStyle w:val="Zvraznn"/>
          <w:b/>
        </w:rPr>
      </w:pPr>
      <w:r w:rsidRPr="003E15BB">
        <w:rPr>
          <w:rStyle w:val="Zvraznn"/>
          <w:b/>
        </w:rPr>
        <w:t xml:space="preserve">Cíl a zaměření podprogramu: </w:t>
      </w:r>
    </w:p>
    <w:p w:rsidR="008A649B" w:rsidRPr="008A649B" w:rsidRDefault="00AE2325" w:rsidP="00BC5587">
      <w:pPr>
        <w:spacing w:before="120" w:after="0" w:line="276" w:lineRule="auto"/>
        <w:rPr>
          <w:rFonts w:ascii="Times New Roman" w:hAnsi="Times New Roman"/>
          <w:color w:val="auto"/>
          <w:sz w:val="24"/>
          <w:szCs w:val="24"/>
        </w:rPr>
      </w:pPr>
      <w:r w:rsidRPr="00AE2325">
        <w:t>Cílem podprogramu je zkvalitnění řízení v odvětví energetiky ze strany veřejné správy a tvorby strategických a koncepčních dokumentů, a to prostřednictvím podpory výzkumu a vývoje v oblasti energetiky se zaměřením na podporu projektů výzkumu a vývoje ve veřejném zájmu. V tomto ohledu se jedná zejména o podporu výzkumu a vývoje v oblasti jaderné bezpečnosti a radiační ochrany, energetické regulace a v dalších relevantních oblastech odvětví energetiky</w:t>
      </w:r>
      <w:r>
        <w:t>.</w:t>
      </w:r>
    </w:p>
    <w:p w:rsidR="008A649B" w:rsidRPr="008A649B" w:rsidRDefault="008A649B" w:rsidP="00BC5587">
      <w:pPr>
        <w:spacing w:before="120" w:after="0" w:line="276" w:lineRule="auto"/>
        <w:rPr>
          <w:rFonts w:ascii="Times New Roman" w:hAnsi="Times New Roman"/>
          <w:color w:val="auto"/>
          <w:sz w:val="24"/>
          <w:szCs w:val="24"/>
        </w:rPr>
      </w:pPr>
      <w:r w:rsidRPr="008A649B">
        <w:t>Dílčím cílem podprogramu je podpora výzkumu a vývoje v oblasti jaderné bezpečnosti a systémových prvků, která povede ve střednědobém a dlouhodobém horizontu k naplňování potřeb jak dozoru nad jadernou bezpečností, tak potřeb dlouhodobé udržitelnosti a bezpečnosti infrastruktury v této oblasti.</w:t>
      </w:r>
    </w:p>
    <w:p w:rsidR="008A649B" w:rsidRPr="008A649B" w:rsidRDefault="008A649B" w:rsidP="00BC5587">
      <w:pPr>
        <w:spacing w:before="120" w:after="0" w:line="276" w:lineRule="auto"/>
        <w:rPr>
          <w:rFonts w:ascii="Times New Roman" w:hAnsi="Times New Roman"/>
          <w:color w:val="auto"/>
          <w:sz w:val="24"/>
          <w:szCs w:val="24"/>
        </w:rPr>
      </w:pPr>
      <w:r w:rsidRPr="008A649B">
        <w:t>Cíle a zaměření podprogramu vycházejí ze schválené aktualizované Státní energetické koncepce (květen 2015), kde je ukotveno zajištění podpory projektů výzkumu v oblasti jaderné bezpečnosti a radiační ochrany v návaznosti na schválené strategické dokumenty a Evropský strategický plán pro energetické technologie, skrze strategicky usměrňovanou podporu výzkumných projektů v oblasti energetiky v kontextu prioritní oblasti „Udržitelná energetika“. V horizontu posledních let došlo ke schválení řady vrcholových strategických dokumentů v oblasti energetiky, jedná se zejména o Státní energetickou koncepci a Národní akční plán rozvoje jaderné energetiky v ČR a ostatní koncepční dokumenty, které staví na strategickém rámci Státní energetické koncepce v oblasti energetiky. Tyto dokumenty jsou základem sektorového a strategického zaměření tohoto podprogramu.</w:t>
      </w:r>
    </w:p>
    <w:p w:rsidR="008A649B" w:rsidRPr="008A649B" w:rsidRDefault="008A649B" w:rsidP="00BC5587">
      <w:pPr>
        <w:spacing w:before="120" w:after="0" w:line="276" w:lineRule="auto"/>
        <w:rPr>
          <w:rFonts w:ascii="Times New Roman" w:hAnsi="Times New Roman"/>
          <w:color w:val="auto"/>
          <w:sz w:val="24"/>
          <w:szCs w:val="24"/>
        </w:rPr>
      </w:pPr>
      <w:r w:rsidRPr="008A649B">
        <w:t>Výzkum realizovaný ve veřejném zájmu  v rámci tohoto podprogramu by měl být následně využit (aplikován) ze strany zejména následujících institucí: Ministerstva průmyslu a obchodu, Státního úřadu pro jadernou bezpečnost, Energetického regulačního úřadu, územních samosprávných celků (krajů i měst a obcí), Správy úložišť radioaktivních úložišť, ČEPS, MERO, ČEPRO, OTE, Státní energetické inspekce a dalších.</w:t>
      </w:r>
    </w:p>
    <w:p w:rsidR="008A649B" w:rsidRPr="003E15BB" w:rsidRDefault="004272B6" w:rsidP="00BC5587">
      <w:pPr>
        <w:pStyle w:val="Zvraznnnormln"/>
        <w:spacing w:after="0" w:line="276" w:lineRule="auto"/>
        <w:rPr>
          <w:rStyle w:val="Zvraznn"/>
          <w:b/>
        </w:rPr>
      </w:pPr>
      <w:r w:rsidRPr="003E15BB">
        <w:rPr>
          <w:rStyle w:val="Zvraznn"/>
          <w:b/>
        </w:rPr>
        <w:t>J</w:t>
      </w:r>
      <w:r w:rsidR="008A649B" w:rsidRPr="003E15BB">
        <w:rPr>
          <w:rStyle w:val="Zvraznn"/>
          <w:b/>
        </w:rPr>
        <w:t>aderná bezpečnost a radiační ochrana:</w:t>
      </w:r>
    </w:p>
    <w:p w:rsidR="008A649B" w:rsidRPr="008A649B" w:rsidRDefault="008A649B" w:rsidP="00BC5587">
      <w:pPr>
        <w:spacing w:before="120" w:after="0" w:line="276" w:lineRule="auto"/>
        <w:rPr>
          <w:rFonts w:ascii="Times New Roman" w:hAnsi="Times New Roman"/>
          <w:color w:val="auto"/>
          <w:sz w:val="24"/>
          <w:szCs w:val="24"/>
        </w:rPr>
      </w:pPr>
      <w:r w:rsidRPr="008A649B">
        <w:t>Podprogram by měl být v oblasti jaderné bezpečnosti a radiační ochrany tematicky konkrétně zaměřen na výzkum, analýzy a zpracování metodických postupů v oblasti bezpečnosti celého životního cyklu jaderných zdrojů, a to včetně zajištění potřebných dat pro provedení těchto analýz, dále řešení konce palivového cyklu, zajištění spolehlivosti a dlouhodobého provozu stávajících jaderných zařízení, prvky aktivní a pasivní bezpečnosti, vyšší spolehlivost nových jaderných elektráren, nebo zvýšení odolnosti a ochrany prvků kritické infrastruktury.</w:t>
      </w:r>
    </w:p>
    <w:p w:rsidR="008A649B" w:rsidRPr="008A649B" w:rsidRDefault="008A649B" w:rsidP="00BC5587">
      <w:pPr>
        <w:spacing w:before="120" w:after="0" w:line="276" w:lineRule="auto"/>
        <w:rPr>
          <w:rFonts w:ascii="Times New Roman" w:hAnsi="Times New Roman"/>
          <w:color w:val="auto"/>
          <w:sz w:val="24"/>
          <w:szCs w:val="24"/>
        </w:rPr>
      </w:pPr>
      <w:r w:rsidRPr="008A649B">
        <w:t>Podprogram je též v tomto ohledu dílčím plněním Národního akčního plánu rozvoje jaderné energetiky v České republice schváleného usnesením vlády ze dne 3. června 2015 č. 419, který v oblasti věnované výzkumu uvádí potřebu připravit a konkretizovat státní politiku výzkumu a vývoje pro oblast jaderné energetiky, případně jako segment pro oblast energetiky jako celku, v návaznosti na politiku připravit nástroje strategického usměrňování veřejné podpory výzkumu a vývoje v oblasti jaderné energetiky a v neposlední řadě posílit zapojení do mezinárodní spolupráce v oblasti VaVaI a způsobu jeho financování.</w:t>
      </w:r>
    </w:p>
    <w:p w:rsidR="008A649B" w:rsidRPr="008A649B" w:rsidRDefault="008A649B" w:rsidP="00BC5587">
      <w:pPr>
        <w:spacing w:before="120" w:after="0" w:line="276" w:lineRule="auto"/>
        <w:rPr>
          <w:rFonts w:ascii="Times New Roman" w:hAnsi="Times New Roman"/>
          <w:color w:val="auto"/>
          <w:sz w:val="24"/>
          <w:szCs w:val="24"/>
        </w:rPr>
      </w:pPr>
      <w:r w:rsidRPr="008A649B">
        <w:lastRenderedPageBreak/>
        <w:t>V rámci podprogramu by měly být v oblasti jaderné bezpečnosti a radiační ochrany podporován zejména výzkum a vývoj na obecnou podporu bezpečnosti provozovaných reaktorů druhé generace a perspektivních reaktorů třetí generace včetně zapojení do mezinárodní spolupráce, dále na obecnou podporu bezpečnosti v oblasti vnějšího palivového cyklu a při nakládání s radioaktivními odpady včetně jejich ukládání a zapojení do mezinárodní spolupráce a v neposlední řadě podporu – výzkumu a vývoje s ohledem na obecnou podporu bezpečnosti vyvíjených reaktorů čtvrté generace včetně zapojení do mezinárodní spolupráce.</w:t>
      </w:r>
    </w:p>
    <w:p w:rsidR="008A649B" w:rsidRPr="008A649B" w:rsidRDefault="008A649B" w:rsidP="00BC5587">
      <w:pPr>
        <w:spacing w:before="120" w:after="0" w:line="276" w:lineRule="auto"/>
        <w:rPr>
          <w:rFonts w:ascii="Times New Roman" w:hAnsi="Times New Roman"/>
          <w:color w:val="auto"/>
          <w:sz w:val="24"/>
          <w:szCs w:val="24"/>
        </w:rPr>
      </w:pPr>
      <w:r w:rsidRPr="008A649B">
        <w:t>Podprogram by měl tedy také podporovat a umožňovat aktivnější zapojení České republiky do mezinárodní spolupráce (MAAE, OECD NEA a dvoustranné smlouvy o spolupráci) a zejména spolupráci v rámci EU. Na úrovni EU je oblasti jaderné bezpečnosti věnována relativně vysoká pozornost v rámci Evropského strategického plánu pro energetické technologie, který je hlavním uskupením v oblasti pátého pilíře Energetické unie zaměřeného na výzkum. Jako jedna z deseti strategických priorit na úrovni Evropského strategického plánu pro energetické technologie byla identifikována priorita udržování vysoké úrovně bezpečnosti jaderných reaktorů a souvisejících palivových cyklů během provozu a vyřazování z provozu, a to v kontextu kontinuálního zvyšování efektivnosti jaderných zařízení.</w:t>
      </w:r>
    </w:p>
    <w:p w:rsidR="00FC7BC8" w:rsidRPr="003E15BB" w:rsidRDefault="008A649B" w:rsidP="00BC5587">
      <w:pPr>
        <w:pStyle w:val="Zvraznnnormln"/>
        <w:spacing w:after="0" w:line="276" w:lineRule="auto"/>
        <w:rPr>
          <w:rStyle w:val="Zvraznn"/>
          <w:b/>
        </w:rPr>
      </w:pPr>
      <w:r w:rsidRPr="003E15BB">
        <w:rPr>
          <w:rStyle w:val="Zvraznn"/>
          <w:b/>
        </w:rPr>
        <w:t>Regulace a cenotvorba v energetice:</w:t>
      </w:r>
      <w:r w:rsidR="00FC7BC8" w:rsidRPr="003E15BB">
        <w:rPr>
          <w:rStyle w:val="Zvraznn"/>
          <w:b/>
        </w:rPr>
        <w:t xml:space="preserve"> </w:t>
      </w:r>
    </w:p>
    <w:p w:rsidR="008A649B" w:rsidRPr="008A649B" w:rsidRDefault="008A649B" w:rsidP="00BC5587">
      <w:pPr>
        <w:spacing w:before="120" w:after="0" w:line="276" w:lineRule="auto"/>
        <w:rPr>
          <w:rFonts w:ascii="Times New Roman" w:hAnsi="Times New Roman"/>
          <w:color w:val="auto"/>
          <w:sz w:val="24"/>
          <w:szCs w:val="24"/>
        </w:rPr>
      </w:pPr>
      <w:r w:rsidRPr="008A649B">
        <w:t>Program by měl být konkrétně tematicky zaměřen na analýzy a zpracování metodických postupů v oblasti regulace a v oblasti ekonomických a společenských dopadů rozvoje energetiky. Jeho hlavním cílem jsou analýzy celospolečenských dopadů v následujících oblastech:</w:t>
      </w:r>
    </w:p>
    <w:p w:rsidR="008A649B" w:rsidRPr="000D59FC" w:rsidRDefault="008A649B" w:rsidP="00BC5587">
      <w:pPr>
        <w:pStyle w:val="Odstavecseseznamem"/>
        <w:numPr>
          <w:ilvl w:val="0"/>
          <w:numId w:val="56"/>
        </w:numPr>
        <w:spacing w:before="120" w:after="0" w:line="276" w:lineRule="auto"/>
        <w:rPr>
          <w:rFonts w:ascii="Arial" w:hAnsi="Arial"/>
        </w:rPr>
      </w:pPr>
      <w:r w:rsidRPr="008A649B">
        <w:t>Regulace a cenotvorba v energetice, metodiky regulace monopolních činností, efektivnost investic do modernizace energetické soustavy, vývoj tarifních systémů reflektujících změny v energetice, propojení efektivního využívání energetické infrastruktury s cíli státní energetické koncepce, koncepce vhodného regulačního rámce pro systémy akumulace elektřiny, analýza vztahu mezi elektrizační soustavou a elektromobilitou z pohledu regulace i obchodování (např. provozování dobíjecích stanic).</w:t>
      </w:r>
    </w:p>
    <w:p w:rsidR="008A649B" w:rsidRPr="000D59FC" w:rsidRDefault="008A649B" w:rsidP="00BC5587">
      <w:pPr>
        <w:pStyle w:val="Odstavecseseznamem"/>
        <w:numPr>
          <w:ilvl w:val="0"/>
          <w:numId w:val="56"/>
        </w:numPr>
        <w:spacing w:before="120" w:after="0" w:line="276" w:lineRule="auto"/>
        <w:rPr>
          <w:rFonts w:ascii="Arial" w:hAnsi="Arial"/>
        </w:rPr>
      </w:pPr>
      <w:r w:rsidRPr="008A649B">
        <w:t>Podpora a vyhodnocení liberalizace a decentralizace, reforma evropského velkoobchodního trhu s elektřinou a její dopad na ČR, liberalizace a integrace národních trhů a dopad na českého spotřebitele, monitoring velkoobchodního a maloobchodního trhu, vyhodnocení fungování velkoobchodního trhu a nových obchodních produktů, podpora flexibility elektrizační soustavy v podmínkách ČR – přizpůsobení pravidel trhu s cílem adekvátně ocenit flexibilitu zdrojů i strany poptávky; nové obchodní i technické modely pro zapojení distribuované výroby i zdrojů na straně spotřeby (např. agregace), liberalizace a integrace národních trhů a dopad na českého spotřebitele; vyhodnocení potenciálu, přínosů a nákladů propojování jednotlivých trhů s elektřinou (dlouhodobé a spotové trhy, trh s regulační energií a podpůrnými službami) a propojování trhů se zemním plynem (zejména rozšiřování a propojování obchodních zón)</w:t>
      </w:r>
    </w:p>
    <w:p w:rsidR="008A649B" w:rsidRPr="000D59FC" w:rsidRDefault="008A649B" w:rsidP="00BC5587">
      <w:pPr>
        <w:pStyle w:val="Odstavecseseznamem"/>
        <w:numPr>
          <w:ilvl w:val="0"/>
          <w:numId w:val="56"/>
        </w:numPr>
        <w:spacing w:before="120" w:after="0" w:line="276" w:lineRule="auto"/>
        <w:rPr>
          <w:rFonts w:ascii="Arial" w:hAnsi="Arial"/>
        </w:rPr>
      </w:pPr>
      <w:r w:rsidRPr="008A649B">
        <w:t>Podpora zranitelného zákazníka, řešení energetické chudoby, propojení systémů registrace odběrných míst u OTE a systémů sociálních dávek s návrhem možného systémového řízení problematiky energetické chudoby a zranitelného zákazníka, koncept řešení energetické chudoby v rámci nepojistných sociálních dávkových systémů</w:t>
      </w:r>
    </w:p>
    <w:p w:rsidR="008A649B" w:rsidRPr="000D59FC" w:rsidRDefault="008A649B" w:rsidP="00BC5587">
      <w:pPr>
        <w:pStyle w:val="Odstavecseseznamem"/>
        <w:numPr>
          <w:ilvl w:val="0"/>
          <w:numId w:val="56"/>
        </w:numPr>
        <w:spacing w:before="120" w:after="0" w:line="276" w:lineRule="auto"/>
        <w:rPr>
          <w:rFonts w:ascii="Arial" w:hAnsi="Arial"/>
        </w:rPr>
      </w:pPr>
      <w:r w:rsidRPr="008A649B">
        <w:lastRenderedPageBreak/>
        <w:t>Energetická gramotnost, podpora výzkumných center zabývajících se regulací a liberalizací v energetice, zapojení spotřebitelů do konzultačních procedur skrz asociace na ochranu spotřebitelů.</w:t>
      </w:r>
    </w:p>
    <w:p w:rsidR="008A649B" w:rsidRPr="008A649B" w:rsidRDefault="008A649B" w:rsidP="00BC5587">
      <w:pPr>
        <w:spacing w:before="120" w:after="0" w:line="276" w:lineRule="auto"/>
        <w:rPr>
          <w:rFonts w:ascii="Times New Roman" w:hAnsi="Times New Roman"/>
          <w:color w:val="auto"/>
          <w:sz w:val="24"/>
          <w:szCs w:val="24"/>
        </w:rPr>
      </w:pPr>
      <w:r w:rsidRPr="008A649B">
        <w:t>V oblasti decentrální energetiky a dalšího ovlivňování jejího rozvoje podprogram vychází ze schváleného národního akčního plánu pro chytré sítě. Jedná se o posílení a nová řešení síťových prvků, které se podílí nejen na dodávce energie, ale zejména na stabilitě celého systému.</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Podprogram by měl být dále zaměřen na podporu výzkumu v oblasti systémových témat, která by měla přispívat k integrovanému pohledu na sektor energetiky. Úspěšná a efektivní transformace sektoru energetiky je obvykle podmíněna systémovými změnami, nejenom na legislativní bázi, které však musí vycházet z dostatečné analýzy stávajícího stavu. </w:t>
      </w:r>
    </w:p>
    <w:p w:rsidR="008A649B" w:rsidRPr="008A649B" w:rsidRDefault="008A649B" w:rsidP="00BC5587">
      <w:pPr>
        <w:spacing w:before="120" w:after="0" w:line="276" w:lineRule="auto"/>
        <w:rPr>
          <w:rFonts w:ascii="Times New Roman" w:hAnsi="Times New Roman"/>
          <w:color w:val="auto"/>
          <w:sz w:val="24"/>
          <w:szCs w:val="24"/>
        </w:rPr>
      </w:pPr>
      <w:r w:rsidRPr="008A649B">
        <w:t>Jako nosná témata v této oblasti je možné označit systémový pohled na transformaci energetiky ČR jako celku v širším kontextu transformace energetiky ve světě a na evropské úrovni, dále integraci technologií do energetiky ČR, rozvoj chytrých sítí a jeho dopady, včetně požadavků na regulaci v této oblasti, systémová řešení v oblasti teplárenství v širším kontextu fungování v rámci energetického systému, dále témata spojená s rozvojem know-how v oblasti společenských, technických i ekonomických řešení konceptu Smart Cities a v neposlední řadě témata spojená se spotřebou energie v sektoru dopravy.</w:t>
      </w:r>
    </w:p>
    <w:p w:rsidR="008A649B" w:rsidRPr="003E15BB" w:rsidRDefault="008A649B" w:rsidP="00BC5587">
      <w:pPr>
        <w:pStyle w:val="Zvraznnnormln"/>
        <w:spacing w:after="0" w:line="276" w:lineRule="auto"/>
        <w:rPr>
          <w:rStyle w:val="Zvraznn"/>
          <w:b/>
        </w:rPr>
      </w:pPr>
      <w:r w:rsidRPr="003E15BB">
        <w:rPr>
          <w:rStyle w:val="Zvraznn"/>
          <w:b/>
        </w:rPr>
        <w:t>Řízení v oblasti energetiky:</w:t>
      </w:r>
    </w:p>
    <w:p w:rsidR="008A649B" w:rsidRPr="008A649B" w:rsidRDefault="008A649B" w:rsidP="00BC5587">
      <w:pPr>
        <w:spacing w:before="120" w:after="0" w:line="276" w:lineRule="auto"/>
        <w:rPr>
          <w:rFonts w:ascii="Times New Roman" w:hAnsi="Times New Roman"/>
          <w:color w:val="auto"/>
          <w:sz w:val="24"/>
          <w:szCs w:val="24"/>
        </w:rPr>
      </w:pPr>
      <w:r w:rsidRPr="008A649B">
        <w:t>V neposlední řadě by měl podprogram přispívat ke zkvalitnění řízení v odvětví energetiky a dále tvorby a případně také implementace strategických a koncepčních dokumentů v tomto odvětví.</w:t>
      </w:r>
    </w:p>
    <w:p w:rsidR="008A649B" w:rsidRPr="008A649B" w:rsidRDefault="008A649B" w:rsidP="00BC5587">
      <w:pPr>
        <w:spacing w:before="120" w:after="0" w:line="276" w:lineRule="auto"/>
        <w:rPr>
          <w:rFonts w:ascii="Times New Roman" w:hAnsi="Times New Roman"/>
          <w:color w:val="auto"/>
          <w:sz w:val="24"/>
          <w:szCs w:val="24"/>
        </w:rPr>
      </w:pPr>
      <w:r w:rsidRPr="008A649B">
        <w:t>Podprogram podporuje také projekty ve veřejném zájmu zaměřené na analýzy a zpracování metodických postupů v oblasti regulace a v oblasti ekonomických a společenských dopadů rozvoje energetiky a formulaci scénářů budoucího vývoje. Dále je podprogram zaměřen na podporu zdokonalení současných praxí, metodik, regulačních mechanismů, dozorových činností, stejně jako získání nových poznatků, dovedností, služeb, informačních a řídicích produktů a postupů, které budou určeny pro výkon státní správy a povedou k vyšší inovativnosti v národním i evropském politickém kontextu, tj. ke zvýšení kvality, dovolující zvýšit udržitelnost a prosaditelnost, a též i ke zvýšení hospodárnosti této činnosti.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w:t>
      </w:r>
    </w:p>
    <w:p w:rsidR="008A649B" w:rsidRPr="008A649B" w:rsidRDefault="008A649B" w:rsidP="00BC5587">
      <w:pPr>
        <w:spacing w:before="120" w:after="0" w:line="276" w:lineRule="auto"/>
        <w:rPr>
          <w:rFonts w:ascii="Times New Roman" w:hAnsi="Times New Roman"/>
          <w:color w:val="auto"/>
          <w:sz w:val="24"/>
          <w:szCs w:val="24"/>
        </w:rPr>
      </w:pPr>
      <w:r w:rsidRPr="008A649B">
        <w:t>Očekávané výstupy programu jsou zejména dlouhodobé scénáře pro aktualizace Státní energetická koncepce a zavedení plošného zavedení inteligentního měření, podpora budování chytrých měst, ve kterých sociální a technologické infrastruktury a řešení usnadňují život obyvatel a podporují udržitelný hospodářský růst, integrace inteligentních technologií, například v oblastech energetiky, inteligentních budov, dopravy a informačních a komunikačních technologií.</w:t>
      </w:r>
    </w:p>
    <w:p w:rsidR="008A649B" w:rsidRPr="008A649B" w:rsidRDefault="008A649B" w:rsidP="00BC5587">
      <w:pPr>
        <w:spacing w:before="120" w:after="0" w:line="276" w:lineRule="auto"/>
        <w:rPr>
          <w:rFonts w:ascii="Times New Roman" w:hAnsi="Times New Roman"/>
          <w:color w:val="auto"/>
          <w:sz w:val="24"/>
          <w:szCs w:val="24"/>
        </w:rPr>
      </w:pPr>
      <w:r w:rsidRPr="008A649B">
        <w:t>Program bude možné využít pro synergické a komplementární efekty v mezinárodních schématech typu H2020, Euratomu, dalších programech EU a dalších mezinárodních programech, které jsou v souladu se zaměřením programu.</w:t>
      </w:r>
    </w:p>
    <w:p w:rsidR="004272B6" w:rsidRPr="003E15BB" w:rsidRDefault="008A649B" w:rsidP="00806978">
      <w:pPr>
        <w:pStyle w:val="Zvraznnnormln"/>
        <w:keepNext/>
        <w:spacing w:after="0" w:line="276" w:lineRule="auto"/>
      </w:pPr>
      <w:r w:rsidRPr="003E15BB">
        <w:rPr>
          <w:rStyle w:val="Zvraznn"/>
          <w:b/>
        </w:rPr>
        <w:lastRenderedPageBreak/>
        <w:t>Identifikace</w:t>
      </w:r>
      <w:r w:rsidR="00F51F10" w:rsidRPr="003E15BB">
        <w:rPr>
          <w:rStyle w:val="Zvraznn"/>
          <w:b/>
        </w:rPr>
        <w:t xml:space="preserve"> NPOV podprogramu:</w:t>
      </w:r>
      <w:r w:rsidR="00C53BCC" w:rsidRPr="003E15BB">
        <w:t xml:space="preserve"> </w:t>
      </w:r>
    </w:p>
    <w:p w:rsidR="005E6BCD" w:rsidRDefault="00F51F10" w:rsidP="005E6BCD">
      <w:pPr>
        <w:spacing w:before="120" w:after="0" w:line="276" w:lineRule="auto"/>
        <w:rPr>
          <w:rFonts w:ascii="Cambria" w:eastAsia="Times New Roman" w:hAnsi="Cambria" w:cs="Times New Roman"/>
          <w:b/>
          <w:bCs/>
        </w:rPr>
      </w:pPr>
      <w:r w:rsidRPr="00F51F10">
        <w:rPr>
          <w:rFonts w:ascii="Cambria" w:eastAsia="Times New Roman" w:hAnsi="Cambria" w:cs="Times New Roman"/>
        </w:rPr>
        <w:t>Realizace projektů podpořených v podprogramu jednoznačně přispěje k naplňování cílů NPOV, a to</w:t>
      </w:r>
      <w:r w:rsidR="00283C55">
        <w:rPr>
          <w:rFonts w:ascii="Cambria" w:eastAsia="Times New Roman" w:hAnsi="Cambria" w:cs="Times New Roman"/>
        </w:rPr>
        <w:t xml:space="preserve"> zejména k prioritní oblasti </w:t>
      </w:r>
      <w:proofErr w:type="gramStart"/>
      <w:r w:rsidR="00283C55">
        <w:rPr>
          <w:rFonts w:ascii="Cambria" w:eastAsia="Times New Roman" w:hAnsi="Cambria" w:cs="Times New Roman"/>
        </w:rPr>
        <w:t>č. 2 Udržitelnost</w:t>
      </w:r>
      <w:proofErr w:type="gramEnd"/>
      <w:r w:rsidR="00283C55">
        <w:rPr>
          <w:rFonts w:ascii="Cambria" w:eastAsia="Times New Roman" w:hAnsi="Cambria" w:cs="Times New Roman"/>
        </w:rPr>
        <w:t xml:space="preserve"> </w:t>
      </w:r>
      <w:r w:rsidRPr="00F51F10">
        <w:rPr>
          <w:rFonts w:ascii="Cambria" w:eastAsia="Times New Roman" w:hAnsi="Cambria" w:cs="Times New Roman"/>
        </w:rPr>
        <w:t>energetiky a materiálových zdrojů</w:t>
      </w:r>
      <w:r w:rsidR="005E6BCD">
        <w:rPr>
          <w:rFonts w:ascii="Cambria" w:eastAsia="Times New Roman" w:hAnsi="Cambria" w:cs="Times New Roman"/>
        </w:rPr>
        <w:t xml:space="preserve"> (zejména </w:t>
      </w:r>
      <w:r w:rsidR="005E6BCD" w:rsidRPr="005E6BCD">
        <w:rPr>
          <w:rFonts w:ascii="Cambria" w:eastAsia="Times New Roman" w:hAnsi="Cambria" w:cs="Times New Roman"/>
        </w:rPr>
        <w:t>podoblast 1.2 Jaderné zdroje energie</w:t>
      </w:r>
      <w:r w:rsidR="005E6BCD">
        <w:rPr>
          <w:rFonts w:ascii="Cambria" w:eastAsia="Times New Roman" w:hAnsi="Cambria" w:cs="Times New Roman"/>
        </w:rPr>
        <w:t xml:space="preserve"> a</w:t>
      </w:r>
      <w:r w:rsidR="00473AB1">
        <w:rPr>
          <w:rFonts w:ascii="Cambria" w:eastAsia="Times New Roman" w:hAnsi="Cambria" w:cs="Times New Roman"/>
        </w:rPr>
        <w:t xml:space="preserve"> </w:t>
      </w:r>
      <w:r w:rsidR="005E6BCD" w:rsidRPr="005E6BCD">
        <w:rPr>
          <w:rFonts w:ascii="Cambria" w:eastAsia="Times New Roman" w:hAnsi="Cambria" w:cs="Times New Roman"/>
        </w:rPr>
        <w:t>podoblast 1.7 Systémový rozvoj energetiky ČR v kontextu rozvoje energetiky EU</w:t>
      </w:r>
      <w:r w:rsidR="005E6BCD">
        <w:rPr>
          <w:rFonts w:ascii="Cambria" w:eastAsia="Times New Roman" w:hAnsi="Cambria" w:cs="Times New Roman"/>
        </w:rPr>
        <w:t>)</w:t>
      </w:r>
      <w:r w:rsidRPr="00F51F10">
        <w:rPr>
          <w:rFonts w:ascii="Cambria" w:eastAsia="Times New Roman" w:hAnsi="Cambria" w:cs="Times New Roman"/>
        </w:rPr>
        <w:t xml:space="preserve">, ale doplňkově (respektive průřezově) může přispět i k dalším prioritním oblastem NPOV. </w:t>
      </w:r>
      <w:r w:rsidRPr="00F51F10">
        <w:rPr>
          <w:rFonts w:ascii="Cambria" w:eastAsia="Times New Roman" w:hAnsi="Cambria" w:cs="Times New Roman"/>
          <w:b/>
          <w:bCs/>
        </w:rPr>
        <w:t> </w:t>
      </w:r>
    </w:p>
    <w:p w:rsidR="00F51F10" w:rsidRPr="00F51F10" w:rsidRDefault="00F51F10" w:rsidP="005E6BCD">
      <w:pPr>
        <w:spacing w:before="120" w:after="0" w:line="276" w:lineRule="auto"/>
        <w:rPr>
          <w:rFonts w:ascii="Times New Roman" w:eastAsia="Times New Roman" w:hAnsi="Times New Roman" w:cs="Times New Roman"/>
          <w:color w:val="auto"/>
          <w:sz w:val="24"/>
          <w:szCs w:val="24"/>
        </w:rPr>
      </w:pPr>
      <w:r w:rsidRPr="00F51F10">
        <w:rPr>
          <w:rFonts w:ascii="Cambria" w:eastAsia="Times New Roman" w:hAnsi="Cambria" w:cs="Times New Roman"/>
        </w:rPr>
        <w:t>V tomto ohledu může jít i nad rámce těchto priorit v souladu s integrálním a systémovým přístupem</w:t>
      </w:r>
      <w:r w:rsidR="005E6BCD">
        <w:rPr>
          <w:rFonts w:ascii="Cambria" w:eastAsia="Times New Roman" w:hAnsi="Cambria" w:cs="Times New Roman"/>
        </w:rPr>
        <w:t xml:space="preserve">, zejména se jedná o následující podoblasti NPOV (i) </w:t>
      </w:r>
      <w:r w:rsidR="005E6BCD">
        <w:rPr>
          <w:rFonts w:ascii="Cambria" w:hAnsi="Cambria"/>
        </w:rPr>
        <w:t>podoblast 3.2 Bezpečnost a spolehlivost procesů v</w:t>
      </w:r>
      <w:r w:rsidR="00806978">
        <w:rPr>
          <w:rFonts w:ascii="Cambria" w:hAnsi="Cambria"/>
        </w:rPr>
        <w:t> </w:t>
      </w:r>
      <w:r w:rsidR="005E6BCD">
        <w:rPr>
          <w:rFonts w:ascii="Cambria" w:hAnsi="Cambria"/>
        </w:rPr>
        <w:t>rámci</w:t>
      </w:r>
      <w:r w:rsidR="00806978">
        <w:rPr>
          <w:rFonts w:ascii="Cambria" w:hAnsi="Cambria"/>
        </w:rPr>
        <w:t xml:space="preserve"> prioritní oblasti 1 Konkurenceschopná ekonomika založená na znalostech, (ii) </w:t>
      </w:r>
      <w:r w:rsidR="00806978" w:rsidRPr="00806978">
        <w:rPr>
          <w:rFonts w:ascii="Cambria" w:hAnsi="Cambria"/>
        </w:rPr>
        <w:t>podoblast 2.3 Nebezpečné látky v životním prostředí</w:t>
      </w:r>
      <w:r w:rsidR="00806978">
        <w:rPr>
          <w:rFonts w:ascii="Cambria" w:hAnsi="Cambria"/>
        </w:rPr>
        <w:t xml:space="preserve"> v rámci prioritní oblasti 3 Prostředí pro kvalitní život a (iii) </w:t>
      </w:r>
      <w:r w:rsidR="00806978" w:rsidRPr="00F51F10">
        <w:rPr>
          <w:rFonts w:ascii="Cambria" w:eastAsia="Times New Roman" w:hAnsi="Cambria"/>
        </w:rPr>
        <w:t>oblast 2</w:t>
      </w:r>
      <w:r w:rsidR="00806978">
        <w:rPr>
          <w:rFonts w:ascii="Cambria" w:eastAsia="Times New Roman" w:hAnsi="Cambria"/>
        </w:rPr>
        <w:t xml:space="preserve"> </w:t>
      </w:r>
      <w:r w:rsidR="00806978" w:rsidRPr="00F51F10">
        <w:rPr>
          <w:rFonts w:ascii="Cambria" w:eastAsia="Times New Roman" w:hAnsi="Cambria"/>
        </w:rPr>
        <w:t>Bezpečnost kritických infrastruktu</w:t>
      </w:r>
      <w:r w:rsidR="00806978">
        <w:rPr>
          <w:rFonts w:ascii="Cambria" w:eastAsia="Times New Roman" w:hAnsi="Cambria"/>
        </w:rPr>
        <w:t xml:space="preserve">r a zdroj </w:t>
      </w:r>
      <w:r w:rsidR="00806978">
        <w:rPr>
          <w:rFonts w:ascii="Cambria" w:hAnsi="Cambria"/>
        </w:rPr>
        <w:t>v rámci prioritní oblasti 6 Bezpečná společnost.</w:t>
      </w:r>
    </w:p>
    <w:p w:rsidR="008A649B" w:rsidRPr="003E15BB" w:rsidRDefault="008A649B" w:rsidP="00BC5587">
      <w:pPr>
        <w:pStyle w:val="Zvraznnnormln"/>
        <w:spacing w:after="0" w:line="276" w:lineRule="auto"/>
        <w:rPr>
          <w:rStyle w:val="Zvraznn"/>
          <w:b/>
        </w:rPr>
      </w:pPr>
      <w:r w:rsidRPr="003E15BB">
        <w:rPr>
          <w:rStyle w:val="Zvraznn"/>
          <w:b/>
        </w:rPr>
        <w:t>Rozpočet a maximální míra podpory podprogramu 1:</w:t>
      </w:r>
    </w:p>
    <w:p w:rsidR="00FC7E62" w:rsidRPr="00D91091" w:rsidRDefault="008A649B" w:rsidP="00BC5587">
      <w:pPr>
        <w:spacing w:before="120" w:after="0" w:line="276" w:lineRule="auto"/>
        <w:rPr>
          <w:rFonts w:ascii="Times New Roman" w:hAnsi="Times New Roman"/>
          <w:color w:val="auto"/>
          <w:sz w:val="24"/>
          <w:szCs w:val="24"/>
        </w:rPr>
      </w:pPr>
      <w:r w:rsidRPr="008A649B">
        <w:t>Předpokládaná průměrná míra podpory celkově za program je 95 %. Nejvyšší povolená míra podpory u podprogramu 1 je až 100 % z celkových způsobilých nákladů projektu. Pro jednotlivé příjemce/další účastníky projektu bude nejvyšší povolená míra podpory na jejich způsobilých nákladech určena samostatně v souladu s příslušnými právními předpisy.</w:t>
      </w:r>
    </w:p>
    <w:p w:rsidR="008A649B" w:rsidRPr="003E15BB" w:rsidRDefault="008A649B" w:rsidP="00BC5587">
      <w:pPr>
        <w:spacing w:before="120" w:after="0" w:line="276" w:lineRule="auto"/>
        <w:rPr>
          <w:rFonts w:ascii="Times New Roman" w:hAnsi="Times New Roman"/>
          <w:b/>
          <w:color w:val="auto"/>
          <w:sz w:val="24"/>
          <w:szCs w:val="24"/>
        </w:rPr>
      </w:pPr>
      <w:r w:rsidRPr="003E15BB">
        <w:rPr>
          <w:b/>
        </w:rPr>
        <w:t>Tabulka: Rozpočet podprogramu 1 [mil. Kč]</w:t>
      </w:r>
    </w:p>
    <w:tbl>
      <w:tblPr>
        <w:tblW w:w="0" w:type="auto"/>
        <w:tblCellMar>
          <w:top w:w="15" w:type="dxa"/>
          <w:left w:w="15" w:type="dxa"/>
          <w:bottom w:w="15" w:type="dxa"/>
          <w:right w:w="15" w:type="dxa"/>
        </w:tblCellMar>
        <w:tblLook w:val="04A0" w:firstRow="1" w:lastRow="0" w:firstColumn="1" w:lastColumn="0" w:noHBand="0" w:noVBand="1"/>
      </w:tblPr>
      <w:tblGrid>
        <w:gridCol w:w="2559"/>
        <w:gridCol w:w="698"/>
        <w:gridCol w:w="698"/>
        <w:gridCol w:w="698"/>
        <w:gridCol w:w="698"/>
        <w:gridCol w:w="698"/>
        <w:gridCol w:w="698"/>
        <w:gridCol w:w="698"/>
        <w:gridCol w:w="698"/>
        <w:gridCol w:w="907"/>
      </w:tblGrid>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Rok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Celkem</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Celkové výdaje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632</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Výdaje státního rozpočtu</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600</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Neveřejné zdroje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32</w:t>
            </w:r>
          </w:p>
        </w:tc>
      </w:tr>
    </w:tbl>
    <w:p w:rsidR="008A649B" w:rsidRPr="008A649B" w:rsidRDefault="008A649B" w:rsidP="00BC5587">
      <w:pPr>
        <w:pStyle w:val="Zvraznnnormln"/>
        <w:spacing w:after="0" w:line="276" w:lineRule="auto"/>
        <w:rPr>
          <w:rFonts w:ascii="Times New Roman" w:hAnsi="Times New Roman"/>
          <w:color w:val="auto"/>
          <w:sz w:val="24"/>
          <w:szCs w:val="24"/>
        </w:rPr>
      </w:pPr>
      <w:r w:rsidRPr="008A649B">
        <w:br/>
        <w:t>Příjemci podpory podprogramu:</w:t>
      </w:r>
    </w:p>
    <w:p w:rsidR="008A649B" w:rsidRPr="000D59FC" w:rsidRDefault="008A649B" w:rsidP="00BC5587">
      <w:pPr>
        <w:pStyle w:val="Odstavecseseznamem"/>
        <w:spacing w:before="120" w:after="0" w:line="276" w:lineRule="auto"/>
        <w:rPr>
          <w:rFonts w:ascii="Arial" w:hAnsi="Arial"/>
        </w:rPr>
      </w:pPr>
      <w:r w:rsidRPr="000D59FC">
        <w:rPr>
          <w:b/>
          <w:bCs/>
        </w:rPr>
        <w:t>Podniky</w:t>
      </w:r>
      <w:r w:rsidRPr="008A649B">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rsidR="008A649B" w:rsidRPr="000D59FC" w:rsidRDefault="008A649B" w:rsidP="00BC5587">
      <w:pPr>
        <w:pStyle w:val="Odstavecseseznamem"/>
        <w:spacing w:before="120" w:after="0" w:line="276" w:lineRule="auto"/>
        <w:rPr>
          <w:rFonts w:ascii="Arial" w:hAnsi="Arial"/>
        </w:rPr>
      </w:pPr>
      <w:r w:rsidRPr="000D59FC">
        <w:rPr>
          <w:b/>
          <w:bCs/>
        </w:rPr>
        <w:t>Organizace pro výzkum a šíření znalostí</w:t>
      </w:r>
      <w:r w:rsidRPr="008A649B">
        <w:t xml:space="preserve"> (dále jen „výzkumné organizace“) – právnické osoby, které splňují definici výzkumné organizace podle čl. 2 odst. 83 Nařízení, a které řeší projekt samostatně nebo ve spolupráci s dalšími účastníky, a prokáží schopnost projekt spolufinancovat z neveřejných prostředků, a mají zajištěn systém realizace výsledků v praxi.</w:t>
      </w:r>
    </w:p>
    <w:p w:rsidR="008A649B" w:rsidRPr="000D59FC" w:rsidRDefault="008A649B" w:rsidP="00BC5587">
      <w:pPr>
        <w:pStyle w:val="Odstavecseseznamem"/>
        <w:spacing w:before="120" w:after="0" w:line="276" w:lineRule="auto"/>
        <w:rPr>
          <w:rFonts w:ascii="Arial" w:hAnsi="Arial"/>
        </w:rPr>
      </w:pPr>
      <w:r w:rsidRPr="000D59FC">
        <w:rPr>
          <w:b/>
          <w:bCs/>
        </w:rPr>
        <w:t>Další fyzické osoby a právnické osoby</w:t>
      </w:r>
      <w:r w:rsidRPr="008A649B">
        <w:t xml:space="preserve"> veřejného i soukromého práva bez ohledu na právní formu či způsob financování, které budou vykonávat činnosti, na něž je podpora poskytována mimo režim veřejné podpory.</w:t>
      </w:r>
    </w:p>
    <w:p w:rsidR="008A649B" w:rsidRPr="008A649B" w:rsidRDefault="008A649B" w:rsidP="00806978">
      <w:pPr>
        <w:pStyle w:val="Zvraznnnormln"/>
        <w:keepNext/>
        <w:spacing w:after="0" w:line="276" w:lineRule="auto"/>
        <w:rPr>
          <w:rFonts w:ascii="Times New Roman" w:hAnsi="Times New Roman"/>
          <w:color w:val="auto"/>
          <w:sz w:val="24"/>
          <w:szCs w:val="24"/>
        </w:rPr>
      </w:pPr>
      <w:r w:rsidRPr="008A649B">
        <w:lastRenderedPageBreak/>
        <w:t>Očekávané výsledky a přínosy podprogramu:</w:t>
      </w:r>
    </w:p>
    <w:p w:rsidR="008A649B" w:rsidRPr="008A649B" w:rsidRDefault="008A649B" w:rsidP="00BC5587">
      <w:pPr>
        <w:spacing w:before="120" w:after="0" w:line="276" w:lineRule="auto"/>
        <w:rPr>
          <w:rFonts w:ascii="Times New Roman" w:hAnsi="Times New Roman"/>
          <w:color w:val="auto"/>
          <w:sz w:val="24"/>
          <w:szCs w:val="24"/>
        </w:rPr>
      </w:pPr>
      <w:r w:rsidRPr="008A649B">
        <w:t>V tomto podprogramu mohou být podporovány pouze projekty, které odůvodněně předpokládají dosažení alespoň jednoho z následujících druhů výsledků (kategorizace dle rejstříku informací o výsledcích IS VaVaI):</w:t>
      </w:r>
    </w:p>
    <w:p w:rsidR="008A649B" w:rsidRPr="008A649B" w:rsidRDefault="008A649B" w:rsidP="00BC5587">
      <w:pPr>
        <w:spacing w:before="120" w:after="0" w:line="276" w:lineRule="auto"/>
        <w:rPr>
          <w:rFonts w:ascii="Times New Roman" w:hAnsi="Times New Roman"/>
          <w:color w:val="auto"/>
          <w:sz w:val="24"/>
          <w:szCs w:val="24"/>
        </w:rPr>
      </w:pPr>
      <w:r w:rsidRPr="008A649B">
        <w:t>P – patent;</w:t>
      </w:r>
    </w:p>
    <w:p w:rsidR="008A649B" w:rsidRPr="008A649B" w:rsidRDefault="008A649B" w:rsidP="00BC5587">
      <w:pPr>
        <w:spacing w:before="120" w:after="0" w:line="276" w:lineRule="auto"/>
        <w:rPr>
          <w:rFonts w:ascii="Times New Roman" w:hAnsi="Times New Roman"/>
          <w:color w:val="auto"/>
          <w:sz w:val="24"/>
          <w:szCs w:val="24"/>
        </w:rPr>
      </w:pPr>
      <w:r w:rsidRPr="008A649B">
        <w:t>G – technicky realizované výsledky – prototyp, funkční vzorek;</w:t>
      </w:r>
    </w:p>
    <w:p w:rsidR="008A649B" w:rsidRPr="008A649B" w:rsidRDefault="008A649B" w:rsidP="00BC5587">
      <w:pPr>
        <w:spacing w:before="120" w:after="0" w:line="276" w:lineRule="auto"/>
        <w:rPr>
          <w:rFonts w:ascii="Times New Roman" w:hAnsi="Times New Roman"/>
          <w:color w:val="auto"/>
          <w:sz w:val="24"/>
          <w:szCs w:val="24"/>
        </w:rPr>
      </w:pPr>
      <w:r w:rsidRPr="008A649B">
        <w:t>Z – poloprovoz, ověřená technologie;</w:t>
      </w:r>
    </w:p>
    <w:p w:rsidR="008A649B" w:rsidRPr="008A649B" w:rsidRDefault="008A649B" w:rsidP="00BC5587">
      <w:pPr>
        <w:spacing w:before="120" w:after="0" w:line="276" w:lineRule="auto"/>
        <w:rPr>
          <w:rFonts w:ascii="Times New Roman" w:hAnsi="Times New Roman"/>
          <w:color w:val="auto"/>
          <w:sz w:val="24"/>
          <w:szCs w:val="24"/>
        </w:rPr>
      </w:pPr>
      <w:r w:rsidRPr="008A649B">
        <w:t>R – software;</w:t>
      </w:r>
    </w:p>
    <w:p w:rsidR="008A649B" w:rsidRPr="008A649B" w:rsidRDefault="008A649B" w:rsidP="00BC5587">
      <w:pPr>
        <w:spacing w:before="120" w:after="0" w:line="276" w:lineRule="auto"/>
        <w:rPr>
          <w:rFonts w:ascii="Times New Roman" w:hAnsi="Times New Roman"/>
          <w:color w:val="auto"/>
          <w:sz w:val="24"/>
          <w:szCs w:val="24"/>
        </w:rPr>
      </w:pPr>
      <w:r w:rsidRPr="008A649B">
        <w:t>F – průmyslový a užitný vzor;</w:t>
      </w:r>
    </w:p>
    <w:p w:rsidR="008A649B" w:rsidRPr="008A649B" w:rsidRDefault="008A649B" w:rsidP="00BC5587">
      <w:pPr>
        <w:spacing w:before="120" w:after="0" w:line="276" w:lineRule="auto"/>
        <w:rPr>
          <w:rFonts w:ascii="Times New Roman" w:hAnsi="Times New Roman"/>
          <w:color w:val="auto"/>
          <w:sz w:val="24"/>
          <w:szCs w:val="24"/>
        </w:rPr>
      </w:pPr>
      <w:r w:rsidRPr="008A649B">
        <w:t>H - výsledky promítnuté do právních předpisů a norem a výsledky promítnuté do směrnic a předpisů nelegislativní povahy závazných v rámci kompetence příslušného poskytovatele.</w:t>
      </w:r>
    </w:p>
    <w:p w:rsidR="008A649B" w:rsidRPr="008A649B" w:rsidRDefault="008A649B" w:rsidP="00BC5587">
      <w:pPr>
        <w:spacing w:before="120" w:after="0" w:line="276" w:lineRule="auto"/>
        <w:rPr>
          <w:rFonts w:ascii="Times New Roman" w:hAnsi="Times New Roman"/>
          <w:color w:val="auto"/>
          <w:sz w:val="24"/>
          <w:szCs w:val="24"/>
        </w:rPr>
      </w:pPr>
      <w:r w:rsidRPr="008A649B">
        <w:t>N – certifikované metodiky, postupy a specializované mapy s odborným obsahem.</w:t>
      </w:r>
    </w:p>
    <w:p w:rsidR="008C4588" w:rsidRPr="008A649B" w:rsidRDefault="008A649B" w:rsidP="00BC5587">
      <w:pPr>
        <w:spacing w:before="120" w:after="0" w:line="276" w:lineRule="auto"/>
        <w:rPr>
          <w:rFonts w:ascii="Times New Roman" w:hAnsi="Times New Roman"/>
          <w:color w:val="auto"/>
          <w:sz w:val="24"/>
          <w:szCs w:val="24"/>
        </w:rPr>
      </w:pPr>
      <w:r w:rsidRPr="008A649B">
        <w:t>Způsob nakládání s výsledky výzkumu realizovaného ve veřejném zájmu bude upřesněn v podmínkách jednotlivých veřejných soutěží, obecně se však předpokládá, že podmínkou zejména u výsledků druhu H a N bude jejich následné zveřejnění.</w:t>
      </w:r>
    </w:p>
    <w:p w:rsidR="00806978" w:rsidRDefault="00806978">
      <w:pPr>
        <w:spacing w:after="0" w:line="276" w:lineRule="auto"/>
        <w:jc w:val="left"/>
        <w:rPr>
          <w:b/>
          <w:color w:val="FF0000"/>
        </w:rPr>
      </w:pPr>
      <w:bookmarkStart w:id="126" w:name="_g36s2gd38og5" w:colFirst="0" w:colLast="0"/>
      <w:bookmarkStart w:id="127" w:name="_Toc462344802"/>
      <w:bookmarkEnd w:id="126"/>
      <w:r>
        <w:br w:type="page"/>
      </w:r>
    </w:p>
    <w:p w:rsidR="008C4588" w:rsidRPr="00A52D2C" w:rsidRDefault="0009700A" w:rsidP="006E38F6">
      <w:pPr>
        <w:pStyle w:val="Nadpis3"/>
      </w:pPr>
      <w:bookmarkStart w:id="128" w:name="_Toc463269135"/>
      <w:bookmarkStart w:id="129" w:name="_Toc463269319"/>
      <w:r w:rsidRPr="00A52D2C">
        <w:lastRenderedPageBreak/>
        <w:t>PP2 - Strategické energetické technologie</w:t>
      </w:r>
      <w:bookmarkEnd w:id="127"/>
      <w:bookmarkEnd w:id="128"/>
      <w:bookmarkEnd w:id="129"/>
    </w:p>
    <w:p w:rsidR="008A649B" w:rsidRPr="008A649B" w:rsidRDefault="008A649B" w:rsidP="00BC5587">
      <w:pPr>
        <w:pStyle w:val="Zvraznnnormln"/>
        <w:spacing w:after="0" w:line="276" w:lineRule="auto"/>
        <w:rPr>
          <w:rFonts w:ascii="Times New Roman" w:hAnsi="Times New Roman"/>
          <w:color w:val="auto"/>
          <w:sz w:val="24"/>
          <w:szCs w:val="24"/>
        </w:rPr>
      </w:pPr>
      <w:r w:rsidRPr="008A649B">
        <w:t xml:space="preserve">Cíl a zaměření podprogramu: </w:t>
      </w:r>
    </w:p>
    <w:p w:rsidR="008A649B" w:rsidRPr="008A649B" w:rsidRDefault="008A649B" w:rsidP="00BC5587">
      <w:pPr>
        <w:spacing w:before="120" w:after="0" w:line="276" w:lineRule="auto"/>
        <w:rPr>
          <w:rFonts w:ascii="Times New Roman" w:hAnsi="Times New Roman"/>
          <w:color w:val="auto"/>
          <w:sz w:val="24"/>
          <w:szCs w:val="24"/>
        </w:rPr>
      </w:pPr>
      <w:r w:rsidRPr="008A649B">
        <w:t>Cíle a zaměření podprogramu vycházejí ze Státní energetické koncepce schválené vládou České republiky v květnu 2015. V tomto materiálu je ukotveno zajištění podpory projektů vědy a výzkumu v oblasti energetiky v návaznosti na schválené strategické dokumenty a Evropský strategický plán pro energetické technologie, skrze strategicky usměrňovanou podporu výzkumných projektů v energetice v kontextu prioritní oblasti „Udržitelná energetika“. V horizontu posledních let došlo ke schválení řady vrcholových strategických dokumentů v oblasti energetiky, jedná se zejména o Státní energetickou koncepci, Národní akční plán rozvoje jaderné energetiky v ČR, Národní akční plán pro chytré sítě, Národní akční plán čisté mobility, Národní akční plán energetické účinnosti a některé další strategické dokumenty, které staví na strategickém rámci Státní energetické koncepce. Tyto dokumenty jsou základem sektorového a strategického zaměření tohoto podprogramu.</w:t>
      </w:r>
    </w:p>
    <w:p w:rsidR="00AE2325" w:rsidRDefault="00AE2325" w:rsidP="00BC5587">
      <w:pPr>
        <w:spacing w:before="120" w:after="0" w:line="276" w:lineRule="auto"/>
      </w:pPr>
      <w:r w:rsidRPr="00AE2325">
        <w:t xml:space="preserve">Cílem podprogramu je přispět ve střednědobém a dlouhodobém horizontu k naplnění vize transformace a modernizace energetického sektoru v souladu se schválenými strategickými materiály, a to prostřednictvím podpory výzkumu, vývoje a inovací v oblasti energetických technologií a systémových prvků s vysokým potenciálem pro rychlé uplatnění v nových produktech, výrobních postupech a službách. </w:t>
      </w:r>
    </w:p>
    <w:p w:rsidR="008A649B" w:rsidRPr="008A649B" w:rsidRDefault="008A649B" w:rsidP="00BC5587">
      <w:pPr>
        <w:spacing w:before="120" w:after="0" w:line="276" w:lineRule="auto"/>
        <w:rPr>
          <w:rFonts w:ascii="Times New Roman" w:hAnsi="Times New Roman"/>
          <w:color w:val="auto"/>
          <w:sz w:val="24"/>
          <w:szCs w:val="24"/>
        </w:rPr>
      </w:pPr>
      <w:r w:rsidRPr="008A649B">
        <w:t>Podprogram (respektive celý program) v tomto ohledu také reflektuje potřebu sektorového přístupu v oblasti energetiky, v rámci které by mohl být relevantně implementován systém strategie veřejné podpory, jehož absence je v oblasti energetiky ČR kontinuálně vytýkána, a to při respektování specifických charakteristik tohoto sektoru, kupříkladu délky standardního inovačního cyklu v energetice, který se vyznačuje relativně delším horizontem ve srovnání s jinými odvětvími. Podprogram reflektuje širší rámec Energetické unie a zejména jejího pátého pilíře zaměřeného na vědu, inovace a konkurenceschopnost, a to zejména prostřednictví Evropského strategického plánu pro energetické technologie. Tento podprogram je jedním z hlavních nástrojů pro naplňování tohoto pilíře Energetické unie. V dlouhodobém horizontu program napomáhá realizaci Evropské klimaticko-energetické politiky a jejímu naplňování na úrovni České republiky.</w:t>
      </w:r>
    </w:p>
    <w:p w:rsidR="004D0BAE" w:rsidRDefault="008A649B" w:rsidP="00BC5587">
      <w:pPr>
        <w:spacing w:before="120" w:after="0" w:line="276" w:lineRule="auto"/>
      </w:pPr>
      <w:r w:rsidRPr="008A649B">
        <w:t xml:space="preserve">V rámci podprogramu by měly být upřednostňovány takové energetické  technologie, které zvyšují konkurenceschopnost českého hospodářství, mají exportní potenciál s vysokou přidanou hodnotou a také přispívají k ochraně životního prostředí. Podpora by měla být soustředěna do oblastí, v nichž je výzkum a vývoj v ČR již na evropské či světové úrovni nebo může významně využívat konkurenční výhody (tradice, know-how, geografické podmínky, existence infrastruktury, silné postavení na mezinárodním trhu apod.). Podprogram by měl být konkrétně tematicky zaměřen na technologie a systémové prvky v oblasti zvyšování účinnosti a spolehlivosti systémů výroby, přenosu a rozvodu energie; dále na technologické a systémové prvky chytrých sítí (měřící zařízení, softwarové prvky a systémy, decentralizované zdroje a jejich zapojení do stávajícího systému); demonstrační prvky a technologie integrující sektory hospodaření s energií v souladu s konceptem chytrých měst s důrazem na účinnost užití energie; technologie v oblasti obnovitelných respektive druhotných  zdrojů energie; účinnější a k životnímu prostředí šetrnější využívání fosilních zdrojů energie včetně technologií přímo snižujících emise nejen emise skleníkových plynů, ale také ostatních znečišťujících látek, nebo zabraňujících jejich uvolnění do ovzduší v procesech přeměny energie a perspektivní technologie v </w:t>
      </w:r>
      <w:r w:rsidRPr="008A649B">
        <w:lastRenderedPageBreak/>
        <w:t>oblastech vysokoúčinné výroby a distribuce tepla a chladu; perspektivní technologie čisté mobility; technologie související s akumulací energie a v neposlední řadě na průřezové technologie a výzkum v oblasti systémových prvků.</w:t>
      </w:r>
      <w:r w:rsidR="00806978">
        <w:t xml:space="preserve"> </w:t>
      </w:r>
    </w:p>
    <w:p w:rsidR="008A649B" w:rsidRPr="008A649B" w:rsidRDefault="008A649B" w:rsidP="00BC5587">
      <w:pPr>
        <w:spacing w:before="120" w:after="0" w:line="276" w:lineRule="auto"/>
        <w:rPr>
          <w:rFonts w:ascii="Times New Roman" w:hAnsi="Times New Roman"/>
          <w:color w:val="auto"/>
          <w:sz w:val="24"/>
          <w:szCs w:val="24"/>
        </w:rPr>
      </w:pPr>
      <w:r w:rsidRPr="008A649B">
        <w:t>Program bude možné využít pro synergické a komplementární efekty v mezinárodních schématech typu H2020, Euratomu, dalších programech EU a dalších mezinárodních programech, které jsou v souladu se zaměřením programu.</w:t>
      </w:r>
    </w:p>
    <w:p w:rsidR="00F51F10" w:rsidRDefault="008A649B" w:rsidP="00BC5587">
      <w:pPr>
        <w:pStyle w:val="Zvraznnnormln"/>
        <w:spacing w:after="0" w:line="276" w:lineRule="auto"/>
      </w:pPr>
      <w:r w:rsidRPr="008A649B">
        <w:t>Identifikace NPOV podprogramu:</w:t>
      </w:r>
    </w:p>
    <w:p w:rsidR="00806978" w:rsidRDefault="008A649B" w:rsidP="00BC5587">
      <w:pPr>
        <w:spacing w:before="120" w:after="0" w:line="276" w:lineRule="auto"/>
      </w:pPr>
      <w:r w:rsidRPr="008A649B">
        <w:t>Realizace projektů podpořených v podprogramu jednoznačně přispěje k naplňování cílů NPOV, a to</w:t>
      </w:r>
      <w:r w:rsidR="004D0BAE">
        <w:t xml:space="preserve"> zejména k prioritní oblasti </w:t>
      </w:r>
      <w:proofErr w:type="gramStart"/>
      <w:r w:rsidR="004D0BAE">
        <w:t>č. 2 Udržitelnost</w:t>
      </w:r>
      <w:proofErr w:type="gramEnd"/>
      <w:r w:rsidR="004D0BAE">
        <w:t xml:space="preserve"> </w:t>
      </w:r>
      <w:r w:rsidRPr="008A649B">
        <w:t xml:space="preserve">energetiky a materiálových zdrojů, ale doplňkově (respektive průřezově) může přispět i k dalším prioritním oblastem NPOV. </w:t>
      </w:r>
      <w:r w:rsidRPr="008A649B">
        <w:rPr>
          <w:b/>
          <w:bCs/>
        </w:rPr>
        <w:t> </w:t>
      </w:r>
      <w:r w:rsidRPr="008A649B">
        <w:t xml:space="preserve">V tomto ohledu může jít i nad rámce těchto priorit v souladu s integrálním a systémovým přístupem. </w:t>
      </w:r>
    </w:p>
    <w:p w:rsidR="008A649B" w:rsidRPr="008A649B" w:rsidRDefault="00806978" w:rsidP="00BC5587">
      <w:pPr>
        <w:spacing w:before="120" w:after="0" w:line="276" w:lineRule="auto"/>
        <w:rPr>
          <w:rFonts w:ascii="Times New Roman" w:hAnsi="Times New Roman"/>
          <w:color w:val="auto"/>
          <w:sz w:val="24"/>
          <w:szCs w:val="24"/>
        </w:rPr>
      </w:pPr>
      <w:r>
        <w:t>Předpokládá se, že projekty realizované v tomto podprogramu budou zaměřeny v rámci prioritní oblasti 2 Udržitelnost energetiky a materiálových zdrojů, oblast Udržitelná energetika zejména na následující podoblasti a konkrétní výzkumné cíle</w:t>
      </w:r>
      <w:r w:rsidR="008A649B" w:rsidRPr="008A649B">
        <w:t>:</w:t>
      </w:r>
    </w:p>
    <w:p w:rsidR="003A1E25" w:rsidRPr="00D91091" w:rsidRDefault="003A1E25" w:rsidP="00BC5587">
      <w:pPr>
        <w:pStyle w:val="Odstavecseseznamem"/>
        <w:spacing w:before="120" w:after="0" w:line="276" w:lineRule="auto"/>
        <w:rPr>
          <w:rFonts w:ascii="Arial" w:hAnsi="Arial"/>
        </w:rPr>
      </w:pPr>
      <w:r>
        <w:t xml:space="preserve">Prioritní oblast 2 </w:t>
      </w:r>
      <w:r w:rsidRPr="003A1E25">
        <w:t>Udržitelnost energetiky a materiálových zdrojů</w:t>
      </w:r>
      <w:r w:rsidRPr="008A649B">
        <w:t xml:space="preserve"> </w:t>
      </w:r>
    </w:p>
    <w:p w:rsidR="003A1E25" w:rsidRPr="00D91091" w:rsidRDefault="003A1E25" w:rsidP="00BC5587">
      <w:pPr>
        <w:pStyle w:val="Odstavecseseznamem"/>
        <w:numPr>
          <w:ilvl w:val="1"/>
          <w:numId w:val="57"/>
        </w:numPr>
        <w:spacing w:before="120" w:after="0" w:line="276" w:lineRule="auto"/>
        <w:rPr>
          <w:rFonts w:ascii="Arial" w:hAnsi="Arial"/>
        </w:rPr>
      </w:pPr>
      <w:r>
        <w:t>oblast 1 Udržitelná energetika</w:t>
      </w:r>
    </w:p>
    <w:p w:rsidR="008A649B" w:rsidRPr="00D91091" w:rsidRDefault="003A1E25" w:rsidP="00BC5587">
      <w:pPr>
        <w:pStyle w:val="Odstavecseseznamem"/>
        <w:numPr>
          <w:ilvl w:val="2"/>
          <w:numId w:val="57"/>
        </w:numPr>
        <w:spacing w:before="120" w:after="0" w:line="276" w:lineRule="auto"/>
        <w:rPr>
          <w:rFonts w:ascii="Arial" w:hAnsi="Arial"/>
        </w:rPr>
      </w:pPr>
      <w:r w:rsidRPr="008A649B">
        <w:t>podoblast 1.1</w:t>
      </w:r>
      <w:r>
        <w:t xml:space="preserve"> O</w:t>
      </w:r>
      <w:r w:rsidR="008A649B" w:rsidRPr="008A649B">
        <w:t>bno</w:t>
      </w:r>
      <w:r>
        <w:t>vitelné zdroje energie</w:t>
      </w:r>
    </w:p>
    <w:p w:rsidR="002E41D1" w:rsidRPr="00D91091" w:rsidRDefault="002E41D1" w:rsidP="00BC5587">
      <w:pPr>
        <w:pStyle w:val="Odstavecseseznamem"/>
        <w:numPr>
          <w:ilvl w:val="2"/>
          <w:numId w:val="57"/>
        </w:numPr>
        <w:spacing w:before="120" w:after="0" w:line="276" w:lineRule="auto"/>
        <w:rPr>
          <w:rFonts w:ascii="Arial" w:hAnsi="Arial"/>
        </w:rPr>
      </w:pPr>
      <w:r>
        <w:t xml:space="preserve">podoblast 1.2 </w:t>
      </w:r>
      <w:r w:rsidR="008A649B" w:rsidRPr="008A649B">
        <w:t>Jaderné zdroje energie (s výjimkou bezpečnostních aspektů nezávislých na provozovateli, které jsou řešeny v rámci PP1) – odpovídá podoblasti 1.2 s výjimkou 1.2.2.</w:t>
      </w:r>
    </w:p>
    <w:p w:rsidR="002E41D1" w:rsidRPr="00D91091" w:rsidRDefault="002E41D1" w:rsidP="00BC5587">
      <w:pPr>
        <w:pStyle w:val="Odstavecseseznamem"/>
        <w:numPr>
          <w:ilvl w:val="2"/>
          <w:numId w:val="57"/>
        </w:numPr>
        <w:spacing w:before="120" w:after="0" w:line="276" w:lineRule="auto"/>
        <w:rPr>
          <w:rFonts w:ascii="Arial" w:hAnsi="Arial"/>
        </w:rPr>
      </w:pPr>
      <w:r>
        <w:t>podoblast 1.3. Fosilní zdroje</w:t>
      </w:r>
    </w:p>
    <w:p w:rsidR="008A649B" w:rsidRPr="00D91091" w:rsidRDefault="00806978" w:rsidP="00BC5587">
      <w:pPr>
        <w:pStyle w:val="Odstavecseseznamem"/>
        <w:numPr>
          <w:ilvl w:val="3"/>
          <w:numId w:val="57"/>
        </w:numPr>
        <w:spacing w:before="120" w:after="0" w:line="276" w:lineRule="auto"/>
        <w:rPr>
          <w:rFonts w:ascii="Arial" w:hAnsi="Arial"/>
        </w:rPr>
      </w:pPr>
      <w:r>
        <w:t xml:space="preserve">cíl 1.3.1 </w:t>
      </w:r>
      <w:r w:rsidR="008A649B" w:rsidRPr="008A649B">
        <w:t>Ekonomicky efektivní a ekologická fosilní energetika a tep</w:t>
      </w:r>
      <w:r>
        <w:t>lárenství</w:t>
      </w:r>
    </w:p>
    <w:p w:rsidR="005E7B9B" w:rsidRPr="005E7B9B" w:rsidRDefault="00806978" w:rsidP="00BC5587">
      <w:pPr>
        <w:pStyle w:val="Odstavecseseznamem"/>
        <w:numPr>
          <w:ilvl w:val="2"/>
          <w:numId w:val="57"/>
        </w:numPr>
        <w:spacing w:before="120" w:after="0" w:line="276" w:lineRule="auto"/>
      </w:pPr>
      <w:r>
        <w:t>p</w:t>
      </w:r>
      <w:r w:rsidR="005E7B9B">
        <w:t xml:space="preserve">odoblast 1.4 </w:t>
      </w:r>
      <w:r w:rsidR="005E7B9B" w:rsidRPr="00743939">
        <w:t>Elektrické sítě včetně akumulace energie</w:t>
      </w:r>
    </w:p>
    <w:p w:rsidR="005E7B9B" w:rsidRPr="00D91091" w:rsidRDefault="00806978" w:rsidP="00BC5587">
      <w:pPr>
        <w:pStyle w:val="Odstavecseseznamem"/>
        <w:numPr>
          <w:ilvl w:val="3"/>
          <w:numId w:val="57"/>
        </w:numPr>
        <w:spacing w:before="120" w:after="0" w:line="276" w:lineRule="auto"/>
        <w:rPr>
          <w:rFonts w:ascii="Arial" w:hAnsi="Arial"/>
        </w:rPr>
      </w:pPr>
      <w:r>
        <w:t xml:space="preserve">cíl 1.4.1 </w:t>
      </w:r>
      <w:r w:rsidR="005E7B9B" w:rsidRPr="008A649B">
        <w:t xml:space="preserve">Kapacita, spolehlivost a bezpečnost páteřních přenosových a distribučních </w:t>
      </w:r>
      <w:r>
        <w:t>sítí elektřiny</w:t>
      </w:r>
    </w:p>
    <w:p w:rsidR="005E7B9B" w:rsidRPr="00D91091" w:rsidRDefault="00806978" w:rsidP="00BC5587">
      <w:pPr>
        <w:pStyle w:val="Odstavecseseznamem"/>
        <w:numPr>
          <w:ilvl w:val="3"/>
          <w:numId w:val="57"/>
        </w:numPr>
        <w:spacing w:before="120" w:after="0" w:line="276" w:lineRule="auto"/>
        <w:rPr>
          <w:rFonts w:ascii="Arial" w:hAnsi="Arial"/>
        </w:rPr>
      </w:pPr>
      <w:r>
        <w:t xml:space="preserve">cíl 1.4.2 </w:t>
      </w:r>
      <w:r w:rsidR="005E7B9B" w:rsidRPr="008A649B">
        <w:t>Modifikace sí</w:t>
      </w:r>
      <w:r>
        <w:t>tí pro „demand-side management“</w:t>
      </w:r>
    </w:p>
    <w:p w:rsidR="005E7B9B" w:rsidRPr="002E41D1" w:rsidRDefault="00806978" w:rsidP="00BC5587">
      <w:pPr>
        <w:pStyle w:val="Odstavecseseznamem"/>
        <w:numPr>
          <w:ilvl w:val="3"/>
          <w:numId w:val="57"/>
        </w:numPr>
        <w:spacing w:before="120" w:after="0" w:line="276" w:lineRule="auto"/>
      </w:pPr>
      <w:r>
        <w:t xml:space="preserve">cíl 1.4.3 </w:t>
      </w:r>
      <w:r w:rsidR="005E7B9B" w:rsidRPr="008A649B">
        <w:t>Akumulace elektrické energi</w:t>
      </w:r>
      <w:r>
        <w:t>e včetně využití vodní energie</w:t>
      </w:r>
    </w:p>
    <w:p w:rsidR="002E41D1" w:rsidRPr="002E41D1" w:rsidRDefault="00806978" w:rsidP="00BC5587">
      <w:pPr>
        <w:pStyle w:val="Odstavecseseznamem"/>
        <w:numPr>
          <w:ilvl w:val="2"/>
          <w:numId w:val="57"/>
        </w:numPr>
        <w:spacing w:before="120" w:after="0" w:line="276" w:lineRule="auto"/>
      </w:pPr>
      <w:r>
        <w:t>p</w:t>
      </w:r>
      <w:r w:rsidR="002E41D1">
        <w:t xml:space="preserve">odoblast </w:t>
      </w:r>
      <w:r w:rsidR="002E41D1" w:rsidRPr="00743939">
        <w:t>1.5 Výroba a distribuce tepla/chladu, včetně kogenerace a </w:t>
      </w:r>
      <w:proofErr w:type="spellStart"/>
      <w:r w:rsidR="002E41D1" w:rsidRPr="00743939">
        <w:t>trigenerace</w:t>
      </w:r>
      <w:proofErr w:type="spellEnd"/>
    </w:p>
    <w:p w:rsidR="008A649B" w:rsidRPr="00D91091" w:rsidRDefault="00806978" w:rsidP="00BC5587">
      <w:pPr>
        <w:pStyle w:val="Odstavecseseznamem"/>
        <w:numPr>
          <w:ilvl w:val="3"/>
          <w:numId w:val="57"/>
        </w:numPr>
        <w:spacing w:before="120" w:after="0" w:line="276" w:lineRule="auto"/>
        <w:rPr>
          <w:rFonts w:ascii="Arial" w:hAnsi="Arial"/>
        </w:rPr>
      </w:pPr>
      <w:r>
        <w:t xml:space="preserve">cíl 1.5.2 </w:t>
      </w:r>
      <w:r w:rsidR="008A649B" w:rsidRPr="008A649B">
        <w:t>Vysokoúčinná kogenerace (</w:t>
      </w:r>
      <w:proofErr w:type="spellStart"/>
      <w:r w:rsidR="008A649B" w:rsidRPr="008A649B">
        <w:t>trigenerace</w:t>
      </w:r>
      <w:proofErr w:type="spellEnd"/>
      <w:r w:rsidR="008A649B" w:rsidRPr="008A649B">
        <w:t>) ve zdrojích SCZT v provozech s dílč</w:t>
      </w:r>
      <w:r>
        <w:t>ím zatížením (systémové služby)</w:t>
      </w:r>
    </w:p>
    <w:p w:rsidR="008A649B" w:rsidRPr="00D91091" w:rsidRDefault="00806978" w:rsidP="00BC5587">
      <w:pPr>
        <w:pStyle w:val="Odstavecseseznamem"/>
        <w:numPr>
          <w:ilvl w:val="2"/>
          <w:numId w:val="57"/>
        </w:numPr>
        <w:spacing w:before="120" w:after="0" w:line="276" w:lineRule="auto"/>
        <w:rPr>
          <w:rFonts w:ascii="Arial" w:hAnsi="Arial"/>
        </w:rPr>
      </w:pPr>
      <w:r>
        <w:t>p</w:t>
      </w:r>
      <w:r w:rsidR="002E41D1">
        <w:t xml:space="preserve">odoblast 1.6 </w:t>
      </w:r>
      <w:r w:rsidR="008A649B" w:rsidRPr="008A649B">
        <w:t>Energie v</w:t>
      </w:r>
      <w:r w:rsidR="002E41D1">
        <w:t> </w:t>
      </w:r>
      <w:r w:rsidR="008A649B" w:rsidRPr="008A649B">
        <w:t>d</w:t>
      </w:r>
      <w:r w:rsidR="002E41D1">
        <w:t>opravě</w:t>
      </w:r>
    </w:p>
    <w:p w:rsidR="002E41D1" w:rsidRDefault="00806978" w:rsidP="00BC5587">
      <w:pPr>
        <w:pStyle w:val="Odstavecseseznamem"/>
        <w:numPr>
          <w:ilvl w:val="2"/>
          <w:numId w:val="57"/>
        </w:numPr>
        <w:spacing w:before="120" w:after="0" w:line="276" w:lineRule="auto"/>
      </w:pPr>
      <w:r>
        <w:t>p</w:t>
      </w:r>
      <w:r w:rsidR="002E41D1">
        <w:t xml:space="preserve">odoblast 1.7 </w:t>
      </w:r>
      <w:r w:rsidR="002E41D1" w:rsidRPr="00743939">
        <w:t>Systémový rozvoj energetiky ČR v kontextu rozvoje energetiky EU</w:t>
      </w:r>
    </w:p>
    <w:p w:rsidR="008A649B" w:rsidRPr="005E7B9B" w:rsidRDefault="00806978" w:rsidP="00BC5587">
      <w:pPr>
        <w:pStyle w:val="Odstavecseseznamem"/>
        <w:numPr>
          <w:ilvl w:val="3"/>
          <w:numId w:val="57"/>
        </w:numPr>
        <w:spacing w:before="120" w:after="0" w:line="276" w:lineRule="auto"/>
      </w:pPr>
      <w:r>
        <w:t xml:space="preserve">cíl 1.7.2 </w:t>
      </w:r>
      <w:r w:rsidR="002E41D1" w:rsidRPr="008A649B">
        <w:t>Integrální koncepce rozvoje municipalit a regionů s ověřováním demonstračními projekty</w:t>
      </w:r>
    </w:p>
    <w:p w:rsidR="008A649B" w:rsidRPr="008A649B" w:rsidRDefault="008A649B" w:rsidP="00806978">
      <w:pPr>
        <w:pStyle w:val="Zvraznnnormln"/>
        <w:keepNext/>
        <w:spacing w:after="0" w:line="276" w:lineRule="auto"/>
        <w:rPr>
          <w:rFonts w:ascii="Times New Roman" w:hAnsi="Times New Roman"/>
          <w:color w:val="auto"/>
          <w:sz w:val="24"/>
          <w:szCs w:val="24"/>
        </w:rPr>
      </w:pPr>
      <w:r w:rsidRPr="008A649B">
        <w:t>Rozpočet a maximální míra podpory podprogramu 2:</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Předpokládaná průměrná míra podpory celkově za podprogram je 60 %. Nejvyšší povolená míra podpory u podprogramu 2 je až 80 % z celkových způsobilých nákladů projektu. Pro jednotlivé </w:t>
      </w:r>
      <w:r w:rsidRPr="008A649B">
        <w:lastRenderedPageBreak/>
        <w:t>příjemce/další účastníky projektu bude nejvyšší povolená míra podpory na jejich způsobilých nákladech určena samostatně v souladu s příslušnými právními předpisy.</w:t>
      </w:r>
    </w:p>
    <w:p w:rsidR="008A649B" w:rsidRPr="003E15BB" w:rsidRDefault="008A649B" w:rsidP="00BC5587">
      <w:pPr>
        <w:spacing w:before="120" w:after="0" w:line="276" w:lineRule="auto"/>
        <w:rPr>
          <w:rFonts w:ascii="Times New Roman" w:hAnsi="Times New Roman"/>
          <w:b/>
          <w:color w:val="auto"/>
          <w:sz w:val="24"/>
          <w:szCs w:val="24"/>
        </w:rPr>
      </w:pPr>
      <w:r w:rsidRPr="003E15BB">
        <w:rPr>
          <w:b/>
        </w:rPr>
        <w:t>Tabulka: Rozpočet podprogramu 2 [mil. Kč]</w:t>
      </w:r>
    </w:p>
    <w:tbl>
      <w:tblPr>
        <w:tblW w:w="0" w:type="auto"/>
        <w:tblCellMar>
          <w:top w:w="15" w:type="dxa"/>
          <w:left w:w="15" w:type="dxa"/>
          <w:bottom w:w="15" w:type="dxa"/>
          <w:right w:w="15" w:type="dxa"/>
        </w:tblCellMar>
        <w:tblLook w:val="04A0" w:firstRow="1" w:lastRow="0" w:firstColumn="1" w:lastColumn="0" w:noHBand="0" w:noVBand="1"/>
      </w:tblPr>
      <w:tblGrid>
        <w:gridCol w:w="2559"/>
        <w:gridCol w:w="698"/>
        <w:gridCol w:w="698"/>
        <w:gridCol w:w="698"/>
        <w:gridCol w:w="698"/>
        <w:gridCol w:w="698"/>
        <w:gridCol w:w="698"/>
        <w:gridCol w:w="698"/>
        <w:gridCol w:w="698"/>
        <w:gridCol w:w="907"/>
      </w:tblGrid>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Rok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Celkem</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Celkové výdaje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134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433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533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533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533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533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334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3333</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Výdaje státního rozpočtu</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2000</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Neveřejné zdroje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173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213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134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1333</w:t>
            </w:r>
          </w:p>
        </w:tc>
      </w:tr>
    </w:tbl>
    <w:p w:rsidR="008A649B" w:rsidRPr="008A649B" w:rsidRDefault="008A649B" w:rsidP="00BC5587">
      <w:pPr>
        <w:pStyle w:val="Zvraznnnormln"/>
        <w:spacing w:after="0" w:line="276" w:lineRule="auto"/>
        <w:rPr>
          <w:rFonts w:ascii="Times New Roman" w:hAnsi="Times New Roman"/>
          <w:color w:val="auto"/>
          <w:sz w:val="24"/>
          <w:szCs w:val="24"/>
        </w:rPr>
      </w:pPr>
      <w:r w:rsidRPr="008A649B">
        <w:br/>
        <w:t>Příjemci podpory podprogramu:</w:t>
      </w:r>
    </w:p>
    <w:p w:rsidR="008A649B" w:rsidRPr="000D59FC" w:rsidRDefault="008A649B" w:rsidP="00BC5587">
      <w:pPr>
        <w:pStyle w:val="Odstavecseseznamem"/>
        <w:numPr>
          <w:ilvl w:val="0"/>
          <w:numId w:val="58"/>
        </w:numPr>
        <w:spacing w:before="120" w:after="0" w:line="276" w:lineRule="auto"/>
        <w:rPr>
          <w:rFonts w:ascii="Arial" w:hAnsi="Arial"/>
        </w:rPr>
      </w:pPr>
      <w:r w:rsidRPr="000D59FC">
        <w:rPr>
          <w:b/>
          <w:bCs/>
        </w:rPr>
        <w:t>Podniky</w:t>
      </w:r>
      <w:r w:rsidRPr="008A649B">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rsidR="008A649B" w:rsidRPr="000D59FC" w:rsidRDefault="008A649B" w:rsidP="00BC5587">
      <w:pPr>
        <w:pStyle w:val="Odstavecseseznamem"/>
        <w:numPr>
          <w:ilvl w:val="0"/>
          <w:numId w:val="58"/>
        </w:numPr>
        <w:spacing w:before="120" w:after="0" w:line="276" w:lineRule="auto"/>
        <w:rPr>
          <w:rFonts w:ascii="Arial" w:hAnsi="Arial"/>
        </w:rPr>
      </w:pPr>
      <w:r w:rsidRPr="000D59FC">
        <w:rPr>
          <w:b/>
          <w:bCs/>
        </w:rPr>
        <w:t>Organizace pro výzkum a šíření znalostí</w:t>
      </w:r>
      <w:r w:rsidRPr="008A649B">
        <w:t xml:space="preserve"> (dále jen „výzkumné organizace“) – právnické osoby, které splňují definici výzkumné organizace podle čl. 2 odst. 83 Nařízení, a které řeší projekt samostatně nebo ve spolupráci s dalšími účastníky, a prokáží schopnost projekt spolufinancovat z neveřejných prostředků, a mají zajištěn systém realizace výsledků v praxi.</w:t>
      </w:r>
    </w:p>
    <w:p w:rsidR="008A649B" w:rsidRPr="008A649B" w:rsidRDefault="008A649B" w:rsidP="00BC5587">
      <w:pPr>
        <w:pStyle w:val="Zvraznnnormln"/>
        <w:spacing w:after="0" w:line="276" w:lineRule="auto"/>
        <w:rPr>
          <w:rFonts w:ascii="Times New Roman" w:hAnsi="Times New Roman"/>
          <w:color w:val="auto"/>
          <w:sz w:val="24"/>
          <w:szCs w:val="24"/>
        </w:rPr>
      </w:pPr>
      <w:r w:rsidRPr="008A649B">
        <w:t>Očekávané výsledky a přínosy podprogramu:</w:t>
      </w:r>
    </w:p>
    <w:p w:rsidR="008A649B" w:rsidRPr="008A649B" w:rsidRDefault="008A649B" w:rsidP="00BC5587">
      <w:pPr>
        <w:spacing w:before="120" w:after="0" w:line="276" w:lineRule="auto"/>
        <w:rPr>
          <w:rFonts w:ascii="Times New Roman" w:hAnsi="Times New Roman"/>
          <w:color w:val="auto"/>
          <w:sz w:val="24"/>
          <w:szCs w:val="24"/>
        </w:rPr>
      </w:pPr>
      <w:r w:rsidRPr="008A649B">
        <w:t>V tomto podprogramu mohou být podporovány pouze projekty, které odůvodněně předpokládají dosažení alespoň jednoho z následujících druhů výsledků (kategorizace dle rejstříku informací o výsledcích IS VaVaI):</w:t>
      </w:r>
    </w:p>
    <w:p w:rsidR="008A649B" w:rsidRPr="008A649B" w:rsidRDefault="008A649B" w:rsidP="00BC5587">
      <w:pPr>
        <w:spacing w:before="120" w:after="0" w:line="276" w:lineRule="auto"/>
        <w:rPr>
          <w:rFonts w:ascii="Times New Roman" w:hAnsi="Times New Roman"/>
          <w:color w:val="auto"/>
          <w:sz w:val="24"/>
          <w:szCs w:val="24"/>
        </w:rPr>
      </w:pPr>
      <w:r w:rsidRPr="008A649B">
        <w:t>P – patent;</w:t>
      </w:r>
    </w:p>
    <w:p w:rsidR="008A649B" w:rsidRPr="008A649B" w:rsidRDefault="008A649B" w:rsidP="00BC5587">
      <w:pPr>
        <w:spacing w:before="120" w:after="0" w:line="276" w:lineRule="auto"/>
        <w:rPr>
          <w:rFonts w:ascii="Times New Roman" w:hAnsi="Times New Roman"/>
          <w:color w:val="auto"/>
          <w:sz w:val="24"/>
          <w:szCs w:val="24"/>
        </w:rPr>
      </w:pPr>
      <w:r w:rsidRPr="008A649B">
        <w:t>G – technicky realizované výsledky – prototyp, funkční vzorek;</w:t>
      </w:r>
    </w:p>
    <w:p w:rsidR="008A649B" w:rsidRPr="008A649B" w:rsidRDefault="008A649B" w:rsidP="00BC5587">
      <w:pPr>
        <w:spacing w:before="120" w:after="0" w:line="276" w:lineRule="auto"/>
        <w:rPr>
          <w:rFonts w:ascii="Times New Roman" w:hAnsi="Times New Roman"/>
          <w:color w:val="auto"/>
          <w:sz w:val="24"/>
          <w:szCs w:val="24"/>
        </w:rPr>
      </w:pPr>
      <w:r w:rsidRPr="008A649B">
        <w:t>Z – poloprovoz, ověřená technologie;</w:t>
      </w:r>
    </w:p>
    <w:p w:rsidR="008A649B" w:rsidRPr="008A649B" w:rsidRDefault="008A649B" w:rsidP="00BC5587">
      <w:pPr>
        <w:spacing w:before="120" w:after="0" w:line="276" w:lineRule="auto"/>
        <w:rPr>
          <w:rFonts w:ascii="Times New Roman" w:hAnsi="Times New Roman"/>
          <w:color w:val="auto"/>
          <w:sz w:val="24"/>
          <w:szCs w:val="24"/>
        </w:rPr>
      </w:pPr>
      <w:r w:rsidRPr="008A649B">
        <w:t>R – software;</w:t>
      </w:r>
    </w:p>
    <w:p w:rsidR="008A649B" w:rsidRPr="008A649B" w:rsidRDefault="008A649B" w:rsidP="00BC5587">
      <w:pPr>
        <w:spacing w:before="120" w:after="0" w:line="276" w:lineRule="auto"/>
        <w:rPr>
          <w:rFonts w:ascii="Times New Roman" w:hAnsi="Times New Roman"/>
          <w:color w:val="auto"/>
          <w:sz w:val="24"/>
          <w:szCs w:val="24"/>
        </w:rPr>
      </w:pPr>
      <w:r w:rsidRPr="008A649B">
        <w:t>F – průmyslový a užitný vzor;</w:t>
      </w:r>
    </w:p>
    <w:p w:rsidR="008C4588" w:rsidRPr="008A649B" w:rsidRDefault="008A649B" w:rsidP="00BC5587">
      <w:pPr>
        <w:spacing w:before="120" w:after="0" w:line="276" w:lineRule="auto"/>
        <w:rPr>
          <w:rFonts w:ascii="Times New Roman" w:hAnsi="Times New Roman"/>
          <w:color w:val="auto"/>
          <w:sz w:val="24"/>
          <w:szCs w:val="24"/>
        </w:rPr>
      </w:pPr>
      <w:r w:rsidRPr="008A649B">
        <w:t>Mezi očekávané přínosy programu patří hlavně zvýšení kvality a počtu výsledků VaV, které budou aplikovány v praxi v podobě inovací výrobků, služeb a výrobních postupů. Tyto inovace se pak sekundárně projeví i ve zlepšení ukazatelů podpořených subjektů (např. v růstu obratu, exportu apod.). U spolupracujících výzkumných organizací se přínosy projeví například ve zvýšení počtu jejich výsledků aplikovaných v praxi, v počtu komercializovaných patentů a nárůstu jejich komercializačního potenciálu. Jako sekundární efekt lze považovat posílení efektivního transferu know-how a technologií do praxe.</w:t>
      </w:r>
    </w:p>
    <w:p w:rsidR="00806978" w:rsidRDefault="00806978">
      <w:pPr>
        <w:spacing w:after="0" w:line="276" w:lineRule="auto"/>
        <w:jc w:val="left"/>
        <w:rPr>
          <w:b/>
          <w:color w:val="FF0000"/>
        </w:rPr>
      </w:pPr>
      <w:bookmarkStart w:id="130" w:name="_wtej9awu6acu" w:colFirst="0" w:colLast="0"/>
      <w:bookmarkStart w:id="131" w:name="_Toc462344803"/>
      <w:bookmarkEnd w:id="130"/>
    </w:p>
    <w:p w:rsidR="008C4588" w:rsidRDefault="0009700A" w:rsidP="006E38F6">
      <w:pPr>
        <w:pStyle w:val="Nadpis3"/>
      </w:pPr>
      <w:bookmarkStart w:id="132" w:name="_Toc463269136"/>
      <w:bookmarkStart w:id="133" w:name="_Toc463269320"/>
      <w:r w:rsidRPr="00A52D2C">
        <w:lastRenderedPageBreak/>
        <w:t>PP3 - Dlouhodobé technologické perspektivy</w:t>
      </w:r>
      <w:bookmarkEnd w:id="131"/>
      <w:bookmarkEnd w:id="132"/>
      <w:bookmarkEnd w:id="133"/>
    </w:p>
    <w:p w:rsidR="003E15BB" w:rsidRDefault="008A649B" w:rsidP="00BC5587">
      <w:pPr>
        <w:pStyle w:val="Zvraznnnormln"/>
        <w:spacing w:after="0" w:line="276" w:lineRule="auto"/>
      </w:pPr>
      <w:r w:rsidRPr="003E15BB">
        <w:t>Cíl a zaměření podprogramu:</w:t>
      </w:r>
    </w:p>
    <w:p w:rsidR="008A649B" w:rsidRPr="008A649B" w:rsidRDefault="008A649B" w:rsidP="00BC5587">
      <w:pPr>
        <w:spacing w:before="120" w:after="0" w:line="276" w:lineRule="auto"/>
        <w:rPr>
          <w:rFonts w:ascii="Times New Roman" w:hAnsi="Times New Roman"/>
          <w:color w:val="auto"/>
          <w:sz w:val="24"/>
          <w:szCs w:val="24"/>
        </w:rPr>
      </w:pPr>
      <w:r w:rsidRPr="008A649B">
        <w:t>Cílem podprogramu je podpora dlouhodobých technologických perspektiv v energetice, které budou realizovány prostřednictvím výzkumných a vývojových aktivit, převážně výzkumných organizací. Bude se jednat až o osmileté projekty, které budou podporovat systémová energetická řešení.</w:t>
      </w:r>
    </w:p>
    <w:p w:rsidR="008A649B" w:rsidRPr="008A649B" w:rsidRDefault="008A649B" w:rsidP="00BC5587">
      <w:pPr>
        <w:spacing w:before="120" w:after="0" w:line="276" w:lineRule="auto"/>
        <w:rPr>
          <w:rFonts w:ascii="Times New Roman" w:hAnsi="Times New Roman"/>
          <w:color w:val="auto"/>
          <w:sz w:val="24"/>
          <w:szCs w:val="24"/>
        </w:rPr>
      </w:pPr>
      <w:r w:rsidRPr="008A649B">
        <w:t>Odpovídající výzkumná témata budou identifikována tak, aby přinášela novou kvalitu v dopadu energetického průmyslu na společnost – spolehlivé a bezpečné zajištění dodávek energií, s ekologickou a sociální přiměřeností, což jsou zásadní kritéria pohledu na energetickou realitu. Budou vybírána ve spolupráci s organizacemi působícími v oboru energetiky, a to na základě dlouhodobého vývoje jejich činností v oboru a se zřetelem na relevantní evropské strategie s výhledem do roku 2050.</w:t>
      </w:r>
    </w:p>
    <w:p w:rsidR="008A649B" w:rsidRPr="008A649B" w:rsidRDefault="008A649B" w:rsidP="00BC5587">
      <w:pPr>
        <w:spacing w:before="120" w:after="0" w:line="276" w:lineRule="auto"/>
        <w:rPr>
          <w:rFonts w:ascii="Times New Roman" w:hAnsi="Times New Roman"/>
          <w:color w:val="auto"/>
          <w:sz w:val="24"/>
          <w:szCs w:val="24"/>
        </w:rPr>
      </w:pPr>
      <w:r w:rsidRPr="008A649B">
        <w:t>Při výběru výzkumných témat, definování veřejné soutěže a při její realizaci je plánován následující postup:</w:t>
      </w:r>
    </w:p>
    <w:p w:rsidR="008A649B" w:rsidRPr="000D59FC" w:rsidRDefault="008A649B" w:rsidP="00BC5587">
      <w:pPr>
        <w:pStyle w:val="Odstavecseseznamem"/>
        <w:numPr>
          <w:ilvl w:val="0"/>
          <w:numId w:val="59"/>
        </w:numPr>
        <w:spacing w:before="120" w:after="0" w:line="276" w:lineRule="auto"/>
        <w:rPr>
          <w:rFonts w:ascii="Arial" w:hAnsi="Arial"/>
        </w:rPr>
      </w:pPr>
      <w:r w:rsidRPr="008A649B">
        <w:t>všem potenciálním uchazečům bude sdělen záměr vyhlásit veřejnou soutěž v rámci podprogramu 3 programu THÉTA, a to s výzvou k definování výzkumných témat a vyjádření zájmu o účast v projektech realizovaných v rámci podprogramu 3 a jejich zaslání TA ČR;</w:t>
      </w:r>
    </w:p>
    <w:p w:rsidR="008A649B" w:rsidRPr="000D59FC" w:rsidRDefault="008A649B" w:rsidP="00BC5587">
      <w:pPr>
        <w:pStyle w:val="Odstavecseseznamem"/>
        <w:numPr>
          <w:ilvl w:val="0"/>
          <w:numId w:val="59"/>
        </w:numPr>
        <w:spacing w:before="120" w:after="0" w:line="276" w:lineRule="auto"/>
        <w:rPr>
          <w:rFonts w:ascii="Arial" w:hAnsi="Arial"/>
        </w:rPr>
      </w:pPr>
      <w:r w:rsidRPr="008A649B">
        <w:t>na základě došlých témat bude vytvořen podkladový materiál, který bude sdílen se všemi zájemci o účast v podprogramu 3 a v případě potřeby budou realizována společná jednání k vyjasnění a dopracování výzkumných témat;</w:t>
      </w:r>
    </w:p>
    <w:p w:rsidR="008A649B" w:rsidRPr="000D59FC" w:rsidRDefault="008A649B" w:rsidP="00BC5587">
      <w:pPr>
        <w:pStyle w:val="Odstavecseseznamem"/>
        <w:numPr>
          <w:ilvl w:val="0"/>
          <w:numId w:val="59"/>
        </w:numPr>
        <w:spacing w:before="120" w:after="0" w:line="276" w:lineRule="auto"/>
        <w:rPr>
          <w:rFonts w:ascii="Arial" w:hAnsi="Arial"/>
        </w:rPr>
      </w:pPr>
      <w:r w:rsidRPr="008A649B">
        <w:t>dalším krokem bude vyhlášení samotné veřejné soutěže, jejíž parametry budou vycházet z odborné diskuse se zástupci klíčových zainteresovaných stran realizované v předchozím kroku;</w:t>
      </w:r>
    </w:p>
    <w:p w:rsidR="008A649B" w:rsidRPr="000D59FC" w:rsidRDefault="008A649B" w:rsidP="00BC5587">
      <w:pPr>
        <w:pStyle w:val="Odstavecseseznamem"/>
        <w:numPr>
          <w:ilvl w:val="0"/>
          <w:numId w:val="59"/>
        </w:numPr>
        <w:spacing w:before="120" w:after="0" w:line="276" w:lineRule="auto"/>
        <w:rPr>
          <w:rFonts w:ascii="Arial" w:hAnsi="Arial"/>
        </w:rPr>
      </w:pPr>
      <w:r w:rsidRPr="008A649B">
        <w:t>předpokládá se, že ve veřejné soutěži budou bonifikovány projekty s účinnou spoluprací mezi výzkumnou organizací a podnikem, respektive projekty zaměřené na témata označená ze strany státních institucí jako prioritní.</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Při výběru výzkumných témat budou rovněž brány v úvahu mimořádné výsledky (orientovaného) základního výzkumu výzkumných týmů v odpovídajících výzkumných oblastech (specifické jaderné materiály - kde je ČR významný hráč, energie chemické vazby, nové materiály, nové využití energetických surovin, výzkumných infrastruktur) a dále jejich význam pro naplnění potřeb energetiky k dosažení cílů 2050, tedy pravděpodobně dlouhodobě udržitelné a cenově přijatelné technologie s významnou redukcí emisí skleníkových plynů, v celé energetice. Bude se tedy jednat o technologie pro výrobu elektřiny (jako například obnovitelné zdroje, fosilní zdroje s CCS/U a JE GEN IV), transformaci energií pro dopravu (jako například elektřina a nové energetické nosiče včetně vodíku) a dodávky tepla-chladu (doprovázená zejména nárůstem podílu elektřiny, OZE a kogenerace včetně tepelných čerpadel). </w:t>
      </w:r>
    </w:p>
    <w:p w:rsidR="008A649B" w:rsidRPr="008A649B" w:rsidRDefault="008A649B" w:rsidP="00BC5587">
      <w:pPr>
        <w:spacing w:before="120" w:after="0" w:line="276" w:lineRule="auto"/>
        <w:rPr>
          <w:rFonts w:ascii="Times New Roman" w:hAnsi="Times New Roman"/>
          <w:color w:val="auto"/>
          <w:sz w:val="24"/>
          <w:szCs w:val="24"/>
        </w:rPr>
      </w:pPr>
      <w:r w:rsidRPr="008A649B">
        <w:t xml:space="preserve">Tato transformace na straně zdrojů bude doprovázena nárůstem systémové integrace napříč celou energetikou s novými nároky na celou doprovodnou infrastrukturu (jako například nové nároky na přenosové a distribuční soustavy pro všechny druhy nosičů, akumulaci energií, řídící a dispečerské funkce a podpůrné technologie potřebné pro fungování trhů ve zcela jiné podobě). Přehodnotit bude pravděpodobně nutno například i způsob zajištění spolehlivosti dodávek energií pro konečné spotřebitele a vyrovnat se bude třeba i s dopady klimatických změn a novými omezeními, než se </w:t>
      </w:r>
      <w:r w:rsidRPr="008A649B">
        <w:lastRenderedPageBreak/>
        <w:t xml:space="preserve">kterými se setkáváme dnes, např. dostupnost některých neenergetických surovin pro některé technologie a snižující se dostupnosti vody pro chlazení u technologií založených na </w:t>
      </w:r>
      <w:proofErr w:type="spellStart"/>
      <w:r w:rsidRPr="008A649B">
        <w:t>Carnotově</w:t>
      </w:r>
      <w:proofErr w:type="spellEnd"/>
      <w:r w:rsidRPr="008A649B">
        <w:t xml:space="preserve"> cyklu.</w:t>
      </w:r>
    </w:p>
    <w:p w:rsidR="008A649B" w:rsidRPr="008A649B" w:rsidRDefault="008A649B" w:rsidP="00BC5587">
      <w:pPr>
        <w:spacing w:before="120" w:after="0" w:line="276" w:lineRule="auto"/>
        <w:rPr>
          <w:rFonts w:ascii="Times New Roman" w:hAnsi="Times New Roman"/>
          <w:color w:val="auto"/>
          <w:sz w:val="24"/>
          <w:szCs w:val="24"/>
        </w:rPr>
      </w:pPr>
      <w:r w:rsidRPr="008A649B">
        <w:t>Z hlediska účelu užití nových zdrojů energie jde zejména o energii k zajištění dlouhodobých základních funkcí společnosti, tedy v průmyslu, budovách a v dopravě.</w:t>
      </w:r>
    </w:p>
    <w:p w:rsidR="008A649B" w:rsidRPr="008A649B" w:rsidRDefault="008A649B" w:rsidP="00BC5587">
      <w:pPr>
        <w:spacing w:before="120" w:after="0" w:line="276" w:lineRule="auto"/>
        <w:rPr>
          <w:rFonts w:ascii="Times New Roman" w:hAnsi="Times New Roman"/>
          <w:color w:val="auto"/>
          <w:sz w:val="24"/>
          <w:szCs w:val="24"/>
        </w:rPr>
      </w:pPr>
      <w:r w:rsidRPr="008A649B">
        <w:t>Výzkumné oblasti budou řešeny prostřednictvím výzkumných projektů, jejichž výsledky nebudou mít rychlé uplatnění na trhu, neboť jsou charakteristické svým dlouhým vývojovým cyklem. Podprogram také umožní reagovat na nové výzvy v oblasti energetiky, které během trvání programu mohou vzniknout. Proto bude v podprogramu umožněno definování výzkumných témat řešitelem, která vznikla v rámci rozsáhlejší společenské debatě v daném oboru.</w:t>
      </w:r>
    </w:p>
    <w:p w:rsidR="008A649B" w:rsidRPr="008A649B" w:rsidRDefault="008A649B" w:rsidP="00BC5587">
      <w:pPr>
        <w:spacing w:before="120" w:after="0" w:line="276" w:lineRule="auto"/>
        <w:rPr>
          <w:rFonts w:ascii="Times New Roman" w:hAnsi="Times New Roman"/>
          <w:color w:val="auto"/>
          <w:sz w:val="24"/>
          <w:szCs w:val="24"/>
        </w:rPr>
      </w:pPr>
      <w:r w:rsidRPr="008A649B">
        <w:t>Program bude možné využít pro synergické a komplementární efekty v mezinárodních schématech typu H2020, Euratomu, dalších programech EU a dalších mezinárodních programech, které jsou v souladu se zaměřením programu.</w:t>
      </w:r>
    </w:p>
    <w:p w:rsidR="003E15BB" w:rsidRDefault="008A649B" w:rsidP="00BC5587">
      <w:pPr>
        <w:pStyle w:val="Zvraznnnormln"/>
        <w:spacing w:after="0" w:line="276" w:lineRule="auto"/>
      </w:pPr>
      <w:r w:rsidRPr="008A649B">
        <w:t>Identifikace NPOV podprogramu:</w:t>
      </w:r>
    </w:p>
    <w:p w:rsidR="002247AE" w:rsidRDefault="008A649B" w:rsidP="006912DC">
      <w:pPr>
        <w:spacing w:before="120" w:after="0" w:line="276" w:lineRule="auto"/>
        <w:rPr>
          <w:b/>
          <w:bCs/>
        </w:rPr>
      </w:pPr>
      <w:r w:rsidRPr="008A649B">
        <w:t xml:space="preserve">Realizace projektů podpořených v podprogramu jednoznačně přispěje k naplňování cílů NPOV, a to zejména k prioritní oblasti </w:t>
      </w:r>
      <w:proofErr w:type="gramStart"/>
      <w:r w:rsidRPr="008A649B">
        <w:t>č. 2 Udržitelnost</w:t>
      </w:r>
      <w:proofErr w:type="gramEnd"/>
      <w:r w:rsidRPr="008A649B">
        <w:t xml:space="preserve"> energetiky a materiálových zdrojů, ale doplňkově (respektive průřezově) může přispět i k dalším prioritním oblastem NPOV. </w:t>
      </w:r>
      <w:r w:rsidRPr="008A649B">
        <w:rPr>
          <w:b/>
          <w:bCs/>
        </w:rPr>
        <w:t> </w:t>
      </w:r>
    </w:p>
    <w:p w:rsidR="006912DC" w:rsidRDefault="008A649B" w:rsidP="006912DC">
      <w:pPr>
        <w:spacing w:before="120" w:after="0" w:line="276" w:lineRule="auto"/>
        <w:rPr>
          <w:rFonts w:ascii="Cambria" w:eastAsia="Times New Roman" w:hAnsi="Cambria" w:cs="Times New Roman"/>
        </w:rPr>
      </w:pPr>
      <w:r w:rsidRPr="008A649B">
        <w:t>V tomto ohledu může jít i nad rámce těchto priorit v souladu s integrálním a systémovým přístupem</w:t>
      </w:r>
      <w:r w:rsidR="006912DC">
        <w:t xml:space="preserve">, </w:t>
      </w:r>
      <w:r w:rsidR="006912DC">
        <w:rPr>
          <w:rFonts w:ascii="Cambria" w:eastAsia="Times New Roman" w:hAnsi="Cambria" w:cs="Times New Roman"/>
        </w:rPr>
        <w:t xml:space="preserve">zejména se jedná o následující podoblasti NPOV (i) podoblast </w:t>
      </w:r>
      <w:r w:rsidR="006912DC" w:rsidRPr="008A649B">
        <w:t>3.1 Bezpečnost a spolehlivost produktů a služeb</w:t>
      </w:r>
      <w:r w:rsidR="006912DC">
        <w:t xml:space="preserve"> a </w:t>
      </w:r>
      <w:r w:rsidR="006912DC" w:rsidRPr="008A649B">
        <w:t>podoblast 3.2 Bezpečnost a spolehlivost procesů</w:t>
      </w:r>
      <w:r w:rsidR="006912DC">
        <w:t xml:space="preserve"> v rámci prioritní oblasti 1</w:t>
      </w:r>
      <w:r w:rsidR="006912DC" w:rsidRPr="008A649B">
        <w:t xml:space="preserve"> Konkurenceschopná ekonomika založená na znalostech</w:t>
      </w:r>
      <w:r w:rsidR="006912DC">
        <w:t xml:space="preserve">, (ii) </w:t>
      </w:r>
      <w:r w:rsidR="002247AE">
        <w:t>p</w:t>
      </w:r>
      <w:r w:rsidR="006912DC" w:rsidRPr="008A649B">
        <w:t>odoblast 1.1 Ochrana obyvatelstva</w:t>
      </w:r>
      <w:r w:rsidR="002247AE">
        <w:t>, p</w:t>
      </w:r>
      <w:r w:rsidR="006912DC">
        <w:t>odoblast 2.1 Ochrana, odolnost a obnova kritických infrastruktur</w:t>
      </w:r>
      <w:r w:rsidR="002247AE">
        <w:t xml:space="preserve"> a p</w:t>
      </w:r>
      <w:r w:rsidR="006912DC">
        <w:t>odoblast 2.2 Komunikace a vazby mezi kritickými infrastrukturami</w:t>
      </w:r>
      <w:r w:rsidR="002247AE">
        <w:t xml:space="preserve"> v rámci prioritní oblasti 6 Bezpečná společnost.</w:t>
      </w:r>
    </w:p>
    <w:p w:rsidR="008A649B" w:rsidRPr="008A649B" w:rsidRDefault="008A649B" w:rsidP="00BC5587">
      <w:pPr>
        <w:pStyle w:val="Zvraznnnormln"/>
        <w:spacing w:after="0" w:line="276" w:lineRule="auto"/>
        <w:rPr>
          <w:rFonts w:ascii="Times New Roman" w:hAnsi="Times New Roman"/>
          <w:color w:val="auto"/>
          <w:sz w:val="24"/>
          <w:szCs w:val="24"/>
        </w:rPr>
      </w:pPr>
      <w:r w:rsidRPr="008A649B">
        <w:t>Rozpočet a maximální míra podpory podprogramu 3:</w:t>
      </w:r>
    </w:p>
    <w:p w:rsidR="008A649B" w:rsidRPr="008A649B" w:rsidRDefault="008A649B" w:rsidP="00BC5587">
      <w:pPr>
        <w:spacing w:before="120" w:after="0" w:line="276" w:lineRule="auto"/>
        <w:rPr>
          <w:rFonts w:ascii="Times New Roman" w:hAnsi="Times New Roman"/>
          <w:color w:val="auto"/>
          <w:sz w:val="24"/>
          <w:szCs w:val="24"/>
        </w:rPr>
      </w:pPr>
      <w:r w:rsidRPr="008A649B">
        <w:t>Předpokládaná průměrná míra podpory celkově za podprogram je 80 %. Nejvyšší povolená míra podpory u podprogramu 2 je až 100 % z celkových způsobilých nákladů projektu. Pro jednotlivé příjemce/další účastníky projektu bude nejvyšší povolená míra podpory na jejich způsobilých nákladech určena samostatně v souladu s příslušnými právními předpisy.</w:t>
      </w:r>
    </w:p>
    <w:p w:rsidR="008A649B" w:rsidRPr="008A649B" w:rsidRDefault="008A649B" w:rsidP="00BC5587">
      <w:pPr>
        <w:spacing w:before="120" w:after="0" w:line="276" w:lineRule="auto"/>
        <w:rPr>
          <w:rFonts w:ascii="Times New Roman" w:hAnsi="Times New Roman"/>
          <w:color w:val="auto"/>
          <w:sz w:val="24"/>
          <w:szCs w:val="24"/>
        </w:rPr>
      </w:pPr>
      <w:r w:rsidRPr="008A649B">
        <w:t>Tabulka: Rozpočet podprogramu 3 [mil. Kč]</w:t>
      </w:r>
    </w:p>
    <w:tbl>
      <w:tblPr>
        <w:tblW w:w="0" w:type="auto"/>
        <w:tblCellMar>
          <w:top w:w="15" w:type="dxa"/>
          <w:left w:w="15" w:type="dxa"/>
          <w:bottom w:w="15" w:type="dxa"/>
          <w:right w:w="15" w:type="dxa"/>
        </w:tblCellMar>
        <w:tblLook w:val="04A0" w:firstRow="1" w:lastRow="0" w:firstColumn="1" w:lastColumn="0" w:noHBand="0" w:noVBand="1"/>
      </w:tblPr>
      <w:tblGrid>
        <w:gridCol w:w="2559"/>
        <w:gridCol w:w="698"/>
        <w:gridCol w:w="698"/>
        <w:gridCol w:w="698"/>
        <w:gridCol w:w="698"/>
        <w:gridCol w:w="698"/>
        <w:gridCol w:w="698"/>
        <w:gridCol w:w="698"/>
        <w:gridCol w:w="698"/>
        <w:gridCol w:w="907"/>
      </w:tblGrid>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Rok</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2019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2021</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2022</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2023</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2024</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Celkem</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Celkové výdaje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75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1750</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Výdaje státního rozpočtu</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240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240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240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240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80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1400</w:t>
            </w:r>
          </w:p>
        </w:tc>
      </w:tr>
      <w:tr w:rsidR="008A649B" w:rsidRPr="008A649B" w:rsidTr="008A64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Neveřejné zdroje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15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25</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60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50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20</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8A649B" w:rsidRPr="008A649B" w:rsidRDefault="008A649B" w:rsidP="00BC5587">
            <w:pPr>
              <w:spacing w:before="120" w:after="0" w:line="276" w:lineRule="auto"/>
              <w:rPr>
                <w:rFonts w:ascii="Times New Roman" w:hAnsi="Times New Roman"/>
                <w:color w:val="auto"/>
                <w:sz w:val="24"/>
                <w:szCs w:val="24"/>
              </w:rPr>
            </w:pPr>
            <w:r w:rsidRPr="008A649B">
              <w:t>350</w:t>
            </w:r>
          </w:p>
        </w:tc>
      </w:tr>
    </w:tbl>
    <w:p w:rsidR="008A649B" w:rsidRPr="002247AE" w:rsidRDefault="008A649B" w:rsidP="002633AC">
      <w:pPr>
        <w:keepNext/>
        <w:spacing w:before="120" w:after="0" w:line="276" w:lineRule="auto"/>
        <w:rPr>
          <w:rFonts w:ascii="Times New Roman" w:hAnsi="Times New Roman"/>
          <w:b/>
          <w:color w:val="auto"/>
          <w:sz w:val="24"/>
          <w:szCs w:val="24"/>
        </w:rPr>
      </w:pPr>
      <w:r w:rsidRPr="008A649B">
        <w:lastRenderedPageBreak/>
        <w:br/>
      </w:r>
      <w:r w:rsidRPr="002247AE">
        <w:rPr>
          <w:b/>
        </w:rPr>
        <w:t>Příjemci podpory podprogramu:</w:t>
      </w:r>
    </w:p>
    <w:p w:rsidR="008A649B" w:rsidRPr="000D59FC" w:rsidRDefault="008A649B" w:rsidP="00851123">
      <w:pPr>
        <w:pStyle w:val="Odstavecseseznamem"/>
        <w:numPr>
          <w:ilvl w:val="0"/>
          <w:numId w:val="60"/>
        </w:numPr>
        <w:spacing w:before="120" w:after="0" w:line="276" w:lineRule="auto"/>
        <w:rPr>
          <w:rFonts w:ascii="Arial" w:hAnsi="Arial"/>
        </w:rPr>
      </w:pPr>
      <w:r w:rsidRPr="000D59FC">
        <w:rPr>
          <w:b/>
          <w:bCs/>
        </w:rPr>
        <w:t>Podniky</w:t>
      </w:r>
      <w:r w:rsidRPr="008A649B">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rsidR="008A649B" w:rsidRPr="000D59FC" w:rsidRDefault="008A649B" w:rsidP="00851123">
      <w:pPr>
        <w:pStyle w:val="Odstavecseseznamem"/>
        <w:numPr>
          <w:ilvl w:val="0"/>
          <w:numId w:val="60"/>
        </w:numPr>
        <w:spacing w:before="120" w:after="0" w:line="276" w:lineRule="auto"/>
        <w:rPr>
          <w:rFonts w:ascii="Arial" w:hAnsi="Arial"/>
        </w:rPr>
      </w:pPr>
      <w:r w:rsidRPr="000D59FC">
        <w:rPr>
          <w:b/>
          <w:bCs/>
        </w:rPr>
        <w:t>Organizace pro výzkum a šíření znalostí</w:t>
      </w:r>
      <w:r w:rsidRPr="008A649B">
        <w:t xml:space="preserve"> (dále jen „výzkumné organizace“) – právnické osoby, které splňují definici výzkumné organizace podle čl. 2 odst. 83 Nařízení, a které řeší projekt samostatně nebo ve spolupráci s dalšími účastníky, a prokáží schopnost projekt spolufinancovat z neveřejných prostředků, a mají zajištěn systém realizace výsledků v praxi.</w:t>
      </w:r>
    </w:p>
    <w:p w:rsidR="008A649B" w:rsidRPr="000D59FC" w:rsidRDefault="008A649B" w:rsidP="00851123">
      <w:pPr>
        <w:pStyle w:val="Odstavecseseznamem"/>
        <w:numPr>
          <w:ilvl w:val="0"/>
          <w:numId w:val="60"/>
        </w:numPr>
        <w:spacing w:before="120" w:after="0" w:line="276" w:lineRule="auto"/>
        <w:rPr>
          <w:rFonts w:ascii="Arial" w:hAnsi="Arial"/>
        </w:rPr>
      </w:pPr>
      <w:r w:rsidRPr="000D59FC">
        <w:rPr>
          <w:b/>
          <w:bCs/>
        </w:rPr>
        <w:t>Další fyzické osoby a právnické osoby</w:t>
      </w:r>
      <w:r w:rsidRPr="008A649B">
        <w:t xml:space="preserve"> veřejného i soukromého práva bez ohledu na právní formu či způsob financování, které budou vykonávat činnosti, na něž je podpora poskytována mimo režim veřejné podpory.</w:t>
      </w:r>
    </w:p>
    <w:p w:rsidR="008A649B" w:rsidRPr="002247AE" w:rsidRDefault="008A649B" w:rsidP="00BC5587">
      <w:pPr>
        <w:spacing w:before="120" w:after="0" w:line="276" w:lineRule="auto"/>
        <w:rPr>
          <w:rFonts w:ascii="Times New Roman" w:hAnsi="Times New Roman"/>
          <w:b/>
          <w:color w:val="auto"/>
          <w:sz w:val="24"/>
          <w:szCs w:val="24"/>
        </w:rPr>
      </w:pPr>
      <w:r w:rsidRPr="002247AE">
        <w:rPr>
          <w:b/>
        </w:rPr>
        <w:t>Očekávané výsledky a přínosy podprogramu</w:t>
      </w:r>
    </w:p>
    <w:p w:rsidR="008A649B" w:rsidRPr="008A649B" w:rsidRDefault="008A649B" w:rsidP="00BC5587">
      <w:pPr>
        <w:spacing w:before="120" w:after="0" w:line="276" w:lineRule="auto"/>
        <w:rPr>
          <w:rFonts w:ascii="Times New Roman" w:hAnsi="Times New Roman"/>
          <w:color w:val="auto"/>
          <w:sz w:val="24"/>
          <w:szCs w:val="24"/>
        </w:rPr>
      </w:pPr>
      <w:r w:rsidRPr="008A649B">
        <w:t>Předpokládají se všechny výsledky základního a aplikovaného výzkumu uznávaných Metodikou hodnocení výsledků výzkumných organizací.</w:t>
      </w:r>
    </w:p>
    <w:p w:rsidR="002247AE" w:rsidRDefault="002247AE">
      <w:pPr>
        <w:spacing w:after="0" w:line="276" w:lineRule="auto"/>
        <w:jc w:val="left"/>
        <w:rPr>
          <w:b/>
          <w:color w:val="FF0000"/>
          <w:sz w:val="24"/>
          <w:szCs w:val="28"/>
        </w:rPr>
      </w:pPr>
      <w:bookmarkStart w:id="134" w:name="_jn5tsxzhjso0" w:colFirst="0" w:colLast="0"/>
      <w:bookmarkEnd w:id="134"/>
      <w:r>
        <w:br w:type="page"/>
      </w:r>
    </w:p>
    <w:p w:rsidR="008C4588" w:rsidRPr="00A52D2C" w:rsidRDefault="0009700A" w:rsidP="00BC5587">
      <w:pPr>
        <w:pStyle w:val="Nadpis2"/>
        <w:spacing w:before="120" w:after="0" w:line="276" w:lineRule="auto"/>
      </w:pPr>
      <w:bookmarkStart w:id="135" w:name="_Toc463269137"/>
      <w:bookmarkStart w:id="136" w:name="_Toc463269280"/>
      <w:bookmarkStart w:id="137" w:name="_Toc463269321"/>
      <w:bookmarkStart w:id="138" w:name="_Toc463296659"/>
      <w:bookmarkStart w:id="139" w:name="_Toc463438638"/>
      <w:r w:rsidRPr="00A52D2C">
        <w:lastRenderedPageBreak/>
        <w:t>Kulaté stoly</w:t>
      </w:r>
      <w:bookmarkEnd w:id="135"/>
      <w:bookmarkEnd w:id="136"/>
      <w:bookmarkEnd w:id="137"/>
      <w:bookmarkEnd w:id="138"/>
      <w:bookmarkEnd w:id="139"/>
    </w:p>
    <w:p w:rsidR="008C4588" w:rsidRPr="00A52D2C" w:rsidRDefault="0009700A" w:rsidP="00BC5587">
      <w:pPr>
        <w:spacing w:before="120" w:after="0" w:line="276" w:lineRule="auto"/>
      </w:pPr>
      <w:r w:rsidRPr="00A52D2C">
        <w:t>Pro účely otevření diskuse k novému programu, zapojení relevantních aktérů do jeho přípravy, zjištění potřeb, získání dalších námětů a návrhů k rozpracování programu</w:t>
      </w:r>
      <w:r w:rsidR="005078A2">
        <w:t xml:space="preserve"> Théta</w:t>
      </w:r>
      <w:r w:rsidRPr="00A52D2C">
        <w:t xml:space="preserve"> byly Technologickou agenturou ČR (dále TA ČR) ve spolupráci s Ministerstvem průmyslu a obchodu uspořádány v průběhu června 2016 celkem tři kulaté stoly, a to pro zástupce:</w:t>
      </w:r>
    </w:p>
    <w:p w:rsidR="008C4588" w:rsidRPr="00A52D2C" w:rsidRDefault="0009700A" w:rsidP="00BC5587">
      <w:pPr>
        <w:pStyle w:val="Odstavecseseznamem"/>
        <w:numPr>
          <w:ilvl w:val="0"/>
          <w:numId w:val="3"/>
        </w:numPr>
        <w:spacing w:before="120" w:after="0" w:line="276" w:lineRule="auto"/>
      </w:pPr>
      <w:r w:rsidRPr="00A52D2C">
        <w:t>veřejné správy,</w:t>
      </w:r>
    </w:p>
    <w:p w:rsidR="008C4588" w:rsidRPr="00A52D2C" w:rsidRDefault="0009700A" w:rsidP="00BC5587">
      <w:pPr>
        <w:pStyle w:val="Odstavecseseznamem"/>
        <w:numPr>
          <w:ilvl w:val="0"/>
          <w:numId w:val="3"/>
        </w:numPr>
        <w:spacing w:before="120" w:after="0" w:line="276" w:lineRule="auto"/>
      </w:pPr>
      <w:r w:rsidRPr="00A52D2C">
        <w:t>průmyslového sektoru,</w:t>
      </w:r>
    </w:p>
    <w:p w:rsidR="008C4588" w:rsidRPr="00A52D2C" w:rsidRDefault="0009700A" w:rsidP="00BC5587">
      <w:pPr>
        <w:pStyle w:val="Odstavecseseznamem"/>
        <w:numPr>
          <w:ilvl w:val="0"/>
          <w:numId w:val="3"/>
        </w:numPr>
        <w:spacing w:before="120" w:after="0" w:line="276" w:lineRule="auto"/>
      </w:pPr>
      <w:r w:rsidRPr="00A52D2C">
        <w:t>akademické a výzkumné sféry.</w:t>
      </w:r>
    </w:p>
    <w:p w:rsidR="008C4588" w:rsidRPr="00A52D2C" w:rsidRDefault="0009700A" w:rsidP="00BC5587">
      <w:pPr>
        <w:spacing w:before="120" w:after="0" w:line="276" w:lineRule="auto"/>
      </w:pPr>
      <w:r w:rsidRPr="00A52D2C">
        <w:t>Na této platformě byly diskutovány stěžejní otázky týkající se zaměření programu, nastavení podmínek podpory a dalšího směřování výzkumu a vývoje v oblasti energetiky.</w:t>
      </w:r>
      <w:r w:rsidR="00020305">
        <w:t xml:space="preserve"> Dále byl návrh programu diskutován na jednání Komise pro energetiku Akademie věd České republiky.</w:t>
      </w:r>
    </w:p>
    <w:p w:rsidR="008C4588" w:rsidRPr="00A52D2C" w:rsidRDefault="0009700A" w:rsidP="00BC5587">
      <w:pPr>
        <w:spacing w:before="120" w:after="0" w:line="276" w:lineRule="auto"/>
      </w:pPr>
      <w:r w:rsidRPr="00A52D2C">
        <w:t>Níže uvedené shrnutí obsahuje hlavní či nejčastěji diskutovaná témata, otázky, připomínky a náměty</w:t>
      </w:r>
      <w:r w:rsidR="005078A2">
        <w:t xml:space="preserve"> a reakci ze strany zpracovatelů programu (některé parametry programu byly však následně na základě dalších analýz a diskusí ještě pozměněny, odpovědi zpracovatelů tak reflektují stav přípravy programu v červnu 2016)</w:t>
      </w:r>
      <w:r w:rsidRPr="00A52D2C">
        <w:t>.</w:t>
      </w:r>
    </w:p>
    <w:p w:rsidR="008C4588" w:rsidRPr="00A52D2C" w:rsidRDefault="0009700A" w:rsidP="006E38F6">
      <w:pPr>
        <w:pStyle w:val="Nadpis3"/>
      </w:pPr>
      <w:bookmarkStart w:id="140" w:name="_onwk70eq5b7p" w:colFirst="0" w:colLast="0"/>
      <w:bookmarkStart w:id="141" w:name="_Toc462344805"/>
      <w:bookmarkStart w:id="142" w:name="_Toc463269138"/>
      <w:bookmarkStart w:id="143" w:name="_Toc463269322"/>
      <w:bookmarkEnd w:id="140"/>
      <w:r w:rsidRPr="00A52D2C">
        <w:t>Obecně k programu:</w:t>
      </w:r>
      <w:bookmarkEnd w:id="141"/>
      <w:bookmarkEnd w:id="142"/>
      <w:bookmarkEnd w:id="143"/>
    </w:p>
    <w:p w:rsidR="008C4588" w:rsidRPr="00A52D2C" w:rsidRDefault="0009700A" w:rsidP="00851123">
      <w:pPr>
        <w:pStyle w:val="Odstavecseseznamem"/>
        <w:numPr>
          <w:ilvl w:val="0"/>
          <w:numId w:val="64"/>
        </w:numPr>
        <w:spacing w:before="120" w:after="0" w:line="276" w:lineRule="auto"/>
      </w:pPr>
      <w:r w:rsidRPr="00A52D2C">
        <w:t>Program je vnímán jako potřebný a logicky strukturovaný. Ze strany účastníků kulatých stolů byl deklarován zájem o účast v programu.</w:t>
      </w:r>
    </w:p>
    <w:p w:rsidR="008C4588" w:rsidRPr="00A52D2C" w:rsidRDefault="0009700A" w:rsidP="00851123">
      <w:pPr>
        <w:pStyle w:val="Odstavecseseznamem"/>
        <w:numPr>
          <w:ilvl w:val="0"/>
          <w:numId w:val="64"/>
        </w:numPr>
        <w:spacing w:before="120" w:after="0" w:line="276" w:lineRule="auto"/>
      </w:pPr>
      <w:r w:rsidRPr="00A52D2C">
        <w:t>V programu a jeho jednotlivých podprogramech byla identifikována témata (respektive obecně zaměření programu), která nejsou explicitně uvedena, ale program by na ně měl být také zaměřen.</w:t>
      </w:r>
      <w:r w:rsidRPr="00A52D2C">
        <w:br/>
      </w:r>
      <w:r w:rsidRPr="00AA7D62">
        <w:rPr>
          <w:i/>
        </w:rPr>
        <w:t>Odpověď TA ČR &amp; MPO: Bude zváženo doplnění zaměření programu a relevantních témat na základě zaslaných připomínek a námětů.</w:t>
      </w:r>
    </w:p>
    <w:p w:rsidR="00E01D55" w:rsidRPr="00A52D2C" w:rsidRDefault="0009700A" w:rsidP="00851123">
      <w:pPr>
        <w:pStyle w:val="Odstavecseseznamem"/>
        <w:numPr>
          <w:ilvl w:val="0"/>
          <w:numId w:val="64"/>
        </w:numPr>
        <w:spacing w:before="120" w:after="0" w:line="276" w:lineRule="auto"/>
      </w:pPr>
      <w:r w:rsidRPr="00A52D2C">
        <w:t xml:space="preserve">Byla zmiňována chybějící návaznost na různé strategické dokumenty, jako např. NPOV, Národní RIS3 </w:t>
      </w:r>
      <w:r w:rsidR="00E01D55" w:rsidRPr="00A52D2C">
        <w:t>strategii, NAP JE, NAP SG, atd.</w:t>
      </w:r>
    </w:p>
    <w:p w:rsidR="008C4588" w:rsidRPr="00AA7D62" w:rsidRDefault="0009700A" w:rsidP="00BC5587">
      <w:pPr>
        <w:spacing w:before="120" w:after="0" w:line="276" w:lineRule="auto"/>
        <w:ind w:left="720"/>
      </w:pPr>
      <w:r w:rsidRPr="0079606E">
        <w:rPr>
          <w:i/>
        </w:rPr>
        <w:t>Odpověď TA ČR &amp; MPO: Většina strategických dokumentů je uvedena v rozpracované verzi programu, která vzhledem k rozsahu nebyla prezentována v celém znění. Chybějící strategické dokumenty budou případně doplněny</w:t>
      </w:r>
      <w:r w:rsidRPr="00AA7D62">
        <w:t>.</w:t>
      </w:r>
    </w:p>
    <w:p w:rsidR="008C4588" w:rsidRPr="00A52D2C" w:rsidRDefault="0009700A" w:rsidP="00851123">
      <w:pPr>
        <w:pStyle w:val="Odstavecseseznamem"/>
        <w:numPr>
          <w:ilvl w:val="0"/>
          <w:numId w:val="64"/>
        </w:numPr>
        <w:spacing w:before="120" w:after="0" w:line="276" w:lineRule="auto"/>
      </w:pPr>
      <w:r w:rsidRPr="00A52D2C">
        <w:t>Padnul návrh prodloužit trvání programu tak, aby bylo možné realizovat i delší projekty a také aby bylo možné dosáhnout stanovených výsledků jako např. patenty. Také by mělo být umožněna vzájemná návaznost mezi projekty z jednotlivých podprogramů.</w:t>
      </w:r>
      <w:r w:rsidRPr="00A52D2C">
        <w:br/>
      </w:r>
      <w:r w:rsidRPr="00AA7D62">
        <w:rPr>
          <w:i/>
        </w:rPr>
        <w:t>Odpověď TA ČR &amp; MPO: Bude zváženo, zároveň je plánováno v polovině programu realizovat jeho průběžné hodnocení, na základě kterého bude případně program upraven.</w:t>
      </w:r>
    </w:p>
    <w:p w:rsidR="00E01D55" w:rsidRPr="00A52D2C" w:rsidRDefault="0009700A" w:rsidP="00851123">
      <w:pPr>
        <w:pStyle w:val="Odstavecseseznamem"/>
        <w:numPr>
          <w:ilvl w:val="0"/>
          <w:numId w:val="64"/>
        </w:numPr>
        <w:spacing w:before="120" w:after="0" w:line="276" w:lineRule="auto"/>
      </w:pPr>
      <w:r w:rsidRPr="00A52D2C">
        <w:t>Dotaz na předpokládanou délku projektů.</w:t>
      </w:r>
    </w:p>
    <w:p w:rsidR="008C4588" w:rsidRPr="00A52D2C" w:rsidRDefault="0009700A" w:rsidP="00BC5587">
      <w:pPr>
        <w:spacing w:before="120" w:after="0" w:line="276" w:lineRule="auto"/>
        <w:ind w:left="720"/>
      </w:pPr>
      <w:r w:rsidRPr="0079606E">
        <w:rPr>
          <w:i/>
        </w:rPr>
        <w:t>Odpověď TA ČR &amp; MPO: V podprogramu 1 předpokládáme délku projektů 1-2 roky, v podprogramu 2 cca 3 roky a v podprogramu 3 3-8 let. Bude specifikováno v samotném programu</w:t>
      </w:r>
      <w:r w:rsidRPr="00A52D2C">
        <w:t>.</w:t>
      </w:r>
    </w:p>
    <w:p w:rsidR="00E01D55" w:rsidRPr="00A52D2C" w:rsidRDefault="0009700A" w:rsidP="00851123">
      <w:pPr>
        <w:pStyle w:val="Odstavecseseznamem"/>
        <w:numPr>
          <w:ilvl w:val="0"/>
          <w:numId w:val="64"/>
        </w:numPr>
        <w:spacing w:before="120" w:after="0" w:line="276" w:lineRule="auto"/>
      </w:pPr>
      <w:r w:rsidRPr="00A52D2C">
        <w:t>Dotaz na způsob rozdělení alo</w:t>
      </w:r>
      <w:r w:rsidR="00E01D55" w:rsidRPr="00A52D2C">
        <w:t>kace na jednotlivé podprogramy.</w:t>
      </w:r>
    </w:p>
    <w:p w:rsidR="008C4588" w:rsidRPr="0079606E" w:rsidRDefault="0009700A" w:rsidP="00BC5587">
      <w:pPr>
        <w:spacing w:before="120" w:after="0" w:line="276" w:lineRule="auto"/>
        <w:ind w:left="720"/>
        <w:rPr>
          <w:i/>
        </w:rPr>
      </w:pPr>
      <w:r w:rsidRPr="0079606E">
        <w:rPr>
          <w:i/>
        </w:rPr>
        <w:lastRenderedPageBreak/>
        <w:t>Odpověď TA ČR &amp; MPO:  Bude provedena analýza absorpční kapacity, která bude určitým parametrem při rozdělování alokace. Dalším parametrem je zaměření jednotlivých podprogramů a charakter projektů. Zatím se předpokládá následující rozdělení alokace programu na podprogramy (bude však předmětem dalších analýz): podprogram 1 – 20 %, podprogram 2 –</w:t>
      </w:r>
      <w:r w:rsidR="00B93770">
        <w:rPr>
          <w:i/>
        </w:rPr>
        <w:t>50 </w:t>
      </w:r>
      <w:r w:rsidRPr="0079606E">
        <w:rPr>
          <w:i/>
        </w:rPr>
        <w:t>%, podprogram 3 – 30 %.</w:t>
      </w:r>
    </w:p>
    <w:p w:rsidR="00E01D55" w:rsidRPr="00A52D2C" w:rsidRDefault="0009700A" w:rsidP="00851123">
      <w:pPr>
        <w:pStyle w:val="Odstavecseseznamem"/>
        <w:numPr>
          <w:ilvl w:val="0"/>
          <w:numId w:val="64"/>
        </w:numPr>
        <w:spacing w:before="120" w:after="0" w:line="276" w:lineRule="auto"/>
      </w:pPr>
      <w:r w:rsidRPr="00A52D2C">
        <w:t>Dotaz</w:t>
      </w:r>
      <w:r w:rsidR="00E01D55" w:rsidRPr="00A52D2C">
        <w:t xml:space="preserve"> na vazbu na evropské programy.</w:t>
      </w:r>
    </w:p>
    <w:p w:rsidR="008C4588" w:rsidRPr="00A52D2C" w:rsidRDefault="0009700A" w:rsidP="00BC5587">
      <w:pPr>
        <w:spacing w:before="120" w:after="0" w:line="276" w:lineRule="auto"/>
        <w:ind w:left="720"/>
      </w:pPr>
      <w:r w:rsidRPr="0079606E">
        <w:rPr>
          <w:i/>
        </w:rPr>
        <w:t>Odpověď TA ČR &amp; MPO: Plánuje se zapojení do mezinárodních programů. TA ČR nyní zkoumá prakticky a principy fungování v rámci programu ZÉTA. Je deklarována snaha získat další konkrétní informace v oblasti energetiky</w:t>
      </w:r>
      <w:r w:rsidRPr="00A52D2C">
        <w:t>.</w:t>
      </w:r>
    </w:p>
    <w:p w:rsidR="00AA7D62" w:rsidRDefault="0009700A" w:rsidP="00851123">
      <w:pPr>
        <w:pStyle w:val="Odstavecseseznamem"/>
        <w:numPr>
          <w:ilvl w:val="0"/>
          <w:numId w:val="64"/>
        </w:numPr>
        <w:spacing w:before="120" w:after="0" w:line="276" w:lineRule="auto"/>
      </w:pPr>
      <w:r w:rsidRPr="00A52D2C">
        <w:t xml:space="preserve">Ze strany účastníků kulatých stolů byla identifikována následující </w:t>
      </w:r>
      <w:r w:rsidRPr="00AA7D62">
        <w:rPr>
          <w:b/>
        </w:rPr>
        <w:t>rizika</w:t>
      </w:r>
      <w:r w:rsidRPr="00A52D2C">
        <w:t xml:space="preserve"> vzniku a implementace programu THÉTA:</w:t>
      </w:r>
    </w:p>
    <w:p w:rsidR="00AA7D62" w:rsidRDefault="0009700A" w:rsidP="00851123">
      <w:pPr>
        <w:pStyle w:val="Odstavecseseznamem"/>
        <w:numPr>
          <w:ilvl w:val="1"/>
          <w:numId w:val="64"/>
        </w:numPr>
        <w:spacing w:before="120" w:after="0" w:line="276" w:lineRule="auto"/>
      </w:pPr>
      <w:r w:rsidRPr="00A52D2C">
        <w:t>Nedostatek finančních prostředků na program (případně byla zmiňována nutnost zaměřit se jen na prioritní témata v případě nedostatečného rozpočtu programu, respektive vhodnost umožnit v programu případné v budoucnu legislativou povolené formy podpory VaV).</w:t>
      </w:r>
    </w:p>
    <w:p w:rsidR="00AA7D62" w:rsidRDefault="0009700A" w:rsidP="00851123">
      <w:pPr>
        <w:pStyle w:val="Odstavecseseznamem"/>
        <w:numPr>
          <w:ilvl w:val="1"/>
          <w:numId w:val="64"/>
        </w:numPr>
        <w:spacing w:before="120" w:after="0" w:line="276" w:lineRule="auto"/>
      </w:pPr>
      <w:r w:rsidRPr="00A52D2C">
        <w:t>Nastavení vhodných podmínek zajišťujících dostatečný zájem o zapojení do programu ze strany výzkumných organizací i podniků.</w:t>
      </w:r>
    </w:p>
    <w:p w:rsidR="00AA7D62" w:rsidRDefault="0009700A" w:rsidP="00851123">
      <w:pPr>
        <w:pStyle w:val="Odstavecseseznamem"/>
        <w:numPr>
          <w:ilvl w:val="1"/>
          <w:numId w:val="64"/>
        </w:numPr>
        <w:spacing w:before="120" w:after="0" w:line="276" w:lineRule="auto"/>
      </w:pPr>
      <w:r w:rsidRPr="00A52D2C">
        <w:t>Složitá administrativa, míra detailu a množství informací, které jsou vyžadovány od uchazečů.</w:t>
      </w:r>
    </w:p>
    <w:p w:rsidR="008C4588" w:rsidRPr="00A52D2C" w:rsidRDefault="0009700A" w:rsidP="00851123">
      <w:pPr>
        <w:pStyle w:val="Odstavecseseznamem"/>
        <w:numPr>
          <w:ilvl w:val="1"/>
          <w:numId w:val="64"/>
        </w:numPr>
        <w:spacing w:before="120" w:after="0" w:line="276" w:lineRule="auto"/>
      </w:pPr>
      <w:r w:rsidRPr="00A52D2C">
        <w:t>Hrozba úniku know-how do zahraničí, ochrana klíčových informací.</w:t>
      </w:r>
    </w:p>
    <w:p w:rsidR="008C4588" w:rsidRPr="00A52D2C" w:rsidRDefault="0009700A" w:rsidP="006E38F6">
      <w:pPr>
        <w:pStyle w:val="Nadpis3"/>
      </w:pPr>
      <w:bookmarkStart w:id="144" w:name="_pe3tvfubkomm" w:colFirst="0" w:colLast="0"/>
      <w:bookmarkStart w:id="145" w:name="_Toc462344806"/>
      <w:bookmarkStart w:id="146" w:name="_Toc463269139"/>
      <w:bookmarkStart w:id="147" w:name="_Toc463269323"/>
      <w:bookmarkEnd w:id="144"/>
      <w:r w:rsidRPr="00A52D2C">
        <w:t>Dotazy k podprogramu 1 – Výzkum ve veřejném zájmu:</w:t>
      </w:r>
      <w:bookmarkEnd w:id="145"/>
      <w:bookmarkEnd w:id="146"/>
      <w:bookmarkEnd w:id="147"/>
      <w:r w:rsidRPr="00A52D2C">
        <w:t xml:space="preserve"> </w:t>
      </w:r>
    </w:p>
    <w:p w:rsidR="00AA7D62" w:rsidRDefault="0009700A" w:rsidP="00BC5587">
      <w:pPr>
        <w:pStyle w:val="Odstavecseseznamem"/>
        <w:spacing w:before="120" w:after="0" w:line="276" w:lineRule="auto"/>
      </w:pPr>
      <w:r w:rsidRPr="00A52D2C">
        <w:t>Nutné důkladně ohlídat překryv s programem veřejných zakázek BETA2, programem EPSILON, OP PIK a dalšími.</w:t>
      </w:r>
    </w:p>
    <w:p w:rsidR="008C4588" w:rsidRPr="00AA7D62" w:rsidRDefault="0009700A" w:rsidP="00BC5587">
      <w:pPr>
        <w:spacing w:before="120" w:after="0" w:line="276" w:lineRule="auto"/>
        <w:ind w:left="720"/>
      </w:pPr>
      <w:r w:rsidRPr="0079606E">
        <w:rPr>
          <w:i/>
        </w:rPr>
        <w:t>Odpověď TA ČR &amp; MPO: V programu THÉTA bude vysvětlena vzájemná doplňkovost mezi programem THÉTA a dalšímu programy, v programu THÉTA bude vysvětlen mechanismus zaručující, aby nedocházelo k překryvům mezi těmito programy</w:t>
      </w:r>
      <w:r w:rsidRPr="00AA7D62">
        <w:t xml:space="preserve">. </w:t>
      </w:r>
    </w:p>
    <w:p w:rsidR="00AA7D62" w:rsidRDefault="0009700A" w:rsidP="00BC5587">
      <w:pPr>
        <w:pStyle w:val="Odstavecseseznamem"/>
        <w:spacing w:before="120" w:after="0" w:line="276" w:lineRule="auto"/>
      </w:pPr>
      <w:r w:rsidRPr="00A52D2C">
        <w:t>Vzhledem k potřebě zpřesnit informační a datovou bázi v oblasti energetiky bylo doporučeno ve spolupráci s Českým statistickým úřadem nebo firmou ČEPS, a.s. doplnit do programu oblast sdílení relevantních dat se zpracovateli výzkumné potřeby pro účely veřejné správy ze strany regulovaných a veřejných subjektů za účelem zvýšení kvality výstupů.</w:t>
      </w:r>
    </w:p>
    <w:p w:rsidR="008C4588" w:rsidRPr="00A52D2C" w:rsidRDefault="0009700A" w:rsidP="00BC5587">
      <w:pPr>
        <w:spacing w:before="120" w:after="0" w:line="276" w:lineRule="auto"/>
        <w:ind w:left="720"/>
      </w:pPr>
      <w:r w:rsidRPr="0079606E">
        <w:rPr>
          <w:i/>
        </w:rPr>
        <w:t>Odpověď TA ČR &amp; MPO: Tento podnět bereme na vědomí a budeme se jím zabývat</w:t>
      </w:r>
      <w:r w:rsidRPr="00AA7D62">
        <w:t>.</w:t>
      </w:r>
    </w:p>
    <w:p w:rsidR="008C4588" w:rsidRPr="00A52D2C" w:rsidRDefault="0009700A" w:rsidP="006E38F6">
      <w:pPr>
        <w:pStyle w:val="Nadpis3"/>
      </w:pPr>
      <w:bookmarkStart w:id="148" w:name="_f8rejr3f1n3q" w:colFirst="0" w:colLast="0"/>
      <w:bookmarkStart w:id="149" w:name="_Toc462344807"/>
      <w:bookmarkStart w:id="150" w:name="_Toc463269140"/>
      <w:bookmarkStart w:id="151" w:name="_Toc463269324"/>
      <w:bookmarkEnd w:id="148"/>
      <w:r w:rsidRPr="00A52D2C">
        <w:t>Dotazy k podprogramu 2 – Strategické energetické technologie</w:t>
      </w:r>
      <w:bookmarkEnd w:id="149"/>
      <w:bookmarkEnd w:id="150"/>
      <w:bookmarkEnd w:id="151"/>
    </w:p>
    <w:p w:rsidR="0079606E" w:rsidRDefault="0009700A" w:rsidP="00BC5587">
      <w:pPr>
        <w:pStyle w:val="Odstavecseseznamem"/>
        <w:spacing w:before="120" w:after="0" w:line="276" w:lineRule="auto"/>
      </w:pPr>
      <w:r w:rsidRPr="00A52D2C">
        <w:t>Chybí některá témata, například v oblasti teplárenství. Je důležité definovat, kde máme, jako ČR</w:t>
      </w:r>
      <w:r w:rsidR="00E01D55" w:rsidRPr="00A52D2C">
        <w:t xml:space="preserve">, šanci se uplatnit v exportu. </w:t>
      </w:r>
    </w:p>
    <w:p w:rsidR="00AA7D62" w:rsidRDefault="0009700A" w:rsidP="00BC5587">
      <w:pPr>
        <w:spacing w:before="120" w:after="0" w:line="276" w:lineRule="auto"/>
        <w:ind w:left="720"/>
      </w:pPr>
      <w:r w:rsidRPr="0079606E">
        <w:rPr>
          <w:i/>
        </w:rPr>
        <w:t>Odpověď TA ČR &amp; MPO: Bude zváženo doplnění relevantních témat na základě zaslaných připomínek a námětů</w:t>
      </w:r>
      <w:r w:rsidRPr="00A52D2C">
        <w:t>.</w:t>
      </w:r>
    </w:p>
    <w:p w:rsidR="00E01D55" w:rsidRPr="00A52D2C" w:rsidRDefault="0009700A" w:rsidP="00BC5587">
      <w:pPr>
        <w:pStyle w:val="Odstavecseseznamem"/>
        <w:spacing w:before="120" w:after="0" w:line="276" w:lineRule="auto"/>
      </w:pPr>
      <w:r w:rsidRPr="00A52D2C">
        <w:t>Míra podpory 60</w:t>
      </w:r>
      <w:r w:rsidR="00B93770">
        <w:t> </w:t>
      </w:r>
      <w:r w:rsidRPr="00A52D2C">
        <w:t>% je limitující, z</w:t>
      </w:r>
      <w:r w:rsidR="00E01D55" w:rsidRPr="00A52D2C">
        <w:t>ejména pro výzkumné organizace.</w:t>
      </w:r>
    </w:p>
    <w:p w:rsidR="008C4588" w:rsidRPr="00A52D2C" w:rsidRDefault="0009700A" w:rsidP="00BC5587">
      <w:pPr>
        <w:spacing w:before="120" w:after="0" w:line="276" w:lineRule="auto"/>
        <w:ind w:left="720"/>
      </w:pPr>
      <w:r w:rsidRPr="0079606E">
        <w:rPr>
          <w:i/>
        </w:rPr>
        <w:lastRenderedPageBreak/>
        <w:t>Odpověď TA ČR &amp; MPO: Míra podpory je stanovena v souladu s nařízením o veřejné podpoře. Jedná se o průměrnou míru podpory na daný podprogram, která je stanovena tak, aby bylo docíleno efektivní spolupráce výzkumných organizací a podniků</w:t>
      </w:r>
      <w:r w:rsidRPr="00A52D2C">
        <w:t>.</w:t>
      </w:r>
    </w:p>
    <w:p w:rsidR="008C4588" w:rsidRPr="00A52D2C" w:rsidRDefault="0009700A" w:rsidP="006E38F6">
      <w:pPr>
        <w:pStyle w:val="Nadpis3"/>
      </w:pPr>
      <w:bookmarkStart w:id="152" w:name="_f5l0orjwp7zl" w:colFirst="0" w:colLast="0"/>
      <w:bookmarkStart w:id="153" w:name="_Toc462344808"/>
      <w:bookmarkStart w:id="154" w:name="_Toc463269141"/>
      <w:bookmarkStart w:id="155" w:name="_Toc463269325"/>
      <w:bookmarkEnd w:id="152"/>
      <w:r w:rsidRPr="00A52D2C">
        <w:t>Dotazy k podprogramu 3 – Dlouhodobé technologické perspektivy</w:t>
      </w:r>
      <w:bookmarkEnd w:id="153"/>
      <w:bookmarkEnd w:id="154"/>
      <w:bookmarkEnd w:id="155"/>
    </w:p>
    <w:p w:rsidR="00AA7D62" w:rsidRDefault="0009700A" w:rsidP="00851123">
      <w:pPr>
        <w:pStyle w:val="Odstavecseseznamem"/>
        <w:numPr>
          <w:ilvl w:val="0"/>
          <w:numId w:val="65"/>
        </w:numPr>
        <w:spacing w:before="120" w:after="0" w:line="276" w:lineRule="auto"/>
      </w:pPr>
      <w:r w:rsidRPr="00A52D2C">
        <w:t>Bylo zmíněno, že bude důležité umožnit firmám se účastnit nejen formou realizace výzkumu a vývoje, ale i případně formou vkladu know-how, financí apod. Zároveň je nutné zvážit míru detailu popisu návrhu projektu, protože u dlouhodobých projektů není možné odhadovat například člověkodny na několik let dopředu.</w:t>
      </w:r>
    </w:p>
    <w:p w:rsidR="008C4588" w:rsidRPr="00A52D2C" w:rsidRDefault="0009700A" w:rsidP="00BC5587">
      <w:pPr>
        <w:spacing w:before="120" w:after="0" w:line="276" w:lineRule="auto"/>
        <w:ind w:left="720"/>
      </w:pPr>
      <w:r w:rsidRPr="0079606E">
        <w:rPr>
          <w:i/>
        </w:rPr>
        <w:t>Odpověď TA ČR &amp; MPO: Podnět bereme na vědomí, naší snahou bude vymyslet vhodný způsob zapojení soukromého sektoru do realizace programu, který bude zároveň dostatečně motivující pro všechny zúčastněné subjekty</w:t>
      </w:r>
      <w:r w:rsidRPr="00AA7D62">
        <w:t>.</w:t>
      </w:r>
    </w:p>
    <w:p w:rsidR="00AA7D62" w:rsidRPr="00AA7D62" w:rsidRDefault="0009700A" w:rsidP="00851123">
      <w:pPr>
        <w:pStyle w:val="Odstavecseseznamem"/>
        <w:numPr>
          <w:ilvl w:val="0"/>
          <w:numId w:val="65"/>
        </w:numPr>
        <w:spacing w:before="120" w:after="0" w:line="276" w:lineRule="auto"/>
        <w:rPr>
          <w:i/>
        </w:rPr>
      </w:pPr>
      <w:r w:rsidRPr="00A52D2C">
        <w:t>Vzhledem k zaměření podprogramu a předpokládané delší době realizace jednotlivých projektů doporučena možnost zapojení postgraduálních studentů.</w:t>
      </w:r>
    </w:p>
    <w:p w:rsidR="00AA7D62" w:rsidRPr="00AA7D62" w:rsidRDefault="0009700A" w:rsidP="00BC5587">
      <w:pPr>
        <w:spacing w:before="120" w:after="0" w:line="276" w:lineRule="auto"/>
        <w:ind w:left="720"/>
      </w:pPr>
      <w:r w:rsidRPr="0079606E">
        <w:rPr>
          <w:i/>
        </w:rPr>
        <w:t>Odpověď TA ČR &amp; MPO: TA ČR bere na vědomí, ale zároveň upozorňuje na nově schválený program ZÉTA, který je zaměřen na mladé vědce a výzkumné pracovníky</w:t>
      </w:r>
      <w:r w:rsidRPr="00AA7D62">
        <w:t>.</w:t>
      </w:r>
    </w:p>
    <w:p w:rsidR="008C4588" w:rsidRPr="00A52D2C" w:rsidRDefault="008C4588" w:rsidP="00BC5587">
      <w:pPr>
        <w:spacing w:before="120" w:after="0" w:line="276" w:lineRule="auto"/>
      </w:pPr>
    </w:p>
    <w:p w:rsidR="008C4588" w:rsidRPr="00A52D2C" w:rsidRDefault="0009700A" w:rsidP="00BC5587">
      <w:pPr>
        <w:spacing w:before="120" w:after="0" w:line="276" w:lineRule="auto"/>
      </w:pPr>
      <w:r w:rsidRPr="00A52D2C">
        <w:t>Účastníci kulatých stolů byli požádáni o zaslání komentářů, připomínek a námětů na předem definovaná témata:</w:t>
      </w:r>
    </w:p>
    <w:p w:rsidR="00AA7D62" w:rsidRDefault="0009700A" w:rsidP="00851123">
      <w:pPr>
        <w:pStyle w:val="Odstavecseseznamem"/>
        <w:numPr>
          <w:ilvl w:val="0"/>
          <w:numId w:val="65"/>
        </w:numPr>
        <w:spacing w:before="120" w:after="0" w:line="276" w:lineRule="auto"/>
      </w:pPr>
      <w:r w:rsidRPr="00A52D2C">
        <w:t>zaměření a cíle programu a jeho podprogramů,</w:t>
      </w:r>
    </w:p>
    <w:p w:rsidR="00AA7D62" w:rsidRDefault="0009700A" w:rsidP="00851123">
      <w:pPr>
        <w:pStyle w:val="Odstavecseseznamem"/>
        <w:numPr>
          <w:ilvl w:val="0"/>
          <w:numId w:val="65"/>
        </w:numPr>
        <w:spacing w:before="120" w:after="0" w:line="276" w:lineRule="auto"/>
      </w:pPr>
      <w:r w:rsidRPr="00A52D2C">
        <w:t>rizika realizace programu a jednotlivých podprogramů,</w:t>
      </w:r>
    </w:p>
    <w:p w:rsidR="00AA7D62" w:rsidRDefault="0009700A" w:rsidP="00851123">
      <w:pPr>
        <w:pStyle w:val="Odstavecseseznamem"/>
        <w:numPr>
          <w:ilvl w:val="0"/>
          <w:numId w:val="65"/>
        </w:numPr>
        <w:spacing w:before="120" w:after="0" w:line="276" w:lineRule="auto"/>
      </w:pPr>
      <w:r w:rsidRPr="00A52D2C">
        <w:t>konkrétní témata v programu dosud (explicitně) neuvedená,</w:t>
      </w:r>
    </w:p>
    <w:p w:rsidR="008C4588" w:rsidRPr="00A52D2C" w:rsidRDefault="0009700A" w:rsidP="00851123">
      <w:pPr>
        <w:pStyle w:val="Odstavecseseznamem"/>
        <w:numPr>
          <w:ilvl w:val="0"/>
          <w:numId w:val="65"/>
        </w:numPr>
        <w:spacing w:before="120" w:after="0" w:line="276" w:lineRule="auto"/>
      </w:pPr>
      <w:r w:rsidRPr="00A52D2C">
        <w:t>vyjádření zájmu o účast v programu, a to ideálně včetně předpokládaného počtu projektů a jejich finančního objemu v průběhu realizace programu THÉTA.</w:t>
      </w:r>
    </w:p>
    <w:p w:rsidR="008C4588" w:rsidRDefault="0009700A" w:rsidP="00BC5587">
      <w:pPr>
        <w:spacing w:before="120" w:after="0" w:line="276" w:lineRule="auto"/>
      </w:pPr>
      <w:r w:rsidRPr="00A52D2C">
        <w:t>S</w:t>
      </w:r>
      <w:r w:rsidR="009D35E6">
        <w:t xml:space="preserve">eznam účastníků kulatých stolů je </w:t>
      </w:r>
      <w:r w:rsidR="009D35E6" w:rsidRPr="009D35E6">
        <w:rPr>
          <w:color w:val="0066FF"/>
          <w:u w:val="single"/>
        </w:rPr>
        <w:fldChar w:fldCharType="begin"/>
      </w:r>
      <w:r w:rsidR="009D35E6" w:rsidRPr="009D35E6">
        <w:rPr>
          <w:color w:val="0066FF"/>
          <w:u w:val="single"/>
        </w:rPr>
        <w:instrText xml:space="preserve"> REF _Ref463297232 \h  \* MERGEFORMAT </w:instrText>
      </w:r>
      <w:r w:rsidR="009D35E6" w:rsidRPr="009D35E6">
        <w:rPr>
          <w:color w:val="0066FF"/>
          <w:u w:val="single"/>
        </w:rPr>
      </w:r>
      <w:r w:rsidR="009D35E6" w:rsidRPr="009D35E6">
        <w:rPr>
          <w:color w:val="0066FF"/>
          <w:u w:val="single"/>
        </w:rPr>
        <w:fldChar w:fldCharType="separate"/>
      </w:r>
      <w:r w:rsidR="00650FB0" w:rsidRPr="00650FB0">
        <w:rPr>
          <w:color w:val="0066FF"/>
          <w:u w:val="single"/>
        </w:rPr>
        <w:t xml:space="preserve">Příloha </w:t>
      </w:r>
      <w:r w:rsidR="00650FB0" w:rsidRPr="00650FB0">
        <w:rPr>
          <w:noProof/>
          <w:color w:val="0066FF"/>
          <w:u w:val="single"/>
        </w:rPr>
        <w:t>1</w:t>
      </w:r>
      <w:r w:rsidR="009D35E6" w:rsidRPr="009D35E6">
        <w:rPr>
          <w:color w:val="0066FF"/>
          <w:u w:val="single"/>
        </w:rPr>
        <w:fldChar w:fldCharType="end"/>
      </w:r>
      <w:r w:rsidR="009D35E6">
        <w:t xml:space="preserve"> </w:t>
      </w:r>
      <w:r w:rsidR="006D0F02">
        <w:t>této podkladové studie</w:t>
      </w:r>
      <w:r w:rsidRPr="006D0F02">
        <w:t>.</w:t>
      </w:r>
    </w:p>
    <w:p w:rsidR="005D4FEC" w:rsidRDefault="005D4FEC" w:rsidP="00BC5587">
      <w:pPr>
        <w:spacing w:before="120" w:after="0" w:line="276" w:lineRule="auto"/>
      </w:pPr>
    </w:p>
    <w:p w:rsidR="0079606E" w:rsidRDefault="0079606E" w:rsidP="00BC5587">
      <w:pPr>
        <w:spacing w:before="120" w:after="0" w:line="276" w:lineRule="auto"/>
        <w:sectPr w:rsidR="0079606E" w:rsidSect="00E9455C">
          <w:pgSz w:w="11906" w:h="16838"/>
          <w:pgMar w:top="2581" w:right="1133" w:bottom="1417" w:left="1133" w:header="708" w:footer="708" w:gutter="0"/>
          <w:cols w:space="708"/>
        </w:sectPr>
      </w:pPr>
    </w:p>
    <w:p w:rsidR="008C4588" w:rsidRPr="00A52D2C" w:rsidRDefault="0009700A" w:rsidP="00BC5587">
      <w:pPr>
        <w:pStyle w:val="Nadpis1"/>
        <w:spacing w:before="120" w:after="0" w:line="276" w:lineRule="auto"/>
      </w:pPr>
      <w:bookmarkStart w:id="156" w:name="_jfar6pohwfov" w:colFirst="0" w:colLast="0"/>
      <w:bookmarkStart w:id="157" w:name="_6cse7mri31je" w:colFirst="0" w:colLast="0"/>
      <w:bookmarkStart w:id="158" w:name="_Toc463269142"/>
      <w:bookmarkStart w:id="159" w:name="_Toc463269281"/>
      <w:bookmarkStart w:id="160" w:name="_Toc463269326"/>
      <w:bookmarkStart w:id="161" w:name="_Toc463296660"/>
      <w:bookmarkStart w:id="162" w:name="_Toc463438639"/>
      <w:bookmarkEnd w:id="156"/>
      <w:bookmarkEnd w:id="157"/>
      <w:r w:rsidRPr="00A52D2C">
        <w:lastRenderedPageBreak/>
        <w:t>Vazba na další programy VaVaI a eliminace možných duplicit</w:t>
      </w:r>
      <w:bookmarkEnd w:id="158"/>
      <w:bookmarkEnd w:id="159"/>
      <w:bookmarkEnd w:id="160"/>
      <w:bookmarkEnd w:id="161"/>
      <w:bookmarkEnd w:id="162"/>
    </w:p>
    <w:p w:rsidR="008C4588" w:rsidRPr="00A52D2C" w:rsidRDefault="0009700A" w:rsidP="00BC5587">
      <w:pPr>
        <w:pStyle w:val="Nadpis2"/>
        <w:spacing w:before="120" w:after="0" w:line="276" w:lineRule="auto"/>
      </w:pPr>
      <w:bookmarkStart w:id="163" w:name="_cn6vq033zh1a" w:colFirst="0" w:colLast="0"/>
      <w:bookmarkStart w:id="164" w:name="_Toc463269143"/>
      <w:bookmarkStart w:id="165" w:name="_Toc463269282"/>
      <w:bookmarkStart w:id="166" w:name="_Toc463269327"/>
      <w:bookmarkStart w:id="167" w:name="_Toc463296661"/>
      <w:bookmarkStart w:id="168" w:name="_Toc463438640"/>
      <w:bookmarkEnd w:id="163"/>
      <w:r w:rsidRPr="00A52D2C">
        <w:t>BETA2</w:t>
      </w:r>
      <w:bookmarkEnd w:id="164"/>
      <w:bookmarkEnd w:id="165"/>
      <w:bookmarkEnd w:id="166"/>
      <w:bookmarkEnd w:id="167"/>
      <w:bookmarkEnd w:id="168"/>
    </w:p>
    <w:p w:rsidR="009844BE" w:rsidRPr="009844BE" w:rsidRDefault="009844BE" w:rsidP="00BC5587">
      <w:pPr>
        <w:spacing w:before="120" w:after="0" w:line="276" w:lineRule="auto"/>
        <w:rPr>
          <w:rFonts w:ascii="Times New Roman" w:hAnsi="Times New Roman"/>
          <w:color w:val="auto"/>
          <w:sz w:val="24"/>
          <w:szCs w:val="24"/>
        </w:rPr>
      </w:pPr>
      <w:r w:rsidRPr="009844BE">
        <w:t xml:space="preserve">BETA2 je navazující program k programu BETA. Jedná se o </w:t>
      </w:r>
      <w:r w:rsidRPr="009844BE">
        <w:rPr>
          <w:shd w:val="clear" w:color="auto" w:fill="FFFFFF"/>
        </w:rPr>
        <w:t xml:space="preserve">program veřejných zakázek v aplikovaném výzkumu a inovacích pro potřeby státní správy, který byl schválen usnesením vlády České republiky č. 278 ze dne 30. 3. 2016. </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orgány státní správy, pro které je v tomto programu zajišťováno řešení výzkumných potřeb.</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Tematické oblasti výzkumu a vývoje v programu jsou vzhledem k </w:t>
      </w:r>
      <w:proofErr w:type="spellStart"/>
      <w:r w:rsidRPr="009844BE">
        <w:rPr>
          <w:shd w:val="clear" w:color="auto" w:fill="FFFFFF"/>
        </w:rPr>
        <w:t>průřezovosti</w:t>
      </w:r>
      <w:proofErr w:type="spellEnd"/>
      <w:r w:rsidRPr="009844BE">
        <w:rPr>
          <w:shd w:val="clear" w:color="auto" w:fill="FFFFFF"/>
        </w:rPr>
        <w:t xml:space="preserve">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 Program tak naplňuje Národní priority orientovaného výzkumu, experimentálního vývoje a inovací, zejména systémové opatření 5.1.2 Zvýšit efektivitu a kvalitu veřejných služeb, veřejné správy a veřejných politik.</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Doba trvání programu se předpokládá v letech 2017 - 2021, </w:t>
      </w:r>
      <w:r w:rsidR="00283C55" w:rsidRPr="009844BE">
        <w:rPr>
          <w:shd w:val="clear" w:color="auto" w:fill="FFFFFF"/>
        </w:rPr>
        <w:t>tj. 5 let</w:t>
      </w:r>
      <w:r w:rsidRPr="009844BE">
        <w:rPr>
          <w:shd w:val="clear" w:color="auto" w:fill="FFFFFF"/>
        </w:rPr>
        <w:t xml:space="preserve">. Identifikace a sběr výzkumných potřeb určených orgánů státní správy bude probíhat v průběhu každého kalendářního roku v období 2016 - 2020 se zahájením podpory v roce 2017. </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Pro účely dosažení cílů je program rozdělen na osm podprogramů. Indikativní výčet podporovaných oblastí VaV jednotlivých orgánů státní správy se zaměřením na oblast energetiky a příbuzné činnosti: </w:t>
      </w:r>
    </w:p>
    <w:p w:rsidR="009844BE" w:rsidRPr="000D59FC" w:rsidRDefault="009844BE" w:rsidP="00851123">
      <w:pPr>
        <w:pStyle w:val="Odstavecseseznamem"/>
        <w:numPr>
          <w:ilvl w:val="0"/>
          <w:numId w:val="61"/>
        </w:numPr>
        <w:spacing w:before="120" w:after="0" w:line="276" w:lineRule="auto"/>
        <w:rPr>
          <w:rFonts w:ascii="Arial" w:hAnsi="Arial"/>
        </w:rPr>
      </w:pPr>
      <w:r w:rsidRPr="000D59FC">
        <w:rPr>
          <w:shd w:val="clear" w:color="auto" w:fill="FFFFFF"/>
        </w:rPr>
        <w:t xml:space="preserve">Ministerstvo dopravy: </w:t>
      </w:r>
    </w:p>
    <w:p w:rsidR="009844BE" w:rsidRPr="000D59FC" w:rsidRDefault="009844BE" w:rsidP="00851123">
      <w:pPr>
        <w:pStyle w:val="Odstavecseseznamem"/>
        <w:numPr>
          <w:ilvl w:val="1"/>
          <w:numId w:val="61"/>
        </w:numPr>
        <w:spacing w:before="120" w:after="0" w:line="276" w:lineRule="auto"/>
        <w:rPr>
          <w:rFonts w:ascii="Arial" w:hAnsi="Arial"/>
        </w:rPr>
      </w:pPr>
      <w:r w:rsidRPr="000D59FC">
        <w:rPr>
          <w:shd w:val="clear" w:color="auto" w:fill="FFFFFF"/>
        </w:rPr>
        <w:t>výzkum a vývoj v oblastech udržitelné dopravy</w:t>
      </w:r>
    </w:p>
    <w:p w:rsidR="009844BE" w:rsidRPr="000D59FC" w:rsidRDefault="009844BE" w:rsidP="00851123">
      <w:pPr>
        <w:pStyle w:val="Odstavecseseznamem"/>
        <w:numPr>
          <w:ilvl w:val="0"/>
          <w:numId w:val="61"/>
        </w:numPr>
        <w:spacing w:before="120" w:after="0" w:line="276" w:lineRule="auto"/>
        <w:rPr>
          <w:rFonts w:ascii="Arial" w:hAnsi="Arial"/>
        </w:rPr>
      </w:pPr>
      <w:r w:rsidRPr="000D59FC">
        <w:rPr>
          <w:shd w:val="clear" w:color="auto" w:fill="FFFFFF"/>
        </w:rPr>
        <w:t xml:space="preserve">Ministerstvo průmyslu a obchodu: </w:t>
      </w:r>
    </w:p>
    <w:p w:rsidR="009844BE" w:rsidRPr="000D59FC" w:rsidRDefault="009844BE" w:rsidP="00851123">
      <w:pPr>
        <w:pStyle w:val="Odstavecseseznamem"/>
        <w:numPr>
          <w:ilvl w:val="1"/>
          <w:numId w:val="61"/>
        </w:numPr>
        <w:spacing w:before="120" w:after="0" w:line="276" w:lineRule="auto"/>
        <w:rPr>
          <w:rFonts w:ascii="Arial" w:hAnsi="Arial"/>
        </w:rPr>
      </w:pPr>
      <w:r w:rsidRPr="000D59FC">
        <w:rPr>
          <w:shd w:val="clear" w:color="auto" w:fill="FFFFFF"/>
        </w:rPr>
        <w:t>výzkum a vývoj v oblastech surovinové politiky a využívání druhotných surovin</w:t>
      </w:r>
    </w:p>
    <w:p w:rsidR="009844BE" w:rsidRPr="000D59FC" w:rsidRDefault="009844BE" w:rsidP="00851123">
      <w:pPr>
        <w:pStyle w:val="Odstavecseseznamem"/>
        <w:numPr>
          <w:ilvl w:val="0"/>
          <w:numId w:val="61"/>
        </w:numPr>
        <w:spacing w:before="120" w:after="0" w:line="276" w:lineRule="auto"/>
        <w:rPr>
          <w:rFonts w:ascii="Arial" w:hAnsi="Arial"/>
        </w:rPr>
      </w:pPr>
      <w:r w:rsidRPr="000D59FC">
        <w:rPr>
          <w:shd w:val="clear" w:color="auto" w:fill="FFFFFF"/>
        </w:rPr>
        <w:t>Ministerstvo životního prostředí:</w:t>
      </w:r>
    </w:p>
    <w:p w:rsidR="009844BE" w:rsidRPr="000D59FC" w:rsidRDefault="009844BE" w:rsidP="00851123">
      <w:pPr>
        <w:pStyle w:val="Odstavecseseznamem"/>
        <w:numPr>
          <w:ilvl w:val="1"/>
          <w:numId w:val="61"/>
        </w:numPr>
        <w:spacing w:before="120" w:after="0" w:line="276" w:lineRule="auto"/>
        <w:rPr>
          <w:rFonts w:ascii="Arial" w:hAnsi="Arial"/>
        </w:rPr>
      </w:pPr>
      <w:r w:rsidRPr="000D59FC">
        <w:rPr>
          <w:shd w:val="clear" w:color="auto" w:fill="FFFFFF"/>
        </w:rPr>
        <w:t>výzkum a vývoj v oblasti udržitelné energetiky a materiálových zdrojů</w:t>
      </w:r>
    </w:p>
    <w:p w:rsidR="009844BE" w:rsidRPr="000D59FC" w:rsidRDefault="009844BE" w:rsidP="00851123">
      <w:pPr>
        <w:pStyle w:val="Odstavecseseznamem"/>
        <w:numPr>
          <w:ilvl w:val="0"/>
          <w:numId w:val="61"/>
        </w:numPr>
        <w:spacing w:before="120" w:after="0" w:line="276" w:lineRule="auto"/>
        <w:rPr>
          <w:rFonts w:ascii="Arial" w:hAnsi="Arial"/>
        </w:rPr>
      </w:pPr>
      <w:r w:rsidRPr="000D59FC">
        <w:rPr>
          <w:shd w:val="clear" w:color="auto" w:fill="FFFFFF"/>
        </w:rPr>
        <w:t>Český báňský úřad:</w:t>
      </w:r>
    </w:p>
    <w:p w:rsidR="009844BE" w:rsidRPr="000D59FC" w:rsidRDefault="009844BE" w:rsidP="00851123">
      <w:pPr>
        <w:pStyle w:val="Odstavecseseznamem"/>
        <w:numPr>
          <w:ilvl w:val="1"/>
          <w:numId w:val="61"/>
        </w:numPr>
        <w:spacing w:before="120" w:after="0" w:line="276" w:lineRule="auto"/>
        <w:rPr>
          <w:rFonts w:ascii="Arial" w:hAnsi="Arial"/>
        </w:rPr>
      </w:pPr>
      <w:r w:rsidRPr="000D59FC">
        <w:rPr>
          <w:shd w:val="clear" w:color="auto" w:fill="FFFFFF"/>
        </w:rPr>
        <w:t>výzkum a vývoj v oblasti využívání surovinových zdrojů ČR, zejména energetických  surovin;</w:t>
      </w:r>
    </w:p>
    <w:p w:rsidR="009844BE" w:rsidRPr="000D59FC" w:rsidRDefault="009844BE" w:rsidP="00851123">
      <w:pPr>
        <w:pStyle w:val="Odstavecseseznamem"/>
        <w:numPr>
          <w:ilvl w:val="0"/>
          <w:numId w:val="61"/>
        </w:numPr>
        <w:spacing w:before="120" w:after="0" w:line="276" w:lineRule="auto"/>
        <w:rPr>
          <w:rFonts w:ascii="Arial" w:hAnsi="Arial"/>
        </w:rPr>
      </w:pPr>
      <w:r w:rsidRPr="000D59FC">
        <w:rPr>
          <w:shd w:val="clear" w:color="auto" w:fill="FFFFFF"/>
        </w:rPr>
        <w:t>Energetický regulační úřad:</w:t>
      </w:r>
    </w:p>
    <w:p w:rsidR="009844BE" w:rsidRPr="000D59FC" w:rsidRDefault="009844BE" w:rsidP="00851123">
      <w:pPr>
        <w:pStyle w:val="Odstavecseseznamem"/>
        <w:numPr>
          <w:ilvl w:val="1"/>
          <w:numId w:val="61"/>
        </w:numPr>
        <w:spacing w:before="120" w:after="0" w:line="276" w:lineRule="auto"/>
        <w:rPr>
          <w:rFonts w:ascii="Arial" w:hAnsi="Arial"/>
        </w:rPr>
      </w:pPr>
      <w:r w:rsidRPr="000D59FC">
        <w:rPr>
          <w:shd w:val="clear" w:color="auto" w:fill="FFFFFF"/>
        </w:rPr>
        <w:t>výzkum a vývoj v oblastech:</w:t>
      </w:r>
    </w:p>
    <w:p w:rsidR="009844BE" w:rsidRPr="000D59FC" w:rsidRDefault="009844BE" w:rsidP="00851123">
      <w:pPr>
        <w:pStyle w:val="Odstavecseseznamem"/>
        <w:numPr>
          <w:ilvl w:val="2"/>
          <w:numId w:val="62"/>
        </w:numPr>
        <w:spacing w:before="120" w:after="0" w:line="276" w:lineRule="auto"/>
        <w:rPr>
          <w:rFonts w:ascii="Arial" w:hAnsi="Arial"/>
        </w:rPr>
      </w:pPr>
      <w:r w:rsidRPr="000D59FC">
        <w:rPr>
          <w:shd w:val="clear" w:color="auto" w:fill="FFFFFF"/>
        </w:rPr>
        <w:t>metodik regulace a propojení na základě zkušeností ostatních regulačních orgánů  v rámci EU;</w:t>
      </w:r>
    </w:p>
    <w:p w:rsidR="009844BE" w:rsidRPr="000D59FC" w:rsidRDefault="009844BE" w:rsidP="00851123">
      <w:pPr>
        <w:pStyle w:val="Odstavecseseznamem"/>
        <w:numPr>
          <w:ilvl w:val="2"/>
          <w:numId w:val="62"/>
        </w:numPr>
        <w:spacing w:before="120" w:after="0" w:line="276" w:lineRule="auto"/>
        <w:rPr>
          <w:rFonts w:ascii="Arial" w:hAnsi="Arial"/>
        </w:rPr>
      </w:pPr>
      <w:r w:rsidRPr="000D59FC">
        <w:rPr>
          <w:shd w:val="clear" w:color="auto" w:fill="FFFFFF"/>
        </w:rPr>
        <w:lastRenderedPageBreak/>
        <w:t>řízení aplikace metod přecenění majetku v rámci regulace pro další regulační  období, vč. stanovení metodik pro efektivní využívání majetku v energetice;</w:t>
      </w:r>
    </w:p>
    <w:p w:rsidR="009844BE" w:rsidRPr="000D59FC" w:rsidRDefault="009844BE" w:rsidP="00851123">
      <w:pPr>
        <w:pStyle w:val="Odstavecseseznamem"/>
        <w:numPr>
          <w:ilvl w:val="2"/>
          <w:numId w:val="62"/>
        </w:numPr>
        <w:spacing w:before="120" w:after="0" w:line="276" w:lineRule="auto"/>
        <w:rPr>
          <w:rFonts w:ascii="Arial" w:hAnsi="Arial"/>
        </w:rPr>
      </w:pPr>
      <w:r w:rsidRPr="000D59FC">
        <w:rPr>
          <w:shd w:val="clear" w:color="auto" w:fill="FFFFFF"/>
        </w:rPr>
        <w:t xml:space="preserve">zapojení spotřebitelských asociací do konzultačních procesů v energetice  a zvýšení energetické gramotnosti spotřebitelů; </w:t>
      </w:r>
    </w:p>
    <w:p w:rsidR="009844BE" w:rsidRPr="000D59FC" w:rsidRDefault="009844BE" w:rsidP="00851123">
      <w:pPr>
        <w:pStyle w:val="Odstavecseseznamem"/>
        <w:numPr>
          <w:ilvl w:val="2"/>
          <w:numId w:val="62"/>
        </w:numPr>
        <w:spacing w:before="120" w:after="0" w:line="276" w:lineRule="auto"/>
        <w:rPr>
          <w:rFonts w:ascii="Arial" w:hAnsi="Arial"/>
        </w:rPr>
      </w:pPr>
      <w:r w:rsidRPr="000D59FC">
        <w:rPr>
          <w:shd w:val="clear" w:color="auto" w:fill="FFFFFF"/>
        </w:rPr>
        <w:t>definice zranitelného zákazníka a energetické chudoby v rámci ČR a jejich  praktická aplikace do praxe pro stanovení efektivních politik k vynakládání státních  prostředků na podporu bydlení;</w:t>
      </w:r>
    </w:p>
    <w:p w:rsidR="009844BE" w:rsidRPr="000D59FC" w:rsidRDefault="009844BE" w:rsidP="00851123">
      <w:pPr>
        <w:pStyle w:val="Odstavecseseznamem"/>
        <w:numPr>
          <w:ilvl w:val="2"/>
          <w:numId w:val="62"/>
        </w:numPr>
        <w:spacing w:before="120" w:after="0" w:line="276" w:lineRule="auto"/>
        <w:rPr>
          <w:rFonts w:ascii="Arial" w:hAnsi="Arial"/>
        </w:rPr>
      </w:pPr>
      <w:r w:rsidRPr="000D59FC">
        <w:rPr>
          <w:shd w:val="clear" w:color="auto" w:fill="FFFFFF"/>
        </w:rPr>
        <w:t>softwarového řešení na monitoring maloobchodního a velkoobchodního trhu  v energetice.</w:t>
      </w:r>
    </w:p>
    <w:p w:rsidR="009844BE" w:rsidRPr="000D59FC" w:rsidRDefault="009844BE" w:rsidP="00851123">
      <w:pPr>
        <w:pStyle w:val="Odstavecseseznamem"/>
        <w:numPr>
          <w:ilvl w:val="0"/>
          <w:numId w:val="62"/>
        </w:numPr>
        <w:spacing w:before="120" w:after="0" w:line="276" w:lineRule="auto"/>
        <w:rPr>
          <w:rFonts w:ascii="Arial" w:hAnsi="Arial"/>
        </w:rPr>
      </w:pPr>
      <w:r w:rsidRPr="000D59FC">
        <w:rPr>
          <w:shd w:val="clear" w:color="auto" w:fill="FFFFFF"/>
        </w:rPr>
        <w:t>Státní úřad pro jadernou bezpečnost:</w:t>
      </w:r>
    </w:p>
    <w:p w:rsidR="008C4588" w:rsidRPr="000D59FC" w:rsidRDefault="009844BE" w:rsidP="00851123">
      <w:pPr>
        <w:pStyle w:val="Odstavecseseznamem"/>
        <w:numPr>
          <w:ilvl w:val="1"/>
          <w:numId w:val="62"/>
        </w:numPr>
        <w:spacing w:before="120" w:after="0" w:line="276" w:lineRule="auto"/>
        <w:rPr>
          <w:rFonts w:ascii="Arial" w:hAnsi="Arial"/>
        </w:rPr>
      </w:pPr>
      <w:r w:rsidRPr="000D59FC">
        <w:rPr>
          <w:shd w:val="clear" w:color="auto" w:fill="FFFFFF"/>
        </w:rPr>
        <w:t xml:space="preserve">výzkum a vývoj v oblastech jaderné bezpečnosti jaderných zařízení a radiační ochrany </w:t>
      </w:r>
      <w:r w:rsidR="0009700A" w:rsidRPr="000D59FC">
        <w:rPr>
          <w:highlight w:val="white"/>
        </w:rPr>
        <w:t>jaderných zařízení a radiační ochrany.</w:t>
      </w:r>
    </w:p>
    <w:p w:rsidR="008C4588" w:rsidRPr="00A52D2C" w:rsidRDefault="0009700A" w:rsidP="006E38F6">
      <w:pPr>
        <w:pStyle w:val="Nadpis3"/>
      </w:pPr>
      <w:bookmarkStart w:id="169" w:name="_jvkoslw31oyx" w:colFirst="0" w:colLast="0"/>
      <w:bookmarkStart w:id="170" w:name="_Toc462344811"/>
      <w:bookmarkStart w:id="171" w:name="_Toc463269144"/>
      <w:bookmarkStart w:id="172" w:name="_Toc463269328"/>
      <w:bookmarkEnd w:id="169"/>
      <w:r w:rsidRPr="00A52D2C">
        <w:rPr>
          <w:highlight w:val="white"/>
        </w:rPr>
        <w:t>Eliminace duplicit</w:t>
      </w:r>
      <w:bookmarkEnd w:id="170"/>
      <w:bookmarkEnd w:id="171"/>
      <w:bookmarkEnd w:id="172"/>
    </w:p>
    <w:p w:rsidR="009844BE" w:rsidRPr="009844BE" w:rsidRDefault="009844BE" w:rsidP="00BC5587">
      <w:pPr>
        <w:spacing w:before="120" w:after="0" w:line="276" w:lineRule="auto"/>
        <w:rPr>
          <w:rFonts w:ascii="Times New Roman" w:hAnsi="Times New Roman"/>
          <w:color w:val="auto"/>
          <w:sz w:val="24"/>
          <w:szCs w:val="24"/>
        </w:rPr>
      </w:pPr>
      <w:bookmarkStart w:id="173" w:name="_s5lqxm8sgf56" w:colFirst="0" w:colLast="0"/>
      <w:bookmarkEnd w:id="173"/>
      <w:r w:rsidRPr="009844BE">
        <w:rPr>
          <w:b/>
          <w:bCs/>
          <w:shd w:val="clear" w:color="auto" w:fill="FFFFFF"/>
        </w:rPr>
        <w:t>Program THÉTA není v překryvu s programem BETA2</w:t>
      </w:r>
      <w:r w:rsidRPr="009844BE">
        <w:rPr>
          <w:shd w:val="clear" w:color="auto" w:fill="FFFFFF"/>
        </w:rPr>
        <w:t>. Jak vyplývá z výše uvedeného, program BETA2 je programem veřejných zakázek ve výzkumu, které jsou realizovány na základě konkrétně formulovaných výzkumných potřeb orgánů státní správy. Program BETA2 je tedy z hlediska jeho tematického zaměření realizován na základě tzv. top-down principu.</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THÉTA bude naopak realizován formou veřejných soutěží na základě tzv. bottom-up principu, kdy přesné zaměření projektů definují jednotliví uchazeči (typicky výzkumné organizace či podniky) v rámci návrhu projektu podaného ve veřejné soutěži. Svým zaměřením je programu BETA2 nejbližší podprogram 1 programu THÉTA, který je zaměřen na výzkum ve veřejném zájmu. Podprogram 1 a program BETA2 se navzájem vhodně doplňují, a to právě zejména rozlišením top-down a bottom-up principu.</w:t>
      </w:r>
    </w:p>
    <w:p w:rsidR="008C4588" w:rsidRDefault="0009700A" w:rsidP="00BC5587">
      <w:pPr>
        <w:pStyle w:val="Nadpis2"/>
        <w:spacing w:before="120" w:after="0" w:line="276" w:lineRule="auto"/>
      </w:pPr>
      <w:bookmarkStart w:id="174" w:name="_Toc463269145"/>
      <w:bookmarkStart w:id="175" w:name="_Toc463269283"/>
      <w:bookmarkStart w:id="176" w:name="_Toc463269329"/>
      <w:bookmarkStart w:id="177" w:name="_Toc463296662"/>
      <w:bookmarkStart w:id="178" w:name="_Toc463438641"/>
      <w:r w:rsidRPr="00A52D2C">
        <w:t>EPSILON</w:t>
      </w:r>
      <w:bookmarkEnd w:id="174"/>
      <w:bookmarkEnd w:id="175"/>
      <w:bookmarkEnd w:id="176"/>
      <w:bookmarkEnd w:id="177"/>
      <w:bookmarkEnd w:id="178"/>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Program na podporu aplikovaného výzkumu a experimentálního vývoje EPSILON (dále jen „program EPSILON“) byl schválen usnesením vlády České republiky ze dne 18. prosince 2013 č. 987. </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EPSILON je zaměřen zejména na zlepšení pozice českého a v globálním kontextu i evropského průmyslu pomocí podpory projektů aplikovaného výzkumu a experimentálního vývoje, jejichž výsledky mají vysoký potenciál pro rychlé uplatnění v nových produktech, výrobních postupech a službách, zejména v těchto prioritních oblastech:</w:t>
      </w:r>
    </w:p>
    <w:p w:rsidR="009844BE" w:rsidRPr="000D59FC" w:rsidRDefault="009844BE" w:rsidP="00851123">
      <w:pPr>
        <w:pStyle w:val="Odstavecseseznamem"/>
        <w:numPr>
          <w:ilvl w:val="0"/>
          <w:numId w:val="63"/>
        </w:numPr>
        <w:spacing w:before="120" w:after="0" w:line="276" w:lineRule="auto"/>
        <w:rPr>
          <w:rFonts w:ascii="Arial" w:hAnsi="Arial"/>
        </w:rPr>
      </w:pPr>
      <w:r w:rsidRPr="000D59FC">
        <w:rPr>
          <w:shd w:val="clear" w:color="auto" w:fill="FFFFFF"/>
        </w:rPr>
        <w:t>Konkurenceschopná ekonomika založená na znalostech</w:t>
      </w:r>
    </w:p>
    <w:p w:rsidR="009844BE" w:rsidRPr="000D59FC" w:rsidRDefault="009844BE" w:rsidP="00851123">
      <w:pPr>
        <w:pStyle w:val="Odstavecseseznamem"/>
        <w:numPr>
          <w:ilvl w:val="0"/>
          <w:numId w:val="63"/>
        </w:numPr>
        <w:spacing w:before="120" w:after="0" w:line="276" w:lineRule="auto"/>
        <w:rPr>
          <w:rFonts w:ascii="Arial" w:hAnsi="Arial"/>
        </w:rPr>
      </w:pPr>
      <w:r w:rsidRPr="000D59FC">
        <w:rPr>
          <w:shd w:val="clear" w:color="auto" w:fill="FFFFFF"/>
        </w:rPr>
        <w:t>Udržitelnost energetiky a materiálových zdrojů</w:t>
      </w:r>
    </w:p>
    <w:p w:rsidR="009844BE" w:rsidRPr="000D59FC" w:rsidRDefault="009844BE" w:rsidP="00851123">
      <w:pPr>
        <w:pStyle w:val="Odstavecseseznamem"/>
        <w:numPr>
          <w:ilvl w:val="0"/>
          <w:numId w:val="63"/>
        </w:numPr>
        <w:spacing w:before="120" w:after="0" w:line="276" w:lineRule="auto"/>
        <w:rPr>
          <w:rFonts w:ascii="Arial" w:hAnsi="Arial"/>
        </w:rPr>
      </w:pPr>
      <w:r w:rsidRPr="000D59FC">
        <w:rPr>
          <w:shd w:val="clear" w:color="auto" w:fill="FFFFFF"/>
        </w:rPr>
        <w:t>Prostředí pro kvalitní život</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EPSILON svým zaměřením navázal na program ALFA, který je realizován v letech 2011 - 2019. V rámci programu ALFA byla poslední veřejná soutěž vyhlášena v roce 2014 a žádné další již následovat nebudou. Proto není třeba u programu ALFA analyzovat potenciální duplicity.</w:t>
      </w:r>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Délka trvání programu je navržena na 11 let (2015 – 2025). Veřejná soutěž byla vyhlášena poprvé v roce 2014 se zahájením poskytování podpory v roce 2015 a další v roce 2016. Následně je plánováno </w:t>
      </w:r>
      <w:r w:rsidRPr="009844BE">
        <w:rPr>
          <w:shd w:val="clear" w:color="auto" w:fill="FFFFFF"/>
        </w:rPr>
        <w:lastRenderedPageBreak/>
        <w:t>vyhlašování veřejných soutěží v letech 2017 a 2018 se zahajováním poskytování podpory v letech 2018 a 2019. Pro roky 2023 – 2025 není uveden požadavek na finanční prostředky ze státního rozpočtu.</w:t>
      </w:r>
    </w:p>
    <w:p w:rsidR="009844BE" w:rsidRPr="009844BE" w:rsidRDefault="009844BE" w:rsidP="00BC5587">
      <w:pPr>
        <w:spacing w:before="120" w:after="0" w:line="276" w:lineRule="auto"/>
      </w:pPr>
      <w:r w:rsidRPr="009844BE">
        <w:t xml:space="preserve">Program EPSILON, podprogram 2 Energetika a materiály, je zaměřen na dosažení dlouhodobě udržitelného energetického mixu založeného na širokém portfoliu zdrojů s přednostním využitím všech dostupných tuzemských energetických zdrojů, zvýšení energetické soběstačnosti a zajištění energetické bezpečnosti ČR. Podprogram vychází a plní cíle prioritní oblasti “Udržitelnost energetiky a materiálových zdrojů” NPOV, která se zabývá energetikou a materiálovými zdroji. Cílem je podpořit posun směrem ke společnosti méně náročné na zdroje a s  nízkou produkcí uhlíku, jež využívá všechny zdroje účinným způsobem. Oddělením  dynamiky hospodářského růstu od spotřeby zdrojů a energií, snížit emise CO2, zvýšit  konkurenceschopnost a podpořit větší energetickou bezpečnost České republiky. Cílem  v oblasti dopravy je vytvářet podmínky pro rozvoj kvalitní dopravní soustavy postavené na  využití </w:t>
      </w:r>
      <w:proofErr w:type="spellStart"/>
      <w:r w:rsidRPr="009844BE">
        <w:t>technicko-ekonomicko-technologických</w:t>
      </w:r>
      <w:proofErr w:type="spellEnd"/>
      <w:r w:rsidRPr="009844BE">
        <w:t xml:space="preserve"> vlastností jednotlivých druhů dopravy, na  principech hospodářské soutěže s ohledem na její ekonomické a sociální vlivy a dopady na  životní prostředí a veřejné zdraví. Podprogram dále podpoří posun směrem ke společnosti  méně náročné na zdroje a s nízkou produkcí uhlíku, jež využívá všechny zdroje účinným způsobem.</w:t>
      </w:r>
    </w:p>
    <w:p w:rsidR="008C4588" w:rsidRDefault="0009700A" w:rsidP="006E38F6">
      <w:pPr>
        <w:pStyle w:val="Nadpis3"/>
      </w:pPr>
      <w:bookmarkStart w:id="179" w:name="_sjudmd7zl1ww" w:colFirst="0" w:colLast="0"/>
      <w:bookmarkStart w:id="180" w:name="_Toc462344813"/>
      <w:bookmarkStart w:id="181" w:name="_Toc463269146"/>
      <w:bookmarkStart w:id="182" w:name="_Toc463269330"/>
      <w:bookmarkEnd w:id="179"/>
      <w:r w:rsidRPr="00A52D2C">
        <w:rPr>
          <w:highlight w:val="white"/>
        </w:rPr>
        <w:t>Eliminace duplicit</w:t>
      </w:r>
      <w:bookmarkEnd w:id="180"/>
      <w:bookmarkEnd w:id="181"/>
      <w:bookmarkEnd w:id="182"/>
    </w:p>
    <w:p w:rsidR="009844BE" w:rsidRPr="009844BE" w:rsidRDefault="009844BE" w:rsidP="00BC5587">
      <w:pPr>
        <w:spacing w:before="120" w:after="0" w:line="276" w:lineRule="auto"/>
        <w:rPr>
          <w:rFonts w:ascii="Times New Roman" w:hAnsi="Times New Roman"/>
          <w:color w:val="auto"/>
          <w:sz w:val="24"/>
          <w:szCs w:val="24"/>
        </w:rPr>
      </w:pPr>
      <w:r w:rsidRPr="009844BE">
        <w:t>Podprogramy 1 a 3 programu THÉTA nejsou svým zaměřením, charakterem i předpokládanými výsledky v překryvu s programem EPSILON.</w:t>
      </w:r>
    </w:p>
    <w:p w:rsidR="009844BE" w:rsidRPr="009844BE" w:rsidRDefault="009844BE" w:rsidP="00BC5587">
      <w:pPr>
        <w:spacing w:before="120" w:after="0" w:line="276" w:lineRule="auto"/>
        <w:rPr>
          <w:rFonts w:ascii="Times New Roman" w:hAnsi="Times New Roman"/>
          <w:color w:val="auto"/>
          <w:sz w:val="24"/>
          <w:szCs w:val="24"/>
        </w:rPr>
      </w:pPr>
      <w:r w:rsidRPr="009844BE">
        <w:t xml:space="preserve">Podprogram 2 programu THÉTA a program EPSILON se tematicky překrývají, nicméně z větší části se nepřekrývají časově. První výzva v programu THÉTA je plánována v roce 2017, výzvy v programu EPSILON mají být vyhlášeny v roce 2017 a poslední pak v roce 2018. </w:t>
      </w:r>
    </w:p>
    <w:p w:rsidR="009844BE" w:rsidRPr="009844BE" w:rsidRDefault="009844BE" w:rsidP="00BC5587">
      <w:pPr>
        <w:spacing w:before="120" w:after="0" w:line="276" w:lineRule="auto"/>
        <w:rPr>
          <w:rFonts w:ascii="Times New Roman" w:hAnsi="Times New Roman"/>
          <w:color w:val="auto"/>
          <w:sz w:val="24"/>
          <w:szCs w:val="24"/>
        </w:rPr>
      </w:pPr>
      <w:r w:rsidRPr="009844BE">
        <w:rPr>
          <w:b/>
          <w:bCs/>
        </w:rPr>
        <w:t>Eliminace duplicit v roce 2017 bude zajištěna</w:t>
      </w:r>
      <w:r w:rsidRPr="009844BE">
        <w:t xml:space="preserve"> obdobně jako u programu TRIO, tj. veřejná soutěž u podprogramu 2 programu THÉTA bude tematicky vymezena oblastí Udržitelná energetika prioritní oblasti 2 Udržitelnost energetiky a materiálových zdrojů NPOV. Zároveň cíle oblasti Udržitelná energetika nebudou zahrnuty v podporovaných cílech programu TRIO v plánované soutěži v roce 2017.</w:t>
      </w:r>
    </w:p>
    <w:p w:rsidR="009844BE" w:rsidRDefault="009844BE" w:rsidP="00BC5587">
      <w:pPr>
        <w:spacing w:before="120" w:after="0" w:line="276" w:lineRule="auto"/>
      </w:pPr>
      <w:r w:rsidRPr="009844BE">
        <w:t>Konkrétně budou v programu THÉTA v době překryvu s programem EPSILON (tj. v letech 2017 a 2018) v druhém podprogramu vyhlášeny soutěže se zaměřením na následující cíle NPOV spadající pod prioritní oblast 2 Udržitelnost energetiky a materiálových zdrojů:</w:t>
      </w:r>
    </w:p>
    <w:p w:rsidR="00C9203E" w:rsidRPr="00C9203E" w:rsidRDefault="00C9203E" w:rsidP="00BC5587">
      <w:pPr>
        <w:pStyle w:val="Odstavecseseznamem"/>
        <w:spacing w:before="120" w:after="0" w:line="276" w:lineRule="auto"/>
        <w:rPr>
          <w:rFonts w:ascii="Times New Roman" w:hAnsi="Times New Roman"/>
          <w:color w:val="auto"/>
          <w:sz w:val="24"/>
          <w:szCs w:val="24"/>
        </w:rPr>
      </w:pPr>
      <w:r w:rsidRPr="009844BE">
        <w:t>Prioritní oblast</w:t>
      </w:r>
      <w:r>
        <w:t xml:space="preserve"> 2 </w:t>
      </w:r>
      <w:r w:rsidRPr="009844BE">
        <w:t>Udržitelnost energetiky a materiálových zdrojů</w:t>
      </w:r>
    </w:p>
    <w:p w:rsidR="00C9203E" w:rsidRPr="00C9203E" w:rsidRDefault="00C9203E" w:rsidP="00BC5587">
      <w:pPr>
        <w:pStyle w:val="Odstavecseseznamem"/>
        <w:numPr>
          <w:ilvl w:val="1"/>
          <w:numId w:val="57"/>
        </w:numPr>
        <w:spacing w:before="120" w:after="0" w:line="276" w:lineRule="auto"/>
        <w:rPr>
          <w:rFonts w:ascii="Times New Roman" w:hAnsi="Times New Roman"/>
          <w:color w:val="auto"/>
          <w:sz w:val="24"/>
          <w:szCs w:val="24"/>
        </w:rPr>
      </w:pPr>
      <w:r w:rsidRPr="00C9203E">
        <w:rPr>
          <w:rFonts w:ascii="Times New Roman" w:hAnsi="Times New Roman"/>
          <w:color w:val="auto"/>
          <w:sz w:val="24"/>
          <w:szCs w:val="24"/>
        </w:rPr>
        <w:t xml:space="preserve">Oblast 1 </w:t>
      </w:r>
      <w:r w:rsidRPr="009844BE">
        <w:t>Udržitelná energetika</w:t>
      </w:r>
    </w:p>
    <w:p w:rsidR="00C9203E" w:rsidRPr="00C9203E" w:rsidRDefault="00C9203E" w:rsidP="00BC5587">
      <w:pPr>
        <w:pStyle w:val="Odstavecseseznamem"/>
        <w:numPr>
          <w:ilvl w:val="2"/>
          <w:numId w:val="57"/>
        </w:numPr>
        <w:spacing w:before="120" w:after="0" w:line="276" w:lineRule="auto"/>
        <w:rPr>
          <w:rFonts w:ascii="Times New Roman" w:hAnsi="Times New Roman"/>
          <w:color w:val="auto"/>
          <w:sz w:val="24"/>
          <w:szCs w:val="24"/>
        </w:rPr>
      </w:pPr>
      <w:r>
        <w:t>Podoblast 1.1. Obnovitelné zdroje energie</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t xml:space="preserve">Cíl </w:t>
      </w:r>
      <w:r w:rsidRPr="009844BE">
        <w:t>1.1.1 Vývoj ekonomicky efektivní solární energetiky</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t xml:space="preserve">Cíl </w:t>
      </w:r>
      <w:r w:rsidRPr="009844BE">
        <w:t>1.1.2 Vývoj ekonomicky efektivního využití geotermální energie</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t xml:space="preserve">Cíl </w:t>
      </w:r>
      <w:r w:rsidRPr="009844BE">
        <w:t>1.1.3 Vývoj ekonomicky efektivního využití biomasy</w:t>
      </w:r>
    </w:p>
    <w:p w:rsidR="00C9203E" w:rsidRPr="00C9203E" w:rsidRDefault="00C9203E" w:rsidP="00BC5587">
      <w:pPr>
        <w:pStyle w:val="Odstavecseseznamem"/>
        <w:numPr>
          <w:ilvl w:val="2"/>
          <w:numId w:val="57"/>
        </w:numPr>
        <w:spacing w:before="120" w:after="0" w:line="276" w:lineRule="auto"/>
        <w:rPr>
          <w:rFonts w:ascii="Times New Roman" w:hAnsi="Times New Roman"/>
          <w:color w:val="auto"/>
          <w:sz w:val="24"/>
          <w:szCs w:val="24"/>
        </w:rPr>
      </w:pPr>
      <w:r>
        <w:t xml:space="preserve">Podoblast </w:t>
      </w:r>
      <w:r w:rsidRPr="009844BE">
        <w:t>1.2. Jaderné zdroje energie</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rsidRPr="00C9203E">
        <w:rPr>
          <w:rFonts w:ascii="Times New Roman" w:hAnsi="Times New Roman"/>
          <w:color w:val="auto"/>
          <w:sz w:val="24"/>
          <w:szCs w:val="24"/>
        </w:rPr>
        <w:t xml:space="preserve">Cíl </w:t>
      </w:r>
      <w:r w:rsidRPr="009844BE">
        <w:t>1.2.1 Efektivní dlouhodobé využití současných jaderných elektráren</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rsidRPr="00C9203E">
        <w:rPr>
          <w:rFonts w:ascii="Times New Roman" w:hAnsi="Times New Roman"/>
          <w:color w:val="auto"/>
          <w:sz w:val="24"/>
          <w:szCs w:val="24"/>
        </w:rPr>
        <w:t xml:space="preserve">Cíl </w:t>
      </w:r>
      <w:r w:rsidRPr="009844BE">
        <w:t>1.2.2 Podpora bezpečnosti jaderných zařízení</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lastRenderedPageBreak/>
        <w:t xml:space="preserve">Cíl </w:t>
      </w:r>
      <w:r w:rsidRPr="009844BE">
        <w:t>1.2.3 Výzkum zajišťující podporu výstavby a provozu nových ekonomicky efektivních a bezpečných bloků</w:t>
      </w:r>
    </w:p>
    <w:p w:rsidR="00C9203E" w:rsidRPr="00C9203E" w:rsidRDefault="00C9203E" w:rsidP="00BC5587">
      <w:pPr>
        <w:pStyle w:val="Odstavecseseznamem"/>
        <w:numPr>
          <w:ilvl w:val="3"/>
          <w:numId w:val="57"/>
        </w:numPr>
        <w:spacing w:before="120" w:after="0" w:line="276" w:lineRule="auto"/>
        <w:rPr>
          <w:rFonts w:ascii="Times New Roman" w:hAnsi="Times New Roman"/>
          <w:color w:val="auto"/>
          <w:sz w:val="24"/>
          <w:szCs w:val="24"/>
        </w:rPr>
      </w:pPr>
      <w:r>
        <w:t xml:space="preserve">Cíl </w:t>
      </w:r>
      <w:r w:rsidRPr="009844BE">
        <w:t>1.2.4 Výzkum a vývoj palivového cyklu</w:t>
      </w:r>
    </w:p>
    <w:p w:rsidR="00C9203E" w:rsidRDefault="00C9203E" w:rsidP="00BC5587">
      <w:pPr>
        <w:pStyle w:val="Odstavecseseznamem"/>
        <w:numPr>
          <w:ilvl w:val="3"/>
          <w:numId w:val="57"/>
        </w:numPr>
        <w:spacing w:before="120" w:after="0" w:line="276" w:lineRule="auto"/>
      </w:pPr>
      <w:r>
        <w:t xml:space="preserve">Cíl </w:t>
      </w:r>
      <w:r w:rsidRPr="009844BE">
        <w:t>1.2.5 Ukládání radioaktivního odpadu a použitého paliva</w:t>
      </w:r>
    </w:p>
    <w:p w:rsidR="00C9203E" w:rsidRDefault="00C9203E" w:rsidP="00BC5587">
      <w:pPr>
        <w:pStyle w:val="Odstavecseseznamem"/>
        <w:numPr>
          <w:ilvl w:val="3"/>
          <w:numId w:val="57"/>
        </w:numPr>
        <w:spacing w:before="120" w:after="0" w:line="276" w:lineRule="auto"/>
      </w:pPr>
      <w:r>
        <w:t>Cíl 1</w:t>
      </w:r>
      <w:r w:rsidRPr="009844BE">
        <w:t>.2.6. Výzkum a vývoj v oblasti reaktorů IV. generace, zejména efektivních a bezpečných rychlých reaktorů</w:t>
      </w:r>
    </w:p>
    <w:p w:rsidR="00C9203E" w:rsidRDefault="00D301F4" w:rsidP="00BC5587">
      <w:pPr>
        <w:pStyle w:val="Odstavecseseznamem"/>
        <w:numPr>
          <w:ilvl w:val="2"/>
          <w:numId w:val="57"/>
        </w:numPr>
        <w:spacing w:before="120" w:after="0" w:line="276" w:lineRule="auto"/>
      </w:pPr>
      <w:r>
        <w:t xml:space="preserve">Podoblast </w:t>
      </w:r>
      <w:r w:rsidR="00C9203E" w:rsidRPr="009844BE">
        <w:t>1.3. Fosilní zdroje energie</w:t>
      </w:r>
    </w:p>
    <w:p w:rsidR="00C9203E" w:rsidRDefault="00C9203E" w:rsidP="00BC5587">
      <w:pPr>
        <w:pStyle w:val="Odstavecseseznamem"/>
        <w:numPr>
          <w:ilvl w:val="3"/>
          <w:numId w:val="57"/>
        </w:numPr>
        <w:spacing w:before="120" w:after="0" w:line="276" w:lineRule="auto"/>
      </w:pPr>
      <w:r>
        <w:t xml:space="preserve">Cíl </w:t>
      </w:r>
      <w:r w:rsidRPr="009844BE">
        <w:t>1.3.1 Ekonomicky efektivní a ekologická fosilní energetika a teplárenství</w:t>
      </w:r>
    </w:p>
    <w:p w:rsidR="00D301F4" w:rsidRDefault="00D301F4" w:rsidP="00BC5587">
      <w:pPr>
        <w:pStyle w:val="Odstavecseseznamem"/>
        <w:numPr>
          <w:ilvl w:val="2"/>
          <w:numId w:val="57"/>
        </w:numPr>
        <w:spacing w:before="120" w:after="0" w:line="276" w:lineRule="auto"/>
      </w:pPr>
      <w:r>
        <w:t xml:space="preserve">Podoblast </w:t>
      </w:r>
      <w:r w:rsidRPr="009844BE">
        <w:t>1.4. Elektrické sítě včetně akumulace energie</w:t>
      </w:r>
    </w:p>
    <w:p w:rsidR="00D301F4" w:rsidRDefault="00D301F4" w:rsidP="00BC5587">
      <w:pPr>
        <w:pStyle w:val="Odstavecseseznamem"/>
        <w:numPr>
          <w:ilvl w:val="3"/>
          <w:numId w:val="57"/>
        </w:numPr>
        <w:spacing w:before="120" w:after="0" w:line="276" w:lineRule="auto"/>
      </w:pPr>
      <w:r>
        <w:t xml:space="preserve">Cíl </w:t>
      </w:r>
      <w:r w:rsidRPr="009844BE">
        <w:t>1.4.1 Kapacita, spolehlivost a bezpečnost páteřních přenosových sítí elektřiny</w:t>
      </w:r>
    </w:p>
    <w:p w:rsidR="00D301F4" w:rsidRDefault="00D301F4" w:rsidP="00BC5587">
      <w:pPr>
        <w:pStyle w:val="Odstavecseseznamem"/>
        <w:numPr>
          <w:ilvl w:val="3"/>
          <w:numId w:val="57"/>
        </w:numPr>
        <w:spacing w:before="120" w:after="0" w:line="276" w:lineRule="auto"/>
      </w:pPr>
      <w:r>
        <w:t xml:space="preserve">Cíl </w:t>
      </w:r>
      <w:r w:rsidRPr="009844BE">
        <w:t>1.4.2 Modifikace sítí pro „demand-side management</w:t>
      </w:r>
    </w:p>
    <w:p w:rsidR="00D301F4" w:rsidRDefault="00D301F4" w:rsidP="00BC5587">
      <w:pPr>
        <w:pStyle w:val="Odstavecseseznamem"/>
        <w:numPr>
          <w:ilvl w:val="3"/>
          <w:numId w:val="57"/>
        </w:numPr>
        <w:spacing w:before="120" w:after="0" w:line="276" w:lineRule="auto"/>
      </w:pPr>
      <w:r>
        <w:t xml:space="preserve">Cíl </w:t>
      </w:r>
      <w:r w:rsidRPr="009844BE">
        <w:t>1.4.3 Akumulace elektrické energie včetně využití vodní energie</w:t>
      </w:r>
    </w:p>
    <w:p w:rsidR="00D301F4" w:rsidRDefault="00D301F4" w:rsidP="00BC5587">
      <w:pPr>
        <w:pStyle w:val="Odstavecseseznamem"/>
        <w:numPr>
          <w:ilvl w:val="3"/>
          <w:numId w:val="57"/>
        </w:numPr>
        <w:spacing w:before="120" w:after="0" w:line="276" w:lineRule="auto"/>
      </w:pPr>
      <w:r>
        <w:t xml:space="preserve">Cíl </w:t>
      </w:r>
      <w:r w:rsidRPr="009844BE">
        <w:t>1.4.4 Bezpečnost a odolnost distribučních sítí</w:t>
      </w:r>
    </w:p>
    <w:p w:rsidR="00D301F4" w:rsidRDefault="00D301F4" w:rsidP="00BC5587">
      <w:pPr>
        <w:pStyle w:val="Odstavecseseznamem"/>
        <w:numPr>
          <w:ilvl w:val="2"/>
          <w:numId w:val="57"/>
        </w:numPr>
        <w:spacing w:before="120" w:after="0" w:line="276" w:lineRule="auto"/>
      </w:pPr>
      <w:r>
        <w:t xml:space="preserve">Podoblast </w:t>
      </w:r>
      <w:r w:rsidRPr="009844BE">
        <w:t xml:space="preserve">1.5 Výroba a distribuce tepla/chladu, včetně kogenerace a </w:t>
      </w:r>
      <w:proofErr w:type="spellStart"/>
      <w:r w:rsidRPr="009844BE">
        <w:t>trigenerace</w:t>
      </w:r>
      <w:proofErr w:type="spellEnd"/>
    </w:p>
    <w:p w:rsidR="00D301F4" w:rsidRDefault="00D301F4" w:rsidP="00BC5587">
      <w:pPr>
        <w:pStyle w:val="Odstavecseseznamem"/>
        <w:numPr>
          <w:ilvl w:val="3"/>
          <w:numId w:val="57"/>
        </w:numPr>
        <w:spacing w:before="120" w:after="0" w:line="276" w:lineRule="auto"/>
      </w:pPr>
      <w:r>
        <w:t xml:space="preserve">Cíl </w:t>
      </w:r>
      <w:r w:rsidRPr="009844BE">
        <w:t>1.5.1 Odběr tepla z elektráren v základním zatížení</w:t>
      </w:r>
    </w:p>
    <w:p w:rsidR="00D301F4" w:rsidRDefault="00D301F4" w:rsidP="00BC5587">
      <w:pPr>
        <w:pStyle w:val="Odstavecseseznamem"/>
        <w:numPr>
          <w:ilvl w:val="3"/>
          <w:numId w:val="57"/>
        </w:numPr>
        <w:spacing w:before="120" w:after="0" w:line="276" w:lineRule="auto"/>
      </w:pPr>
      <w:r>
        <w:t xml:space="preserve">Cíl </w:t>
      </w:r>
      <w:r w:rsidRPr="009844BE">
        <w:t>1.5.2 Vysokoúčinná kogenerace (</w:t>
      </w:r>
      <w:proofErr w:type="spellStart"/>
      <w:r w:rsidRPr="009844BE">
        <w:t>trigenerace</w:t>
      </w:r>
      <w:proofErr w:type="spellEnd"/>
      <w:r w:rsidRPr="009844BE">
        <w:t>) ve zdrojích SCZT v provozech s dílčím zatížením (systémové služby)</w:t>
      </w:r>
    </w:p>
    <w:p w:rsidR="00D301F4" w:rsidRDefault="00D301F4" w:rsidP="00BC5587">
      <w:pPr>
        <w:pStyle w:val="Odstavecseseznamem"/>
        <w:numPr>
          <w:ilvl w:val="3"/>
          <w:numId w:val="57"/>
        </w:numPr>
        <w:spacing w:before="120" w:after="0" w:line="276" w:lineRule="auto"/>
      </w:pPr>
      <w:r>
        <w:t xml:space="preserve">Cíl </w:t>
      </w:r>
      <w:r w:rsidRPr="009844BE">
        <w:t>1.5.3 Distribuovaná kombinovaná výroba elektřiny, tepla a chladu ze všech typů zdrojů</w:t>
      </w:r>
    </w:p>
    <w:p w:rsidR="00D301F4" w:rsidRDefault="00D301F4" w:rsidP="00BC5587">
      <w:pPr>
        <w:pStyle w:val="Odstavecseseznamem"/>
        <w:numPr>
          <w:ilvl w:val="3"/>
          <w:numId w:val="57"/>
        </w:numPr>
        <w:spacing w:before="120" w:after="0" w:line="276" w:lineRule="auto"/>
      </w:pPr>
      <w:r>
        <w:t xml:space="preserve">Cíl </w:t>
      </w:r>
      <w:r w:rsidRPr="009844BE">
        <w:t>1.5.4 Přenos a akumulace tepla</w:t>
      </w:r>
    </w:p>
    <w:p w:rsidR="00D301F4" w:rsidRDefault="00D301F4" w:rsidP="00BC5587">
      <w:pPr>
        <w:pStyle w:val="Odstavecseseznamem"/>
        <w:numPr>
          <w:ilvl w:val="3"/>
          <w:numId w:val="57"/>
        </w:numPr>
        <w:spacing w:before="120" w:after="0" w:line="276" w:lineRule="auto"/>
      </w:pPr>
      <w:r>
        <w:t xml:space="preserve">Cíl </w:t>
      </w:r>
      <w:r w:rsidRPr="009844BE">
        <w:t>1.5.5 Efektivní řízení úpravy vnitřního prostředí</w:t>
      </w:r>
    </w:p>
    <w:p w:rsidR="00D301F4" w:rsidRDefault="00D301F4" w:rsidP="00BC5587">
      <w:pPr>
        <w:pStyle w:val="Odstavecseseznamem"/>
        <w:numPr>
          <w:ilvl w:val="3"/>
          <w:numId w:val="57"/>
        </w:numPr>
        <w:spacing w:before="120" w:after="0" w:line="276" w:lineRule="auto"/>
      </w:pPr>
      <w:r>
        <w:t xml:space="preserve">Cíl </w:t>
      </w:r>
      <w:r w:rsidRPr="009844BE">
        <w:t>1.5.6 Alternativní zdroje – využití odpadů</w:t>
      </w:r>
    </w:p>
    <w:p w:rsidR="00D301F4" w:rsidRDefault="00D301F4" w:rsidP="00BC5587">
      <w:pPr>
        <w:pStyle w:val="Odstavecseseznamem"/>
        <w:numPr>
          <w:ilvl w:val="2"/>
          <w:numId w:val="57"/>
        </w:numPr>
        <w:spacing w:before="120" w:after="0" w:line="276" w:lineRule="auto"/>
      </w:pPr>
      <w:r>
        <w:t xml:space="preserve">Podoblast </w:t>
      </w:r>
      <w:r w:rsidRPr="009844BE">
        <w:t>1.6 Energie v</w:t>
      </w:r>
      <w:r>
        <w:t> </w:t>
      </w:r>
      <w:r w:rsidRPr="009844BE">
        <w:t>dopravě</w:t>
      </w:r>
    </w:p>
    <w:p w:rsidR="00D301F4" w:rsidRDefault="00D301F4" w:rsidP="00BC5587">
      <w:pPr>
        <w:pStyle w:val="Odstavecseseznamem"/>
        <w:numPr>
          <w:ilvl w:val="3"/>
          <w:numId w:val="57"/>
        </w:numPr>
        <w:spacing w:before="120" w:after="0" w:line="276" w:lineRule="auto"/>
      </w:pPr>
      <w:r>
        <w:t xml:space="preserve">Cíl </w:t>
      </w:r>
      <w:r w:rsidRPr="009844BE">
        <w:t>1.6.1 Zvyšovat podíl kapalných biopaliv jako náhrada fosilních zdrojů</w:t>
      </w:r>
    </w:p>
    <w:p w:rsidR="00D301F4" w:rsidRDefault="00D301F4" w:rsidP="00BC5587">
      <w:pPr>
        <w:pStyle w:val="Odstavecseseznamem"/>
        <w:numPr>
          <w:ilvl w:val="3"/>
          <w:numId w:val="57"/>
        </w:numPr>
        <w:spacing w:before="120" w:after="0" w:line="276" w:lineRule="auto"/>
      </w:pPr>
      <w:r>
        <w:t xml:space="preserve">Cíl </w:t>
      </w:r>
      <w:r w:rsidRPr="009844BE">
        <w:t>1.6.2 Zvyšovat podíl využití elektrické energie pro pohony jako náhrada fosilních zdrojů</w:t>
      </w:r>
    </w:p>
    <w:p w:rsidR="00D301F4" w:rsidRDefault="00D301F4" w:rsidP="00BC5587">
      <w:pPr>
        <w:pStyle w:val="Odstavecseseznamem"/>
        <w:numPr>
          <w:ilvl w:val="3"/>
          <w:numId w:val="57"/>
        </w:numPr>
        <w:spacing w:before="120" w:after="0" w:line="276" w:lineRule="auto"/>
      </w:pPr>
      <w:r>
        <w:t xml:space="preserve">Cíl </w:t>
      </w:r>
      <w:r w:rsidRPr="009844BE">
        <w:t>1.6.3 Výhledově zavádět využití vodíku jako zdroje energie pro pohon v dopravě</w:t>
      </w:r>
    </w:p>
    <w:p w:rsidR="00D301F4" w:rsidRDefault="00D301F4" w:rsidP="00BC5587">
      <w:pPr>
        <w:pStyle w:val="Odstavecseseznamem"/>
        <w:numPr>
          <w:ilvl w:val="2"/>
          <w:numId w:val="57"/>
        </w:numPr>
        <w:spacing w:before="120" w:after="0" w:line="276" w:lineRule="auto"/>
      </w:pPr>
      <w:r>
        <w:t xml:space="preserve">Podoblast </w:t>
      </w:r>
      <w:r w:rsidRPr="009844BE">
        <w:t>1.7 Systémový rozvoj energetiky ČR v kontextu rozvoje energetiky EU</w:t>
      </w:r>
    </w:p>
    <w:p w:rsidR="00D301F4" w:rsidRDefault="00D301F4" w:rsidP="00BC5587">
      <w:pPr>
        <w:pStyle w:val="Odstavecseseznamem"/>
        <w:numPr>
          <w:ilvl w:val="3"/>
          <w:numId w:val="57"/>
        </w:numPr>
        <w:spacing w:before="120" w:after="0" w:line="276" w:lineRule="auto"/>
      </w:pPr>
      <w:r>
        <w:t xml:space="preserve">Cíl </w:t>
      </w:r>
      <w:r w:rsidRPr="009844BE">
        <w:t>1.7.1 Systémové analýzy pro podporu vyvážené státní energetické koncepce (SEK), dalších příbuzných strategických dokumentů státu a regionálních rozvojových koncepcí s ohledem na rámec EU</w:t>
      </w:r>
    </w:p>
    <w:p w:rsidR="00D301F4" w:rsidRDefault="00D301F4" w:rsidP="00BC5587">
      <w:pPr>
        <w:pStyle w:val="Odstavecseseznamem"/>
        <w:numPr>
          <w:ilvl w:val="3"/>
          <w:numId w:val="57"/>
        </w:numPr>
        <w:spacing w:before="120" w:after="0" w:line="276" w:lineRule="auto"/>
      </w:pPr>
      <w:r>
        <w:t xml:space="preserve">Cíl </w:t>
      </w:r>
      <w:r w:rsidRPr="009844BE">
        <w:t>1.7.2 Integrální koncepce rozvoje municipalit a regionů s ověřováním demonstračními projekty (vazba na SET Plan – Smart Cities a Smart Regions)</w:t>
      </w:r>
    </w:p>
    <w:p w:rsidR="00D301F4" w:rsidRDefault="00283C55" w:rsidP="00BC5587">
      <w:pPr>
        <w:pStyle w:val="Odstavecseseznamem"/>
        <w:numPr>
          <w:ilvl w:val="1"/>
          <w:numId w:val="57"/>
        </w:numPr>
        <w:spacing w:before="120" w:after="0" w:line="276" w:lineRule="auto"/>
      </w:pPr>
      <w:r>
        <w:t>Oblast</w:t>
      </w:r>
      <w:r w:rsidR="00D301F4">
        <w:t xml:space="preserve"> 2 </w:t>
      </w:r>
      <w:r w:rsidR="00D301F4" w:rsidRPr="009844BE">
        <w:t>Snižování energetické náročnosti hospodářství</w:t>
      </w:r>
    </w:p>
    <w:p w:rsidR="00D301F4" w:rsidRPr="00D301F4" w:rsidRDefault="00D301F4" w:rsidP="00BC5587">
      <w:pPr>
        <w:pStyle w:val="Odstavecseseznamem"/>
        <w:numPr>
          <w:ilvl w:val="2"/>
          <w:numId w:val="57"/>
        </w:numPr>
        <w:spacing w:before="120" w:after="0" w:line="276" w:lineRule="auto"/>
      </w:pPr>
      <w:r>
        <w:t xml:space="preserve">Podoblast </w:t>
      </w:r>
      <w:r w:rsidRPr="009844BE">
        <w:t>2.2 Nové technologie a postupy s potenciálním využitím v energetice</w:t>
      </w:r>
    </w:p>
    <w:p w:rsidR="00D301F4" w:rsidRDefault="00DD1719" w:rsidP="00BC5587">
      <w:pPr>
        <w:pStyle w:val="Odstavecseseznamem"/>
        <w:numPr>
          <w:ilvl w:val="3"/>
          <w:numId w:val="57"/>
        </w:numPr>
        <w:spacing w:before="120" w:after="0" w:line="276" w:lineRule="auto"/>
      </w:pPr>
      <w:r>
        <w:lastRenderedPageBreak/>
        <w:t xml:space="preserve">Cíl </w:t>
      </w:r>
      <w:r w:rsidR="00D301F4" w:rsidRPr="009844BE">
        <w:t>2.2.1 Zapojení VaV do mezinárodních aktivit v oblasti využití jaderné fúze</w:t>
      </w:r>
    </w:p>
    <w:p w:rsidR="00D301F4" w:rsidRPr="00C9203E" w:rsidRDefault="00DD1719" w:rsidP="00BC5587">
      <w:pPr>
        <w:pStyle w:val="Odstavecseseznamem"/>
        <w:numPr>
          <w:ilvl w:val="3"/>
          <w:numId w:val="57"/>
        </w:numPr>
        <w:spacing w:before="120" w:after="0" w:line="276" w:lineRule="auto"/>
      </w:pPr>
      <w:r>
        <w:t xml:space="preserve">Cíl </w:t>
      </w:r>
      <w:r w:rsidR="00D301F4" w:rsidRPr="009844BE">
        <w:t>2.2.2 Nové metody a metodiky v oblasti diagnostiky pro zvyšování spolehlivosti, bezpečnosti a životnosti energetických zařízení</w:t>
      </w:r>
    </w:p>
    <w:p w:rsidR="00D301F4" w:rsidRDefault="00D301F4" w:rsidP="00BC5587">
      <w:pPr>
        <w:spacing w:before="120" w:after="0" w:line="276" w:lineRule="auto"/>
        <w:rPr>
          <w:rFonts w:ascii="Times New Roman" w:hAnsi="Times New Roman"/>
          <w:color w:val="auto"/>
          <w:sz w:val="24"/>
          <w:szCs w:val="24"/>
        </w:rPr>
      </w:pPr>
    </w:p>
    <w:p w:rsidR="009844BE" w:rsidRDefault="009844BE" w:rsidP="00BC5587">
      <w:pPr>
        <w:spacing w:before="120" w:after="0" w:line="276" w:lineRule="auto"/>
      </w:pPr>
      <w:r w:rsidRPr="009844BE">
        <w:t>V programu EPSILON pak v době překryvu s programem THÉTA (tj. v letech 2017 a 2018) budou vyhlášeny soutěže se zaměřením na následující cíle NPOV spadající pod prioritní oblast 2 Udržitelnost energetiky a materiálových zdrojů:</w:t>
      </w:r>
    </w:p>
    <w:p w:rsidR="00D125B1" w:rsidRPr="00C9203E" w:rsidRDefault="00D125B1" w:rsidP="00BC5587">
      <w:pPr>
        <w:pStyle w:val="Odstavecseseznamem"/>
        <w:spacing w:before="120" w:after="0" w:line="276" w:lineRule="auto"/>
        <w:rPr>
          <w:rFonts w:ascii="Times New Roman" w:hAnsi="Times New Roman"/>
          <w:color w:val="auto"/>
          <w:sz w:val="24"/>
          <w:szCs w:val="24"/>
        </w:rPr>
      </w:pPr>
      <w:r w:rsidRPr="009844BE">
        <w:t>Prioritní oblast</w:t>
      </w:r>
      <w:r>
        <w:t xml:space="preserve"> 2 </w:t>
      </w:r>
      <w:r w:rsidRPr="009844BE">
        <w:t>Udržitelnost energetiky a materiálových zdrojů</w:t>
      </w:r>
    </w:p>
    <w:p w:rsidR="00D125B1" w:rsidRPr="00D125B1" w:rsidRDefault="00D125B1" w:rsidP="00BC5587">
      <w:pPr>
        <w:pStyle w:val="Odstavecseseznamem"/>
        <w:numPr>
          <w:ilvl w:val="1"/>
          <w:numId w:val="57"/>
        </w:numPr>
        <w:spacing w:before="120" w:after="0" w:line="276" w:lineRule="auto"/>
        <w:rPr>
          <w:rFonts w:ascii="Times New Roman" w:hAnsi="Times New Roman"/>
          <w:color w:val="auto"/>
          <w:sz w:val="24"/>
          <w:szCs w:val="24"/>
        </w:rPr>
      </w:pPr>
      <w:r>
        <w:rPr>
          <w:rFonts w:ascii="Times New Roman" w:hAnsi="Times New Roman"/>
          <w:color w:val="auto"/>
          <w:sz w:val="24"/>
          <w:szCs w:val="24"/>
        </w:rPr>
        <w:t>Oblast 2</w:t>
      </w:r>
      <w:r w:rsidRPr="00C9203E">
        <w:rPr>
          <w:rFonts w:ascii="Times New Roman" w:hAnsi="Times New Roman"/>
          <w:color w:val="auto"/>
          <w:sz w:val="24"/>
          <w:szCs w:val="24"/>
        </w:rPr>
        <w:t xml:space="preserve"> </w:t>
      </w:r>
      <w:r w:rsidRPr="009844BE">
        <w:t>Snižování energetické náročnosti</w:t>
      </w:r>
    </w:p>
    <w:p w:rsidR="00F0587A" w:rsidRDefault="00F0587A" w:rsidP="00BC5587">
      <w:pPr>
        <w:pStyle w:val="Odstavecseseznamem"/>
        <w:numPr>
          <w:ilvl w:val="2"/>
          <w:numId w:val="57"/>
        </w:numPr>
        <w:spacing w:before="120" w:after="0" w:line="276" w:lineRule="auto"/>
      </w:pPr>
      <w:r>
        <w:t xml:space="preserve">Podoblast </w:t>
      </w:r>
      <w:r w:rsidRPr="009844BE">
        <w:t>2.1 Snižování energetické náročnosti hospodářství</w:t>
      </w:r>
    </w:p>
    <w:p w:rsidR="00F0587A" w:rsidRDefault="00F0587A" w:rsidP="00BC5587">
      <w:pPr>
        <w:pStyle w:val="Odstavecseseznamem"/>
        <w:numPr>
          <w:ilvl w:val="3"/>
          <w:numId w:val="57"/>
        </w:numPr>
        <w:spacing w:before="120" w:after="0" w:line="276" w:lineRule="auto"/>
      </w:pPr>
      <w:r>
        <w:t>Cíl 2</w:t>
      </w:r>
      <w:r w:rsidRPr="009844BE">
        <w:t>.1.1 Energetické bilance materiálů a paliv za plnou dobu cyklu</w:t>
      </w:r>
    </w:p>
    <w:p w:rsidR="00F0587A" w:rsidRDefault="00F0587A" w:rsidP="00BC5587">
      <w:pPr>
        <w:pStyle w:val="Odstavecseseznamem"/>
        <w:numPr>
          <w:ilvl w:val="3"/>
          <w:numId w:val="57"/>
        </w:numPr>
        <w:spacing w:before="120" w:after="0" w:line="276" w:lineRule="auto"/>
      </w:pPr>
      <w:r>
        <w:t xml:space="preserve">Cíl </w:t>
      </w:r>
      <w:r w:rsidRPr="009844BE">
        <w:t>2.1.2 Výzkum a vývoj nových energeticky úsporných průmyslových technologií</w:t>
      </w:r>
    </w:p>
    <w:p w:rsidR="00F0587A" w:rsidRDefault="00DD1719" w:rsidP="00BC5587">
      <w:pPr>
        <w:pStyle w:val="Odstavecseseznamem"/>
        <w:numPr>
          <w:ilvl w:val="2"/>
          <w:numId w:val="57"/>
        </w:numPr>
        <w:spacing w:before="120" w:after="0" w:line="276" w:lineRule="auto"/>
      </w:pPr>
      <w:r>
        <w:t xml:space="preserve">Podoblast </w:t>
      </w:r>
      <w:r w:rsidR="00F0587A" w:rsidRPr="009844BE">
        <w:t>2.2 Nové technologie a postupy s potenciálním využitím v</w:t>
      </w:r>
      <w:r w:rsidR="00F0587A">
        <w:t> </w:t>
      </w:r>
      <w:r w:rsidR="00F0587A" w:rsidRPr="009844BE">
        <w:t>energetice</w:t>
      </w:r>
    </w:p>
    <w:p w:rsidR="00F0587A" w:rsidRPr="00C9203E" w:rsidRDefault="00F0587A" w:rsidP="00BC5587">
      <w:pPr>
        <w:pStyle w:val="Odstavecseseznamem"/>
        <w:numPr>
          <w:ilvl w:val="3"/>
          <w:numId w:val="57"/>
        </w:numPr>
        <w:spacing w:before="120" w:after="0" w:line="276" w:lineRule="auto"/>
      </w:pPr>
      <w:r>
        <w:t xml:space="preserve">Cíl </w:t>
      </w:r>
      <w:r w:rsidRPr="009844BE">
        <w:t>2.2.3 Biotechnologie, bioinženýrství a genetika</w:t>
      </w:r>
    </w:p>
    <w:p w:rsidR="009844BE" w:rsidRPr="009844BE" w:rsidRDefault="009844BE" w:rsidP="00BC5587">
      <w:pPr>
        <w:spacing w:before="120" w:after="0" w:line="276" w:lineRule="auto"/>
        <w:rPr>
          <w:rFonts w:ascii="Times New Roman" w:hAnsi="Times New Roman"/>
          <w:color w:val="auto"/>
          <w:sz w:val="24"/>
          <w:szCs w:val="24"/>
        </w:rPr>
      </w:pPr>
      <w:r w:rsidRPr="009844BE">
        <w:t>Dále budou v rámci výzev v programu EPSILON podporovány i všechny další aktivity, které vyplývají z vazeb mezi jednotlivými prioritami NPOV (viz kapitola 4 NPOV):</w:t>
      </w:r>
    </w:p>
    <w:p w:rsidR="009844BE" w:rsidRPr="009844BE" w:rsidRDefault="009844BE" w:rsidP="00BC5587">
      <w:pPr>
        <w:spacing w:before="120" w:after="0" w:line="276" w:lineRule="auto"/>
        <w:rPr>
          <w:rFonts w:ascii="Times New Roman" w:hAnsi="Times New Roman"/>
          <w:color w:val="auto"/>
          <w:sz w:val="24"/>
          <w:szCs w:val="24"/>
        </w:rPr>
      </w:pPr>
      <w:r w:rsidRPr="009844BE">
        <w:t>4.1. Efektivní využívání energie a snižování energetické náročnosti hospodářství</w:t>
      </w:r>
    </w:p>
    <w:p w:rsidR="00DD1719" w:rsidRDefault="009844BE" w:rsidP="00BC5587">
      <w:pPr>
        <w:spacing w:before="120" w:after="0" w:line="276" w:lineRule="auto"/>
      </w:pPr>
      <w:r w:rsidRPr="009844BE">
        <w:t>Účelné a úsporné využívání energií je obsaženo v</w:t>
      </w:r>
      <w:r w:rsidR="00DD1719">
        <w:t> </w:t>
      </w:r>
      <w:r w:rsidRPr="009844BE">
        <w:t>cílech</w:t>
      </w:r>
      <w:r w:rsidR="00DD1719">
        <w:t>:</w:t>
      </w:r>
    </w:p>
    <w:p w:rsidR="009844BE" w:rsidRPr="009844BE" w:rsidRDefault="009844BE" w:rsidP="00BC5587">
      <w:pPr>
        <w:spacing w:before="120" w:after="0" w:line="276" w:lineRule="auto"/>
        <w:rPr>
          <w:rFonts w:ascii="Times New Roman" w:hAnsi="Times New Roman"/>
          <w:color w:val="auto"/>
          <w:sz w:val="24"/>
          <w:szCs w:val="24"/>
        </w:rPr>
      </w:pPr>
      <w:r w:rsidRPr="009844BE">
        <w:t xml:space="preserve">PO 2 Udržitelnost energetiky a materiálových </w:t>
      </w:r>
      <w:r w:rsidR="00283C55" w:rsidRPr="009844BE">
        <w:t>zdrojů, konkrétně</w:t>
      </w:r>
      <w:r w:rsidRPr="009844BE">
        <w:t xml:space="preserve"> v oblasti 2 (Snižování energetické náročnosti hospodářství), kde je efektivní využívání energií pojímáno šířeji z pohledu využívání nových energeticky efektivních technologií v energetice, průmyslové výrobě i konečné spotřebě.</w:t>
      </w:r>
    </w:p>
    <w:p w:rsidR="009844BE" w:rsidRPr="009844BE" w:rsidRDefault="009844BE" w:rsidP="00BC5587">
      <w:pPr>
        <w:spacing w:before="120" w:after="0" w:line="276" w:lineRule="auto"/>
        <w:rPr>
          <w:rFonts w:ascii="Times New Roman" w:hAnsi="Times New Roman"/>
          <w:color w:val="auto"/>
          <w:sz w:val="24"/>
          <w:szCs w:val="24"/>
        </w:rPr>
      </w:pPr>
      <w:r w:rsidRPr="009844BE">
        <w:rPr>
          <w:i/>
          <w:iCs/>
        </w:rPr>
        <w:t>PO 1  Konkurenceschopná ekonomika založená na znalostech</w:t>
      </w:r>
      <w:r w:rsidRPr="009844BE">
        <w:t xml:space="preserve"> sleduje tyto cíle především v oblasti 2 (Posílení udržitelnosti výroby a dalších ekonomických aktivit) zaměřené na zvýšení úspornosti a efektivity výroby z hlediska využívání energetických zdrojů a v oblasti 1 (Využití nových poznatků z oblasti General Purpose Technologies  GPTs), která usiluje o zefektivnění výrobních procesů prostřednictvím využití obecně použitelných technologií (GPTs).</w:t>
      </w:r>
    </w:p>
    <w:p w:rsidR="009844BE" w:rsidRPr="009844BE" w:rsidRDefault="009844BE" w:rsidP="00BC5587">
      <w:pPr>
        <w:spacing w:before="120" w:after="0" w:line="276" w:lineRule="auto"/>
        <w:rPr>
          <w:rFonts w:ascii="Times New Roman" w:hAnsi="Times New Roman"/>
          <w:color w:val="auto"/>
          <w:sz w:val="24"/>
          <w:szCs w:val="24"/>
        </w:rPr>
      </w:pPr>
      <w:r w:rsidRPr="009844BE">
        <w:t xml:space="preserve">Z trochu jiné perspektivy je na tuto výzvu nahlíženo v </w:t>
      </w:r>
      <w:r w:rsidRPr="009844BE">
        <w:rPr>
          <w:i/>
          <w:iCs/>
        </w:rPr>
        <w:t>PO 3 Prostředí pro kvalitní život</w:t>
      </w:r>
      <w:r w:rsidRPr="009844BE">
        <w:t>, která se v oblasti 4 (Environmentální technologie a inovace) zabývá rozvojem technologií, jež zvyšují účinnost využití primárních zdrojů.</w:t>
      </w:r>
    </w:p>
    <w:p w:rsidR="009844BE" w:rsidRPr="009844BE" w:rsidRDefault="009844BE" w:rsidP="00BC5587">
      <w:pPr>
        <w:spacing w:before="120" w:after="0" w:line="276" w:lineRule="auto"/>
        <w:rPr>
          <w:rFonts w:ascii="Times New Roman" w:hAnsi="Times New Roman"/>
          <w:color w:val="auto"/>
          <w:sz w:val="24"/>
          <w:szCs w:val="24"/>
        </w:rPr>
      </w:pPr>
      <w:r w:rsidRPr="009844BE">
        <w:t>4.3. Posílení bezpečnosti výrobních procesů a 4.4 Zajištění bezpečnosti dodávek energie</w:t>
      </w:r>
    </w:p>
    <w:p w:rsidR="009844BE" w:rsidRPr="009844BE" w:rsidRDefault="009844BE" w:rsidP="00BC5587">
      <w:pPr>
        <w:spacing w:before="120" w:after="0" w:line="276" w:lineRule="auto"/>
        <w:rPr>
          <w:rFonts w:ascii="Times New Roman" w:hAnsi="Times New Roman"/>
          <w:color w:val="auto"/>
          <w:sz w:val="24"/>
          <w:szCs w:val="24"/>
        </w:rPr>
      </w:pPr>
      <w:r w:rsidRPr="009844BE">
        <w:t>PO 2 Udržitelnost energetiky a materiálových zdrojů, v konkrétně v oblasti 1 (Udržitelná energetika), oblasti bezpečnosti síťových systémů.</w:t>
      </w:r>
    </w:p>
    <w:p w:rsidR="009844BE" w:rsidRPr="009844BE" w:rsidRDefault="009844BE" w:rsidP="00BC5587">
      <w:pPr>
        <w:spacing w:before="120" w:after="0" w:line="276" w:lineRule="auto"/>
        <w:rPr>
          <w:rFonts w:ascii="Times New Roman" w:hAnsi="Times New Roman"/>
          <w:color w:val="auto"/>
          <w:sz w:val="24"/>
          <w:szCs w:val="24"/>
        </w:rPr>
      </w:pPr>
      <w:r w:rsidRPr="009844BE">
        <w:t>Toto téma je v PO 1 Konkurenceschopná ekonomika založená na znalostech  zmiňováno v celé oblasti 3 zaměřené na posílení bezpečnosti a spolehlivosti.</w:t>
      </w:r>
    </w:p>
    <w:p w:rsidR="009844BE" w:rsidRPr="009844BE" w:rsidRDefault="009844BE" w:rsidP="00BC5587">
      <w:pPr>
        <w:spacing w:before="120" w:after="0" w:line="276" w:lineRule="auto"/>
        <w:rPr>
          <w:rFonts w:ascii="Times New Roman" w:hAnsi="Times New Roman"/>
          <w:color w:val="auto"/>
          <w:sz w:val="24"/>
          <w:szCs w:val="24"/>
        </w:rPr>
      </w:pPr>
      <w:r w:rsidRPr="009844BE">
        <w:t>4.5. Biotechnologie a využívání odpadů</w:t>
      </w:r>
    </w:p>
    <w:p w:rsidR="009844BE" w:rsidRPr="009844BE" w:rsidRDefault="009844BE" w:rsidP="00BC5587">
      <w:pPr>
        <w:spacing w:before="120" w:after="0" w:line="276" w:lineRule="auto"/>
        <w:rPr>
          <w:rFonts w:ascii="Times New Roman" w:hAnsi="Times New Roman"/>
          <w:color w:val="auto"/>
          <w:sz w:val="24"/>
          <w:szCs w:val="24"/>
        </w:rPr>
      </w:pPr>
      <w:r w:rsidRPr="009844BE">
        <w:lastRenderedPageBreak/>
        <w:t>PO 2 Udržitelnost energetiky a materiálových zdrojů v oblasti 1 (Udržitelná energetika) jsou biotechnologie uváděny v souvislosti s obnovitelnými zdroji energie a energetickým využíváním biomasy, a dále v oblasti 2 (Snižování energetické náročnosti hospodářství).</w:t>
      </w:r>
    </w:p>
    <w:p w:rsidR="009844BE" w:rsidRPr="009844BE" w:rsidRDefault="009844BE" w:rsidP="00BC5587">
      <w:pPr>
        <w:spacing w:before="120" w:after="0" w:line="276" w:lineRule="auto"/>
        <w:rPr>
          <w:rFonts w:ascii="Times New Roman" w:hAnsi="Times New Roman"/>
          <w:color w:val="auto"/>
          <w:sz w:val="24"/>
          <w:szCs w:val="24"/>
        </w:rPr>
      </w:pPr>
      <w:r w:rsidRPr="009844BE">
        <w:t>PO 3 Prostředí pro kvalitní život v oblasti 4 (Environmentální technologie a ekoinovace), do které je zařazena problematika biotechnologických postupů a energetického využití biomasy a odpadů.</w:t>
      </w:r>
    </w:p>
    <w:p w:rsidR="009844BE" w:rsidRPr="009844BE" w:rsidRDefault="009844BE" w:rsidP="00BC5587">
      <w:pPr>
        <w:spacing w:before="120" w:after="0" w:line="276" w:lineRule="auto"/>
        <w:rPr>
          <w:rFonts w:ascii="Times New Roman" w:hAnsi="Times New Roman"/>
          <w:color w:val="auto"/>
          <w:sz w:val="24"/>
          <w:szCs w:val="24"/>
        </w:rPr>
      </w:pPr>
      <w:r w:rsidRPr="009844BE">
        <w:t>4.7. Energetické aspekty rozvoje měst a regionů</w:t>
      </w:r>
    </w:p>
    <w:p w:rsidR="009844BE" w:rsidRPr="009844BE" w:rsidRDefault="009844BE" w:rsidP="00BC5587">
      <w:pPr>
        <w:spacing w:before="120" w:after="0" w:line="276" w:lineRule="auto"/>
        <w:rPr>
          <w:rFonts w:ascii="Times New Roman" w:hAnsi="Times New Roman"/>
          <w:color w:val="auto"/>
          <w:sz w:val="24"/>
          <w:szCs w:val="24"/>
        </w:rPr>
      </w:pPr>
      <w:r w:rsidRPr="009844BE">
        <w:t>PO 2 Udržitelnost energetiky a materiálových zdrojů v oblasti 1 (Udržitelná energetika) je téma rozvoje měst a regionů z hlediska energetiky.</w:t>
      </w:r>
    </w:p>
    <w:p w:rsidR="009844BE" w:rsidRPr="00891852" w:rsidRDefault="009844BE" w:rsidP="00BC5587">
      <w:pPr>
        <w:spacing w:before="120" w:after="0" w:line="276" w:lineRule="auto"/>
        <w:rPr>
          <w:rFonts w:ascii="Times New Roman" w:hAnsi="Times New Roman"/>
          <w:color w:val="auto"/>
          <w:sz w:val="24"/>
          <w:szCs w:val="24"/>
        </w:rPr>
      </w:pPr>
      <w:r w:rsidRPr="009844BE">
        <w:t>PO 3 Prostředí pro kvalitní život v oblasti 3 (Udržitelný rozvoj krajiny a lidských sídel) je řešena problematika budování a provozu inteligentních lidských sídel s minimálními dopady na životní prostředí.</w:t>
      </w:r>
    </w:p>
    <w:p w:rsidR="008C4588" w:rsidRPr="00A52D2C" w:rsidRDefault="0009700A" w:rsidP="00BC5587">
      <w:pPr>
        <w:pStyle w:val="Nadpis2"/>
        <w:spacing w:before="120" w:after="0" w:line="276" w:lineRule="auto"/>
      </w:pPr>
      <w:bookmarkStart w:id="183" w:name="_cfc59hj188z" w:colFirst="0" w:colLast="0"/>
      <w:bookmarkStart w:id="184" w:name="_Toc463269147"/>
      <w:bookmarkStart w:id="185" w:name="_Toc463269284"/>
      <w:bookmarkStart w:id="186" w:name="_Toc463269331"/>
      <w:bookmarkStart w:id="187" w:name="_Toc463296663"/>
      <w:bookmarkStart w:id="188" w:name="_Toc463438642"/>
      <w:bookmarkEnd w:id="183"/>
      <w:r w:rsidRPr="00A52D2C">
        <w:t>TRIO</w:t>
      </w:r>
      <w:bookmarkEnd w:id="184"/>
      <w:bookmarkEnd w:id="185"/>
      <w:bookmarkEnd w:id="186"/>
      <w:bookmarkEnd w:id="187"/>
      <w:bookmarkEnd w:id="188"/>
    </w:p>
    <w:p w:rsidR="008C4588" w:rsidRPr="00A52D2C" w:rsidRDefault="0009700A" w:rsidP="00BC5587">
      <w:pPr>
        <w:spacing w:before="120" w:after="0" w:line="276" w:lineRule="auto"/>
      </w:pPr>
      <w:r w:rsidRPr="00A52D2C">
        <w:t>Program TRIO je zaměřen na podporu kolaborativního průmyslového výzkumu. Jde o program realizovaný formou veřejných soutěží podle zákona č.130/2002 Sb., v platném znění.</w:t>
      </w:r>
    </w:p>
    <w:p w:rsidR="008C4588" w:rsidRPr="00A52D2C" w:rsidRDefault="0009700A" w:rsidP="00BC5587">
      <w:pPr>
        <w:spacing w:before="120" w:after="0" w:line="276" w:lineRule="auto"/>
      </w:pPr>
      <w:r w:rsidRPr="00A52D2C">
        <w:t>Umožňuje podporu projektů mimo jiné i z oblasti energetiky, které mají vazbu na tzv. klíčové technologie a zároveň naplňují některý z vybraných cílů Národních priorit orientovaného VaVaI (NPOV).</w:t>
      </w:r>
    </w:p>
    <w:p w:rsidR="008C4588" w:rsidRPr="00A52D2C" w:rsidRDefault="0009700A" w:rsidP="00BC5587">
      <w:pPr>
        <w:spacing w:before="120" w:after="0" w:line="276" w:lineRule="auto"/>
      </w:pPr>
      <w:r w:rsidRPr="00A52D2C">
        <w:t>Podporovanými oblastmi klíčových technologií jsou:</w:t>
      </w:r>
    </w:p>
    <w:p w:rsidR="008C4588" w:rsidRPr="00A52D2C" w:rsidRDefault="0009700A" w:rsidP="00BC5587">
      <w:pPr>
        <w:pStyle w:val="Odstavecseseznamem"/>
        <w:numPr>
          <w:ilvl w:val="0"/>
          <w:numId w:val="2"/>
        </w:numPr>
        <w:spacing w:before="120" w:after="0" w:line="276" w:lineRule="auto"/>
      </w:pPr>
      <w:r w:rsidRPr="00A52D2C">
        <w:t>Fotonika</w:t>
      </w:r>
    </w:p>
    <w:p w:rsidR="008C4588" w:rsidRPr="00A52D2C" w:rsidRDefault="0009700A" w:rsidP="00BC5587">
      <w:pPr>
        <w:pStyle w:val="Odstavecseseznamem"/>
        <w:numPr>
          <w:ilvl w:val="0"/>
          <w:numId w:val="2"/>
        </w:numPr>
        <w:spacing w:before="120" w:after="0" w:line="276" w:lineRule="auto"/>
      </w:pPr>
      <w:r w:rsidRPr="00A52D2C">
        <w:t>Mikro- a nanoelektronika</w:t>
      </w:r>
    </w:p>
    <w:p w:rsidR="008C4588" w:rsidRPr="00A52D2C" w:rsidRDefault="0009700A" w:rsidP="00BC5587">
      <w:pPr>
        <w:pStyle w:val="Odstavecseseznamem"/>
        <w:numPr>
          <w:ilvl w:val="0"/>
          <w:numId w:val="2"/>
        </w:numPr>
        <w:spacing w:before="120" w:after="0" w:line="276" w:lineRule="auto"/>
      </w:pPr>
      <w:r w:rsidRPr="00A52D2C">
        <w:t>Nanotechnologie</w:t>
      </w:r>
    </w:p>
    <w:p w:rsidR="008C4588" w:rsidRPr="00A52D2C" w:rsidRDefault="0009700A" w:rsidP="00BC5587">
      <w:pPr>
        <w:pStyle w:val="Odstavecseseznamem"/>
        <w:numPr>
          <w:ilvl w:val="0"/>
          <w:numId w:val="2"/>
        </w:numPr>
        <w:spacing w:before="120" w:after="0" w:line="276" w:lineRule="auto"/>
      </w:pPr>
      <w:r w:rsidRPr="00A52D2C">
        <w:t>Průmyslové biotechnologie</w:t>
      </w:r>
    </w:p>
    <w:p w:rsidR="008C4588" w:rsidRPr="00A52D2C" w:rsidRDefault="0009700A" w:rsidP="00BC5587">
      <w:pPr>
        <w:pStyle w:val="Odstavecseseznamem"/>
        <w:numPr>
          <w:ilvl w:val="0"/>
          <w:numId w:val="2"/>
        </w:numPr>
        <w:spacing w:before="120" w:after="0" w:line="276" w:lineRule="auto"/>
      </w:pPr>
      <w:r w:rsidRPr="00A52D2C">
        <w:t>Pokročilé materiály</w:t>
      </w:r>
    </w:p>
    <w:p w:rsidR="008C4588" w:rsidRPr="00A52D2C" w:rsidRDefault="0009700A" w:rsidP="00BC5587">
      <w:pPr>
        <w:pStyle w:val="Odstavecseseznamem"/>
        <w:numPr>
          <w:ilvl w:val="0"/>
          <w:numId w:val="2"/>
        </w:numPr>
        <w:spacing w:before="120" w:after="0" w:line="276" w:lineRule="auto"/>
      </w:pPr>
      <w:r w:rsidRPr="00A52D2C">
        <w:t>Pokročilé výrobní technologie</w:t>
      </w:r>
    </w:p>
    <w:p w:rsidR="008C4588" w:rsidRPr="00A52D2C" w:rsidRDefault="0009700A" w:rsidP="00BC5587">
      <w:pPr>
        <w:spacing w:before="120" w:after="0" w:line="276" w:lineRule="auto"/>
      </w:pPr>
      <w:r w:rsidRPr="00A52D2C">
        <w:t>Relevantní cíle NPOV jsou pro jednotlivé veřejné soutěže vybírány z oblastí:</w:t>
      </w:r>
    </w:p>
    <w:p w:rsidR="00F0587A" w:rsidRDefault="0009700A" w:rsidP="00BC5587">
      <w:pPr>
        <w:pStyle w:val="Odstavecseseznamem"/>
        <w:spacing w:before="120" w:after="0" w:line="276" w:lineRule="auto"/>
      </w:pPr>
      <w:r w:rsidRPr="00A52D2C">
        <w:t>Prioritní oblast č. 1 Konkurenceschopná eko</w:t>
      </w:r>
      <w:r w:rsidR="00F0587A">
        <w:t>nomika založená na znalostech</w:t>
      </w:r>
    </w:p>
    <w:p w:rsidR="00F0587A" w:rsidRPr="00F0587A" w:rsidRDefault="0009700A" w:rsidP="00BC5587">
      <w:pPr>
        <w:pStyle w:val="Odstavecseseznamem"/>
        <w:numPr>
          <w:ilvl w:val="1"/>
          <w:numId w:val="57"/>
        </w:numPr>
        <w:spacing w:before="120" w:after="0" w:line="276" w:lineRule="auto"/>
      </w:pPr>
      <w:r w:rsidRPr="00A52D2C">
        <w:t>oblast 1. Využití (aplikace) nových poznatků z oblasti tzv. General Purpose Technologies</w:t>
      </w:r>
    </w:p>
    <w:p w:rsidR="008C4588" w:rsidRPr="00A52D2C" w:rsidRDefault="0009700A" w:rsidP="00BC5587">
      <w:pPr>
        <w:pStyle w:val="Odstavecseseznamem"/>
        <w:numPr>
          <w:ilvl w:val="1"/>
          <w:numId w:val="57"/>
        </w:numPr>
        <w:spacing w:before="120" w:after="0" w:line="276" w:lineRule="auto"/>
      </w:pPr>
      <w:r w:rsidRPr="00A52D2C">
        <w:t>oblast 2. Posílení udržitelnosti výroby a dalších ekonomických aktivit,</w:t>
      </w:r>
    </w:p>
    <w:p w:rsidR="00F0587A" w:rsidRDefault="0009700A" w:rsidP="00BC5587">
      <w:pPr>
        <w:pStyle w:val="Odstavecseseznamem"/>
        <w:spacing w:before="120" w:after="0" w:line="276" w:lineRule="auto"/>
      </w:pPr>
      <w:r w:rsidRPr="00A52D2C">
        <w:t xml:space="preserve">Prioritní oblast </w:t>
      </w:r>
      <w:proofErr w:type="gramStart"/>
      <w:r w:rsidRPr="00A52D2C">
        <w:t>č. 2 Udržitelnost</w:t>
      </w:r>
      <w:proofErr w:type="gramEnd"/>
      <w:r w:rsidRPr="00A52D2C">
        <w:t xml:space="preserve"> ener</w:t>
      </w:r>
      <w:r w:rsidR="00F0587A">
        <w:t>getiky a materiálových zdrojů</w:t>
      </w:r>
    </w:p>
    <w:p w:rsidR="00F0587A" w:rsidRDefault="0009700A" w:rsidP="00BC5587">
      <w:pPr>
        <w:pStyle w:val="Odstavecseseznamem"/>
        <w:numPr>
          <w:ilvl w:val="1"/>
          <w:numId w:val="57"/>
        </w:numPr>
        <w:spacing w:before="120" w:after="0" w:line="276" w:lineRule="auto"/>
      </w:pPr>
      <w:r w:rsidRPr="00A52D2C">
        <w:t xml:space="preserve">oblast 1. Udržitelná energetika, </w:t>
      </w:r>
    </w:p>
    <w:p w:rsidR="00F0587A" w:rsidRDefault="0009700A" w:rsidP="00BC5587">
      <w:pPr>
        <w:pStyle w:val="Odstavecseseznamem"/>
        <w:numPr>
          <w:ilvl w:val="1"/>
          <w:numId w:val="57"/>
        </w:numPr>
        <w:spacing w:before="120" w:after="0" w:line="276" w:lineRule="auto"/>
      </w:pPr>
      <w:r w:rsidRPr="00A52D2C">
        <w:t xml:space="preserve">oblast 2. Snižování energetické náročnosti hospodářství, </w:t>
      </w:r>
    </w:p>
    <w:p w:rsidR="008C4588" w:rsidRPr="00A52D2C" w:rsidRDefault="0009700A" w:rsidP="00BC5587">
      <w:pPr>
        <w:pStyle w:val="Odstavecseseznamem"/>
        <w:numPr>
          <w:ilvl w:val="1"/>
          <w:numId w:val="57"/>
        </w:numPr>
        <w:spacing w:before="120" w:after="0" w:line="276" w:lineRule="auto"/>
      </w:pPr>
      <w:r w:rsidRPr="00A52D2C">
        <w:t>oblast 3. Materiálová základna,</w:t>
      </w:r>
    </w:p>
    <w:p w:rsidR="00F0587A" w:rsidRDefault="00F0587A" w:rsidP="00BC5587">
      <w:pPr>
        <w:pStyle w:val="Odstavecseseznamem"/>
        <w:spacing w:before="120" w:after="0" w:line="276" w:lineRule="auto"/>
      </w:pPr>
      <w:r>
        <w:t>P</w:t>
      </w:r>
      <w:r w:rsidR="0009700A" w:rsidRPr="00A52D2C">
        <w:t>rioritní oblast č. 3.</w:t>
      </w:r>
      <w:r>
        <w:t xml:space="preserve"> Prostředí pro kvalitní život</w:t>
      </w:r>
    </w:p>
    <w:p w:rsidR="008C4588" w:rsidRPr="00A52D2C" w:rsidRDefault="0009700A" w:rsidP="00BC5587">
      <w:pPr>
        <w:pStyle w:val="Odstavecseseznamem"/>
        <w:numPr>
          <w:ilvl w:val="1"/>
          <w:numId w:val="57"/>
        </w:numPr>
        <w:spacing w:before="120" w:after="0" w:line="276" w:lineRule="auto"/>
      </w:pPr>
      <w:r w:rsidRPr="00A52D2C">
        <w:t>oblast 4. Environmentální technologie a ekoinovace,</w:t>
      </w:r>
    </w:p>
    <w:p w:rsidR="00F0587A" w:rsidRDefault="0009700A" w:rsidP="00BC5587">
      <w:pPr>
        <w:pStyle w:val="Odstavecseseznamem"/>
        <w:spacing w:before="120" w:after="0" w:line="276" w:lineRule="auto"/>
      </w:pPr>
      <w:r w:rsidRPr="00A52D2C">
        <w:t>Prioritní</w:t>
      </w:r>
      <w:r w:rsidR="00F0587A">
        <w:t xml:space="preserve"> oblast č. 5. Zdravá populace</w:t>
      </w:r>
    </w:p>
    <w:p w:rsidR="008C4588" w:rsidRPr="00A52D2C" w:rsidRDefault="0009700A" w:rsidP="00BC5587">
      <w:pPr>
        <w:pStyle w:val="Odstavecseseznamem"/>
        <w:numPr>
          <w:ilvl w:val="1"/>
          <w:numId w:val="57"/>
        </w:numPr>
        <w:spacing w:before="120" w:after="0" w:line="276" w:lineRule="auto"/>
      </w:pPr>
      <w:r w:rsidRPr="00A52D2C">
        <w:t>oblast 2. Nové diagnostické a terapeutické metody.</w:t>
      </w:r>
    </w:p>
    <w:p w:rsidR="008C4588" w:rsidRPr="00A52D2C" w:rsidRDefault="0009700A" w:rsidP="00BC5587">
      <w:pPr>
        <w:spacing w:before="120" w:after="0" w:line="276" w:lineRule="auto"/>
      </w:pPr>
      <w:r w:rsidRPr="00A52D2C">
        <w:lastRenderedPageBreak/>
        <w:t>V programu TRIO je plánováno vyhlášení tří veřejných soutěží, a to v roce 2015, 2016 a 2017. Projekty vybrané k podpoře budou financovány od roku 2016 (resp. 2017, resp. 2018) a ukončeny nejpozději v roce 2021. Podpora ze státního rozpočtu bude činit celkem za program cca 3,7 mld. Kč.</w:t>
      </w:r>
    </w:p>
    <w:p w:rsidR="008C4588" w:rsidRPr="00A52D2C" w:rsidRDefault="0009700A" w:rsidP="00BC5587">
      <w:pPr>
        <w:spacing w:before="120" w:after="0" w:line="276" w:lineRule="auto"/>
      </w:pPr>
      <w:r w:rsidRPr="00A52D2C">
        <w:t xml:space="preserve">Základní omezující parametry pro jednotlivé projekty jsou: na projektu musí v zásadě vždy spolupracovat alespoň jeden podnik a alespoň jedna výzkumná organizace, </w:t>
      </w:r>
      <w:r w:rsidRPr="00A52D2C">
        <w:rPr>
          <w:b/>
        </w:rPr>
        <w:t>výše podpory může dosáhnout max. 20 mil. Kč za celý projekt</w:t>
      </w:r>
      <w:r w:rsidRPr="00A52D2C">
        <w:t>, doba trvání projektu nesmí přesáhnout 48 měsíců. Mezi uznané náklady nejsou zařazeny náklady na pořízení majetku (resp. jsou uznatelné pouze ve výši odpisů po dobu trvání projektu).</w:t>
      </w:r>
    </w:p>
    <w:p w:rsidR="008C4588" w:rsidRPr="00A52D2C" w:rsidRDefault="0009700A" w:rsidP="00BC5587">
      <w:pPr>
        <w:spacing w:before="120" w:after="0" w:line="276" w:lineRule="auto"/>
      </w:pPr>
      <w:r w:rsidRPr="00A52D2C">
        <w:t xml:space="preserve">V první veřejné soutěži, která byla vyhlášena 25. 11. 2015, bylo doručeno 19 projektů s hlavním oborem JE (nejaderná energetika) a 10 projektů s hlavním oborem JF (jaderná energetika). Celkové náklady těchto projektů jsou plánovány ve výši cca 336 mil. Kč (JE), resp. cca 199 mil. Kč (JF) a je na ně žádáno o dotaci ve výši cca 252 mil. Kč (JE), resp. cca 137 mil. Kč (JF). U dalších 11 návrhů projektů je </w:t>
      </w:r>
      <w:proofErr w:type="spellStart"/>
      <w:r w:rsidRPr="00A52D2C">
        <w:t>JE</w:t>
      </w:r>
      <w:proofErr w:type="spellEnd"/>
      <w:r w:rsidRPr="00A52D2C">
        <w:t xml:space="preserve"> vedlejším oborem, u jednoho je vedlejším oborem JF. Těchto 12 projektů představuje plánované výdaje cca 170 mil. Kč s požadovanou výší dotace 123 mil. Kč.</w:t>
      </w:r>
    </w:p>
    <w:p w:rsidR="008C4588" w:rsidRDefault="0009700A" w:rsidP="006E38F6">
      <w:pPr>
        <w:pStyle w:val="Nadpis3"/>
      </w:pPr>
      <w:bookmarkStart w:id="189" w:name="_h4anzevu92gb" w:colFirst="0" w:colLast="0"/>
      <w:bookmarkStart w:id="190" w:name="_Toc462344815"/>
      <w:bookmarkStart w:id="191" w:name="_Toc463269148"/>
      <w:bookmarkStart w:id="192" w:name="_Toc463269332"/>
      <w:bookmarkEnd w:id="189"/>
      <w:r w:rsidRPr="00A52D2C">
        <w:rPr>
          <w:highlight w:val="white"/>
        </w:rPr>
        <w:t>Eliminace duplicit</w:t>
      </w:r>
      <w:bookmarkEnd w:id="190"/>
      <w:bookmarkEnd w:id="191"/>
      <w:bookmarkEnd w:id="192"/>
    </w:p>
    <w:p w:rsidR="009844BE" w:rsidRPr="009844BE" w:rsidRDefault="009844BE" w:rsidP="00BC5587">
      <w:pPr>
        <w:spacing w:before="120" w:after="0" w:line="276" w:lineRule="auto"/>
        <w:rPr>
          <w:rFonts w:ascii="Times New Roman" w:hAnsi="Times New Roman"/>
          <w:color w:val="auto"/>
          <w:sz w:val="24"/>
          <w:szCs w:val="24"/>
        </w:rPr>
      </w:pPr>
      <w:r w:rsidRPr="009844BE">
        <w:t>Podprogramy 1 a 3 programu THÉTA nejsou svým zaměřením, charakterem i předpokládanými výsledky v překryvu s programem TRIO.</w:t>
      </w:r>
    </w:p>
    <w:p w:rsidR="009844BE" w:rsidRPr="009844BE" w:rsidRDefault="009844BE" w:rsidP="00BC5587">
      <w:pPr>
        <w:spacing w:before="120" w:after="0" w:line="276" w:lineRule="auto"/>
        <w:rPr>
          <w:rFonts w:ascii="Times New Roman" w:hAnsi="Times New Roman"/>
          <w:color w:val="auto"/>
          <w:sz w:val="24"/>
          <w:szCs w:val="24"/>
        </w:rPr>
      </w:pPr>
      <w:r w:rsidRPr="009844BE">
        <w:t xml:space="preserve">Podprogram 2 programu THÉTA a program TRIO se tematicky překrývají, nicméně z větší části se nepřekrývají časově. První výzva v programu THÉTA je plánována v roce 2017, ve stejném roce má být zároveň vyhlášena poslední soutěž v rámci programu TRIO. </w:t>
      </w:r>
    </w:p>
    <w:p w:rsidR="009844BE" w:rsidRPr="009844BE" w:rsidRDefault="009844BE" w:rsidP="00BC5587">
      <w:pPr>
        <w:spacing w:before="120" w:after="0" w:line="276" w:lineRule="auto"/>
      </w:pPr>
      <w:r w:rsidRPr="009844BE">
        <w:rPr>
          <w:b/>
          <w:bCs/>
        </w:rPr>
        <w:t>Eliminace duplicit v roce 2017 bude zajištěna</w:t>
      </w:r>
      <w:r w:rsidRPr="009844BE">
        <w:t xml:space="preserve"> obdobně jako u programu EPSILON, tj. veřejná soutěž u podprogramu 2 programu THÉTA bude tematicky vymezena oblastí Udržitelná energetika prioritní oblasti 2 Udržitelnost energetiky a materiálových zdrojů NPOV. Zároveň cíle oblasti Udržitelná energetika nebudou zahrnuty v podporovaných cílech programu TRIO v plánované soutěži v roce 2017.</w:t>
      </w:r>
    </w:p>
    <w:p w:rsidR="008C4588" w:rsidRPr="00A52D2C" w:rsidRDefault="0009700A" w:rsidP="00BC5587">
      <w:pPr>
        <w:pStyle w:val="Nadpis2"/>
        <w:spacing w:before="120" w:after="0" w:line="276" w:lineRule="auto"/>
      </w:pPr>
      <w:bookmarkStart w:id="193" w:name="_701lyq9g7uye" w:colFirst="0" w:colLast="0"/>
      <w:bookmarkStart w:id="194" w:name="_Toc463269149"/>
      <w:bookmarkStart w:id="195" w:name="_Toc463269285"/>
      <w:bookmarkStart w:id="196" w:name="_Toc463269333"/>
      <w:bookmarkStart w:id="197" w:name="_Toc463296664"/>
      <w:bookmarkStart w:id="198" w:name="_Toc463438643"/>
      <w:bookmarkEnd w:id="193"/>
      <w:r w:rsidRPr="00A52D2C">
        <w:t>OP PIK</w:t>
      </w:r>
      <w:bookmarkEnd w:id="194"/>
      <w:bookmarkEnd w:id="195"/>
      <w:bookmarkEnd w:id="196"/>
      <w:bookmarkEnd w:id="197"/>
      <w:bookmarkEnd w:id="198"/>
    </w:p>
    <w:p w:rsidR="008C4588" w:rsidRPr="00A52D2C" w:rsidRDefault="0009700A" w:rsidP="00BC5587">
      <w:pPr>
        <w:spacing w:before="120" w:after="0" w:line="276" w:lineRule="auto"/>
      </w:pPr>
      <w:r w:rsidRPr="00A52D2C">
        <w:rPr>
          <w:highlight w:val="white"/>
        </w:rPr>
        <w:t xml:space="preserve">Operační program Podnikání a inovace pro konkurenceschopnost 2014-2020 je základním programovým dokumentem Ministerstva průmyslu a obchodu pro čerpání finančních prostředků z Evropského fondu pro regionální rozvoj v programovém období 2014-2020 a klíčovým nástrojem pro podporu českých podnikatelů z fondů Evropské unie v programovacím období 2014- 2020. </w:t>
      </w:r>
    </w:p>
    <w:p w:rsidR="008C4588" w:rsidRPr="00A52D2C" w:rsidRDefault="0009700A" w:rsidP="00BC5587">
      <w:pPr>
        <w:spacing w:before="120" w:after="0" w:line="276" w:lineRule="auto"/>
      </w:pPr>
      <w:r w:rsidRPr="00A52D2C">
        <w:rPr>
          <w:highlight w:val="white"/>
        </w:rPr>
        <w:t xml:space="preserve">OP PIK je zaměřen na intervence cílené na (i) podporu českých firem schopných posunovat či alespoň dosahovat technologickou hranici ve svém oboru, přičemž důraz bude kladen na rozvoj podnikových výzkumných, vývojových a inovačních kapacit a jejich propojení s okolním prostředím, na (ii) rozvoj podnikání a inovací malých a středních podniků v oborech s nižší znalostní intenzitou, kde se podpora soustředí zejména na realizaci nových podnikatelských záměrů, včetně rozvoje služeb vedoucích ke zvýšení konkurenční výhody MSP v mezinárodním prostředí, na (iii) posun k energeticky účinnému, nízkouhlíkovému hospodářství spočívajícím především ve zvyšování energetické účinnosti podnikatelského sektoru, využívání obnovitelných zdrojů energie, modernizaci energetické infrastruktury a zavádění nových technologií v oblasti nakládání energií a druhotných surovin, na (iv) </w:t>
      </w:r>
      <w:r w:rsidRPr="00A52D2C">
        <w:rPr>
          <w:highlight w:val="white"/>
        </w:rPr>
        <w:lastRenderedPageBreak/>
        <w:t>usnadnění rozvoje podnikání, služeb a přístupu ke službám státu prostřednictvím vysokorychlostního přístupu k internetu a širší nabídkou služeb informačních a komunikačních technologií, neboť konkurenceschopnost informační společnosti je založena právě na efektivním využívání moderních služeb ICT.</w:t>
      </w:r>
    </w:p>
    <w:p w:rsidR="008C4588" w:rsidRPr="00A52D2C" w:rsidRDefault="0009700A" w:rsidP="00BC5587">
      <w:pPr>
        <w:spacing w:before="120" w:after="0" w:line="276" w:lineRule="auto"/>
      </w:pPr>
      <w:r w:rsidRPr="00A52D2C">
        <w:rPr>
          <w:highlight w:val="white"/>
        </w:rPr>
        <w:t>Jediným programem zam</w:t>
      </w:r>
      <w:r w:rsidR="00473AB1">
        <w:rPr>
          <w:highlight w:val="white"/>
        </w:rPr>
        <w:t xml:space="preserve">ěřeným na podporu výzkumných a </w:t>
      </w:r>
      <w:r w:rsidRPr="00A52D2C">
        <w:rPr>
          <w:highlight w:val="white"/>
        </w:rPr>
        <w:t>vývojových aktivit dle zákona č.</w:t>
      </w:r>
      <w:r w:rsidR="003A602B">
        <w:rPr>
          <w:highlight w:val="white"/>
        </w:rPr>
        <w:t> </w:t>
      </w:r>
      <w:r w:rsidRPr="00A52D2C">
        <w:rPr>
          <w:highlight w:val="white"/>
        </w:rPr>
        <w:t xml:space="preserve">130/2002 Sb., o podpoře výzkumu a vývoje ve znění pozdějších předpisů (včetně CZ NACE projektu - sekce D - výroba a rozvod elektřiny, plynu, tepla a klimatizovaného vzduchu) je program Aplikace. </w:t>
      </w:r>
    </w:p>
    <w:p w:rsidR="008C4588" w:rsidRPr="00A52D2C" w:rsidRDefault="0009700A" w:rsidP="00BC5587">
      <w:pPr>
        <w:spacing w:before="120" w:after="0" w:line="276" w:lineRule="auto"/>
      </w:pPr>
      <w:r w:rsidRPr="00A52D2C">
        <w:rPr>
          <w:highlight w:val="white"/>
        </w:rPr>
        <w:t>Hlavním cílem programu je získávání nových znalo</w:t>
      </w:r>
      <w:r w:rsidR="003A602B">
        <w:rPr>
          <w:highlight w:val="white"/>
        </w:rPr>
        <w:t xml:space="preserve">stí potřebných pro vývoj nových produktů, </w:t>
      </w:r>
      <w:r w:rsidRPr="00A52D2C">
        <w:rPr>
          <w:highlight w:val="white"/>
        </w:rPr>
        <w:t>materiálů, technologií a služeb prostřednictvím realizace</w:t>
      </w:r>
      <w:r w:rsidR="003A602B">
        <w:rPr>
          <w:highlight w:val="white"/>
        </w:rPr>
        <w:t xml:space="preserve"> projek</w:t>
      </w:r>
      <w:r w:rsidR="00473AB1">
        <w:rPr>
          <w:highlight w:val="white"/>
        </w:rPr>
        <w:t>tů průmyslového výzkumu</w:t>
      </w:r>
      <w:r w:rsidR="00CB5C1F">
        <w:rPr>
          <w:highlight w:val="white"/>
        </w:rPr>
        <w:t xml:space="preserve"> </w:t>
      </w:r>
      <w:r w:rsidRPr="00A52D2C">
        <w:rPr>
          <w:highlight w:val="white"/>
        </w:rPr>
        <w:t>a</w:t>
      </w:r>
      <w:r w:rsidR="003A602B">
        <w:rPr>
          <w:highlight w:val="white"/>
        </w:rPr>
        <w:t> </w:t>
      </w:r>
      <w:r w:rsidRPr="00A52D2C">
        <w:rPr>
          <w:highlight w:val="white"/>
        </w:rPr>
        <w:t>experimentálního vývoje. Příjemcem podpory jsou podnikatelské subjekty a organizace pro výzkum a šíření znalostí. Žádost o podporu mohou předkládat individuální subjekty (podni</w:t>
      </w:r>
      <w:r w:rsidR="00CB5C1F">
        <w:rPr>
          <w:highlight w:val="white"/>
        </w:rPr>
        <w:t xml:space="preserve">ky) i konsorcia složená z více </w:t>
      </w:r>
      <w:r w:rsidRPr="00A52D2C">
        <w:rPr>
          <w:highlight w:val="white"/>
        </w:rPr>
        <w:t>partnerů z řad podniků a organizací pro výzkum a šíření znalostí. Minimální výše dotace pro jeden projekt činí 1 mil. Kč a maximální 100 mil. Kč. Podpořit lze projekt, u něhož je místo realizace v ČR mimo území hl. města Prahy. Podpora bude proplácena ex-post na základě dokladů předložených příjemcem podpory v žádosti o platbu, je nezbytné zajistit předfinancování výdajů projektu z vlastních zdrojů příjemce.</w:t>
      </w:r>
    </w:p>
    <w:p w:rsidR="008C4588" w:rsidRPr="00A52D2C" w:rsidRDefault="0009700A" w:rsidP="006E38F6">
      <w:pPr>
        <w:pStyle w:val="Nadpis3"/>
      </w:pPr>
      <w:bookmarkStart w:id="199" w:name="_la6srg5z18gh" w:colFirst="0" w:colLast="0"/>
      <w:bookmarkStart w:id="200" w:name="_Toc462344817"/>
      <w:bookmarkStart w:id="201" w:name="_Toc463269150"/>
      <w:bookmarkStart w:id="202" w:name="_Toc463269334"/>
      <w:bookmarkEnd w:id="199"/>
      <w:r w:rsidRPr="00A52D2C">
        <w:rPr>
          <w:highlight w:val="white"/>
        </w:rPr>
        <w:t>Eliminace duplicit</w:t>
      </w:r>
      <w:bookmarkEnd w:id="200"/>
      <w:bookmarkEnd w:id="201"/>
      <w:bookmarkEnd w:id="202"/>
    </w:p>
    <w:p w:rsidR="009844BE"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 xml:space="preserve">Program THÉTA </w:t>
      </w:r>
      <w:r w:rsidRPr="009844BE">
        <w:rPr>
          <w:b/>
          <w:bCs/>
          <w:shd w:val="clear" w:color="auto" w:fill="FFFFFF"/>
        </w:rPr>
        <w:t>není v překryvu s programy OP PIK</w:t>
      </w:r>
      <w:r w:rsidRPr="009844BE">
        <w:rPr>
          <w:shd w:val="clear" w:color="auto" w:fill="FFFFFF"/>
        </w:rPr>
        <w:t xml:space="preserve">. V rámci OP PIK je mu nejbližší program Aplikace, který je zaměřen na získávání nových znalostí prostřednictvím realizace projektů průmyslového výzkumu a experimentálního vývoje. Oprávněnými příjemci programu Aplikace jsou podnikatelské subjekty a organizace pro výzkum a šíření znalostí. Projekty musí být v souladu s cíli RIS 3 a v rámci hodnocení je posuzováno, zdali zaměření projektu spadá pod národní domény specializace RIS3. Indikativní schválená alokace na program Aplikace z ERDF činí 313 132 814 EUR. </w:t>
      </w:r>
    </w:p>
    <w:p w:rsidR="008C4588" w:rsidRPr="009844BE" w:rsidRDefault="009844BE" w:rsidP="00BC5587">
      <w:pPr>
        <w:spacing w:before="120" w:after="0" w:line="276" w:lineRule="auto"/>
        <w:rPr>
          <w:rFonts w:ascii="Times New Roman" w:hAnsi="Times New Roman"/>
          <w:color w:val="auto"/>
          <w:sz w:val="24"/>
          <w:szCs w:val="24"/>
        </w:rPr>
      </w:pPr>
      <w:r w:rsidRPr="009844BE">
        <w:rPr>
          <w:shd w:val="clear" w:color="auto" w:fill="FFFFFF"/>
        </w:rPr>
        <w:t>Program je plánován do roku 2020. V první výzvě byla vyhlášena alokace 2 mld. Kč, v druhé výzvě 40</w:t>
      </w:r>
      <w:r w:rsidR="003A602B">
        <w:rPr>
          <w:shd w:val="clear" w:color="auto" w:fill="FFFFFF"/>
        </w:rPr>
        <w:t> </w:t>
      </w:r>
      <w:r w:rsidRPr="009844BE">
        <w:rPr>
          <w:shd w:val="clear" w:color="auto" w:fill="FFFFFF"/>
        </w:rPr>
        <w:t>mil. Kč a pro třetí výzvu je plánována alokace 4,5 mld. Kč. V těchto třech výzvách tedy bude vyčerpáno souhrnně 6,54 mld. Kč, tj. cca 77</w:t>
      </w:r>
      <w:r w:rsidR="003A602B">
        <w:rPr>
          <w:shd w:val="clear" w:color="auto" w:fill="FFFFFF"/>
        </w:rPr>
        <w:t> </w:t>
      </w:r>
      <w:r w:rsidRPr="009844BE">
        <w:rPr>
          <w:shd w:val="clear" w:color="auto" w:fill="FFFFFF"/>
        </w:rPr>
        <w:t>% alokace programu. Než tedy bude zahájen program THÉTA, bude alokace programu Aplikace, vyčerpána. Z tohoto důvodu zde není riziko překryvu ani mezi programy.</w:t>
      </w:r>
    </w:p>
    <w:p w:rsidR="008C4588" w:rsidRPr="00A52D2C" w:rsidRDefault="0009700A" w:rsidP="00BC5587">
      <w:pPr>
        <w:pStyle w:val="Nadpis2"/>
        <w:spacing w:before="120" w:after="0" w:line="276" w:lineRule="auto"/>
      </w:pPr>
      <w:bookmarkStart w:id="203" w:name="_sdj9dbn9axtr" w:colFirst="0" w:colLast="0"/>
      <w:bookmarkStart w:id="204" w:name="_Toc463269151"/>
      <w:bookmarkStart w:id="205" w:name="_Toc463269286"/>
      <w:bookmarkStart w:id="206" w:name="_Toc463269335"/>
      <w:bookmarkStart w:id="207" w:name="_Toc463296665"/>
      <w:bookmarkStart w:id="208" w:name="_Toc463438644"/>
      <w:bookmarkEnd w:id="203"/>
      <w:r w:rsidRPr="00A52D2C">
        <w:t>OP Praha pól růstu</w:t>
      </w:r>
      <w:bookmarkEnd w:id="204"/>
      <w:bookmarkEnd w:id="205"/>
      <w:bookmarkEnd w:id="206"/>
      <w:bookmarkEnd w:id="207"/>
      <w:bookmarkEnd w:id="208"/>
    </w:p>
    <w:p w:rsidR="008C4588" w:rsidRPr="00A52D2C" w:rsidRDefault="0009700A" w:rsidP="00BC5587">
      <w:pPr>
        <w:spacing w:before="120" w:after="0" w:line="276" w:lineRule="auto"/>
      </w:pPr>
      <w:r w:rsidRPr="00A52D2C">
        <w:rPr>
          <w:highlight w:val="white"/>
        </w:rPr>
        <w:t>Hl. město Praha se zavázalo vytvářet poptávku po inovativních řešeních rozvoje města v relevantních o</w:t>
      </w:r>
      <w:r w:rsidR="003A602B">
        <w:rPr>
          <w:highlight w:val="white"/>
        </w:rPr>
        <w:t xml:space="preserve">blastech podpory ve vymezených </w:t>
      </w:r>
      <w:r w:rsidRPr="00A52D2C">
        <w:rPr>
          <w:highlight w:val="white"/>
        </w:rPr>
        <w:t xml:space="preserve">prioritních osách (pre-commercial procurement), což by mělo aktivizovat aktéry na straně nabídky a příznivě tak stimulovat progresivní socioekonomický rozvoj. Podpora prostřednictvím poptávky městské správy je zacílena mj. na podporu dopracování výsledků výzkumu a vývoje, inovujících podniků, sociální inovace a sociálního podnikaní. </w:t>
      </w:r>
    </w:p>
    <w:p w:rsidR="008C4588" w:rsidRPr="00A52D2C" w:rsidRDefault="0009700A" w:rsidP="00BC5587">
      <w:pPr>
        <w:spacing w:before="120" w:after="0" w:line="276" w:lineRule="auto"/>
      </w:pPr>
      <w:r w:rsidRPr="00A52D2C">
        <w:rPr>
          <w:highlight w:val="white"/>
        </w:rPr>
        <w:t xml:space="preserve">V oblasti </w:t>
      </w:r>
      <w:r w:rsidR="00283C55" w:rsidRPr="00A52D2C">
        <w:rPr>
          <w:highlight w:val="white"/>
        </w:rPr>
        <w:t>energetiky</w:t>
      </w:r>
      <w:r w:rsidRPr="00A52D2C">
        <w:rPr>
          <w:highlight w:val="white"/>
        </w:rPr>
        <w:t xml:space="preserve"> se jedná zejména o podporu udržitelné městské mobility a energetických úspor. V</w:t>
      </w:r>
      <w:r w:rsidR="003A602B">
        <w:rPr>
          <w:highlight w:val="white"/>
        </w:rPr>
        <w:t> </w:t>
      </w:r>
      <w:r w:rsidRPr="00A52D2C">
        <w:rPr>
          <w:highlight w:val="white"/>
        </w:rPr>
        <w:t>rámci PO 1 - Posílení výzkumu a technologického rozvoje a inovací se mimo jiné podporuje mezisektorová spolupráce na základě poptávky města po nových řešeních, které se uplatní např. ve službách poskytovaných městem (projekty proof-of-concept, projekty zadávaní veřejných zakázek v</w:t>
      </w:r>
      <w:r w:rsidR="003A602B">
        <w:rPr>
          <w:highlight w:val="white"/>
        </w:rPr>
        <w:t> </w:t>
      </w:r>
      <w:r w:rsidRPr="00A52D2C">
        <w:rPr>
          <w:highlight w:val="white"/>
        </w:rPr>
        <w:t xml:space="preserve">předobchodní fázi (PCP) a inovační poptávky veřejného sektoru (PPI, projekty spolupráce </w:t>
      </w:r>
      <w:r w:rsidRPr="00A52D2C">
        <w:rPr>
          <w:highlight w:val="white"/>
        </w:rPr>
        <w:lastRenderedPageBreak/>
        <w:t xml:space="preserve">výzkumného sektoru s aplikační sférou, zejména inovační vouchery, “pokračovací” vouchery či vouchery na zapojení do mezinárodní spolupráce). </w:t>
      </w:r>
    </w:p>
    <w:p w:rsidR="008C4588" w:rsidRPr="00A52D2C" w:rsidRDefault="0009700A" w:rsidP="00BC5587">
      <w:pPr>
        <w:spacing w:before="120" w:after="0" w:line="276" w:lineRule="auto"/>
      </w:pPr>
      <w:r w:rsidRPr="00A52D2C">
        <w:rPr>
          <w:highlight w:val="white"/>
        </w:rPr>
        <w:t>Projekty musí být realizovány na území Hl. města Prahy. Mezi typy příjemců patří rovněž organizace pro výzkum a šíření znalostí či podniky se zaměřením na MSP (zapojení velkých podniků bude přípustné pouze v případě projektů zkvalitňování a zvyšování efektivity infrastruktury typu VTP a</w:t>
      </w:r>
      <w:r w:rsidR="003A602B">
        <w:rPr>
          <w:highlight w:val="white"/>
        </w:rPr>
        <w:t> </w:t>
      </w:r>
      <w:r w:rsidRPr="00A52D2C">
        <w:rPr>
          <w:highlight w:val="white"/>
        </w:rPr>
        <w:t>inkubátorů. V rámci PO 1 podpora ve prospěch velkých podniků nepřesáhne 10 % plánované alokace na PO 1. Budou podporovány projekty s vazbou na aktuálně identifikované regionální domény specializace, případně národní domény specializace. Součástí vstupního návrhu domén specializace Prahy jsou rovněž aktivity zaměřené na vybrané Emerging technologies jako např. energetika a</w:t>
      </w:r>
      <w:r w:rsidR="003A602B">
        <w:rPr>
          <w:highlight w:val="white"/>
        </w:rPr>
        <w:t> </w:t>
      </w:r>
      <w:r w:rsidRPr="00A52D2C">
        <w:rPr>
          <w:highlight w:val="white"/>
        </w:rPr>
        <w:t xml:space="preserve">nízkouhlíkové technologie.   </w:t>
      </w:r>
    </w:p>
    <w:p w:rsidR="008C4588" w:rsidRPr="00A52D2C" w:rsidRDefault="0009700A" w:rsidP="006E38F6">
      <w:pPr>
        <w:pStyle w:val="Nadpis3"/>
      </w:pPr>
      <w:bookmarkStart w:id="209" w:name="_dztv45wbwcwd" w:colFirst="0" w:colLast="0"/>
      <w:bookmarkStart w:id="210" w:name="_Toc462344819"/>
      <w:bookmarkStart w:id="211" w:name="_Toc463269152"/>
      <w:bookmarkStart w:id="212" w:name="_Toc463269336"/>
      <w:bookmarkEnd w:id="209"/>
      <w:r w:rsidRPr="00A52D2C">
        <w:t>Eliminace duplicit</w:t>
      </w:r>
      <w:bookmarkEnd w:id="210"/>
      <w:bookmarkEnd w:id="211"/>
      <w:bookmarkEnd w:id="212"/>
    </w:p>
    <w:p w:rsidR="009844BE" w:rsidRDefault="009844BE" w:rsidP="00BC5587">
      <w:pPr>
        <w:spacing w:before="120" w:after="0" w:line="276" w:lineRule="auto"/>
        <w:rPr>
          <w:shd w:val="clear" w:color="auto" w:fill="FFFFFF"/>
        </w:rPr>
      </w:pPr>
      <w:bookmarkStart w:id="213" w:name="_rf7xd8fzkzmz" w:colFirst="0" w:colLast="0"/>
      <w:bookmarkEnd w:id="213"/>
      <w:r w:rsidRPr="009844BE">
        <w:rPr>
          <w:shd w:val="clear" w:color="auto" w:fill="FFFFFF"/>
        </w:rPr>
        <w:t xml:space="preserve">Program THÉTA </w:t>
      </w:r>
      <w:r w:rsidRPr="009844BE">
        <w:rPr>
          <w:b/>
          <w:bCs/>
          <w:shd w:val="clear" w:color="auto" w:fill="FFFFFF"/>
        </w:rPr>
        <w:t>není v překryvu s programy OP Praha pól růstu</w:t>
      </w:r>
      <w:r w:rsidRPr="009844BE">
        <w:rPr>
          <w:shd w:val="clear" w:color="auto" w:fill="FFFFFF"/>
        </w:rPr>
        <w:t xml:space="preserve">. V rámci programu se podporují projekty realizované výhradně na území Hl. města Prahy, které se uplatní např. ve službách poskytovaných městem a nejsou zaměřeny na výzkum v oblasti energetiky (projekty proof-of-concept, projekty zadávaní veřejných zakázek v předobchodní fázi (PCP) a inovační poptávky veřejného sektoru (PPI, projekty spolupráce výzkumného sektoru s aplikační sférou, zejména inovační vouchery, “pokračovací” vouchery či vouchery na zapojení do mezinárodní spolupráce). </w:t>
      </w:r>
    </w:p>
    <w:p w:rsidR="00891852" w:rsidRDefault="00891852" w:rsidP="00BC5587">
      <w:pPr>
        <w:spacing w:before="120" w:after="0" w:line="276" w:lineRule="auto"/>
        <w:rPr>
          <w:rFonts w:ascii="Times New Roman" w:hAnsi="Times New Roman"/>
          <w:color w:val="auto"/>
          <w:sz w:val="24"/>
          <w:szCs w:val="24"/>
        </w:rPr>
        <w:sectPr w:rsidR="00891852" w:rsidSect="00E9455C">
          <w:pgSz w:w="11906" w:h="16838"/>
          <w:pgMar w:top="2581" w:right="1133" w:bottom="1417" w:left="1133" w:header="708" w:footer="708" w:gutter="0"/>
          <w:cols w:space="708"/>
        </w:sectPr>
      </w:pPr>
    </w:p>
    <w:p w:rsidR="008C4588" w:rsidRPr="00A52D2C" w:rsidRDefault="0009700A" w:rsidP="00BC5587">
      <w:pPr>
        <w:pStyle w:val="Nadpis1"/>
        <w:spacing w:before="120" w:after="0" w:line="276" w:lineRule="auto"/>
      </w:pPr>
      <w:bookmarkStart w:id="214" w:name="_Toc463269153"/>
      <w:bookmarkStart w:id="215" w:name="_Toc463269287"/>
      <w:bookmarkStart w:id="216" w:name="_Toc463269337"/>
      <w:bookmarkStart w:id="217" w:name="_Toc463296666"/>
      <w:bookmarkStart w:id="218" w:name="_Toc463438645"/>
      <w:r w:rsidRPr="00A52D2C">
        <w:lastRenderedPageBreak/>
        <w:t>Analýza absorpční kapacity</w:t>
      </w:r>
      <w:bookmarkEnd w:id="214"/>
      <w:bookmarkEnd w:id="215"/>
      <w:bookmarkEnd w:id="216"/>
      <w:bookmarkEnd w:id="217"/>
      <w:bookmarkEnd w:id="218"/>
    </w:p>
    <w:p w:rsidR="00A52D2C" w:rsidRPr="00A52D2C" w:rsidRDefault="00A52D2C" w:rsidP="00BC5587">
      <w:pPr>
        <w:spacing w:before="120" w:after="0" w:line="276" w:lineRule="auto"/>
      </w:pPr>
      <w:r w:rsidRPr="00A52D2C">
        <w:t>Zjištění absorpční kapacity je podstatným krokem pro správné nastavení rozpočtu programu (rozsahu a velikosti intervence). V současné době se Technologická agentura ČR řídí dokumentem „Základní principy přípravy a hodnocení programů a skupin grantových projektů výzkumu, vývoje a inovací“</w:t>
      </w:r>
      <w:r w:rsidRPr="00A52D2C">
        <w:rPr>
          <w:rStyle w:val="Znakapoznpodarou"/>
          <w:rFonts w:eastAsia="Times New Roman"/>
        </w:rPr>
        <w:footnoteReference w:id="1"/>
      </w:r>
      <w:r w:rsidRPr="00A52D2C">
        <w:t xml:space="preserve"> schváleným vládou ČR usnesením č. 351 ze dne 15. 3. 2015 (č. 351), který by měl být v účinnosti od 1. 1. 2017.</w:t>
      </w:r>
    </w:p>
    <w:p w:rsidR="00A52D2C" w:rsidRPr="00A52D2C" w:rsidRDefault="00A52D2C" w:rsidP="00BC5587">
      <w:pPr>
        <w:spacing w:before="120" w:after="0" w:line="276" w:lineRule="auto"/>
      </w:pPr>
      <w:r w:rsidRPr="00A52D2C">
        <w:t xml:space="preserve">V tomto materiálu je jako výstup analýzy absorpční kapacity uveden odhad počtu projektů či veřejných zakázek, které budou moci být financovány, z celkového počtu podaných návrhů projektů či přihlášek do veřejných soutěží. Pro potřeby této analýzy bude k absorpční kapacitě přistupováno podobně jako v případě strukturálních fondů (MMR 2015), kdy “Absorpční kapacita vyjadřuje míru schopnosti programu nebo subjektů (zejména potenciálních uchazečů) </w:t>
      </w:r>
      <w:r w:rsidRPr="00A52D2C">
        <w:rPr>
          <w:i/>
          <w:iCs/>
        </w:rPr>
        <w:t xml:space="preserve">řádně </w:t>
      </w:r>
      <w:r w:rsidRPr="00A52D2C">
        <w:t>využít prostředky poskytované z ESI fondů.” Absorpční kapacita by tedy měla vyjadřovat, jaké množství finančních zdrojů může být maximálně alokováno pro konkrétní účel systémového řešení formou veřejného programu. Výsledné číslo by mělo reflektovat, kolik by činily roční náklady nového programu (THÉTA), pokud by všechny (očekávaně) podané projekty uspěly (byly podpořeny).</w:t>
      </w:r>
    </w:p>
    <w:p w:rsidR="00826E50" w:rsidRDefault="00A52D2C" w:rsidP="00BC5587">
      <w:pPr>
        <w:spacing w:before="120" w:after="0" w:line="276" w:lineRule="auto"/>
      </w:pPr>
      <w:r w:rsidRPr="00A52D2C">
        <w:t>Protože program THÉTA je zaměřen na VaVaI činnosti v oblasti energetiky, byly pro výpočet absorpční kapacity uvažovány pouze projekty (návrhy projektů), které smě</w:t>
      </w:r>
      <w:r w:rsidR="00826E50">
        <w:t>řují svým řešením do oborů CEP:</w:t>
      </w:r>
    </w:p>
    <w:p w:rsidR="00826E50" w:rsidRDefault="00826E50" w:rsidP="00BC5587">
      <w:pPr>
        <w:pStyle w:val="Odstavecseseznamem"/>
        <w:spacing w:before="120" w:after="0" w:line="276" w:lineRule="auto"/>
      </w:pPr>
      <w:r>
        <w:t xml:space="preserve">JE - </w:t>
      </w:r>
      <w:r w:rsidR="00A52D2C" w:rsidRPr="00A52D2C">
        <w:t>Nejaderná energetika, spotřeba a užití energie</w:t>
      </w:r>
    </w:p>
    <w:p w:rsidR="00A52D2C" w:rsidRPr="00A52D2C" w:rsidRDefault="00826E50" w:rsidP="00BC5587">
      <w:pPr>
        <w:pStyle w:val="Odstavecseseznamem"/>
        <w:spacing w:before="120" w:after="0" w:line="276" w:lineRule="auto"/>
      </w:pPr>
      <w:r>
        <w:t xml:space="preserve">JF - </w:t>
      </w:r>
      <w:r w:rsidR="00A52D2C" w:rsidRPr="00A52D2C">
        <w:t>Jaderná energetika</w:t>
      </w:r>
    </w:p>
    <w:p w:rsidR="00A52D2C" w:rsidRPr="00A52D2C" w:rsidRDefault="00A52D2C" w:rsidP="00BC5587">
      <w:pPr>
        <w:spacing w:before="120" w:after="0" w:line="276" w:lineRule="auto"/>
      </w:pPr>
      <w:r w:rsidRPr="00A52D2C">
        <w:t>V návrzích projektů musí žadatelé vyplnit hlavní, vedlejší a další vedlejší obor CEP. V této analýze jsou uplatněny dva přístupy. V první části je analýza zaměřena na výpočet absorpční kapacity pomocí hlavního oboru CEP. Tento přístup cílí na projekty, které lze pova</w:t>
      </w:r>
      <w:r w:rsidR="005F3877">
        <w:t>žovat ve vztahu k programu THÉTA</w:t>
      </w:r>
      <w:r w:rsidRPr="00A52D2C">
        <w:t xml:space="preserve"> za zcela relevantní. Druhá část analýzy se zabývá vedlejším a dalším vedlejším oborem návrhů projektů CEP. Tento přístup spíše slouží k dokreslení š</w:t>
      </w:r>
      <w:r w:rsidR="005F3877">
        <w:t>iršího potenciálu programu THÉTA</w:t>
      </w:r>
      <w:r w:rsidRPr="00A52D2C">
        <w:t>.</w:t>
      </w:r>
    </w:p>
    <w:p w:rsidR="00A52D2C" w:rsidRPr="00A52D2C" w:rsidRDefault="00A52D2C" w:rsidP="00BC5587">
      <w:pPr>
        <w:spacing w:before="120" w:after="0" w:line="276" w:lineRule="auto"/>
      </w:pPr>
      <w:r w:rsidRPr="00A52D2C">
        <w:t>Analýza je taktéž zaměřena na charakteristiku subjektů, které se účastní řešení podpořených projektů. Lze předpokládat, že tyto subjekty budou participovat taktéž na řešení projektů podpořených v programu THÉTA.</w:t>
      </w:r>
    </w:p>
    <w:p w:rsidR="00A52D2C" w:rsidRPr="00A52D2C" w:rsidRDefault="00A52D2C" w:rsidP="00BC5587">
      <w:pPr>
        <w:spacing w:before="120" w:after="0" w:line="276" w:lineRule="auto"/>
      </w:pPr>
      <w:r w:rsidRPr="00A52D2C">
        <w:t>Poslední část analýzy je zaměřena na očekávané výsledky.</w:t>
      </w:r>
    </w:p>
    <w:p w:rsidR="00A52D2C" w:rsidRPr="00A52D2C" w:rsidRDefault="00A52D2C" w:rsidP="00BC5587">
      <w:pPr>
        <w:spacing w:before="120" w:after="0" w:line="276" w:lineRule="auto"/>
      </w:pPr>
      <w:r w:rsidRPr="00A52D2C">
        <w:t xml:space="preserve">Pro výpočet absorpční kapacity programu THÉTA lze vycházet ze zjištění stavu programů </w:t>
      </w:r>
      <w:r w:rsidRPr="00A52D2C">
        <w:rPr>
          <w:b/>
        </w:rPr>
        <w:t>ALFA, CK, DELTA, GAMA, EPSILON, TIP a TRIO</w:t>
      </w:r>
      <w:r w:rsidRPr="00A52D2C">
        <w:rPr>
          <w:vertAlign w:val="superscript"/>
        </w:rPr>
        <w:footnoteReference w:id="2"/>
      </w:r>
      <w:r w:rsidRPr="00A52D2C">
        <w:rPr>
          <w:vertAlign w:val="superscript"/>
        </w:rPr>
        <w:t>.</w:t>
      </w:r>
      <w:r w:rsidRPr="00A52D2C">
        <w:t xml:space="preserve"> K Operačnímu programu OP PI se z důvodu nízké relevance </w:t>
      </w:r>
      <w:r w:rsidRPr="00A52D2C">
        <w:lastRenderedPageBreak/>
        <w:t>(program byl jen okrajově směřován na podporu výzkumu, vývoje a inovací v oblasti energetiky)</w:t>
      </w:r>
      <w:r w:rsidRPr="00A52D2C">
        <w:rPr>
          <w:vertAlign w:val="superscript"/>
        </w:rPr>
        <w:footnoteReference w:id="3"/>
      </w:r>
      <w:r w:rsidRPr="00A52D2C">
        <w:t xml:space="preserve"> a nemožnosti třídění na klíčové obory CEP JE a JF nepřihlíží. Odlišná situace panuje v případě programu OP PIK. Tento program by již byl pro výpočet absorpční kapacity relevantní, nicméně současný stav programu, třídění dat a jejich podoba, takový výpočet znemožňují. Taktéž program BETA byl vzat v úvahu, nicméně k tomuto končícímu programu je plně komplementární program BETA2.</w:t>
      </w:r>
    </w:p>
    <w:p w:rsidR="00A52D2C" w:rsidRPr="00A52D2C" w:rsidRDefault="00A52D2C" w:rsidP="00BC5587">
      <w:pPr>
        <w:pStyle w:val="Normlnweb"/>
        <w:spacing w:before="120" w:beforeAutospacing="0" w:after="0" w:afterAutospacing="0" w:line="276" w:lineRule="auto"/>
        <w:rPr>
          <w:rFonts w:eastAsiaTheme="minorHAnsi"/>
        </w:rPr>
      </w:pPr>
      <w:r w:rsidRPr="00CB5C1F">
        <w:rPr>
          <w:rFonts w:asciiTheme="majorHAnsi" w:eastAsia="Arial" w:hAnsiTheme="majorHAnsi" w:cs="Arial"/>
          <w:color w:val="000000"/>
          <w:sz w:val="22"/>
          <w:szCs w:val="22"/>
        </w:rPr>
        <w:t>Na úvod kapitoly je také nutné uvést, že analýza je částečně zatížena ne zcela vhodným tříděním potřebných dat. Údaje z programů Technologické agentury jsou vždy primárního původu a nejsou nijak upravovány. Údaje za programy ministerstva průmyslu a obchodu jsou spíše sekundárního původu a většina tříděných údajů (např. členění dle roku) jsou vypočteny pomocí odvozených rozložení (pomocí standardizací), a nelze je tedy považovat ve specifických charakteristikách za zcela přesné. Nicméně vychází z přesných úhrnných údajů a pro povahu výpočtu (zachycení trendu) jsou zcela dostačující.</w:t>
      </w:r>
    </w:p>
    <w:p w:rsidR="00A52D2C" w:rsidRPr="00A52D2C" w:rsidRDefault="00A52D2C" w:rsidP="00BC5587">
      <w:pPr>
        <w:pStyle w:val="atun"/>
        <w:spacing w:before="120" w:after="0" w:line="276" w:lineRule="auto"/>
      </w:pPr>
      <w:r w:rsidRPr="00A52D2C">
        <w:t>Hlavní obor CEP</w:t>
      </w:r>
    </w:p>
    <w:p w:rsidR="00A52D2C" w:rsidRPr="00A52D2C" w:rsidRDefault="00A52D2C" w:rsidP="00BC5587">
      <w:pPr>
        <w:pStyle w:val="Titulek"/>
        <w:spacing w:before="120" w:after="0" w:line="276" w:lineRule="auto"/>
        <w:rPr>
          <w:sz w:val="24"/>
          <w:szCs w:val="24"/>
          <w:lang w:eastAsia="cs-CZ"/>
        </w:rPr>
      </w:pPr>
      <w:bookmarkStart w:id="219" w:name="_Ref461724137"/>
      <w:r w:rsidRPr="00A52D2C">
        <w:t xml:space="preserve">Tab. </w:t>
      </w:r>
      <w:fldSimple w:instr=" SEQ Tab. \* ARABIC ">
        <w:r w:rsidR="00650FB0">
          <w:rPr>
            <w:noProof/>
          </w:rPr>
          <w:t>1</w:t>
        </w:r>
      </w:fldSimple>
      <w:bookmarkEnd w:id="219"/>
      <w:r w:rsidRPr="00A52D2C">
        <w:t>: Počet projektů v oborech JE, JF řešených v daném roce</w:t>
      </w:r>
    </w:p>
    <w:tbl>
      <w:tblPr>
        <w:tblW w:w="974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9"/>
        <w:gridCol w:w="1095"/>
        <w:gridCol w:w="1095"/>
        <w:gridCol w:w="1095"/>
        <w:gridCol w:w="1095"/>
        <w:gridCol w:w="1095"/>
        <w:gridCol w:w="1095"/>
        <w:gridCol w:w="1095"/>
      </w:tblGrid>
      <w:tr w:rsidR="00A52D2C" w:rsidRPr="00A52D2C" w:rsidTr="00DE4ABB">
        <w:trPr>
          <w:trHeight w:val="240"/>
        </w:trPr>
        <w:tc>
          <w:tcPr>
            <w:tcW w:w="2079" w:type="dxa"/>
            <w:vMerge w:val="restart"/>
            <w:shd w:val="clear" w:color="000000" w:fill="D1120D"/>
            <w:noWrap/>
            <w:hideMark/>
          </w:tcPr>
          <w:p w:rsidR="00A52D2C" w:rsidRPr="00A52D2C" w:rsidRDefault="00A52D2C" w:rsidP="00BC5587">
            <w:pPr>
              <w:spacing w:before="120" w:after="0" w:line="276" w:lineRule="auto"/>
            </w:pPr>
            <w:r w:rsidRPr="00A52D2C">
              <w:t>Hlavní obor JE, JF</w:t>
            </w:r>
          </w:p>
        </w:tc>
        <w:tc>
          <w:tcPr>
            <w:tcW w:w="7665" w:type="dxa"/>
            <w:gridSpan w:val="7"/>
            <w:shd w:val="clear" w:color="000000" w:fill="D1120D"/>
            <w:noWrap/>
            <w:hideMark/>
          </w:tcPr>
          <w:p w:rsidR="00A52D2C" w:rsidRPr="00A52D2C" w:rsidRDefault="00A52D2C" w:rsidP="00BC5587">
            <w:pPr>
              <w:spacing w:before="120" w:after="0" w:line="276" w:lineRule="auto"/>
            </w:pPr>
            <w:r w:rsidRPr="00A52D2C">
              <w:t>Skutečný stav</w:t>
            </w:r>
          </w:p>
        </w:tc>
      </w:tr>
      <w:tr w:rsidR="00A52D2C" w:rsidRPr="00A52D2C" w:rsidTr="00DE4ABB">
        <w:trPr>
          <w:trHeight w:val="240"/>
        </w:trPr>
        <w:tc>
          <w:tcPr>
            <w:tcW w:w="2079" w:type="dxa"/>
            <w:vMerge/>
            <w:shd w:val="clear" w:color="000000" w:fill="D1120D"/>
            <w:noWrap/>
            <w:hideMark/>
          </w:tcPr>
          <w:p w:rsidR="00A52D2C" w:rsidRPr="00A52D2C" w:rsidRDefault="00A52D2C" w:rsidP="00BC5587">
            <w:pPr>
              <w:spacing w:before="120" w:after="0" w:line="276" w:lineRule="auto"/>
            </w:pPr>
          </w:p>
        </w:tc>
        <w:tc>
          <w:tcPr>
            <w:tcW w:w="1095" w:type="dxa"/>
            <w:shd w:val="clear" w:color="000000" w:fill="D1120D"/>
            <w:noWrap/>
            <w:hideMark/>
          </w:tcPr>
          <w:p w:rsidR="00A52D2C" w:rsidRPr="00A52D2C" w:rsidRDefault="00A52D2C" w:rsidP="00BC5587">
            <w:pPr>
              <w:spacing w:before="120" w:after="0" w:line="276" w:lineRule="auto"/>
            </w:pPr>
            <w:r w:rsidRPr="00A52D2C">
              <w:t>2009</w:t>
            </w:r>
          </w:p>
        </w:tc>
        <w:tc>
          <w:tcPr>
            <w:tcW w:w="1095" w:type="dxa"/>
            <w:shd w:val="clear" w:color="000000" w:fill="D1120D"/>
            <w:noWrap/>
            <w:hideMark/>
          </w:tcPr>
          <w:p w:rsidR="00A52D2C" w:rsidRPr="00A52D2C" w:rsidRDefault="00A52D2C" w:rsidP="00BC5587">
            <w:pPr>
              <w:spacing w:before="120" w:after="0" w:line="276" w:lineRule="auto"/>
            </w:pPr>
            <w:r w:rsidRPr="00A52D2C">
              <w:t>2010</w:t>
            </w:r>
          </w:p>
        </w:tc>
        <w:tc>
          <w:tcPr>
            <w:tcW w:w="1095" w:type="dxa"/>
            <w:shd w:val="clear" w:color="000000" w:fill="D1120D"/>
            <w:noWrap/>
            <w:hideMark/>
          </w:tcPr>
          <w:p w:rsidR="00A52D2C" w:rsidRPr="00A52D2C" w:rsidRDefault="00A52D2C" w:rsidP="00BC5587">
            <w:pPr>
              <w:spacing w:before="120" w:after="0" w:line="276" w:lineRule="auto"/>
            </w:pPr>
            <w:r w:rsidRPr="00A52D2C">
              <w:t>2011</w:t>
            </w:r>
          </w:p>
        </w:tc>
        <w:tc>
          <w:tcPr>
            <w:tcW w:w="1095" w:type="dxa"/>
            <w:shd w:val="clear" w:color="000000" w:fill="D1120D"/>
            <w:noWrap/>
            <w:hideMark/>
          </w:tcPr>
          <w:p w:rsidR="00A52D2C" w:rsidRPr="00A52D2C" w:rsidRDefault="00A52D2C" w:rsidP="00BC5587">
            <w:pPr>
              <w:spacing w:before="120" w:after="0" w:line="276" w:lineRule="auto"/>
            </w:pPr>
            <w:r w:rsidRPr="00A52D2C">
              <w:t>2012</w:t>
            </w:r>
          </w:p>
        </w:tc>
        <w:tc>
          <w:tcPr>
            <w:tcW w:w="1095" w:type="dxa"/>
            <w:shd w:val="clear" w:color="000000" w:fill="D1120D"/>
            <w:noWrap/>
            <w:hideMark/>
          </w:tcPr>
          <w:p w:rsidR="00A52D2C" w:rsidRPr="00A52D2C" w:rsidRDefault="00A52D2C" w:rsidP="00BC5587">
            <w:pPr>
              <w:spacing w:before="120" w:after="0" w:line="276" w:lineRule="auto"/>
            </w:pPr>
            <w:r w:rsidRPr="00A52D2C">
              <w:t>2013</w:t>
            </w:r>
          </w:p>
        </w:tc>
        <w:tc>
          <w:tcPr>
            <w:tcW w:w="1095" w:type="dxa"/>
            <w:shd w:val="clear" w:color="000000" w:fill="D1120D"/>
            <w:noWrap/>
            <w:hideMark/>
          </w:tcPr>
          <w:p w:rsidR="00A52D2C" w:rsidRPr="00A52D2C" w:rsidRDefault="00A52D2C" w:rsidP="00BC5587">
            <w:pPr>
              <w:spacing w:before="120" w:after="0" w:line="276" w:lineRule="auto"/>
            </w:pPr>
            <w:r w:rsidRPr="00A52D2C">
              <w:t>2014</w:t>
            </w:r>
          </w:p>
        </w:tc>
        <w:tc>
          <w:tcPr>
            <w:tcW w:w="1095" w:type="dxa"/>
            <w:shd w:val="clear" w:color="000000" w:fill="D1120D"/>
            <w:noWrap/>
            <w:hideMark/>
          </w:tcPr>
          <w:p w:rsidR="00A52D2C" w:rsidRPr="00A52D2C" w:rsidRDefault="00A52D2C" w:rsidP="00BC5587">
            <w:pPr>
              <w:spacing w:before="120" w:after="0" w:line="276" w:lineRule="auto"/>
            </w:pPr>
            <w:r w:rsidRPr="00A52D2C">
              <w:t>2015</w:t>
            </w:r>
          </w:p>
        </w:tc>
      </w:tr>
      <w:tr w:rsidR="00A52D2C" w:rsidRPr="00A52D2C" w:rsidTr="00DE4ABB">
        <w:trPr>
          <w:trHeight w:val="240"/>
        </w:trPr>
        <w:tc>
          <w:tcPr>
            <w:tcW w:w="2079" w:type="dxa"/>
            <w:shd w:val="clear" w:color="000000" w:fill="FBB7B7"/>
            <w:noWrap/>
            <w:vAlign w:val="center"/>
            <w:hideMark/>
          </w:tcPr>
          <w:p w:rsidR="00A52D2C" w:rsidRPr="00A52D2C" w:rsidRDefault="00A52D2C" w:rsidP="00BC5587">
            <w:pPr>
              <w:spacing w:before="120" w:after="0" w:line="276" w:lineRule="auto"/>
            </w:pPr>
            <w:r w:rsidRPr="00A52D2C">
              <w:t>Podpořené</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33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45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68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95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90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102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86 </w:t>
            </w:r>
          </w:p>
        </w:tc>
      </w:tr>
      <w:tr w:rsidR="00A52D2C" w:rsidRPr="00A52D2C" w:rsidTr="00DE4ABB">
        <w:trPr>
          <w:trHeight w:val="240"/>
        </w:trPr>
        <w:tc>
          <w:tcPr>
            <w:tcW w:w="2079" w:type="dxa"/>
            <w:shd w:val="clear" w:color="auto" w:fill="auto"/>
            <w:noWrap/>
            <w:vAlign w:val="center"/>
            <w:hideMark/>
          </w:tcPr>
          <w:p w:rsidR="00A52D2C" w:rsidRPr="00A52D2C" w:rsidRDefault="00A52D2C" w:rsidP="00BC5587">
            <w:pPr>
              <w:spacing w:before="120" w:after="0" w:line="276" w:lineRule="auto"/>
            </w:pPr>
            <w:r w:rsidRPr="00A52D2C">
              <w:t>Nepodpořené</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122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166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229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272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253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221 </w:t>
            </w:r>
          </w:p>
        </w:tc>
        <w:tc>
          <w:tcPr>
            <w:tcW w:w="1095" w:type="dxa"/>
            <w:shd w:val="clear" w:color="auto" w:fill="auto"/>
            <w:noWrap/>
            <w:vAlign w:val="center"/>
            <w:hideMark/>
          </w:tcPr>
          <w:p w:rsidR="00A52D2C" w:rsidRPr="00A52D2C" w:rsidRDefault="00A52D2C" w:rsidP="00BC5587">
            <w:pPr>
              <w:spacing w:before="120" w:after="0" w:line="276" w:lineRule="auto"/>
            </w:pPr>
            <w:r w:rsidRPr="00A52D2C">
              <w:t xml:space="preserve">237 </w:t>
            </w:r>
          </w:p>
        </w:tc>
      </w:tr>
      <w:tr w:rsidR="00A52D2C" w:rsidRPr="00A52D2C" w:rsidTr="00DE4ABB">
        <w:trPr>
          <w:trHeight w:val="240"/>
        </w:trPr>
        <w:tc>
          <w:tcPr>
            <w:tcW w:w="2079" w:type="dxa"/>
            <w:shd w:val="clear" w:color="000000" w:fill="FBB7B7"/>
            <w:noWrap/>
            <w:vAlign w:val="center"/>
            <w:hideMark/>
          </w:tcPr>
          <w:p w:rsidR="00A52D2C" w:rsidRPr="00A52D2C" w:rsidRDefault="00A52D2C" w:rsidP="00BC5587">
            <w:pPr>
              <w:spacing w:before="120" w:after="0" w:line="276" w:lineRule="auto"/>
            </w:pPr>
            <w:r w:rsidRPr="00A52D2C">
              <w:t>Celkem</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155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211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297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367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343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323 </w:t>
            </w:r>
          </w:p>
        </w:tc>
        <w:tc>
          <w:tcPr>
            <w:tcW w:w="1095" w:type="dxa"/>
            <w:shd w:val="clear" w:color="000000" w:fill="FBB7B7"/>
            <w:noWrap/>
            <w:vAlign w:val="center"/>
            <w:hideMark/>
          </w:tcPr>
          <w:p w:rsidR="00A52D2C" w:rsidRPr="00A52D2C" w:rsidRDefault="00A52D2C" w:rsidP="00BC5587">
            <w:pPr>
              <w:spacing w:before="120" w:after="0" w:line="276" w:lineRule="auto"/>
            </w:pPr>
            <w:r w:rsidRPr="00A52D2C">
              <w:t xml:space="preserve">323 </w:t>
            </w:r>
          </w:p>
        </w:tc>
      </w:tr>
    </w:tbl>
    <w:p w:rsidR="00A52D2C" w:rsidRPr="00A52D2C" w:rsidRDefault="00A52D2C" w:rsidP="00BC5587">
      <w:pPr>
        <w:pStyle w:val="zdroj"/>
        <w:spacing w:before="120" w:after="0" w:line="276" w:lineRule="auto"/>
      </w:pPr>
      <w:r w:rsidRPr="00A52D2C">
        <w:t>Zdroj: IS PATRIOT, MPO, vlastní výpočet</w:t>
      </w:r>
    </w:p>
    <w:p w:rsidR="00A52D2C" w:rsidRPr="00A52D2C" w:rsidRDefault="00A52D2C" w:rsidP="00BC5587">
      <w:pPr>
        <w:spacing w:before="120" w:after="0" w:line="276" w:lineRule="auto"/>
      </w:pPr>
      <w:r w:rsidRPr="00A52D2C">
        <w:t xml:space="preserve">Nejvyšší počet řešených projektů byl dosažen v roce 2014, kdy bylo řešeno 102 projektů, nicméně při pohledu na návrhy projektů by byl vrchol zaznamenán již v roce 2012. </w:t>
      </w:r>
    </w:p>
    <w:p w:rsidR="00A52D2C" w:rsidRPr="00A52D2C" w:rsidRDefault="00A52D2C" w:rsidP="00BC5587">
      <w:pPr>
        <w:spacing w:before="120" w:after="0" w:line="276" w:lineRule="auto"/>
      </w:pPr>
      <w:r w:rsidRPr="00A52D2C">
        <w:t>Mezi lety 2009 – 2015 bylo řešeno průměrně v daném roce 74 projektů, s tím že jak byly vyhlašovány veřejné soutěže, docházelo k postupnému zvyšování počtu řešených projektů.</w:t>
      </w:r>
    </w:p>
    <w:p w:rsidR="00A52D2C" w:rsidRPr="00A52D2C" w:rsidRDefault="00A52D2C" w:rsidP="00BC5587">
      <w:pPr>
        <w:spacing w:before="120" w:after="0" w:line="276" w:lineRule="auto"/>
      </w:pPr>
      <w:r w:rsidRPr="00A52D2C">
        <w:t xml:space="preserve">Nabízí se samozřejmě taktéž otázka, kolik bylo ročně podpořeno projektů. Počet podpořených projektů v jednotlivých letech je výrazně ovlivněn vyhlášením veřejné soutěže v klíčových programech ALFA, TIP, TRIO a EPSILON. V roce 2015 bylo podpořeno pouze 10 projektů. Tak nízký počet nově podpořených projektů je způsoben neposkytnutím účelové podpory na vyhlášenou 1VS programu EPSILON (projekty byly financovány z rezervy poskytovatele). V roce 2016 bylo podpořeno pouze 7 projektů. </w:t>
      </w:r>
    </w:p>
    <w:p w:rsidR="00A52D2C" w:rsidRPr="00A52D2C" w:rsidRDefault="00A52D2C" w:rsidP="00BC5587">
      <w:pPr>
        <w:spacing w:before="120" w:after="0" w:line="276" w:lineRule="auto"/>
      </w:pPr>
      <w:r w:rsidRPr="00A52D2C">
        <w:t xml:space="preserve">Mezi lety 2009 – 2015 bylo podpořeno celkem 166 projektů, přičemž </w:t>
      </w:r>
      <w:r w:rsidRPr="00A52D2C">
        <w:rPr>
          <w:b/>
        </w:rPr>
        <w:t>průměrná dotace na projekt činila téměř 26 mil. Kč</w:t>
      </w:r>
      <w:r w:rsidRPr="00A52D2C">
        <w:t>.</w:t>
      </w:r>
    </w:p>
    <w:p w:rsidR="00A52D2C" w:rsidRPr="00A52D2C" w:rsidRDefault="00A52D2C" w:rsidP="00BC5587">
      <w:pPr>
        <w:spacing w:before="120" w:after="0" w:line="276" w:lineRule="auto"/>
      </w:pPr>
      <w:r w:rsidRPr="00A52D2C">
        <w:t>Průměrně bylo v letech 2009 – 2015 podpořeno 24 projektů s hlavním oborem CEP JE, JF.</w:t>
      </w:r>
    </w:p>
    <w:p w:rsidR="00A52D2C" w:rsidRPr="00A52D2C" w:rsidRDefault="00A52D2C" w:rsidP="00636838">
      <w:pPr>
        <w:pStyle w:val="Titulek"/>
        <w:keepNext/>
        <w:keepLines/>
        <w:spacing w:before="120" w:after="0" w:line="276" w:lineRule="auto"/>
        <w:rPr>
          <w:color w:val="000000"/>
          <w:szCs w:val="22"/>
        </w:rPr>
      </w:pPr>
      <w:bookmarkStart w:id="220" w:name="_Ref461724468"/>
      <w:r w:rsidRPr="00A52D2C">
        <w:lastRenderedPageBreak/>
        <w:t xml:space="preserve">Tab. </w:t>
      </w:r>
      <w:fldSimple w:instr=" SEQ Tab. \* ARABIC ">
        <w:r w:rsidR="00650FB0">
          <w:rPr>
            <w:noProof/>
          </w:rPr>
          <w:t>2</w:t>
        </w:r>
      </w:fldSimple>
      <w:bookmarkEnd w:id="220"/>
      <w:r w:rsidRPr="00A52D2C">
        <w:t>: Počet projektů v oborech JE, JF podle roku udělení podpory</w:t>
      </w:r>
    </w:p>
    <w:tbl>
      <w:tblPr>
        <w:tblW w:w="57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0"/>
        <w:gridCol w:w="1440"/>
        <w:gridCol w:w="1440"/>
        <w:gridCol w:w="1440"/>
      </w:tblGrid>
      <w:tr w:rsidR="00A52D2C" w:rsidRPr="00A52D2C" w:rsidTr="00636838">
        <w:trPr>
          <w:cantSplit/>
          <w:trHeight w:val="240"/>
        </w:trPr>
        <w:tc>
          <w:tcPr>
            <w:tcW w:w="1440" w:type="dxa"/>
            <w:vMerge w:val="restart"/>
            <w:shd w:val="clear" w:color="000000" w:fill="D1120D"/>
            <w:noWrap/>
            <w:hideMark/>
          </w:tcPr>
          <w:p w:rsidR="00A52D2C" w:rsidRPr="00A52D2C" w:rsidRDefault="00A52D2C" w:rsidP="00636838">
            <w:pPr>
              <w:keepNext/>
              <w:keepLines/>
              <w:spacing w:before="120" w:after="0" w:line="276" w:lineRule="auto"/>
            </w:pPr>
            <w:r w:rsidRPr="00A52D2C">
              <w:t>Rok</w:t>
            </w:r>
          </w:p>
        </w:tc>
        <w:tc>
          <w:tcPr>
            <w:tcW w:w="2880" w:type="dxa"/>
            <w:gridSpan w:val="2"/>
            <w:shd w:val="clear" w:color="000000" w:fill="D1120D"/>
            <w:noWrap/>
            <w:hideMark/>
          </w:tcPr>
          <w:p w:rsidR="00A52D2C" w:rsidRPr="00A52D2C" w:rsidRDefault="00A52D2C" w:rsidP="00636838">
            <w:pPr>
              <w:keepNext/>
              <w:keepLines/>
              <w:spacing w:before="120" w:after="0" w:line="276" w:lineRule="auto"/>
            </w:pPr>
            <w:r w:rsidRPr="00A52D2C">
              <w:t>Projekty</w:t>
            </w:r>
          </w:p>
        </w:tc>
        <w:tc>
          <w:tcPr>
            <w:tcW w:w="1440" w:type="dxa"/>
            <w:vMerge w:val="restart"/>
            <w:shd w:val="clear" w:color="000000" w:fill="D1120D"/>
            <w:noWrap/>
            <w:hideMark/>
          </w:tcPr>
          <w:p w:rsidR="00A52D2C" w:rsidRPr="00A52D2C" w:rsidRDefault="00A52D2C" w:rsidP="00636838">
            <w:pPr>
              <w:keepNext/>
              <w:keepLines/>
              <w:spacing w:before="120" w:after="0" w:line="276" w:lineRule="auto"/>
            </w:pPr>
            <w:r w:rsidRPr="00A52D2C">
              <w:t>Celkem</w:t>
            </w:r>
          </w:p>
        </w:tc>
      </w:tr>
      <w:tr w:rsidR="00A52D2C" w:rsidRPr="00A52D2C" w:rsidTr="00DE4ABB">
        <w:trPr>
          <w:trHeight w:val="240"/>
        </w:trPr>
        <w:tc>
          <w:tcPr>
            <w:tcW w:w="1440" w:type="dxa"/>
            <w:vMerge/>
            <w:vAlign w:val="center"/>
            <w:hideMark/>
          </w:tcPr>
          <w:p w:rsidR="00A52D2C" w:rsidRPr="00A52D2C" w:rsidRDefault="00A52D2C" w:rsidP="00636838">
            <w:pPr>
              <w:keepNext/>
              <w:keepLines/>
              <w:spacing w:before="120" w:after="0" w:line="276" w:lineRule="auto"/>
            </w:pPr>
          </w:p>
        </w:tc>
        <w:tc>
          <w:tcPr>
            <w:tcW w:w="1440" w:type="dxa"/>
            <w:shd w:val="clear" w:color="000000" w:fill="D1120D"/>
            <w:noWrap/>
            <w:hideMark/>
          </w:tcPr>
          <w:p w:rsidR="00A52D2C" w:rsidRPr="00A52D2C" w:rsidRDefault="00A52D2C" w:rsidP="00636838">
            <w:pPr>
              <w:keepNext/>
              <w:keepLines/>
              <w:spacing w:before="120" w:after="0" w:line="276" w:lineRule="auto"/>
            </w:pPr>
            <w:r w:rsidRPr="00A52D2C">
              <w:t>Podpořené</w:t>
            </w:r>
          </w:p>
        </w:tc>
        <w:tc>
          <w:tcPr>
            <w:tcW w:w="1440" w:type="dxa"/>
            <w:shd w:val="clear" w:color="000000" w:fill="D1120D"/>
            <w:noWrap/>
            <w:hideMark/>
          </w:tcPr>
          <w:p w:rsidR="00A52D2C" w:rsidRPr="00A52D2C" w:rsidRDefault="00283C55" w:rsidP="00636838">
            <w:pPr>
              <w:keepNext/>
              <w:keepLines/>
              <w:spacing w:before="120" w:after="0" w:line="276" w:lineRule="auto"/>
            </w:pPr>
            <w:r w:rsidRPr="00A52D2C">
              <w:t>Nepodpořené</w:t>
            </w:r>
          </w:p>
        </w:tc>
        <w:tc>
          <w:tcPr>
            <w:tcW w:w="1440" w:type="dxa"/>
            <w:vMerge/>
            <w:vAlign w:val="center"/>
            <w:hideMark/>
          </w:tcPr>
          <w:p w:rsidR="00A52D2C" w:rsidRPr="00A52D2C" w:rsidRDefault="00A52D2C" w:rsidP="00636838">
            <w:pPr>
              <w:keepNext/>
              <w:keepLines/>
              <w:spacing w:before="120" w:after="0" w:line="276" w:lineRule="auto"/>
            </w:pPr>
          </w:p>
        </w:tc>
      </w:tr>
      <w:tr w:rsidR="00A52D2C" w:rsidRPr="00A52D2C" w:rsidTr="00DE4ABB">
        <w:trPr>
          <w:trHeight w:val="240"/>
        </w:trPr>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2009</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33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121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154 </w:t>
            </w:r>
          </w:p>
        </w:tc>
      </w:tr>
      <w:tr w:rsidR="00A52D2C" w:rsidRPr="00A52D2C" w:rsidTr="00DE4ABB">
        <w:trPr>
          <w:trHeight w:val="240"/>
        </w:trPr>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2010</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12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45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58 </w:t>
            </w:r>
          </w:p>
        </w:tc>
      </w:tr>
      <w:tr w:rsidR="00A52D2C" w:rsidRPr="00A52D2C" w:rsidTr="00DE4ABB">
        <w:trPr>
          <w:trHeight w:val="240"/>
        </w:trPr>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2011</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23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66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89 </w:t>
            </w:r>
          </w:p>
        </w:tc>
      </w:tr>
      <w:tr w:rsidR="00A52D2C" w:rsidRPr="00A52D2C" w:rsidTr="00DE4ABB">
        <w:trPr>
          <w:trHeight w:val="240"/>
        </w:trPr>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2012</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35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73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108 </w:t>
            </w:r>
          </w:p>
        </w:tc>
      </w:tr>
      <w:tr w:rsidR="00A52D2C" w:rsidRPr="00A52D2C" w:rsidTr="00DE4ABB">
        <w:trPr>
          <w:trHeight w:val="240"/>
        </w:trPr>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2013</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17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57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74 </w:t>
            </w:r>
          </w:p>
        </w:tc>
      </w:tr>
      <w:tr w:rsidR="00A52D2C" w:rsidRPr="00A52D2C" w:rsidTr="00DE4ABB">
        <w:trPr>
          <w:trHeight w:val="240"/>
        </w:trPr>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2014</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36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49 </w:t>
            </w:r>
          </w:p>
        </w:tc>
        <w:tc>
          <w:tcPr>
            <w:tcW w:w="1440" w:type="dxa"/>
            <w:shd w:val="clear" w:color="auto" w:fill="auto"/>
            <w:noWrap/>
            <w:vAlign w:val="center"/>
            <w:hideMark/>
          </w:tcPr>
          <w:p w:rsidR="00A52D2C" w:rsidRPr="00A52D2C" w:rsidRDefault="00A52D2C" w:rsidP="00636838">
            <w:pPr>
              <w:keepNext/>
              <w:keepLines/>
              <w:spacing w:before="120" w:after="0" w:line="276" w:lineRule="auto"/>
            </w:pPr>
            <w:r w:rsidRPr="00A52D2C">
              <w:t xml:space="preserve">85 </w:t>
            </w:r>
          </w:p>
        </w:tc>
      </w:tr>
      <w:tr w:rsidR="00A52D2C" w:rsidRPr="00A52D2C" w:rsidTr="00DE4ABB">
        <w:trPr>
          <w:trHeight w:val="240"/>
        </w:trPr>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2015</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10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85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95 </w:t>
            </w:r>
          </w:p>
        </w:tc>
      </w:tr>
      <w:tr w:rsidR="00A52D2C" w:rsidRPr="00A52D2C" w:rsidTr="00DE4ABB">
        <w:trPr>
          <w:trHeight w:val="240"/>
        </w:trPr>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Celkem</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166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497 </w:t>
            </w:r>
          </w:p>
        </w:tc>
        <w:tc>
          <w:tcPr>
            <w:tcW w:w="1440" w:type="dxa"/>
            <w:shd w:val="clear" w:color="000000" w:fill="FBB7B7"/>
            <w:noWrap/>
            <w:vAlign w:val="center"/>
            <w:hideMark/>
          </w:tcPr>
          <w:p w:rsidR="00A52D2C" w:rsidRPr="00A52D2C" w:rsidRDefault="00A52D2C" w:rsidP="00636838">
            <w:pPr>
              <w:keepNext/>
              <w:keepLines/>
              <w:spacing w:before="120" w:after="0" w:line="276" w:lineRule="auto"/>
            </w:pPr>
            <w:r w:rsidRPr="00A52D2C">
              <w:t xml:space="preserve">663 </w:t>
            </w:r>
          </w:p>
        </w:tc>
      </w:tr>
    </w:tbl>
    <w:p w:rsidR="00A52D2C" w:rsidRPr="00A52D2C" w:rsidRDefault="00A52D2C" w:rsidP="00BC5587">
      <w:pPr>
        <w:pStyle w:val="zdroj"/>
        <w:spacing w:before="120" w:after="0" w:line="276" w:lineRule="auto"/>
      </w:pPr>
      <w:r w:rsidRPr="00A52D2C">
        <w:t>Zdroj: IS PATRIOT, MPO, vlastní výpočet</w:t>
      </w:r>
    </w:p>
    <w:p w:rsidR="00A52D2C" w:rsidRPr="00A52D2C" w:rsidRDefault="00A52D2C" w:rsidP="00BC5587">
      <w:pPr>
        <w:spacing w:before="120" w:after="0" w:line="276" w:lineRule="auto"/>
      </w:pPr>
      <w:r w:rsidRPr="00A52D2C">
        <w:t xml:space="preserve">Vývoj financování projektů, jejichž hlavní obor CEP náleží do oborů JE, či JF ve vybraných VS zachycuje </w:t>
      </w:r>
      <w:r w:rsidRPr="00A52D2C">
        <w:fldChar w:fldCharType="begin"/>
      </w:r>
      <w:r w:rsidRPr="00A52D2C">
        <w:instrText xml:space="preserve"> REF _Ref461725565 \h  \* MERGEFORMAT </w:instrText>
      </w:r>
      <w:r w:rsidRPr="00A52D2C">
        <w:fldChar w:fldCharType="separate"/>
      </w:r>
      <w:r w:rsidR="00650FB0" w:rsidRPr="00A52D2C">
        <w:t xml:space="preserve">Tab. </w:t>
      </w:r>
      <w:r w:rsidR="00650FB0">
        <w:t>3</w:t>
      </w:r>
      <w:r w:rsidRPr="00A52D2C">
        <w:fldChar w:fldCharType="end"/>
      </w:r>
      <w:r w:rsidRPr="00A52D2C">
        <w:t>. Mezi lety 2009 a 2015 bylo na podporu projektů s hlavním oborem CEP JE a JF alokováno ve vybraných VS téměř 3,6 mld. Kč. Uchazeči o podporu žádali celkem téměř o 13 mld. Kč.</w:t>
      </w:r>
    </w:p>
    <w:p w:rsidR="00A52D2C" w:rsidRPr="00A52D2C" w:rsidRDefault="00A52D2C" w:rsidP="00BC5587">
      <w:pPr>
        <w:spacing w:before="120" w:after="0" w:line="276" w:lineRule="auto"/>
      </w:pPr>
      <w:r w:rsidRPr="00A52D2C">
        <w:t xml:space="preserve">Průměrně bylo mezi lety 2009 – 2015 ve vybraných programech poskytnuto na řešení projektů VaVaI v oblasti energetiky celkem 513 mil. Kč ročně. </w:t>
      </w:r>
    </w:p>
    <w:p w:rsidR="00A52D2C" w:rsidRPr="00A52D2C" w:rsidRDefault="00A52D2C" w:rsidP="00BC5587">
      <w:pPr>
        <w:pStyle w:val="Titulek"/>
        <w:spacing w:before="120" w:after="0" w:line="276" w:lineRule="auto"/>
      </w:pPr>
      <w:bookmarkStart w:id="221" w:name="_Ref461725565"/>
      <w:r w:rsidRPr="00A52D2C">
        <w:t xml:space="preserve">Tab. </w:t>
      </w:r>
      <w:fldSimple w:instr=" SEQ Tab. \* ARABIC ">
        <w:r w:rsidR="00650FB0">
          <w:rPr>
            <w:noProof/>
          </w:rPr>
          <w:t>3</w:t>
        </w:r>
      </w:fldSimple>
      <w:bookmarkEnd w:id="221"/>
      <w:r w:rsidRPr="00A52D2C">
        <w:t>:Vývoj financování projektů s hlavním oborem JE, JF dle roku řešení, v tis. Kč</w:t>
      </w:r>
    </w:p>
    <w:tbl>
      <w:tblPr>
        <w:tblW w:w="972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84"/>
        <w:gridCol w:w="758"/>
        <w:gridCol w:w="971"/>
        <w:gridCol w:w="972"/>
        <w:gridCol w:w="972"/>
        <w:gridCol w:w="972"/>
        <w:gridCol w:w="972"/>
        <w:gridCol w:w="972"/>
        <w:gridCol w:w="972"/>
        <w:gridCol w:w="1080"/>
      </w:tblGrid>
      <w:tr w:rsidR="00A52D2C" w:rsidRPr="00A52D2C" w:rsidTr="00B53D84">
        <w:trPr>
          <w:trHeight w:val="240"/>
        </w:trPr>
        <w:tc>
          <w:tcPr>
            <w:tcW w:w="1842" w:type="dxa"/>
            <w:gridSpan w:val="2"/>
            <w:vMerge w:val="restart"/>
            <w:shd w:val="clear" w:color="000000" w:fill="D1120D"/>
            <w:noWrap/>
            <w:hideMark/>
          </w:tcPr>
          <w:p w:rsidR="00A52D2C" w:rsidRPr="00A52D2C" w:rsidRDefault="00A52D2C" w:rsidP="00BC5587">
            <w:pPr>
              <w:spacing w:before="120" w:after="0" w:line="276" w:lineRule="auto"/>
            </w:pPr>
            <w:r w:rsidRPr="00A52D2C">
              <w:t>Hlavní obor JE, JF</w:t>
            </w:r>
          </w:p>
        </w:tc>
        <w:tc>
          <w:tcPr>
            <w:tcW w:w="7883" w:type="dxa"/>
            <w:gridSpan w:val="8"/>
            <w:shd w:val="clear" w:color="000000" w:fill="D1120D"/>
            <w:noWrap/>
            <w:hideMark/>
          </w:tcPr>
          <w:p w:rsidR="00A52D2C" w:rsidRPr="00A52D2C" w:rsidRDefault="00A52D2C" w:rsidP="00BC5587">
            <w:pPr>
              <w:spacing w:before="120" w:after="0" w:line="276" w:lineRule="auto"/>
            </w:pPr>
            <w:r w:rsidRPr="00A52D2C">
              <w:t>Skutečný stav</w:t>
            </w:r>
          </w:p>
        </w:tc>
      </w:tr>
      <w:tr w:rsidR="00A52D2C" w:rsidRPr="00A52D2C" w:rsidTr="00B53D84">
        <w:trPr>
          <w:trHeight w:val="240"/>
        </w:trPr>
        <w:tc>
          <w:tcPr>
            <w:tcW w:w="1842" w:type="dxa"/>
            <w:gridSpan w:val="2"/>
            <w:vMerge/>
            <w:shd w:val="clear" w:color="000000" w:fill="D1120D"/>
            <w:noWrap/>
            <w:hideMark/>
          </w:tcPr>
          <w:p w:rsidR="00A52D2C" w:rsidRPr="00A52D2C" w:rsidRDefault="00A52D2C" w:rsidP="00BC5587">
            <w:pPr>
              <w:spacing w:before="120" w:after="0" w:line="276" w:lineRule="auto"/>
            </w:pPr>
          </w:p>
        </w:tc>
        <w:tc>
          <w:tcPr>
            <w:tcW w:w="971" w:type="dxa"/>
            <w:shd w:val="clear" w:color="000000" w:fill="D1120D"/>
            <w:noWrap/>
            <w:hideMark/>
          </w:tcPr>
          <w:p w:rsidR="00A52D2C" w:rsidRPr="00A52D2C" w:rsidRDefault="00A52D2C" w:rsidP="00BC5587">
            <w:pPr>
              <w:spacing w:before="120" w:after="0" w:line="276" w:lineRule="auto"/>
            </w:pPr>
            <w:r w:rsidRPr="00A52D2C">
              <w:t>2009</w:t>
            </w:r>
          </w:p>
        </w:tc>
        <w:tc>
          <w:tcPr>
            <w:tcW w:w="972" w:type="dxa"/>
            <w:shd w:val="clear" w:color="000000" w:fill="D1120D"/>
            <w:noWrap/>
            <w:hideMark/>
          </w:tcPr>
          <w:p w:rsidR="00A52D2C" w:rsidRPr="00A52D2C" w:rsidRDefault="00A52D2C" w:rsidP="00BC5587">
            <w:pPr>
              <w:spacing w:before="120" w:after="0" w:line="276" w:lineRule="auto"/>
            </w:pPr>
            <w:r w:rsidRPr="00A52D2C">
              <w:t>2010</w:t>
            </w:r>
          </w:p>
        </w:tc>
        <w:tc>
          <w:tcPr>
            <w:tcW w:w="972" w:type="dxa"/>
            <w:shd w:val="clear" w:color="000000" w:fill="D1120D"/>
            <w:noWrap/>
            <w:hideMark/>
          </w:tcPr>
          <w:p w:rsidR="00A52D2C" w:rsidRPr="00A52D2C" w:rsidRDefault="00A52D2C" w:rsidP="00BC5587">
            <w:pPr>
              <w:spacing w:before="120" w:after="0" w:line="276" w:lineRule="auto"/>
            </w:pPr>
            <w:r w:rsidRPr="00A52D2C">
              <w:t>2011</w:t>
            </w:r>
          </w:p>
        </w:tc>
        <w:tc>
          <w:tcPr>
            <w:tcW w:w="972" w:type="dxa"/>
            <w:shd w:val="clear" w:color="000000" w:fill="D1120D"/>
            <w:noWrap/>
            <w:hideMark/>
          </w:tcPr>
          <w:p w:rsidR="00A52D2C" w:rsidRPr="00A52D2C" w:rsidRDefault="00A52D2C" w:rsidP="00BC5587">
            <w:pPr>
              <w:spacing w:before="120" w:after="0" w:line="276" w:lineRule="auto"/>
            </w:pPr>
            <w:r w:rsidRPr="00A52D2C">
              <w:t>2012</w:t>
            </w:r>
          </w:p>
        </w:tc>
        <w:tc>
          <w:tcPr>
            <w:tcW w:w="972" w:type="dxa"/>
            <w:shd w:val="clear" w:color="000000" w:fill="D1120D"/>
            <w:noWrap/>
            <w:hideMark/>
          </w:tcPr>
          <w:p w:rsidR="00A52D2C" w:rsidRPr="00A52D2C" w:rsidRDefault="00A52D2C" w:rsidP="00BC5587">
            <w:pPr>
              <w:spacing w:before="120" w:after="0" w:line="276" w:lineRule="auto"/>
            </w:pPr>
            <w:r w:rsidRPr="00A52D2C">
              <w:t>2013</w:t>
            </w:r>
          </w:p>
        </w:tc>
        <w:tc>
          <w:tcPr>
            <w:tcW w:w="972" w:type="dxa"/>
            <w:shd w:val="clear" w:color="000000" w:fill="D1120D"/>
            <w:noWrap/>
            <w:hideMark/>
          </w:tcPr>
          <w:p w:rsidR="00A52D2C" w:rsidRPr="00A52D2C" w:rsidRDefault="00A52D2C" w:rsidP="00BC5587">
            <w:pPr>
              <w:spacing w:before="120" w:after="0" w:line="276" w:lineRule="auto"/>
            </w:pPr>
            <w:r w:rsidRPr="00A52D2C">
              <w:t>2014</w:t>
            </w:r>
          </w:p>
        </w:tc>
        <w:tc>
          <w:tcPr>
            <w:tcW w:w="972" w:type="dxa"/>
            <w:shd w:val="clear" w:color="000000" w:fill="D1120D"/>
            <w:noWrap/>
            <w:hideMark/>
          </w:tcPr>
          <w:p w:rsidR="00A52D2C" w:rsidRPr="00A52D2C" w:rsidRDefault="00A52D2C" w:rsidP="00BC5587">
            <w:pPr>
              <w:spacing w:before="120" w:after="0" w:line="276" w:lineRule="auto"/>
            </w:pPr>
            <w:r w:rsidRPr="00A52D2C">
              <w:t>2015</w:t>
            </w:r>
          </w:p>
        </w:tc>
        <w:tc>
          <w:tcPr>
            <w:tcW w:w="1080" w:type="dxa"/>
            <w:shd w:val="clear" w:color="000000" w:fill="D1120D"/>
            <w:noWrap/>
            <w:hideMark/>
          </w:tcPr>
          <w:p w:rsidR="00A52D2C" w:rsidRPr="00A52D2C" w:rsidRDefault="00A52D2C" w:rsidP="00BC5587">
            <w:pPr>
              <w:spacing w:before="120" w:after="0" w:line="276" w:lineRule="auto"/>
            </w:pPr>
            <w:r w:rsidRPr="00A52D2C">
              <w:t>Celkem</w:t>
            </w:r>
          </w:p>
        </w:tc>
      </w:tr>
      <w:tr w:rsidR="00A52D2C" w:rsidRPr="00A52D2C"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Podpořené</w:t>
            </w:r>
          </w:p>
        </w:tc>
        <w:tc>
          <w:tcPr>
            <w:tcW w:w="758"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971"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314 843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428 187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586 492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726 330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606 529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489 885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436 152 </w:t>
            </w:r>
          </w:p>
        </w:tc>
        <w:tc>
          <w:tcPr>
            <w:tcW w:w="108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3 588 419 </w:t>
            </w:r>
          </w:p>
        </w:tc>
      </w:tr>
      <w:tr w:rsidR="00A52D2C" w:rsidRPr="00A52D2C" w:rsidTr="00B53D84">
        <w:trPr>
          <w:trHeight w:val="240"/>
        </w:trPr>
        <w:tc>
          <w:tcPr>
            <w:tcW w:w="1084"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758"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971"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430 067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584 891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810 218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1 039 751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886 811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729 510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672 983 </w:t>
            </w:r>
          </w:p>
        </w:tc>
        <w:tc>
          <w:tcPr>
            <w:tcW w:w="108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5 154 231 </w:t>
            </w:r>
          </w:p>
        </w:tc>
      </w:tr>
      <w:tr w:rsidR="00A52D2C" w:rsidRPr="00A52D2C"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Nepodpořené</w:t>
            </w:r>
          </w:p>
        </w:tc>
        <w:tc>
          <w:tcPr>
            <w:tcW w:w="758"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971"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870 573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1 183 980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1 566 256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1 859 901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1 536 922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1 242 213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1 145 010 </w:t>
            </w:r>
          </w:p>
        </w:tc>
        <w:tc>
          <w:tcPr>
            <w:tcW w:w="108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9 404 856 </w:t>
            </w:r>
          </w:p>
        </w:tc>
      </w:tr>
      <w:tr w:rsidR="00A52D2C" w:rsidRPr="00A52D2C" w:rsidTr="00B53D84">
        <w:trPr>
          <w:trHeight w:val="240"/>
        </w:trPr>
        <w:tc>
          <w:tcPr>
            <w:tcW w:w="1084"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758"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971"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1 189 407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1 617 594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2 140 737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2 577 704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2 197 262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1 864 004 </w:t>
            </w:r>
          </w:p>
        </w:tc>
        <w:tc>
          <w:tcPr>
            <w:tcW w:w="97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1 778 647 </w:t>
            </w:r>
          </w:p>
        </w:tc>
        <w:tc>
          <w:tcPr>
            <w:tcW w:w="1080" w:type="dxa"/>
            <w:shd w:val="clear" w:color="auto" w:fill="auto"/>
            <w:noWrap/>
            <w:vAlign w:val="center"/>
            <w:hideMark/>
          </w:tcPr>
          <w:p w:rsidR="00A52D2C" w:rsidRPr="00B53D84" w:rsidRDefault="00A52D2C" w:rsidP="00BC5587">
            <w:pPr>
              <w:spacing w:before="120" w:after="0" w:line="276" w:lineRule="auto"/>
              <w:jc w:val="left"/>
              <w:rPr>
                <w:sz w:val="18"/>
                <w:szCs w:val="18"/>
              </w:rPr>
            </w:pPr>
            <w:r w:rsidRPr="00B53D84">
              <w:rPr>
                <w:sz w:val="18"/>
                <w:szCs w:val="18"/>
              </w:rPr>
              <w:t xml:space="preserve">13 365 355 </w:t>
            </w:r>
          </w:p>
        </w:tc>
      </w:tr>
      <w:tr w:rsidR="00A52D2C" w:rsidRPr="00A52D2C"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Celkem</w:t>
            </w:r>
          </w:p>
        </w:tc>
        <w:tc>
          <w:tcPr>
            <w:tcW w:w="758"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971"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1 185 417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1 612 167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2 152 748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2 586 232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2 143 452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1 732 098 </w:t>
            </w:r>
          </w:p>
        </w:tc>
        <w:tc>
          <w:tcPr>
            <w:tcW w:w="97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1 581 162 </w:t>
            </w:r>
          </w:p>
        </w:tc>
        <w:tc>
          <w:tcPr>
            <w:tcW w:w="1080" w:type="dxa"/>
            <w:shd w:val="clear" w:color="000000" w:fill="FBB7B7"/>
            <w:noWrap/>
            <w:vAlign w:val="center"/>
            <w:hideMark/>
          </w:tcPr>
          <w:p w:rsidR="00A52D2C" w:rsidRPr="00B53D84" w:rsidRDefault="00A52D2C" w:rsidP="00BC5587">
            <w:pPr>
              <w:spacing w:before="120" w:after="0" w:line="276" w:lineRule="auto"/>
              <w:jc w:val="left"/>
              <w:rPr>
                <w:sz w:val="18"/>
                <w:szCs w:val="18"/>
              </w:rPr>
            </w:pPr>
            <w:r w:rsidRPr="00B53D84">
              <w:rPr>
                <w:sz w:val="18"/>
                <w:szCs w:val="18"/>
              </w:rPr>
              <w:t xml:space="preserve">12 993 274 </w:t>
            </w:r>
          </w:p>
        </w:tc>
      </w:tr>
      <w:tr w:rsidR="00A52D2C" w:rsidRPr="00A52D2C" w:rsidTr="00B53D84">
        <w:trPr>
          <w:trHeight w:val="240"/>
        </w:trPr>
        <w:tc>
          <w:tcPr>
            <w:tcW w:w="1084"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758"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971"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1 619 475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2 202 486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2 950 954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3 617 455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3 084 073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2 593 513 </w:t>
            </w:r>
          </w:p>
        </w:tc>
        <w:tc>
          <w:tcPr>
            <w:tcW w:w="97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2 451 630 </w:t>
            </w:r>
          </w:p>
        </w:tc>
        <w:tc>
          <w:tcPr>
            <w:tcW w:w="1080" w:type="dxa"/>
            <w:shd w:val="clear" w:color="000000" w:fill="FFFFFF"/>
            <w:noWrap/>
            <w:vAlign w:val="center"/>
            <w:hideMark/>
          </w:tcPr>
          <w:p w:rsidR="00A52D2C" w:rsidRPr="00B53D84" w:rsidRDefault="00A52D2C" w:rsidP="00BC5587">
            <w:pPr>
              <w:spacing w:before="120" w:after="0" w:line="276" w:lineRule="auto"/>
              <w:jc w:val="left"/>
              <w:rPr>
                <w:sz w:val="18"/>
                <w:szCs w:val="18"/>
              </w:rPr>
            </w:pPr>
            <w:r w:rsidRPr="00B53D84">
              <w:rPr>
                <w:sz w:val="18"/>
                <w:szCs w:val="18"/>
              </w:rPr>
              <w:t xml:space="preserve">18 519 587 </w:t>
            </w:r>
          </w:p>
        </w:tc>
      </w:tr>
    </w:tbl>
    <w:p w:rsidR="00A52D2C" w:rsidRPr="00A52D2C" w:rsidRDefault="00A52D2C" w:rsidP="00BC5587">
      <w:pPr>
        <w:pStyle w:val="zdroj"/>
        <w:spacing w:before="120" w:after="0" w:line="276" w:lineRule="auto"/>
      </w:pPr>
      <w:r w:rsidRPr="00A52D2C">
        <w:t>Zdroj: IS PATRIOT, MPO, vlastní výpočet</w:t>
      </w:r>
    </w:p>
    <w:p w:rsidR="00A52D2C" w:rsidRPr="00A52D2C" w:rsidRDefault="005F3877" w:rsidP="00BC5587">
      <w:pPr>
        <w:spacing w:before="120" w:after="0" w:line="276" w:lineRule="auto"/>
      </w:pPr>
      <w:r>
        <w:t>Program THÉTA</w:t>
      </w:r>
      <w:r w:rsidR="00A52D2C" w:rsidRPr="00A52D2C">
        <w:t xml:space="preserve"> je plánován na 8 let řešení. Pokud bychom předpokládali, že roční výdaje na řešení projektů s hlavním oborem JE, JF činí cca 513 mil. Kč ročně (úspěšných projektů), pak rozpočet účelové podpory programu bude dosahovat přibližně 4,1 mld. Kč</w:t>
      </w:r>
    </w:p>
    <w:p w:rsidR="00A52D2C" w:rsidRPr="00A52D2C" w:rsidRDefault="00A52D2C" w:rsidP="00636838">
      <w:pPr>
        <w:pStyle w:val="Titulek"/>
        <w:keepNext/>
        <w:keepLines/>
        <w:spacing w:before="120" w:after="0" w:line="276" w:lineRule="auto"/>
      </w:pPr>
      <w:r w:rsidRPr="00A52D2C">
        <w:lastRenderedPageBreak/>
        <w:t xml:space="preserve">Tab. </w:t>
      </w:r>
      <w:fldSimple w:instr=" SEQ Tab. \* ARABIC ">
        <w:r w:rsidR="00650FB0">
          <w:rPr>
            <w:noProof/>
          </w:rPr>
          <w:t>4</w:t>
        </w:r>
      </w:fldSimple>
      <w:r w:rsidRPr="00A52D2C">
        <w:t>: Vývoj účelové podpory na schválené projekty s hlavním oborem JE, JF, v tis. Kč</w:t>
      </w:r>
    </w:p>
    <w:tbl>
      <w:tblPr>
        <w:tblW w:w="97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5"/>
        <w:gridCol w:w="1055"/>
        <w:gridCol w:w="1325"/>
        <w:gridCol w:w="1325"/>
        <w:gridCol w:w="1100"/>
        <w:gridCol w:w="1100"/>
        <w:gridCol w:w="799"/>
        <w:gridCol w:w="1325"/>
      </w:tblGrid>
      <w:tr w:rsidR="00A52D2C" w:rsidRPr="00A52D2C" w:rsidTr="00DE4ABB">
        <w:trPr>
          <w:trHeight w:val="240"/>
        </w:trPr>
        <w:tc>
          <w:tcPr>
            <w:tcW w:w="4640" w:type="dxa"/>
            <w:gridSpan w:val="2"/>
            <w:vMerge w:val="restart"/>
            <w:shd w:val="clear" w:color="000000" w:fill="D1120D"/>
            <w:noWrap/>
            <w:hideMark/>
          </w:tcPr>
          <w:p w:rsidR="00A52D2C" w:rsidRPr="00A52D2C" w:rsidRDefault="00A52D2C" w:rsidP="00636838">
            <w:pPr>
              <w:keepNext/>
              <w:keepLines/>
              <w:spacing w:before="120" w:after="0" w:line="276" w:lineRule="auto"/>
            </w:pPr>
            <w:r w:rsidRPr="00A52D2C">
              <w:t>Hlavní obor JE, JF</w:t>
            </w:r>
          </w:p>
        </w:tc>
        <w:tc>
          <w:tcPr>
            <w:tcW w:w="11640" w:type="dxa"/>
            <w:gridSpan w:val="6"/>
            <w:shd w:val="clear" w:color="000000" w:fill="D1120D"/>
            <w:noWrap/>
            <w:hideMark/>
          </w:tcPr>
          <w:p w:rsidR="00A52D2C" w:rsidRPr="00A52D2C" w:rsidRDefault="00A52D2C" w:rsidP="00636838">
            <w:pPr>
              <w:keepNext/>
              <w:keepLines/>
              <w:spacing w:before="120" w:after="0" w:line="276" w:lineRule="auto"/>
            </w:pPr>
            <w:r w:rsidRPr="00A52D2C">
              <w:t>Schválená účelová podpora</w:t>
            </w:r>
          </w:p>
        </w:tc>
      </w:tr>
      <w:tr w:rsidR="00A52D2C" w:rsidRPr="00A52D2C" w:rsidTr="00DE4ABB">
        <w:trPr>
          <w:trHeight w:val="240"/>
        </w:trPr>
        <w:tc>
          <w:tcPr>
            <w:tcW w:w="4640" w:type="dxa"/>
            <w:gridSpan w:val="2"/>
            <w:vMerge/>
            <w:vAlign w:val="center"/>
            <w:hideMark/>
          </w:tcPr>
          <w:p w:rsidR="00A52D2C" w:rsidRPr="00A52D2C" w:rsidRDefault="00A52D2C" w:rsidP="00636838">
            <w:pPr>
              <w:keepNext/>
              <w:keepLines/>
              <w:spacing w:before="120" w:after="0" w:line="276" w:lineRule="auto"/>
            </w:pPr>
          </w:p>
        </w:tc>
        <w:tc>
          <w:tcPr>
            <w:tcW w:w="2229" w:type="dxa"/>
            <w:shd w:val="clear" w:color="000000" w:fill="D1120D"/>
            <w:noWrap/>
            <w:hideMark/>
          </w:tcPr>
          <w:p w:rsidR="00A52D2C" w:rsidRPr="00A52D2C" w:rsidRDefault="00A52D2C" w:rsidP="00636838">
            <w:pPr>
              <w:keepNext/>
              <w:keepLines/>
              <w:spacing w:before="120" w:after="0" w:line="276" w:lineRule="auto"/>
            </w:pPr>
            <w:r w:rsidRPr="00A52D2C">
              <w:t>2016</w:t>
            </w:r>
          </w:p>
        </w:tc>
        <w:tc>
          <w:tcPr>
            <w:tcW w:w="2229" w:type="dxa"/>
            <w:shd w:val="clear" w:color="000000" w:fill="D1120D"/>
            <w:noWrap/>
            <w:hideMark/>
          </w:tcPr>
          <w:p w:rsidR="00A52D2C" w:rsidRPr="00A52D2C" w:rsidRDefault="00A52D2C" w:rsidP="00636838">
            <w:pPr>
              <w:keepNext/>
              <w:keepLines/>
              <w:spacing w:before="120" w:after="0" w:line="276" w:lineRule="auto"/>
            </w:pPr>
            <w:r w:rsidRPr="00A52D2C">
              <w:t>2017</w:t>
            </w:r>
          </w:p>
        </w:tc>
        <w:tc>
          <w:tcPr>
            <w:tcW w:w="1829" w:type="dxa"/>
            <w:shd w:val="clear" w:color="000000" w:fill="D1120D"/>
            <w:noWrap/>
            <w:hideMark/>
          </w:tcPr>
          <w:p w:rsidR="00A52D2C" w:rsidRPr="00A52D2C" w:rsidRDefault="00A52D2C" w:rsidP="00636838">
            <w:pPr>
              <w:keepNext/>
              <w:keepLines/>
              <w:spacing w:before="120" w:after="0" w:line="276" w:lineRule="auto"/>
            </w:pPr>
            <w:r w:rsidRPr="00A52D2C">
              <w:t>2018</w:t>
            </w:r>
          </w:p>
        </w:tc>
        <w:tc>
          <w:tcPr>
            <w:tcW w:w="1829" w:type="dxa"/>
            <w:shd w:val="clear" w:color="000000" w:fill="D1120D"/>
            <w:noWrap/>
            <w:hideMark/>
          </w:tcPr>
          <w:p w:rsidR="00A52D2C" w:rsidRPr="00A52D2C" w:rsidRDefault="00A52D2C" w:rsidP="00636838">
            <w:pPr>
              <w:keepNext/>
              <w:keepLines/>
              <w:spacing w:before="120" w:after="0" w:line="276" w:lineRule="auto"/>
            </w:pPr>
            <w:r w:rsidRPr="00A52D2C">
              <w:t>2019</w:t>
            </w:r>
          </w:p>
        </w:tc>
        <w:tc>
          <w:tcPr>
            <w:tcW w:w="1295" w:type="dxa"/>
            <w:shd w:val="clear" w:color="000000" w:fill="D1120D"/>
            <w:noWrap/>
            <w:hideMark/>
          </w:tcPr>
          <w:p w:rsidR="00A52D2C" w:rsidRPr="00A52D2C" w:rsidRDefault="00A52D2C" w:rsidP="00636838">
            <w:pPr>
              <w:keepNext/>
              <w:keepLines/>
              <w:spacing w:before="120" w:after="0" w:line="276" w:lineRule="auto"/>
            </w:pPr>
            <w:r w:rsidRPr="00A52D2C">
              <w:t>2020</w:t>
            </w:r>
          </w:p>
        </w:tc>
        <w:tc>
          <w:tcPr>
            <w:tcW w:w="2229" w:type="dxa"/>
            <w:shd w:val="clear" w:color="000000" w:fill="D1120D"/>
            <w:noWrap/>
            <w:hideMark/>
          </w:tcPr>
          <w:p w:rsidR="00A52D2C" w:rsidRPr="00A52D2C" w:rsidRDefault="00A52D2C" w:rsidP="00636838">
            <w:pPr>
              <w:keepNext/>
              <w:keepLines/>
              <w:spacing w:before="120" w:after="0" w:line="276" w:lineRule="auto"/>
            </w:pPr>
            <w:r w:rsidRPr="00A52D2C">
              <w:t>Celkem</w:t>
            </w:r>
          </w:p>
        </w:tc>
      </w:tr>
      <w:tr w:rsidR="00A52D2C" w:rsidRPr="00A52D2C" w:rsidTr="00DE4ABB">
        <w:trPr>
          <w:trHeight w:val="240"/>
        </w:trPr>
        <w:tc>
          <w:tcPr>
            <w:tcW w:w="2888"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Podpořené</w:t>
            </w:r>
          </w:p>
        </w:tc>
        <w:tc>
          <w:tcPr>
            <w:tcW w:w="1752"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Dotace</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348 428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267 920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151 052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114 173 </w:t>
            </w:r>
          </w:p>
        </w:tc>
        <w:tc>
          <w:tcPr>
            <w:tcW w:w="1295"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568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882 141 </w:t>
            </w:r>
          </w:p>
        </w:tc>
      </w:tr>
      <w:tr w:rsidR="00A52D2C" w:rsidRPr="00A52D2C" w:rsidTr="00DE4ABB">
        <w:trPr>
          <w:trHeight w:val="240"/>
        </w:trPr>
        <w:tc>
          <w:tcPr>
            <w:tcW w:w="2888"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w:t>
            </w:r>
          </w:p>
        </w:tc>
        <w:tc>
          <w:tcPr>
            <w:tcW w:w="1752"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Náklady</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540 405 </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407 460 </w:t>
            </w:r>
          </w:p>
        </w:tc>
        <w:tc>
          <w:tcPr>
            <w:tcW w:w="18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218 280 </w:t>
            </w:r>
          </w:p>
        </w:tc>
        <w:tc>
          <w:tcPr>
            <w:tcW w:w="18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164 684 </w:t>
            </w:r>
          </w:p>
        </w:tc>
        <w:tc>
          <w:tcPr>
            <w:tcW w:w="1295"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887 </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1 331 717 </w:t>
            </w:r>
          </w:p>
        </w:tc>
      </w:tr>
      <w:tr w:rsidR="00A52D2C" w:rsidRPr="00A52D2C" w:rsidTr="00DE4ABB">
        <w:trPr>
          <w:trHeight w:val="240"/>
        </w:trPr>
        <w:tc>
          <w:tcPr>
            <w:tcW w:w="2888"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Nepodpořené</w:t>
            </w:r>
          </w:p>
        </w:tc>
        <w:tc>
          <w:tcPr>
            <w:tcW w:w="1752"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Dotace</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924 451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797 289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512 723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321 734 </w:t>
            </w:r>
          </w:p>
        </w:tc>
        <w:tc>
          <w:tcPr>
            <w:tcW w:w="1295"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4 558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2 560 754 </w:t>
            </w:r>
          </w:p>
        </w:tc>
      </w:tr>
      <w:tr w:rsidR="00A52D2C" w:rsidRPr="00A52D2C" w:rsidTr="00DE4ABB">
        <w:trPr>
          <w:trHeight w:val="240"/>
        </w:trPr>
        <w:tc>
          <w:tcPr>
            <w:tcW w:w="2888"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w:t>
            </w:r>
          </w:p>
        </w:tc>
        <w:tc>
          <w:tcPr>
            <w:tcW w:w="1752"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Náklady</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1 388 442 </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1 117 060 </w:t>
            </w:r>
          </w:p>
        </w:tc>
        <w:tc>
          <w:tcPr>
            <w:tcW w:w="18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663 927 </w:t>
            </w:r>
          </w:p>
        </w:tc>
        <w:tc>
          <w:tcPr>
            <w:tcW w:w="18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406 635 </w:t>
            </w:r>
          </w:p>
        </w:tc>
        <w:tc>
          <w:tcPr>
            <w:tcW w:w="1295"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3 393 </w:t>
            </w:r>
          </w:p>
        </w:tc>
        <w:tc>
          <w:tcPr>
            <w:tcW w:w="2229" w:type="dxa"/>
            <w:shd w:val="clear" w:color="auto" w:fill="auto"/>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3 579 458 </w:t>
            </w:r>
          </w:p>
        </w:tc>
      </w:tr>
      <w:tr w:rsidR="00A52D2C" w:rsidRPr="00A52D2C" w:rsidTr="00DE4ABB">
        <w:trPr>
          <w:trHeight w:val="240"/>
        </w:trPr>
        <w:tc>
          <w:tcPr>
            <w:tcW w:w="2888"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Celkem</w:t>
            </w:r>
          </w:p>
        </w:tc>
        <w:tc>
          <w:tcPr>
            <w:tcW w:w="1752"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Dotace</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1 255 112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1 027 613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627 378 </w:t>
            </w:r>
          </w:p>
        </w:tc>
        <w:tc>
          <w:tcPr>
            <w:tcW w:w="18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414 510 </w:t>
            </w:r>
          </w:p>
        </w:tc>
        <w:tc>
          <w:tcPr>
            <w:tcW w:w="1295"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3 961 </w:t>
            </w:r>
          </w:p>
        </w:tc>
        <w:tc>
          <w:tcPr>
            <w:tcW w:w="2229" w:type="dxa"/>
            <w:shd w:val="clear" w:color="000000" w:fill="FBB7B7"/>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3 328 573 </w:t>
            </w:r>
          </w:p>
        </w:tc>
      </w:tr>
      <w:tr w:rsidR="00A52D2C" w:rsidRPr="00A52D2C" w:rsidTr="00DE4ABB">
        <w:trPr>
          <w:trHeight w:val="240"/>
        </w:trPr>
        <w:tc>
          <w:tcPr>
            <w:tcW w:w="2888"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w:t>
            </w:r>
          </w:p>
        </w:tc>
        <w:tc>
          <w:tcPr>
            <w:tcW w:w="1752"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Náklady</w:t>
            </w:r>
          </w:p>
        </w:tc>
        <w:tc>
          <w:tcPr>
            <w:tcW w:w="2229"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1 946 615 </w:t>
            </w:r>
          </w:p>
        </w:tc>
        <w:tc>
          <w:tcPr>
            <w:tcW w:w="2229"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1 562 116 </w:t>
            </w:r>
          </w:p>
        </w:tc>
        <w:tc>
          <w:tcPr>
            <w:tcW w:w="1829"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918 603 </w:t>
            </w:r>
          </w:p>
        </w:tc>
        <w:tc>
          <w:tcPr>
            <w:tcW w:w="1829"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592 717 </w:t>
            </w:r>
          </w:p>
        </w:tc>
        <w:tc>
          <w:tcPr>
            <w:tcW w:w="1295"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5 445 </w:t>
            </w:r>
          </w:p>
        </w:tc>
        <w:tc>
          <w:tcPr>
            <w:tcW w:w="2229" w:type="dxa"/>
            <w:shd w:val="clear" w:color="000000" w:fill="FFFFFF"/>
            <w:noWrap/>
            <w:vAlign w:val="center"/>
            <w:hideMark/>
          </w:tcPr>
          <w:p w:rsidR="00A52D2C" w:rsidRPr="00B53D84" w:rsidRDefault="00A52D2C" w:rsidP="00636838">
            <w:pPr>
              <w:keepNext/>
              <w:keepLines/>
              <w:spacing w:before="120" w:after="0" w:line="276" w:lineRule="auto"/>
              <w:rPr>
                <w:sz w:val="20"/>
                <w:szCs w:val="20"/>
              </w:rPr>
            </w:pPr>
            <w:r w:rsidRPr="00B53D84">
              <w:rPr>
                <w:sz w:val="20"/>
                <w:szCs w:val="20"/>
              </w:rPr>
              <w:t xml:space="preserve">5 025 495 </w:t>
            </w:r>
          </w:p>
        </w:tc>
      </w:tr>
    </w:tbl>
    <w:p w:rsidR="00A52D2C" w:rsidRPr="00A52D2C" w:rsidRDefault="00A52D2C" w:rsidP="00BC5587">
      <w:pPr>
        <w:pStyle w:val="zdroj"/>
        <w:spacing w:before="120" w:after="0" w:line="276" w:lineRule="auto"/>
      </w:pPr>
      <w:r w:rsidRPr="00A52D2C">
        <w:t>Zdroj: IS PATRIOT, MPO, vlastní výpočet</w:t>
      </w:r>
    </w:p>
    <w:p w:rsidR="00A52D2C" w:rsidRPr="00A52D2C" w:rsidRDefault="00A52D2C" w:rsidP="00BC5587">
      <w:pPr>
        <w:spacing w:before="120" w:after="0" w:line="276" w:lineRule="auto"/>
      </w:pPr>
      <w:r w:rsidRPr="00A52D2C">
        <w:t xml:space="preserve">V letech 2016 – 2020 je k 14. 9. 2016 alokováno na řešení projektů VaVaI v oblasti energetiky cca 0,9 mld. Kč. Do této částky nejsou započteny projekty, které pravděpodobně budou podpořeny v rámci 2VS programu EPSILON. </w:t>
      </w:r>
    </w:p>
    <w:p w:rsidR="00A52D2C" w:rsidRPr="00A52D2C" w:rsidRDefault="00A52D2C" w:rsidP="00BC5587">
      <w:pPr>
        <w:pStyle w:val="atun"/>
        <w:spacing w:before="120" w:after="0" w:line="276" w:lineRule="auto"/>
      </w:pPr>
      <w:r w:rsidRPr="00A52D2C">
        <w:t>Vedlejší obor CEP</w:t>
      </w:r>
    </w:p>
    <w:p w:rsidR="00A52D2C" w:rsidRPr="00A52D2C" w:rsidRDefault="00A52D2C" w:rsidP="00BC5587">
      <w:pPr>
        <w:spacing w:before="120" w:after="0" w:line="276" w:lineRule="auto"/>
      </w:pPr>
      <w:r w:rsidRPr="00A52D2C">
        <w:t>K této části analýzy můžeme přistupovat jako ke snaze zajistit si pohled na potenciál pro podporu projektů v oblasti energetiky. Výpočty jsou konstruovány v podstatě stejně, jako v případě předchozí kapitoly.</w:t>
      </w:r>
    </w:p>
    <w:p w:rsidR="00A52D2C" w:rsidRPr="00A52D2C" w:rsidRDefault="00A52D2C" w:rsidP="00BC5587">
      <w:pPr>
        <w:spacing w:before="120" w:after="0" w:line="276" w:lineRule="auto"/>
      </w:pPr>
      <w:r w:rsidRPr="00A52D2C">
        <w:t xml:space="preserve">Hlavním rozdílem je, že v případě projektů TA ČR jsou projekty vybírány podle příslušnosti k oborům JE a JF ve vedlejším či dalším vedlejším oboru CEP. V případě projektů MPO je uvažován pouze vedlejší obor projektů (další vedlejší obor nebyl k dispozici). </w:t>
      </w:r>
    </w:p>
    <w:p w:rsidR="00A52D2C" w:rsidRPr="00A52D2C" w:rsidRDefault="00A52D2C" w:rsidP="00BC5587">
      <w:pPr>
        <w:pStyle w:val="Titulek"/>
        <w:spacing w:before="120" w:after="0" w:line="276" w:lineRule="auto"/>
        <w:rPr>
          <w:sz w:val="24"/>
          <w:szCs w:val="24"/>
          <w:lang w:eastAsia="cs-CZ"/>
        </w:rPr>
      </w:pPr>
      <w:r w:rsidRPr="00A52D2C">
        <w:t xml:space="preserve">Tab. </w:t>
      </w:r>
      <w:fldSimple w:instr=" SEQ Tab. \* ARABIC ">
        <w:r w:rsidR="00650FB0">
          <w:rPr>
            <w:noProof/>
          </w:rPr>
          <w:t>5</w:t>
        </w:r>
      </w:fldSimple>
      <w:r w:rsidRPr="00A52D2C">
        <w:t>: Počet projektů v oborech JE, JF řešených v daném roce</w:t>
      </w:r>
    </w:p>
    <w:tbl>
      <w:tblPr>
        <w:tblW w:w="97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60"/>
        <w:gridCol w:w="1094"/>
        <w:gridCol w:w="1095"/>
        <w:gridCol w:w="1095"/>
        <w:gridCol w:w="1095"/>
        <w:gridCol w:w="1095"/>
        <w:gridCol w:w="1095"/>
        <w:gridCol w:w="1095"/>
      </w:tblGrid>
      <w:tr w:rsidR="00A52D2C" w:rsidRPr="00DE4ABB" w:rsidTr="00DE4ABB">
        <w:trPr>
          <w:trHeight w:val="240"/>
        </w:trPr>
        <w:tc>
          <w:tcPr>
            <w:tcW w:w="2060" w:type="dxa"/>
            <w:vMerge w:val="restart"/>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Vedlejší obor JE, JF</w:t>
            </w:r>
          </w:p>
        </w:tc>
        <w:tc>
          <w:tcPr>
            <w:tcW w:w="7664" w:type="dxa"/>
            <w:gridSpan w:val="7"/>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Skutečný stav</w:t>
            </w:r>
          </w:p>
        </w:tc>
      </w:tr>
      <w:tr w:rsidR="00A52D2C" w:rsidRPr="00DE4ABB" w:rsidTr="00DE4ABB">
        <w:trPr>
          <w:trHeight w:val="240"/>
        </w:trPr>
        <w:tc>
          <w:tcPr>
            <w:tcW w:w="2060" w:type="dxa"/>
            <w:vMerge/>
            <w:shd w:val="clear" w:color="000000" w:fill="D1120D"/>
            <w:noWrap/>
            <w:hideMark/>
          </w:tcPr>
          <w:p w:rsidR="00A52D2C" w:rsidRPr="00DE4ABB" w:rsidRDefault="00A52D2C" w:rsidP="00BC5587">
            <w:pPr>
              <w:spacing w:before="120" w:after="0" w:line="276" w:lineRule="auto"/>
              <w:rPr>
                <w:sz w:val="20"/>
                <w:szCs w:val="20"/>
              </w:rPr>
            </w:pPr>
          </w:p>
        </w:tc>
        <w:tc>
          <w:tcPr>
            <w:tcW w:w="1094"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2009</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2010</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2011</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2012</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2013</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2014</w:t>
            </w:r>
          </w:p>
        </w:tc>
        <w:tc>
          <w:tcPr>
            <w:tcW w:w="1095"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2015</w:t>
            </w:r>
          </w:p>
        </w:tc>
      </w:tr>
      <w:tr w:rsidR="00A52D2C" w:rsidRPr="00DE4ABB" w:rsidTr="00DE4ABB">
        <w:trPr>
          <w:trHeight w:val="240"/>
        </w:trPr>
        <w:tc>
          <w:tcPr>
            <w:tcW w:w="206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Podpořené</w:t>
            </w:r>
          </w:p>
        </w:tc>
        <w:tc>
          <w:tcPr>
            <w:tcW w:w="109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13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18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30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39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44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46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38 </w:t>
            </w:r>
          </w:p>
        </w:tc>
      </w:tr>
      <w:tr w:rsidR="00A52D2C" w:rsidRPr="00DE4ABB" w:rsidTr="00DE4ABB">
        <w:trPr>
          <w:trHeight w:val="240"/>
        </w:trPr>
        <w:tc>
          <w:tcPr>
            <w:tcW w:w="206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Nepodpořené</w:t>
            </w:r>
          </w:p>
        </w:tc>
        <w:tc>
          <w:tcPr>
            <w:tcW w:w="1094"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47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64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93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130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157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144 </w:t>
            </w:r>
          </w:p>
        </w:tc>
        <w:tc>
          <w:tcPr>
            <w:tcW w:w="1095"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163 </w:t>
            </w:r>
          </w:p>
        </w:tc>
      </w:tr>
      <w:tr w:rsidR="00A52D2C" w:rsidRPr="00DE4ABB" w:rsidTr="00DE4ABB">
        <w:trPr>
          <w:trHeight w:val="240"/>
        </w:trPr>
        <w:tc>
          <w:tcPr>
            <w:tcW w:w="206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Celkem</w:t>
            </w:r>
          </w:p>
        </w:tc>
        <w:tc>
          <w:tcPr>
            <w:tcW w:w="109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60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82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123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169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201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190 </w:t>
            </w:r>
          </w:p>
        </w:tc>
        <w:tc>
          <w:tcPr>
            <w:tcW w:w="1095"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201 </w:t>
            </w:r>
          </w:p>
        </w:tc>
      </w:tr>
    </w:tbl>
    <w:p w:rsidR="00A52D2C" w:rsidRPr="00A52D2C" w:rsidRDefault="00A52D2C" w:rsidP="00BC5587">
      <w:pPr>
        <w:pStyle w:val="zdroj"/>
        <w:spacing w:before="120" w:after="0" w:line="276" w:lineRule="auto"/>
      </w:pPr>
      <w:r w:rsidRPr="00A52D2C">
        <w:t>Zdroj: IS PATRIOT, MPO, vlastní výpočet</w:t>
      </w:r>
    </w:p>
    <w:p w:rsidR="00A52D2C" w:rsidRPr="00A52D2C" w:rsidRDefault="00A52D2C" w:rsidP="00BC5587">
      <w:pPr>
        <w:spacing w:before="120" w:after="0" w:line="276" w:lineRule="auto"/>
      </w:pPr>
      <w:r w:rsidRPr="00A52D2C">
        <w:t>Nejvyšší počet řešených projektů dle výše uvedeného třídění byl v roce 2014. Počet návrhů projektů pak byl nejvyšší v roce 2015 a lze říci, že se počet řešených projektů v čase zvyšuje.</w:t>
      </w:r>
    </w:p>
    <w:p w:rsidR="00A52D2C" w:rsidRPr="00A52D2C" w:rsidRDefault="00A52D2C" w:rsidP="00636838">
      <w:pPr>
        <w:pStyle w:val="Titulek"/>
        <w:keepNext/>
        <w:keepLines/>
        <w:spacing w:before="120" w:after="0" w:line="276" w:lineRule="auto"/>
      </w:pPr>
      <w:r w:rsidRPr="00A52D2C">
        <w:lastRenderedPageBreak/>
        <w:t xml:space="preserve">Tab. </w:t>
      </w:r>
      <w:fldSimple w:instr=" SEQ Tab. \* ARABIC ">
        <w:r w:rsidR="00650FB0">
          <w:rPr>
            <w:noProof/>
          </w:rPr>
          <w:t>6</w:t>
        </w:r>
      </w:fldSimple>
      <w:r w:rsidRPr="00A52D2C">
        <w:t>: Počet projektů v oborech JE, JF podle roku udělení podpory</w:t>
      </w:r>
    </w:p>
    <w:tbl>
      <w:tblPr>
        <w:tblW w:w="57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40"/>
        <w:gridCol w:w="1628"/>
        <w:gridCol w:w="1309"/>
        <w:gridCol w:w="1440"/>
      </w:tblGrid>
      <w:tr w:rsidR="00A52D2C" w:rsidRPr="00DE4ABB" w:rsidTr="00DE4ABB">
        <w:trPr>
          <w:trHeight w:val="240"/>
        </w:trPr>
        <w:tc>
          <w:tcPr>
            <w:tcW w:w="1440" w:type="dxa"/>
            <w:vMerge w:val="restart"/>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Rok</w:t>
            </w:r>
          </w:p>
        </w:tc>
        <w:tc>
          <w:tcPr>
            <w:tcW w:w="2880" w:type="dxa"/>
            <w:gridSpan w:val="2"/>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Projekty</w:t>
            </w:r>
          </w:p>
        </w:tc>
        <w:tc>
          <w:tcPr>
            <w:tcW w:w="1440" w:type="dxa"/>
            <w:vMerge w:val="restart"/>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r>
      <w:tr w:rsidR="00A52D2C" w:rsidRPr="00DE4ABB" w:rsidTr="00DE4ABB">
        <w:trPr>
          <w:trHeight w:val="240"/>
        </w:trPr>
        <w:tc>
          <w:tcPr>
            <w:tcW w:w="1440" w:type="dxa"/>
            <w:vMerge/>
            <w:vAlign w:val="center"/>
            <w:hideMark/>
          </w:tcPr>
          <w:p w:rsidR="00A52D2C" w:rsidRPr="00DE4ABB" w:rsidRDefault="00A52D2C" w:rsidP="00636838">
            <w:pPr>
              <w:keepNext/>
              <w:keepLines/>
              <w:spacing w:before="120" w:after="0" w:line="276" w:lineRule="auto"/>
              <w:rPr>
                <w:sz w:val="20"/>
                <w:szCs w:val="20"/>
              </w:rPr>
            </w:pPr>
          </w:p>
        </w:tc>
        <w:tc>
          <w:tcPr>
            <w:tcW w:w="1628"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Podpořené</w:t>
            </w:r>
          </w:p>
        </w:tc>
        <w:tc>
          <w:tcPr>
            <w:tcW w:w="1252"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Nepodpořené</w:t>
            </w:r>
          </w:p>
        </w:tc>
        <w:tc>
          <w:tcPr>
            <w:tcW w:w="1440" w:type="dxa"/>
            <w:vMerge/>
            <w:vAlign w:val="center"/>
            <w:hideMark/>
          </w:tcPr>
          <w:p w:rsidR="00A52D2C" w:rsidRPr="00DE4ABB" w:rsidRDefault="00A52D2C" w:rsidP="00636838">
            <w:pPr>
              <w:keepNext/>
              <w:keepLines/>
              <w:spacing w:before="120" w:after="0" w:line="276" w:lineRule="auto"/>
              <w:rPr>
                <w:sz w:val="20"/>
                <w:szCs w:val="20"/>
              </w:rPr>
            </w:pPr>
          </w:p>
        </w:tc>
      </w:tr>
      <w:tr w:rsidR="00A52D2C" w:rsidRPr="00DE4ABB" w:rsidTr="00DE4ABB">
        <w:trPr>
          <w:trHeight w:val="240"/>
        </w:trPr>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2009</w:t>
            </w:r>
          </w:p>
        </w:tc>
        <w:tc>
          <w:tcPr>
            <w:tcW w:w="162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13 </w:t>
            </w:r>
          </w:p>
        </w:tc>
        <w:tc>
          <w:tcPr>
            <w:tcW w:w="125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47 </w:t>
            </w:r>
          </w:p>
        </w:tc>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60 </w:t>
            </w:r>
          </w:p>
        </w:tc>
      </w:tr>
      <w:tr w:rsidR="00A52D2C" w:rsidRPr="00DE4ABB" w:rsidTr="00DE4ABB">
        <w:trPr>
          <w:trHeight w:val="240"/>
        </w:trPr>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2010</w:t>
            </w:r>
          </w:p>
        </w:tc>
        <w:tc>
          <w:tcPr>
            <w:tcW w:w="162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 </w:t>
            </w:r>
          </w:p>
        </w:tc>
        <w:tc>
          <w:tcPr>
            <w:tcW w:w="125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17 </w:t>
            </w:r>
          </w:p>
        </w:tc>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22 </w:t>
            </w:r>
          </w:p>
        </w:tc>
      </w:tr>
      <w:tr w:rsidR="00A52D2C" w:rsidRPr="00DE4ABB" w:rsidTr="00DE4ABB">
        <w:trPr>
          <w:trHeight w:val="240"/>
        </w:trPr>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2011</w:t>
            </w:r>
          </w:p>
        </w:tc>
        <w:tc>
          <w:tcPr>
            <w:tcW w:w="162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12 </w:t>
            </w:r>
          </w:p>
        </w:tc>
        <w:tc>
          <w:tcPr>
            <w:tcW w:w="125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30 </w:t>
            </w:r>
          </w:p>
        </w:tc>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43 </w:t>
            </w:r>
          </w:p>
        </w:tc>
      </w:tr>
      <w:tr w:rsidR="00A52D2C" w:rsidRPr="00DE4ABB" w:rsidTr="00DE4ABB">
        <w:trPr>
          <w:trHeight w:val="240"/>
        </w:trPr>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2012</w:t>
            </w:r>
          </w:p>
        </w:tc>
        <w:tc>
          <w:tcPr>
            <w:tcW w:w="162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13 </w:t>
            </w:r>
          </w:p>
        </w:tc>
        <w:tc>
          <w:tcPr>
            <w:tcW w:w="125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49 </w:t>
            </w:r>
          </w:p>
        </w:tc>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61 </w:t>
            </w:r>
          </w:p>
        </w:tc>
      </w:tr>
      <w:tr w:rsidR="00A52D2C" w:rsidRPr="00DE4ABB" w:rsidTr="00DE4ABB">
        <w:trPr>
          <w:trHeight w:val="240"/>
        </w:trPr>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2013</w:t>
            </w:r>
          </w:p>
        </w:tc>
        <w:tc>
          <w:tcPr>
            <w:tcW w:w="162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15 </w:t>
            </w:r>
          </w:p>
        </w:tc>
        <w:tc>
          <w:tcPr>
            <w:tcW w:w="125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57 </w:t>
            </w:r>
          </w:p>
        </w:tc>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72 </w:t>
            </w:r>
          </w:p>
        </w:tc>
      </w:tr>
      <w:tr w:rsidR="00A52D2C" w:rsidRPr="00DE4ABB" w:rsidTr="00DE4ABB">
        <w:trPr>
          <w:trHeight w:val="240"/>
        </w:trPr>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2014</w:t>
            </w:r>
          </w:p>
        </w:tc>
        <w:tc>
          <w:tcPr>
            <w:tcW w:w="162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 </w:t>
            </w:r>
          </w:p>
        </w:tc>
        <w:tc>
          <w:tcPr>
            <w:tcW w:w="125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30 </w:t>
            </w:r>
          </w:p>
        </w:tc>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41 </w:t>
            </w:r>
          </w:p>
        </w:tc>
      </w:tr>
      <w:tr w:rsidR="00A52D2C" w:rsidRPr="00DE4ABB" w:rsidTr="00DE4ABB">
        <w:trPr>
          <w:trHeight w:val="240"/>
        </w:trPr>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2015</w:t>
            </w:r>
          </w:p>
        </w:tc>
        <w:tc>
          <w:tcPr>
            <w:tcW w:w="162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 </w:t>
            </w:r>
          </w:p>
        </w:tc>
        <w:tc>
          <w:tcPr>
            <w:tcW w:w="125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52 </w:t>
            </w:r>
          </w:p>
        </w:tc>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56 </w:t>
            </w:r>
          </w:p>
        </w:tc>
      </w:tr>
      <w:tr w:rsidR="00A52D2C" w:rsidRPr="00DE4ABB" w:rsidTr="00DE4ABB">
        <w:trPr>
          <w:trHeight w:val="240"/>
        </w:trPr>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2016</w:t>
            </w:r>
          </w:p>
        </w:tc>
        <w:tc>
          <w:tcPr>
            <w:tcW w:w="162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 </w:t>
            </w:r>
          </w:p>
        </w:tc>
        <w:tc>
          <w:tcPr>
            <w:tcW w:w="125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19 </w:t>
            </w:r>
          </w:p>
        </w:tc>
        <w:tc>
          <w:tcPr>
            <w:tcW w:w="144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25 </w:t>
            </w:r>
          </w:p>
        </w:tc>
      </w:tr>
      <w:tr w:rsidR="00A52D2C" w:rsidRPr="00DE4ABB" w:rsidTr="00DE4ABB">
        <w:trPr>
          <w:trHeight w:val="240"/>
        </w:trPr>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c>
          <w:tcPr>
            <w:tcW w:w="162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79 </w:t>
            </w:r>
          </w:p>
        </w:tc>
        <w:tc>
          <w:tcPr>
            <w:tcW w:w="125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301 </w:t>
            </w:r>
          </w:p>
        </w:tc>
        <w:tc>
          <w:tcPr>
            <w:tcW w:w="144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380 </w:t>
            </w:r>
          </w:p>
        </w:tc>
      </w:tr>
    </w:tbl>
    <w:p w:rsidR="00A52D2C" w:rsidRPr="00A52D2C" w:rsidRDefault="00A52D2C" w:rsidP="00636838">
      <w:pPr>
        <w:pStyle w:val="zdroj"/>
        <w:keepNext/>
        <w:keepLines/>
        <w:spacing w:before="120" w:after="0" w:line="276" w:lineRule="auto"/>
      </w:pPr>
      <w:r w:rsidRPr="00A52D2C">
        <w:t>Zdroj: IS PATRIOT, MPO, vlastní výpočet</w:t>
      </w:r>
    </w:p>
    <w:p w:rsidR="00A52D2C" w:rsidRPr="00A52D2C" w:rsidRDefault="00A52D2C" w:rsidP="00BC5587">
      <w:pPr>
        <w:pStyle w:val="Titulek"/>
        <w:spacing w:before="120" w:after="0" w:line="276" w:lineRule="auto"/>
      </w:pPr>
      <w:r w:rsidRPr="00A52D2C">
        <w:t xml:space="preserve">Tab. </w:t>
      </w:r>
      <w:fldSimple w:instr=" SEQ Tab. \* ARABIC ">
        <w:r w:rsidR="00650FB0">
          <w:rPr>
            <w:noProof/>
          </w:rPr>
          <w:t>7</w:t>
        </w:r>
      </w:fldSimple>
      <w:r w:rsidRPr="00A52D2C">
        <w:t>: Vývoj financování projektů s vedlejším oborem JE, JF dle roku řešení, v tis. Kč</w:t>
      </w:r>
    </w:p>
    <w:tbl>
      <w:tblPr>
        <w:tblW w:w="97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84"/>
        <w:gridCol w:w="822"/>
        <w:gridCol w:w="849"/>
        <w:gridCol w:w="849"/>
        <w:gridCol w:w="1020"/>
        <w:gridCol w:w="1020"/>
        <w:gridCol w:w="1020"/>
        <w:gridCol w:w="1020"/>
        <w:gridCol w:w="1020"/>
        <w:gridCol w:w="1020"/>
      </w:tblGrid>
      <w:tr w:rsidR="00A52D2C" w:rsidRPr="00DE4ABB" w:rsidTr="00DE4ABB">
        <w:trPr>
          <w:trHeight w:val="240"/>
        </w:trPr>
        <w:tc>
          <w:tcPr>
            <w:tcW w:w="1906" w:type="dxa"/>
            <w:gridSpan w:val="2"/>
            <w:vMerge w:val="restart"/>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Vedlejší obor JE, JF</w:t>
            </w:r>
          </w:p>
        </w:tc>
        <w:tc>
          <w:tcPr>
            <w:tcW w:w="7818" w:type="dxa"/>
            <w:gridSpan w:val="8"/>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Skutečný stav</w:t>
            </w:r>
          </w:p>
        </w:tc>
      </w:tr>
      <w:tr w:rsidR="00A52D2C" w:rsidRPr="00DE4ABB" w:rsidTr="00DE4ABB">
        <w:trPr>
          <w:trHeight w:val="240"/>
        </w:trPr>
        <w:tc>
          <w:tcPr>
            <w:tcW w:w="1906" w:type="dxa"/>
            <w:gridSpan w:val="2"/>
            <w:vMerge/>
            <w:shd w:val="clear" w:color="000000" w:fill="D1120D"/>
            <w:noWrap/>
            <w:hideMark/>
          </w:tcPr>
          <w:p w:rsidR="00A52D2C" w:rsidRPr="00DE4ABB" w:rsidRDefault="00A52D2C" w:rsidP="00BC5587">
            <w:pPr>
              <w:spacing w:before="120" w:after="0" w:line="276" w:lineRule="auto"/>
              <w:rPr>
                <w:sz w:val="20"/>
                <w:szCs w:val="20"/>
              </w:rPr>
            </w:pPr>
          </w:p>
        </w:tc>
        <w:tc>
          <w:tcPr>
            <w:tcW w:w="849"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2009</w:t>
            </w:r>
          </w:p>
        </w:tc>
        <w:tc>
          <w:tcPr>
            <w:tcW w:w="849"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2010</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2011</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2012</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2013</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2014</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2015</w:t>
            </w:r>
          </w:p>
        </w:tc>
        <w:tc>
          <w:tcPr>
            <w:tcW w:w="102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Celkem</w:t>
            </w:r>
          </w:p>
        </w:tc>
      </w:tr>
      <w:tr w:rsidR="00A52D2C" w:rsidRPr="00DE4ABB"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Podpořené</w:t>
            </w:r>
          </w:p>
        </w:tc>
        <w:tc>
          <w:tcPr>
            <w:tcW w:w="82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86 743 </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117 971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177 803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195 609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187 285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178 226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153 883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1 097 519 </w:t>
            </w:r>
          </w:p>
        </w:tc>
      </w:tr>
      <w:tr w:rsidR="00A52D2C" w:rsidRPr="00DE4ABB" w:rsidTr="00B53D84">
        <w:trPr>
          <w:trHeight w:val="240"/>
        </w:trPr>
        <w:tc>
          <w:tcPr>
            <w:tcW w:w="1084"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82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849"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114 850 </w:t>
            </w:r>
          </w:p>
        </w:tc>
        <w:tc>
          <w:tcPr>
            <w:tcW w:w="849"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156 195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235 471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265 468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269 272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267 247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237 796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1 546 299 </w:t>
            </w:r>
          </w:p>
        </w:tc>
      </w:tr>
      <w:tr w:rsidR="00A52D2C" w:rsidRPr="00DE4ABB"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Nepodpořené</w:t>
            </w:r>
          </w:p>
        </w:tc>
        <w:tc>
          <w:tcPr>
            <w:tcW w:w="82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409 970 </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557 560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744 008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867 329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828 204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712 942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721 433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4 841 445 </w:t>
            </w:r>
          </w:p>
        </w:tc>
      </w:tr>
      <w:tr w:rsidR="00A52D2C" w:rsidRPr="00DE4ABB" w:rsidTr="00B53D84">
        <w:trPr>
          <w:trHeight w:val="240"/>
        </w:trPr>
        <w:tc>
          <w:tcPr>
            <w:tcW w:w="1084"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822"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849"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591 509 </w:t>
            </w:r>
          </w:p>
        </w:tc>
        <w:tc>
          <w:tcPr>
            <w:tcW w:w="849"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804 452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1 078 514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1 263 898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1 241 465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1 100 881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1 162 081 </w:t>
            </w:r>
          </w:p>
        </w:tc>
        <w:tc>
          <w:tcPr>
            <w:tcW w:w="1020" w:type="dxa"/>
            <w:shd w:val="clear" w:color="auto" w:fill="auto"/>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7 242 800 </w:t>
            </w:r>
          </w:p>
        </w:tc>
      </w:tr>
      <w:tr w:rsidR="00A52D2C" w:rsidRPr="00DE4ABB" w:rsidTr="00B53D84">
        <w:trPr>
          <w:trHeight w:val="240"/>
        </w:trPr>
        <w:tc>
          <w:tcPr>
            <w:tcW w:w="1084"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Celkem</w:t>
            </w:r>
          </w:p>
        </w:tc>
        <w:tc>
          <w:tcPr>
            <w:tcW w:w="822"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Dotace</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496 713 </w:t>
            </w:r>
          </w:p>
        </w:tc>
        <w:tc>
          <w:tcPr>
            <w:tcW w:w="849"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675 530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921 810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1 062 938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1 015 489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891 168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875 316 </w:t>
            </w:r>
          </w:p>
        </w:tc>
        <w:tc>
          <w:tcPr>
            <w:tcW w:w="1020" w:type="dxa"/>
            <w:shd w:val="clear" w:color="000000" w:fill="FBB7B7"/>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5 938 965 </w:t>
            </w:r>
          </w:p>
        </w:tc>
      </w:tr>
      <w:tr w:rsidR="00A52D2C" w:rsidRPr="00DE4ABB" w:rsidTr="00B53D84">
        <w:trPr>
          <w:trHeight w:val="240"/>
        </w:trPr>
        <w:tc>
          <w:tcPr>
            <w:tcW w:w="1084"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w:t>
            </w:r>
          </w:p>
        </w:tc>
        <w:tc>
          <w:tcPr>
            <w:tcW w:w="822"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Náklady</w:t>
            </w:r>
          </w:p>
        </w:tc>
        <w:tc>
          <w:tcPr>
            <w:tcW w:w="849"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706 359 </w:t>
            </w:r>
          </w:p>
        </w:tc>
        <w:tc>
          <w:tcPr>
            <w:tcW w:w="849"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960 648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1 313 985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1 529 366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1 510 737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1 368 128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1 399 877 </w:t>
            </w:r>
          </w:p>
        </w:tc>
        <w:tc>
          <w:tcPr>
            <w:tcW w:w="1020" w:type="dxa"/>
            <w:shd w:val="clear" w:color="000000" w:fill="FFFFFF"/>
            <w:noWrap/>
            <w:vAlign w:val="center"/>
            <w:hideMark/>
          </w:tcPr>
          <w:p w:rsidR="00A52D2C" w:rsidRPr="00B53D84" w:rsidRDefault="00A52D2C" w:rsidP="00BC5587">
            <w:pPr>
              <w:spacing w:before="120" w:after="0" w:line="276" w:lineRule="auto"/>
              <w:rPr>
                <w:sz w:val="18"/>
                <w:szCs w:val="18"/>
              </w:rPr>
            </w:pPr>
            <w:r w:rsidRPr="00B53D84">
              <w:rPr>
                <w:sz w:val="18"/>
                <w:szCs w:val="18"/>
              </w:rPr>
              <w:t xml:space="preserve">8 789 099 </w:t>
            </w:r>
          </w:p>
        </w:tc>
      </w:tr>
    </w:tbl>
    <w:p w:rsidR="00A52D2C" w:rsidRPr="00A52D2C" w:rsidRDefault="00A52D2C" w:rsidP="00BC5587">
      <w:pPr>
        <w:pStyle w:val="zdroj"/>
        <w:spacing w:before="120" w:after="0" w:line="276" w:lineRule="auto"/>
      </w:pPr>
      <w:r w:rsidRPr="00A52D2C">
        <w:t>Zdroj: IS PATRIOT, MPO, vlastní výpočet</w:t>
      </w:r>
    </w:p>
    <w:p w:rsidR="00A52D2C" w:rsidRDefault="00A52D2C" w:rsidP="00BC5587">
      <w:pPr>
        <w:spacing w:before="120" w:after="0" w:line="276" w:lineRule="auto"/>
      </w:pPr>
      <w:r w:rsidRPr="00A52D2C">
        <w:t xml:space="preserve">Celková výše podpory na projekty, které směřují ve vedlejším oboru JE, JF činila mezi lety 2009 – 2015 celkem 1,1 mld. Kč (ročně přibližně 157 mil. Kč). Celkové požadavky uchazečů ve stejném období činily necelých 6 mld. Kč. </w:t>
      </w:r>
    </w:p>
    <w:p w:rsidR="00A52D2C" w:rsidRPr="00A52D2C" w:rsidRDefault="00A52D2C" w:rsidP="00636838">
      <w:pPr>
        <w:pStyle w:val="Titulek"/>
        <w:keepNext/>
        <w:keepLines/>
        <w:spacing w:before="120" w:after="0" w:line="276" w:lineRule="auto"/>
      </w:pPr>
      <w:r w:rsidRPr="00A52D2C">
        <w:lastRenderedPageBreak/>
        <w:t xml:space="preserve">Tab. </w:t>
      </w:r>
      <w:fldSimple w:instr=" SEQ Tab. \* ARABIC ">
        <w:r w:rsidR="00650FB0">
          <w:rPr>
            <w:noProof/>
          </w:rPr>
          <w:t>8</w:t>
        </w:r>
      </w:fldSimple>
      <w:r w:rsidRPr="00A52D2C">
        <w:t>: Vývoj účelové podpory na schválené projekty s hlavním oborem JE, JF, v tis. Kč</w:t>
      </w:r>
    </w:p>
    <w:tbl>
      <w:tblPr>
        <w:tblW w:w="97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22"/>
        <w:gridCol w:w="1188"/>
        <w:gridCol w:w="1300"/>
        <w:gridCol w:w="1078"/>
        <w:gridCol w:w="1078"/>
        <w:gridCol w:w="1078"/>
        <w:gridCol w:w="780"/>
        <w:gridCol w:w="1300"/>
      </w:tblGrid>
      <w:tr w:rsidR="00A52D2C" w:rsidRPr="00DE4ABB" w:rsidTr="00DE4ABB">
        <w:trPr>
          <w:trHeight w:val="240"/>
        </w:trPr>
        <w:tc>
          <w:tcPr>
            <w:tcW w:w="3110" w:type="dxa"/>
            <w:gridSpan w:val="2"/>
            <w:vMerge w:val="restart"/>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Hlavní obor JE, JF</w:t>
            </w:r>
          </w:p>
        </w:tc>
        <w:tc>
          <w:tcPr>
            <w:tcW w:w="6614" w:type="dxa"/>
            <w:gridSpan w:val="6"/>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Schválená účelová podpora</w:t>
            </w:r>
          </w:p>
        </w:tc>
      </w:tr>
      <w:tr w:rsidR="00A52D2C" w:rsidRPr="00DE4ABB" w:rsidTr="00DE4ABB">
        <w:trPr>
          <w:trHeight w:val="240"/>
        </w:trPr>
        <w:tc>
          <w:tcPr>
            <w:tcW w:w="3110" w:type="dxa"/>
            <w:gridSpan w:val="2"/>
            <w:vMerge/>
            <w:vAlign w:val="center"/>
            <w:hideMark/>
          </w:tcPr>
          <w:p w:rsidR="00A52D2C" w:rsidRPr="00DE4ABB" w:rsidRDefault="00A52D2C" w:rsidP="00636838">
            <w:pPr>
              <w:keepNext/>
              <w:keepLines/>
              <w:spacing w:before="120" w:after="0" w:line="276" w:lineRule="auto"/>
              <w:rPr>
                <w:sz w:val="20"/>
                <w:szCs w:val="20"/>
              </w:rPr>
            </w:pPr>
          </w:p>
        </w:tc>
        <w:tc>
          <w:tcPr>
            <w:tcW w:w="1300"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2016</w:t>
            </w:r>
          </w:p>
        </w:tc>
        <w:tc>
          <w:tcPr>
            <w:tcW w:w="1078"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2017</w:t>
            </w:r>
          </w:p>
        </w:tc>
        <w:tc>
          <w:tcPr>
            <w:tcW w:w="1078"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2018</w:t>
            </w:r>
          </w:p>
        </w:tc>
        <w:tc>
          <w:tcPr>
            <w:tcW w:w="1078"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2019</w:t>
            </w:r>
          </w:p>
        </w:tc>
        <w:tc>
          <w:tcPr>
            <w:tcW w:w="780"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2020</w:t>
            </w:r>
          </w:p>
        </w:tc>
        <w:tc>
          <w:tcPr>
            <w:tcW w:w="1300"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r>
      <w:tr w:rsidR="00A52D2C" w:rsidRPr="00DE4ABB" w:rsidTr="00DE4ABB">
        <w:trPr>
          <w:trHeight w:val="240"/>
        </w:trPr>
        <w:tc>
          <w:tcPr>
            <w:tcW w:w="192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Podpořené</w:t>
            </w:r>
          </w:p>
        </w:tc>
        <w:tc>
          <w:tcPr>
            <w:tcW w:w="118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Dotace</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90 320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69 258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43 900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27 071 </w:t>
            </w:r>
          </w:p>
        </w:tc>
        <w:tc>
          <w:tcPr>
            <w:tcW w:w="78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469 </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231 018 </w:t>
            </w:r>
          </w:p>
        </w:tc>
      </w:tr>
      <w:tr w:rsidR="00A52D2C" w:rsidRPr="00DE4ABB" w:rsidTr="00DE4ABB">
        <w:trPr>
          <w:trHeight w:val="240"/>
        </w:trPr>
        <w:tc>
          <w:tcPr>
            <w:tcW w:w="192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w:t>
            </w:r>
          </w:p>
        </w:tc>
        <w:tc>
          <w:tcPr>
            <w:tcW w:w="118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Náklady</w:t>
            </w:r>
          </w:p>
        </w:tc>
        <w:tc>
          <w:tcPr>
            <w:tcW w:w="130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138 903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107 366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67 016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42 403 </w:t>
            </w:r>
          </w:p>
        </w:tc>
        <w:tc>
          <w:tcPr>
            <w:tcW w:w="78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629 </w:t>
            </w:r>
          </w:p>
        </w:tc>
        <w:tc>
          <w:tcPr>
            <w:tcW w:w="130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356 317 </w:t>
            </w:r>
          </w:p>
        </w:tc>
      </w:tr>
      <w:tr w:rsidR="00A52D2C" w:rsidRPr="00DE4ABB" w:rsidTr="00DE4ABB">
        <w:trPr>
          <w:trHeight w:val="240"/>
        </w:trPr>
        <w:tc>
          <w:tcPr>
            <w:tcW w:w="192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Nepodpořené</w:t>
            </w:r>
          </w:p>
        </w:tc>
        <w:tc>
          <w:tcPr>
            <w:tcW w:w="118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Dotace</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554 320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426 727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235 869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183 478 </w:t>
            </w:r>
          </w:p>
        </w:tc>
        <w:tc>
          <w:tcPr>
            <w:tcW w:w="78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2 021 </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1 402 415 </w:t>
            </w:r>
          </w:p>
        </w:tc>
      </w:tr>
      <w:tr w:rsidR="00A52D2C" w:rsidRPr="00DE4ABB" w:rsidTr="00DE4ABB">
        <w:trPr>
          <w:trHeight w:val="240"/>
        </w:trPr>
        <w:tc>
          <w:tcPr>
            <w:tcW w:w="1922"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w:t>
            </w:r>
          </w:p>
        </w:tc>
        <w:tc>
          <w:tcPr>
            <w:tcW w:w="118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Náklady</w:t>
            </w:r>
          </w:p>
        </w:tc>
        <w:tc>
          <w:tcPr>
            <w:tcW w:w="130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870 876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656 897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348 693 </w:t>
            </w:r>
          </w:p>
        </w:tc>
        <w:tc>
          <w:tcPr>
            <w:tcW w:w="1078"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266 553 </w:t>
            </w:r>
          </w:p>
        </w:tc>
        <w:tc>
          <w:tcPr>
            <w:tcW w:w="78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2 841 </w:t>
            </w:r>
          </w:p>
        </w:tc>
        <w:tc>
          <w:tcPr>
            <w:tcW w:w="1300" w:type="dxa"/>
            <w:shd w:val="clear" w:color="auto" w:fill="auto"/>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2 145 861 </w:t>
            </w:r>
          </w:p>
        </w:tc>
      </w:tr>
      <w:tr w:rsidR="00A52D2C" w:rsidRPr="00DE4ABB" w:rsidTr="00DE4ABB">
        <w:trPr>
          <w:trHeight w:val="240"/>
        </w:trPr>
        <w:tc>
          <w:tcPr>
            <w:tcW w:w="192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c>
          <w:tcPr>
            <w:tcW w:w="118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Dotace</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644 640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495 985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279 768 </w:t>
            </w:r>
          </w:p>
        </w:tc>
        <w:tc>
          <w:tcPr>
            <w:tcW w:w="107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210 549 </w:t>
            </w:r>
          </w:p>
        </w:tc>
        <w:tc>
          <w:tcPr>
            <w:tcW w:w="78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2 489 </w:t>
            </w:r>
          </w:p>
        </w:tc>
        <w:tc>
          <w:tcPr>
            <w:tcW w:w="1300"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1 633 433 </w:t>
            </w:r>
          </w:p>
        </w:tc>
      </w:tr>
      <w:tr w:rsidR="00A52D2C" w:rsidRPr="00DE4ABB" w:rsidTr="00DE4ABB">
        <w:trPr>
          <w:trHeight w:val="240"/>
        </w:trPr>
        <w:tc>
          <w:tcPr>
            <w:tcW w:w="192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w:t>
            </w:r>
          </w:p>
        </w:tc>
        <w:tc>
          <w:tcPr>
            <w:tcW w:w="118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Náklady</w:t>
            </w:r>
          </w:p>
        </w:tc>
        <w:tc>
          <w:tcPr>
            <w:tcW w:w="1300"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1 009 779 </w:t>
            </w:r>
          </w:p>
        </w:tc>
        <w:tc>
          <w:tcPr>
            <w:tcW w:w="107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764 263 </w:t>
            </w:r>
          </w:p>
        </w:tc>
        <w:tc>
          <w:tcPr>
            <w:tcW w:w="107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415 709 </w:t>
            </w:r>
          </w:p>
        </w:tc>
        <w:tc>
          <w:tcPr>
            <w:tcW w:w="107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308 955 </w:t>
            </w:r>
          </w:p>
        </w:tc>
        <w:tc>
          <w:tcPr>
            <w:tcW w:w="780"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3 471 </w:t>
            </w:r>
          </w:p>
        </w:tc>
        <w:tc>
          <w:tcPr>
            <w:tcW w:w="1300"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2 502 178 </w:t>
            </w:r>
          </w:p>
        </w:tc>
      </w:tr>
    </w:tbl>
    <w:p w:rsidR="00A52D2C" w:rsidRPr="00A52D2C" w:rsidRDefault="00A52D2C" w:rsidP="00636838">
      <w:pPr>
        <w:pStyle w:val="zdroj"/>
        <w:keepNext/>
        <w:keepLines/>
        <w:spacing w:before="120" w:after="0" w:line="276" w:lineRule="auto"/>
      </w:pPr>
      <w:r w:rsidRPr="00A52D2C">
        <w:t>Zdroj: IS PATRIOT, MPO, vlastní výpočet</w:t>
      </w:r>
    </w:p>
    <w:p w:rsidR="00A52D2C" w:rsidRPr="00A52D2C" w:rsidRDefault="00A52D2C" w:rsidP="00BC5587">
      <w:pPr>
        <w:pStyle w:val="atun"/>
        <w:spacing w:before="120" w:after="0" w:line="276" w:lineRule="auto"/>
      </w:pPr>
      <w:r w:rsidRPr="00A52D2C">
        <w:t>Analýza účastníků</w:t>
      </w:r>
    </w:p>
    <w:p w:rsidR="00A52D2C" w:rsidRPr="00A52D2C" w:rsidRDefault="00A52D2C" w:rsidP="00BC5587">
      <w:pPr>
        <w:spacing w:before="120" w:after="0" w:line="276" w:lineRule="auto"/>
      </w:pPr>
      <w:r w:rsidRPr="00A52D2C">
        <w:t xml:space="preserve">Právě uchazeči a účastníci projektů VaVaI jsou nositeli veškerých aktivit spojených s řešením projektů (mimo poskytovatele podpory). Proto i analýza uchazečů a účastníků programu je nedílnou součástí podkladové studie. </w:t>
      </w:r>
    </w:p>
    <w:p w:rsidR="00A52D2C" w:rsidRPr="00A52D2C" w:rsidRDefault="00A52D2C" w:rsidP="00BC5587">
      <w:pPr>
        <w:spacing w:before="120" w:after="0" w:line="276" w:lineRule="auto"/>
      </w:pPr>
      <w:r w:rsidRPr="00A52D2C">
        <w:t>Pro potřeby programu THÉTA využijme zkušenosti z programů TA ČR. Výběr relevantních projektů (a tedy subjektů) je proveden na základě účasti v projektu s hlavním oborem CEP JE, JF z vybraných programů a veřejných soutěží</w:t>
      </w:r>
      <w:r w:rsidRPr="00A52D2C">
        <w:rPr>
          <w:rStyle w:val="Znakapoznpodarou"/>
        </w:rPr>
        <w:footnoteReference w:id="4"/>
      </w:r>
      <w:r w:rsidRPr="00A52D2C">
        <w:t>.</w:t>
      </w:r>
    </w:p>
    <w:p w:rsidR="00A52D2C" w:rsidRPr="00A52D2C" w:rsidRDefault="00A52D2C" w:rsidP="00BC5587">
      <w:pPr>
        <w:spacing w:before="120" w:after="0" w:line="276" w:lineRule="auto"/>
      </w:pPr>
      <w:r w:rsidRPr="00A52D2C">
        <w:t xml:space="preserve">Z důvodu nedostatečných dat o účastech subjektů v programech MPO nelze plně porovnávat absolutní hodnoty s údaji uvedenými v  předchozích kapitolách. Struktura účastí subjektů je pak uvedena v </w:t>
      </w:r>
      <w:r w:rsidRPr="00A52D2C">
        <w:fldChar w:fldCharType="begin"/>
      </w:r>
      <w:r w:rsidRPr="00A52D2C">
        <w:instrText xml:space="preserve"> REF _Ref461782104 \h </w:instrText>
      </w:r>
      <w:r>
        <w:instrText xml:space="preserve"> \* MERGEFORMAT </w:instrText>
      </w:r>
      <w:r w:rsidRPr="00A52D2C">
        <w:fldChar w:fldCharType="separate"/>
      </w:r>
      <w:r w:rsidR="00650FB0" w:rsidRPr="00A52D2C">
        <w:t xml:space="preserve">Tab. </w:t>
      </w:r>
      <w:r w:rsidR="00650FB0">
        <w:rPr>
          <w:noProof/>
        </w:rPr>
        <w:t>10</w:t>
      </w:r>
      <w:r w:rsidRPr="00A52D2C">
        <w:fldChar w:fldCharType="end"/>
      </w:r>
      <w:r w:rsidRPr="00A52D2C">
        <w:t xml:space="preserve">. V obou kategoriích (podpořené, nepodpořené) těsně převažují účasti podniků nad výzkumnými organizacemi. </w:t>
      </w:r>
    </w:p>
    <w:p w:rsidR="00A52D2C" w:rsidRDefault="00A52D2C" w:rsidP="00BC5587">
      <w:pPr>
        <w:spacing w:before="120" w:after="0" w:line="276" w:lineRule="auto"/>
      </w:pPr>
      <w:r w:rsidRPr="00A52D2C">
        <w:t>Nejvýznamnějšími zúčastněnými skupinami jsou veřejné vysoké školy (32,0 %, resp. 29,4 %), a velké podniky (24,9 % resp. 17,4 %).</w:t>
      </w: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A52D2C" w:rsidRPr="00A52D2C" w:rsidRDefault="00A52D2C" w:rsidP="00BC5587">
      <w:pPr>
        <w:pStyle w:val="Titulek"/>
        <w:spacing w:before="120" w:after="0" w:line="276" w:lineRule="auto"/>
      </w:pPr>
      <w:r w:rsidRPr="00A52D2C">
        <w:lastRenderedPageBreak/>
        <w:t xml:space="preserve">Tab. </w:t>
      </w:r>
      <w:fldSimple w:instr=" SEQ Tab. \* ARABIC ">
        <w:r w:rsidR="00650FB0">
          <w:rPr>
            <w:noProof/>
          </w:rPr>
          <w:t>9</w:t>
        </w:r>
      </w:fldSimple>
      <w:r w:rsidRPr="00A52D2C">
        <w:t>: Účast subjektů v projektech s hlavním oborem JE, JF, absolutně</w:t>
      </w:r>
    </w:p>
    <w:tbl>
      <w:tblPr>
        <w:tblW w:w="74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34"/>
        <w:gridCol w:w="1453"/>
        <w:gridCol w:w="1454"/>
        <w:gridCol w:w="1454"/>
      </w:tblGrid>
      <w:tr w:rsidR="00A52D2C" w:rsidRPr="00DE4ABB" w:rsidTr="00DE4ABB">
        <w:trPr>
          <w:trHeight w:val="240"/>
        </w:trPr>
        <w:tc>
          <w:tcPr>
            <w:tcW w:w="3134" w:type="dxa"/>
            <w:vMerge w:val="restart"/>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Druh organizace</w:t>
            </w:r>
          </w:p>
        </w:tc>
        <w:tc>
          <w:tcPr>
            <w:tcW w:w="4361" w:type="dxa"/>
            <w:gridSpan w:val="3"/>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Projekty</w:t>
            </w:r>
          </w:p>
        </w:tc>
      </w:tr>
      <w:tr w:rsidR="00A52D2C" w:rsidRPr="00DE4ABB" w:rsidTr="00DE4ABB">
        <w:trPr>
          <w:trHeight w:val="240"/>
        </w:trPr>
        <w:tc>
          <w:tcPr>
            <w:tcW w:w="3134" w:type="dxa"/>
            <w:vMerge/>
            <w:vAlign w:val="center"/>
            <w:hideMark/>
          </w:tcPr>
          <w:p w:rsidR="00A52D2C" w:rsidRPr="00DE4ABB" w:rsidRDefault="00A52D2C" w:rsidP="00BC5587">
            <w:pPr>
              <w:spacing w:before="120" w:after="0" w:line="276" w:lineRule="auto"/>
              <w:rPr>
                <w:sz w:val="20"/>
                <w:szCs w:val="20"/>
              </w:rPr>
            </w:pPr>
          </w:p>
        </w:tc>
        <w:tc>
          <w:tcPr>
            <w:tcW w:w="1453"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Podpořené</w:t>
            </w:r>
          </w:p>
        </w:tc>
        <w:tc>
          <w:tcPr>
            <w:tcW w:w="1454"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Nepodpořené</w:t>
            </w:r>
          </w:p>
        </w:tc>
        <w:tc>
          <w:tcPr>
            <w:tcW w:w="1454"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Celkem</w:t>
            </w:r>
          </w:p>
        </w:tc>
      </w:tr>
      <w:tr w:rsidR="00A52D2C" w:rsidRPr="00DE4ABB" w:rsidTr="00DE4ABB">
        <w:trPr>
          <w:trHeight w:val="240"/>
        </w:trPr>
        <w:tc>
          <w:tcPr>
            <w:tcW w:w="313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Výzkumné organizace</w:t>
            </w:r>
          </w:p>
        </w:tc>
        <w:tc>
          <w:tcPr>
            <w:tcW w:w="1453"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146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352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498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Veřejné vysoké školy</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95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228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323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Ústavy akademie věd ČR</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36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50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ostatní veřejné výzkumné instituce</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28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ostatní výzkumné organizace</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33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97 </w:t>
            </w:r>
          </w:p>
        </w:tc>
      </w:tr>
      <w:tr w:rsidR="00A52D2C" w:rsidRPr="00DE4ABB" w:rsidTr="00DE4ABB">
        <w:trPr>
          <w:trHeight w:val="240"/>
        </w:trPr>
        <w:tc>
          <w:tcPr>
            <w:tcW w:w="313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Podniky:</w:t>
            </w:r>
          </w:p>
        </w:tc>
        <w:tc>
          <w:tcPr>
            <w:tcW w:w="1453"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151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415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566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malé</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44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186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230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střední</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33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94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127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velké</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74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135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209 </w:t>
            </w:r>
          </w:p>
        </w:tc>
      </w:tr>
      <w:tr w:rsidR="00A52D2C" w:rsidRPr="00DE4ABB" w:rsidTr="00DE4ABB">
        <w:trPr>
          <w:trHeight w:val="240"/>
        </w:trPr>
        <w:tc>
          <w:tcPr>
            <w:tcW w:w="313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Zahraniční výzkumné organizace</w:t>
            </w:r>
          </w:p>
        </w:tc>
        <w:tc>
          <w:tcPr>
            <w:tcW w:w="1453"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 </w:t>
            </w:r>
          </w:p>
        </w:tc>
      </w:tr>
      <w:tr w:rsidR="00A52D2C" w:rsidRPr="00DE4ABB" w:rsidTr="00DE4ABB">
        <w:trPr>
          <w:trHeight w:val="240"/>
        </w:trPr>
        <w:tc>
          <w:tcPr>
            <w:tcW w:w="313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Zahraniční podniky</w:t>
            </w:r>
          </w:p>
        </w:tc>
        <w:tc>
          <w:tcPr>
            <w:tcW w:w="1453"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malé</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střední</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w:t>
            </w:r>
          </w:p>
        </w:tc>
      </w:tr>
      <w:tr w:rsidR="00A52D2C" w:rsidRPr="00DE4ABB" w:rsidTr="00DE4ABB">
        <w:trPr>
          <w:trHeight w:val="240"/>
        </w:trPr>
        <w:tc>
          <w:tcPr>
            <w:tcW w:w="313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velké</w:t>
            </w:r>
          </w:p>
        </w:tc>
        <w:tc>
          <w:tcPr>
            <w:tcW w:w="1453"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454" w:type="dxa"/>
            <w:shd w:val="clear" w:color="000000" w:fill="FFFFFF"/>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r>
      <w:tr w:rsidR="00A52D2C" w:rsidRPr="00DE4ABB" w:rsidTr="00DE4ABB">
        <w:trPr>
          <w:trHeight w:val="240"/>
        </w:trPr>
        <w:tc>
          <w:tcPr>
            <w:tcW w:w="313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Celkem</w:t>
            </w:r>
          </w:p>
        </w:tc>
        <w:tc>
          <w:tcPr>
            <w:tcW w:w="1453"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297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776 </w:t>
            </w:r>
          </w:p>
        </w:tc>
        <w:tc>
          <w:tcPr>
            <w:tcW w:w="1454"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1 073 </w:t>
            </w:r>
          </w:p>
        </w:tc>
      </w:tr>
    </w:tbl>
    <w:p w:rsidR="00A52D2C" w:rsidRPr="00A52D2C" w:rsidRDefault="00A52D2C" w:rsidP="00BC5587">
      <w:pPr>
        <w:pStyle w:val="zdroj"/>
        <w:spacing w:before="120" w:after="0" w:line="276" w:lineRule="auto"/>
      </w:pPr>
      <w:r w:rsidRPr="00A52D2C">
        <w:t>Zdroj: IS PATRIOT, vlastní výpočet</w:t>
      </w:r>
    </w:p>
    <w:p w:rsidR="00A52D2C" w:rsidRPr="00A52D2C" w:rsidRDefault="00A52D2C" w:rsidP="00636838">
      <w:pPr>
        <w:pStyle w:val="Titulek"/>
        <w:keepNext/>
        <w:keepLines/>
        <w:spacing w:before="120" w:after="0" w:line="276" w:lineRule="auto"/>
      </w:pPr>
      <w:bookmarkStart w:id="222" w:name="_Ref461782104"/>
      <w:r w:rsidRPr="00A52D2C">
        <w:lastRenderedPageBreak/>
        <w:t xml:space="preserve">Tab. </w:t>
      </w:r>
      <w:fldSimple w:instr=" SEQ Tab. \* ARABIC ">
        <w:r w:rsidR="00650FB0">
          <w:rPr>
            <w:noProof/>
          </w:rPr>
          <w:t>10</w:t>
        </w:r>
      </w:fldSimple>
      <w:bookmarkEnd w:id="222"/>
      <w:r w:rsidRPr="00A52D2C">
        <w:t>: Účast subjektů v projektech s hlavním obor JE, JF, relativně</w:t>
      </w:r>
    </w:p>
    <w:tbl>
      <w:tblPr>
        <w:tblW w:w="767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1403"/>
        <w:gridCol w:w="1755"/>
        <w:gridCol w:w="1402"/>
      </w:tblGrid>
      <w:tr w:rsidR="00A52D2C" w:rsidRPr="00DE4ABB" w:rsidTr="00DE4ABB">
        <w:trPr>
          <w:trHeight w:val="240"/>
        </w:trPr>
        <w:tc>
          <w:tcPr>
            <w:tcW w:w="3118" w:type="dxa"/>
            <w:vMerge w:val="restart"/>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Druh organizace</w:t>
            </w:r>
          </w:p>
        </w:tc>
        <w:tc>
          <w:tcPr>
            <w:tcW w:w="4560" w:type="dxa"/>
            <w:gridSpan w:val="3"/>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Projekty</w:t>
            </w:r>
          </w:p>
        </w:tc>
      </w:tr>
      <w:tr w:rsidR="00A52D2C" w:rsidRPr="00DE4ABB" w:rsidTr="00DE4ABB">
        <w:trPr>
          <w:trHeight w:val="240"/>
        </w:trPr>
        <w:tc>
          <w:tcPr>
            <w:tcW w:w="3118" w:type="dxa"/>
            <w:vMerge/>
            <w:vAlign w:val="center"/>
            <w:hideMark/>
          </w:tcPr>
          <w:p w:rsidR="00A52D2C" w:rsidRPr="00DE4ABB" w:rsidRDefault="00A52D2C" w:rsidP="00636838">
            <w:pPr>
              <w:keepNext/>
              <w:keepLines/>
              <w:spacing w:before="120" w:after="0" w:line="276" w:lineRule="auto"/>
              <w:rPr>
                <w:sz w:val="20"/>
                <w:szCs w:val="20"/>
              </w:rPr>
            </w:pPr>
          </w:p>
        </w:tc>
        <w:tc>
          <w:tcPr>
            <w:tcW w:w="1403"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Podpořené</w:t>
            </w:r>
          </w:p>
        </w:tc>
        <w:tc>
          <w:tcPr>
            <w:tcW w:w="1755"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Nepodpořené</w:t>
            </w:r>
          </w:p>
        </w:tc>
        <w:tc>
          <w:tcPr>
            <w:tcW w:w="1402"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r>
      <w:tr w:rsidR="00A52D2C" w:rsidRPr="00DE4ABB" w:rsidTr="00DE4ABB">
        <w:trPr>
          <w:trHeight w:val="240"/>
        </w:trPr>
        <w:tc>
          <w:tcPr>
            <w:tcW w:w="311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Výzkumné organizace</w:t>
            </w:r>
          </w:p>
        </w:tc>
        <w:tc>
          <w:tcPr>
            <w:tcW w:w="1403"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49,2 </w:t>
            </w:r>
          </w:p>
        </w:tc>
        <w:tc>
          <w:tcPr>
            <w:tcW w:w="175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45,4 </w:t>
            </w:r>
          </w:p>
        </w:tc>
        <w:tc>
          <w:tcPr>
            <w:tcW w:w="140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46,4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Veřejné vysoké školy</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32,0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29,4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30,1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Ústavy akademie věd ČR</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4,7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4,6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4,7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ostatní veřejné výzkumné instituce</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1,3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3,1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2,6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ostatní výzkumné organizace</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11,1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8,2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9,0 </w:t>
            </w:r>
          </w:p>
        </w:tc>
      </w:tr>
      <w:tr w:rsidR="00A52D2C" w:rsidRPr="00DE4ABB" w:rsidTr="00DE4ABB">
        <w:trPr>
          <w:trHeight w:val="240"/>
        </w:trPr>
        <w:tc>
          <w:tcPr>
            <w:tcW w:w="311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Podniky:</w:t>
            </w:r>
          </w:p>
        </w:tc>
        <w:tc>
          <w:tcPr>
            <w:tcW w:w="1403"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50,8 </w:t>
            </w:r>
          </w:p>
        </w:tc>
        <w:tc>
          <w:tcPr>
            <w:tcW w:w="175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53,5 </w:t>
            </w:r>
          </w:p>
        </w:tc>
        <w:tc>
          <w:tcPr>
            <w:tcW w:w="140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52,7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malé</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14,8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24,0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21,4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střední</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11,1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12,1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11,8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velké</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24,9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17,4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19,5 </w:t>
            </w:r>
          </w:p>
        </w:tc>
      </w:tr>
      <w:tr w:rsidR="00A52D2C" w:rsidRPr="00DE4ABB" w:rsidTr="00DE4ABB">
        <w:trPr>
          <w:trHeight w:val="240"/>
        </w:trPr>
        <w:tc>
          <w:tcPr>
            <w:tcW w:w="311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Zahraniční výzkumné organizace</w:t>
            </w:r>
          </w:p>
        </w:tc>
        <w:tc>
          <w:tcPr>
            <w:tcW w:w="1403"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75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0,8 </w:t>
            </w:r>
          </w:p>
        </w:tc>
        <w:tc>
          <w:tcPr>
            <w:tcW w:w="140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0,6 </w:t>
            </w:r>
          </w:p>
        </w:tc>
      </w:tr>
      <w:tr w:rsidR="00A52D2C" w:rsidRPr="00DE4ABB" w:rsidTr="00DE4ABB">
        <w:trPr>
          <w:trHeight w:val="240"/>
        </w:trPr>
        <w:tc>
          <w:tcPr>
            <w:tcW w:w="311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Zahraniční podniky</w:t>
            </w:r>
          </w:p>
        </w:tc>
        <w:tc>
          <w:tcPr>
            <w:tcW w:w="1403"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75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0,4 </w:t>
            </w:r>
          </w:p>
        </w:tc>
        <w:tc>
          <w:tcPr>
            <w:tcW w:w="140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0,3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malé</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0,3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0,2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střední</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0,1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0,1 </w:t>
            </w:r>
          </w:p>
        </w:tc>
      </w:tr>
      <w:tr w:rsidR="00A52D2C" w:rsidRPr="00DE4ABB" w:rsidTr="00DE4ABB">
        <w:trPr>
          <w:trHeight w:val="240"/>
        </w:trPr>
        <w:tc>
          <w:tcPr>
            <w:tcW w:w="3118"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velké</w:t>
            </w:r>
          </w:p>
        </w:tc>
        <w:tc>
          <w:tcPr>
            <w:tcW w:w="1403"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75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c>
          <w:tcPr>
            <w:tcW w:w="1402"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0,0 </w:t>
            </w:r>
          </w:p>
        </w:tc>
      </w:tr>
      <w:tr w:rsidR="00A52D2C" w:rsidRPr="00DE4ABB" w:rsidTr="00DE4ABB">
        <w:trPr>
          <w:trHeight w:val="240"/>
        </w:trPr>
        <w:tc>
          <w:tcPr>
            <w:tcW w:w="3118"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c>
          <w:tcPr>
            <w:tcW w:w="1403"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100,0 </w:t>
            </w:r>
          </w:p>
        </w:tc>
        <w:tc>
          <w:tcPr>
            <w:tcW w:w="175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100,0 </w:t>
            </w:r>
          </w:p>
        </w:tc>
        <w:tc>
          <w:tcPr>
            <w:tcW w:w="1402"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100,0 </w:t>
            </w:r>
          </w:p>
        </w:tc>
      </w:tr>
    </w:tbl>
    <w:p w:rsidR="00A52D2C" w:rsidRPr="00A52D2C" w:rsidRDefault="00A52D2C" w:rsidP="00636838">
      <w:pPr>
        <w:pStyle w:val="zdroj"/>
        <w:keepNext/>
        <w:keepLines/>
        <w:spacing w:before="120" w:after="0" w:line="276" w:lineRule="auto"/>
      </w:pPr>
      <w:r w:rsidRPr="00A52D2C">
        <w:t>Zdroj: IS PATRIOT, vlastní výpočet</w:t>
      </w:r>
    </w:p>
    <w:p w:rsidR="00A52D2C" w:rsidRDefault="00A52D2C" w:rsidP="00BC5587">
      <w:pPr>
        <w:spacing w:before="120" w:after="0" w:line="276" w:lineRule="auto"/>
      </w:pPr>
      <w:r w:rsidRPr="00A52D2C">
        <w:t>Do řešení projektů Technologické agentury v hlavním oboru JE, JF se celkem zapojilo 77 různých subjektů. Návrhy projektů, kterých se účastní velké podniky, jsou nejúspěšnější a více než polovina takových návrhů je schválena k podpoře (55 %).</w:t>
      </w:r>
    </w:p>
    <w:p w:rsidR="00A52D2C" w:rsidRPr="00A52D2C" w:rsidRDefault="00A52D2C" w:rsidP="00636838">
      <w:pPr>
        <w:pStyle w:val="Titulek"/>
        <w:keepNext/>
        <w:keepLines/>
        <w:spacing w:before="120" w:after="0" w:line="276" w:lineRule="auto"/>
      </w:pPr>
      <w:r w:rsidRPr="00A52D2C">
        <w:lastRenderedPageBreak/>
        <w:t xml:space="preserve">Tab. </w:t>
      </w:r>
      <w:fldSimple w:instr=" SEQ Tab. \* ARABIC ">
        <w:r w:rsidR="00650FB0">
          <w:rPr>
            <w:noProof/>
          </w:rPr>
          <w:t>11</w:t>
        </w:r>
      </w:fldSimple>
      <w:r w:rsidRPr="00A52D2C">
        <w:t>: Účast subjektů v projektech s hlavním obor JE, JF, absolutně, unikátně</w:t>
      </w:r>
    </w:p>
    <w:tbl>
      <w:tblPr>
        <w:tblW w:w="605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75"/>
        <w:gridCol w:w="1078"/>
        <w:gridCol w:w="1309"/>
        <w:gridCol w:w="886"/>
      </w:tblGrid>
      <w:tr w:rsidR="00A52D2C" w:rsidRPr="00DE4ABB" w:rsidTr="00DE4ABB">
        <w:trPr>
          <w:trHeight w:val="300"/>
        </w:trPr>
        <w:tc>
          <w:tcPr>
            <w:tcW w:w="3175" w:type="dxa"/>
            <w:vMerge w:val="restart"/>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Druh organizace – unikátní</w:t>
            </w:r>
          </w:p>
        </w:tc>
        <w:tc>
          <w:tcPr>
            <w:tcW w:w="2881" w:type="dxa"/>
            <w:gridSpan w:val="3"/>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Projekty</w:t>
            </w:r>
          </w:p>
        </w:tc>
      </w:tr>
      <w:tr w:rsidR="00A52D2C" w:rsidRPr="00DE4ABB" w:rsidTr="00DE4ABB">
        <w:trPr>
          <w:trHeight w:val="300"/>
        </w:trPr>
        <w:tc>
          <w:tcPr>
            <w:tcW w:w="3175" w:type="dxa"/>
            <w:vMerge/>
            <w:vAlign w:val="center"/>
            <w:hideMark/>
          </w:tcPr>
          <w:p w:rsidR="00A52D2C" w:rsidRPr="00DE4ABB" w:rsidRDefault="00A52D2C" w:rsidP="00636838">
            <w:pPr>
              <w:keepNext/>
              <w:keepLines/>
              <w:spacing w:before="120" w:after="0" w:line="276" w:lineRule="auto"/>
              <w:rPr>
                <w:sz w:val="20"/>
                <w:szCs w:val="20"/>
              </w:rPr>
            </w:pPr>
          </w:p>
        </w:tc>
        <w:tc>
          <w:tcPr>
            <w:tcW w:w="886"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Podpořené</w:t>
            </w:r>
          </w:p>
        </w:tc>
        <w:tc>
          <w:tcPr>
            <w:tcW w:w="1109"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Nepodpořené</w:t>
            </w:r>
          </w:p>
        </w:tc>
        <w:tc>
          <w:tcPr>
            <w:tcW w:w="886" w:type="dxa"/>
            <w:shd w:val="clear" w:color="000000" w:fill="D1120D"/>
            <w:noWrap/>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r>
      <w:tr w:rsidR="00A52D2C" w:rsidRPr="00DE4ABB" w:rsidTr="00DE4ABB">
        <w:trPr>
          <w:trHeight w:val="300"/>
        </w:trPr>
        <w:tc>
          <w:tcPr>
            <w:tcW w:w="317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Výzkumné organizace</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10 </w:t>
            </w:r>
          </w:p>
        </w:tc>
        <w:tc>
          <w:tcPr>
            <w:tcW w:w="1109"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35 </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45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Veřejné vysoké školy</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8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Ústavy akademie věd ČR</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8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ostatní veřejné výzkumné instituce</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5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ostatní výzkumné organizace</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15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18 </w:t>
            </w:r>
          </w:p>
        </w:tc>
      </w:tr>
      <w:tr w:rsidR="00A52D2C" w:rsidRPr="00DE4ABB" w:rsidTr="00DE4ABB">
        <w:trPr>
          <w:trHeight w:val="300"/>
        </w:trPr>
        <w:tc>
          <w:tcPr>
            <w:tcW w:w="317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Podniky:</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67 </w:t>
            </w:r>
          </w:p>
        </w:tc>
        <w:tc>
          <w:tcPr>
            <w:tcW w:w="1109"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200 </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267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malé</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29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114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143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střední</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15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49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64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velké</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23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37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60 </w:t>
            </w:r>
          </w:p>
        </w:tc>
      </w:tr>
      <w:tr w:rsidR="00A52D2C" w:rsidRPr="00DE4ABB" w:rsidTr="00DE4ABB">
        <w:trPr>
          <w:trHeight w:val="300"/>
        </w:trPr>
        <w:tc>
          <w:tcPr>
            <w:tcW w:w="317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Zahraniční výzkumné organizace</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 </w:t>
            </w:r>
          </w:p>
        </w:tc>
        <w:tc>
          <w:tcPr>
            <w:tcW w:w="1109"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 </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6 </w:t>
            </w:r>
          </w:p>
        </w:tc>
      </w:tr>
      <w:tr w:rsidR="00A52D2C" w:rsidRPr="00DE4ABB" w:rsidTr="00DE4ABB">
        <w:trPr>
          <w:trHeight w:val="300"/>
        </w:trPr>
        <w:tc>
          <w:tcPr>
            <w:tcW w:w="317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Zahraniční podniky</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 </w:t>
            </w:r>
          </w:p>
        </w:tc>
        <w:tc>
          <w:tcPr>
            <w:tcW w:w="1109"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malé</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 </w:t>
            </w:r>
          </w:p>
        </w:tc>
      </w:tr>
      <w:tr w:rsidR="00A52D2C" w:rsidRPr="00DE4ABB" w:rsidTr="00DE4ABB">
        <w:trPr>
          <w:trHeight w:val="300"/>
        </w:trPr>
        <w:tc>
          <w:tcPr>
            <w:tcW w:w="3175"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střední</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0 </w:t>
            </w:r>
          </w:p>
        </w:tc>
        <w:tc>
          <w:tcPr>
            <w:tcW w:w="1109"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w:t>
            </w:r>
          </w:p>
        </w:tc>
        <w:tc>
          <w:tcPr>
            <w:tcW w:w="886" w:type="dxa"/>
            <w:shd w:val="clear" w:color="000000" w:fill="FFFFFF"/>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1 </w:t>
            </w:r>
          </w:p>
        </w:tc>
      </w:tr>
      <w:tr w:rsidR="00A52D2C" w:rsidRPr="00DE4ABB" w:rsidTr="00DE4ABB">
        <w:trPr>
          <w:trHeight w:val="300"/>
        </w:trPr>
        <w:tc>
          <w:tcPr>
            <w:tcW w:w="3175"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Celkem</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77 </w:t>
            </w:r>
          </w:p>
        </w:tc>
        <w:tc>
          <w:tcPr>
            <w:tcW w:w="1109"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244 </w:t>
            </w:r>
          </w:p>
        </w:tc>
        <w:tc>
          <w:tcPr>
            <w:tcW w:w="886" w:type="dxa"/>
            <w:shd w:val="clear" w:color="000000" w:fill="FBB7B7"/>
            <w:noWrap/>
            <w:vAlign w:val="center"/>
            <w:hideMark/>
          </w:tcPr>
          <w:p w:rsidR="00A52D2C" w:rsidRPr="00DE4ABB" w:rsidRDefault="00A52D2C" w:rsidP="00636838">
            <w:pPr>
              <w:keepNext/>
              <w:keepLines/>
              <w:spacing w:before="120" w:after="0" w:line="276" w:lineRule="auto"/>
              <w:rPr>
                <w:sz w:val="20"/>
                <w:szCs w:val="20"/>
              </w:rPr>
            </w:pPr>
            <w:r w:rsidRPr="00DE4ABB">
              <w:rPr>
                <w:sz w:val="20"/>
                <w:szCs w:val="20"/>
              </w:rPr>
              <w:t xml:space="preserve">321 </w:t>
            </w:r>
          </w:p>
        </w:tc>
      </w:tr>
    </w:tbl>
    <w:p w:rsidR="00A52D2C" w:rsidRPr="00A52D2C" w:rsidRDefault="00A52D2C" w:rsidP="00636838">
      <w:pPr>
        <w:pStyle w:val="zdroj"/>
        <w:keepNext/>
        <w:keepLines/>
        <w:spacing w:before="120" w:after="0" w:line="276" w:lineRule="auto"/>
      </w:pPr>
      <w:r w:rsidRPr="00A52D2C">
        <w:t>Zdroj: IS PATRIOT, vlastní výpočet</w:t>
      </w:r>
    </w:p>
    <w:p w:rsidR="00A52D2C" w:rsidRPr="00A52D2C" w:rsidRDefault="00A52D2C" w:rsidP="00BC5587">
      <w:pPr>
        <w:pStyle w:val="atun"/>
        <w:spacing w:before="120" w:after="0" w:line="276" w:lineRule="auto"/>
      </w:pPr>
      <w:r w:rsidRPr="00A52D2C">
        <w:t>Analýza očekávaných výsledků</w:t>
      </w:r>
    </w:p>
    <w:p w:rsidR="00A52D2C" w:rsidRPr="00A52D2C" w:rsidRDefault="00A52D2C" w:rsidP="00BC5587">
      <w:pPr>
        <w:spacing w:before="120" w:after="0" w:line="276" w:lineRule="auto"/>
      </w:pPr>
      <w:r w:rsidRPr="00A52D2C">
        <w:t xml:space="preserve">Důležitý je také pohled na to, co vlastně programy přináší. Jistou informaci nám poskytne statistika výsledků, ke kterým se uchazeči a účastníci zavázali při podpisu Smlouvy o podpoře. V každém návrhu projektu se uchazeči zavazují dosáhnout alespoň jednoho aplikovaného výsledku uznávaného programem. V </w:t>
      </w:r>
      <w:r w:rsidRPr="00A52D2C">
        <w:fldChar w:fldCharType="begin"/>
      </w:r>
      <w:r w:rsidRPr="00A52D2C">
        <w:instrText xml:space="preserve"> REF _Ref462053252 \h </w:instrText>
      </w:r>
      <w:r>
        <w:instrText xml:space="preserve"> \* MERGEFORMAT </w:instrText>
      </w:r>
      <w:r w:rsidRPr="00A52D2C">
        <w:fldChar w:fldCharType="separate"/>
      </w:r>
      <w:r w:rsidR="00650FB0" w:rsidRPr="00A52D2C">
        <w:t xml:space="preserve">Tab. </w:t>
      </w:r>
      <w:r w:rsidR="00650FB0">
        <w:rPr>
          <w:noProof/>
        </w:rPr>
        <w:t>12</w:t>
      </w:r>
      <w:r w:rsidRPr="00A52D2C">
        <w:fldChar w:fldCharType="end"/>
      </w:r>
      <w:r w:rsidRPr="00A52D2C">
        <w:t xml:space="preserve"> jsou uvedeny očekávané výsledky projektů z programů ALFA, CK, GAMA, DELTA a EPSILON (2010 – 2016).</w:t>
      </w:r>
    </w:p>
    <w:p w:rsidR="00A52D2C" w:rsidRDefault="00A52D2C" w:rsidP="00BC5587">
      <w:pPr>
        <w:spacing w:before="120" w:after="0" w:line="276" w:lineRule="auto"/>
      </w:pPr>
      <w:r w:rsidRPr="00A52D2C">
        <w:t>V podpořených projektech má vzniknout 1 226 výsledků, nicméně téměř ½ výsledků náleží do kategorie X – jiné. Ta je složena převážně z publikačních a ostatních výsledků.</w:t>
      </w: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B1394C" w:rsidRDefault="00B1394C" w:rsidP="00BC5587">
      <w:pPr>
        <w:spacing w:before="120" w:after="0" w:line="276" w:lineRule="auto"/>
      </w:pPr>
    </w:p>
    <w:p w:rsidR="00A52D2C" w:rsidRPr="00A52D2C" w:rsidRDefault="00A52D2C" w:rsidP="00BC5587">
      <w:pPr>
        <w:pStyle w:val="Titulek"/>
        <w:spacing w:before="120" w:after="0" w:line="276" w:lineRule="auto"/>
      </w:pPr>
      <w:bookmarkStart w:id="223" w:name="_Ref462053252"/>
      <w:r w:rsidRPr="00A52D2C">
        <w:lastRenderedPageBreak/>
        <w:t xml:space="preserve">Tab. </w:t>
      </w:r>
      <w:fldSimple w:instr=" SEQ Tab. \* ARABIC ">
        <w:r w:rsidR="00650FB0">
          <w:rPr>
            <w:noProof/>
          </w:rPr>
          <w:t>12</w:t>
        </w:r>
      </w:fldSimple>
      <w:bookmarkEnd w:id="223"/>
      <w:r w:rsidRPr="00A52D2C">
        <w:t>: Očekávané výsledky ve vybraných programech TA ČR v letech 2010- 2016</w:t>
      </w:r>
    </w:p>
    <w:tbl>
      <w:tblPr>
        <w:tblW w:w="80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0"/>
        <w:gridCol w:w="1590"/>
        <w:gridCol w:w="1609"/>
        <w:gridCol w:w="1781"/>
      </w:tblGrid>
      <w:tr w:rsidR="00A52D2C" w:rsidRPr="00DE4ABB" w:rsidTr="00DE4ABB">
        <w:trPr>
          <w:trHeight w:val="240"/>
        </w:trPr>
        <w:tc>
          <w:tcPr>
            <w:tcW w:w="3100" w:type="dxa"/>
            <w:vMerge w:val="restart"/>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Hlavní obor JE, JF</w:t>
            </w:r>
          </w:p>
        </w:tc>
        <w:tc>
          <w:tcPr>
            <w:tcW w:w="4980" w:type="dxa"/>
            <w:gridSpan w:val="3"/>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Projekty</w:t>
            </w:r>
          </w:p>
        </w:tc>
      </w:tr>
      <w:tr w:rsidR="00A52D2C" w:rsidRPr="00DE4ABB" w:rsidTr="00DE4ABB">
        <w:trPr>
          <w:trHeight w:val="240"/>
        </w:trPr>
        <w:tc>
          <w:tcPr>
            <w:tcW w:w="3100" w:type="dxa"/>
            <w:vMerge/>
            <w:vAlign w:val="center"/>
            <w:hideMark/>
          </w:tcPr>
          <w:p w:rsidR="00A52D2C" w:rsidRPr="00DE4ABB" w:rsidRDefault="00A52D2C" w:rsidP="00BC5587">
            <w:pPr>
              <w:spacing w:before="120" w:after="0" w:line="276" w:lineRule="auto"/>
              <w:rPr>
                <w:sz w:val="20"/>
                <w:szCs w:val="20"/>
              </w:rPr>
            </w:pPr>
          </w:p>
        </w:tc>
        <w:tc>
          <w:tcPr>
            <w:tcW w:w="1590"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Podpořené</w:t>
            </w:r>
          </w:p>
        </w:tc>
        <w:tc>
          <w:tcPr>
            <w:tcW w:w="1609"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Nepodpořené</w:t>
            </w:r>
          </w:p>
        </w:tc>
        <w:tc>
          <w:tcPr>
            <w:tcW w:w="1781" w:type="dxa"/>
            <w:shd w:val="clear" w:color="000000" w:fill="D1120D"/>
            <w:noWrap/>
            <w:hideMark/>
          </w:tcPr>
          <w:p w:rsidR="00A52D2C" w:rsidRPr="00DE4ABB" w:rsidRDefault="00A52D2C" w:rsidP="00BC5587">
            <w:pPr>
              <w:spacing w:before="120" w:after="0" w:line="276" w:lineRule="auto"/>
              <w:rPr>
                <w:sz w:val="20"/>
                <w:szCs w:val="20"/>
              </w:rPr>
            </w:pPr>
            <w:r w:rsidRPr="00DE4ABB">
              <w:rPr>
                <w:sz w:val="20"/>
                <w:szCs w:val="20"/>
              </w:rPr>
              <w:t>Celkem</w:t>
            </w:r>
          </w:p>
        </w:tc>
      </w:tr>
      <w:tr w:rsidR="00A52D2C" w:rsidRPr="00DE4ABB" w:rsidTr="00DE4ABB">
        <w:trPr>
          <w:trHeight w:val="300"/>
        </w:trPr>
        <w:tc>
          <w:tcPr>
            <w:tcW w:w="310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Projekty</w:t>
            </w:r>
          </w:p>
        </w:tc>
        <w:tc>
          <w:tcPr>
            <w:tcW w:w="159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105 </w:t>
            </w:r>
          </w:p>
        </w:tc>
        <w:tc>
          <w:tcPr>
            <w:tcW w:w="1609"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271 </w:t>
            </w:r>
          </w:p>
        </w:tc>
        <w:tc>
          <w:tcPr>
            <w:tcW w:w="1781"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376 </w:t>
            </w:r>
          </w:p>
        </w:tc>
      </w:tr>
      <w:tr w:rsidR="00A52D2C" w:rsidRPr="00DE4ABB" w:rsidTr="00DE4ABB">
        <w:trPr>
          <w:trHeight w:val="300"/>
        </w:trPr>
        <w:tc>
          <w:tcPr>
            <w:tcW w:w="310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Dotace (v tis. Kč)</w:t>
            </w:r>
          </w:p>
        </w:tc>
        <w:tc>
          <w:tcPr>
            <w:tcW w:w="159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2 097 545 </w:t>
            </w:r>
          </w:p>
        </w:tc>
        <w:tc>
          <w:tcPr>
            <w:tcW w:w="1609"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5 110 917 </w:t>
            </w:r>
          </w:p>
        </w:tc>
        <w:tc>
          <w:tcPr>
            <w:tcW w:w="1781"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7 208 462 </w:t>
            </w:r>
          </w:p>
        </w:tc>
      </w:tr>
      <w:tr w:rsidR="00A52D2C" w:rsidRPr="00DE4ABB" w:rsidTr="00DE4ABB">
        <w:trPr>
          <w:trHeight w:val="300"/>
        </w:trPr>
        <w:tc>
          <w:tcPr>
            <w:tcW w:w="310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Náklady (v tis. Kč)</w:t>
            </w:r>
          </w:p>
        </w:tc>
        <w:tc>
          <w:tcPr>
            <w:tcW w:w="159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3 233 616 </w:t>
            </w:r>
          </w:p>
        </w:tc>
        <w:tc>
          <w:tcPr>
            <w:tcW w:w="1609"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7 857 822 </w:t>
            </w:r>
          </w:p>
        </w:tc>
        <w:tc>
          <w:tcPr>
            <w:tcW w:w="1781"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11 091 438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P patent</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27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59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86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Z </w:t>
            </w:r>
            <w:proofErr w:type="gramStart"/>
            <w:r w:rsidRPr="00DE4ABB">
              <w:rPr>
                <w:sz w:val="20"/>
                <w:szCs w:val="20"/>
              </w:rPr>
              <w:t>poloprovoz</w:t>
            </w:r>
            <w:proofErr w:type="gramEnd"/>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75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202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277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F užitný + </w:t>
            </w:r>
            <w:proofErr w:type="spellStart"/>
            <w:r w:rsidRPr="00DE4ABB">
              <w:rPr>
                <w:sz w:val="20"/>
                <w:szCs w:val="20"/>
              </w:rPr>
              <w:t>prům</w:t>
            </w:r>
            <w:proofErr w:type="spellEnd"/>
            <w:r w:rsidRPr="00DE4ABB">
              <w:rPr>
                <w:sz w:val="20"/>
                <w:szCs w:val="20"/>
              </w:rPr>
              <w:t>. vzor</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126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212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338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G prototyp, funkční vzorek</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215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521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736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N metodika + mapa</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70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236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306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N metodika</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6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N mapa</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R software</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122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166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288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H LEG + H NELEG</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proofErr w:type="gramStart"/>
            <w:r w:rsidRPr="00DE4ABB">
              <w:rPr>
                <w:sz w:val="20"/>
                <w:szCs w:val="20"/>
              </w:rPr>
              <w:t>V výzkumná</w:t>
            </w:r>
            <w:proofErr w:type="gramEnd"/>
            <w:r w:rsidRPr="00DE4ABB">
              <w:rPr>
                <w:sz w:val="20"/>
                <w:szCs w:val="20"/>
              </w:rPr>
              <w:t xml:space="preserve"> zpráva</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0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w:t>
            </w:r>
          </w:p>
        </w:tc>
      </w:tr>
      <w:tr w:rsidR="00A52D2C" w:rsidRPr="00DE4ABB" w:rsidTr="00DE4ABB">
        <w:trPr>
          <w:trHeight w:val="300"/>
        </w:trPr>
        <w:tc>
          <w:tcPr>
            <w:tcW w:w="310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X jiné</w:t>
            </w:r>
          </w:p>
        </w:tc>
        <w:tc>
          <w:tcPr>
            <w:tcW w:w="1590"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588 </w:t>
            </w:r>
          </w:p>
        </w:tc>
        <w:tc>
          <w:tcPr>
            <w:tcW w:w="1609"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1 055 </w:t>
            </w:r>
          </w:p>
        </w:tc>
        <w:tc>
          <w:tcPr>
            <w:tcW w:w="1781" w:type="dxa"/>
            <w:shd w:val="clear" w:color="auto" w:fill="auto"/>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1 643 </w:t>
            </w:r>
          </w:p>
        </w:tc>
      </w:tr>
      <w:tr w:rsidR="00A52D2C" w:rsidRPr="00DE4ABB" w:rsidTr="00DE4ABB">
        <w:trPr>
          <w:trHeight w:val="300"/>
        </w:trPr>
        <w:tc>
          <w:tcPr>
            <w:tcW w:w="310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Celkem výsledků</w:t>
            </w:r>
          </w:p>
        </w:tc>
        <w:tc>
          <w:tcPr>
            <w:tcW w:w="1590"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1 226 </w:t>
            </w:r>
          </w:p>
        </w:tc>
        <w:tc>
          <w:tcPr>
            <w:tcW w:w="1609"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2 460 </w:t>
            </w:r>
          </w:p>
        </w:tc>
        <w:tc>
          <w:tcPr>
            <w:tcW w:w="1781" w:type="dxa"/>
            <w:shd w:val="clear" w:color="000000" w:fill="FBB7B7"/>
            <w:noWrap/>
            <w:vAlign w:val="center"/>
            <w:hideMark/>
          </w:tcPr>
          <w:p w:rsidR="00A52D2C" w:rsidRPr="00DE4ABB" w:rsidRDefault="00A52D2C" w:rsidP="00BC5587">
            <w:pPr>
              <w:spacing w:before="120" w:after="0" w:line="276" w:lineRule="auto"/>
              <w:rPr>
                <w:sz w:val="20"/>
                <w:szCs w:val="20"/>
              </w:rPr>
            </w:pPr>
            <w:r w:rsidRPr="00DE4ABB">
              <w:rPr>
                <w:sz w:val="20"/>
                <w:szCs w:val="20"/>
              </w:rPr>
              <w:t xml:space="preserve">3 686 </w:t>
            </w:r>
          </w:p>
        </w:tc>
      </w:tr>
    </w:tbl>
    <w:p w:rsidR="008C4588" w:rsidRPr="00A52D2C" w:rsidRDefault="00A52D2C" w:rsidP="00BC5587">
      <w:pPr>
        <w:pStyle w:val="zdroj"/>
        <w:spacing w:before="120" w:after="0" w:line="276" w:lineRule="auto"/>
      </w:pPr>
      <w:r w:rsidRPr="00A52D2C">
        <w:t>Zdroj: ISVAV k 5. 2. 2016, vlastní výpočet</w:t>
      </w:r>
    </w:p>
    <w:p w:rsidR="005F3877" w:rsidRDefault="005F3877" w:rsidP="00BC5587">
      <w:pPr>
        <w:spacing w:before="120" w:after="0" w:line="276" w:lineRule="auto"/>
        <w:rPr>
          <w:b/>
        </w:rPr>
      </w:pPr>
      <w:bookmarkStart w:id="224" w:name="_ws7vk9l54le4" w:colFirst="0" w:colLast="0"/>
      <w:bookmarkStart w:id="225" w:name="_35t9wh1tn7kb" w:colFirst="0" w:colLast="0"/>
      <w:bookmarkEnd w:id="224"/>
      <w:bookmarkEnd w:id="225"/>
    </w:p>
    <w:p w:rsidR="00636838" w:rsidRDefault="00636838">
      <w:pPr>
        <w:spacing w:after="0" w:line="276" w:lineRule="auto"/>
        <w:jc w:val="left"/>
        <w:rPr>
          <w:b/>
        </w:rPr>
      </w:pPr>
      <w:r>
        <w:rPr>
          <w:b/>
        </w:rPr>
        <w:br w:type="page"/>
      </w:r>
    </w:p>
    <w:p w:rsidR="005F3877" w:rsidRPr="005F3877" w:rsidRDefault="005F3877" w:rsidP="00BC5587">
      <w:pPr>
        <w:spacing w:before="120" w:after="0" w:line="276" w:lineRule="auto"/>
        <w:rPr>
          <w:rFonts w:ascii="Cambria" w:hAnsi="Cambria"/>
          <w:b/>
        </w:rPr>
      </w:pPr>
      <w:r w:rsidRPr="005F3877">
        <w:rPr>
          <w:b/>
        </w:rPr>
        <w:lastRenderedPageBreak/>
        <w:t>Tabulka</w:t>
      </w:r>
      <w:r>
        <w:rPr>
          <w:b/>
        </w:rPr>
        <w:t xml:space="preserve"> 13</w:t>
      </w:r>
      <w:r w:rsidRPr="005F3877">
        <w:rPr>
          <w:b/>
        </w:rPr>
        <w:t>:</w:t>
      </w:r>
      <w:r>
        <w:t xml:space="preserve"> </w:t>
      </w:r>
      <w:r w:rsidRPr="00644A95">
        <w:rPr>
          <w:rFonts w:ascii="Cambria" w:hAnsi="Cambria"/>
          <w:b/>
        </w:rPr>
        <w:t>Velikost projektů s hlavním oborem JE, JF, v tis. Kč.</w:t>
      </w:r>
    </w:p>
    <w:tbl>
      <w:tblPr>
        <w:tblW w:w="972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91"/>
        <w:gridCol w:w="3563"/>
        <w:gridCol w:w="1115"/>
        <w:gridCol w:w="1134"/>
        <w:gridCol w:w="850"/>
        <w:gridCol w:w="797"/>
        <w:gridCol w:w="974"/>
      </w:tblGrid>
      <w:tr w:rsidR="005F3877" w:rsidRPr="00DE4ABB" w:rsidTr="00B53D84">
        <w:trPr>
          <w:trHeight w:val="915"/>
        </w:trPr>
        <w:tc>
          <w:tcPr>
            <w:tcW w:w="1291"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JE,JF hlavní obor</w:t>
            </w:r>
          </w:p>
        </w:tc>
        <w:tc>
          <w:tcPr>
            <w:tcW w:w="3563" w:type="dxa"/>
            <w:vMerge w:val="restart"/>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Vybrané programy</w:t>
            </w:r>
          </w:p>
        </w:tc>
        <w:tc>
          <w:tcPr>
            <w:tcW w:w="1115"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Dotace</w:t>
            </w:r>
          </w:p>
        </w:tc>
        <w:tc>
          <w:tcPr>
            <w:tcW w:w="1134"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Náklady</w:t>
            </w:r>
          </w:p>
        </w:tc>
        <w:tc>
          <w:tcPr>
            <w:tcW w:w="850"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Počet projektů</w:t>
            </w:r>
          </w:p>
        </w:tc>
        <w:tc>
          <w:tcPr>
            <w:tcW w:w="797"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Dotace</w:t>
            </w:r>
          </w:p>
        </w:tc>
        <w:tc>
          <w:tcPr>
            <w:tcW w:w="974"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Náklady</w:t>
            </w:r>
          </w:p>
        </w:tc>
      </w:tr>
      <w:tr w:rsidR="005F3877" w:rsidRPr="00DE4ABB" w:rsidTr="00B53D84">
        <w:trPr>
          <w:trHeight w:val="315"/>
        </w:trPr>
        <w:tc>
          <w:tcPr>
            <w:tcW w:w="1291" w:type="dxa"/>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Projekty</w:t>
            </w:r>
          </w:p>
        </w:tc>
        <w:tc>
          <w:tcPr>
            <w:tcW w:w="3563" w:type="dxa"/>
            <w:vMerge/>
            <w:vAlign w:val="center"/>
            <w:hideMark/>
          </w:tcPr>
          <w:p w:rsidR="005F3877" w:rsidRPr="00B53D84" w:rsidRDefault="005F3877" w:rsidP="00BC5587">
            <w:pPr>
              <w:spacing w:before="120" w:after="0" w:line="276" w:lineRule="auto"/>
              <w:rPr>
                <w:rFonts w:eastAsia="Times New Roman"/>
                <w:bCs/>
                <w:color w:val="FFFFFF"/>
                <w:sz w:val="18"/>
                <w:szCs w:val="18"/>
              </w:rPr>
            </w:pPr>
          </w:p>
        </w:tc>
        <w:tc>
          <w:tcPr>
            <w:tcW w:w="3099" w:type="dxa"/>
            <w:gridSpan w:val="3"/>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proofErr w:type="spellStart"/>
            <w:r w:rsidRPr="00B53D84">
              <w:rPr>
                <w:rFonts w:eastAsia="Times New Roman"/>
                <w:bCs/>
                <w:color w:val="FFFFFF"/>
                <w:sz w:val="18"/>
                <w:szCs w:val="18"/>
              </w:rPr>
              <w:t>abs</w:t>
            </w:r>
            <w:proofErr w:type="spellEnd"/>
            <w:r w:rsidRPr="00B53D84">
              <w:rPr>
                <w:rFonts w:eastAsia="Times New Roman"/>
                <w:bCs/>
                <w:color w:val="FFFFFF"/>
                <w:sz w:val="18"/>
                <w:szCs w:val="18"/>
              </w:rPr>
              <w:t>.</w:t>
            </w:r>
          </w:p>
        </w:tc>
        <w:tc>
          <w:tcPr>
            <w:tcW w:w="1771" w:type="dxa"/>
            <w:gridSpan w:val="2"/>
            <w:shd w:val="clear" w:color="000000" w:fill="FF2F2F"/>
            <w:noWrap/>
            <w:vAlign w:val="center"/>
            <w:hideMark/>
          </w:tcPr>
          <w:p w:rsidR="005F3877" w:rsidRPr="00B53D84" w:rsidRDefault="005F3877" w:rsidP="00BC5587">
            <w:pPr>
              <w:spacing w:before="120" w:after="0" w:line="276" w:lineRule="auto"/>
              <w:jc w:val="center"/>
              <w:rPr>
                <w:rFonts w:eastAsia="Times New Roman"/>
                <w:bCs/>
                <w:color w:val="FFFFFF"/>
                <w:sz w:val="18"/>
                <w:szCs w:val="18"/>
              </w:rPr>
            </w:pPr>
            <w:r w:rsidRPr="00B53D84">
              <w:rPr>
                <w:rFonts w:eastAsia="Times New Roman"/>
                <w:bCs/>
                <w:color w:val="FFFFFF"/>
                <w:sz w:val="18"/>
                <w:szCs w:val="18"/>
              </w:rPr>
              <w:t>průměr</w:t>
            </w:r>
          </w:p>
        </w:tc>
      </w:tr>
      <w:tr w:rsidR="005F3877" w:rsidRPr="00DE4ABB" w:rsidTr="00B53D84">
        <w:trPr>
          <w:trHeight w:val="315"/>
        </w:trPr>
        <w:tc>
          <w:tcPr>
            <w:tcW w:w="1291" w:type="dxa"/>
            <w:shd w:val="clear" w:color="000000" w:fill="FBB7B7"/>
            <w:noWrap/>
            <w:vAlign w:val="center"/>
            <w:hideMark/>
          </w:tcPr>
          <w:p w:rsidR="005F3877" w:rsidRPr="00B53D84" w:rsidRDefault="005F3877" w:rsidP="00BC5587">
            <w:pPr>
              <w:spacing w:before="120" w:after="0" w:line="276" w:lineRule="auto"/>
              <w:rPr>
                <w:rFonts w:eastAsia="Times New Roman"/>
                <w:bCs/>
                <w:sz w:val="18"/>
                <w:szCs w:val="18"/>
              </w:rPr>
            </w:pPr>
            <w:r w:rsidRPr="00B53D84">
              <w:rPr>
                <w:rFonts w:eastAsia="Times New Roman"/>
                <w:bCs/>
                <w:sz w:val="18"/>
                <w:szCs w:val="18"/>
              </w:rPr>
              <w:t>Podpořené</w:t>
            </w:r>
          </w:p>
        </w:tc>
        <w:tc>
          <w:tcPr>
            <w:tcW w:w="3563" w:type="dxa"/>
            <w:shd w:val="clear" w:color="000000" w:fill="FBB7B7"/>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 - mimo BETA</w:t>
            </w:r>
          </w:p>
        </w:tc>
        <w:tc>
          <w:tcPr>
            <w:tcW w:w="1115"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2 097 545 </w:t>
            </w:r>
          </w:p>
        </w:tc>
        <w:tc>
          <w:tcPr>
            <w:tcW w:w="113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3 233 616 </w:t>
            </w:r>
          </w:p>
        </w:tc>
        <w:tc>
          <w:tcPr>
            <w:tcW w:w="850"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105 </w:t>
            </w:r>
          </w:p>
        </w:tc>
        <w:tc>
          <w:tcPr>
            <w:tcW w:w="797"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19 977 </w:t>
            </w:r>
          </w:p>
        </w:tc>
        <w:tc>
          <w:tcPr>
            <w:tcW w:w="97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30 796 </w:t>
            </w:r>
          </w:p>
        </w:tc>
      </w:tr>
      <w:tr w:rsidR="005F3877" w:rsidRPr="00DE4ABB" w:rsidTr="00B53D84">
        <w:trPr>
          <w:trHeight w:val="315"/>
        </w:trPr>
        <w:tc>
          <w:tcPr>
            <w:tcW w:w="1291" w:type="dxa"/>
            <w:shd w:val="clear" w:color="000000" w:fill="FBB7B7"/>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BB7B7"/>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 - mimo CK a BETA</w:t>
            </w:r>
          </w:p>
        </w:tc>
        <w:tc>
          <w:tcPr>
            <w:tcW w:w="1115"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1 159 199 </w:t>
            </w:r>
          </w:p>
        </w:tc>
        <w:tc>
          <w:tcPr>
            <w:tcW w:w="113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1 889 706 </w:t>
            </w:r>
          </w:p>
        </w:tc>
        <w:tc>
          <w:tcPr>
            <w:tcW w:w="850"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100 </w:t>
            </w:r>
          </w:p>
        </w:tc>
        <w:tc>
          <w:tcPr>
            <w:tcW w:w="797"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11 592 </w:t>
            </w:r>
          </w:p>
        </w:tc>
        <w:tc>
          <w:tcPr>
            <w:tcW w:w="97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18 897 </w:t>
            </w:r>
          </w:p>
        </w:tc>
      </w:tr>
      <w:tr w:rsidR="005F3877" w:rsidRPr="00DE4ABB" w:rsidTr="00B53D84">
        <w:trPr>
          <w:trHeight w:val="315"/>
        </w:trPr>
        <w:tc>
          <w:tcPr>
            <w:tcW w:w="1291" w:type="dxa"/>
            <w:shd w:val="clear" w:color="000000" w:fill="FBB7B7"/>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BB7B7"/>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 - mimo CK BETA a VÚJ Řež a.s.</w:t>
            </w:r>
          </w:p>
        </w:tc>
        <w:tc>
          <w:tcPr>
            <w:tcW w:w="1115"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942 250 </w:t>
            </w:r>
          </w:p>
        </w:tc>
        <w:tc>
          <w:tcPr>
            <w:tcW w:w="113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1 512 890 </w:t>
            </w:r>
          </w:p>
        </w:tc>
        <w:tc>
          <w:tcPr>
            <w:tcW w:w="850"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81 </w:t>
            </w:r>
          </w:p>
        </w:tc>
        <w:tc>
          <w:tcPr>
            <w:tcW w:w="797"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11 633 </w:t>
            </w:r>
          </w:p>
        </w:tc>
        <w:tc>
          <w:tcPr>
            <w:tcW w:w="97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18 678 </w:t>
            </w:r>
          </w:p>
        </w:tc>
      </w:tr>
      <w:tr w:rsidR="005F3877" w:rsidRPr="00DE4ABB" w:rsidTr="00B53D84">
        <w:trPr>
          <w:trHeight w:val="315"/>
        </w:trPr>
        <w:tc>
          <w:tcPr>
            <w:tcW w:w="1291" w:type="dxa"/>
            <w:shd w:val="clear" w:color="000000" w:fill="FBB7B7"/>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BB7B7"/>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MPO</w:t>
            </w:r>
          </w:p>
        </w:tc>
        <w:tc>
          <w:tcPr>
            <w:tcW w:w="1115"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2 373 015 </w:t>
            </w:r>
          </w:p>
        </w:tc>
        <w:tc>
          <w:tcPr>
            <w:tcW w:w="113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3 252 332 </w:t>
            </w:r>
          </w:p>
        </w:tc>
        <w:tc>
          <w:tcPr>
            <w:tcW w:w="850"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68 </w:t>
            </w:r>
          </w:p>
        </w:tc>
        <w:tc>
          <w:tcPr>
            <w:tcW w:w="797"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34 897 </w:t>
            </w:r>
          </w:p>
        </w:tc>
        <w:tc>
          <w:tcPr>
            <w:tcW w:w="97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47 828 </w:t>
            </w:r>
          </w:p>
        </w:tc>
      </w:tr>
      <w:tr w:rsidR="005F3877" w:rsidRPr="00DE4ABB" w:rsidTr="00B53D84">
        <w:trPr>
          <w:trHeight w:val="315"/>
        </w:trPr>
        <w:tc>
          <w:tcPr>
            <w:tcW w:w="1291" w:type="dxa"/>
            <w:shd w:val="clear" w:color="000000" w:fill="FBB7B7"/>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BB7B7"/>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Všechny programy - mimo BETA (</w:t>
            </w:r>
            <w:proofErr w:type="gramStart"/>
            <w:r w:rsidRPr="00B53D84">
              <w:rPr>
                <w:rFonts w:eastAsia="Times New Roman"/>
                <w:bCs/>
                <w:sz w:val="18"/>
                <w:szCs w:val="18"/>
              </w:rPr>
              <w:t>TA,TD</w:t>
            </w:r>
            <w:proofErr w:type="gramEnd"/>
            <w:r w:rsidRPr="00B53D84">
              <w:rPr>
                <w:rFonts w:eastAsia="Times New Roman"/>
                <w:bCs/>
                <w:sz w:val="18"/>
                <w:szCs w:val="18"/>
              </w:rPr>
              <w:t>,TE,TG,TH,TF,TIP,TRIO)</w:t>
            </w:r>
          </w:p>
        </w:tc>
        <w:tc>
          <w:tcPr>
            <w:tcW w:w="1115"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3 315 265 </w:t>
            </w:r>
          </w:p>
        </w:tc>
        <w:tc>
          <w:tcPr>
            <w:tcW w:w="113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4 765 222 </w:t>
            </w:r>
          </w:p>
        </w:tc>
        <w:tc>
          <w:tcPr>
            <w:tcW w:w="850"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173 </w:t>
            </w:r>
          </w:p>
        </w:tc>
        <w:tc>
          <w:tcPr>
            <w:tcW w:w="797"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19 163 </w:t>
            </w:r>
          </w:p>
        </w:tc>
        <w:tc>
          <w:tcPr>
            <w:tcW w:w="974" w:type="dxa"/>
            <w:shd w:val="clear" w:color="000000" w:fill="FBB7B7"/>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27 545 </w:t>
            </w:r>
          </w:p>
        </w:tc>
      </w:tr>
      <w:tr w:rsidR="005F3877" w:rsidRPr="00DE4ABB" w:rsidTr="00B53D84">
        <w:trPr>
          <w:trHeight w:val="315"/>
        </w:trPr>
        <w:tc>
          <w:tcPr>
            <w:tcW w:w="1291" w:type="dxa"/>
            <w:shd w:val="clear" w:color="000000" w:fill="FFFFFF"/>
            <w:noWrap/>
            <w:vAlign w:val="center"/>
            <w:hideMark/>
          </w:tcPr>
          <w:p w:rsidR="005F3877" w:rsidRPr="00B53D84" w:rsidRDefault="005F3877" w:rsidP="00BC5587">
            <w:pPr>
              <w:spacing w:before="120" w:after="0" w:line="276" w:lineRule="auto"/>
              <w:rPr>
                <w:rFonts w:eastAsia="Times New Roman"/>
                <w:bCs/>
                <w:sz w:val="18"/>
                <w:szCs w:val="18"/>
              </w:rPr>
            </w:pPr>
            <w:r w:rsidRPr="00B53D84">
              <w:rPr>
                <w:rFonts w:eastAsia="Times New Roman"/>
                <w:bCs/>
                <w:sz w:val="18"/>
                <w:szCs w:val="18"/>
              </w:rPr>
              <w:t>Nepodpořené</w:t>
            </w:r>
          </w:p>
        </w:tc>
        <w:tc>
          <w:tcPr>
            <w:tcW w:w="3563" w:type="dxa"/>
            <w:shd w:val="clear" w:color="000000" w:fill="FFFFFF"/>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w:t>
            </w:r>
          </w:p>
        </w:tc>
        <w:tc>
          <w:tcPr>
            <w:tcW w:w="1115"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5 110 917 </w:t>
            </w:r>
          </w:p>
        </w:tc>
        <w:tc>
          <w:tcPr>
            <w:tcW w:w="113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7 857 822 </w:t>
            </w:r>
          </w:p>
        </w:tc>
        <w:tc>
          <w:tcPr>
            <w:tcW w:w="850"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271 </w:t>
            </w:r>
          </w:p>
        </w:tc>
        <w:tc>
          <w:tcPr>
            <w:tcW w:w="797"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18 859 </w:t>
            </w:r>
          </w:p>
        </w:tc>
        <w:tc>
          <w:tcPr>
            <w:tcW w:w="97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28 996 </w:t>
            </w:r>
          </w:p>
        </w:tc>
      </w:tr>
      <w:tr w:rsidR="005F3877" w:rsidRPr="00DE4ABB" w:rsidTr="00B53D84">
        <w:trPr>
          <w:trHeight w:val="315"/>
        </w:trPr>
        <w:tc>
          <w:tcPr>
            <w:tcW w:w="1291" w:type="dxa"/>
            <w:shd w:val="clear" w:color="000000" w:fill="FFFFFF"/>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FFFFF"/>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 - mimo CK a BETA</w:t>
            </w:r>
          </w:p>
        </w:tc>
        <w:tc>
          <w:tcPr>
            <w:tcW w:w="1115"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3 022 136 </w:t>
            </w:r>
          </w:p>
        </w:tc>
        <w:tc>
          <w:tcPr>
            <w:tcW w:w="113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4 831 169 </w:t>
            </w:r>
          </w:p>
        </w:tc>
        <w:tc>
          <w:tcPr>
            <w:tcW w:w="850"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258 </w:t>
            </w:r>
          </w:p>
        </w:tc>
        <w:tc>
          <w:tcPr>
            <w:tcW w:w="797"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11 714 </w:t>
            </w:r>
          </w:p>
        </w:tc>
        <w:tc>
          <w:tcPr>
            <w:tcW w:w="97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18 725 </w:t>
            </w:r>
          </w:p>
        </w:tc>
      </w:tr>
      <w:tr w:rsidR="005F3877" w:rsidRPr="00DE4ABB" w:rsidTr="00B53D84">
        <w:trPr>
          <w:trHeight w:val="315"/>
        </w:trPr>
        <w:tc>
          <w:tcPr>
            <w:tcW w:w="1291" w:type="dxa"/>
            <w:shd w:val="clear" w:color="000000" w:fill="FFFFFF"/>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FFFFF"/>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TA ČR - mimo CK a VÚJ Řež a.s.</w:t>
            </w:r>
          </w:p>
        </w:tc>
        <w:tc>
          <w:tcPr>
            <w:tcW w:w="1115"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2 700 932 </w:t>
            </w:r>
          </w:p>
        </w:tc>
        <w:tc>
          <w:tcPr>
            <w:tcW w:w="113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4 294 272 </w:t>
            </w:r>
          </w:p>
        </w:tc>
        <w:tc>
          <w:tcPr>
            <w:tcW w:w="850"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229 </w:t>
            </w:r>
          </w:p>
        </w:tc>
        <w:tc>
          <w:tcPr>
            <w:tcW w:w="797"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11 794 </w:t>
            </w:r>
          </w:p>
        </w:tc>
        <w:tc>
          <w:tcPr>
            <w:tcW w:w="97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18 752 </w:t>
            </w:r>
          </w:p>
        </w:tc>
      </w:tr>
      <w:tr w:rsidR="005F3877" w:rsidRPr="00DE4ABB" w:rsidTr="00B53D84">
        <w:trPr>
          <w:trHeight w:val="315"/>
        </w:trPr>
        <w:tc>
          <w:tcPr>
            <w:tcW w:w="1291" w:type="dxa"/>
            <w:shd w:val="clear" w:color="000000" w:fill="FFFFFF"/>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FFFFF"/>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Programy MPO</w:t>
            </w:r>
          </w:p>
        </w:tc>
        <w:tc>
          <w:tcPr>
            <w:tcW w:w="1115"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6 740 371 </w:t>
            </w:r>
          </w:p>
        </w:tc>
        <w:tc>
          <w:tcPr>
            <w:tcW w:w="113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9 201 312 </w:t>
            </w:r>
          </w:p>
        </w:tc>
        <w:tc>
          <w:tcPr>
            <w:tcW w:w="850"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256 </w:t>
            </w:r>
          </w:p>
        </w:tc>
        <w:tc>
          <w:tcPr>
            <w:tcW w:w="797"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26 330 </w:t>
            </w:r>
          </w:p>
        </w:tc>
        <w:tc>
          <w:tcPr>
            <w:tcW w:w="97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35 943 </w:t>
            </w:r>
          </w:p>
        </w:tc>
      </w:tr>
      <w:tr w:rsidR="005F3877" w:rsidRPr="00DE4ABB" w:rsidTr="00B53D84">
        <w:trPr>
          <w:trHeight w:val="315"/>
        </w:trPr>
        <w:tc>
          <w:tcPr>
            <w:tcW w:w="1291" w:type="dxa"/>
            <w:shd w:val="clear" w:color="000000" w:fill="FFFFFF"/>
            <w:noWrap/>
            <w:vAlign w:val="bottom"/>
            <w:hideMark/>
          </w:tcPr>
          <w:p w:rsidR="005F3877" w:rsidRPr="00B53D84" w:rsidRDefault="005F3877" w:rsidP="00BC5587">
            <w:pPr>
              <w:spacing w:before="120" w:after="0" w:line="276" w:lineRule="auto"/>
              <w:rPr>
                <w:rFonts w:eastAsia="Times New Roman"/>
                <w:sz w:val="18"/>
                <w:szCs w:val="18"/>
              </w:rPr>
            </w:pPr>
            <w:r w:rsidRPr="00B53D84">
              <w:rPr>
                <w:rFonts w:eastAsia="Times New Roman"/>
                <w:sz w:val="18"/>
                <w:szCs w:val="18"/>
              </w:rPr>
              <w:t> </w:t>
            </w:r>
          </w:p>
        </w:tc>
        <w:tc>
          <w:tcPr>
            <w:tcW w:w="3563" w:type="dxa"/>
            <w:shd w:val="clear" w:color="000000" w:fill="FFFFFF"/>
            <w:noWrap/>
            <w:vAlign w:val="center"/>
            <w:hideMark/>
          </w:tcPr>
          <w:p w:rsidR="005F3877" w:rsidRPr="00B53D84" w:rsidRDefault="005F3877" w:rsidP="00BC5587">
            <w:pPr>
              <w:spacing w:before="120" w:after="0" w:line="276" w:lineRule="auto"/>
              <w:jc w:val="left"/>
              <w:rPr>
                <w:rFonts w:eastAsia="Times New Roman"/>
                <w:bCs/>
                <w:sz w:val="18"/>
                <w:szCs w:val="18"/>
              </w:rPr>
            </w:pPr>
            <w:r w:rsidRPr="00B53D84">
              <w:rPr>
                <w:rFonts w:eastAsia="Times New Roman"/>
                <w:bCs/>
                <w:sz w:val="18"/>
                <w:szCs w:val="18"/>
              </w:rPr>
              <w:t>Všechny programy - mimo BETA (</w:t>
            </w:r>
            <w:proofErr w:type="gramStart"/>
            <w:r w:rsidRPr="00B53D84">
              <w:rPr>
                <w:rFonts w:eastAsia="Times New Roman"/>
                <w:bCs/>
                <w:sz w:val="18"/>
                <w:szCs w:val="18"/>
              </w:rPr>
              <w:t>TA,TD</w:t>
            </w:r>
            <w:proofErr w:type="gramEnd"/>
            <w:r w:rsidRPr="00B53D84">
              <w:rPr>
                <w:rFonts w:eastAsia="Times New Roman"/>
                <w:bCs/>
                <w:sz w:val="18"/>
                <w:szCs w:val="18"/>
              </w:rPr>
              <w:t>,TE,TG,TH,TF,TIP,TRIO)</w:t>
            </w:r>
          </w:p>
        </w:tc>
        <w:tc>
          <w:tcPr>
            <w:tcW w:w="1115"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11 851 288 </w:t>
            </w:r>
          </w:p>
        </w:tc>
        <w:tc>
          <w:tcPr>
            <w:tcW w:w="113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17 059 134 </w:t>
            </w:r>
          </w:p>
        </w:tc>
        <w:tc>
          <w:tcPr>
            <w:tcW w:w="850"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527 </w:t>
            </w:r>
          </w:p>
        </w:tc>
        <w:tc>
          <w:tcPr>
            <w:tcW w:w="797"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22 488 </w:t>
            </w:r>
          </w:p>
        </w:tc>
        <w:tc>
          <w:tcPr>
            <w:tcW w:w="974" w:type="dxa"/>
            <w:shd w:val="clear" w:color="000000" w:fill="FFFFFF"/>
            <w:noWrap/>
            <w:vAlign w:val="center"/>
            <w:hideMark/>
          </w:tcPr>
          <w:p w:rsidR="005F3877" w:rsidRPr="00B53D84" w:rsidRDefault="005F3877" w:rsidP="00BC5587">
            <w:pPr>
              <w:spacing w:before="120" w:after="0" w:line="276" w:lineRule="auto"/>
              <w:jc w:val="right"/>
              <w:rPr>
                <w:rFonts w:eastAsia="Times New Roman"/>
                <w:sz w:val="18"/>
                <w:szCs w:val="18"/>
              </w:rPr>
            </w:pPr>
            <w:r w:rsidRPr="00B53D84">
              <w:rPr>
                <w:rFonts w:eastAsia="Times New Roman"/>
                <w:sz w:val="18"/>
                <w:szCs w:val="18"/>
              </w:rPr>
              <w:t xml:space="preserve">32 370 </w:t>
            </w:r>
          </w:p>
        </w:tc>
      </w:tr>
    </w:tbl>
    <w:p w:rsidR="005F3877" w:rsidRDefault="005F3877" w:rsidP="00BC5587">
      <w:pPr>
        <w:spacing w:before="120" w:after="0" w:line="276" w:lineRule="auto"/>
      </w:pPr>
    </w:p>
    <w:p w:rsidR="008C4588" w:rsidRPr="00A52D2C" w:rsidRDefault="0009700A" w:rsidP="00BC5587">
      <w:pPr>
        <w:pStyle w:val="Nadpis2"/>
        <w:spacing w:before="120" w:after="0" w:line="276" w:lineRule="auto"/>
      </w:pPr>
      <w:bookmarkStart w:id="226" w:name="_Toc463269154"/>
      <w:bookmarkStart w:id="227" w:name="_Toc463269288"/>
      <w:bookmarkStart w:id="228" w:name="_Toc463269338"/>
      <w:bookmarkStart w:id="229" w:name="_Toc463296667"/>
      <w:bookmarkStart w:id="230" w:name="_Toc463438646"/>
      <w:r w:rsidRPr="00A52D2C">
        <w:t>Další informace k absorpční kapacitě</w:t>
      </w:r>
      <w:bookmarkEnd w:id="226"/>
      <w:bookmarkEnd w:id="227"/>
      <w:bookmarkEnd w:id="228"/>
      <w:bookmarkEnd w:id="229"/>
      <w:r w:rsidR="002879D8">
        <w:t xml:space="preserve"> z pohledu podniků</w:t>
      </w:r>
      <w:bookmarkEnd w:id="230"/>
    </w:p>
    <w:p w:rsidR="008C4588" w:rsidRPr="00A52D2C" w:rsidRDefault="005F3877" w:rsidP="00BC5587">
      <w:pPr>
        <w:spacing w:before="120" w:after="0" w:line="276" w:lineRule="auto"/>
      </w:pPr>
      <w:r>
        <w:rPr>
          <w:highlight w:val="white"/>
        </w:rPr>
        <w:t>Vzhledem k tomu, že program THÉTA</w:t>
      </w:r>
      <w:r w:rsidR="0009700A" w:rsidRPr="00A52D2C">
        <w:rPr>
          <w:highlight w:val="white"/>
        </w:rPr>
        <w:t xml:space="preserve"> je sektorově zaměřen na energetiku, je nutné poznamenat:</w:t>
      </w:r>
    </w:p>
    <w:p w:rsidR="009833BA" w:rsidRDefault="0009700A" w:rsidP="00BC5587">
      <w:pPr>
        <w:pStyle w:val="Odstavecseseznamem"/>
        <w:spacing w:before="120" w:after="0" w:line="276" w:lineRule="auto"/>
      </w:pPr>
      <w:r w:rsidRPr="00A52D2C">
        <w:t>Energetika v širším slova smyslu (výroba a distribuce energie, dodavatelský průmysl – hlavně strojírenství a elektrotechnika) je tradičně silným odvětvím odpovídajícím průmyslovému charakteru země, a to již od dob Rakouska-Uherska a bývalého Československa. Představuje tak silnou stránku a potenciál do budoucna. Cílem výzkumu a vývoje je maximálně posilovat tuto silnou stránku spočívající ve velkého množství životaschopných firem a technické podpory (výzkumných a inženýrských organizací) v evropské a globální konkurenci.</w:t>
      </w:r>
    </w:p>
    <w:p w:rsidR="008C4588" w:rsidRPr="00A52D2C" w:rsidRDefault="0009700A" w:rsidP="00BC5587">
      <w:pPr>
        <w:pStyle w:val="Odstavecseseznamem"/>
        <w:spacing w:before="120" w:after="0" w:line="276" w:lineRule="auto"/>
      </w:pPr>
      <w:r w:rsidRPr="00A52D2C">
        <w:t>Energetika bude procházet v dalších letech a desetiletích zásadní transformací (vyšší míra decentralizace, nasazování energeticky úsporných technologií, nové typy spotřeb, růst obnovitelných zdrojů, digitalizace všech segmentů, nové role zákazníka, nové služby, bude docházet k prolínání oborů – energetiky s dopravou a chemickým průmyslem, atd.). Důsledkem toho budou výzkumné aktivity mnoha dalších firem dosud se na „klasickém“ energetickém výzkumu a vývoji nepodílející (ať již to jsou existující firmy či nově vzniklé). Nelze tak zcela striktně vycházet z počtu firem a jejich kapacit (obdobně to platí pro výzkumné organizace) dosud podílejících se na výzkumu a vývoji s podporou veřejných zdrojů (minulé a současně běžící programy).</w:t>
      </w:r>
    </w:p>
    <w:p w:rsidR="009833BA" w:rsidRDefault="009833BA" w:rsidP="00BC5587">
      <w:pPr>
        <w:spacing w:before="120" w:after="0" w:line="276" w:lineRule="auto"/>
        <w:rPr>
          <w:b/>
          <w:highlight w:val="white"/>
        </w:rPr>
      </w:pPr>
    </w:p>
    <w:p w:rsidR="008C4588" w:rsidRPr="009833BA" w:rsidRDefault="0009700A" w:rsidP="00636838">
      <w:pPr>
        <w:pStyle w:val="Zvraznnnormln"/>
        <w:keepNext/>
        <w:spacing w:after="0" w:line="276" w:lineRule="auto"/>
      </w:pPr>
      <w:r w:rsidRPr="009833BA">
        <w:rPr>
          <w:highlight w:val="white"/>
        </w:rPr>
        <w:lastRenderedPageBreak/>
        <w:t>Typizace podniků potenciálně se podílejíc</w:t>
      </w:r>
      <w:r w:rsidR="005F3877" w:rsidRPr="009833BA">
        <w:rPr>
          <w:highlight w:val="white"/>
        </w:rPr>
        <w:t>ích na projektech programu T</w:t>
      </w:r>
      <w:r w:rsidR="005F3877" w:rsidRPr="009833BA">
        <w:t>HÉTA</w:t>
      </w:r>
      <w:r w:rsidR="009833BA">
        <w:t>:</w:t>
      </w:r>
    </w:p>
    <w:p w:rsidR="008C4588" w:rsidRPr="00A52D2C" w:rsidRDefault="0009700A" w:rsidP="00BC5587">
      <w:pPr>
        <w:spacing w:before="120" w:after="0" w:line="276" w:lineRule="auto"/>
      </w:pPr>
      <w:r w:rsidRPr="00A52D2C">
        <w:rPr>
          <w:highlight w:val="white"/>
        </w:rPr>
        <w:t xml:space="preserve">a) </w:t>
      </w:r>
      <w:r w:rsidRPr="009833BA">
        <w:rPr>
          <w:rStyle w:val="ZvraznnnormlnChar"/>
          <w:highlight w:val="white"/>
        </w:rPr>
        <w:t>Technologicky orientované podniky</w:t>
      </w:r>
      <w:r w:rsidRPr="00A52D2C">
        <w:rPr>
          <w:highlight w:val="white"/>
        </w:rPr>
        <w:t xml:space="preserve"> – potenciální zaměření především na podprogram 2, sekundárně pak na podprogram 3</w:t>
      </w:r>
    </w:p>
    <w:tbl>
      <w:tblPr>
        <w:tblStyle w:val="a3"/>
        <w:tblW w:w="930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65"/>
        <w:gridCol w:w="3405"/>
        <w:gridCol w:w="3030"/>
      </w:tblGrid>
      <w:tr w:rsidR="008C4588" w:rsidRPr="00A52D2C" w:rsidTr="00280E0E">
        <w:trPr>
          <w:jc w:val="center"/>
        </w:trPr>
        <w:tc>
          <w:tcPr>
            <w:tcW w:w="2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 xml:space="preserve"> </w:t>
            </w:r>
          </w:p>
        </w:tc>
        <w:tc>
          <w:tcPr>
            <w:tcW w:w="340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Výroba</w:t>
            </w:r>
          </w:p>
        </w:tc>
        <w:tc>
          <w:tcPr>
            <w:tcW w:w="303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Přenos/distribuce</w:t>
            </w:r>
          </w:p>
        </w:tc>
      </w:tr>
      <w:tr w:rsidR="008C4588" w:rsidRPr="00A52D2C" w:rsidTr="00280E0E">
        <w:trPr>
          <w:jc w:val="center"/>
        </w:trPr>
        <w:tc>
          <w:tcPr>
            <w:tcW w:w="286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Provozovatelé</w:t>
            </w:r>
          </w:p>
          <w:p w:rsidR="008C4588" w:rsidRPr="00A52D2C" w:rsidRDefault="0009700A" w:rsidP="00B93770">
            <w:pPr>
              <w:spacing w:before="120" w:after="0" w:line="276" w:lineRule="auto"/>
              <w:jc w:val="left"/>
            </w:pPr>
            <w:r w:rsidRPr="00A52D2C">
              <w:rPr>
                <w:highlight w:val="white"/>
              </w:rPr>
              <w:t>(zpravidla mají menší vnitřní výzkumné kapacity, zaměření je na efektivní, ekologický a profitabilní provoz)</w:t>
            </w:r>
          </w:p>
        </w:tc>
        <w:tc>
          <w:tcPr>
            <w:tcW w:w="3405" w:type="dxa"/>
            <w:tcBorders>
              <w:bottom w:val="single" w:sz="8" w:space="0" w:color="000000"/>
              <w:right w:val="single" w:sz="8" w:space="0" w:color="000000"/>
            </w:tcBorders>
            <w:tcMar>
              <w:top w:w="100" w:type="dxa"/>
              <w:left w:w="100" w:type="dxa"/>
              <w:bottom w:w="100" w:type="dxa"/>
              <w:right w:w="100" w:type="dxa"/>
            </w:tcMar>
          </w:tcPr>
          <w:p w:rsidR="00280E0E" w:rsidRDefault="0009700A" w:rsidP="00B93770">
            <w:pPr>
              <w:pStyle w:val="Odstavecseseznamem"/>
              <w:numPr>
                <w:ilvl w:val="3"/>
                <w:numId w:val="67"/>
              </w:numPr>
              <w:spacing w:before="120" w:after="0" w:line="276" w:lineRule="auto"/>
              <w:ind w:left="551"/>
              <w:jc w:val="left"/>
            </w:pPr>
            <w:r w:rsidRPr="00A52D2C">
              <w:t>ČEZ a EPH</w:t>
            </w:r>
          </w:p>
          <w:p w:rsidR="00280E0E" w:rsidRDefault="0009700A" w:rsidP="00B93770">
            <w:pPr>
              <w:pStyle w:val="Odstavecseseznamem"/>
              <w:numPr>
                <w:ilvl w:val="3"/>
                <w:numId w:val="67"/>
              </w:numPr>
              <w:spacing w:before="120" w:after="0" w:line="276" w:lineRule="auto"/>
              <w:ind w:left="551"/>
              <w:jc w:val="left"/>
            </w:pPr>
            <w:r w:rsidRPr="00A52D2C">
              <w:t>Nezávislí dodavatelé (zpravidla teplárny a výtopny) – desítky subjektů</w:t>
            </w:r>
          </w:p>
          <w:p w:rsidR="008C4588" w:rsidRPr="00A52D2C" w:rsidRDefault="0009700A" w:rsidP="00B93770">
            <w:pPr>
              <w:pStyle w:val="Odstavecseseznamem"/>
              <w:numPr>
                <w:ilvl w:val="3"/>
                <w:numId w:val="67"/>
              </w:numPr>
              <w:spacing w:before="120" w:after="0" w:line="276" w:lineRule="auto"/>
              <w:ind w:left="551"/>
              <w:jc w:val="left"/>
            </w:pPr>
            <w:r w:rsidRPr="00A52D2C">
              <w:t>Provozovatelé menších zdrojů – stovky subjektů (zpravidla ale sdružených do oborových asociací)</w:t>
            </w:r>
          </w:p>
        </w:tc>
        <w:tc>
          <w:tcPr>
            <w:tcW w:w="3030" w:type="dxa"/>
            <w:tcBorders>
              <w:bottom w:val="single" w:sz="8" w:space="0" w:color="000000"/>
              <w:right w:val="single" w:sz="8" w:space="0" w:color="000000"/>
            </w:tcBorders>
            <w:tcMar>
              <w:top w:w="100" w:type="dxa"/>
              <w:left w:w="100" w:type="dxa"/>
              <w:bottom w:w="100" w:type="dxa"/>
              <w:right w:w="100" w:type="dxa"/>
            </w:tcMar>
          </w:tcPr>
          <w:p w:rsidR="00280E0E" w:rsidRDefault="0009700A" w:rsidP="00B93770">
            <w:pPr>
              <w:pStyle w:val="Odstavecseseznamem"/>
              <w:numPr>
                <w:ilvl w:val="3"/>
                <w:numId w:val="68"/>
              </w:numPr>
              <w:spacing w:before="120" w:after="0" w:line="276" w:lineRule="auto"/>
              <w:ind w:left="296" w:hanging="283"/>
              <w:jc w:val="left"/>
            </w:pPr>
            <w:r w:rsidRPr="00A52D2C">
              <w:t>ČEPS</w:t>
            </w:r>
          </w:p>
          <w:p w:rsidR="00280E0E" w:rsidRDefault="0009700A" w:rsidP="00B93770">
            <w:pPr>
              <w:pStyle w:val="Odstavecseseznamem"/>
              <w:numPr>
                <w:ilvl w:val="3"/>
                <w:numId w:val="68"/>
              </w:numPr>
              <w:spacing w:before="120" w:after="0" w:line="276" w:lineRule="auto"/>
              <w:ind w:left="296" w:hanging="283"/>
              <w:jc w:val="left"/>
            </w:pPr>
            <w:r w:rsidRPr="00A52D2C">
              <w:t>ČE</w:t>
            </w:r>
            <w:r w:rsidR="00280E0E">
              <w:t xml:space="preserve">Z </w:t>
            </w:r>
            <w:proofErr w:type="gramStart"/>
            <w:r w:rsidRPr="00A52D2C">
              <w:t>Distribuce, E.ON</w:t>
            </w:r>
            <w:proofErr w:type="gramEnd"/>
            <w:r w:rsidRPr="00A52D2C">
              <w:t xml:space="preserve"> Distribuce, PREdistribuce</w:t>
            </w:r>
          </w:p>
          <w:p w:rsidR="00280E0E" w:rsidRDefault="0009700A" w:rsidP="00B93770">
            <w:pPr>
              <w:pStyle w:val="Odstavecseseznamem"/>
              <w:numPr>
                <w:ilvl w:val="3"/>
                <w:numId w:val="68"/>
              </w:numPr>
              <w:spacing w:before="120" w:after="0" w:line="276" w:lineRule="auto"/>
              <w:ind w:left="296" w:hanging="283"/>
              <w:jc w:val="left"/>
            </w:pPr>
            <w:r w:rsidRPr="00A52D2C">
              <w:t>Provozovatelé lokálních distribučních soustav elektrické energie – cca 100 subjektů</w:t>
            </w:r>
          </w:p>
          <w:p w:rsidR="008C4588" w:rsidRPr="00A52D2C" w:rsidRDefault="0009700A" w:rsidP="00B93770">
            <w:pPr>
              <w:pStyle w:val="Odstavecseseznamem"/>
              <w:numPr>
                <w:ilvl w:val="3"/>
                <w:numId w:val="68"/>
              </w:numPr>
              <w:spacing w:before="120" w:after="0" w:line="276" w:lineRule="auto"/>
              <w:ind w:left="296" w:hanging="283"/>
              <w:jc w:val="left"/>
            </w:pPr>
            <w:r w:rsidRPr="00A52D2C">
              <w:t>Distributoři tepla</w:t>
            </w:r>
          </w:p>
        </w:tc>
      </w:tr>
      <w:tr w:rsidR="008C4588" w:rsidRPr="00A52D2C" w:rsidTr="00280E0E">
        <w:trPr>
          <w:jc w:val="center"/>
        </w:trPr>
        <w:tc>
          <w:tcPr>
            <w:tcW w:w="286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Dodavatelé technologií - stroje, elektro, ICT a SW</w:t>
            </w:r>
          </w:p>
          <w:p w:rsidR="008C4588" w:rsidRPr="00A52D2C" w:rsidRDefault="0009700A" w:rsidP="00B93770">
            <w:pPr>
              <w:spacing w:before="120" w:after="0" w:line="276" w:lineRule="auto"/>
              <w:jc w:val="left"/>
            </w:pPr>
            <w:r w:rsidRPr="00A52D2C">
              <w:rPr>
                <w:highlight w:val="white"/>
              </w:rPr>
              <w:t>(zpravidla mají silný výzkum a vývoj či si ho obstarávají)</w:t>
            </w:r>
          </w:p>
        </w:tc>
        <w:tc>
          <w:tcPr>
            <w:tcW w:w="3405" w:type="dxa"/>
            <w:tcBorders>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Jedná se o stovky podniků ve všech kategoriích (velké, střední a malé firmy). Oborově se jedná především o:</w:t>
            </w:r>
          </w:p>
          <w:p w:rsidR="00280E0E" w:rsidRDefault="0009700A" w:rsidP="00B93770">
            <w:pPr>
              <w:pStyle w:val="Odstavecseseznamem"/>
              <w:numPr>
                <w:ilvl w:val="0"/>
                <w:numId w:val="66"/>
              </w:numPr>
              <w:spacing w:before="120" w:after="0" w:line="276" w:lineRule="auto"/>
              <w:ind w:left="409" w:hanging="283"/>
              <w:jc w:val="left"/>
            </w:pPr>
            <w:r w:rsidRPr="00A52D2C">
              <w:t xml:space="preserve">Celky, komponenty a díly strojního charakteru (kotle, motory, převodovky, ložiska, ventilátory, rotory, nádrže, </w:t>
            </w:r>
            <w:proofErr w:type="gramStart"/>
            <w:r w:rsidRPr="00A52D2C">
              <w:t>výměníky,..)</w:t>
            </w:r>
            <w:proofErr w:type="gramEnd"/>
          </w:p>
          <w:p w:rsidR="00280E0E" w:rsidRDefault="0009700A" w:rsidP="00B93770">
            <w:pPr>
              <w:pStyle w:val="Odstavecseseznamem"/>
              <w:numPr>
                <w:ilvl w:val="0"/>
                <w:numId w:val="66"/>
              </w:numPr>
              <w:spacing w:before="120" w:after="0" w:line="276" w:lineRule="auto"/>
              <w:ind w:left="409" w:hanging="283"/>
              <w:jc w:val="left"/>
            </w:pPr>
            <w:r w:rsidRPr="00A52D2C">
              <w:t xml:space="preserve">Komponenty a díly elektrotechnického charakteru, (transformátory, generátory, PV panely, měniče, jističe a ochrany, relé a regulátory, oddělovače, akumulátory, diagnostika, </w:t>
            </w:r>
            <w:proofErr w:type="gramStart"/>
            <w:r w:rsidRPr="00A52D2C">
              <w:t>svítidla,..)</w:t>
            </w:r>
            <w:proofErr w:type="gramEnd"/>
          </w:p>
          <w:p w:rsidR="00280E0E" w:rsidRDefault="0009700A" w:rsidP="00B93770">
            <w:pPr>
              <w:pStyle w:val="Odstavecseseznamem"/>
              <w:numPr>
                <w:ilvl w:val="0"/>
                <w:numId w:val="66"/>
              </w:numPr>
              <w:spacing w:before="120" w:after="0" w:line="276" w:lineRule="auto"/>
              <w:ind w:left="409" w:hanging="283"/>
              <w:jc w:val="left"/>
            </w:pPr>
            <w:r w:rsidRPr="00A52D2C">
              <w:t xml:space="preserve">ICT a SW (senzory, </w:t>
            </w:r>
            <w:r w:rsidR="00283C55" w:rsidRPr="00A52D2C">
              <w:t>řídicí</w:t>
            </w:r>
            <w:r w:rsidRPr="00A52D2C">
              <w:t xml:space="preserve"> </w:t>
            </w:r>
            <w:r w:rsidR="00283C55" w:rsidRPr="00A52D2C">
              <w:t>systémy,…)</w:t>
            </w:r>
          </w:p>
          <w:p w:rsidR="00280E0E" w:rsidRDefault="0009700A" w:rsidP="00B93770">
            <w:pPr>
              <w:pStyle w:val="Odstavecseseznamem"/>
              <w:numPr>
                <w:ilvl w:val="0"/>
                <w:numId w:val="66"/>
              </w:numPr>
              <w:spacing w:before="120" w:after="0" w:line="276" w:lineRule="auto"/>
              <w:ind w:left="409" w:hanging="283"/>
              <w:jc w:val="left"/>
            </w:pPr>
            <w:r w:rsidRPr="00A52D2C">
              <w:t xml:space="preserve">Stavebnictví (stavby, </w:t>
            </w:r>
            <w:proofErr w:type="gramStart"/>
            <w:r w:rsidRPr="00A52D2C">
              <w:t>konstrukce,..)</w:t>
            </w:r>
            <w:proofErr w:type="gramEnd"/>
          </w:p>
          <w:p w:rsidR="008C4588" w:rsidRPr="00A52D2C" w:rsidRDefault="0009700A" w:rsidP="00B93770">
            <w:pPr>
              <w:pStyle w:val="Odstavecseseznamem"/>
              <w:numPr>
                <w:ilvl w:val="0"/>
                <w:numId w:val="66"/>
              </w:numPr>
              <w:spacing w:before="120" w:after="0" w:line="276" w:lineRule="auto"/>
              <w:ind w:left="409" w:hanging="283"/>
              <w:jc w:val="left"/>
            </w:pPr>
            <w:r w:rsidRPr="00A52D2C">
              <w:t xml:space="preserve">Chemie pro energo a elektroprůmysl (oleje, </w:t>
            </w:r>
            <w:proofErr w:type="gramStart"/>
            <w:r w:rsidRPr="00A52D2C">
              <w:t>nátěry,..)</w:t>
            </w:r>
            <w:proofErr w:type="gramEnd"/>
          </w:p>
        </w:tc>
        <w:tc>
          <w:tcPr>
            <w:tcW w:w="3030" w:type="dxa"/>
            <w:tcBorders>
              <w:bottom w:val="single" w:sz="8" w:space="0" w:color="000000"/>
              <w:right w:val="single" w:sz="8" w:space="0" w:color="000000"/>
            </w:tcBorders>
            <w:tcMar>
              <w:top w:w="100" w:type="dxa"/>
              <w:left w:w="100" w:type="dxa"/>
              <w:bottom w:w="100" w:type="dxa"/>
              <w:right w:w="100" w:type="dxa"/>
            </w:tcMar>
          </w:tcPr>
          <w:p w:rsidR="008C4588" w:rsidRPr="00A52D2C" w:rsidRDefault="0009700A" w:rsidP="00B93770">
            <w:pPr>
              <w:spacing w:before="120" w:after="0" w:line="276" w:lineRule="auto"/>
              <w:jc w:val="left"/>
            </w:pPr>
            <w:r w:rsidRPr="00A52D2C">
              <w:rPr>
                <w:highlight w:val="white"/>
              </w:rPr>
              <w:t>Jedná se o velké desítky podniků ve všech kategoriích (velké, střední a malé firmy). Oborově se jedná především o:</w:t>
            </w:r>
          </w:p>
          <w:p w:rsidR="00280E0E" w:rsidRDefault="0009700A" w:rsidP="00B93770">
            <w:pPr>
              <w:pStyle w:val="Odstavecseseznamem"/>
              <w:numPr>
                <w:ilvl w:val="0"/>
                <w:numId w:val="69"/>
              </w:numPr>
              <w:spacing w:before="120" w:after="0" w:line="276" w:lineRule="auto"/>
              <w:ind w:left="406"/>
              <w:jc w:val="left"/>
            </w:pPr>
            <w:r w:rsidRPr="00A52D2C">
              <w:t xml:space="preserve">Komponenty a díly elektrotechnického charakteru (kabely, vodiče, transformátory, měniče, jističe a ochrany, relé a regulátory, oddělovače, akumulátory, elektronika, </w:t>
            </w:r>
            <w:proofErr w:type="gramStart"/>
            <w:r w:rsidRPr="00A52D2C">
              <w:t>diagnostika,..)</w:t>
            </w:r>
            <w:proofErr w:type="gramEnd"/>
          </w:p>
          <w:p w:rsidR="00280E0E" w:rsidRDefault="0009700A" w:rsidP="00B93770">
            <w:pPr>
              <w:pStyle w:val="Odstavecseseznamem"/>
              <w:numPr>
                <w:ilvl w:val="0"/>
                <w:numId w:val="69"/>
              </w:numPr>
              <w:spacing w:before="120" w:after="0" w:line="276" w:lineRule="auto"/>
              <w:ind w:left="406"/>
              <w:jc w:val="left"/>
            </w:pPr>
            <w:r w:rsidRPr="00A52D2C">
              <w:t xml:space="preserve">Stavebnictví (sloupy, stožáry, </w:t>
            </w:r>
            <w:proofErr w:type="gramStart"/>
            <w:r w:rsidRPr="00A52D2C">
              <w:t>rámy,..)</w:t>
            </w:r>
            <w:proofErr w:type="gramEnd"/>
          </w:p>
          <w:p w:rsidR="00280E0E" w:rsidRDefault="0009700A" w:rsidP="00B93770">
            <w:pPr>
              <w:pStyle w:val="Odstavecseseznamem"/>
              <w:numPr>
                <w:ilvl w:val="0"/>
                <w:numId w:val="69"/>
              </w:numPr>
              <w:spacing w:before="120" w:after="0" w:line="276" w:lineRule="auto"/>
              <w:ind w:left="406"/>
              <w:jc w:val="left"/>
            </w:pPr>
            <w:r w:rsidRPr="00A52D2C">
              <w:t xml:space="preserve">ICT a SW (senzory, </w:t>
            </w:r>
            <w:r w:rsidR="00283C55" w:rsidRPr="00A52D2C">
              <w:t>řídicí</w:t>
            </w:r>
            <w:r w:rsidRPr="00A52D2C">
              <w:t xml:space="preserve"> </w:t>
            </w:r>
            <w:r w:rsidR="00283C55" w:rsidRPr="00A52D2C">
              <w:t>systémy,…)</w:t>
            </w:r>
          </w:p>
          <w:p w:rsidR="008C4588" w:rsidRPr="00A52D2C" w:rsidRDefault="0009700A" w:rsidP="00B93770">
            <w:pPr>
              <w:pStyle w:val="Odstavecseseznamem"/>
              <w:numPr>
                <w:ilvl w:val="0"/>
                <w:numId w:val="69"/>
              </w:numPr>
              <w:spacing w:before="120" w:after="0" w:line="276" w:lineRule="auto"/>
              <w:ind w:left="406"/>
              <w:jc w:val="left"/>
            </w:pPr>
            <w:r w:rsidRPr="00A52D2C">
              <w:t xml:space="preserve">Chemie pro energo a elektroprůmysl (oleje, nátěry, izolační </w:t>
            </w:r>
            <w:proofErr w:type="gramStart"/>
            <w:r w:rsidRPr="00A52D2C">
              <w:t>materiály,..)</w:t>
            </w:r>
            <w:proofErr w:type="gramEnd"/>
          </w:p>
        </w:tc>
      </w:tr>
    </w:tbl>
    <w:p w:rsidR="008C4588" w:rsidRPr="00A52D2C" w:rsidRDefault="008C4588" w:rsidP="00BC5587">
      <w:pPr>
        <w:spacing w:before="120" w:after="0" w:line="276" w:lineRule="auto"/>
      </w:pPr>
    </w:p>
    <w:p w:rsidR="009833BA" w:rsidRDefault="0009700A" w:rsidP="00BC5587">
      <w:pPr>
        <w:pStyle w:val="Odstavecseseznamem"/>
        <w:spacing w:before="120" w:after="0" w:line="276" w:lineRule="auto"/>
      </w:pPr>
      <w:r w:rsidRPr="00A52D2C">
        <w:lastRenderedPageBreak/>
        <w:t>Mimo výše vyjmenované typy podniků jsou ještě výrobci a dodavatelé a provozovatelé zařízení čistě pro finální spotřebu energie (zařízení ve výrobních podnicích, menších výrobnách a opravnách, službách veřejných i komerčních, domácnostech) – tato oblast je mimo primární sféru progr</w:t>
      </w:r>
      <w:r w:rsidR="005F3877">
        <w:t>amu THÉTA</w:t>
      </w:r>
      <w:r w:rsidRPr="00A52D2C">
        <w:t>.</w:t>
      </w:r>
    </w:p>
    <w:p w:rsidR="009833BA" w:rsidRDefault="0009700A" w:rsidP="00BC5587">
      <w:pPr>
        <w:pStyle w:val="Odstavecseseznamem"/>
        <w:spacing w:before="120" w:after="0" w:line="276" w:lineRule="auto"/>
      </w:pPr>
      <w:r w:rsidRPr="00A52D2C">
        <w:t xml:space="preserve">Některé velké (zpravidla nadnárodní) výrobní podniky mají produktové řady pokrývající zařízení pro výrobu, distribuci až po finální užití energie (např. Siemens, ABB, </w:t>
      </w:r>
      <w:proofErr w:type="gramStart"/>
      <w:r w:rsidRPr="00A52D2C">
        <w:t>GE,..).</w:t>
      </w:r>
      <w:proofErr w:type="gramEnd"/>
      <w:r w:rsidRPr="00A52D2C">
        <w:t xml:space="preserve">     </w:t>
      </w:r>
    </w:p>
    <w:p w:rsidR="008C4588" w:rsidRPr="00A52D2C" w:rsidRDefault="0009700A" w:rsidP="00BC5587">
      <w:pPr>
        <w:pStyle w:val="Odstavecseseznamem"/>
        <w:spacing w:before="120" w:after="0" w:line="276" w:lineRule="auto"/>
      </w:pPr>
      <w:r w:rsidRPr="00A52D2C">
        <w:t>V současnosti nejsou v dobré ekonomické kondici velké tradiční strojírenské podniky (ČKD, Vítkovice, Modřany Power,…), což může zapříčinit jejich menší aktivity ve výzkumu a vývoji.</w:t>
      </w:r>
    </w:p>
    <w:p w:rsidR="008C4588" w:rsidRDefault="0009700A" w:rsidP="00BC5587">
      <w:pPr>
        <w:spacing w:before="120" w:after="0" w:line="276" w:lineRule="auto"/>
      </w:pPr>
      <w:r w:rsidRPr="00A52D2C">
        <w:rPr>
          <w:highlight w:val="white"/>
        </w:rPr>
        <w:t>Obecně se dají očekávat tyto trendy ve výzkumně-vývojové sféře pro energetiku: (i) budou se objevovat nové firmy a (ii) vzrůst zastoupení podniků u oblasti SW, řídících, informačních a komunikačních technologií (ICT).</w:t>
      </w:r>
    </w:p>
    <w:p w:rsidR="008C4588" w:rsidRPr="00A52D2C" w:rsidRDefault="0009700A" w:rsidP="00BC5587">
      <w:pPr>
        <w:spacing w:before="120" w:after="0" w:line="276" w:lineRule="auto"/>
      </w:pPr>
      <w:r w:rsidRPr="009833BA">
        <w:rPr>
          <w:rStyle w:val="ZvraznnnormlnChar"/>
          <w:highlight w:val="white"/>
        </w:rPr>
        <w:t>b) Primárně netechnologicky orientované podniky</w:t>
      </w:r>
      <w:r w:rsidRPr="00A52D2C">
        <w:rPr>
          <w:highlight w:val="white"/>
        </w:rPr>
        <w:t>, konzultantské, poradenské a analytické firmy - potenciální zaměření především na podprogram 1.</w:t>
      </w:r>
    </w:p>
    <w:p w:rsidR="008C4588" w:rsidRPr="009833BA" w:rsidRDefault="0009700A" w:rsidP="00BC5587">
      <w:pPr>
        <w:pStyle w:val="Zvraznnnormln"/>
        <w:spacing w:after="0" w:line="276" w:lineRule="auto"/>
        <w:rPr>
          <w:rStyle w:val="Zdraznnjemn"/>
          <w:b/>
        </w:rPr>
      </w:pPr>
      <w:r w:rsidRPr="009833BA">
        <w:rPr>
          <w:rStyle w:val="Zdraznnjemn"/>
          <w:b/>
          <w:highlight w:val="white"/>
        </w:rPr>
        <w:t>Zjišťování zájmu a indikativní absorpční kapacity podniků</w:t>
      </w:r>
    </w:p>
    <w:p w:rsidR="008C4588" w:rsidRPr="00A52D2C" w:rsidRDefault="0009700A" w:rsidP="00BC5587">
      <w:pPr>
        <w:spacing w:before="120" w:after="0" w:line="276" w:lineRule="auto"/>
      </w:pPr>
      <w:r w:rsidRPr="00A52D2C">
        <w:t xml:space="preserve">Pro účely otevření diskuse k novému programu, zapojení relevantních aktérů do jeho přípravy, zjištění potřeb, získání dalších námětů a návrhů k rozpracování programu byly TA ČR a MPO uspořádány v průběhu června 2016 celkem tři kulaté stoly (viz výše). </w:t>
      </w:r>
      <w:r w:rsidRPr="00A52D2C">
        <w:rPr>
          <w:highlight w:val="white"/>
        </w:rPr>
        <w:t>Dne 20. 6. 2016 proběhl kulatý stůl za účasti zástupců průmyslu a aplikační sféry. Přítomni byly zástupci velkých i menších podniků, technologických platforem a svazů</w:t>
      </w:r>
      <w:r w:rsidR="005F3877">
        <w:rPr>
          <w:highlight w:val="white"/>
        </w:rPr>
        <w:t>. Reakce na vznik programu THÉTA</w:t>
      </w:r>
      <w:r w:rsidRPr="00A52D2C">
        <w:rPr>
          <w:highlight w:val="white"/>
        </w:rPr>
        <w:t xml:space="preserve"> byly pozitivní, což znamená i ochotu kofinancovat konkrétní projekty.</w:t>
      </w:r>
    </w:p>
    <w:p w:rsidR="009833BA" w:rsidRDefault="00283C55" w:rsidP="00BC5587">
      <w:pPr>
        <w:spacing w:before="120" w:after="0" w:line="276" w:lineRule="auto"/>
      </w:pPr>
      <w:r w:rsidRPr="00A52D2C">
        <w:rPr>
          <w:highlight w:val="white"/>
        </w:rPr>
        <w:t>Po samostatné linii dále prob</w:t>
      </w:r>
      <w:r>
        <w:rPr>
          <w:highlight w:val="white"/>
        </w:rPr>
        <w:t>ěhlo informování o programu THÉTA</w:t>
      </w:r>
      <w:r w:rsidRPr="00A52D2C">
        <w:rPr>
          <w:highlight w:val="white"/>
        </w:rPr>
        <w:t xml:space="preserve">, zjišťování zájmu a indikativní absorpční kapacity skrz Technologickou platformu udržitelná energetika (TPUE) na asociace a obdobné subjekty, s kterými má TPUE uzavřená memoranda o spolupráci či neformálně spolupracují ve věcech výzkumu. </w:t>
      </w:r>
      <w:r w:rsidR="00046C12">
        <w:rPr>
          <w:highlight w:val="white"/>
        </w:rPr>
        <w:t xml:space="preserve">Konkrétně se </w:t>
      </w:r>
      <w:r w:rsidR="0009700A" w:rsidRPr="00A52D2C">
        <w:rPr>
          <w:highlight w:val="white"/>
        </w:rPr>
        <w:t xml:space="preserve">jedná se o: </w:t>
      </w:r>
    </w:p>
    <w:p w:rsidR="009833BA" w:rsidRDefault="0009700A" w:rsidP="00BC5587">
      <w:pPr>
        <w:pStyle w:val="Odstavecseseznamem"/>
        <w:spacing w:before="120" w:after="0" w:line="276" w:lineRule="auto"/>
      </w:pPr>
      <w:r w:rsidRPr="00A52D2C">
        <w:t xml:space="preserve">Aliance české energetiky – 13 členů (především velké podniky) po vyloučení duplicit s </w:t>
      </w:r>
      <w:r w:rsidR="00283C55" w:rsidRPr="00A52D2C">
        <w:t>Technologickou</w:t>
      </w:r>
      <w:r w:rsidRPr="00A52D2C">
        <w:t xml:space="preserve"> platformou Udržitelná energetika;</w:t>
      </w:r>
    </w:p>
    <w:p w:rsidR="009833BA" w:rsidRDefault="0009700A" w:rsidP="00BC5587">
      <w:pPr>
        <w:pStyle w:val="Odstavecseseznamem"/>
        <w:spacing w:before="120" w:after="0" w:line="276" w:lineRule="auto"/>
      </w:pPr>
      <w:r w:rsidRPr="00A52D2C">
        <w:t>Teplárenské sdružení ČR – celkem 77 členů, z nichž minimálně 55 je releva</w:t>
      </w:r>
      <w:r w:rsidR="005F3877">
        <w:t>ntních z hlediska programu THÉTA</w:t>
      </w:r>
      <w:r w:rsidRPr="00A52D2C">
        <w:t xml:space="preserve"> (</w:t>
      </w:r>
      <w:r w:rsidR="00283C55" w:rsidRPr="00A52D2C">
        <w:t>dodavatelé</w:t>
      </w:r>
      <w:r w:rsidRPr="00A52D2C">
        <w:t xml:space="preserve"> technologií a provozovatelé, po vyloučení duplicit);</w:t>
      </w:r>
    </w:p>
    <w:p w:rsidR="009833BA" w:rsidRDefault="0009700A" w:rsidP="00BC5587">
      <w:pPr>
        <w:pStyle w:val="Odstavecseseznamem"/>
        <w:spacing w:before="120" w:after="0" w:line="276" w:lineRule="auto"/>
      </w:pPr>
      <w:r w:rsidRPr="00A52D2C">
        <w:t>COGEN Czech, spolek pro kombinovanou výrobu elektřiny a tepla – 55 členů, z nichž cca 30 je průmyslového charakteru;</w:t>
      </w:r>
    </w:p>
    <w:p w:rsidR="009833BA" w:rsidRDefault="0009700A" w:rsidP="00BC5587">
      <w:pPr>
        <w:pStyle w:val="Odstavecseseznamem"/>
        <w:spacing w:before="120" w:after="0" w:line="276" w:lineRule="auto"/>
      </w:pPr>
      <w:r w:rsidRPr="00A52D2C">
        <w:t xml:space="preserve">Regionální distribuční společnosti elektrické energie – 3 společnosti (ČEZ Distribuce, </w:t>
      </w:r>
      <w:r w:rsidR="00283C55" w:rsidRPr="00A52D2C">
        <w:t>PREdistribuce, E. ON</w:t>
      </w:r>
      <w:r w:rsidRPr="00A52D2C">
        <w:t xml:space="preserve"> Distribuce);</w:t>
      </w:r>
    </w:p>
    <w:p w:rsidR="009833BA" w:rsidRDefault="0009700A" w:rsidP="00BC5587">
      <w:pPr>
        <w:pStyle w:val="Odstavecseseznamem"/>
        <w:spacing w:before="120" w:after="0" w:line="276" w:lineRule="auto"/>
      </w:pPr>
      <w:r w:rsidRPr="00A52D2C">
        <w:t>Česká asociace provozovatelů lokálních distribučních soustav – cca 30 členů;</w:t>
      </w:r>
    </w:p>
    <w:p w:rsidR="009833BA" w:rsidRDefault="0009700A" w:rsidP="00BC5587">
      <w:pPr>
        <w:pStyle w:val="Odstavecseseznamem"/>
        <w:spacing w:before="120" w:after="0" w:line="276" w:lineRule="auto"/>
      </w:pPr>
      <w:r w:rsidRPr="00A52D2C">
        <w:t xml:space="preserve">Česko-moravská elektrotechnická asociace – 63 členů, z nichž cca 20 členů průmyslového charakteru je z hlediska programu </w:t>
      </w:r>
      <w:r w:rsidR="00283C55">
        <w:t>THÉTA</w:t>
      </w:r>
      <w:r w:rsidRPr="00A52D2C">
        <w:t xml:space="preserve"> relevantní;</w:t>
      </w:r>
    </w:p>
    <w:p w:rsidR="009833BA" w:rsidRDefault="0009700A" w:rsidP="00BC5587">
      <w:pPr>
        <w:pStyle w:val="Odstavecseseznamem"/>
        <w:spacing w:before="120" w:after="0" w:line="276" w:lineRule="auto"/>
      </w:pPr>
      <w:r w:rsidRPr="00A52D2C">
        <w:t>ICT Czech Alliance – celkem přes 100 členů, z nichž minimálně několik desítek členů podnikového charakt</w:t>
      </w:r>
      <w:r w:rsidR="005F3877">
        <w:t>eru je z hlediska programu THÉTA</w:t>
      </w:r>
      <w:r w:rsidRPr="00A52D2C">
        <w:t xml:space="preserve"> relevantní;</w:t>
      </w:r>
    </w:p>
    <w:p w:rsidR="008C4588" w:rsidRPr="00A52D2C" w:rsidRDefault="002879D8" w:rsidP="00BC5587">
      <w:pPr>
        <w:pStyle w:val="Odstavecseseznamem"/>
        <w:spacing w:before="120" w:after="0" w:line="276" w:lineRule="auto"/>
      </w:pPr>
      <w:r w:rsidRPr="002879D8">
        <w:t xml:space="preserve">Komora obnovitelných zdrojů, což je sdružení zahrnující Českou společnost pro větrnou energii, České sdružení pro biomasu, Českou geotermální asociaci, Cech aplikovaných </w:t>
      </w:r>
      <w:r w:rsidRPr="002879D8">
        <w:lastRenderedPageBreak/>
        <w:t>fotovoltaických technologií, Asociaci pro využití tepelných čerpadel a Cech provozovatelů malých vodních elektráren. Celkem je tak v komoře mnoho desítek průmyslových subjektů.</w:t>
      </w:r>
    </w:p>
    <w:p w:rsidR="008C4588" w:rsidRPr="00A52D2C" w:rsidRDefault="0009700A" w:rsidP="00BC5587">
      <w:pPr>
        <w:spacing w:before="120" w:after="0" w:line="276" w:lineRule="auto"/>
      </w:pPr>
      <w:r w:rsidRPr="00A52D2C">
        <w:t xml:space="preserve">Realizace kulatých stolů i realizace série separátních jednání jak se zástupci průmyslové, tak výzkumné </w:t>
      </w:r>
      <w:r w:rsidR="00283C55" w:rsidRPr="00A52D2C">
        <w:t>sfé</w:t>
      </w:r>
      <w:r w:rsidR="00283C55">
        <w:t>r</w:t>
      </w:r>
      <w:r w:rsidR="00283C55" w:rsidRPr="00A52D2C">
        <w:t>y</w:t>
      </w:r>
      <w:r w:rsidRPr="00A52D2C">
        <w:t xml:space="preserve"> zároveň zajistilo dostatečné povědomí relevantních aktérů o přípravě programu. Zajištění publicity programu a porozumění záměrům programu je jedním z důležitých nástrojů zajištění absorpční kapacity programu.</w:t>
      </w:r>
    </w:p>
    <w:p w:rsidR="00636838" w:rsidRDefault="00636838">
      <w:pPr>
        <w:spacing w:after="0" w:line="276" w:lineRule="auto"/>
        <w:jc w:val="left"/>
        <w:rPr>
          <w:b/>
          <w:color w:val="FF0000"/>
          <w:sz w:val="24"/>
          <w:szCs w:val="28"/>
        </w:rPr>
      </w:pPr>
      <w:bookmarkStart w:id="231" w:name="_n9d6g3f6fcht" w:colFirst="0" w:colLast="0"/>
      <w:bookmarkEnd w:id="231"/>
      <w:r>
        <w:br w:type="page"/>
      </w:r>
    </w:p>
    <w:p w:rsidR="008C4588" w:rsidRPr="00A52D2C" w:rsidRDefault="0009700A" w:rsidP="00BC5587">
      <w:pPr>
        <w:pStyle w:val="Nadpis2"/>
        <w:spacing w:before="120" w:after="0" w:line="276" w:lineRule="auto"/>
      </w:pPr>
      <w:bookmarkStart w:id="232" w:name="_Toc463269155"/>
      <w:bookmarkStart w:id="233" w:name="_Toc463269289"/>
      <w:bookmarkStart w:id="234" w:name="_Toc463269339"/>
      <w:bookmarkStart w:id="235" w:name="_Toc463296668"/>
      <w:bookmarkStart w:id="236" w:name="_Toc463438647"/>
      <w:r w:rsidRPr="00A52D2C">
        <w:lastRenderedPageBreak/>
        <w:t>Dosavadní podpora výzkumu v oblasti energetiky</w:t>
      </w:r>
      <w:bookmarkEnd w:id="232"/>
      <w:bookmarkEnd w:id="233"/>
      <w:bookmarkEnd w:id="234"/>
      <w:bookmarkEnd w:id="235"/>
      <w:bookmarkEnd w:id="236"/>
    </w:p>
    <w:p w:rsidR="008C4588" w:rsidRPr="00A52D2C" w:rsidRDefault="0009700A" w:rsidP="00BC5587">
      <w:pPr>
        <w:spacing w:before="120" w:after="0" w:line="276" w:lineRule="auto"/>
      </w:pPr>
      <w:r w:rsidRPr="00A52D2C">
        <w:rPr>
          <w:highlight w:val="white"/>
        </w:rPr>
        <w:t>V této kapitole shrnujeme dosavadní podporu výzkumu v oblasti energetiky od roku 2000, a to jak podporu základního výzkumu, tak podporu aplikovaného výzkumu.</w:t>
      </w:r>
    </w:p>
    <w:p w:rsidR="008C4588" w:rsidRPr="00A52D2C" w:rsidRDefault="0009700A" w:rsidP="00BC5587">
      <w:pPr>
        <w:spacing w:before="120" w:after="0" w:line="276" w:lineRule="auto"/>
      </w:pPr>
      <w:r w:rsidRPr="00A52D2C">
        <w:rPr>
          <w:highlight w:val="white"/>
        </w:rPr>
        <w:t xml:space="preserve">Problematika výzkumu v oblasti energetiky byla v České republice primárně řešena několika programy administrovanými různými poskytovateli. Oblast nejaderné energetiky a obnovitelných zdrojů pokrývaly programy MŽP ZO - Obnovitelné zdroje a úspory energie a  1I - Racionální využití energie a obnovitelné přírodní zdroje (Národní program výzkumu). V prvním z nich byly od roku 2000 podpořeny 2 projekty s podporou ze státního rozpočtu 7,6 mil. Kč (celkem pak 5 projektů s podporou ve výši 30,9 mil. Kč). </w:t>
      </w:r>
    </w:p>
    <w:p w:rsidR="008C4588" w:rsidRPr="00A52D2C" w:rsidRDefault="0009700A" w:rsidP="00BC5587">
      <w:pPr>
        <w:spacing w:before="120" w:after="0" w:line="276" w:lineRule="auto"/>
      </w:pPr>
      <w:r w:rsidRPr="00A52D2C">
        <w:rPr>
          <w:highlight w:val="white"/>
        </w:rPr>
        <w:t xml:space="preserve">Problematice jaderné energetiky se pak věnovaly dva na sebe časově navazujících programy administrované SÚJB. Těmito programy jsou JB - Výzkum bezpečnosti jaderných zařízení a radiační ochrany pro potřeby dozorného orgánu (doba trvání 1995-2006, celkem podpořeno 47 projektů v úhrnné výši dotací 162,6 mil. Kč) a JC - Výzkum a vývoj pro potřeby SÚJB jako orgánu státního dozoru a státní správy v oblastech jaderné bezpečnosti, radiační ochrany a kontroly dodržování zákazu nakládání s chemickými a biologickými zbraněmi (doba trvání 2006-2014, podpořeno 25 projektů v úhrnné výši dotací 125,6 mil. Kč). </w:t>
      </w:r>
    </w:p>
    <w:p w:rsidR="008C4588" w:rsidRPr="00A52D2C" w:rsidRDefault="0009700A" w:rsidP="00BC5587">
      <w:pPr>
        <w:spacing w:before="120" w:after="0" w:line="276" w:lineRule="auto"/>
      </w:pPr>
      <w:r w:rsidRPr="00A52D2C">
        <w:rPr>
          <w:highlight w:val="white"/>
        </w:rPr>
        <w:t>Mimo tyto výše uvedené programy se projekty s danou tematikou objevily v dalších 72 programech u 11 různých poskytovatelů. Kritériem pro zahrnutí projektu do výběru bylo označení oboru projektu (hlavního či jednoho z vedlejších pokud byly vyplněny) JE (Nejaderná energetika, spotřeba a užití energie) nebo JF (Jaderná energetika) dle klasifikace oborů CEP. Časový rámec byl vyměřen rokem 2000. Před tímto datem byl počet projektů nízký a úhrnné dotace nepředstavovali významnější položku. V roce 2000 pak poprvé výše dotací na projekty s obory JE a JF přesáhla 200 mil. Kč (přesně 245 mil. Kč), což bylo přibližně dvakrát více než roce 1999 a násobně než v letech předcházejících.</w:t>
      </w:r>
    </w:p>
    <w:p w:rsidR="008C4588" w:rsidRPr="00A52D2C" w:rsidRDefault="0009700A" w:rsidP="00BC5587">
      <w:pPr>
        <w:pStyle w:val="Zvraznnnormln"/>
        <w:spacing w:after="0" w:line="276" w:lineRule="auto"/>
      </w:pPr>
      <w:r w:rsidRPr="00A52D2C">
        <w:rPr>
          <w:highlight w:val="white"/>
        </w:rPr>
        <w:t>Počet projektů a výše dotací</w:t>
      </w:r>
    </w:p>
    <w:p w:rsidR="00B1394C" w:rsidRDefault="0009700A" w:rsidP="00BC5587">
      <w:pPr>
        <w:spacing w:before="120" w:after="0" w:line="276" w:lineRule="auto"/>
      </w:pPr>
      <w:r w:rsidRPr="00A52D2C">
        <w:rPr>
          <w:highlight w:val="white"/>
        </w:rPr>
        <w:t>Celkem bylo dle údajů z IS VaV (stav k 10.11 2015) podpořeno od roku 2000 810 projektů z oblasti energetiky (hlavní nebo vedlejší obor s klasifikací CEP JE a/nebo JF). Energetika byla uvedena jako hlavním oborem 516 projektů a u zbylých 294 pak jen jako jeden z vedlejších oborů. Celkový úhrn vyplacených dotací byl (nebo je závazkován) ve výši téměř 12 mld. Kč, což při nákladech vyšších než 22 mld. Kč představuje míru podpory přibližně 53 %. Jako nejvýznamnějšího poskytovatele lze označit MPO s 262 projekty (za přibližně 5 mld. Kč). Mezi další významné poskytovatele patří TA ČR (165 projektů, 2,79 mld. Kč) a dále pak MŠMT (141 projektů, 2,81 mld. Kč) spolu s GA ČR (též 141 projektů, ale pouze za 357 mil. Kč). Další poskytovatelé jsou z hlediska počtu projektů a udělených dotací mnohem méně významní. Mezi tyto poskytovatele patří MŽP, SÚJB, MZE a MV. Zcela okrajovými poskytovateli podpory do oblasti energetiky jsou AV ČR, MMR a MO. Podíl projektů s hlavním oborem v oblasti energetiky je pak u relevantních poskytovatelů velmi podobný. Nejvyšší je u MPO (71 %), u TA ČR a MŠMT pak lehce přes 60 %. Pouze u GA ČR je tento podíl necelých 50 %. Celkově však lze říci, že u nejdůležitějších poskytovatelů je podíl projektů s hlavním oborem v oblasti energetiky přibližně dvoutřetinový.</w:t>
      </w:r>
    </w:p>
    <w:p w:rsidR="008C4588" w:rsidRPr="00A52D2C" w:rsidRDefault="0009700A" w:rsidP="00636838">
      <w:pPr>
        <w:pStyle w:val="Zvraznnnormln"/>
        <w:keepNext/>
        <w:spacing w:after="0" w:line="276" w:lineRule="auto"/>
      </w:pPr>
      <w:r w:rsidRPr="00A52D2C">
        <w:rPr>
          <w:highlight w:val="white"/>
        </w:rPr>
        <w:lastRenderedPageBreak/>
        <w:t>Tab. 1: Projekty od roku 2000 podle poskytovatele</w:t>
      </w:r>
    </w:p>
    <w:tbl>
      <w:tblPr>
        <w:tblStyle w:val="a4"/>
        <w:tblW w:w="904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45"/>
        <w:gridCol w:w="1245"/>
        <w:gridCol w:w="1245"/>
        <w:gridCol w:w="1245"/>
        <w:gridCol w:w="1245"/>
        <w:gridCol w:w="1260"/>
        <w:gridCol w:w="1260"/>
      </w:tblGrid>
      <w:tr w:rsidR="008C4588" w:rsidRPr="00A52D2C" w:rsidTr="00B23C6B">
        <w:tc>
          <w:tcPr>
            <w:tcW w:w="1545" w:type="dxa"/>
            <w:vMerge w:val="restart"/>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Poskytovatel</w:t>
            </w:r>
          </w:p>
        </w:tc>
        <w:tc>
          <w:tcPr>
            <w:tcW w:w="249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Energetika jako hlavní obor</w:t>
            </w:r>
          </w:p>
        </w:tc>
        <w:tc>
          <w:tcPr>
            <w:tcW w:w="249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Energetika jako vedlejší obor</w:t>
            </w:r>
          </w:p>
        </w:tc>
        <w:tc>
          <w:tcPr>
            <w:tcW w:w="252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Energetika celkem</w:t>
            </w:r>
          </w:p>
        </w:tc>
      </w:tr>
      <w:tr w:rsidR="008C4588" w:rsidRPr="00A52D2C" w:rsidTr="00B23C6B">
        <w:tc>
          <w:tcPr>
            <w:tcW w:w="1545" w:type="dxa"/>
            <w:vMerge/>
            <w:tcMar>
              <w:top w:w="100" w:type="dxa"/>
              <w:left w:w="100" w:type="dxa"/>
              <w:bottom w:w="100" w:type="dxa"/>
              <w:right w:w="100" w:type="dxa"/>
            </w:tcMar>
          </w:tcPr>
          <w:p w:rsidR="008C4588" w:rsidRPr="00A52D2C" w:rsidRDefault="008C4588" w:rsidP="00BC5587">
            <w:pPr>
              <w:spacing w:before="120" w:after="0" w:line="276" w:lineRule="auto"/>
            </w:pP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AV ČR</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3</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22 874</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4</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21 625</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7</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44 499</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GA ČR</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67</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169 643</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74</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187 307</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141</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356 950</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MMR</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940</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940</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MO</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4 780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4 780</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MPO</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186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3 960 340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76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1 050 180</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262</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5 010 520</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MŠMT</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87</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1 700 175</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54</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1 113 813</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141</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2 813 988</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MV</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9</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149 999</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112 501</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15</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262 500</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MZE</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23 505</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12</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85 894</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17</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109 399</w:t>
            </w:r>
          </w:p>
        </w:tc>
      </w:tr>
      <w:tr w:rsidR="008C4588" w:rsidRPr="00A52D2C" w:rsidTr="00B23C6B">
        <w:tc>
          <w:tcPr>
            <w:tcW w:w="15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MŽP</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28</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180 065</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4</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12 052</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32</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192 117</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SÚJB</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27</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131 838</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4 980</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28</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136 818</w:t>
            </w:r>
          </w:p>
        </w:tc>
      </w:tr>
      <w:tr w:rsidR="008C4588" w:rsidRPr="00A52D2C" w:rsidTr="00B23C6B">
        <w:tc>
          <w:tcPr>
            <w:tcW w:w="15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TA ČR</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103</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2 060 699</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62</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725 923</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165</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2 786 622</w:t>
            </w:r>
          </w:p>
        </w:tc>
      </w:tr>
      <w:tr w:rsidR="008C4588" w:rsidRPr="00A52D2C" w:rsidTr="00B23C6B">
        <w:tc>
          <w:tcPr>
            <w:tcW w:w="15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Celkem</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516</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8 403 918</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294</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3 315 215</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810</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11 719 133</w:t>
            </w:r>
          </w:p>
        </w:tc>
      </w:tr>
    </w:tbl>
    <w:p w:rsidR="008C4588" w:rsidRPr="00A52D2C" w:rsidRDefault="0009700A" w:rsidP="00BC5587">
      <w:pPr>
        <w:spacing w:before="120" w:after="0" w:line="276" w:lineRule="auto"/>
      </w:pPr>
      <w:r w:rsidRPr="00A52D2C">
        <w:t xml:space="preserve"> </w:t>
      </w:r>
    </w:p>
    <w:p w:rsidR="008C4588" w:rsidRPr="00A52D2C" w:rsidRDefault="0009700A" w:rsidP="00BC5587">
      <w:pPr>
        <w:spacing w:before="120" w:after="0" w:line="276" w:lineRule="auto"/>
      </w:pPr>
      <w:r w:rsidRPr="00A52D2C">
        <w:rPr>
          <w:highlight w:val="white"/>
        </w:rPr>
        <w:t>Poměrně výrazná disparita je viditelná při porovnání projektů s oborem JE (nejaderná energetika) a JF (jaderná energetika). Počet i výše dotací projektům nejaderné energetiky je u všech poskytovatelů vyšší, jedinou výjimkou je SÚJB. U tohoto poskytovatele se však tato skutečnost dala předpokládat. U hlavních poskytovatelů podpory je poměr dotací jaderné a nejaderné energetice rozdílný. Zatímco u MŠMT a MPO je podíl dotací téměř vyrovnaný (1,55 a 1,25 mld. Kč resp. 2,6 mld. Kč a 2,1 mld. Kč), u TA ČR je podíl dotací nejaderné energetiky přibližně dvoutřetinový a u GA ČR pak více než 75 %. Již dříve zmíněný SÚJB naopak podpořil z téměř 85 % jadernou energetiku, MŽP pak z 96 % oblast nejaderné energetiky.</w:t>
      </w:r>
    </w:p>
    <w:p w:rsidR="00B1394C" w:rsidRDefault="00B1394C" w:rsidP="00BC5587">
      <w:pPr>
        <w:spacing w:before="120" w:after="0" w:line="276" w:lineRule="auto"/>
        <w:rPr>
          <w:highlight w:val="white"/>
        </w:rPr>
      </w:pPr>
    </w:p>
    <w:p w:rsidR="008C4588" w:rsidRPr="00A52D2C" w:rsidRDefault="0009700A" w:rsidP="00BC5587">
      <w:pPr>
        <w:pStyle w:val="Zvraznnnormln"/>
        <w:spacing w:after="0" w:line="276" w:lineRule="auto"/>
      </w:pPr>
      <w:r w:rsidRPr="00A52D2C">
        <w:rPr>
          <w:highlight w:val="white"/>
        </w:rPr>
        <w:t>Graf 1: Počet projektů a výše dotace podle poskytovatele od roku 2000</w:t>
      </w:r>
    </w:p>
    <w:p w:rsidR="008C4588" w:rsidRPr="00A52D2C" w:rsidRDefault="0009700A" w:rsidP="00BC5587">
      <w:pPr>
        <w:spacing w:before="120" w:after="0" w:line="276" w:lineRule="auto"/>
      </w:pPr>
      <w:r w:rsidRPr="00A52D2C">
        <w:rPr>
          <w:noProof/>
        </w:rPr>
        <w:drawing>
          <wp:inline distT="114300" distB="114300" distL="114300" distR="114300" wp14:anchorId="2DE86989" wp14:editId="482586C2">
            <wp:extent cx="5772150" cy="3248025"/>
            <wp:effectExtent l="0" t="0" r="0" b="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14"/>
                    <a:srcRect/>
                    <a:stretch>
                      <a:fillRect/>
                    </a:stretch>
                  </pic:blipFill>
                  <pic:spPr>
                    <a:xfrm>
                      <a:off x="0" y="0"/>
                      <a:ext cx="5772150" cy="3248025"/>
                    </a:xfrm>
                    <a:prstGeom prst="rect">
                      <a:avLst/>
                    </a:prstGeom>
                    <a:ln/>
                  </pic:spPr>
                </pic:pic>
              </a:graphicData>
            </a:graphic>
          </wp:inline>
        </w:drawing>
      </w:r>
    </w:p>
    <w:p w:rsidR="008C4588" w:rsidRPr="00A52D2C" w:rsidRDefault="0009700A" w:rsidP="00BC5587">
      <w:pPr>
        <w:spacing w:before="120" w:after="0" w:line="276" w:lineRule="auto"/>
      </w:pPr>
      <w:r w:rsidRPr="00A52D2C">
        <w:rPr>
          <w:highlight w:val="white"/>
        </w:rPr>
        <w:t>* Projekty, kde jsou mezi hlavními nebo vedlejšími obory jak JE tak JF.</w:t>
      </w:r>
    </w:p>
    <w:p w:rsidR="008C4588" w:rsidRPr="00A52D2C" w:rsidRDefault="0009700A" w:rsidP="00BC5587">
      <w:pPr>
        <w:spacing w:before="120" w:after="0" w:line="276" w:lineRule="auto"/>
      </w:pPr>
      <w:r w:rsidRPr="00A52D2C">
        <w:rPr>
          <w:highlight w:val="white"/>
        </w:rPr>
        <w:t xml:space="preserve">Z časového hlediska byly projekty rozděleny do tří kategorií. Projekty, které byly zahájeny mezi roky 2000–2005 včetně, dále mezi roky 2006–2010 včetně a poslední skupinou jsou projekty zahájené v roce 2011 a později. Co se časového hlediska týče, je rozdělení počtu projektů poměrně stabilní. Ve všech obdobích bylo zahájeno řešení více než 250 projektů. Pouze v prvním období bylo zahájeno o 29 resp. 22 projektů více. </w:t>
      </w:r>
    </w:p>
    <w:p w:rsidR="008C4588" w:rsidRDefault="0009700A" w:rsidP="00BC5587">
      <w:pPr>
        <w:spacing w:before="120" w:after="0" w:line="276" w:lineRule="auto"/>
      </w:pPr>
      <w:r w:rsidRPr="00A52D2C">
        <w:rPr>
          <w:highlight w:val="white"/>
        </w:rPr>
        <w:t xml:space="preserve">Mnohem vyšší disparita je však viditelná v objemu dotací projektům. Zatímco v letech 2000–2005 bylo zahájeno řešení projektů s dotací 2,71 mld. Kč, v následujícím období byly zahájeny projekty s dotací o cca 1 mld. Kč vyšší. Nejvyšší nárůst je pak viditelný od roku 2011. Zde byla celková podpora uznána ve výši 5,31 mld. Kč. Jako nejvýznamnější poskytovatel se v prvních dvou sledovaných obdobích konstituovalo </w:t>
      </w:r>
      <w:r w:rsidR="00283C55" w:rsidRPr="00A52D2C">
        <w:rPr>
          <w:highlight w:val="white"/>
        </w:rPr>
        <w:t>MPO (se 1,6</w:t>
      </w:r>
      <w:r w:rsidRPr="00A52D2C">
        <w:rPr>
          <w:highlight w:val="white"/>
        </w:rPr>
        <w:t xml:space="preserve"> resp. 2,6 mld. Kč dotací), po roce 2011 pak tuto pozici převzaly TA ČR (2,79 mld. Kč mil. </w:t>
      </w:r>
      <w:r w:rsidR="00283C55" w:rsidRPr="00A52D2C">
        <w:rPr>
          <w:highlight w:val="white"/>
        </w:rPr>
        <w:t>Kč) a MŠMT</w:t>
      </w:r>
      <w:r w:rsidRPr="00A52D2C">
        <w:rPr>
          <w:highlight w:val="white"/>
        </w:rPr>
        <w:t xml:space="preserve"> (1,51 mld. Kč).</w:t>
      </w:r>
    </w:p>
    <w:p w:rsidR="00B1394C" w:rsidRDefault="00B1394C" w:rsidP="00BC5587">
      <w:pPr>
        <w:spacing w:before="120" w:after="0" w:line="276" w:lineRule="auto"/>
      </w:pPr>
    </w:p>
    <w:p w:rsidR="00636838" w:rsidRDefault="00636838">
      <w:pPr>
        <w:spacing w:after="0" w:line="276" w:lineRule="auto"/>
        <w:jc w:val="left"/>
        <w:rPr>
          <w:b/>
          <w:highlight w:val="white"/>
        </w:rPr>
      </w:pPr>
      <w:r>
        <w:rPr>
          <w:highlight w:val="white"/>
        </w:rPr>
        <w:br w:type="page"/>
      </w:r>
    </w:p>
    <w:p w:rsidR="008C4588" w:rsidRPr="00A52D2C" w:rsidRDefault="0009700A" w:rsidP="00BC5587">
      <w:pPr>
        <w:pStyle w:val="Zvraznnnormln"/>
        <w:spacing w:after="0" w:line="276" w:lineRule="auto"/>
      </w:pPr>
      <w:r w:rsidRPr="00A52D2C">
        <w:rPr>
          <w:highlight w:val="white"/>
        </w:rPr>
        <w:lastRenderedPageBreak/>
        <w:t>Tab. 2: Počet projektů a výše dotace podle poskytovatele a podle roku zahájení řešení</w:t>
      </w:r>
    </w:p>
    <w:tbl>
      <w:tblPr>
        <w:tblStyle w:val="a5"/>
        <w:tblW w:w="904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45"/>
        <w:gridCol w:w="1245"/>
        <w:gridCol w:w="1245"/>
        <w:gridCol w:w="1245"/>
        <w:gridCol w:w="1245"/>
        <w:gridCol w:w="1260"/>
        <w:gridCol w:w="1260"/>
      </w:tblGrid>
      <w:tr w:rsidR="008C4588" w:rsidRPr="00A52D2C" w:rsidTr="00B23C6B">
        <w:tc>
          <w:tcPr>
            <w:tcW w:w="15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 xml:space="preserve"> </w:t>
            </w:r>
          </w:p>
        </w:tc>
        <w:tc>
          <w:tcPr>
            <w:tcW w:w="7500" w:type="dxa"/>
            <w:gridSpan w:val="6"/>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Zahájení řešení projektu</w:t>
            </w:r>
          </w:p>
        </w:tc>
      </w:tr>
      <w:tr w:rsidR="008C4588" w:rsidRPr="00A52D2C" w:rsidTr="00B23C6B">
        <w:tc>
          <w:tcPr>
            <w:tcW w:w="1545" w:type="dxa"/>
            <w:vMerge w:val="restart"/>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Poskytovatel</w:t>
            </w:r>
          </w:p>
        </w:tc>
        <w:tc>
          <w:tcPr>
            <w:tcW w:w="249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2000–2005</w:t>
            </w:r>
          </w:p>
        </w:tc>
        <w:tc>
          <w:tcPr>
            <w:tcW w:w="249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2006-2010</w:t>
            </w:r>
          </w:p>
        </w:tc>
        <w:tc>
          <w:tcPr>
            <w:tcW w:w="252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2011-2015</w:t>
            </w:r>
          </w:p>
        </w:tc>
      </w:tr>
      <w:tr w:rsidR="008C4588" w:rsidRPr="00A52D2C" w:rsidTr="00B23C6B">
        <w:tc>
          <w:tcPr>
            <w:tcW w:w="1545" w:type="dxa"/>
            <w:vMerge/>
            <w:tcMar>
              <w:top w:w="100" w:type="dxa"/>
              <w:left w:w="100" w:type="dxa"/>
              <w:bottom w:w="100" w:type="dxa"/>
              <w:right w:w="100" w:type="dxa"/>
            </w:tcMar>
          </w:tcPr>
          <w:p w:rsidR="008C4588" w:rsidRPr="00A52D2C" w:rsidRDefault="008C4588" w:rsidP="00BC5587">
            <w:pPr>
              <w:spacing w:before="120" w:after="0" w:line="276" w:lineRule="auto"/>
            </w:pP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 projektů</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dotace</w:t>
            </w:r>
          </w:p>
          <w:p w:rsidR="008C4588" w:rsidRPr="00A52D2C" w:rsidRDefault="0009700A" w:rsidP="00BC5587">
            <w:pPr>
              <w:spacing w:before="120" w:after="0" w:line="276" w:lineRule="auto"/>
            </w:pPr>
            <w:r w:rsidRPr="00A52D2C">
              <w:rPr>
                <w:shd w:val="clear" w:color="auto" w:fill="BFBFBF"/>
              </w:rPr>
              <w:t>(v tis. Kč)</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AV ČR</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41 513</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2 986</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 xml:space="preserve"> </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GA ČR</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95</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217 288</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106 722</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6</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32 940</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MMR</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940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MO</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4 780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MPO</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96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1 693 066</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139</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2 593 819</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27</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723 635</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MŠMT</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34</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463 643</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53</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841 369</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54</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1 508 976</w:t>
            </w:r>
          </w:p>
        </w:tc>
      </w:tr>
      <w:tr w:rsidR="008C4588" w:rsidRPr="00A52D2C" w:rsidTr="00B23C6B">
        <w:tc>
          <w:tcPr>
            <w:tcW w:w="1545" w:type="dxa"/>
            <w:tcMar>
              <w:top w:w="100" w:type="dxa"/>
              <w:left w:w="80" w:type="dxa"/>
              <w:bottom w:w="100" w:type="dxa"/>
              <w:right w:w="80" w:type="dxa"/>
            </w:tcMar>
          </w:tcPr>
          <w:p w:rsidR="008C4588" w:rsidRPr="00A52D2C" w:rsidRDefault="0009700A" w:rsidP="00BC5587">
            <w:pPr>
              <w:spacing w:before="120" w:after="0" w:line="276" w:lineRule="auto"/>
            </w:pPr>
            <w:r w:rsidRPr="00A52D2C">
              <w:t>MV</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4</w:t>
            </w:r>
          </w:p>
        </w:tc>
        <w:tc>
          <w:tcPr>
            <w:tcW w:w="1245" w:type="dxa"/>
            <w:tcMar>
              <w:top w:w="100" w:type="dxa"/>
              <w:left w:w="80" w:type="dxa"/>
              <w:bottom w:w="100" w:type="dxa"/>
              <w:right w:w="80" w:type="dxa"/>
            </w:tcMar>
          </w:tcPr>
          <w:p w:rsidR="008C4588" w:rsidRPr="00A52D2C" w:rsidRDefault="0009700A" w:rsidP="00BC5587">
            <w:pPr>
              <w:spacing w:before="120" w:after="0" w:line="276" w:lineRule="auto"/>
            </w:pPr>
            <w:r w:rsidRPr="00A52D2C">
              <w:t>28 652</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11</w:t>
            </w:r>
          </w:p>
        </w:tc>
        <w:tc>
          <w:tcPr>
            <w:tcW w:w="1260" w:type="dxa"/>
            <w:tcMar>
              <w:top w:w="100" w:type="dxa"/>
              <w:left w:w="80" w:type="dxa"/>
              <w:bottom w:w="100" w:type="dxa"/>
              <w:right w:w="80" w:type="dxa"/>
            </w:tcMar>
          </w:tcPr>
          <w:p w:rsidR="008C4588" w:rsidRPr="00A52D2C" w:rsidRDefault="0009700A" w:rsidP="00BC5587">
            <w:pPr>
              <w:spacing w:before="120" w:after="0" w:line="276" w:lineRule="auto"/>
            </w:pPr>
            <w:r w:rsidRPr="00A52D2C">
              <w:t>233 848</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MZE</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9</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46 910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6</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39 095</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23 394</w:t>
            </w:r>
          </w:p>
        </w:tc>
      </w:tr>
      <w:tr w:rsidR="008C4588" w:rsidRPr="00A52D2C" w:rsidTr="00B23C6B">
        <w:tc>
          <w:tcPr>
            <w:tcW w:w="15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MŽP</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26</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160 311</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6</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31 806</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r>
      <w:tr w:rsidR="008C4588" w:rsidRPr="00A52D2C" w:rsidTr="00B23C6B">
        <w:tc>
          <w:tcPr>
            <w:tcW w:w="15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SÚJB</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19</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79 350</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9</w:t>
            </w:r>
          </w:p>
        </w:tc>
        <w:tc>
          <w:tcPr>
            <w:tcW w:w="124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57 468</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c>
          <w:tcPr>
            <w:tcW w:w="126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w:t>
            </w:r>
          </w:p>
        </w:tc>
      </w:tr>
      <w:tr w:rsidR="008C4588" w:rsidRPr="00A52D2C" w:rsidTr="00B23C6B">
        <w:tc>
          <w:tcPr>
            <w:tcW w:w="15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TA ČR</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c>
          <w:tcPr>
            <w:tcW w:w="124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0</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165</w:t>
            </w:r>
          </w:p>
        </w:tc>
        <w:tc>
          <w:tcPr>
            <w:tcW w:w="1260"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2 786 622</w:t>
            </w:r>
          </w:p>
        </w:tc>
      </w:tr>
      <w:tr w:rsidR="008C4588" w:rsidRPr="00A52D2C" w:rsidTr="00B23C6B">
        <w:tc>
          <w:tcPr>
            <w:tcW w:w="15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Celkem</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287</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2 707 801</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258</w:t>
            </w:r>
          </w:p>
        </w:tc>
        <w:tc>
          <w:tcPr>
            <w:tcW w:w="124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3 701 917</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265</w:t>
            </w:r>
          </w:p>
        </w:tc>
        <w:tc>
          <w:tcPr>
            <w:tcW w:w="126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5 309 415</w:t>
            </w:r>
          </w:p>
        </w:tc>
      </w:tr>
    </w:tbl>
    <w:p w:rsidR="008C4588" w:rsidRPr="00A52D2C" w:rsidRDefault="0009700A" w:rsidP="00BC5587">
      <w:pPr>
        <w:spacing w:before="120" w:after="0" w:line="276" w:lineRule="auto"/>
      </w:pPr>
      <w:r w:rsidRPr="00A52D2C">
        <w:t xml:space="preserve"> </w:t>
      </w:r>
    </w:p>
    <w:p w:rsidR="008C4588" w:rsidRPr="00A52D2C" w:rsidRDefault="0009700A" w:rsidP="00636838">
      <w:pPr>
        <w:pStyle w:val="Zvraznnnormln"/>
        <w:keepNext/>
        <w:spacing w:after="0" w:line="276" w:lineRule="auto"/>
      </w:pPr>
      <w:r w:rsidRPr="00A52D2C">
        <w:rPr>
          <w:highlight w:val="white"/>
        </w:rPr>
        <w:lastRenderedPageBreak/>
        <w:t>Graf 2: Počet projektů a výše dotace podle poskytovatele a podle roku zahájení řešení</w:t>
      </w:r>
    </w:p>
    <w:p w:rsidR="008C4588" w:rsidRPr="00A52D2C" w:rsidRDefault="0009700A" w:rsidP="00BC5587">
      <w:pPr>
        <w:spacing w:before="120" w:after="0" w:line="276" w:lineRule="auto"/>
      </w:pPr>
      <w:r w:rsidRPr="00A52D2C">
        <w:rPr>
          <w:noProof/>
        </w:rPr>
        <w:drawing>
          <wp:inline distT="114300" distB="114300" distL="114300" distR="114300" wp14:anchorId="62AFA015" wp14:editId="069D3D25">
            <wp:extent cx="5772150" cy="3209925"/>
            <wp:effectExtent l="0" t="0" r="0" b="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5"/>
                    <a:srcRect/>
                    <a:stretch>
                      <a:fillRect/>
                    </a:stretch>
                  </pic:blipFill>
                  <pic:spPr>
                    <a:xfrm>
                      <a:off x="0" y="0"/>
                      <a:ext cx="5772150" cy="3209925"/>
                    </a:xfrm>
                    <a:prstGeom prst="rect">
                      <a:avLst/>
                    </a:prstGeom>
                    <a:ln/>
                  </pic:spPr>
                </pic:pic>
              </a:graphicData>
            </a:graphic>
          </wp:inline>
        </w:drawing>
      </w:r>
    </w:p>
    <w:p w:rsidR="009833BA" w:rsidRDefault="009833BA" w:rsidP="00BC5587">
      <w:pPr>
        <w:spacing w:before="120" w:after="0" w:line="276" w:lineRule="auto"/>
        <w:rPr>
          <w:highlight w:val="white"/>
        </w:rPr>
      </w:pPr>
    </w:p>
    <w:p w:rsidR="008C4588" w:rsidRPr="00A52D2C" w:rsidRDefault="0009700A" w:rsidP="00BC5587">
      <w:pPr>
        <w:pStyle w:val="Zvraznnnormln"/>
        <w:spacing w:after="0" w:line="276" w:lineRule="auto"/>
      </w:pPr>
      <w:r w:rsidRPr="00A52D2C">
        <w:rPr>
          <w:highlight w:val="white"/>
        </w:rPr>
        <w:t>Účastníci projektů</w:t>
      </w:r>
    </w:p>
    <w:p w:rsidR="008C4588" w:rsidRPr="00A52D2C" w:rsidRDefault="0009700A" w:rsidP="00BC5587">
      <w:pPr>
        <w:spacing w:before="120" w:after="0" w:line="276" w:lineRule="auto"/>
      </w:pPr>
      <w:r w:rsidRPr="00A52D2C">
        <w:rPr>
          <w:highlight w:val="white"/>
        </w:rPr>
        <w:t xml:space="preserve">Následující tabulka zobrazuje nejvýznamnější účastníky projektů a výši jejich dotací. Počet účastí převyšuje počet podpořených projektů, neboť každá organizace účastnící se projektu je započítána samostatně. Výše dotací je zobrazena pouze od roku 2007, tedy přibližně za poslední dvě sledovaná období. Nelze ji tedy plně přiřadit k uvedenému počtu projektů. Důvodem je dostupnost finančních dat před rokem 2007. V </w:t>
      </w:r>
      <w:proofErr w:type="gramStart"/>
      <w:r w:rsidRPr="00A52D2C">
        <w:rPr>
          <w:highlight w:val="white"/>
        </w:rPr>
        <w:t>IS</w:t>
      </w:r>
      <w:proofErr w:type="gramEnd"/>
      <w:r w:rsidRPr="00A52D2C">
        <w:rPr>
          <w:highlight w:val="white"/>
        </w:rPr>
        <w:t xml:space="preserve"> VaV jsou finance pro jednotlivé účastníky sledovány právě pouze od roku 2007. Před tímto rokem jsou k dispozici pouze celkové finanční údaje o projektu.</w:t>
      </w:r>
    </w:p>
    <w:p w:rsidR="008C4588" w:rsidRDefault="0009700A" w:rsidP="00BC5587">
      <w:pPr>
        <w:spacing w:before="120" w:after="0" w:line="276" w:lineRule="auto"/>
      </w:pPr>
      <w:r w:rsidRPr="00A52D2C">
        <w:rPr>
          <w:highlight w:val="white"/>
        </w:rPr>
        <w:t>Mezi organizace s největším počtem účastí v projektech a mezi nejvýznamnější příjemce patří především technické vysoké školy a výzkumné ústavy specializující na problematiku jaderného výzkumu jako ÚJV Řež (126 účastí v projektech, dotace od roku 2007 téměř 1,6 mld. Kč) nebo Centrum výzkumu Řež (30 účastí, dotace více než 1 mld. Kč). Mezi veřejné vysoké školy s nejvyšším počtem účastí patří – ČVUT v Praze (154 účastí, 547 mil. Kč), VUT v Brně (133 účastí, 32,5 mil. Kč), Vysoká škola báňská - Technická univerzita Ostrava (112 účastí, 727 mil. Kč), ZČU v Plzni (57 účastí, 726 mil. Kč) a VŠCHT v Praze (51 ÚČASTÍ, 133 mil. Kč). Nejvýznamnějšími účastníky z řad podniků, které nemají charakter výzkumného ústavu, jsou Doosan Škoda Power s.r.o. (22 ÚČASTÍ, 88,6 mil. Kč) a ČEZ, a. s. (16 účastí, 37,4 mil. Kč). Z ústavů AV ČR se mezi nejčastějšími účastníky objevují Ústav termomechaniky AV ČR (20 účastí, mil. Kč, 38,6 mil. Kč) a Ústav chemických procesů AV ČR (18 účastí, 73,5 mil. Kč).</w:t>
      </w:r>
    </w:p>
    <w:p w:rsidR="00B1394C" w:rsidRDefault="00B1394C" w:rsidP="00BC5587">
      <w:pPr>
        <w:spacing w:before="120" w:after="0" w:line="276" w:lineRule="auto"/>
      </w:pPr>
    </w:p>
    <w:p w:rsidR="008C4588" w:rsidRPr="00A52D2C" w:rsidRDefault="0009700A" w:rsidP="00636838">
      <w:pPr>
        <w:pStyle w:val="Zvraznnnormln"/>
        <w:keepNext/>
        <w:spacing w:after="0" w:line="276" w:lineRule="auto"/>
      </w:pPr>
      <w:r w:rsidRPr="00A52D2C">
        <w:rPr>
          <w:highlight w:val="white"/>
        </w:rPr>
        <w:lastRenderedPageBreak/>
        <w:t>Tab. 3: Účasti v projektech a výše dotace podle organizace a její organizační jednotky</w:t>
      </w:r>
    </w:p>
    <w:tbl>
      <w:tblPr>
        <w:tblStyle w:val="a6"/>
        <w:tblW w:w="888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385"/>
        <w:gridCol w:w="1695"/>
        <w:gridCol w:w="1800"/>
      </w:tblGrid>
      <w:tr w:rsidR="008C4588" w:rsidRPr="00A52D2C" w:rsidTr="00636838">
        <w:trPr>
          <w:tblHeader/>
        </w:trPr>
        <w:tc>
          <w:tcPr>
            <w:tcW w:w="5385" w:type="dxa"/>
            <w:shd w:val="clear" w:color="auto" w:fill="BFBFBF"/>
            <w:tcMar>
              <w:top w:w="100" w:type="dxa"/>
              <w:left w:w="80" w:type="dxa"/>
              <w:bottom w:w="100" w:type="dxa"/>
              <w:right w:w="80" w:type="dxa"/>
            </w:tcMar>
          </w:tcPr>
          <w:p w:rsidR="008C4588" w:rsidRPr="00636838" w:rsidRDefault="0009700A" w:rsidP="00BC5587">
            <w:pPr>
              <w:spacing w:before="120" w:after="0" w:line="276" w:lineRule="auto"/>
              <w:rPr>
                <w:b/>
              </w:rPr>
            </w:pPr>
            <w:r w:rsidRPr="00636838">
              <w:rPr>
                <w:b/>
                <w:shd w:val="clear" w:color="auto" w:fill="BFBFBF"/>
              </w:rPr>
              <w:t>Název organizace</w:t>
            </w:r>
          </w:p>
          <w:p w:rsidR="008C4588" w:rsidRPr="00636838" w:rsidRDefault="0009700A" w:rsidP="00BC5587">
            <w:pPr>
              <w:spacing w:before="120" w:after="0" w:line="276" w:lineRule="auto"/>
              <w:rPr>
                <w:b/>
              </w:rPr>
            </w:pPr>
            <w:r w:rsidRPr="00636838">
              <w:rPr>
                <w:b/>
                <w:shd w:val="clear" w:color="auto" w:fill="BFBFBF"/>
              </w:rPr>
              <w:t>- organizační jednotka</w:t>
            </w:r>
          </w:p>
        </w:tc>
        <w:tc>
          <w:tcPr>
            <w:tcW w:w="1695" w:type="dxa"/>
            <w:shd w:val="clear" w:color="auto" w:fill="BFBFBF"/>
            <w:tcMar>
              <w:top w:w="100" w:type="dxa"/>
              <w:left w:w="80" w:type="dxa"/>
              <w:bottom w:w="100" w:type="dxa"/>
              <w:right w:w="80" w:type="dxa"/>
            </w:tcMar>
          </w:tcPr>
          <w:p w:rsidR="008C4588" w:rsidRPr="00636838" w:rsidRDefault="0009700A" w:rsidP="00636838">
            <w:pPr>
              <w:spacing w:before="120" w:after="0" w:line="276" w:lineRule="auto"/>
              <w:jc w:val="left"/>
              <w:rPr>
                <w:b/>
              </w:rPr>
            </w:pPr>
            <w:r w:rsidRPr="00636838">
              <w:rPr>
                <w:b/>
                <w:shd w:val="clear" w:color="auto" w:fill="BFBFBF"/>
              </w:rPr>
              <w:t>Počet účastí v projektech</w:t>
            </w:r>
          </w:p>
          <w:p w:rsidR="008C4588" w:rsidRPr="00636838" w:rsidRDefault="0009700A" w:rsidP="00636838">
            <w:pPr>
              <w:spacing w:before="120" w:after="0" w:line="276" w:lineRule="auto"/>
              <w:jc w:val="left"/>
              <w:rPr>
                <w:b/>
              </w:rPr>
            </w:pPr>
            <w:r w:rsidRPr="00636838">
              <w:rPr>
                <w:b/>
                <w:shd w:val="clear" w:color="auto" w:fill="BFBFBF"/>
              </w:rPr>
              <w:t>(od roku 2000)</w:t>
            </w:r>
          </w:p>
        </w:tc>
        <w:tc>
          <w:tcPr>
            <w:tcW w:w="1800" w:type="dxa"/>
            <w:shd w:val="clear" w:color="auto" w:fill="BFBFBF"/>
            <w:tcMar>
              <w:top w:w="100" w:type="dxa"/>
              <w:left w:w="80" w:type="dxa"/>
              <w:bottom w:w="100" w:type="dxa"/>
              <w:right w:w="80" w:type="dxa"/>
            </w:tcMar>
          </w:tcPr>
          <w:p w:rsidR="008C4588" w:rsidRPr="00636838" w:rsidRDefault="0009700A" w:rsidP="00636838">
            <w:pPr>
              <w:spacing w:before="120" w:after="0" w:line="276" w:lineRule="auto"/>
              <w:jc w:val="left"/>
              <w:rPr>
                <w:b/>
              </w:rPr>
            </w:pPr>
            <w:r w:rsidRPr="00636838">
              <w:rPr>
                <w:b/>
                <w:shd w:val="clear" w:color="auto" w:fill="BFBFBF"/>
              </w:rPr>
              <w:t>Dotace</w:t>
            </w:r>
          </w:p>
          <w:p w:rsidR="008C4588" w:rsidRPr="00636838" w:rsidRDefault="0009700A" w:rsidP="00636838">
            <w:pPr>
              <w:spacing w:before="120" w:after="0" w:line="276" w:lineRule="auto"/>
              <w:jc w:val="left"/>
              <w:rPr>
                <w:b/>
              </w:rPr>
            </w:pPr>
            <w:r w:rsidRPr="00636838">
              <w:rPr>
                <w:b/>
                <w:shd w:val="clear" w:color="auto" w:fill="BFBFBF"/>
              </w:rPr>
              <w:t>(od roku 2007)*</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České vysoké učení technické v Praze</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154</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547 629</w:t>
            </w:r>
          </w:p>
        </w:tc>
      </w:tr>
      <w:tr w:rsidR="008C4588" w:rsidRPr="00A52D2C" w:rsidTr="00B23C6B">
        <w:tc>
          <w:tcPr>
            <w:tcW w:w="538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Fakulta strojní</w:t>
            </w:r>
          </w:p>
        </w:tc>
        <w:tc>
          <w:tcPr>
            <w:tcW w:w="1695"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67</w:t>
            </w:r>
          </w:p>
        </w:tc>
        <w:tc>
          <w:tcPr>
            <w:tcW w:w="1800"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230 600</w:t>
            </w:r>
          </w:p>
        </w:tc>
      </w:tr>
      <w:tr w:rsidR="008C4588" w:rsidRPr="00A52D2C" w:rsidTr="00B23C6B">
        <w:tc>
          <w:tcPr>
            <w:tcW w:w="538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Fakulta jaderná a fyzikálně inženýrská</w:t>
            </w:r>
          </w:p>
        </w:tc>
        <w:tc>
          <w:tcPr>
            <w:tcW w:w="1695"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38</w:t>
            </w:r>
          </w:p>
        </w:tc>
        <w:tc>
          <w:tcPr>
            <w:tcW w:w="1800"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95 028</w:t>
            </w:r>
          </w:p>
        </w:tc>
      </w:tr>
      <w:tr w:rsidR="008C4588" w:rsidRPr="00A52D2C" w:rsidTr="00B23C6B">
        <w:tc>
          <w:tcPr>
            <w:tcW w:w="538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Fakulta elektrotechnická</w:t>
            </w:r>
          </w:p>
        </w:tc>
        <w:tc>
          <w:tcPr>
            <w:tcW w:w="1695"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25</w:t>
            </w:r>
          </w:p>
        </w:tc>
        <w:tc>
          <w:tcPr>
            <w:tcW w:w="1800"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69 343</w:t>
            </w:r>
          </w:p>
        </w:tc>
      </w:tr>
      <w:tr w:rsidR="008C4588" w:rsidRPr="00A52D2C" w:rsidTr="00B23C6B">
        <w:tc>
          <w:tcPr>
            <w:tcW w:w="5385" w:type="dxa"/>
            <w:shd w:val="clear" w:color="auto" w:fill="FFFFFF"/>
            <w:tcMar>
              <w:top w:w="100" w:type="dxa"/>
              <w:left w:w="80" w:type="dxa"/>
              <w:bottom w:w="100" w:type="dxa"/>
              <w:right w:w="80" w:type="dxa"/>
            </w:tcMar>
          </w:tcPr>
          <w:p w:rsidR="008C4588" w:rsidRPr="00A52D2C" w:rsidRDefault="0009700A" w:rsidP="00BC5587">
            <w:pPr>
              <w:spacing w:before="120" w:after="0" w:line="276" w:lineRule="auto"/>
            </w:pPr>
            <w:r w:rsidRPr="00A52D2C">
              <w:rPr>
                <w:highlight w:val="white"/>
              </w:rPr>
              <w:t>ostatní jednotky/bez rozlišení</w:t>
            </w:r>
          </w:p>
        </w:tc>
        <w:tc>
          <w:tcPr>
            <w:tcW w:w="1695"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24</w:t>
            </w:r>
          </w:p>
        </w:tc>
        <w:tc>
          <w:tcPr>
            <w:tcW w:w="1800" w:type="dxa"/>
            <w:shd w:val="clear" w:color="auto" w:fill="FFFFFF"/>
            <w:tcMar>
              <w:top w:w="100" w:type="dxa"/>
              <w:left w:w="80" w:type="dxa"/>
              <w:bottom w:w="100" w:type="dxa"/>
              <w:right w:w="280" w:type="dxa"/>
            </w:tcMar>
          </w:tcPr>
          <w:p w:rsidR="008C4588" w:rsidRPr="00A52D2C" w:rsidRDefault="0009700A" w:rsidP="00BC5587">
            <w:pPr>
              <w:spacing w:before="120" w:after="0" w:line="276" w:lineRule="auto"/>
            </w:pPr>
            <w:r w:rsidRPr="00A52D2C">
              <w:rPr>
                <w:highlight w:val="white"/>
              </w:rPr>
              <w:t>152 658</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Vysoké učení technické v Brně</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133</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510 314</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strojního inženýrství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81</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244 077</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elektrotechniky a komunikačních technologií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37</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242 623</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ostatní jednotky/bez rozlišení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15</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23 614</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ÚJV Řež, a. s.</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126</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1 584 110</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Vysoká škola báňská - Technická univerzita Ostrava</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112</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726 882</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elektrotechniky a informatiky</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23</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44 295</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metalurgie a materiálového inženýrství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21</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92 099</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Výzkumné energetické centrum</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20</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163 758</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strojní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18</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44 111</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ostatní jednotky/bez rozlišení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30</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382 619</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Západočeská univerzita v Plzni</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57</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726 882</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lastRenderedPageBreak/>
              <w:t>Fakulta elektrotechnická</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20</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123 372</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aplikovaných věd</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16</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148 572</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strojní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11</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7 995</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ostatní jednotky/bez rozlišení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10</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446 943</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Vysoká škola chemicko-technologická v Praze</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51</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133 306</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technologie ochrany prostředí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30</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64 193</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Fakulta chemické technologie</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15</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58 354</w:t>
            </w:r>
          </w:p>
        </w:tc>
      </w:tr>
      <w:tr w:rsidR="008C4588" w:rsidRPr="00A52D2C" w:rsidTr="00B23C6B">
        <w:tc>
          <w:tcPr>
            <w:tcW w:w="5385" w:type="dxa"/>
            <w:tcMar>
              <w:top w:w="100" w:type="dxa"/>
              <w:left w:w="80" w:type="dxa"/>
              <w:bottom w:w="100" w:type="dxa"/>
              <w:right w:w="80" w:type="dxa"/>
            </w:tcMar>
          </w:tcPr>
          <w:p w:rsidR="008C4588" w:rsidRPr="00A52D2C" w:rsidRDefault="0009700A" w:rsidP="00BC5587">
            <w:pPr>
              <w:spacing w:before="120" w:after="0" w:line="276" w:lineRule="auto"/>
            </w:pPr>
            <w:r w:rsidRPr="00A52D2C">
              <w:t>ostatní jednotky/bez rozlišení</w:t>
            </w:r>
          </w:p>
        </w:tc>
        <w:tc>
          <w:tcPr>
            <w:tcW w:w="1695" w:type="dxa"/>
            <w:tcMar>
              <w:top w:w="100" w:type="dxa"/>
              <w:left w:w="80" w:type="dxa"/>
              <w:bottom w:w="100" w:type="dxa"/>
              <w:right w:w="280" w:type="dxa"/>
            </w:tcMar>
          </w:tcPr>
          <w:p w:rsidR="008C4588" w:rsidRPr="00A52D2C" w:rsidRDefault="0009700A" w:rsidP="00BC5587">
            <w:pPr>
              <w:spacing w:before="120" w:after="0" w:line="276" w:lineRule="auto"/>
            </w:pPr>
            <w:r w:rsidRPr="00A52D2C">
              <w:t>6</w:t>
            </w:r>
          </w:p>
        </w:tc>
        <w:tc>
          <w:tcPr>
            <w:tcW w:w="1800" w:type="dxa"/>
            <w:tcMar>
              <w:top w:w="100" w:type="dxa"/>
              <w:left w:w="80" w:type="dxa"/>
              <w:bottom w:w="100" w:type="dxa"/>
              <w:right w:w="280" w:type="dxa"/>
            </w:tcMar>
          </w:tcPr>
          <w:p w:rsidR="008C4588" w:rsidRPr="00A52D2C" w:rsidRDefault="0009700A" w:rsidP="00BC5587">
            <w:pPr>
              <w:spacing w:before="120" w:after="0" w:line="276" w:lineRule="auto"/>
            </w:pPr>
            <w:r w:rsidRPr="00A52D2C">
              <w:t>10 759</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Centrum výzkumu Řež s.r.o.</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30</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1 037 128</w:t>
            </w:r>
          </w:p>
        </w:tc>
      </w:tr>
      <w:tr w:rsidR="008C4588" w:rsidRPr="00A52D2C" w:rsidTr="00B23C6B">
        <w:tc>
          <w:tcPr>
            <w:tcW w:w="538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ostatní organizace</w:t>
            </w:r>
          </w:p>
        </w:tc>
        <w:tc>
          <w:tcPr>
            <w:tcW w:w="1695"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1 072</w:t>
            </w:r>
          </w:p>
        </w:tc>
        <w:tc>
          <w:tcPr>
            <w:tcW w:w="1800" w:type="dxa"/>
            <w:shd w:val="clear" w:color="auto" w:fill="F2F2F2"/>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F2F2F2"/>
              </w:rPr>
              <w:t>3 886 966</w:t>
            </w:r>
          </w:p>
        </w:tc>
      </w:tr>
      <w:tr w:rsidR="008C4588" w:rsidRPr="00A52D2C" w:rsidTr="00B23C6B">
        <w:tc>
          <w:tcPr>
            <w:tcW w:w="538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účastí celkem</w:t>
            </w:r>
          </w:p>
        </w:tc>
        <w:tc>
          <w:tcPr>
            <w:tcW w:w="1695" w:type="dxa"/>
            <w:shd w:val="clear" w:color="auto" w:fill="BFBFBF"/>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BFBFBF"/>
              </w:rPr>
              <w:t>1 735</w:t>
            </w:r>
          </w:p>
        </w:tc>
        <w:tc>
          <w:tcPr>
            <w:tcW w:w="1800" w:type="dxa"/>
            <w:shd w:val="clear" w:color="auto" w:fill="BFBFBF"/>
            <w:tcMar>
              <w:top w:w="100" w:type="dxa"/>
              <w:left w:w="80" w:type="dxa"/>
              <w:bottom w:w="100" w:type="dxa"/>
              <w:right w:w="280" w:type="dxa"/>
            </w:tcMar>
          </w:tcPr>
          <w:p w:rsidR="008C4588" w:rsidRPr="00A52D2C" w:rsidRDefault="0009700A" w:rsidP="00BC5587">
            <w:pPr>
              <w:spacing w:before="120" w:after="0" w:line="276" w:lineRule="auto"/>
            </w:pPr>
            <w:r w:rsidRPr="00A52D2C">
              <w:rPr>
                <w:shd w:val="clear" w:color="auto" w:fill="BFBFBF"/>
              </w:rPr>
              <w:t>9 153 217</w:t>
            </w:r>
          </w:p>
        </w:tc>
      </w:tr>
    </w:tbl>
    <w:p w:rsidR="008C4588" w:rsidRPr="00A52D2C" w:rsidRDefault="0009700A" w:rsidP="00BC5587">
      <w:pPr>
        <w:spacing w:before="120" w:after="0" w:line="276" w:lineRule="auto"/>
      </w:pPr>
      <w:r w:rsidRPr="00A52D2C">
        <w:rPr>
          <w:highlight w:val="white"/>
        </w:rPr>
        <w:t xml:space="preserve">* v </w:t>
      </w:r>
      <w:proofErr w:type="gramStart"/>
      <w:r w:rsidRPr="00A52D2C">
        <w:rPr>
          <w:highlight w:val="white"/>
        </w:rPr>
        <w:t>IS</w:t>
      </w:r>
      <w:proofErr w:type="gramEnd"/>
      <w:r w:rsidRPr="00A52D2C">
        <w:rPr>
          <w:highlight w:val="white"/>
        </w:rPr>
        <w:t xml:space="preserve"> VaV je možné sledovat finance za odděleně za jednotlivé účastníky pouze pro projekty zahájené v roce 2007 a později.</w:t>
      </w:r>
    </w:p>
    <w:p w:rsidR="008C4588" w:rsidRPr="00A52D2C" w:rsidRDefault="0009700A" w:rsidP="00BC5587">
      <w:pPr>
        <w:spacing w:before="120" w:after="0" w:line="276" w:lineRule="auto"/>
      </w:pPr>
      <w:r w:rsidRPr="00A52D2C">
        <w:t xml:space="preserve"> </w:t>
      </w:r>
    </w:p>
    <w:p w:rsidR="008C4588" w:rsidRPr="00A52D2C" w:rsidRDefault="0009700A" w:rsidP="00BC5587">
      <w:pPr>
        <w:pStyle w:val="Zvraznnnormln"/>
        <w:spacing w:after="0" w:line="276" w:lineRule="auto"/>
      </w:pPr>
      <w:r w:rsidRPr="00A52D2C">
        <w:rPr>
          <w:highlight w:val="white"/>
        </w:rPr>
        <w:t>Výsledky s označením oboru JE a JF</w:t>
      </w:r>
    </w:p>
    <w:p w:rsidR="008C4588" w:rsidRPr="00A52D2C" w:rsidRDefault="0009700A" w:rsidP="00BC5587">
      <w:pPr>
        <w:spacing w:before="120" w:after="0" w:line="276" w:lineRule="auto"/>
      </w:pPr>
      <w:r w:rsidRPr="00A52D2C">
        <w:rPr>
          <w:highlight w:val="white"/>
        </w:rPr>
        <w:t xml:space="preserve">Celkem bylo k 10.11 2015 nahlášeno v IS VaV více než 11 200 výsledků v oborech oborem JE a JF. Tento počet výsledků však nelze plně vztáhnout k výše uvedeným projektům. Výsledky nelze z IS VaV z uživatelského rozhraní filtrovat podle vybraných projektů, pouze podle oboru výsledku. Dá se předpokládat, že velká část výsledků bude mít vazby na výše uvažované projekty. Nelze však tyto výsledky s těmito projekty plně spojovat. </w:t>
      </w:r>
      <w:r w:rsidR="00283C55" w:rsidRPr="00A52D2C">
        <w:rPr>
          <w:highlight w:val="white"/>
        </w:rPr>
        <w:t>Zařazení výsledku do období je určeno uplatněním v</w:t>
      </w:r>
      <w:r w:rsidR="00283C55">
        <w:rPr>
          <w:highlight w:val="white"/>
        </w:rPr>
        <w:t xml:space="preserve">ýsledku v </w:t>
      </w:r>
      <w:proofErr w:type="gramStart"/>
      <w:r w:rsidR="00283C55">
        <w:rPr>
          <w:highlight w:val="white"/>
        </w:rPr>
        <w:t>RIV</w:t>
      </w:r>
      <w:proofErr w:type="gramEnd"/>
      <w:r w:rsidR="00283C55">
        <w:rPr>
          <w:highlight w:val="white"/>
        </w:rPr>
        <w:t xml:space="preserve"> což znamená, že </w:t>
      </w:r>
      <w:r w:rsidR="00283C55" w:rsidRPr="00A52D2C">
        <w:rPr>
          <w:highlight w:val="white"/>
        </w:rPr>
        <w:t xml:space="preserve">zde mohou být obsaženy například výsledky projektů zahájených před rokem 2000. </w:t>
      </w:r>
      <w:r w:rsidRPr="00A52D2C">
        <w:rPr>
          <w:highlight w:val="white"/>
        </w:rPr>
        <w:t xml:space="preserve">Pro projekty zahájené naopak v letech 2014 či 2015 pak ještě nemusí být v </w:t>
      </w:r>
      <w:proofErr w:type="gramStart"/>
      <w:r w:rsidRPr="00A52D2C">
        <w:rPr>
          <w:highlight w:val="white"/>
        </w:rPr>
        <w:t>RIV</w:t>
      </w:r>
      <w:proofErr w:type="gramEnd"/>
      <w:r w:rsidRPr="00A52D2C">
        <w:rPr>
          <w:highlight w:val="white"/>
        </w:rPr>
        <w:t xml:space="preserve"> zanesen ještě žádný výsledek.</w:t>
      </w:r>
    </w:p>
    <w:p w:rsidR="008C4588" w:rsidRPr="00A52D2C" w:rsidRDefault="0009700A" w:rsidP="00BC5587">
      <w:pPr>
        <w:spacing w:before="120" w:after="0" w:line="276" w:lineRule="auto"/>
      </w:pPr>
      <w:r w:rsidRPr="00A52D2C">
        <w:rPr>
          <w:highlight w:val="white"/>
        </w:rPr>
        <w:lastRenderedPageBreak/>
        <w:t xml:space="preserve">Více než dvě třetiny všech výsledků (7 592 výsledků) z oblasti energetiky uplatněných od roku 2000 byly uvedena ve skupině publikačních výsledků (nejčastěji články ve sborníku či odborném periodiku). Tento podíl pak se pak v čase snižoval z původních 88 % na hodnotu 58 % v období 2011-2015. Vzhledem k nízkému zastoupení patentů mezi výsledky z oblasti energetiky, byl vývoj podílu skupiny aplikovaných výsledků zrcadlový k publikačním výsledkům. Jejich podíl v čase neustále narůstal z původních 12 % v období 2000-2005 na 41 % v období 2011-2015. </w:t>
      </w:r>
    </w:p>
    <w:p w:rsidR="008C4588" w:rsidRPr="00A52D2C" w:rsidRDefault="0009700A" w:rsidP="00BC5587">
      <w:pPr>
        <w:spacing w:before="120" w:after="0" w:line="276" w:lineRule="auto"/>
      </w:pPr>
      <w:r w:rsidRPr="00A52D2C">
        <w:rPr>
          <w:highlight w:val="white"/>
        </w:rPr>
        <w:t xml:space="preserve">Celkem pak bylo od roku 2000 uplatněno 5 711 aplikovaných výsledků. Jednoznačně nejpočetnější byla z této kategorie výsledky typu O-ostatní výsledky (978). Dále to pak </w:t>
      </w:r>
      <w:proofErr w:type="gramStart"/>
      <w:r w:rsidRPr="00A52D2C">
        <w:rPr>
          <w:highlight w:val="white"/>
        </w:rPr>
        <w:t>byly G–prototyp</w:t>
      </w:r>
      <w:proofErr w:type="gramEnd"/>
      <w:r w:rsidRPr="00A52D2C">
        <w:rPr>
          <w:highlight w:val="white"/>
        </w:rPr>
        <w:t>, funkční vzorek a Z-poloprovoz, ověřená technologie s přibližně 550 výsledky. Patentů byl ve sledovaném období vytvořenou pouze 47. Naprostá většina z nich (39) pak ale v období 2011-2015. Ani v tomto období však podíl patentů nebyl vyšší než 1 %.</w:t>
      </w:r>
    </w:p>
    <w:p w:rsidR="008C4588" w:rsidRDefault="0009700A" w:rsidP="00BC5587">
      <w:pPr>
        <w:spacing w:before="120" w:after="0" w:line="276" w:lineRule="auto"/>
      </w:pPr>
      <w:r w:rsidRPr="00A52D2C">
        <w:rPr>
          <w:highlight w:val="white"/>
        </w:rPr>
        <w:t>Co se týče časového hlediska, počet výsledků výrazně stoupá. Zatímco v prvním pětiletém období po roce 2000 bylo vykázáno k projektům pouze 1 825 výsledků, v období 2011-2015 to bylo již více než třikrát více (5 711).</w:t>
      </w:r>
    </w:p>
    <w:p w:rsidR="00B23C6B" w:rsidRDefault="00B23C6B" w:rsidP="00BC5587">
      <w:pPr>
        <w:spacing w:before="120" w:after="0" w:line="276" w:lineRule="auto"/>
      </w:pPr>
    </w:p>
    <w:p w:rsidR="008C4588" w:rsidRPr="00A52D2C" w:rsidRDefault="0009700A" w:rsidP="00BC5587">
      <w:pPr>
        <w:pStyle w:val="Zvraznnnormln"/>
        <w:spacing w:after="0" w:line="276" w:lineRule="auto"/>
      </w:pPr>
      <w:r w:rsidRPr="00A52D2C">
        <w:rPr>
          <w:highlight w:val="white"/>
        </w:rPr>
        <w:t>Tab. 4: Výsledky v oblasti energetiky</w:t>
      </w:r>
    </w:p>
    <w:tbl>
      <w:tblPr>
        <w:tblStyle w:val="a7"/>
        <w:tblW w:w="906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265"/>
        <w:gridCol w:w="840"/>
        <w:gridCol w:w="855"/>
        <w:gridCol w:w="840"/>
        <w:gridCol w:w="840"/>
        <w:gridCol w:w="855"/>
        <w:gridCol w:w="855"/>
        <w:gridCol w:w="855"/>
        <w:gridCol w:w="855"/>
      </w:tblGrid>
      <w:tr w:rsidR="008C4588" w:rsidRPr="00A52D2C" w:rsidTr="00636838">
        <w:trPr>
          <w:tblHeader/>
        </w:trPr>
        <w:tc>
          <w:tcPr>
            <w:tcW w:w="2265" w:type="dxa"/>
            <w:vMerge w:val="restart"/>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Skupina výsledků*</w:t>
            </w:r>
          </w:p>
          <w:p w:rsidR="008C4588" w:rsidRPr="00A52D2C" w:rsidRDefault="0009700A" w:rsidP="00BC5587">
            <w:pPr>
              <w:spacing w:before="120" w:after="0" w:line="276" w:lineRule="auto"/>
            </w:pPr>
            <w:r w:rsidRPr="00A52D2C">
              <w:rPr>
                <w:shd w:val="clear" w:color="auto" w:fill="BFBFBF"/>
              </w:rPr>
              <w:t>- kód výsledku</w:t>
            </w:r>
          </w:p>
        </w:tc>
        <w:tc>
          <w:tcPr>
            <w:tcW w:w="6795" w:type="dxa"/>
            <w:gridSpan w:val="8"/>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Rok uplatnění výsledku</w:t>
            </w:r>
          </w:p>
        </w:tc>
      </w:tr>
      <w:tr w:rsidR="008C4588" w:rsidRPr="00A52D2C" w:rsidTr="00636838">
        <w:trPr>
          <w:tblHeader/>
        </w:trPr>
        <w:tc>
          <w:tcPr>
            <w:tcW w:w="2265" w:type="dxa"/>
            <w:vMerge/>
            <w:tcMar>
              <w:top w:w="100" w:type="dxa"/>
              <w:left w:w="100" w:type="dxa"/>
              <w:bottom w:w="100" w:type="dxa"/>
              <w:right w:w="100" w:type="dxa"/>
            </w:tcMar>
          </w:tcPr>
          <w:p w:rsidR="008C4588" w:rsidRPr="00A52D2C" w:rsidRDefault="008C4588" w:rsidP="00BC5587">
            <w:pPr>
              <w:spacing w:before="120" w:after="0" w:line="276" w:lineRule="auto"/>
            </w:pPr>
          </w:p>
        </w:tc>
        <w:tc>
          <w:tcPr>
            <w:tcW w:w="1695"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2000-2005</w:t>
            </w:r>
          </w:p>
        </w:tc>
        <w:tc>
          <w:tcPr>
            <w:tcW w:w="168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2006-2010</w:t>
            </w:r>
          </w:p>
        </w:tc>
        <w:tc>
          <w:tcPr>
            <w:tcW w:w="171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2011-2015</w:t>
            </w:r>
          </w:p>
        </w:tc>
        <w:tc>
          <w:tcPr>
            <w:tcW w:w="1710"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Celkem</w:t>
            </w:r>
          </w:p>
        </w:tc>
      </w:tr>
      <w:tr w:rsidR="008C4588" w:rsidRPr="00A52D2C" w:rsidTr="00636838">
        <w:trPr>
          <w:tblHeader/>
        </w:trPr>
        <w:tc>
          <w:tcPr>
            <w:tcW w:w="2265" w:type="dxa"/>
            <w:vMerge/>
            <w:tcMar>
              <w:top w:w="100" w:type="dxa"/>
              <w:left w:w="100" w:type="dxa"/>
              <w:bottom w:w="100" w:type="dxa"/>
              <w:right w:w="100" w:type="dxa"/>
            </w:tcMar>
          </w:tcPr>
          <w:p w:rsidR="008C4588" w:rsidRPr="00A52D2C" w:rsidRDefault="008C4588" w:rsidP="00BC5587">
            <w:pPr>
              <w:spacing w:before="120" w:after="0" w:line="276" w:lineRule="auto"/>
            </w:pP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 %</w:t>
            </w: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 %</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 %</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 %</w:t>
            </w:r>
          </w:p>
        </w:tc>
      </w:tr>
      <w:tr w:rsidR="008C4588" w:rsidRPr="00A52D2C" w:rsidTr="00B23C6B">
        <w:tc>
          <w:tcPr>
            <w:tcW w:w="226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I. kategorie – Publikační výsledky</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1 604</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87,9</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2 661</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71,4</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3 327</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58,3</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7 592</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67,4</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B–odborná</w:t>
            </w:r>
            <w:proofErr w:type="gramEnd"/>
            <w:r w:rsidRPr="00A52D2C">
              <w:t xml:space="preserve"> kniha</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52</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148</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1,3</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C–kapitola</w:t>
            </w:r>
            <w:proofErr w:type="gramEnd"/>
            <w:r w:rsidRPr="00A52D2C">
              <w:t xml:space="preserve"> v </w:t>
            </w:r>
            <w:proofErr w:type="spellStart"/>
            <w:r w:rsidRPr="00A52D2C">
              <w:t>odb</w:t>
            </w:r>
            <w:proofErr w:type="spellEnd"/>
            <w:r w:rsidRPr="00A52D2C">
              <w:t>. knize</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42</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126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2,2</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201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1,8</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D–článek</w:t>
            </w:r>
            <w:proofErr w:type="gramEnd"/>
            <w:r w:rsidRPr="00A52D2C">
              <w:t xml:space="preserve"> ve sborníku</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1 206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66,1</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1 887</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50,7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2 036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35,7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5 129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45,5</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 xml:space="preserve">J–článek v </w:t>
            </w:r>
            <w:proofErr w:type="gramStart"/>
            <w:r w:rsidRPr="00A52D2C">
              <w:t>od</w:t>
            </w:r>
            <w:proofErr w:type="gramEnd"/>
            <w:r w:rsidRPr="00A52D2C">
              <w:t xml:space="preserve">. </w:t>
            </w:r>
            <w:proofErr w:type="gramStart"/>
            <w:r w:rsidRPr="00A52D2C">
              <w:t>periodiku</w:t>
            </w:r>
            <w:proofErr w:type="gramEnd"/>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319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17,5</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689</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18,5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1 106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19,4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2 114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18,8</w:t>
            </w:r>
          </w:p>
        </w:tc>
      </w:tr>
      <w:tr w:rsidR="008C4588" w:rsidRPr="00A52D2C" w:rsidTr="00B23C6B">
        <w:tc>
          <w:tcPr>
            <w:tcW w:w="226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II. kategorie - Patenty</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5</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0,3</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0,1</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39</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0,7</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47</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0,4</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P–patent</w:t>
            </w:r>
            <w:proofErr w:type="gramEnd"/>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0,4</w:t>
            </w:r>
          </w:p>
        </w:tc>
      </w:tr>
      <w:tr w:rsidR="008C4588" w:rsidRPr="00A52D2C" w:rsidTr="00B23C6B">
        <w:tc>
          <w:tcPr>
            <w:tcW w:w="226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lastRenderedPageBreak/>
              <w:t>III. kategorie - Aplikované výsledky</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216</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11,8</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1 061</w:t>
            </w:r>
          </w:p>
        </w:tc>
        <w:tc>
          <w:tcPr>
            <w:tcW w:w="840"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28,5</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2 345</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41,1</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3 622</w:t>
            </w:r>
          </w:p>
        </w:tc>
        <w:tc>
          <w:tcPr>
            <w:tcW w:w="855" w:type="dxa"/>
            <w:shd w:val="clear" w:color="auto" w:fill="F2F2F2"/>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F2F2F2"/>
              </w:rPr>
              <w:t>32,2</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A–audiovizuální</w:t>
            </w:r>
            <w:proofErr w:type="gramEnd"/>
            <w:r w:rsidRPr="00A52D2C">
              <w:t xml:space="preserve"> tvorba</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115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6,3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162</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4,3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48</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0,8</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325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2,9</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F–užitný</w:t>
            </w:r>
            <w:proofErr w:type="gramEnd"/>
            <w:r w:rsidRPr="00A52D2C">
              <w:t xml:space="preserve"> a </w:t>
            </w:r>
            <w:proofErr w:type="spellStart"/>
            <w:r w:rsidRPr="00A52D2C">
              <w:t>prům</w:t>
            </w:r>
            <w:proofErr w:type="spellEnd"/>
            <w:r w:rsidRPr="00A52D2C">
              <w:t>. vzor</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21</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109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130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1,2</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G–prototyp</w:t>
            </w:r>
            <w:proofErr w:type="gramEnd"/>
            <w:r w:rsidRPr="00A52D2C">
              <w:t>, funkční vzorek</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112</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454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7,9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566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5,0</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 xml:space="preserve">H–poskytovatelem </w:t>
            </w:r>
            <w:proofErr w:type="spellStart"/>
            <w:r w:rsidRPr="00A52D2C">
              <w:t>real</w:t>
            </w:r>
            <w:proofErr w:type="spellEnd"/>
            <w:r w:rsidRPr="00A52D2C">
              <w:t xml:space="preserve">.  </w:t>
            </w:r>
            <w:proofErr w:type="gramStart"/>
            <w:r w:rsidRPr="00A52D2C">
              <w:t>výsledky</w:t>
            </w:r>
            <w:proofErr w:type="gramEnd"/>
            <w:r w:rsidRPr="00A52D2C">
              <w:t xml:space="preserve"> (legislativní,  nelegislativní, </w:t>
            </w:r>
            <w:proofErr w:type="spellStart"/>
            <w:r w:rsidRPr="00A52D2C">
              <w:t>koncep</w:t>
            </w:r>
            <w:proofErr w:type="spellEnd"/>
            <w:r w:rsidRPr="00A52D2C">
              <w:t>.)</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4</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0,1</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 xml:space="preserve">M–uspoř. </w:t>
            </w:r>
            <w:proofErr w:type="gramStart"/>
            <w:r w:rsidRPr="00A52D2C">
              <w:t>konference</w:t>
            </w:r>
            <w:proofErr w:type="gramEnd"/>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0,1</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19</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0,4</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N-</w:t>
            </w:r>
            <w:proofErr w:type="spellStart"/>
            <w:r w:rsidRPr="00A52D2C">
              <w:t>certif</w:t>
            </w:r>
            <w:proofErr w:type="spellEnd"/>
            <w:r w:rsidRPr="00A52D2C">
              <w:t xml:space="preserve">. metodika, </w:t>
            </w:r>
            <w:proofErr w:type="spellStart"/>
            <w:r w:rsidRPr="00A52D2C">
              <w:t>odb</w:t>
            </w:r>
            <w:proofErr w:type="spellEnd"/>
            <w:r w:rsidRPr="00A52D2C">
              <w:t>. mapa, léčebný postup</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63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216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3,8</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279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2,5</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O-ostatní výsledky</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273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7,3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714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12,5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987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8,8</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R-software</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113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181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3,2</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294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2,6</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V-výzkumná zpráva</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181</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4,9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181</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1,6</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 xml:space="preserve">W-uspoř. </w:t>
            </w:r>
            <w:proofErr w:type="gramStart"/>
            <w:r w:rsidRPr="00A52D2C">
              <w:t>workshopu</w:t>
            </w:r>
            <w:proofErr w:type="gramEnd"/>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36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16</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52</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0,5</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r w:rsidRPr="00A52D2C">
              <w:t>Z-poloprovoz, ověřená technologie</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59</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3,2</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473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8,3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542</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4,8</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lastRenderedPageBreak/>
              <w:t>S–obsahuje</w:t>
            </w:r>
            <w:proofErr w:type="gramEnd"/>
            <w:r w:rsidRPr="00A52D2C">
              <w:t xml:space="preserve"> F, G,H, N,R</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0,3</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22</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23</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0,4</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50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0,4</w:t>
            </w:r>
          </w:p>
        </w:tc>
      </w:tr>
      <w:tr w:rsidR="008C4588" w:rsidRPr="00A52D2C" w:rsidTr="00B23C6B">
        <w:tc>
          <w:tcPr>
            <w:tcW w:w="2265" w:type="dxa"/>
            <w:tcMar>
              <w:top w:w="100" w:type="dxa"/>
              <w:left w:w="80" w:type="dxa"/>
              <w:bottom w:w="100" w:type="dxa"/>
              <w:right w:w="80" w:type="dxa"/>
            </w:tcMar>
          </w:tcPr>
          <w:p w:rsidR="008C4588" w:rsidRPr="00A52D2C" w:rsidRDefault="0009700A" w:rsidP="00BC5587">
            <w:pPr>
              <w:spacing w:before="120" w:after="0" w:line="276" w:lineRule="auto"/>
            </w:pPr>
            <w:proofErr w:type="gramStart"/>
            <w:r w:rsidRPr="00A52D2C">
              <w:t>T–obsahuje</w:t>
            </w:r>
            <w:proofErr w:type="gramEnd"/>
            <w:r w:rsidRPr="00A52D2C">
              <w:t xml:space="preserve"> G,H, R, Z</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0</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0,0</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61</w:t>
            </w:r>
          </w:p>
        </w:tc>
        <w:tc>
          <w:tcPr>
            <w:tcW w:w="840" w:type="dxa"/>
            <w:tcMar>
              <w:top w:w="100" w:type="dxa"/>
              <w:left w:w="80" w:type="dxa"/>
              <w:bottom w:w="100" w:type="dxa"/>
              <w:right w:w="80" w:type="dxa"/>
            </w:tcMar>
          </w:tcPr>
          <w:p w:rsidR="008C4588" w:rsidRPr="00A52D2C" w:rsidRDefault="0009700A" w:rsidP="00BC5587">
            <w:pPr>
              <w:spacing w:before="120" w:after="0" w:line="276" w:lineRule="auto"/>
            </w:pPr>
            <w:r w:rsidRPr="00A52D2C">
              <w:t>1,6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95</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1,7</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156</w:t>
            </w:r>
          </w:p>
        </w:tc>
        <w:tc>
          <w:tcPr>
            <w:tcW w:w="855" w:type="dxa"/>
            <w:tcMar>
              <w:top w:w="100" w:type="dxa"/>
              <w:left w:w="80" w:type="dxa"/>
              <w:bottom w:w="100" w:type="dxa"/>
              <w:right w:w="80" w:type="dxa"/>
            </w:tcMar>
          </w:tcPr>
          <w:p w:rsidR="008C4588" w:rsidRPr="00A52D2C" w:rsidRDefault="0009700A" w:rsidP="00BC5587">
            <w:pPr>
              <w:spacing w:before="120" w:after="0" w:line="276" w:lineRule="auto"/>
            </w:pPr>
            <w:r w:rsidRPr="00A52D2C">
              <w:t>1,4</w:t>
            </w:r>
          </w:p>
        </w:tc>
      </w:tr>
      <w:tr w:rsidR="008C4588" w:rsidRPr="00A52D2C" w:rsidTr="00B23C6B">
        <w:tc>
          <w:tcPr>
            <w:tcW w:w="226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Celkový součet</w:t>
            </w: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1 825</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100,0</w:t>
            </w: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3 725</w:t>
            </w:r>
          </w:p>
        </w:tc>
        <w:tc>
          <w:tcPr>
            <w:tcW w:w="840"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100,0</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5 711</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100,0</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11 261</w:t>
            </w:r>
          </w:p>
        </w:tc>
        <w:tc>
          <w:tcPr>
            <w:tcW w:w="855"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100,0</w:t>
            </w:r>
          </w:p>
        </w:tc>
      </w:tr>
    </w:tbl>
    <w:p w:rsidR="008C4588" w:rsidRPr="00A52D2C" w:rsidRDefault="0009700A" w:rsidP="00BC5587">
      <w:pPr>
        <w:spacing w:before="120" w:after="0" w:line="276" w:lineRule="auto"/>
      </w:pPr>
      <w:r w:rsidRPr="00A52D2C">
        <w:rPr>
          <w:highlight w:val="white"/>
        </w:rPr>
        <w:t>* výsledky rozděleny dle kategorií RIV. Skupina aplikovaných výsledků obsahuje též nerozlišené aplikované výsledky nahlášené do IS VaV v letech 2004-6 (T) a 1998-2008 (S).</w:t>
      </w:r>
    </w:p>
    <w:p w:rsidR="009833BA" w:rsidRDefault="009833BA" w:rsidP="00BC5587">
      <w:pPr>
        <w:spacing w:before="120" w:after="0" w:line="276" w:lineRule="auto"/>
        <w:rPr>
          <w:highlight w:val="white"/>
        </w:rPr>
      </w:pPr>
    </w:p>
    <w:p w:rsidR="008C4588" w:rsidRPr="00A52D2C" w:rsidRDefault="0009700A" w:rsidP="00BC5587">
      <w:pPr>
        <w:spacing w:before="120" w:after="0" w:line="276" w:lineRule="auto"/>
      </w:pPr>
      <w:r w:rsidRPr="00A52D2C">
        <w:rPr>
          <w:highlight w:val="white"/>
        </w:rPr>
        <w:t xml:space="preserve">Nejčastějším přihlašovatelem výsledků z oblasti energetiky je s velkým náskokem ČVUT. Celkem byly z této instituce do IS VaV nahlášeny téměř 4 tisíce výsledků. Více než 72 % pak tvořily publikační výsledky, uplatněno bylo také 16 patentů. S velkým odstupem pak následuje Vysoká škola báňská - Technická univerzita Ostrava (1 594), Vysoké učení technické v Brně (1 170) a Západočeská univerzita v Plzni (1 103). </w:t>
      </w:r>
    </w:p>
    <w:p w:rsidR="008C4588" w:rsidRDefault="0009700A" w:rsidP="00BC5587">
      <w:pPr>
        <w:spacing w:before="120" w:after="0" w:line="276" w:lineRule="auto"/>
      </w:pPr>
      <w:r w:rsidRPr="00A52D2C">
        <w:rPr>
          <w:highlight w:val="white"/>
        </w:rPr>
        <w:t>U všech organizací jsou podobně jako u ČVUT naprosto dominantní publikační výsledky. První dvě jmenované instituce si zároveň připsali celkem 11 patentů. Organizací s naopak převahou aplikovaných výsledků je ÚJV Řež (62 % z</w:t>
      </w:r>
      <w:r w:rsidR="00616788">
        <w:rPr>
          <w:highlight w:val="white"/>
        </w:rPr>
        <w:t>e</w:t>
      </w:r>
      <w:r w:rsidRPr="00A52D2C">
        <w:rPr>
          <w:highlight w:val="white"/>
        </w:rPr>
        <w:t xml:space="preserve"> 738 výsledků). Organizací s převahou právě aplikovaných výsledků nad publikačními je mezi nejčastějšími přihlašovateli výsledků velmi málo. Ve všech případech (s jednou výjimkou) se jedná o firmy. U veřejných vysokých škol jsou právě publikační výsledky naprosto dominantní (v některých případech i přes 90 % -  Univerzita Tomáše Bati ve Zlíně, Univerzita Jana Evangelisty Purkyně v Ústí nad Labem, Ostravská univerzita v Ostravě).</w:t>
      </w:r>
    </w:p>
    <w:p w:rsidR="00636838" w:rsidRDefault="00636838">
      <w:pPr>
        <w:spacing w:after="0" w:line="276" w:lineRule="auto"/>
        <w:jc w:val="left"/>
        <w:rPr>
          <w:b/>
          <w:highlight w:val="white"/>
        </w:rPr>
      </w:pPr>
      <w:r>
        <w:rPr>
          <w:highlight w:val="white"/>
        </w:rPr>
        <w:br w:type="page"/>
      </w:r>
    </w:p>
    <w:p w:rsidR="008C4588" w:rsidRPr="00A52D2C" w:rsidRDefault="0009700A" w:rsidP="00BC5587">
      <w:pPr>
        <w:pStyle w:val="Zvraznnnormln"/>
        <w:spacing w:after="0" w:line="276" w:lineRule="auto"/>
      </w:pPr>
      <w:r w:rsidRPr="00A52D2C">
        <w:rPr>
          <w:highlight w:val="white"/>
        </w:rPr>
        <w:lastRenderedPageBreak/>
        <w:t>Tab. 6: Výsledky z oblasti energetiky podle uplatňujících organizací</w:t>
      </w:r>
    </w:p>
    <w:tbl>
      <w:tblPr>
        <w:tblStyle w:val="a8"/>
        <w:tblW w:w="963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150"/>
        <w:gridCol w:w="777"/>
        <w:gridCol w:w="787"/>
        <w:gridCol w:w="776"/>
        <w:gridCol w:w="776"/>
        <w:gridCol w:w="776"/>
        <w:gridCol w:w="776"/>
        <w:gridCol w:w="819"/>
      </w:tblGrid>
      <w:tr w:rsidR="008C4588" w:rsidRPr="00A52D2C" w:rsidTr="00636838">
        <w:trPr>
          <w:tblHeader/>
        </w:trPr>
        <w:tc>
          <w:tcPr>
            <w:tcW w:w="4148" w:type="dxa"/>
            <w:vMerge w:val="restart"/>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Organizace</w:t>
            </w:r>
          </w:p>
        </w:tc>
        <w:tc>
          <w:tcPr>
            <w:tcW w:w="1563"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Publikační výsledky</w:t>
            </w:r>
          </w:p>
        </w:tc>
        <w:tc>
          <w:tcPr>
            <w:tcW w:w="1552"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Patenty</w:t>
            </w:r>
          </w:p>
        </w:tc>
        <w:tc>
          <w:tcPr>
            <w:tcW w:w="1552" w:type="dxa"/>
            <w:gridSpan w:val="2"/>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Aplikované výsledky</w:t>
            </w:r>
          </w:p>
        </w:tc>
        <w:tc>
          <w:tcPr>
            <w:tcW w:w="819"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Výsledků celkem</w:t>
            </w:r>
          </w:p>
        </w:tc>
      </w:tr>
      <w:tr w:rsidR="008C4588" w:rsidRPr="00A52D2C" w:rsidTr="00636838">
        <w:trPr>
          <w:tblHeader/>
        </w:trPr>
        <w:tc>
          <w:tcPr>
            <w:tcW w:w="4148" w:type="dxa"/>
            <w:vMerge/>
            <w:tcMar>
              <w:top w:w="100" w:type="dxa"/>
              <w:left w:w="100" w:type="dxa"/>
              <w:bottom w:w="100" w:type="dxa"/>
              <w:right w:w="100" w:type="dxa"/>
            </w:tcMar>
          </w:tcPr>
          <w:p w:rsidR="008C4588" w:rsidRPr="00A52D2C" w:rsidRDefault="008C4588" w:rsidP="00BC5587">
            <w:pPr>
              <w:spacing w:before="120" w:after="0" w:line="276" w:lineRule="auto"/>
            </w:pP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787"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w:t>
            </w:r>
          </w:p>
          <w:p w:rsidR="008C4588" w:rsidRPr="00A52D2C" w:rsidRDefault="0009700A" w:rsidP="00BC5587">
            <w:pPr>
              <w:spacing w:before="120" w:after="0" w:line="276" w:lineRule="auto"/>
            </w:pPr>
            <w:r w:rsidRPr="00A52D2C">
              <w:rPr>
                <w:shd w:val="clear" w:color="auto" w:fill="BFBFBF"/>
              </w:rPr>
              <w:t>(v %)</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w:t>
            </w:r>
          </w:p>
          <w:p w:rsidR="008C4588" w:rsidRPr="00A52D2C" w:rsidRDefault="0009700A" w:rsidP="00BC5587">
            <w:pPr>
              <w:spacing w:before="120" w:after="0" w:line="276" w:lineRule="auto"/>
            </w:pPr>
            <w:r w:rsidRPr="00A52D2C">
              <w:rPr>
                <w:shd w:val="clear" w:color="auto" w:fill="BFBFBF"/>
              </w:rPr>
              <w:t>(v %)</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podíl</w:t>
            </w:r>
          </w:p>
          <w:p w:rsidR="008C4588" w:rsidRPr="00A52D2C" w:rsidRDefault="0009700A" w:rsidP="00BC5587">
            <w:pPr>
              <w:spacing w:before="120" w:after="0" w:line="276" w:lineRule="auto"/>
            </w:pPr>
            <w:r w:rsidRPr="00A52D2C">
              <w:rPr>
                <w:shd w:val="clear" w:color="auto" w:fill="BFBFBF"/>
              </w:rPr>
              <w:t>(v %)</w:t>
            </w:r>
          </w:p>
        </w:tc>
        <w:tc>
          <w:tcPr>
            <w:tcW w:w="819"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počet</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České vysoké učení technické v Praze</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2 864</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72,7</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16</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0,4</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1 057</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26,8</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3 937</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Vysoká škola báňská - Technická univerzita Ostrava</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1 142</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71,6</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8</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0,5</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444</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27,9</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1 594</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Vysoké učení technické v Brně</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916</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78,3</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0,3</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251</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21,5</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1 170</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Západočeská univerzita v Plzni</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715</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64,8</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388</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35,2</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1 103</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ÚJV Řež, a. s.</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280</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37,9</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458</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62,1</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738</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Centrum výzkumu Řež s.r.o.</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207</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56,7</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0,3</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157</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43,0</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365</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Vysoká škola chemicko-technologická v Praze</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249</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81,1</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52</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16,9</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307</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 xml:space="preserve">Výzkumný ústav zemědělské techniky, </w:t>
            </w:r>
            <w:proofErr w:type="gramStart"/>
            <w:r w:rsidRPr="00A52D2C">
              <w:t>v.v.</w:t>
            </w:r>
            <w:proofErr w:type="gramEnd"/>
            <w:r w:rsidRPr="00A52D2C">
              <w:t>i.</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187</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63,6</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8</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2,7</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99</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33,7</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294</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Česká zemědělská univerzita v Praze</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184</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82,5</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39</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17,5</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223</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Technická univerzita v Liberci</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158</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86,3</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0,5</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24</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13,1</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183</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Univerzita Tomáše Bati ve Zlíně</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140</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94,6</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8</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5,4</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148</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CENIA, česká informační agentura životního prostředí</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113</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100,0</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113</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 xml:space="preserve">Výzkumný ústav Silva </w:t>
            </w:r>
            <w:proofErr w:type="spellStart"/>
            <w:r w:rsidRPr="00A52D2C">
              <w:rPr>
                <w:shd w:val="clear" w:color="auto" w:fill="F2F2F2"/>
              </w:rPr>
              <w:t>Taroucy</w:t>
            </w:r>
            <w:proofErr w:type="spellEnd"/>
            <w:r w:rsidRPr="00A52D2C">
              <w:rPr>
                <w:shd w:val="clear" w:color="auto" w:fill="F2F2F2"/>
              </w:rPr>
              <w:t xml:space="preserve"> pro krajinu a okrasné zahradnictví</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35</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51,5</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33</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48,5</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68</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proofErr w:type="spellStart"/>
            <w:r w:rsidRPr="00A52D2C">
              <w:lastRenderedPageBreak/>
              <w:t>EkoWATT</w:t>
            </w:r>
            <w:proofErr w:type="spellEnd"/>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45</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69,2</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30,8</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65</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AF-CITYPLAN s.r.o.</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17</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31,5</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37</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68,5</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54</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Mendelova univerzita v Brně</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27</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67,5</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13</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32,5</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40</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PZP KOMPLET a.s.</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13</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35,1</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24</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64,9</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37</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Výzkumný a zkušební ústav Plzeň s.r.o.</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17</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54,8</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14</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45,2</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31</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Univerzita Jana Evangelisty Purkyně v Ústí nad Labem</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28</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93,3</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6,7</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30</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Univerzita Pardubice</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22</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78,6</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6</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21,4</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28</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VÍTKOVICE POWER ENGINEERING a.s.</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17</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63,0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37,0</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27</w:t>
            </w:r>
          </w:p>
        </w:tc>
      </w:tr>
      <w:tr w:rsidR="008C4588" w:rsidRPr="00A52D2C" w:rsidTr="00B23C6B">
        <w:tc>
          <w:tcPr>
            <w:tcW w:w="4148"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ENERGOVÝZKUM, spol. s r.o.</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20</w:t>
            </w:r>
          </w:p>
        </w:tc>
        <w:tc>
          <w:tcPr>
            <w:tcW w:w="787"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80,0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0,0</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5</w:t>
            </w:r>
          </w:p>
        </w:tc>
        <w:tc>
          <w:tcPr>
            <w:tcW w:w="776"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20,0</w:t>
            </w:r>
          </w:p>
        </w:tc>
        <w:tc>
          <w:tcPr>
            <w:tcW w:w="819" w:type="dxa"/>
            <w:tcMar>
              <w:top w:w="100" w:type="dxa"/>
              <w:left w:w="80" w:type="dxa"/>
              <w:bottom w:w="100" w:type="dxa"/>
              <w:right w:w="80" w:type="dxa"/>
            </w:tcMar>
            <w:vAlign w:val="bottom"/>
          </w:tcPr>
          <w:p w:rsidR="008C4588" w:rsidRPr="00A52D2C" w:rsidRDefault="0009700A" w:rsidP="00BC5587">
            <w:pPr>
              <w:spacing w:before="120" w:after="0" w:line="276" w:lineRule="auto"/>
            </w:pPr>
            <w:r w:rsidRPr="00A52D2C">
              <w:t>25</w:t>
            </w:r>
          </w:p>
        </w:tc>
      </w:tr>
      <w:tr w:rsidR="008C4588" w:rsidRPr="00A52D2C" w:rsidTr="00B23C6B">
        <w:tc>
          <w:tcPr>
            <w:tcW w:w="4148"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Ostravská univerzita v Ostravě</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21</w:t>
            </w:r>
          </w:p>
        </w:tc>
        <w:tc>
          <w:tcPr>
            <w:tcW w:w="787"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95,5</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0,0</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1</w:t>
            </w:r>
          </w:p>
        </w:tc>
        <w:tc>
          <w:tcPr>
            <w:tcW w:w="776"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4,5</w:t>
            </w:r>
          </w:p>
        </w:tc>
        <w:tc>
          <w:tcPr>
            <w:tcW w:w="819" w:type="dxa"/>
            <w:shd w:val="clear" w:color="auto" w:fill="F2F2F2"/>
            <w:tcMar>
              <w:top w:w="100" w:type="dxa"/>
              <w:left w:w="80" w:type="dxa"/>
              <w:bottom w:w="100" w:type="dxa"/>
              <w:right w:w="80" w:type="dxa"/>
            </w:tcMar>
            <w:vAlign w:val="bottom"/>
          </w:tcPr>
          <w:p w:rsidR="008C4588" w:rsidRPr="00A52D2C" w:rsidRDefault="0009700A" w:rsidP="00BC5587">
            <w:pPr>
              <w:spacing w:before="120" w:after="0" w:line="276" w:lineRule="auto"/>
            </w:pPr>
            <w:r w:rsidRPr="00A52D2C">
              <w:rPr>
                <w:shd w:val="clear" w:color="auto" w:fill="F2F2F2"/>
              </w:rPr>
              <w:t>22</w:t>
            </w:r>
          </w:p>
        </w:tc>
      </w:tr>
      <w:tr w:rsidR="008C4588" w:rsidRPr="00A52D2C" w:rsidTr="00B23C6B">
        <w:tc>
          <w:tcPr>
            <w:tcW w:w="4148"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Celkový součet</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7 592</w:t>
            </w:r>
          </w:p>
        </w:tc>
        <w:tc>
          <w:tcPr>
            <w:tcW w:w="787"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67,4</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47</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0,4</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3 618</w:t>
            </w:r>
          </w:p>
        </w:tc>
        <w:tc>
          <w:tcPr>
            <w:tcW w:w="776"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32,1</w:t>
            </w:r>
          </w:p>
        </w:tc>
        <w:tc>
          <w:tcPr>
            <w:tcW w:w="819" w:type="dxa"/>
            <w:shd w:val="clear" w:color="auto" w:fill="BFBFBF"/>
            <w:tcMar>
              <w:top w:w="100" w:type="dxa"/>
              <w:left w:w="80" w:type="dxa"/>
              <w:bottom w:w="100" w:type="dxa"/>
              <w:right w:w="80" w:type="dxa"/>
            </w:tcMar>
          </w:tcPr>
          <w:p w:rsidR="008C4588" w:rsidRPr="00A52D2C" w:rsidRDefault="0009700A" w:rsidP="00BC5587">
            <w:pPr>
              <w:spacing w:before="120" w:after="0" w:line="276" w:lineRule="auto"/>
            </w:pPr>
            <w:r w:rsidRPr="00A52D2C">
              <w:rPr>
                <w:shd w:val="clear" w:color="auto" w:fill="BFBFBF"/>
              </w:rPr>
              <w:t>11 257</w:t>
            </w:r>
          </w:p>
        </w:tc>
      </w:tr>
    </w:tbl>
    <w:p w:rsidR="008C4588" w:rsidRDefault="0009700A" w:rsidP="00BC5587">
      <w:pPr>
        <w:spacing w:before="120" w:after="0" w:line="276" w:lineRule="auto"/>
      </w:pPr>
      <w:r w:rsidRPr="00A52D2C">
        <w:t xml:space="preserve"> </w:t>
      </w:r>
    </w:p>
    <w:p w:rsidR="00B1394C" w:rsidRDefault="00B1394C" w:rsidP="00BC5587">
      <w:pPr>
        <w:spacing w:before="120" w:after="0" w:line="276" w:lineRule="auto"/>
        <w:sectPr w:rsidR="00B1394C" w:rsidSect="00E9455C">
          <w:pgSz w:w="11906" w:h="16838"/>
          <w:pgMar w:top="2581" w:right="1133" w:bottom="1417" w:left="1133" w:header="708" w:footer="708" w:gutter="0"/>
          <w:cols w:space="708"/>
        </w:sectPr>
      </w:pPr>
    </w:p>
    <w:p w:rsidR="000F2A00" w:rsidRDefault="000F2A00" w:rsidP="00BC5587">
      <w:pPr>
        <w:pStyle w:val="Nadpis1"/>
        <w:spacing w:before="120" w:after="0" w:line="276" w:lineRule="auto"/>
      </w:pPr>
      <w:bookmarkStart w:id="237" w:name="_9veq6cgeafpc" w:colFirst="0" w:colLast="0"/>
      <w:bookmarkStart w:id="238" w:name="_Toc463269156"/>
      <w:bookmarkStart w:id="239" w:name="_Toc463269290"/>
      <w:bookmarkStart w:id="240" w:name="_Toc463269340"/>
      <w:bookmarkStart w:id="241" w:name="_Toc463296669"/>
      <w:bookmarkStart w:id="242" w:name="_Toc463438648"/>
      <w:bookmarkEnd w:id="237"/>
      <w:r>
        <w:lastRenderedPageBreak/>
        <w:t>Rizika spojená s realizací programu</w:t>
      </w:r>
      <w:bookmarkEnd w:id="238"/>
      <w:bookmarkEnd w:id="239"/>
      <w:bookmarkEnd w:id="240"/>
      <w:bookmarkEnd w:id="241"/>
      <w:bookmarkEnd w:id="242"/>
    </w:p>
    <w:p w:rsidR="00600608" w:rsidRPr="003C6E03" w:rsidRDefault="00600608" w:rsidP="00851123">
      <w:pPr>
        <w:pStyle w:val="Odstavecseseznamem"/>
        <w:numPr>
          <w:ilvl w:val="0"/>
          <w:numId w:val="71"/>
        </w:numPr>
        <w:spacing w:before="120" w:after="0" w:line="276" w:lineRule="auto"/>
        <w:rPr>
          <w:color w:val="auto"/>
          <w:lang w:eastAsia="en-GB"/>
        </w:rPr>
      </w:pPr>
      <w:r w:rsidRPr="003C6E03">
        <w:rPr>
          <w:color w:val="auto"/>
          <w:lang w:eastAsia="en-GB"/>
        </w:rPr>
        <w:t xml:space="preserve">Negativně </w:t>
      </w:r>
      <w:r w:rsidRPr="003C6E03">
        <w:rPr>
          <w:color w:val="auto"/>
        </w:rPr>
        <w:t>působící</w:t>
      </w:r>
      <w:r w:rsidRPr="003C6E03">
        <w:rPr>
          <w:color w:val="auto"/>
          <w:lang w:eastAsia="en-GB"/>
        </w:rPr>
        <w:t xml:space="preserve"> potenciální rizikové faktory v dosažení obecného cíle programu spočívají především v přetrvávajících informačních asymetriích, kdy – i přes existenci programu – poskytovatel výstupů výzkumu nenajde vhodného odběratele, a opačně, odběratel výstupů výzkumu není motivován k výzkumné spolupráci. </w:t>
      </w:r>
    </w:p>
    <w:p w:rsidR="00600608" w:rsidRDefault="00600608" w:rsidP="00851123">
      <w:pPr>
        <w:pStyle w:val="Odstavecseseznamem"/>
        <w:numPr>
          <w:ilvl w:val="0"/>
          <w:numId w:val="72"/>
        </w:numPr>
        <w:autoSpaceDE/>
        <w:autoSpaceDN/>
        <w:adjustRightInd/>
        <w:spacing w:before="120" w:after="0" w:line="276" w:lineRule="auto"/>
        <w:textAlignment w:val="auto"/>
        <w:rPr>
          <w:rFonts w:asciiTheme="majorHAnsi" w:eastAsia="Times New Roman" w:hAnsiTheme="majorHAnsi"/>
          <w:color w:val="auto"/>
          <w:lang w:eastAsia="en-GB"/>
        </w:rPr>
      </w:pPr>
      <w:r w:rsidRPr="003C6E03">
        <w:rPr>
          <w:rFonts w:asciiTheme="majorHAnsi" w:hAnsiTheme="majorHAnsi"/>
          <w:color w:val="auto"/>
          <w:spacing w:val="-4"/>
          <w:kern w:val="18"/>
          <w:u w:val="single"/>
        </w:rPr>
        <w:t xml:space="preserve">Způsob minimalizace rizika v programu </w:t>
      </w:r>
      <w:r>
        <w:rPr>
          <w:rFonts w:asciiTheme="majorHAnsi" w:hAnsiTheme="majorHAnsi"/>
          <w:color w:val="auto"/>
          <w:spacing w:val="-4"/>
          <w:kern w:val="18"/>
          <w:u w:val="single"/>
        </w:rPr>
        <w:t>TH</w:t>
      </w:r>
      <w:r w:rsidRPr="003C6E03">
        <w:rPr>
          <w:rFonts w:asciiTheme="majorHAnsi" w:hAnsiTheme="majorHAnsi"/>
          <w:color w:val="auto"/>
          <w:spacing w:val="-4"/>
          <w:kern w:val="18"/>
          <w:u w:val="single"/>
        </w:rPr>
        <w:t>ÉTA:</w:t>
      </w:r>
      <w:r w:rsidRPr="003C6E03">
        <w:rPr>
          <w:rFonts w:asciiTheme="majorHAnsi" w:hAnsiTheme="majorHAnsi"/>
          <w:color w:val="auto"/>
          <w:spacing w:val="-4"/>
          <w:kern w:val="18"/>
        </w:rPr>
        <w:t xml:space="preserve"> </w:t>
      </w:r>
      <w:r w:rsidRPr="003C6E03">
        <w:rPr>
          <w:rFonts w:asciiTheme="majorHAnsi" w:eastAsia="Times New Roman" w:hAnsiTheme="majorHAnsi"/>
          <w:color w:val="auto"/>
          <w:lang w:eastAsia="en-GB"/>
        </w:rPr>
        <w:t xml:space="preserve">Poskytovatel bude minimalizovat toto riziko PR aktivitami vedoucími k propojení poskytovatelů a odběratelů výstupů výzkumu společenských a humanitních věd. </w:t>
      </w:r>
    </w:p>
    <w:p w:rsidR="00600608" w:rsidRPr="00600608" w:rsidRDefault="00600608" w:rsidP="00851123">
      <w:pPr>
        <w:pStyle w:val="Odstavecseseznamem"/>
        <w:numPr>
          <w:ilvl w:val="0"/>
          <w:numId w:val="71"/>
        </w:numPr>
        <w:spacing w:before="120" w:after="0" w:line="276" w:lineRule="auto"/>
        <w:rPr>
          <w:color w:val="auto"/>
          <w:lang w:eastAsia="en-GB"/>
        </w:rPr>
      </w:pPr>
      <w:r w:rsidRPr="00600608">
        <w:rPr>
          <w:color w:val="auto"/>
          <w:lang w:eastAsia="en-GB"/>
        </w:rPr>
        <w:t xml:space="preserve">Dále lze rizika spatřovat v samotném prostředí výzkumných organizací, které za stávajících podmínek nemotivuje k orientaci výzkumných záměrů na potřeby odběratelů a na maximalizaci dopadů výzkumných projektů. I když je odběratel či poskytovatel výstupů výzkumu znám, riziko splnění cílů projektů může spočívat v rozdílných očekáváních o výstupech a výsledcích projektu. </w:t>
      </w:r>
    </w:p>
    <w:p w:rsidR="00600608" w:rsidRPr="003C6E03" w:rsidRDefault="00600608" w:rsidP="00851123">
      <w:pPr>
        <w:pStyle w:val="Odstavecseseznamem"/>
        <w:numPr>
          <w:ilvl w:val="0"/>
          <w:numId w:val="72"/>
        </w:numPr>
        <w:autoSpaceDE/>
        <w:autoSpaceDN/>
        <w:adjustRightInd/>
        <w:spacing w:before="120" w:after="0" w:line="276" w:lineRule="auto"/>
        <w:textAlignment w:val="auto"/>
        <w:rPr>
          <w:rFonts w:asciiTheme="majorHAnsi" w:eastAsia="Times New Roman" w:hAnsiTheme="majorHAnsi"/>
          <w:color w:val="auto"/>
          <w:lang w:val="en-GB" w:eastAsia="en-GB"/>
        </w:rPr>
      </w:pPr>
      <w:r w:rsidRPr="003C6E03">
        <w:rPr>
          <w:rFonts w:asciiTheme="majorHAnsi" w:hAnsiTheme="majorHAnsi"/>
          <w:color w:val="auto"/>
          <w:spacing w:val="-4"/>
          <w:kern w:val="18"/>
          <w:u w:val="single"/>
        </w:rPr>
        <w:t xml:space="preserve">Způsob minimalizace rizika v programu </w:t>
      </w:r>
      <w:r>
        <w:rPr>
          <w:rFonts w:asciiTheme="majorHAnsi" w:hAnsiTheme="majorHAnsi"/>
          <w:color w:val="auto"/>
          <w:spacing w:val="-4"/>
          <w:kern w:val="18"/>
          <w:u w:val="single"/>
        </w:rPr>
        <w:t>TH</w:t>
      </w:r>
      <w:r w:rsidRPr="003C6E03">
        <w:rPr>
          <w:rFonts w:asciiTheme="majorHAnsi" w:hAnsiTheme="majorHAnsi"/>
          <w:color w:val="auto"/>
          <w:spacing w:val="-4"/>
          <w:kern w:val="18"/>
          <w:u w:val="single"/>
        </w:rPr>
        <w:t>ÉTA:</w:t>
      </w:r>
      <w:r w:rsidRPr="003C6E03">
        <w:rPr>
          <w:rFonts w:asciiTheme="majorHAnsi" w:hAnsiTheme="majorHAnsi"/>
          <w:color w:val="auto"/>
          <w:spacing w:val="-4"/>
          <w:kern w:val="18"/>
        </w:rPr>
        <w:t xml:space="preserve"> </w:t>
      </w:r>
      <w:proofErr w:type="spellStart"/>
      <w:r w:rsidRPr="003C6E03">
        <w:rPr>
          <w:rFonts w:asciiTheme="majorHAnsi" w:eastAsia="Times New Roman" w:hAnsiTheme="majorHAnsi"/>
          <w:color w:val="auto"/>
          <w:lang w:val="en-GB" w:eastAsia="en-GB"/>
        </w:rPr>
        <w:t>Poskytovatel</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bude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minimalizovat</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tato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rizika</w:t>
      </w:r>
      <w:proofErr w:type="spellEnd"/>
      <w:r w:rsidRPr="003C6E03">
        <w:rPr>
          <w:rFonts w:asciiTheme="majorHAnsi" w:eastAsia="Times New Roman" w:hAnsiTheme="majorHAnsi"/>
          <w:color w:val="auto"/>
          <w:lang w:val="en-GB" w:eastAsia="en-GB"/>
        </w:rPr>
        <w:t xml:space="preserve"> v </w:t>
      </w:r>
      <w:proofErr w:type="spellStart"/>
      <w:r w:rsidRPr="003C6E03">
        <w:rPr>
          <w:rFonts w:asciiTheme="majorHAnsi" w:eastAsia="Times New Roman" w:hAnsiTheme="majorHAnsi"/>
          <w:color w:val="auto"/>
          <w:lang w:val="en-GB" w:eastAsia="en-GB"/>
        </w:rPr>
        <w:t>rámci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podpory</w:t>
      </w:r>
      <w:proofErr w:type="spellEnd"/>
      <w:r w:rsidRPr="003C6E03">
        <w:rPr>
          <w:rFonts w:asciiTheme="majorHAnsi" w:eastAsia="Times New Roman" w:hAnsiTheme="majorHAnsi"/>
          <w:color w:val="auto"/>
          <w:lang w:val="en-GB" w:eastAsia="en-GB"/>
        </w:rPr>
        <w:t xml:space="preserve"> a </w:t>
      </w:r>
      <w:proofErr w:type="spellStart"/>
      <w:r w:rsidRPr="003C6E03">
        <w:rPr>
          <w:rFonts w:asciiTheme="majorHAnsi" w:eastAsia="Times New Roman" w:hAnsiTheme="majorHAnsi"/>
          <w:color w:val="auto"/>
          <w:lang w:val="en-GB" w:eastAsia="en-GB"/>
        </w:rPr>
        <w:t>kontroly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realizace</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projektu</w:t>
      </w:r>
      <w:proofErr w:type="spellEnd"/>
      <w:r w:rsidRPr="003C6E03">
        <w:rPr>
          <w:rFonts w:asciiTheme="majorHAnsi" w:eastAsia="Times New Roman" w:hAnsiTheme="majorHAnsi"/>
          <w:color w:val="auto"/>
          <w:lang w:val="en-GB" w:eastAsia="en-GB"/>
        </w:rPr>
        <w:t xml:space="preserve">. </w:t>
      </w:r>
    </w:p>
    <w:p w:rsidR="00600608" w:rsidRPr="00600608" w:rsidRDefault="00600608" w:rsidP="00851123">
      <w:pPr>
        <w:pStyle w:val="Odstavecseseznamem"/>
        <w:numPr>
          <w:ilvl w:val="0"/>
          <w:numId w:val="71"/>
        </w:numPr>
        <w:spacing w:before="120" w:after="0" w:line="276" w:lineRule="auto"/>
        <w:rPr>
          <w:color w:val="auto"/>
          <w:lang w:eastAsia="en-GB"/>
        </w:rPr>
      </w:pPr>
      <w:r w:rsidRPr="00600608">
        <w:rPr>
          <w:color w:val="auto"/>
          <w:lang w:eastAsia="en-GB"/>
        </w:rPr>
        <w:t xml:space="preserve">Na dosažení cílů programu mohou negativně působit další externí rizikové faktory, které jsou jen velmi obtížně nebo nejsou vůbec v době tvorby programu ovlivnitelné a identifikovatelné. Témata vhodná pro výzkum se mohou v čase měnit, přibývat nebo jejich prioritizace může kolísat. </w:t>
      </w:r>
    </w:p>
    <w:p w:rsidR="00600608" w:rsidRPr="003C6E03" w:rsidRDefault="00600608" w:rsidP="00851123">
      <w:pPr>
        <w:pStyle w:val="Odstavecseseznamem"/>
        <w:numPr>
          <w:ilvl w:val="0"/>
          <w:numId w:val="72"/>
        </w:numPr>
        <w:autoSpaceDE/>
        <w:autoSpaceDN/>
        <w:adjustRightInd/>
        <w:spacing w:before="120" w:after="0" w:line="276" w:lineRule="auto"/>
        <w:textAlignment w:val="auto"/>
        <w:rPr>
          <w:rFonts w:asciiTheme="majorHAnsi" w:eastAsia="Times New Roman" w:hAnsiTheme="majorHAnsi"/>
          <w:color w:val="auto"/>
          <w:lang w:val="en-GB" w:eastAsia="en-GB"/>
        </w:rPr>
      </w:pPr>
      <w:r w:rsidRPr="003C6E03">
        <w:rPr>
          <w:rFonts w:asciiTheme="majorHAnsi" w:hAnsiTheme="majorHAnsi"/>
          <w:color w:val="auto"/>
          <w:spacing w:val="-4"/>
          <w:kern w:val="18"/>
          <w:u w:val="single"/>
        </w:rPr>
        <w:t xml:space="preserve">Způsob minimalizace rizika v programu </w:t>
      </w:r>
      <w:r>
        <w:rPr>
          <w:rFonts w:asciiTheme="majorHAnsi" w:hAnsiTheme="majorHAnsi"/>
          <w:color w:val="auto"/>
          <w:spacing w:val="-4"/>
          <w:kern w:val="18"/>
          <w:u w:val="single"/>
        </w:rPr>
        <w:t>TH</w:t>
      </w:r>
      <w:r w:rsidRPr="003C6E03">
        <w:rPr>
          <w:rFonts w:asciiTheme="majorHAnsi" w:hAnsiTheme="majorHAnsi"/>
          <w:color w:val="auto"/>
          <w:spacing w:val="-4"/>
          <w:kern w:val="18"/>
          <w:u w:val="single"/>
        </w:rPr>
        <w:t>ÉTA:</w:t>
      </w:r>
      <w:r w:rsidRPr="003C6E03">
        <w:rPr>
          <w:rFonts w:asciiTheme="majorHAnsi" w:hAnsiTheme="majorHAnsi"/>
          <w:color w:val="auto"/>
          <w:spacing w:val="-4"/>
          <w:kern w:val="18"/>
        </w:rPr>
        <w:t xml:space="preserve"> </w:t>
      </w:r>
      <w:proofErr w:type="spellStart"/>
      <w:r w:rsidRPr="003C6E03">
        <w:rPr>
          <w:rFonts w:asciiTheme="majorHAnsi" w:eastAsia="Times New Roman" w:hAnsiTheme="majorHAnsi"/>
          <w:color w:val="auto"/>
          <w:lang w:val="en-GB" w:eastAsia="en-GB"/>
        </w:rPr>
        <w:t>Poskytovatel</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toto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minimaluzuje</w:t>
      </w:r>
      <w:proofErr w:type="spellEnd"/>
      <w:r w:rsidRPr="003C6E03">
        <w:rPr>
          <w:rFonts w:asciiTheme="majorHAnsi" w:eastAsia="Times New Roman" w:hAnsiTheme="majorHAnsi"/>
          <w:color w:val="auto"/>
          <w:lang w:val="en-GB" w:eastAsia="en-GB"/>
        </w:rPr>
        <w:t xml:space="preserve"> a) </w:t>
      </w:r>
      <w:proofErr w:type="spellStart"/>
      <w:r w:rsidR="00CC429C">
        <w:rPr>
          <w:rFonts w:asciiTheme="majorHAnsi" w:eastAsia="Times New Roman" w:hAnsiTheme="majorHAnsi"/>
          <w:color w:val="auto"/>
          <w:lang w:val="en-GB" w:eastAsia="en-GB"/>
        </w:rPr>
        <w:t>specificky</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zaměřenými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veřejnými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soutěžemi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které</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tato</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rizika</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reflektují</w:t>
      </w:r>
      <w:proofErr w:type="spellEnd"/>
      <w:r w:rsidRPr="003C6E03">
        <w:rPr>
          <w:rFonts w:asciiTheme="majorHAnsi" w:eastAsia="Times New Roman" w:hAnsiTheme="majorHAnsi"/>
          <w:color w:val="auto"/>
          <w:lang w:val="en-GB" w:eastAsia="en-GB"/>
        </w:rPr>
        <w:t xml:space="preserve">; b) </w:t>
      </w:r>
      <w:proofErr w:type="spellStart"/>
      <w:r w:rsidRPr="003C6E03">
        <w:rPr>
          <w:rFonts w:asciiTheme="majorHAnsi" w:eastAsia="Times New Roman" w:hAnsiTheme="majorHAnsi"/>
          <w:color w:val="auto"/>
          <w:lang w:val="en-GB" w:eastAsia="en-GB"/>
        </w:rPr>
        <w:t>umožněním</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definování</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projektů</w:t>
      </w:r>
      <w:proofErr w:type="spellEnd"/>
      <w:r w:rsidRPr="003C6E03">
        <w:rPr>
          <w:rFonts w:asciiTheme="majorHAnsi" w:eastAsia="Times New Roman" w:hAnsiTheme="majorHAnsi"/>
          <w:color w:val="auto"/>
          <w:lang w:val="en-GB" w:eastAsia="en-GB"/>
        </w:rPr>
        <w:t xml:space="preserve"> VaVaI </w:t>
      </w:r>
      <w:proofErr w:type="spellStart"/>
      <w:r w:rsidRPr="003C6E03">
        <w:rPr>
          <w:rFonts w:asciiTheme="majorHAnsi" w:eastAsia="Times New Roman" w:hAnsiTheme="majorHAnsi"/>
          <w:color w:val="auto"/>
          <w:lang w:val="en-GB" w:eastAsia="en-GB"/>
        </w:rPr>
        <w:t>výzkumnými</w:t>
      </w:r>
      <w:proofErr w:type="spellEnd"/>
      <w:r w:rsidRPr="003C6E03">
        <w:rPr>
          <w:rFonts w:asciiTheme="majorHAnsi" w:eastAsia="Times New Roman" w:hAnsiTheme="majorHAnsi"/>
          <w:color w:val="auto"/>
          <w:lang w:val="en-GB" w:eastAsia="en-GB"/>
        </w:rPr>
        <w:t xml:space="preserve"> </w:t>
      </w:r>
      <w:proofErr w:type="spellStart"/>
      <w:r w:rsidRPr="003C6E03">
        <w:rPr>
          <w:rFonts w:asciiTheme="majorHAnsi" w:eastAsia="Times New Roman" w:hAnsiTheme="majorHAnsi"/>
          <w:color w:val="auto"/>
          <w:lang w:val="en-GB" w:eastAsia="en-GB"/>
        </w:rPr>
        <w:t>týmy</w:t>
      </w:r>
      <w:proofErr w:type="spellEnd"/>
      <w:r w:rsidRPr="003C6E03">
        <w:rPr>
          <w:rFonts w:asciiTheme="majorHAnsi" w:eastAsia="Times New Roman" w:hAnsiTheme="majorHAnsi"/>
          <w:color w:val="auto"/>
          <w:lang w:val="en-GB" w:eastAsia="en-GB"/>
        </w:rPr>
        <w:t xml:space="preserve"> (bottom up). </w:t>
      </w:r>
    </w:p>
    <w:p w:rsidR="00600608" w:rsidRPr="00600608" w:rsidRDefault="00600608" w:rsidP="00851123">
      <w:pPr>
        <w:pStyle w:val="Odstavecseseznamem"/>
        <w:numPr>
          <w:ilvl w:val="0"/>
          <w:numId w:val="71"/>
        </w:numPr>
        <w:spacing w:before="120" w:after="0" w:line="276" w:lineRule="auto"/>
        <w:rPr>
          <w:color w:val="auto"/>
          <w:lang w:eastAsia="en-GB"/>
        </w:rPr>
      </w:pPr>
      <w:r w:rsidRPr="00600608">
        <w:rPr>
          <w:color w:val="auto"/>
          <w:lang w:eastAsia="en-GB"/>
        </w:rPr>
        <w:t xml:space="preserve">Metoda zvolená k výpočtu absorpční kapacity nedovoluje adekvátně zahrnout okamžik nasycenosti objemu příchozích návrhů projektů vzhledem k ohraničenému počtu výzkumných organizací. I když bylo k výpočtu použito několik kritérií, nepředstavují úplné spektrum vstupů, které mají vliv na absorpční kapacitu (jako např. neočekávaná nutnost provádění nákladnějších či dlouhodobých výzkumných projektů; neočekávané vstupy soukromých či neziskových subjektů do veřejných soutěží apod.). </w:t>
      </w:r>
    </w:p>
    <w:p w:rsidR="00600608" w:rsidRPr="009F50A4" w:rsidRDefault="00600608" w:rsidP="00851123">
      <w:pPr>
        <w:pStyle w:val="Odstavecseseznamem"/>
        <w:numPr>
          <w:ilvl w:val="0"/>
          <w:numId w:val="72"/>
        </w:numPr>
        <w:autoSpaceDE/>
        <w:autoSpaceDN/>
        <w:adjustRightInd/>
        <w:spacing w:before="120" w:after="0" w:line="276" w:lineRule="auto"/>
        <w:textAlignment w:val="auto"/>
        <w:rPr>
          <w:rFonts w:asciiTheme="majorHAnsi" w:hAnsiTheme="majorHAnsi"/>
          <w:color w:val="auto"/>
        </w:rPr>
      </w:pPr>
      <w:r w:rsidRPr="003C6E03">
        <w:rPr>
          <w:rFonts w:asciiTheme="majorHAnsi" w:hAnsiTheme="majorHAnsi"/>
          <w:color w:val="auto"/>
          <w:spacing w:val="-4"/>
          <w:kern w:val="18"/>
          <w:u w:val="single"/>
        </w:rPr>
        <w:t xml:space="preserve">Způsob minimalizace rizika v programu </w:t>
      </w:r>
      <w:r>
        <w:rPr>
          <w:rFonts w:asciiTheme="majorHAnsi" w:hAnsiTheme="majorHAnsi"/>
          <w:color w:val="auto"/>
          <w:spacing w:val="-4"/>
          <w:kern w:val="18"/>
          <w:u w:val="single"/>
        </w:rPr>
        <w:t>TH</w:t>
      </w:r>
      <w:r w:rsidRPr="003C6E03">
        <w:rPr>
          <w:rFonts w:asciiTheme="majorHAnsi" w:hAnsiTheme="majorHAnsi"/>
          <w:color w:val="auto"/>
          <w:spacing w:val="-4"/>
          <w:kern w:val="18"/>
          <w:u w:val="single"/>
        </w:rPr>
        <w:t xml:space="preserve">ÉTA: </w:t>
      </w:r>
      <w:r w:rsidRPr="003C6E03">
        <w:rPr>
          <w:rFonts w:asciiTheme="majorHAnsi" w:eastAsia="Times New Roman" w:hAnsiTheme="majorHAnsi"/>
          <w:bCs/>
          <w:color w:val="auto"/>
          <w:lang w:eastAsia="cs-CZ"/>
        </w:rPr>
        <w:t xml:space="preserve">I přes tato omezení se absorpční kapacita programu opírá o dostupná data a zkušenosti a poskytuje tak určitou představu o výši alokace prostředků na program podloženou empirickým základem. </w:t>
      </w:r>
    </w:p>
    <w:p w:rsidR="00B53164" w:rsidRDefault="00B53164" w:rsidP="00600608">
      <w:pPr>
        <w:spacing w:before="120" w:after="0" w:line="276" w:lineRule="auto"/>
        <w:sectPr w:rsidR="00B53164" w:rsidSect="00E9455C">
          <w:pgSz w:w="11906" w:h="16838"/>
          <w:pgMar w:top="2581" w:right="1133" w:bottom="1417" w:left="1133" w:header="708" w:footer="708" w:gutter="0"/>
          <w:cols w:space="708"/>
        </w:sectPr>
      </w:pPr>
    </w:p>
    <w:p w:rsidR="00B1394C" w:rsidRDefault="00B53164" w:rsidP="00DB619B">
      <w:pPr>
        <w:pStyle w:val="Nadpis1"/>
      </w:pPr>
      <w:bookmarkStart w:id="243" w:name="_Přílohy"/>
      <w:bookmarkStart w:id="244" w:name="_Toc463296670"/>
      <w:bookmarkStart w:id="245" w:name="_Toc463438649"/>
      <w:bookmarkEnd w:id="243"/>
      <w:r>
        <w:lastRenderedPageBreak/>
        <w:t>Přílohy</w:t>
      </w:r>
      <w:bookmarkEnd w:id="244"/>
      <w:bookmarkEnd w:id="245"/>
    </w:p>
    <w:p w:rsidR="00484951" w:rsidRDefault="00484951" w:rsidP="00484951">
      <w:pPr>
        <w:pStyle w:val="Titulek"/>
      </w:pPr>
      <w:bookmarkStart w:id="246" w:name="_Ref463297232"/>
      <w:bookmarkStart w:id="247" w:name="_Ref463297190"/>
      <w:r>
        <w:t xml:space="preserve">Příloha </w:t>
      </w:r>
      <w:fldSimple w:instr=" SEQ Příloha \* ARABIC ">
        <w:r w:rsidR="00650FB0">
          <w:rPr>
            <w:noProof/>
          </w:rPr>
          <w:t>1</w:t>
        </w:r>
      </w:fldSimple>
      <w:bookmarkEnd w:id="246"/>
      <w:r>
        <w:tab/>
      </w:r>
      <w:bookmarkStart w:id="248" w:name="_Ref463297223"/>
      <w:r>
        <w:t>Seznam účastníků kulatých stolů</w:t>
      </w:r>
      <w:bookmarkEnd w:id="247"/>
      <w:bookmarkEnd w:id="248"/>
    </w:p>
    <w:tbl>
      <w:tblPr>
        <w:tblStyle w:val="Mkatabulky"/>
        <w:tblW w:w="0" w:type="auto"/>
        <w:tblLook w:val="04A0" w:firstRow="1" w:lastRow="0" w:firstColumn="1" w:lastColumn="0" w:noHBand="0" w:noVBand="1"/>
      </w:tblPr>
      <w:tblGrid>
        <w:gridCol w:w="460"/>
        <w:gridCol w:w="2058"/>
        <w:gridCol w:w="1559"/>
        <w:gridCol w:w="5779"/>
      </w:tblGrid>
      <w:tr w:rsidR="00DB619B" w:rsidRPr="00DB619B" w:rsidTr="00DB619B">
        <w:trPr>
          <w:trHeight w:val="340"/>
        </w:trPr>
        <w:tc>
          <w:tcPr>
            <w:tcW w:w="9856" w:type="dxa"/>
            <w:gridSpan w:val="4"/>
            <w:noWrap/>
            <w:hideMark/>
          </w:tcPr>
          <w:p w:rsidR="00DB619B" w:rsidRPr="00DB619B" w:rsidRDefault="00DB619B" w:rsidP="00DB619B">
            <w:pPr>
              <w:spacing w:after="0" w:line="276" w:lineRule="auto"/>
              <w:rPr>
                <w:b/>
                <w:bCs/>
                <w:sz w:val="18"/>
                <w:szCs w:val="18"/>
              </w:rPr>
            </w:pPr>
            <w:r w:rsidRPr="00DB619B">
              <w:rPr>
                <w:b/>
                <w:bCs/>
                <w:sz w:val="18"/>
                <w:szCs w:val="18"/>
              </w:rPr>
              <w:t>PRŮMYSLOVÝ SEKTOR, 20. 6. 2016</w:t>
            </w:r>
          </w:p>
        </w:tc>
      </w:tr>
      <w:tr w:rsidR="00DB619B" w:rsidRPr="00DB619B" w:rsidTr="00DB619B">
        <w:trPr>
          <w:trHeight w:val="260"/>
        </w:trPr>
        <w:tc>
          <w:tcPr>
            <w:tcW w:w="460" w:type="dxa"/>
            <w:noWrap/>
            <w:hideMark/>
          </w:tcPr>
          <w:p w:rsidR="00DB619B" w:rsidRPr="00DB619B" w:rsidRDefault="00DB619B" w:rsidP="00DB619B">
            <w:pPr>
              <w:spacing w:after="0" w:line="276" w:lineRule="auto"/>
              <w:rPr>
                <w:sz w:val="18"/>
                <w:szCs w:val="18"/>
              </w:rPr>
            </w:pPr>
            <w:r w:rsidRPr="00DB619B">
              <w:rPr>
                <w:sz w:val="18"/>
                <w:szCs w:val="18"/>
              </w:rPr>
              <w:t> </w:t>
            </w:r>
          </w:p>
        </w:tc>
        <w:tc>
          <w:tcPr>
            <w:tcW w:w="2058" w:type="dxa"/>
            <w:hideMark/>
          </w:tcPr>
          <w:p w:rsidR="00DB619B" w:rsidRPr="00DB619B" w:rsidRDefault="00DB619B" w:rsidP="00DB619B">
            <w:pPr>
              <w:spacing w:after="0" w:line="276" w:lineRule="auto"/>
              <w:rPr>
                <w:b/>
                <w:bCs/>
                <w:sz w:val="18"/>
                <w:szCs w:val="18"/>
              </w:rPr>
            </w:pPr>
            <w:r w:rsidRPr="00DB619B">
              <w:rPr>
                <w:b/>
                <w:bCs/>
                <w:sz w:val="18"/>
                <w:szCs w:val="18"/>
              </w:rPr>
              <w:t>Příjmení</w:t>
            </w:r>
          </w:p>
        </w:tc>
        <w:tc>
          <w:tcPr>
            <w:tcW w:w="1559" w:type="dxa"/>
            <w:hideMark/>
          </w:tcPr>
          <w:p w:rsidR="00DB619B" w:rsidRPr="00DB619B" w:rsidRDefault="00DB619B" w:rsidP="00DB619B">
            <w:pPr>
              <w:spacing w:after="0" w:line="276" w:lineRule="auto"/>
              <w:rPr>
                <w:b/>
                <w:bCs/>
                <w:sz w:val="18"/>
                <w:szCs w:val="18"/>
              </w:rPr>
            </w:pPr>
            <w:r w:rsidRPr="00DB619B">
              <w:rPr>
                <w:b/>
                <w:bCs/>
                <w:sz w:val="18"/>
                <w:szCs w:val="18"/>
              </w:rPr>
              <w:t>Jméno</w:t>
            </w:r>
          </w:p>
        </w:tc>
        <w:tc>
          <w:tcPr>
            <w:tcW w:w="5779" w:type="dxa"/>
            <w:hideMark/>
          </w:tcPr>
          <w:p w:rsidR="00DB619B" w:rsidRPr="00DB619B" w:rsidRDefault="00DB619B" w:rsidP="00DB619B">
            <w:pPr>
              <w:spacing w:after="0" w:line="276" w:lineRule="auto"/>
              <w:rPr>
                <w:b/>
                <w:bCs/>
                <w:sz w:val="18"/>
                <w:szCs w:val="18"/>
              </w:rPr>
            </w:pPr>
            <w:r w:rsidRPr="00DB619B">
              <w:rPr>
                <w:b/>
                <w:bCs/>
                <w:sz w:val="18"/>
                <w:szCs w:val="18"/>
              </w:rPr>
              <w:t>Instituce</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Očko</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Petr</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Komárek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Pavel</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3</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Kačena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Lukáš</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4</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Kühnelová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Markéta</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5</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Gál</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Leoš</w:t>
            </w:r>
          </w:p>
        </w:tc>
        <w:tc>
          <w:tcPr>
            <w:tcW w:w="5779" w:type="dxa"/>
            <w:hideMark/>
          </w:tcPr>
          <w:p w:rsidR="00DB619B" w:rsidRPr="00DB619B" w:rsidRDefault="00DB619B" w:rsidP="00DB619B">
            <w:pPr>
              <w:spacing w:after="0" w:line="276" w:lineRule="auto"/>
              <w:rPr>
                <w:sz w:val="18"/>
                <w:szCs w:val="18"/>
              </w:rPr>
            </w:pPr>
            <w:r w:rsidRPr="00DB619B">
              <w:rPr>
                <w:sz w:val="18"/>
                <w:szCs w:val="18"/>
              </w:rPr>
              <w:t>Česká technologická platforma biopaliva</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6</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Bízková</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Rut</w:t>
            </w:r>
          </w:p>
        </w:tc>
        <w:tc>
          <w:tcPr>
            <w:tcW w:w="5779" w:type="dxa"/>
            <w:hideMark/>
          </w:tcPr>
          <w:p w:rsidR="00DB619B" w:rsidRPr="00DB619B" w:rsidRDefault="00DB619B" w:rsidP="00DB619B">
            <w:pPr>
              <w:spacing w:after="0" w:line="276" w:lineRule="auto"/>
              <w:rPr>
                <w:sz w:val="18"/>
                <w:szCs w:val="18"/>
              </w:rPr>
            </w:pPr>
            <w:r w:rsidRPr="00DB619B">
              <w:rPr>
                <w:sz w:val="18"/>
                <w:szCs w:val="18"/>
              </w:rPr>
              <w:t>OSVČ</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7</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Patrik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Milan</w:t>
            </w:r>
          </w:p>
        </w:tc>
        <w:tc>
          <w:tcPr>
            <w:tcW w:w="5779" w:type="dxa"/>
            <w:hideMark/>
          </w:tcPr>
          <w:p w:rsidR="00DB619B" w:rsidRPr="00DB619B" w:rsidRDefault="00DB619B" w:rsidP="00DB619B">
            <w:pPr>
              <w:spacing w:after="0" w:line="276" w:lineRule="auto"/>
              <w:rPr>
                <w:sz w:val="18"/>
                <w:szCs w:val="18"/>
              </w:rPr>
            </w:pPr>
            <w:r w:rsidRPr="00DB619B">
              <w:rPr>
                <w:sz w:val="18"/>
                <w:szCs w:val="18"/>
              </w:rPr>
              <w:t>UJV Rez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8</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Laciok</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Aleš</w:t>
            </w:r>
          </w:p>
        </w:tc>
        <w:tc>
          <w:tcPr>
            <w:tcW w:w="5779" w:type="dxa"/>
            <w:hideMark/>
          </w:tcPr>
          <w:p w:rsidR="00DB619B" w:rsidRPr="00DB619B" w:rsidRDefault="00DB619B" w:rsidP="00DB619B">
            <w:pPr>
              <w:spacing w:after="0" w:line="276" w:lineRule="auto"/>
              <w:rPr>
                <w:sz w:val="18"/>
                <w:szCs w:val="18"/>
              </w:rPr>
            </w:pPr>
            <w:r w:rsidRPr="00DB619B">
              <w:rPr>
                <w:sz w:val="18"/>
                <w:szCs w:val="18"/>
              </w:rPr>
              <w:t>ČEZ, TPUE</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9</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Matějka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Jan</w:t>
            </w:r>
          </w:p>
        </w:tc>
        <w:tc>
          <w:tcPr>
            <w:tcW w:w="5779" w:type="dxa"/>
            <w:hideMark/>
          </w:tcPr>
          <w:p w:rsidR="00DB619B" w:rsidRPr="00DB619B" w:rsidRDefault="00DB619B" w:rsidP="00DB619B">
            <w:pPr>
              <w:spacing w:after="0" w:line="276" w:lineRule="auto"/>
              <w:rPr>
                <w:sz w:val="18"/>
                <w:szCs w:val="18"/>
              </w:rPr>
            </w:pPr>
            <w:r w:rsidRPr="00DB619B">
              <w:rPr>
                <w:sz w:val="18"/>
                <w:szCs w:val="18"/>
              </w:rPr>
              <w:t>Česká bioplynová asociace</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10</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Harnych</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Jan</w:t>
            </w:r>
          </w:p>
        </w:tc>
        <w:tc>
          <w:tcPr>
            <w:tcW w:w="5779" w:type="dxa"/>
            <w:hideMark/>
          </w:tcPr>
          <w:p w:rsidR="00DB619B" w:rsidRPr="00DB619B" w:rsidRDefault="00DB619B" w:rsidP="00DB619B">
            <w:pPr>
              <w:spacing w:after="0" w:line="276" w:lineRule="auto"/>
              <w:rPr>
                <w:sz w:val="18"/>
                <w:szCs w:val="18"/>
              </w:rPr>
            </w:pPr>
            <w:r w:rsidRPr="00DB619B">
              <w:rPr>
                <w:sz w:val="18"/>
                <w:szCs w:val="18"/>
              </w:rPr>
              <w:t>ENVIROS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11</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Pazdera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František</w:t>
            </w:r>
          </w:p>
        </w:tc>
        <w:tc>
          <w:tcPr>
            <w:tcW w:w="5779" w:type="dxa"/>
            <w:hideMark/>
          </w:tcPr>
          <w:p w:rsidR="00DB619B" w:rsidRPr="00DB619B" w:rsidRDefault="00DB619B" w:rsidP="00DB619B">
            <w:pPr>
              <w:spacing w:after="0" w:line="276" w:lineRule="auto"/>
              <w:rPr>
                <w:sz w:val="18"/>
                <w:szCs w:val="18"/>
              </w:rPr>
            </w:pPr>
            <w:r w:rsidRPr="00DB619B">
              <w:rPr>
                <w:sz w:val="18"/>
                <w:szCs w:val="18"/>
              </w:rPr>
              <w:t>člen Pracovní skupiny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12</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SUCHÝ</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Jaroslav</w:t>
            </w:r>
          </w:p>
        </w:tc>
        <w:tc>
          <w:tcPr>
            <w:tcW w:w="5779" w:type="dxa"/>
            <w:hideMark/>
          </w:tcPr>
          <w:p w:rsidR="00DB619B" w:rsidRPr="00DB619B" w:rsidRDefault="00DB619B" w:rsidP="00DB619B">
            <w:pPr>
              <w:spacing w:after="0" w:line="276" w:lineRule="auto"/>
              <w:rPr>
                <w:sz w:val="18"/>
                <w:szCs w:val="18"/>
              </w:rPr>
            </w:pPr>
            <w:r w:rsidRPr="00DB619B">
              <w:rPr>
                <w:sz w:val="18"/>
                <w:szCs w:val="18"/>
              </w:rPr>
              <w:t>Svaz chemického průmyslu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13</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Nosek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Pavel</w:t>
            </w:r>
          </w:p>
        </w:tc>
        <w:tc>
          <w:tcPr>
            <w:tcW w:w="5779" w:type="dxa"/>
            <w:hideMark/>
          </w:tcPr>
          <w:p w:rsidR="00DB619B" w:rsidRPr="00DB619B" w:rsidRDefault="00DB619B" w:rsidP="00DB619B">
            <w:pPr>
              <w:spacing w:after="0" w:line="276" w:lineRule="auto"/>
              <w:rPr>
                <w:sz w:val="18"/>
                <w:szCs w:val="18"/>
              </w:rPr>
            </w:pPr>
            <w:r w:rsidRPr="00DB619B">
              <w:rPr>
                <w:sz w:val="18"/>
                <w:szCs w:val="18"/>
              </w:rPr>
              <w:t>ABB s.r.o.</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14</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Šantín</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Vlastimil</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průmyslu a obchodu</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15</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SLÁČALA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Petr</w:t>
            </w:r>
          </w:p>
        </w:tc>
        <w:tc>
          <w:tcPr>
            <w:tcW w:w="5779" w:type="dxa"/>
            <w:hideMark/>
          </w:tcPr>
          <w:p w:rsidR="00DB619B" w:rsidRPr="00DB619B" w:rsidRDefault="00DB619B" w:rsidP="00DB619B">
            <w:pPr>
              <w:spacing w:after="0" w:line="276" w:lineRule="auto"/>
              <w:rPr>
                <w:sz w:val="18"/>
                <w:szCs w:val="18"/>
              </w:rPr>
            </w:pPr>
            <w:r w:rsidRPr="00DB619B">
              <w:rPr>
                <w:sz w:val="18"/>
                <w:szCs w:val="18"/>
              </w:rPr>
              <w:t>EGP INVEST, spol. s r.o.</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16</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Jeleček</w:t>
            </w:r>
            <w:proofErr w:type="spellEnd"/>
          </w:p>
        </w:tc>
        <w:tc>
          <w:tcPr>
            <w:tcW w:w="1559" w:type="dxa"/>
            <w:noWrap/>
            <w:hideMark/>
          </w:tcPr>
          <w:p w:rsidR="00DB619B" w:rsidRPr="00DB619B" w:rsidRDefault="00DB619B" w:rsidP="00DB619B">
            <w:pPr>
              <w:spacing w:after="0" w:line="276" w:lineRule="auto"/>
              <w:rPr>
                <w:sz w:val="18"/>
                <w:szCs w:val="18"/>
              </w:rPr>
            </w:pPr>
            <w:proofErr w:type="spellStart"/>
            <w:r w:rsidRPr="00DB619B">
              <w:rPr>
                <w:sz w:val="18"/>
                <w:szCs w:val="18"/>
              </w:rPr>
              <w:t>josef</w:t>
            </w:r>
            <w:proofErr w:type="spellEnd"/>
          </w:p>
        </w:tc>
        <w:tc>
          <w:tcPr>
            <w:tcW w:w="5779" w:type="dxa"/>
            <w:hideMark/>
          </w:tcPr>
          <w:p w:rsidR="00DB619B" w:rsidRPr="00DB619B" w:rsidRDefault="00DB619B" w:rsidP="00DB619B">
            <w:pPr>
              <w:spacing w:after="0" w:line="276" w:lineRule="auto"/>
              <w:rPr>
                <w:sz w:val="18"/>
                <w:szCs w:val="18"/>
              </w:rPr>
            </w:pPr>
            <w:r w:rsidRPr="00DB619B">
              <w:rPr>
                <w:sz w:val="18"/>
                <w:szCs w:val="18"/>
              </w:rPr>
              <w:t>TEDOM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17</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Pešek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Martin</w:t>
            </w:r>
          </w:p>
        </w:tc>
        <w:tc>
          <w:tcPr>
            <w:tcW w:w="5779" w:type="dxa"/>
            <w:hideMark/>
          </w:tcPr>
          <w:p w:rsidR="00DB619B" w:rsidRPr="00DB619B" w:rsidRDefault="00DB619B" w:rsidP="00DB619B">
            <w:pPr>
              <w:spacing w:after="0" w:line="276" w:lineRule="auto"/>
              <w:rPr>
                <w:sz w:val="18"/>
                <w:szCs w:val="18"/>
              </w:rPr>
            </w:pPr>
            <w:r w:rsidRPr="00DB619B">
              <w:rPr>
                <w:sz w:val="18"/>
                <w:szCs w:val="18"/>
              </w:rPr>
              <w:t>ORGREZ,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18</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Stegbauerová</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Šárka</w:t>
            </w:r>
          </w:p>
        </w:tc>
        <w:tc>
          <w:tcPr>
            <w:tcW w:w="5779" w:type="dxa"/>
            <w:hideMark/>
          </w:tcPr>
          <w:p w:rsidR="00DB619B" w:rsidRPr="00DB619B" w:rsidRDefault="00DB619B" w:rsidP="00DB619B">
            <w:pPr>
              <w:spacing w:after="0" w:line="276" w:lineRule="auto"/>
              <w:rPr>
                <w:sz w:val="18"/>
                <w:szCs w:val="18"/>
              </w:rPr>
            </w:pPr>
            <w:r w:rsidRPr="00DB619B">
              <w:rPr>
                <w:sz w:val="18"/>
                <w:szCs w:val="18"/>
              </w:rPr>
              <w:t>Smíšená obchodní komora Česko-tichomořská aliance</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19</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Beran</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Jaromír</w:t>
            </w:r>
          </w:p>
        </w:tc>
        <w:tc>
          <w:tcPr>
            <w:tcW w:w="5779" w:type="dxa"/>
            <w:hideMark/>
          </w:tcPr>
          <w:p w:rsidR="00DB619B" w:rsidRPr="00DB619B" w:rsidRDefault="00DB619B" w:rsidP="00DB619B">
            <w:pPr>
              <w:spacing w:after="0" w:line="276" w:lineRule="auto"/>
              <w:rPr>
                <w:sz w:val="18"/>
                <w:szCs w:val="18"/>
              </w:rPr>
            </w:pPr>
            <w:r w:rsidRPr="00DB619B">
              <w:rPr>
                <w:sz w:val="18"/>
                <w:szCs w:val="18"/>
              </w:rPr>
              <w:t>ČESKÁ TECHNOLOGICKÁ PLATFORMA SMART GRIDS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20</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Neuman</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Petr</w:t>
            </w:r>
          </w:p>
        </w:tc>
        <w:tc>
          <w:tcPr>
            <w:tcW w:w="5779" w:type="dxa"/>
            <w:hideMark/>
          </w:tcPr>
          <w:p w:rsidR="00DB619B" w:rsidRPr="00DB619B" w:rsidRDefault="00DB619B" w:rsidP="00DB619B">
            <w:pPr>
              <w:spacing w:after="0" w:line="276" w:lineRule="auto"/>
              <w:rPr>
                <w:sz w:val="18"/>
                <w:szCs w:val="18"/>
              </w:rPr>
            </w:pPr>
            <w:r w:rsidRPr="00DB619B">
              <w:rPr>
                <w:sz w:val="18"/>
                <w:szCs w:val="18"/>
              </w:rPr>
              <w:t>NEUREG, s.r.o.</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21</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Martin</w:t>
            </w:r>
          </w:p>
        </w:tc>
        <w:tc>
          <w:tcPr>
            <w:tcW w:w="1559" w:type="dxa"/>
            <w:noWrap/>
            <w:hideMark/>
          </w:tcPr>
          <w:p w:rsidR="00DB619B" w:rsidRPr="00DB619B" w:rsidRDefault="00DB619B" w:rsidP="00DB619B">
            <w:pPr>
              <w:spacing w:after="0" w:line="276" w:lineRule="auto"/>
              <w:rPr>
                <w:sz w:val="18"/>
                <w:szCs w:val="18"/>
              </w:rPr>
            </w:pPr>
            <w:proofErr w:type="spellStart"/>
            <w:r w:rsidRPr="00DB619B">
              <w:rPr>
                <w:sz w:val="18"/>
                <w:szCs w:val="18"/>
              </w:rPr>
              <w:t>Frélich</w:t>
            </w:r>
            <w:proofErr w:type="spellEnd"/>
          </w:p>
        </w:tc>
        <w:tc>
          <w:tcPr>
            <w:tcW w:w="5779" w:type="dxa"/>
            <w:hideMark/>
          </w:tcPr>
          <w:p w:rsidR="00DB619B" w:rsidRPr="00DB619B" w:rsidRDefault="00DB619B" w:rsidP="00DB619B">
            <w:pPr>
              <w:spacing w:after="0" w:line="276" w:lineRule="auto"/>
              <w:rPr>
                <w:sz w:val="18"/>
                <w:szCs w:val="18"/>
              </w:rPr>
            </w:pPr>
            <w:r w:rsidRPr="00DB619B">
              <w:rPr>
                <w:sz w:val="18"/>
                <w:szCs w:val="18"/>
              </w:rPr>
              <w:t>HK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22</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Vančura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Jakub</w:t>
            </w:r>
          </w:p>
        </w:tc>
        <w:tc>
          <w:tcPr>
            <w:tcW w:w="5779" w:type="dxa"/>
            <w:hideMark/>
          </w:tcPr>
          <w:p w:rsidR="00DB619B" w:rsidRPr="00DB619B" w:rsidRDefault="00DB619B" w:rsidP="00DB619B">
            <w:pPr>
              <w:spacing w:after="0" w:line="276" w:lineRule="auto"/>
              <w:rPr>
                <w:sz w:val="18"/>
                <w:szCs w:val="18"/>
              </w:rPr>
            </w:pPr>
            <w:r w:rsidRPr="00DB619B">
              <w:rPr>
                <w:sz w:val="18"/>
                <w:szCs w:val="18"/>
              </w:rPr>
              <w:t>PREdistribuce,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23</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Hégrová</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Božena</w:t>
            </w:r>
          </w:p>
        </w:tc>
        <w:tc>
          <w:tcPr>
            <w:tcW w:w="5779" w:type="dxa"/>
            <w:hideMark/>
          </w:tcPr>
          <w:p w:rsidR="00DB619B" w:rsidRPr="00DB619B" w:rsidRDefault="00DB619B" w:rsidP="00DB619B">
            <w:pPr>
              <w:spacing w:after="0" w:line="276" w:lineRule="auto"/>
              <w:rPr>
                <w:sz w:val="18"/>
                <w:szCs w:val="18"/>
              </w:rPr>
            </w:pPr>
            <w:r w:rsidRPr="00DB619B">
              <w:rPr>
                <w:sz w:val="18"/>
                <w:szCs w:val="18"/>
              </w:rPr>
              <w:t>AF-</w:t>
            </w:r>
            <w:proofErr w:type="spellStart"/>
            <w:r w:rsidRPr="00DB619B">
              <w:rPr>
                <w:sz w:val="18"/>
                <w:szCs w:val="18"/>
              </w:rPr>
              <w:t>Consult</w:t>
            </w:r>
            <w:proofErr w:type="spellEnd"/>
            <w:r w:rsidRPr="00DB619B">
              <w:rPr>
                <w:sz w:val="18"/>
                <w:szCs w:val="18"/>
              </w:rPr>
              <w:t xml:space="preserve"> Czech Republic s.r.o.</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24</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Smejkal</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Tomáš</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průmyslu a obchodu</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25</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Juchelková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Dagmar</w:t>
            </w:r>
          </w:p>
        </w:tc>
        <w:tc>
          <w:tcPr>
            <w:tcW w:w="5779" w:type="dxa"/>
            <w:hideMark/>
          </w:tcPr>
          <w:p w:rsidR="00DB619B" w:rsidRPr="00DB619B" w:rsidRDefault="00DB619B" w:rsidP="00DB619B">
            <w:pPr>
              <w:spacing w:after="0" w:line="276" w:lineRule="auto"/>
              <w:rPr>
                <w:sz w:val="18"/>
                <w:szCs w:val="18"/>
              </w:rPr>
            </w:pPr>
            <w:r w:rsidRPr="00DB619B">
              <w:rPr>
                <w:sz w:val="18"/>
                <w:szCs w:val="18"/>
              </w:rPr>
              <w:t>VŠB-TU Ostrava, TAČR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26</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 xml:space="preserve">SUCHÝ </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 xml:space="preserve">Jaroslav </w:t>
            </w:r>
          </w:p>
        </w:tc>
        <w:tc>
          <w:tcPr>
            <w:tcW w:w="5779" w:type="dxa"/>
            <w:hideMark/>
          </w:tcPr>
          <w:p w:rsidR="00DB619B" w:rsidRPr="00DB619B" w:rsidRDefault="00DB619B" w:rsidP="00DB619B">
            <w:pPr>
              <w:spacing w:after="0" w:line="276" w:lineRule="auto"/>
              <w:rPr>
                <w:sz w:val="18"/>
                <w:szCs w:val="18"/>
              </w:rPr>
            </w:pPr>
            <w:r w:rsidRPr="00DB619B">
              <w:rPr>
                <w:sz w:val="18"/>
                <w:szCs w:val="18"/>
              </w:rPr>
              <w:t>Svaz chemického průmyslu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27</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Kopt</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Miroslav</w:t>
            </w:r>
          </w:p>
        </w:tc>
        <w:tc>
          <w:tcPr>
            <w:tcW w:w="5779" w:type="dxa"/>
            <w:hideMark/>
          </w:tcPr>
          <w:p w:rsidR="00DB619B" w:rsidRPr="00DB619B" w:rsidRDefault="00DB619B" w:rsidP="00DB619B">
            <w:pPr>
              <w:spacing w:after="0" w:line="276" w:lineRule="auto"/>
              <w:rPr>
                <w:sz w:val="18"/>
                <w:szCs w:val="18"/>
              </w:rPr>
            </w:pPr>
            <w:proofErr w:type="gramStart"/>
            <w:r w:rsidRPr="00DB619B">
              <w:rPr>
                <w:sz w:val="18"/>
                <w:szCs w:val="18"/>
              </w:rPr>
              <w:t>E.ON</w:t>
            </w:r>
            <w:proofErr w:type="gramEnd"/>
            <w:r w:rsidRPr="00DB619B">
              <w:rPr>
                <w:sz w:val="18"/>
                <w:szCs w:val="18"/>
              </w:rPr>
              <w:t xml:space="preserve"> Česká republika, s.r.o.</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28</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Beran</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Hynek</w:t>
            </w:r>
          </w:p>
        </w:tc>
        <w:tc>
          <w:tcPr>
            <w:tcW w:w="5779" w:type="dxa"/>
            <w:hideMark/>
          </w:tcPr>
          <w:p w:rsidR="00DB619B" w:rsidRPr="00DB619B" w:rsidRDefault="00DB619B" w:rsidP="00DB619B">
            <w:pPr>
              <w:spacing w:after="0" w:line="276" w:lineRule="auto"/>
              <w:rPr>
                <w:sz w:val="18"/>
                <w:szCs w:val="18"/>
              </w:rPr>
            </w:pPr>
            <w:r w:rsidRPr="00DB619B">
              <w:rPr>
                <w:sz w:val="18"/>
                <w:szCs w:val="18"/>
              </w:rPr>
              <w:t>člen PS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lastRenderedPageBreak/>
              <w:t>29</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Hájek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Miroslav</w:t>
            </w:r>
          </w:p>
        </w:tc>
        <w:tc>
          <w:tcPr>
            <w:tcW w:w="5779" w:type="dxa"/>
            <w:hideMark/>
          </w:tcPr>
          <w:p w:rsidR="00DB619B" w:rsidRPr="00DB619B" w:rsidRDefault="00DB619B" w:rsidP="00DB619B">
            <w:pPr>
              <w:spacing w:after="0" w:line="276" w:lineRule="auto"/>
              <w:rPr>
                <w:sz w:val="18"/>
                <w:szCs w:val="18"/>
              </w:rPr>
            </w:pPr>
            <w:r w:rsidRPr="00DB619B">
              <w:rPr>
                <w:sz w:val="18"/>
                <w:szCs w:val="18"/>
              </w:rPr>
              <w:t>člen PS</w:t>
            </w:r>
          </w:p>
        </w:tc>
      </w:tr>
    </w:tbl>
    <w:p w:rsidR="00DB619B" w:rsidRDefault="00DB619B" w:rsidP="00600608">
      <w:pPr>
        <w:spacing w:before="120" w:after="0" w:line="276" w:lineRule="auto"/>
      </w:pPr>
    </w:p>
    <w:tbl>
      <w:tblPr>
        <w:tblStyle w:val="Mkatabulky"/>
        <w:tblW w:w="0" w:type="auto"/>
        <w:tblLook w:val="04A0" w:firstRow="1" w:lastRow="0" w:firstColumn="1" w:lastColumn="0" w:noHBand="0" w:noVBand="1"/>
      </w:tblPr>
      <w:tblGrid>
        <w:gridCol w:w="460"/>
        <w:gridCol w:w="2058"/>
        <w:gridCol w:w="1559"/>
        <w:gridCol w:w="5779"/>
      </w:tblGrid>
      <w:tr w:rsidR="00DB619B" w:rsidRPr="00DB619B" w:rsidTr="00DB619B">
        <w:trPr>
          <w:trHeight w:val="260"/>
        </w:trPr>
        <w:tc>
          <w:tcPr>
            <w:tcW w:w="9856" w:type="dxa"/>
            <w:gridSpan w:val="4"/>
            <w:noWrap/>
            <w:hideMark/>
          </w:tcPr>
          <w:p w:rsidR="00DB619B" w:rsidRPr="00DB619B" w:rsidRDefault="00DB619B" w:rsidP="00DB619B">
            <w:pPr>
              <w:spacing w:after="0" w:line="276" w:lineRule="auto"/>
              <w:rPr>
                <w:b/>
                <w:bCs/>
                <w:sz w:val="18"/>
                <w:szCs w:val="18"/>
              </w:rPr>
            </w:pPr>
            <w:r w:rsidRPr="00DB619B">
              <w:rPr>
                <w:b/>
                <w:bCs/>
                <w:sz w:val="18"/>
                <w:szCs w:val="18"/>
              </w:rPr>
              <w:t>STÁTNÍ SPRÁVA, 22. 6. 2016</w:t>
            </w:r>
          </w:p>
        </w:tc>
      </w:tr>
      <w:tr w:rsidR="00DB619B" w:rsidRPr="00DB619B" w:rsidTr="00DB619B">
        <w:trPr>
          <w:trHeight w:val="260"/>
        </w:trPr>
        <w:tc>
          <w:tcPr>
            <w:tcW w:w="460" w:type="dxa"/>
            <w:noWrap/>
            <w:hideMark/>
          </w:tcPr>
          <w:p w:rsidR="00DB619B" w:rsidRPr="00DB619B" w:rsidRDefault="00DB619B" w:rsidP="00DB619B">
            <w:pPr>
              <w:spacing w:after="0" w:line="276" w:lineRule="auto"/>
              <w:rPr>
                <w:sz w:val="18"/>
                <w:szCs w:val="18"/>
              </w:rPr>
            </w:pPr>
            <w:r w:rsidRPr="00DB619B">
              <w:rPr>
                <w:sz w:val="18"/>
                <w:szCs w:val="18"/>
              </w:rPr>
              <w:t> </w:t>
            </w:r>
          </w:p>
        </w:tc>
        <w:tc>
          <w:tcPr>
            <w:tcW w:w="2058" w:type="dxa"/>
            <w:hideMark/>
          </w:tcPr>
          <w:p w:rsidR="00DB619B" w:rsidRPr="00DB619B" w:rsidRDefault="00DB619B" w:rsidP="00DB619B">
            <w:pPr>
              <w:spacing w:after="0" w:line="276" w:lineRule="auto"/>
              <w:rPr>
                <w:b/>
                <w:bCs/>
                <w:sz w:val="18"/>
                <w:szCs w:val="18"/>
              </w:rPr>
            </w:pPr>
            <w:r w:rsidRPr="00DB619B">
              <w:rPr>
                <w:b/>
                <w:bCs/>
                <w:sz w:val="18"/>
                <w:szCs w:val="18"/>
              </w:rPr>
              <w:t>Příjmení</w:t>
            </w:r>
          </w:p>
        </w:tc>
        <w:tc>
          <w:tcPr>
            <w:tcW w:w="1559" w:type="dxa"/>
            <w:hideMark/>
          </w:tcPr>
          <w:p w:rsidR="00DB619B" w:rsidRPr="00DB619B" w:rsidRDefault="00DB619B" w:rsidP="00DB619B">
            <w:pPr>
              <w:spacing w:after="0" w:line="276" w:lineRule="auto"/>
              <w:rPr>
                <w:b/>
                <w:bCs/>
                <w:sz w:val="18"/>
                <w:szCs w:val="18"/>
              </w:rPr>
            </w:pPr>
            <w:r w:rsidRPr="00DB619B">
              <w:rPr>
                <w:b/>
                <w:bCs/>
                <w:sz w:val="18"/>
                <w:szCs w:val="18"/>
              </w:rPr>
              <w:t>Jméno</w:t>
            </w:r>
          </w:p>
        </w:tc>
        <w:tc>
          <w:tcPr>
            <w:tcW w:w="5779" w:type="dxa"/>
            <w:hideMark/>
          </w:tcPr>
          <w:p w:rsidR="00DB619B" w:rsidRPr="00DB619B" w:rsidRDefault="00DB619B" w:rsidP="00DB619B">
            <w:pPr>
              <w:spacing w:after="0" w:line="276" w:lineRule="auto"/>
              <w:rPr>
                <w:b/>
                <w:bCs/>
                <w:sz w:val="18"/>
                <w:szCs w:val="18"/>
              </w:rPr>
            </w:pPr>
            <w:r w:rsidRPr="00DB619B">
              <w:rPr>
                <w:b/>
                <w:bCs/>
                <w:sz w:val="18"/>
                <w:szCs w:val="18"/>
              </w:rPr>
              <w:t>Instituce</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Komárek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Pavel</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2</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Kühnelová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Markéta</w:t>
            </w:r>
          </w:p>
        </w:tc>
        <w:tc>
          <w:tcPr>
            <w:tcW w:w="5779"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3</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BELYUŠ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Marián</w:t>
            </w:r>
          </w:p>
        </w:tc>
        <w:tc>
          <w:tcPr>
            <w:tcW w:w="5779" w:type="dxa"/>
            <w:hideMark/>
          </w:tcPr>
          <w:p w:rsidR="00DB619B" w:rsidRPr="00DB619B" w:rsidRDefault="00DB619B" w:rsidP="00DB619B">
            <w:pPr>
              <w:spacing w:after="0" w:line="276" w:lineRule="auto"/>
              <w:rPr>
                <w:sz w:val="18"/>
                <w:szCs w:val="18"/>
              </w:rPr>
            </w:pPr>
            <w:r w:rsidRPr="00DB619B">
              <w:rPr>
                <w:sz w:val="18"/>
                <w:szCs w:val="18"/>
              </w:rPr>
              <w:t>ČEPS,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4</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Tomec</w:t>
            </w:r>
            <w:proofErr w:type="spellEnd"/>
          </w:p>
        </w:tc>
        <w:tc>
          <w:tcPr>
            <w:tcW w:w="1559" w:type="dxa"/>
            <w:noWrap/>
            <w:hideMark/>
          </w:tcPr>
          <w:p w:rsidR="00DB619B" w:rsidRPr="00DB619B" w:rsidRDefault="00DB619B" w:rsidP="00DB619B">
            <w:pPr>
              <w:spacing w:after="0" w:line="276" w:lineRule="auto"/>
              <w:rPr>
                <w:sz w:val="18"/>
                <w:szCs w:val="18"/>
              </w:rPr>
            </w:pPr>
            <w:proofErr w:type="spellStart"/>
            <w:r w:rsidRPr="00DB619B">
              <w:rPr>
                <w:sz w:val="18"/>
                <w:szCs w:val="18"/>
              </w:rPr>
              <w:t>Ales</w:t>
            </w:r>
            <w:proofErr w:type="spellEnd"/>
          </w:p>
        </w:tc>
        <w:tc>
          <w:tcPr>
            <w:tcW w:w="5779" w:type="dxa"/>
            <w:hideMark/>
          </w:tcPr>
          <w:p w:rsidR="00DB619B" w:rsidRPr="00DB619B" w:rsidRDefault="00DB619B" w:rsidP="00DB619B">
            <w:pPr>
              <w:spacing w:after="0" w:line="276" w:lineRule="auto"/>
              <w:rPr>
                <w:sz w:val="18"/>
                <w:szCs w:val="18"/>
              </w:rPr>
            </w:pPr>
            <w:r w:rsidRPr="00DB619B">
              <w:rPr>
                <w:sz w:val="18"/>
                <w:szCs w:val="18"/>
              </w:rPr>
              <w:t>OTE a.s.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5</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Minařík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Lukáš</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životního prostředí</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6</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Pazdera</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František</w:t>
            </w:r>
          </w:p>
        </w:tc>
        <w:tc>
          <w:tcPr>
            <w:tcW w:w="5779" w:type="dxa"/>
            <w:hideMark/>
          </w:tcPr>
          <w:p w:rsidR="00DB619B" w:rsidRPr="00DB619B" w:rsidRDefault="00DB619B" w:rsidP="00DB619B">
            <w:pPr>
              <w:spacing w:after="0" w:line="276" w:lineRule="auto"/>
              <w:rPr>
                <w:sz w:val="18"/>
                <w:szCs w:val="18"/>
              </w:rPr>
            </w:pPr>
            <w:r w:rsidRPr="00DB619B">
              <w:rPr>
                <w:sz w:val="18"/>
                <w:szCs w:val="18"/>
              </w:rPr>
              <w:t>člen Pracovní skupiny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7</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Šantín</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Vlastimil</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průmyslu a obchodu</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8</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Adam</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Pavlína</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zemědělství</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9</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Kloz</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Martin</w:t>
            </w:r>
          </w:p>
        </w:tc>
        <w:tc>
          <w:tcPr>
            <w:tcW w:w="5779" w:type="dxa"/>
            <w:hideMark/>
          </w:tcPr>
          <w:p w:rsidR="00DB619B" w:rsidRPr="00DB619B" w:rsidRDefault="00DB619B" w:rsidP="00DB619B">
            <w:pPr>
              <w:spacing w:after="0" w:line="276" w:lineRule="auto"/>
              <w:rPr>
                <w:sz w:val="18"/>
                <w:szCs w:val="18"/>
              </w:rPr>
            </w:pPr>
            <w:r w:rsidRPr="00DB619B">
              <w:rPr>
                <w:sz w:val="18"/>
                <w:szCs w:val="18"/>
              </w:rPr>
              <w:t>Úřad vlády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10</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Krištofíková</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Olga</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dopravy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11</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Rosecká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Lucie</w:t>
            </w:r>
          </w:p>
        </w:tc>
        <w:tc>
          <w:tcPr>
            <w:tcW w:w="5779" w:type="dxa"/>
            <w:hideMark/>
          </w:tcPr>
          <w:p w:rsidR="00DB619B" w:rsidRPr="00DB619B" w:rsidRDefault="00DB619B" w:rsidP="00DB619B">
            <w:pPr>
              <w:spacing w:after="0" w:line="276" w:lineRule="auto"/>
              <w:rPr>
                <w:sz w:val="18"/>
                <w:szCs w:val="18"/>
              </w:rPr>
            </w:pPr>
            <w:r w:rsidRPr="00DB619B">
              <w:rPr>
                <w:sz w:val="18"/>
                <w:szCs w:val="18"/>
              </w:rPr>
              <w:t>UV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12</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Smejkal</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Tomáš</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průmyslu a obchodu</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13</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Novotná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Marie</w:t>
            </w:r>
          </w:p>
        </w:tc>
        <w:tc>
          <w:tcPr>
            <w:tcW w:w="5779" w:type="dxa"/>
            <w:hideMark/>
          </w:tcPr>
          <w:p w:rsidR="00DB619B" w:rsidRPr="00DB619B" w:rsidRDefault="00DB619B" w:rsidP="00DB619B">
            <w:pPr>
              <w:spacing w:after="0" w:line="276" w:lineRule="auto"/>
              <w:rPr>
                <w:sz w:val="18"/>
                <w:szCs w:val="18"/>
              </w:rPr>
            </w:pPr>
            <w:r w:rsidRPr="00DB619B">
              <w:rPr>
                <w:sz w:val="18"/>
                <w:szCs w:val="18"/>
              </w:rPr>
              <w:t>Úřad vlády ČR</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14</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Čížková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Tereza</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školství, mládeže a tělovýchovy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15</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Haasová</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Jana</w:t>
            </w:r>
          </w:p>
        </w:tc>
        <w:tc>
          <w:tcPr>
            <w:tcW w:w="5779" w:type="dxa"/>
            <w:hideMark/>
          </w:tcPr>
          <w:p w:rsidR="00DB619B" w:rsidRPr="00DB619B" w:rsidRDefault="00DB619B" w:rsidP="00DB619B">
            <w:pPr>
              <w:spacing w:after="0" w:line="276" w:lineRule="auto"/>
              <w:rPr>
                <w:sz w:val="18"/>
                <w:szCs w:val="18"/>
              </w:rPr>
            </w:pPr>
            <w:r w:rsidRPr="00DB619B">
              <w:rPr>
                <w:sz w:val="18"/>
                <w:szCs w:val="18"/>
              </w:rPr>
              <w:t>členka PS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16</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Pokorník</w:t>
            </w:r>
            <w:proofErr w:type="spellEnd"/>
            <w:r w:rsidRPr="00DB619B">
              <w:rPr>
                <w:sz w:val="18"/>
                <w:szCs w:val="18"/>
              </w:rPr>
              <w:t xml:space="preserve"> </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Radek</w:t>
            </w:r>
          </w:p>
        </w:tc>
        <w:tc>
          <w:tcPr>
            <w:tcW w:w="5779" w:type="dxa"/>
            <w:hideMark/>
          </w:tcPr>
          <w:p w:rsidR="00DB619B" w:rsidRPr="00DB619B" w:rsidRDefault="00DB619B" w:rsidP="00DB619B">
            <w:pPr>
              <w:spacing w:after="0" w:line="276" w:lineRule="auto"/>
              <w:rPr>
                <w:sz w:val="18"/>
                <w:szCs w:val="18"/>
              </w:rPr>
            </w:pPr>
            <w:r w:rsidRPr="00DB619B">
              <w:rPr>
                <w:sz w:val="18"/>
                <w:szCs w:val="18"/>
              </w:rPr>
              <w:t>člen PS</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17</w:t>
            </w:r>
          </w:p>
        </w:tc>
        <w:tc>
          <w:tcPr>
            <w:tcW w:w="2058" w:type="dxa"/>
            <w:noWrap/>
            <w:hideMark/>
          </w:tcPr>
          <w:p w:rsidR="00DB619B" w:rsidRPr="00DB619B" w:rsidRDefault="00DB619B" w:rsidP="00DB619B">
            <w:pPr>
              <w:spacing w:after="0" w:line="276" w:lineRule="auto"/>
              <w:rPr>
                <w:sz w:val="18"/>
                <w:szCs w:val="18"/>
              </w:rPr>
            </w:pPr>
            <w:proofErr w:type="spellStart"/>
            <w:r w:rsidRPr="00DB619B">
              <w:rPr>
                <w:sz w:val="18"/>
                <w:szCs w:val="18"/>
              </w:rPr>
              <w:t>Novosád</w:t>
            </w:r>
            <w:proofErr w:type="spellEnd"/>
          </w:p>
        </w:tc>
        <w:tc>
          <w:tcPr>
            <w:tcW w:w="1559" w:type="dxa"/>
            <w:noWrap/>
            <w:hideMark/>
          </w:tcPr>
          <w:p w:rsidR="00DB619B" w:rsidRPr="00DB619B" w:rsidRDefault="00DB619B" w:rsidP="00DB619B">
            <w:pPr>
              <w:spacing w:after="0" w:line="276" w:lineRule="auto"/>
              <w:rPr>
                <w:sz w:val="18"/>
                <w:szCs w:val="18"/>
              </w:rPr>
            </w:pPr>
            <w:r w:rsidRPr="00DB619B">
              <w:rPr>
                <w:sz w:val="18"/>
                <w:szCs w:val="18"/>
              </w:rPr>
              <w:t>Jaroslav</w:t>
            </w:r>
          </w:p>
        </w:tc>
        <w:tc>
          <w:tcPr>
            <w:tcW w:w="5779" w:type="dxa"/>
            <w:hideMark/>
          </w:tcPr>
          <w:p w:rsidR="00DB619B" w:rsidRPr="00DB619B" w:rsidRDefault="00DB619B" w:rsidP="00DB619B">
            <w:pPr>
              <w:spacing w:after="0" w:line="276" w:lineRule="auto"/>
              <w:rPr>
                <w:sz w:val="18"/>
                <w:szCs w:val="18"/>
              </w:rPr>
            </w:pPr>
            <w:r w:rsidRPr="00DB619B">
              <w:rPr>
                <w:sz w:val="18"/>
                <w:szCs w:val="18"/>
              </w:rPr>
              <w:t>Ministerstvo Dopravy</w:t>
            </w:r>
          </w:p>
        </w:tc>
      </w:tr>
      <w:tr w:rsidR="00DB619B" w:rsidRPr="00DB619B" w:rsidTr="00DB619B">
        <w:trPr>
          <w:trHeight w:val="250"/>
        </w:trPr>
        <w:tc>
          <w:tcPr>
            <w:tcW w:w="460" w:type="dxa"/>
            <w:noWrap/>
            <w:hideMark/>
          </w:tcPr>
          <w:p w:rsidR="00DB619B" w:rsidRPr="00DB619B" w:rsidRDefault="00DB619B" w:rsidP="00DB619B">
            <w:pPr>
              <w:spacing w:after="0" w:line="276" w:lineRule="auto"/>
              <w:rPr>
                <w:sz w:val="18"/>
                <w:szCs w:val="18"/>
              </w:rPr>
            </w:pPr>
            <w:r w:rsidRPr="00DB619B">
              <w:rPr>
                <w:sz w:val="18"/>
                <w:szCs w:val="18"/>
              </w:rPr>
              <w:t>18</w:t>
            </w:r>
          </w:p>
        </w:tc>
        <w:tc>
          <w:tcPr>
            <w:tcW w:w="2058" w:type="dxa"/>
            <w:noWrap/>
            <w:hideMark/>
          </w:tcPr>
          <w:p w:rsidR="00DB619B" w:rsidRPr="00DB619B" w:rsidRDefault="00DB619B" w:rsidP="00DB619B">
            <w:pPr>
              <w:spacing w:after="0" w:line="276" w:lineRule="auto"/>
              <w:rPr>
                <w:sz w:val="18"/>
                <w:szCs w:val="18"/>
              </w:rPr>
            </w:pPr>
            <w:r w:rsidRPr="00DB619B">
              <w:rPr>
                <w:sz w:val="18"/>
                <w:szCs w:val="18"/>
              </w:rPr>
              <w:t>Hájek</w:t>
            </w:r>
          </w:p>
        </w:tc>
        <w:tc>
          <w:tcPr>
            <w:tcW w:w="1559" w:type="dxa"/>
            <w:noWrap/>
            <w:hideMark/>
          </w:tcPr>
          <w:p w:rsidR="00DB619B" w:rsidRPr="00DB619B" w:rsidRDefault="00DB619B" w:rsidP="00DB619B">
            <w:pPr>
              <w:spacing w:after="0" w:line="276" w:lineRule="auto"/>
              <w:rPr>
                <w:sz w:val="18"/>
                <w:szCs w:val="18"/>
              </w:rPr>
            </w:pPr>
            <w:r w:rsidRPr="00DB619B">
              <w:rPr>
                <w:sz w:val="18"/>
                <w:szCs w:val="18"/>
              </w:rPr>
              <w:t>Miroslav</w:t>
            </w:r>
          </w:p>
        </w:tc>
        <w:tc>
          <w:tcPr>
            <w:tcW w:w="5779" w:type="dxa"/>
            <w:hideMark/>
          </w:tcPr>
          <w:p w:rsidR="00DB619B" w:rsidRPr="00DB619B" w:rsidRDefault="00DB619B" w:rsidP="00DB619B">
            <w:pPr>
              <w:spacing w:after="0" w:line="276" w:lineRule="auto"/>
              <w:rPr>
                <w:sz w:val="18"/>
                <w:szCs w:val="18"/>
              </w:rPr>
            </w:pPr>
            <w:r w:rsidRPr="00DB619B">
              <w:rPr>
                <w:sz w:val="18"/>
                <w:szCs w:val="18"/>
              </w:rPr>
              <w:t>člen PS</w:t>
            </w:r>
          </w:p>
        </w:tc>
      </w:tr>
    </w:tbl>
    <w:p w:rsidR="00DB619B" w:rsidRDefault="00DB619B" w:rsidP="00600608">
      <w:pPr>
        <w:spacing w:before="120" w:after="0" w:line="276" w:lineRule="auto"/>
      </w:pPr>
    </w:p>
    <w:tbl>
      <w:tblPr>
        <w:tblStyle w:val="Mkatabulky"/>
        <w:tblW w:w="0" w:type="auto"/>
        <w:tblLook w:val="04A0" w:firstRow="1" w:lastRow="0" w:firstColumn="1" w:lastColumn="0" w:noHBand="0" w:noVBand="1"/>
      </w:tblPr>
      <w:tblGrid>
        <w:gridCol w:w="534"/>
        <w:gridCol w:w="1842"/>
        <w:gridCol w:w="1418"/>
        <w:gridCol w:w="6062"/>
      </w:tblGrid>
      <w:tr w:rsidR="00DB619B" w:rsidRPr="00DB619B" w:rsidTr="00DB619B">
        <w:trPr>
          <w:trHeight w:val="260"/>
        </w:trPr>
        <w:tc>
          <w:tcPr>
            <w:tcW w:w="9856" w:type="dxa"/>
            <w:gridSpan w:val="4"/>
            <w:noWrap/>
            <w:hideMark/>
          </w:tcPr>
          <w:p w:rsidR="00DB619B" w:rsidRPr="00DB619B" w:rsidRDefault="00DB619B" w:rsidP="00DB619B">
            <w:pPr>
              <w:spacing w:after="0" w:line="276" w:lineRule="auto"/>
              <w:rPr>
                <w:b/>
                <w:bCs/>
                <w:sz w:val="18"/>
                <w:szCs w:val="18"/>
              </w:rPr>
            </w:pPr>
            <w:r w:rsidRPr="00DB619B">
              <w:rPr>
                <w:b/>
                <w:bCs/>
                <w:sz w:val="18"/>
                <w:szCs w:val="18"/>
              </w:rPr>
              <w:t>AKADEMICKÁ A VÝZKUMNÁ SFÉRA, 23. 6. 2016</w:t>
            </w:r>
          </w:p>
        </w:tc>
      </w:tr>
      <w:tr w:rsidR="00DB619B" w:rsidRPr="00DB619B" w:rsidTr="00DB619B">
        <w:trPr>
          <w:trHeight w:val="260"/>
        </w:trPr>
        <w:tc>
          <w:tcPr>
            <w:tcW w:w="534" w:type="dxa"/>
            <w:noWrap/>
            <w:hideMark/>
          </w:tcPr>
          <w:p w:rsidR="00DB619B" w:rsidRPr="00DB619B" w:rsidRDefault="00DB619B" w:rsidP="00DB619B">
            <w:pPr>
              <w:spacing w:after="0" w:line="276" w:lineRule="auto"/>
              <w:rPr>
                <w:sz w:val="18"/>
                <w:szCs w:val="18"/>
              </w:rPr>
            </w:pPr>
            <w:r w:rsidRPr="00DB619B">
              <w:rPr>
                <w:sz w:val="18"/>
                <w:szCs w:val="18"/>
              </w:rPr>
              <w:t> </w:t>
            </w:r>
          </w:p>
        </w:tc>
        <w:tc>
          <w:tcPr>
            <w:tcW w:w="1842" w:type="dxa"/>
            <w:hideMark/>
          </w:tcPr>
          <w:p w:rsidR="00DB619B" w:rsidRPr="00DB619B" w:rsidRDefault="00DB619B" w:rsidP="00DB619B">
            <w:pPr>
              <w:spacing w:after="0" w:line="276" w:lineRule="auto"/>
              <w:rPr>
                <w:b/>
                <w:bCs/>
                <w:sz w:val="18"/>
                <w:szCs w:val="18"/>
              </w:rPr>
            </w:pPr>
            <w:r w:rsidRPr="00DB619B">
              <w:rPr>
                <w:b/>
                <w:bCs/>
                <w:sz w:val="18"/>
                <w:szCs w:val="18"/>
              </w:rPr>
              <w:t>Příjmení</w:t>
            </w:r>
          </w:p>
        </w:tc>
        <w:tc>
          <w:tcPr>
            <w:tcW w:w="1418" w:type="dxa"/>
            <w:hideMark/>
          </w:tcPr>
          <w:p w:rsidR="00DB619B" w:rsidRPr="00DB619B" w:rsidRDefault="00DB619B" w:rsidP="00DB619B">
            <w:pPr>
              <w:spacing w:after="0" w:line="276" w:lineRule="auto"/>
              <w:rPr>
                <w:b/>
                <w:bCs/>
                <w:sz w:val="18"/>
                <w:szCs w:val="18"/>
              </w:rPr>
            </w:pPr>
            <w:r w:rsidRPr="00DB619B">
              <w:rPr>
                <w:b/>
                <w:bCs/>
                <w:sz w:val="18"/>
                <w:szCs w:val="18"/>
              </w:rPr>
              <w:t>Jméno</w:t>
            </w:r>
          </w:p>
        </w:tc>
        <w:tc>
          <w:tcPr>
            <w:tcW w:w="6062" w:type="dxa"/>
            <w:hideMark/>
          </w:tcPr>
          <w:p w:rsidR="00DB619B" w:rsidRPr="00DB619B" w:rsidRDefault="00DB619B" w:rsidP="00DB619B">
            <w:pPr>
              <w:spacing w:after="0" w:line="276" w:lineRule="auto"/>
              <w:rPr>
                <w:b/>
                <w:bCs/>
                <w:sz w:val="18"/>
                <w:szCs w:val="18"/>
              </w:rPr>
            </w:pPr>
            <w:r w:rsidRPr="00DB619B">
              <w:rPr>
                <w:b/>
                <w:bCs/>
                <w:sz w:val="18"/>
                <w:szCs w:val="18"/>
              </w:rPr>
              <w:t>Instituce</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w:t>
            </w:r>
          </w:p>
        </w:tc>
        <w:tc>
          <w:tcPr>
            <w:tcW w:w="1842" w:type="dxa"/>
            <w:hideMark/>
          </w:tcPr>
          <w:p w:rsidR="00DB619B" w:rsidRPr="00DB619B" w:rsidRDefault="00DB619B" w:rsidP="00DB619B">
            <w:pPr>
              <w:spacing w:after="0" w:line="276" w:lineRule="auto"/>
              <w:rPr>
                <w:sz w:val="18"/>
                <w:szCs w:val="18"/>
              </w:rPr>
            </w:pPr>
            <w:r w:rsidRPr="00DB619B">
              <w:rPr>
                <w:sz w:val="18"/>
                <w:szCs w:val="18"/>
              </w:rPr>
              <w:t>Očko</w:t>
            </w:r>
          </w:p>
        </w:tc>
        <w:tc>
          <w:tcPr>
            <w:tcW w:w="1418" w:type="dxa"/>
            <w:hideMark/>
          </w:tcPr>
          <w:p w:rsidR="00DB619B" w:rsidRPr="00DB619B" w:rsidRDefault="00DB619B" w:rsidP="00DB619B">
            <w:pPr>
              <w:spacing w:after="0" w:line="276" w:lineRule="auto"/>
              <w:rPr>
                <w:sz w:val="18"/>
                <w:szCs w:val="18"/>
              </w:rPr>
            </w:pPr>
            <w:r w:rsidRPr="00DB619B">
              <w:rPr>
                <w:sz w:val="18"/>
                <w:szCs w:val="18"/>
              </w:rPr>
              <w:t>Petr</w:t>
            </w:r>
          </w:p>
        </w:tc>
        <w:tc>
          <w:tcPr>
            <w:tcW w:w="6062"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w:t>
            </w:r>
          </w:p>
        </w:tc>
        <w:tc>
          <w:tcPr>
            <w:tcW w:w="1842" w:type="dxa"/>
            <w:hideMark/>
          </w:tcPr>
          <w:p w:rsidR="00DB619B" w:rsidRPr="00DB619B" w:rsidRDefault="00DB619B" w:rsidP="00DB619B">
            <w:pPr>
              <w:spacing w:after="0" w:line="276" w:lineRule="auto"/>
              <w:rPr>
                <w:sz w:val="18"/>
                <w:szCs w:val="18"/>
              </w:rPr>
            </w:pPr>
            <w:r w:rsidRPr="00DB619B">
              <w:rPr>
                <w:sz w:val="18"/>
                <w:szCs w:val="18"/>
              </w:rPr>
              <w:t>Kačena</w:t>
            </w:r>
          </w:p>
        </w:tc>
        <w:tc>
          <w:tcPr>
            <w:tcW w:w="1418" w:type="dxa"/>
            <w:hideMark/>
          </w:tcPr>
          <w:p w:rsidR="00DB619B" w:rsidRPr="00DB619B" w:rsidRDefault="00DB619B" w:rsidP="00DB619B">
            <w:pPr>
              <w:spacing w:after="0" w:line="276" w:lineRule="auto"/>
              <w:rPr>
                <w:sz w:val="18"/>
                <w:szCs w:val="18"/>
              </w:rPr>
            </w:pPr>
            <w:r w:rsidRPr="00DB619B">
              <w:rPr>
                <w:sz w:val="18"/>
                <w:szCs w:val="18"/>
              </w:rPr>
              <w:t>Lukáš</w:t>
            </w:r>
          </w:p>
        </w:tc>
        <w:tc>
          <w:tcPr>
            <w:tcW w:w="6062"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3</w:t>
            </w:r>
          </w:p>
        </w:tc>
        <w:tc>
          <w:tcPr>
            <w:tcW w:w="1842" w:type="dxa"/>
            <w:hideMark/>
          </w:tcPr>
          <w:p w:rsidR="00DB619B" w:rsidRPr="00DB619B" w:rsidRDefault="00DB619B" w:rsidP="00DB619B">
            <w:pPr>
              <w:spacing w:after="0" w:line="276" w:lineRule="auto"/>
              <w:rPr>
                <w:sz w:val="18"/>
                <w:szCs w:val="18"/>
              </w:rPr>
            </w:pPr>
            <w:r w:rsidRPr="00DB619B">
              <w:rPr>
                <w:sz w:val="18"/>
                <w:szCs w:val="18"/>
              </w:rPr>
              <w:t>Kühnelová</w:t>
            </w:r>
          </w:p>
        </w:tc>
        <w:tc>
          <w:tcPr>
            <w:tcW w:w="1418" w:type="dxa"/>
            <w:hideMark/>
          </w:tcPr>
          <w:p w:rsidR="00DB619B" w:rsidRPr="00DB619B" w:rsidRDefault="00DB619B" w:rsidP="00DB619B">
            <w:pPr>
              <w:spacing w:after="0" w:line="276" w:lineRule="auto"/>
              <w:rPr>
                <w:sz w:val="18"/>
                <w:szCs w:val="18"/>
              </w:rPr>
            </w:pPr>
            <w:r w:rsidRPr="00DB619B">
              <w:rPr>
                <w:sz w:val="18"/>
                <w:szCs w:val="18"/>
              </w:rPr>
              <w:t>Markéta</w:t>
            </w:r>
          </w:p>
        </w:tc>
        <w:tc>
          <w:tcPr>
            <w:tcW w:w="6062"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4</w:t>
            </w:r>
          </w:p>
        </w:tc>
        <w:tc>
          <w:tcPr>
            <w:tcW w:w="1842" w:type="dxa"/>
            <w:hideMark/>
          </w:tcPr>
          <w:p w:rsidR="00DB619B" w:rsidRPr="00DB619B" w:rsidRDefault="00DB619B" w:rsidP="00DB619B">
            <w:pPr>
              <w:spacing w:after="0" w:line="276" w:lineRule="auto"/>
              <w:rPr>
                <w:sz w:val="18"/>
                <w:szCs w:val="18"/>
              </w:rPr>
            </w:pPr>
            <w:r w:rsidRPr="00DB619B">
              <w:rPr>
                <w:sz w:val="18"/>
                <w:szCs w:val="18"/>
              </w:rPr>
              <w:t>Komárek</w:t>
            </w:r>
          </w:p>
        </w:tc>
        <w:tc>
          <w:tcPr>
            <w:tcW w:w="1418" w:type="dxa"/>
            <w:hideMark/>
          </w:tcPr>
          <w:p w:rsidR="00DB619B" w:rsidRPr="00DB619B" w:rsidRDefault="00DB619B" w:rsidP="00DB619B">
            <w:pPr>
              <w:spacing w:after="0" w:line="276" w:lineRule="auto"/>
              <w:rPr>
                <w:sz w:val="18"/>
                <w:szCs w:val="18"/>
              </w:rPr>
            </w:pPr>
            <w:r w:rsidRPr="00DB619B">
              <w:rPr>
                <w:sz w:val="18"/>
                <w:szCs w:val="18"/>
              </w:rPr>
              <w:t>Pavel</w:t>
            </w:r>
          </w:p>
        </w:tc>
        <w:tc>
          <w:tcPr>
            <w:tcW w:w="6062" w:type="dxa"/>
            <w:hideMark/>
          </w:tcPr>
          <w:p w:rsidR="00DB619B" w:rsidRPr="00DB619B" w:rsidRDefault="00DB619B" w:rsidP="00DB619B">
            <w:pPr>
              <w:spacing w:after="0" w:line="276" w:lineRule="auto"/>
              <w:rPr>
                <w:sz w:val="18"/>
                <w:szCs w:val="18"/>
              </w:rPr>
            </w:pPr>
            <w:r w:rsidRPr="00DB619B">
              <w:rPr>
                <w:sz w:val="18"/>
                <w:szCs w:val="18"/>
              </w:rPr>
              <w:t>TA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5</w:t>
            </w:r>
          </w:p>
        </w:tc>
        <w:tc>
          <w:tcPr>
            <w:tcW w:w="1842" w:type="dxa"/>
            <w:hideMark/>
          </w:tcPr>
          <w:p w:rsidR="00DB619B" w:rsidRPr="00DB619B" w:rsidRDefault="00DB619B" w:rsidP="00DB619B">
            <w:pPr>
              <w:spacing w:after="0" w:line="276" w:lineRule="auto"/>
              <w:rPr>
                <w:sz w:val="18"/>
                <w:szCs w:val="18"/>
              </w:rPr>
            </w:pPr>
            <w:r w:rsidRPr="00DB619B">
              <w:rPr>
                <w:sz w:val="18"/>
                <w:szCs w:val="18"/>
              </w:rPr>
              <w:t>Beran</w:t>
            </w:r>
          </w:p>
        </w:tc>
        <w:tc>
          <w:tcPr>
            <w:tcW w:w="1418" w:type="dxa"/>
            <w:hideMark/>
          </w:tcPr>
          <w:p w:rsidR="00DB619B" w:rsidRPr="00DB619B" w:rsidRDefault="00DB619B" w:rsidP="00DB619B">
            <w:pPr>
              <w:spacing w:after="0" w:line="276" w:lineRule="auto"/>
              <w:rPr>
                <w:sz w:val="18"/>
                <w:szCs w:val="18"/>
              </w:rPr>
            </w:pPr>
            <w:r w:rsidRPr="00DB619B">
              <w:rPr>
                <w:sz w:val="18"/>
                <w:szCs w:val="18"/>
              </w:rPr>
              <w:t>Hynek</w:t>
            </w:r>
          </w:p>
        </w:tc>
        <w:tc>
          <w:tcPr>
            <w:tcW w:w="6062" w:type="dxa"/>
            <w:hideMark/>
          </w:tcPr>
          <w:p w:rsidR="00DB619B" w:rsidRPr="00DB619B" w:rsidRDefault="00DB619B" w:rsidP="00DB619B">
            <w:pPr>
              <w:spacing w:after="0" w:line="276" w:lineRule="auto"/>
              <w:rPr>
                <w:sz w:val="18"/>
                <w:szCs w:val="18"/>
              </w:rPr>
            </w:pPr>
            <w:r w:rsidRPr="00DB619B">
              <w:rPr>
                <w:sz w:val="18"/>
                <w:szCs w:val="18"/>
              </w:rPr>
              <w:t>člen Pracovní skupiny</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6</w:t>
            </w:r>
          </w:p>
        </w:tc>
        <w:tc>
          <w:tcPr>
            <w:tcW w:w="1842" w:type="dxa"/>
            <w:hideMark/>
          </w:tcPr>
          <w:p w:rsidR="00DB619B" w:rsidRPr="00DB619B" w:rsidRDefault="00DB619B" w:rsidP="00DB619B">
            <w:pPr>
              <w:spacing w:after="0" w:line="276" w:lineRule="auto"/>
              <w:rPr>
                <w:sz w:val="18"/>
                <w:szCs w:val="18"/>
              </w:rPr>
            </w:pPr>
            <w:r w:rsidRPr="00DB619B">
              <w:rPr>
                <w:sz w:val="18"/>
                <w:szCs w:val="18"/>
              </w:rPr>
              <w:t>Janeček</w:t>
            </w:r>
          </w:p>
        </w:tc>
        <w:tc>
          <w:tcPr>
            <w:tcW w:w="1418" w:type="dxa"/>
            <w:hideMark/>
          </w:tcPr>
          <w:p w:rsidR="00DB619B" w:rsidRPr="00DB619B" w:rsidRDefault="00DB619B" w:rsidP="00DB619B">
            <w:pPr>
              <w:spacing w:after="0" w:line="276" w:lineRule="auto"/>
              <w:rPr>
                <w:sz w:val="18"/>
                <w:szCs w:val="18"/>
              </w:rPr>
            </w:pPr>
            <w:r w:rsidRPr="00DB619B">
              <w:rPr>
                <w:sz w:val="18"/>
                <w:szCs w:val="18"/>
              </w:rPr>
              <w:t>Eduard</w:t>
            </w:r>
          </w:p>
        </w:tc>
        <w:tc>
          <w:tcPr>
            <w:tcW w:w="6062" w:type="dxa"/>
            <w:hideMark/>
          </w:tcPr>
          <w:p w:rsidR="00DB619B" w:rsidRPr="00DB619B" w:rsidRDefault="00DB619B" w:rsidP="00DB619B">
            <w:pPr>
              <w:spacing w:after="0" w:line="276" w:lineRule="auto"/>
              <w:rPr>
                <w:sz w:val="18"/>
                <w:szCs w:val="18"/>
              </w:rPr>
            </w:pPr>
            <w:r w:rsidRPr="00DB619B">
              <w:rPr>
                <w:sz w:val="18"/>
                <w:szCs w:val="18"/>
              </w:rPr>
              <w:t>ZČU v Plzni, Centrum NTIS</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7</w:t>
            </w:r>
          </w:p>
        </w:tc>
        <w:tc>
          <w:tcPr>
            <w:tcW w:w="1842" w:type="dxa"/>
            <w:hideMark/>
          </w:tcPr>
          <w:p w:rsidR="00DB619B" w:rsidRPr="00DB619B" w:rsidRDefault="00DB619B" w:rsidP="00DB619B">
            <w:pPr>
              <w:spacing w:after="0" w:line="276" w:lineRule="auto"/>
              <w:rPr>
                <w:sz w:val="18"/>
                <w:szCs w:val="18"/>
              </w:rPr>
            </w:pPr>
            <w:r w:rsidRPr="00DB619B">
              <w:rPr>
                <w:sz w:val="18"/>
                <w:szCs w:val="18"/>
              </w:rPr>
              <w:t>Vávrova</w:t>
            </w:r>
          </w:p>
        </w:tc>
        <w:tc>
          <w:tcPr>
            <w:tcW w:w="1418" w:type="dxa"/>
            <w:hideMark/>
          </w:tcPr>
          <w:p w:rsidR="00DB619B" w:rsidRPr="00DB619B" w:rsidRDefault="00DB619B" w:rsidP="00DB619B">
            <w:pPr>
              <w:spacing w:after="0" w:line="276" w:lineRule="auto"/>
              <w:rPr>
                <w:sz w:val="18"/>
                <w:szCs w:val="18"/>
              </w:rPr>
            </w:pPr>
            <w:r w:rsidRPr="00DB619B">
              <w:rPr>
                <w:sz w:val="18"/>
                <w:szCs w:val="18"/>
              </w:rPr>
              <w:t>Kamila</w:t>
            </w:r>
          </w:p>
        </w:tc>
        <w:tc>
          <w:tcPr>
            <w:tcW w:w="6062" w:type="dxa"/>
            <w:hideMark/>
          </w:tcPr>
          <w:p w:rsidR="00DB619B" w:rsidRPr="00DB619B" w:rsidRDefault="00DB619B" w:rsidP="00DB619B">
            <w:pPr>
              <w:spacing w:after="0" w:line="276" w:lineRule="auto"/>
              <w:rPr>
                <w:sz w:val="18"/>
                <w:szCs w:val="18"/>
              </w:rPr>
            </w:pPr>
            <w:r w:rsidRPr="00DB619B">
              <w:rPr>
                <w:sz w:val="18"/>
                <w:szCs w:val="18"/>
              </w:rPr>
              <w:t>VÚKOZ, v. v. 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8</w:t>
            </w:r>
          </w:p>
        </w:tc>
        <w:tc>
          <w:tcPr>
            <w:tcW w:w="1842" w:type="dxa"/>
            <w:hideMark/>
          </w:tcPr>
          <w:p w:rsidR="00DB619B" w:rsidRPr="00DB619B" w:rsidRDefault="00DB619B" w:rsidP="00DB619B">
            <w:pPr>
              <w:spacing w:after="0" w:line="276" w:lineRule="auto"/>
              <w:rPr>
                <w:sz w:val="18"/>
                <w:szCs w:val="18"/>
              </w:rPr>
            </w:pPr>
            <w:r w:rsidRPr="00DB619B">
              <w:rPr>
                <w:sz w:val="18"/>
                <w:szCs w:val="18"/>
              </w:rPr>
              <w:t>Svoboda</w:t>
            </w:r>
          </w:p>
        </w:tc>
        <w:tc>
          <w:tcPr>
            <w:tcW w:w="1418" w:type="dxa"/>
            <w:hideMark/>
          </w:tcPr>
          <w:p w:rsidR="00DB619B" w:rsidRPr="00DB619B" w:rsidRDefault="00DB619B" w:rsidP="00DB619B">
            <w:pPr>
              <w:spacing w:after="0" w:line="276" w:lineRule="auto"/>
              <w:rPr>
                <w:sz w:val="18"/>
                <w:szCs w:val="18"/>
              </w:rPr>
            </w:pPr>
            <w:r w:rsidRPr="00DB619B">
              <w:rPr>
                <w:sz w:val="18"/>
                <w:szCs w:val="18"/>
              </w:rPr>
              <w:t>Petr</w:t>
            </w:r>
          </w:p>
        </w:tc>
        <w:tc>
          <w:tcPr>
            <w:tcW w:w="6062" w:type="dxa"/>
            <w:hideMark/>
          </w:tcPr>
          <w:p w:rsidR="00DB619B" w:rsidRPr="00DB619B" w:rsidRDefault="00DB619B" w:rsidP="00DB619B">
            <w:pPr>
              <w:spacing w:after="0" w:line="276" w:lineRule="auto"/>
              <w:rPr>
                <w:sz w:val="18"/>
                <w:szCs w:val="18"/>
              </w:rPr>
            </w:pPr>
            <w:r w:rsidRPr="00DB619B">
              <w:rPr>
                <w:sz w:val="18"/>
                <w:szCs w:val="18"/>
              </w:rPr>
              <w:t>Výzkumný ústav pro hnědé uhlí a.s., Most</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9</w:t>
            </w:r>
          </w:p>
        </w:tc>
        <w:tc>
          <w:tcPr>
            <w:tcW w:w="1842" w:type="dxa"/>
            <w:hideMark/>
          </w:tcPr>
          <w:p w:rsidR="00DB619B" w:rsidRPr="00DB619B" w:rsidRDefault="00DB619B" w:rsidP="00DB619B">
            <w:pPr>
              <w:spacing w:after="0" w:line="276" w:lineRule="auto"/>
              <w:rPr>
                <w:sz w:val="18"/>
                <w:szCs w:val="18"/>
              </w:rPr>
            </w:pPr>
            <w:r w:rsidRPr="00DB619B">
              <w:rPr>
                <w:sz w:val="18"/>
                <w:szCs w:val="18"/>
              </w:rPr>
              <w:t>Písařík</w:t>
            </w:r>
          </w:p>
        </w:tc>
        <w:tc>
          <w:tcPr>
            <w:tcW w:w="1418" w:type="dxa"/>
            <w:hideMark/>
          </w:tcPr>
          <w:p w:rsidR="00DB619B" w:rsidRPr="00DB619B" w:rsidRDefault="00DB619B" w:rsidP="00DB619B">
            <w:pPr>
              <w:spacing w:after="0" w:line="276" w:lineRule="auto"/>
              <w:rPr>
                <w:sz w:val="18"/>
                <w:szCs w:val="18"/>
              </w:rPr>
            </w:pPr>
            <w:r w:rsidRPr="00DB619B">
              <w:rPr>
                <w:sz w:val="18"/>
                <w:szCs w:val="18"/>
              </w:rPr>
              <w:t>Michael</w:t>
            </w:r>
          </w:p>
        </w:tc>
        <w:tc>
          <w:tcPr>
            <w:tcW w:w="6062" w:type="dxa"/>
            <w:hideMark/>
          </w:tcPr>
          <w:p w:rsidR="00DB619B" w:rsidRPr="00DB619B" w:rsidRDefault="00DB619B" w:rsidP="00DB619B">
            <w:pPr>
              <w:spacing w:after="0" w:line="276" w:lineRule="auto"/>
              <w:rPr>
                <w:sz w:val="18"/>
                <w:szCs w:val="18"/>
              </w:rPr>
            </w:pPr>
            <w:proofErr w:type="spellStart"/>
            <w:r w:rsidRPr="00DB619B">
              <w:rPr>
                <w:sz w:val="18"/>
                <w:szCs w:val="18"/>
              </w:rPr>
              <w:t>Hilase</w:t>
            </w:r>
            <w:proofErr w:type="spellEnd"/>
            <w:r w:rsidRPr="00DB619B">
              <w:rPr>
                <w:sz w:val="18"/>
                <w:szCs w:val="18"/>
              </w:rPr>
              <w:t xml:space="preserve">, Fyzikální ústav AV ČR, </w:t>
            </w:r>
            <w:proofErr w:type="gramStart"/>
            <w:r w:rsidRPr="00DB619B">
              <w:rPr>
                <w:sz w:val="18"/>
                <w:szCs w:val="18"/>
              </w:rPr>
              <w:t>v.v.</w:t>
            </w:r>
            <w:proofErr w:type="gramEnd"/>
            <w:r w:rsidRPr="00DB619B">
              <w:rPr>
                <w:sz w:val="18"/>
                <w:szCs w:val="18"/>
              </w:rPr>
              <w:t>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lastRenderedPageBreak/>
              <w:t>10</w:t>
            </w:r>
          </w:p>
        </w:tc>
        <w:tc>
          <w:tcPr>
            <w:tcW w:w="1842" w:type="dxa"/>
            <w:hideMark/>
          </w:tcPr>
          <w:p w:rsidR="00DB619B" w:rsidRPr="00DB619B" w:rsidRDefault="00DB619B" w:rsidP="00DB619B">
            <w:pPr>
              <w:spacing w:after="0" w:line="276" w:lineRule="auto"/>
              <w:rPr>
                <w:sz w:val="18"/>
                <w:szCs w:val="18"/>
              </w:rPr>
            </w:pPr>
            <w:r w:rsidRPr="00DB619B">
              <w:rPr>
                <w:sz w:val="18"/>
                <w:szCs w:val="18"/>
              </w:rPr>
              <w:t>LIŠKA</w:t>
            </w:r>
          </w:p>
        </w:tc>
        <w:tc>
          <w:tcPr>
            <w:tcW w:w="1418" w:type="dxa"/>
            <w:hideMark/>
          </w:tcPr>
          <w:p w:rsidR="00DB619B" w:rsidRPr="00DB619B" w:rsidRDefault="00DB619B" w:rsidP="00DB619B">
            <w:pPr>
              <w:spacing w:after="0" w:line="276" w:lineRule="auto"/>
              <w:rPr>
                <w:sz w:val="18"/>
                <w:szCs w:val="18"/>
              </w:rPr>
            </w:pPr>
            <w:r w:rsidRPr="00DB619B">
              <w:rPr>
                <w:sz w:val="18"/>
                <w:szCs w:val="18"/>
              </w:rPr>
              <w:t>Václav</w:t>
            </w:r>
          </w:p>
        </w:tc>
        <w:tc>
          <w:tcPr>
            <w:tcW w:w="6062" w:type="dxa"/>
            <w:hideMark/>
          </w:tcPr>
          <w:p w:rsidR="00DB619B" w:rsidRPr="00DB619B" w:rsidRDefault="00DB619B" w:rsidP="00DB619B">
            <w:pPr>
              <w:spacing w:after="0" w:line="276" w:lineRule="auto"/>
              <w:rPr>
                <w:sz w:val="18"/>
                <w:szCs w:val="18"/>
              </w:rPr>
            </w:pPr>
            <w:r w:rsidRPr="00DB619B">
              <w:rPr>
                <w:sz w:val="18"/>
                <w:szCs w:val="18"/>
              </w:rPr>
              <w:t>Výzkumný a zkušební ústav Plzeň s.r.o.</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11</w:t>
            </w:r>
          </w:p>
        </w:tc>
        <w:tc>
          <w:tcPr>
            <w:tcW w:w="1842" w:type="dxa"/>
            <w:hideMark/>
          </w:tcPr>
          <w:p w:rsidR="00DB619B" w:rsidRPr="00DB619B" w:rsidRDefault="00DB619B" w:rsidP="00DB619B">
            <w:pPr>
              <w:spacing w:after="0" w:line="276" w:lineRule="auto"/>
              <w:rPr>
                <w:sz w:val="18"/>
                <w:szCs w:val="18"/>
              </w:rPr>
            </w:pPr>
            <w:r w:rsidRPr="00DB619B">
              <w:rPr>
                <w:sz w:val="18"/>
                <w:szCs w:val="18"/>
              </w:rPr>
              <w:t>Kohoutková</w:t>
            </w:r>
          </w:p>
        </w:tc>
        <w:tc>
          <w:tcPr>
            <w:tcW w:w="1418" w:type="dxa"/>
            <w:hideMark/>
          </w:tcPr>
          <w:p w:rsidR="00DB619B" w:rsidRPr="00DB619B" w:rsidRDefault="00DB619B" w:rsidP="00DB619B">
            <w:pPr>
              <w:spacing w:after="0" w:line="276" w:lineRule="auto"/>
              <w:rPr>
                <w:sz w:val="18"/>
                <w:szCs w:val="18"/>
              </w:rPr>
            </w:pPr>
            <w:r w:rsidRPr="00DB619B">
              <w:rPr>
                <w:sz w:val="18"/>
                <w:szCs w:val="18"/>
              </w:rPr>
              <w:t>Alena</w:t>
            </w:r>
          </w:p>
        </w:tc>
        <w:tc>
          <w:tcPr>
            <w:tcW w:w="6062" w:type="dxa"/>
            <w:hideMark/>
          </w:tcPr>
          <w:p w:rsidR="00DB619B" w:rsidRPr="00DB619B" w:rsidRDefault="00DB619B" w:rsidP="00DB619B">
            <w:pPr>
              <w:spacing w:after="0" w:line="276" w:lineRule="auto"/>
              <w:rPr>
                <w:sz w:val="18"/>
                <w:szCs w:val="18"/>
              </w:rPr>
            </w:pPr>
            <w:r w:rsidRPr="00DB619B">
              <w:rPr>
                <w:sz w:val="18"/>
                <w:szCs w:val="18"/>
              </w:rPr>
              <w:t>ČVUT v Praze</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12</w:t>
            </w:r>
          </w:p>
        </w:tc>
        <w:tc>
          <w:tcPr>
            <w:tcW w:w="1842" w:type="dxa"/>
            <w:hideMark/>
          </w:tcPr>
          <w:p w:rsidR="00DB619B" w:rsidRPr="00DB619B" w:rsidRDefault="00DB619B" w:rsidP="00DB619B">
            <w:pPr>
              <w:spacing w:after="0" w:line="276" w:lineRule="auto"/>
              <w:rPr>
                <w:sz w:val="18"/>
                <w:szCs w:val="18"/>
              </w:rPr>
            </w:pPr>
            <w:r w:rsidRPr="00DB619B">
              <w:rPr>
                <w:sz w:val="18"/>
                <w:szCs w:val="18"/>
              </w:rPr>
              <w:t>Fejfar</w:t>
            </w:r>
          </w:p>
        </w:tc>
        <w:tc>
          <w:tcPr>
            <w:tcW w:w="1418" w:type="dxa"/>
            <w:hideMark/>
          </w:tcPr>
          <w:p w:rsidR="00DB619B" w:rsidRPr="00DB619B" w:rsidRDefault="00DB619B" w:rsidP="00DB619B">
            <w:pPr>
              <w:spacing w:after="0" w:line="276" w:lineRule="auto"/>
              <w:rPr>
                <w:sz w:val="18"/>
                <w:szCs w:val="18"/>
              </w:rPr>
            </w:pPr>
            <w:r w:rsidRPr="00DB619B">
              <w:rPr>
                <w:sz w:val="18"/>
                <w:szCs w:val="18"/>
              </w:rPr>
              <w:t>Antonín</w:t>
            </w:r>
          </w:p>
        </w:tc>
        <w:tc>
          <w:tcPr>
            <w:tcW w:w="6062" w:type="dxa"/>
            <w:hideMark/>
          </w:tcPr>
          <w:p w:rsidR="00DB619B" w:rsidRPr="00DB619B" w:rsidRDefault="00DB619B" w:rsidP="00DB619B">
            <w:pPr>
              <w:spacing w:after="0" w:line="276" w:lineRule="auto"/>
              <w:rPr>
                <w:sz w:val="18"/>
                <w:szCs w:val="18"/>
              </w:rPr>
            </w:pPr>
            <w:r w:rsidRPr="00DB619B">
              <w:rPr>
                <w:sz w:val="18"/>
                <w:szCs w:val="18"/>
              </w:rPr>
              <w:t>Fyzikální ústav AV ČR, v. v. 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13</w:t>
            </w:r>
          </w:p>
        </w:tc>
        <w:tc>
          <w:tcPr>
            <w:tcW w:w="1842" w:type="dxa"/>
            <w:hideMark/>
          </w:tcPr>
          <w:p w:rsidR="00DB619B" w:rsidRPr="00DB619B" w:rsidRDefault="00DB619B" w:rsidP="00DB619B">
            <w:pPr>
              <w:spacing w:after="0" w:line="276" w:lineRule="auto"/>
              <w:rPr>
                <w:sz w:val="18"/>
                <w:szCs w:val="18"/>
              </w:rPr>
            </w:pPr>
            <w:r w:rsidRPr="00DB619B">
              <w:rPr>
                <w:sz w:val="18"/>
                <w:szCs w:val="18"/>
              </w:rPr>
              <w:t>Pazdera</w:t>
            </w:r>
          </w:p>
        </w:tc>
        <w:tc>
          <w:tcPr>
            <w:tcW w:w="1418" w:type="dxa"/>
            <w:hideMark/>
          </w:tcPr>
          <w:p w:rsidR="00DB619B" w:rsidRPr="00DB619B" w:rsidRDefault="00DB619B" w:rsidP="00DB619B">
            <w:pPr>
              <w:spacing w:after="0" w:line="276" w:lineRule="auto"/>
              <w:rPr>
                <w:sz w:val="18"/>
                <w:szCs w:val="18"/>
              </w:rPr>
            </w:pPr>
            <w:r w:rsidRPr="00DB619B">
              <w:rPr>
                <w:sz w:val="18"/>
                <w:szCs w:val="18"/>
              </w:rPr>
              <w:t>František</w:t>
            </w:r>
          </w:p>
        </w:tc>
        <w:tc>
          <w:tcPr>
            <w:tcW w:w="6062" w:type="dxa"/>
            <w:hideMark/>
          </w:tcPr>
          <w:p w:rsidR="00DB619B" w:rsidRPr="00DB619B" w:rsidRDefault="00DB619B" w:rsidP="00DB619B">
            <w:pPr>
              <w:spacing w:after="0" w:line="276" w:lineRule="auto"/>
              <w:rPr>
                <w:sz w:val="18"/>
                <w:szCs w:val="18"/>
              </w:rPr>
            </w:pPr>
            <w:r w:rsidRPr="00DB619B">
              <w:rPr>
                <w:sz w:val="18"/>
                <w:szCs w:val="18"/>
              </w:rPr>
              <w:t>člen Pracovní skupiny</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14</w:t>
            </w:r>
          </w:p>
        </w:tc>
        <w:tc>
          <w:tcPr>
            <w:tcW w:w="1842" w:type="dxa"/>
            <w:hideMark/>
          </w:tcPr>
          <w:p w:rsidR="00DB619B" w:rsidRPr="00DB619B" w:rsidRDefault="00DB619B" w:rsidP="00DB619B">
            <w:pPr>
              <w:spacing w:after="0" w:line="276" w:lineRule="auto"/>
              <w:rPr>
                <w:sz w:val="18"/>
                <w:szCs w:val="18"/>
              </w:rPr>
            </w:pPr>
            <w:r w:rsidRPr="00DB619B">
              <w:rPr>
                <w:sz w:val="18"/>
                <w:szCs w:val="18"/>
              </w:rPr>
              <w:t>Horák</w:t>
            </w:r>
          </w:p>
        </w:tc>
        <w:tc>
          <w:tcPr>
            <w:tcW w:w="1418" w:type="dxa"/>
            <w:hideMark/>
          </w:tcPr>
          <w:p w:rsidR="00DB619B" w:rsidRPr="00DB619B" w:rsidRDefault="00DB619B" w:rsidP="00DB619B">
            <w:pPr>
              <w:spacing w:after="0" w:line="276" w:lineRule="auto"/>
              <w:rPr>
                <w:sz w:val="18"/>
                <w:szCs w:val="18"/>
              </w:rPr>
            </w:pPr>
            <w:r w:rsidRPr="00DB619B">
              <w:rPr>
                <w:sz w:val="18"/>
                <w:szCs w:val="18"/>
              </w:rPr>
              <w:t>Petr</w:t>
            </w:r>
          </w:p>
        </w:tc>
        <w:tc>
          <w:tcPr>
            <w:tcW w:w="6062" w:type="dxa"/>
            <w:hideMark/>
          </w:tcPr>
          <w:p w:rsidR="00DB619B" w:rsidRPr="00DB619B" w:rsidRDefault="00DB619B" w:rsidP="00DB619B">
            <w:pPr>
              <w:spacing w:after="0" w:line="276" w:lineRule="auto"/>
              <w:rPr>
                <w:sz w:val="18"/>
                <w:szCs w:val="18"/>
              </w:rPr>
            </w:pPr>
            <w:r w:rsidRPr="00DB619B">
              <w:rPr>
                <w:sz w:val="18"/>
                <w:szCs w:val="18"/>
              </w:rPr>
              <w:t xml:space="preserve">Vysoké učení technické v Brně, </w:t>
            </w:r>
            <w:proofErr w:type="spellStart"/>
            <w:r w:rsidRPr="00DB619B">
              <w:rPr>
                <w:sz w:val="18"/>
                <w:szCs w:val="18"/>
              </w:rPr>
              <w:t>Fs</w:t>
            </w:r>
            <w:proofErr w:type="spellEnd"/>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15</w:t>
            </w:r>
          </w:p>
        </w:tc>
        <w:tc>
          <w:tcPr>
            <w:tcW w:w="1842" w:type="dxa"/>
            <w:hideMark/>
          </w:tcPr>
          <w:p w:rsidR="00DB619B" w:rsidRPr="00DB619B" w:rsidRDefault="00DB619B" w:rsidP="00DB619B">
            <w:pPr>
              <w:spacing w:after="0" w:line="276" w:lineRule="auto"/>
              <w:rPr>
                <w:sz w:val="18"/>
                <w:szCs w:val="18"/>
              </w:rPr>
            </w:pPr>
            <w:r w:rsidRPr="00DB619B">
              <w:rPr>
                <w:sz w:val="18"/>
                <w:szCs w:val="18"/>
              </w:rPr>
              <w:t>HREHOR</w:t>
            </w:r>
          </w:p>
        </w:tc>
        <w:tc>
          <w:tcPr>
            <w:tcW w:w="1418" w:type="dxa"/>
            <w:hideMark/>
          </w:tcPr>
          <w:p w:rsidR="00DB619B" w:rsidRPr="00DB619B" w:rsidRDefault="00DB619B" w:rsidP="00DB619B">
            <w:pPr>
              <w:spacing w:after="0" w:line="276" w:lineRule="auto"/>
              <w:rPr>
                <w:sz w:val="18"/>
                <w:szCs w:val="18"/>
              </w:rPr>
            </w:pPr>
            <w:r w:rsidRPr="00DB619B">
              <w:rPr>
                <w:sz w:val="18"/>
                <w:szCs w:val="18"/>
              </w:rPr>
              <w:t>Miroslav</w:t>
            </w:r>
          </w:p>
        </w:tc>
        <w:tc>
          <w:tcPr>
            <w:tcW w:w="6062" w:type="dxa"/>
            <w:hideMark/>
          </w:tcPr>
          <w:p w:rsidR="00DB619B" w:rsidRPr="00DB619B" w:rsidRDefault="00DB619B" w:rsidP="00DB619B">
            <w:pPr>
              <w:spacing w:after="0" w:line="276" w:lineRule="auto"/>
              <w:rPr>
                <w:sz w:val="18"/>
                <w:szCs w:val="18"/>
              </w:rPr>
            </w:pPr>
            <w:r w:rsidRPr="00DB619B">
              <w:rPr>
                <w:sz w:val="18"/>
                <w:szCs w:val="18"/>
              </w:rPr>
              <w:t>Centrum výzkumu Řež s.r.o.</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16</w:t>
            </w:r>
          </w:p>
        </w:tc>
        <w:tc>
          <w:tcPr>
            <w:tcW w:w="1842" w:type="dxa"/>
            <w:hideMark/>
          </w:tcPr>
          <w:p w:rsidR="00DB619B" w:rsidRPr="00DB619B" w:rsidRDefault="00DB619B" w:rsidP="00DB619B">
            <w:pPr>
              <w:spacing w:after="0" w:line="276" w:lineRule="auto"/>
              <w:rPr>
                <w:sz w:val="18"/>
                <w:szCs w:val="18"/>
              </w:rPr>
            </w:pPr>
            <w:r w:rsidRPr="00DB619B">
              <w:rPr>
                <w:sz w:val="18"/>
                <w:szCs w:val="18"/>
              </w:rPr>
              <w:t>Farkač</w:t>
            </w:r>
          </w:p>
        </w:tc>
        <w:tc>
          <w:tcPr>
            <w:tcW w:w="1418" w:type="dxa"/>
            <w:hideMark/>
          </w:tcPr>
          <w:p w:rsidR="00DB619B" w:rsidRPr="00DB619B" w:rsidRDefault="00DB619B" w:rsidP="00DB619B">
            <w:pPr>
              <w:spacing w:after="0" w:line="276" w:lineRule="auto"/>
              <w:rPr>
                <w:sz w:val="18"/>
                <w:szCs w:val="18"/>
              </w:rPr>
            </w:pPr>
            <w:r w:rsidRPr="00DB619B">
              <w:rPr>
                <w:sz w:val="18"/>
                <w:szCs w:val="18"/>
              </w:rPr>
              <w:t>Martin</w:t>
            </w:r>
          </w:p>
        </w:tc>
        <w:tc>
          <w:tcPr>
            <w:tcW w:w="6062" w:type="dxa"/>
            <w:hideMark/>
          </w:tcPr>
          <w:p w:rsidR="00DB619B" w:rsidRPr="00DB619B" w:rsidRDefault="00DB619B" w:rsidP="00DB619B">
            <w:pPr>
              <w:spacing w:after="0" w:line="276" w:lineRule="auto"/>
              <w:rPr>
                <w:sz w:val="18"/>
                <w:szCs w:val="18"/>
              </w:rPr>
            </w:pPr>
            <w:r w:rsidRPr="00DB619B">
              <w:rPr>
                <w:sz w:val="18"/>
                <w:szCs w:val="18"/>
              </w:rPr>
              <w:t>B&amp;P Research</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17</w:t>
            </w:r>
          </w:p>
        </w:tc>
        <w:tc>
          <w:tcPr>
            <w:tcW w:w="1842" w:type="dxa"/>
            <w:hideMark/>
          </w:tcPr>
          <w:p w:rsidR="00DB619B" w:rsidRPr="00DB619B" w:rsidRDefault="00DB619B" w:rsidP="00DB619B">
            <w:pPr>
              <w:spacing w:after="0" w:line="276" w:lineRule="auto"/>
              <w:rPr>
                <w:sz w:val="18"/>
                <w:szCs w:val="18"/>
              </w:rPr>
            </w:pPr>
            <w:proofErr w:type="spellStart"/>
            <w:r w:rsidRPr="00DB619B">
              <w:rPr>
                <w:sz w:val="18"/>
                <w:szCs w:val="18"/>
              </w:rPr>
              <w:t>Leichmann</w:t>
            </w:r>
            <w:proofErr w:type="spellEnd"/>
          </w:p>
        </w:tc>
        <w:tc>
          <w:tcPr>
            <w:tcW w:w="1418" w:type="dxa"/>
            <w:hideMark/>
          </w:tcPr>
          <w:p w:rsidR="00DB619B" w:rsidRPr="00DB619B" w:rsidRDefault="00DB619B" w:rsidP="00DB619B">
            <w:pPr>
              <w:spacing w:after="0" w:line="276" w:lineRule="auto"/>
              <w:rPr>
                <w:sz w:val="18"/>
                <w:szCs w:val="18"/>
              </w:rPr>
            </w:pPr>
            <w:r w:rsidRPr="00DB619B">
              <w:rPr>
                <w:sz w:val="18"/>
                <w:szCs w:val="18"/>
              </w:rPr>
              <w:t>Jaromír</w:t>
            </w:r>
          </w:p>
        </w:tc>
        <w:tc>
          <w:tcPr>
            <w:tcW w:w="6062" w:type="dxa"/>
            <w:hideMark/>
          </w:tcPr>
          <w:p w:rsidR="00DB619B" w:rsidRPr="00DB619B" w:rsidRDefault="00DB619B" w:rsidP="00DB619B">
            <w:pPr>
              <w:spacing w:after="0" w:line="276" w:lineRule="auto"/>
              <w:rPr>
                <w:sz w:val="18"/>
                <w:szCs w:val="18"/>
              </w:rPr>
            </w:pPr>
            <w:r w:rsidRPr="00DB619B">
              <w:rPr>
                <w:sz w:val="18"/>
                <w:szCs w:val="18"/>
              </w:rPr>
              <w:t>Přírodovědecká fakulta MU Brno</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18</w:t>
            </w:r>
          </w:p>
        </w:tc>
        <w:tc>
          <w:tcPr>
            <w:tcW w:w="1842" w:type="dxa"/>
            <w:hideMark/>
          </w:tcPr>
          <w:p w:rsidR="00DB619B" w:rsidRPr="00DB619B" w:rsidRDefault="00DB619B" w:rsidP="00DB619B">
            <w:pPr>
              <w:spacing w:after="0" w:line="276" w:lineRule="auto"/>
              <w:rPr>
                <w:sz w:val="18"/>
                <w:szCs w:val="18"/>
              </w:rPr>
            </w:pPr>
            <w:r w:rsidRPr="00DB619B">
              <w:rPr>
                <w:sz w:val="18"/>
                <w:szCs w:val="18"/>
              </w:rPr>
              <w:t>Pánek</w:t>
            </w:r>
          </w:p>
        </w:tc>
        <w:tc>
          <w:tcPr>
            <w:tcW w:w="1418" w:type="dxa"/>
            <w:hideMark/>
          </w:tcPr>
          <w:p w:rsidR="00DB619B" w:rsidRPr="00DB619B" w:rsidRDefault="00DB619B" w:rsidP="00DB619B">
            <w:pPr>
              <w:spacing w:after="0" w:line="276" w:lineRule="auto"/>
              <w:rPr>
                <w:sz w:val="18"/>
                <w:szCs w:val="18"/>
              </w:rPr>
            </w:pPr>
            <w:r w:rsidRPr="00DB619B">
              <w:rPr>
                <w:sz w:val="18"/>
                <w:szCs w:val="18"/>
              </w:rPr>
              <w:t>Radomír</w:t>
            </w:r>
          </w:p>
        </w:tc>
        <w:tc>
          <w:tcPr>
            <w:tcW w:w="6062" w:type="dxa"/>
            <w:hideMark/>
          </w:tcPr>
          <w:p w:rsidR="00DB619B" w:rsidRPr="00DB619B" w:rsidRDefault="00DB619B" w:rsidP="00DB619B">
            <w:pPr>
              <w:spacing w:after="0" w:line="276" w:lineRule="auto"/>
              <w:rPr>
                <w:sz w:val="18"/>
                <w:szCs w:val="18"/>
              </w:rPr>
            </w:pPr>
            <w:r w:rsidRPr="00DB619B">
              <w:rPr>
                <w:sz w:val="18"/>
                <w:szCs w:val="18"/>
              </w:rPr>
              <w:t xml:space="preserve">Ústav fyziky plazmatu AV ČR, </w:t>
            </w:r>
            <w:proofErr w:type="gramStart"/>
            <w:r w:rsidRPr="00DB619B">
              <w:rPr>
                <w:sz w:val="18"/>
                <w:szCs w:val="18"/>
              </w:rPr>
              <w:t>v.v.</w:t>
            </w:r>
            <w:proofErr w:type="gramEnd"/>
            <w:r w:rsidRPr="00DB619B">
              <w:rPr>
                <w:sz w:val="18"/>
                <w:szCs w:val="18"/>
              </w:rPr>
              <w:t>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19</w:t>
            </w:r>
          </w:p>
        </w:tc>
        <w:tc>
          <w:tcPr>
            <w:tcW w:w="1842" w:type="dxa"/>
            <w:hideMark/>
          </w:tcPr>
          <w:p w:rsidR="00DB619B" w:rsidRPr="00DB619B" w:rsidRDefault="00DB619B" w:rsidP="00DB619B">
            <w:pPr>
              <w:spacing w:after="0" w:line="276" w:lineRule="auto"/>
              <w:rPr>
                <w:sz w:val="18"/>
                <w:szCs w:val="18"/>
              </w:rPr>
            </w:pPr>
            <w:r w:rsidRPr="00DB619B">
              <w:rPr>
                <w:sz w:val="18"/>
                <w:szCs w:val="18"/>
              </w:rPr>
              <w:t>Kolovratník</w:t>
            </w:r>
          </w:p>
        </w:tc>
        <w:tc>
          <w:tcPr>
            <w:tcW w:w="1418" w:type="dxa"/>
            <w:hideMark/>
          </w:tcPr>
          <w:p w:rsidR="00DB619B" w:rsidRPr="00DB619B" w:rsidRDefault="00DB619B" w:rsidP="00DB619B">
            <w:pPr>
              <w:spacing w:after="0" w:line="276" w:lineRule="auto"/>
              <w:rPr>
                <w:sz w:val="18"/>
                <w:szCs w:val="18"/>
              </w:rPr>
            </w:pPr>
            <w:r w:rsidRPr="00DB619B">
              <w:rPr>
                <w:sz w:val="18"/>
                <w:szCs w:val="18"/>
              </w:rPr>
              <w:t>Michal</w:t>
            </w:r>
          </w:p>
        </w:tc>
        <w:tc>
          <w:tcPr>
            <w:tcW w:w="6062" w:type="dxa"/>
            <w:hideMark/>
          </w:tcPr>
          <w:p w:rsidR="00DB619B" w:rsidRPr="00DB619B" w:rsidRDefault="00DB619B" w:rsidP="00DB619B">
            <w:pPr>
              <w:spacing w:after="0" w:line="276" w:lineRule="auto"/>
              <w:rPr>
                <w:sz w:val="18"/>
                <w:szCs w:val="18"/>
              </w:rPr>
            </w:pPr>
            <w:r w:rsidRPr="00DB619B">
              <w:rPr>
                <w:sz w:val="18"/>
                <w:szCs w:val="18"/>
              </w:rPr>
              <w:t>ČVUT v Praze</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20</w:t>
            </w:r>
          </w:p>
        </w:tc>
        <w:tc>
          <w:tcPr>
            <w:tcW w:w="1842" w:type="dxa"/>
            <w:hideMark/>
          </w:tcPr>
          <w:p w:rsidR="00DB619B" w:rsidRPr="00DB619B" w:rsidRDefault="00DB619B" w:rsidP="00DB619B">
            <w:pPr>
              <w:spacing w:after="0" w:line="276" w:lineRule="auto"/>
              <w:rPr>
                <w:sz w:val="18"/>
                <w:szCs w:val="18"/>
              </w:rPr>
            </w:pPr>
            <w:r w:rsidRPr="00DB619B">
              <w:rPr>
                <w:sz w:val="18"/>
                <w:szCs w:val="18"/>
              </w:rPr>
              <w:t>Noháč</w:t>
            </w:r>
          </w:p>
        </w:tc>
        <w:tc>
          <w:tcPr>
            <w:tcW w:w="1418" w:type="dxa"/>
            <w:hideMark/>
          </w:tcPr>
          <w:p w:rsidR="00DB619B" w:rsidRPr="00DB619B" w:rsidRDefault="00DB619B" w:rsidP="00DB619B">
            <w:pPr>
              <w:spacing w:after="0" w:line="276" w:lineRule="auto"/>
              <w:rPr>
                <w:sz w:val="18"/>
                <w:szCs w:val="18"/>
              </w:rPr>
            </w:pPr>
            <w:r w:rsidRPr="00DB619B">
              <w:rPr>
                <w:sz w:val="18"/>
                <w:szCs w:val="18"/>
              </w:rPr>
              <w:t>Karel</w:t>
            </w:r>
          </w:p>
        </w:tc>
        <w:tc>
          <w:tcPr>
            <w:tcW w:w="6062" w:type="dxa"/>
            <w:hideMark/>
          </w:tcPr>
          <w:p w:rsidR="00DB619B" w:rsidRPr="00DB619B" w:rsidRDefault="00DB619B" w:rsidP="00DB619B">
            <w:pPr>
              <w:spacing w:after="0" w:line="276" w:lineRule="auto"/>
              <w:rPr>
                <w:sz w:val="18"/>
                <w:szCs w:val="18"/>
              </w:rPr>
            </w:pPr>
            <w:r w:rsidRPr="00DB619B">
              <w:rPr>
                <w:sz w:val="18"/>
                <w:szCs w:val="18"/>
              </w:rPr>
              <w:t>Západočeská univerzita v Plzni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21</w:t>
            </w:r>
          </w:p>
        </w:tc>
        <w:tc>
          <w:tcPr>
            <w:tcW w:w="1842" w:type="dxa"/>
            <w:hideMark/>
          </w:tcPr>
          <w:p w:rsidR="00DB619B" w:rsidRPr="00DB619B" w:rsidRDefault="00DB619B" w:rsidP="00DB619B">
            <w:pPr>
              <w:spacing w:after="0" w:line="276" w:lineRule="auto"/>
              <w:rPr>
                <w:sz w:val="18"/>
                <w:szCs w:val="18"/>
              </w:rPr>
            </w:pPr>
            <w:r w:rsidRPr="00DB619B">
              <w:rPr>
                <w:sz w:val="18"/>
                <w:szCs w:val="18"/>
              </w:rPr>
              <w:t>Smejkal</w:t>
            </w:r>
          </w:p>
        </w:tc>
        <w:tc>
          <w:tcPr>
            <w:tcW w:w="1418" w:type="dxa"/>
            <w:hideMark/>
          </w:tcPr>
          <w:p w:rsidR="00DB619B" w:rsidRPr="00DB619B" w:rsidRDefault="00DB619B" w:rsidP="00DB619B">
            <w:pPr>
              <w:spacing w:after="0" w:line="276" w:lineRule="auto"/>
              <w:rPr>
                <w:sz w:val="18"/>
                <w:szCs w:val="18"/>
              </w:rPr>
            </w:pPr>
            <w:r w:rsidRPr="00DB619B">
              <w:rPr>
                <w:sz w:val="18"/>
                <w:szCs w:val="18"/>
              </w:rPr>
              <w:t>Tomáš</w:t>
            </w:r>
          </w:p>
        </w:tc>
        <w:tc>
          <w:tcPr>
            <w:tcW w:w="6062" w:type="dxa"/>
            <w:hideMark/>
          </w:tcPr>
          <w:p w:rsidR="00DB619B" w:rsidRPr="00DB619B" w:rsidRDefault="00DB619B" w:rsidP="00DB619B">
            <w:pPr>
              <w:spacing w:after="0" w:line="276" w:lineRule="auto"/>
              <w:rPr>
                <w:sz w:val="18"/>
                <w:szCs w:val="18"/>
              </w:rPr>
            </w:pPr>
            <w:r w:rsidRPr="00DB619B">
              <w:rPr>
                <w:sz w:val="18"/>
                <w:szCs w:val="18"/>
              </w:rPr>
              <w:t>Ministerstvo průmyslu a obchodu</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22</w:t>
            </w:r>
          </w:p>
        </w:tc>
        <w:tc>
          <w:tcPr>
            <w:tcW w:w="1842" w:type="dxa"/>
            <w:hideMark/>
          </w:tcPr>
          <w:p w:rsidR="00DB619B" w:rsidRPr="00DB619B" w:rsidRDefault="00DB619B" w:rsidP="00DB619B">
            <w:pPr>
              <w:spacing w:after="0" w:line="276" w:lineRule="auto"/>
              <w:rPr>
                <w:sz w:val="18"/>
                <w:szCs w:val="18"/>
              </w:rPr>
            </w:pPr>
            <w:r w:rsidRPr="00DB619B">
              <w:rPr>
                <w:sz w:val="18"/>
                <w:szCs w:val="18"/>
              </w:rPr>
              <w:t>Grmela</w:t>
            </w:r>
          </w:p>
        </w:tc>
        <w:tc>
          <w:tcPr>
            <w:tcW w:w="1418" w:type="dxa"/>
            <w:hideMark/>
          </w:tcPr>
          <w:p w:rsidR="00DB619B" w:rsidRPr="00DB619B" w:rsidRDefault="00DB619B" w:rsidP="00DB619B">
            <w:pPr>
              <w:spacing w:after="0" w:line="276" w:lineRule="auto"/>
              <w:rPr>
                <w:sz w:val="18"/>
                <w:szCs w:val="18"/>
              </w:rPr>
            </w:pPr>
            <w:r w:rsidRPr="00DB619B">
              <w:rPr>
                <w:sz w:val="18"/>
                <w:szCs w:val="18"/>
              </w:rPr>
              <w:t>Lubomír</w:t>
            </w:r>
          </w:p>
        </w:tc>
        <w:tc>
          <w:tcPr>
            <w:tcW w:w="6062" w:type="dxa"/>
            <w:hideMark/>
          </w:tcPr>
          <w:p w:rsidR="00DB619B" w:rsidRPr="00DB619B" w:rsidRDefault="00DB619B" w:rsidP="00DB619B">
            <w:pPr>
              <w:spacing w:after="0" w:line="276" w:lineRule="auto"/>
              <w:rPr>
                <w:sz w:val="18"/>
                <w:szCs w:val="18"/>
              </w:rPr>
            </w:pPr>
            <w:r w:rsidRPr="00DB619B">
              <w:rPr>
                <w:sz w:val="18"/>
                <w:szCs w:val="18"/>
              </w:rPr>
              <w:t>VUT Brno</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23</w:t>
            </w:r>
          </w:p>
        </w:tc>
        <w:tc>
          <w:tcPr>
            <w:tcW w:w="1842" w:type="dxa"/>
            <w:hideMark/>
          </w:tcPr>
          <w:p w:rsidR="00DB619B" w:rsidRPr="00DB619B" w:rsidRDefault="00DB619B" w:rsidP="00DB619B">
            <w:pPr>
              <w:spacing w:after="0" w:line="276" w:lineRule="auto"/>
              <w:rPr>
                <w:sz w:val="18"/>
                <w:szCs w:val="18"/>
              </w:rPr>
            </w:pPr>
            <w:r w:rsidRPr="00DB619B">
              <w:rPr>
                <w:sz w:val="18"/>
                <w:szCs w:val="18"/>
              </w:rPr>
              <w:t>Stehlík</w:t>
            </w:r>
          </w:p>
        </w:tc>
        <w:tc>
          <w:tcPr>
            <w:tcW w:w="1418" w:type="dxa"/>
            <w:hideMark/>
          </w:tcPr>
          <w:p w:rsidR="00DB619B" w:rsidRPr="00DB619B" w:rsidRDefault="00DB619B" w:rsidP="00DB619B">
            <w:pPr>
              <w:spacing w:after="0" w:line="276" w:lineRule="auto"/>
              <w:rPr>
                <w:sz w:val="18"/>
                <w:szCs w:val="18"/>
              </w:rPr>
            </w:pPr>
            <w:r w:rsidRPr="00DB619B">
              <w:rPr>
                <w:sz w:val="18"/>
                <w:szCs w:val="18"/>
              </w:rPr>
              <w:t>Petr</w:t>
            </w:r>
          </w:p>
        </w:tc>
        <w:tc>
          <w:tcPr>
            <w:tcW w:w="6062" w:type="dxa"/>
            <w:hideMark/>
          </w:tcPr>
          <w:p w:rsidR="00DB619B" w:rsidRPr="00DB619B" w:rsidRDefault="00DB619B" w:rsidP="00DB619B">
            <w:pPr>
              <w:spacing w:after="0" w:line="276" w:lineRule="auto"/>
              <w:rPr>
                <w:sz w:val="18"/>
                <w:szCs w:val="18"/>
              </w:rPr>
            </w:pPr>
            <w:r w:rsidRPr="00DB619B">
              <w:rPr>
                <w:sz w:val="18"/>
                <w:szCs w:val="18"/>
              </w:rPr>
              <w:t>Vysoké učení technické v Brně</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24</w:t>
            </w:r>
          </w:p>
        </w:tc>
        <w:tc>
          <w:tcPr>
            <w:tcW w:w="1842" w:type="dxa"/>
            <w:hideMark/>
          </w:tcPr>
          <w:p w:rsidR="00DB619B" w:rsidRPr="00DB619B" w:rsidRDefault="00DB619B" w:rsidP="00DB619B">
            <w:pPr>
              <w:spacing w:after="0" w:line="276" w:lineRule="auto"/>
              <w:rPr>
                <w:sz w:val="18"/>
                <w:szCs w:val="18"/>
              </w:rPr>
            </w:pPr>
            <w:r w:rsidRPr="00DB619B">
              <w:rPr>
                <w:sz w:val="18"/>
                <w:szCs w:val="18"/>
              </w:rPr>
              <w:t>Punčochář</w:t>
            </w:r>
          </w:p>
        </w:tc>
        <w:tc>
          <w:tcPr>
            <w:tcW w:w="1418" w:type="dxa"/>
            <w:hideMark/>
          </w:tcPr>
          <w:p w:rsidR="00DB619B" w:rsidRPr="00DB619B" w:rsidRDefault="00DB619B" w:rsidP="00DB619B">
            <w:pPr>
              <w:spacing w:after="0" w:line="276" w:lineRule="auto"/>
              <w:rPr>
                <w:sz w:val="18"/>
                <w:szCs w:val="18"/>
              </w:rPr>
            </w:pPr>
            <w:r w:rsidRPr="00DB619B">
              <w:rPr>
                <w:sz w:val="18"/>
                <w:szCs w:val="18"/>
              </w:rPr>
              <w:t>Miroslav</w:t>
            </w:r>
          </w:p>
        </w:tc>
        <w:tc>
          <w:tcPr>
            <w:tcW w:w="6062" w:type="dxa"/>
            <w:hideMark/>
          </w:tcPr>
          <w:p w:rsidR="00DB619B" w:rsidRPr="00DB619B" w:rsidRDefault="00DB619B" w:rsidP="00DB619B">
            <w:pPr>
              <w:spacing w:after="0" w:line="276" w:lineRule="auto"/>
              <w:rPr>
                <w:sz w:val="18"/>
                <w:szCs w:val="18"/>
              </w:rPr>
            </w:pPr>
            <w:r w:rsidRPr="00DB619B">
              <w:rPr>
                <w:sz w:val="18"/>
                <w:szCs w:val="18"/>
              </w:rPr>
              <w:t>Ústav chemických procesů AV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25</w:t>
            </w:r>
          </w:p>
        </w:tc>
        <w:tc>
          <w:tcPr>
            <w:tcW w:w="1842" w:type="dxa"/>
            <w:hideMark/>
          </w:tcPr>
          <w:p w:rsidR="00DB619B" w:rsidRPr="00DB619B" w:rsidRDefault="00DB619B" w:rsidP="00DB619B">
            <w:pPr>
              <w:spacing w:after="0" w:line="276" w:lineRule="auto"/>
              <w:rPr>
                <w:sz w:val="18"/>
                <w:szCs w:val="18"/>
              </w:rPr>
            </w:pPr>
            <w:r w:rsidRPr="00DB619B">
              <w:rPr>
                <w:sz w:val="18"/>
                <w:szCs w:val="18"/>
              </w:rPr>
              <w:t>Mikel</w:t>
            </w:r>
          </w:p>
        </w:tc>
        <w:tc>
          <w:tcPr>
            <w:tcW w:w="1418" w:type="dxa"/>
            <w:hideMark/>
          </w:tcPr>
          <w:p w:rsidR="00DB619B" w:rsidRPr="00DB619B" w:rsidRDefault="00DB619B" w:rsidP="00DB619B">
            <w:pPr>
              <w:spacing w:after="0" w:line="276" w:lineRule="auto"/>
              <w:rPr>
                <w:sz w:val="18"/>
                <w:szCs w:val="18"/>
              </w:rPr>
            </w:pPr>
            <w:r w:rsidRPr="00DB619B">
              <w:rPr>
                <w:sz w:val="18"/>
                <w:szCs w:val="18"/>
              </w:rPr>
              <w:t>Břetislav</w:t>
            </w:r>
          </w:p>
        </w:tc>
        <w:tc>
          <w:tcPr>
            <w:tcW w:w="6062" w:type="dxa"/>
            <w:hideMark/>
          </w:tcPr>
          <w:p w:rsidR="00DB619B" w:rsidRPr="00DB619B" w:rsidRDefault="00DB619B" w:rsidP="00DB619B">
            <w:pPr>
              <w:spacing w:after="0" w:line="276" w:lineRule="auto"/>
              <w:rPr>
                <w:sz w:val="18"/>
                <w:szCs w:val="18"/>
              </w:rPr>
            </w:pPr>
            <w:r w:rsidRPr="00DB619B">
              <w:rPr>
                <w:sz w:val="18"/>
                <w:szCs w:val="18"/>
              </w:rPr>
              <w:t>Ústav přístrojové techniky AV ČR, v. v. i.</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26</w:t>
            </w:r>
          </w:p>
        </w:tc>
        <w:tc>
          <w:tcPr>
            <w:tcW w:w="1842" w:type="dxa"/>
            <w:hideMark/>
          </w:tcPr>
          <w:p w:rsidR="00DB619B" w:rsidRPr="00DB619B" w:rsidRDefault="00DB619B" w:rsidP="00DB619B">
            <w:pPr>
              <w:spacing w:after="0" w:line="276" w:lineRule="auto"/>
              <w:rPr>
                <w:sz w:val="18"/>
                <w:szCs w:val="18"/>
              </w:rPr>
            </w:pPr>
            <w:proofErr w:type="spellStart"/>
            <w:r w:rsidRPr="00DB619B">
              <w:rPr>
                <w:sz w:val="18"/>
                <w:szCs w:val="18"/>
              </w:rPr>
              <w:t>Portužák</w:t>
            </w:r>
            <w:proofErr w:type="spellEnd"/>
          </w:p>
        </w:tc>
        <w:tc>
          <w:tcPr>
            <w:tcW w:w="1418" w:type="dxa"/>
            <w:hideMark/>
          </w:tcPr>
          <w:p w:rsidR="00DB619B" w:rsidRPr="00DB619B" w:rsidRDefault="00DB619B" w:rsidP="00DB619B">
            <w:pPr>
              <w:spacing w:after="0" w:line="276" w:lineRule="auto"/>
              <w:rPr>
                <w:sz w:val="18"/>
                <w:szCs w:val="18"/>
              </w:rPr>
            </w:pPr>
            <w:r w:rsidRPr="00DB619B">
              <w:rPr>
                <w:sz w:val="18"/>
                <w:szCs w:val="18"/>
              </w:rPr>
              <w:t>Roman</w:t>
            </w:r>
          </w:p>
        </w:tc>
        <w:tc>
          <w:tcPr>
            <w:tcW w:w="6062" w:type="dxa"/>
            <w:hideMark/>
          </w:tcPr>
          <w:p w:rsidR="00DB619B" w:rsidRPr="00DB619B" w:rsidRDefault="00DB619B" w:rsidP="00DB619B">
            <w:pPr>
              <w:spacing w:after="0" w:line="276" w:lineRule="auto"/>
              <w:rPr>
                <w:sz w:val="18"/>
                <w:szCs w:val="18"/>
              </w:rPr>
            </w:pPr>
            <w:r w:rsidRPr="00DB619B">
              <w:rPr>
                <w:sz w:val="18"/>
                <w:szCs w:val="18"/>
              </w:rPr>
              <w:t>VŠB - Technická univerzita Ostrava</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27</w:t>
            </w:r>
          </w:p>
        </w:tc>
        <w:tc>
          <w:tcPr>
            <w:tcW w:w="1842" w:type="dxa"/>
            <w:hideMark/>
          </w:tcPr>
          <w:p w:rsidR="00DB619B" w:rsidRPr="00DB619B" w:rsidRDefault="00DB619B" w:rsidP="00DB619B">
            <w:pPr>
              <w:spacing w:after="0" w:line="276" w:lineRule="auto"/>
              <w:rPr>
                <w:sz w:val="18"/>
                <w:szCs w:val="18"/>
              </w:rPr>
            </w:pPr>
            <w:r w:rsidRPr="00DB619B">
              <w:rPr>
                <w:sz w:val="18"/>
                <w:szCs w:val="18"/>
              </w:rPr>
              <w:t>Vondrák</w:t>
            </w:r>
          </w:p>
        </w:tc>
        <w:tc>
          <w:tcPr>
            <w:tcW w:w="1418" w:type="dxa"/>
            <w:hideMark/>
          </w:tcPr>
          <w:p w:rsidR="00DB619B" w:rsidRPr="00DB619B" w:rsidRDefault="00DB619B" w:rsidP="00DB619B">
            <w:pPr>
              <w:spacing w:after="0" w:line="276" w:lineRule="auto"/>
              <w:rPr>
                <w:sz w:val="18"/>
                <w:szCs w:val="18"/>
              </w:rPr>
            </w:pPr>
            <w:r w:rsidRPr="00DB619B">
              <w:rPr>
                <w:sz w:val="18"/>
                <w:szCs w:val="18"/>
              </w:rPr>
              <w:t>Tomáš</w:t>
            </w:r>
          </w:p>
        </w:tc>
        <w:tc>
          <w:tcPr>
            <w:tcW w:w="6062" w:type="dxa"/>
            <w:hideMark/>
          </w:tcPr>
          <w:p w:rsidR="00DB619B" w:rsidRPr="00DB619B" w:rsidRDefault="00DB619B" w:rsidP="00DB619B">
            <w:pPr>
              <w:spacing w:after="0" w:line="276" w:lineRule="auto"/>
              <w:rPr>
                <w:sz w:val="18"/>
                <w:szCs w:val="18"/>
              </w:rPr>
            </w:pPr>
            <w:r w:rsidRPr="00DB619B">
              <w:rPr>
                <w:sz w:val="18"/>
                <w:szCs w:val="18"/>
              </w:rPr>
              <w:t>Technologické centrum AV ČR</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28</w:t>
            </w:r>
          </w:p>
        </w:tc>
        <w:tc>
          <w:tcPr>
            <w:tcW w:w="1842" w:type="dxa"/>
            <w:hideMark/>
          </w:tcPr>
          <w:p w:rsidR="00DB619B" w:rsidRPr="00DB619B" w:rsidRDefault="00DB619B" w:rsidP="00DB619B">
            <w:pPr>
              <w:spacing w:after="0" w:line="276" w:lineRule="auto"/>
              <w:rPr>
                <w:sz w:val="18"/>
                <w:szCs w:val="18"/>
              </w:rPr>
            </w:pPr>
            <w:proofErr w:type="spellStart"/>
            <w:r w:rsidRPr="00DB619B">
              <w:rPr>
                <w:sz w:val="18"/>
                <w:szCs w:val="18"/>
              </w:rPr>
              <w:t>Scholzová</w:t>
            </w:r>
            <w:proofErr w:type="spellEnd"/>
          </w:p>
        </w:tc>
        <w:tc>
          <w:tcPr>
            <w:tcW w:w="1418" w:type="dxa"/>
            <w:hideMark/>
          </w:tcPr>
          <w:p w:rsidR="00DB619B" w:rsidRPr="00DB619B" w:rsidRDefault="00DB619B" w:rsidP="00DB619B">
            <w:pPr>
              <w:spacing w:after="0" w:line="276" w:lineRule="auto"/>
              <w:rPr>
                <w:sz w:val="18"/>
                <w:szCs w:val="18"/>
              </w:rPr>
            </w:pPr>
            <w:r w:rsidRPr="00DB619B">
              <w:rPr>
                <w:sz w:val="18"/>
                <w:szCs w:val="18"/>
              </w:rPr>
              <w:t>Lenka</w:t>
            </w:r>
          </w:p>
        </w:tc>
        <w:tc>
          <w:tcPr>
            <w:tcW w:w="6062" w:type="dxa"/>
            <w:hideMark/>
          </w:tcPr>
          <w:p w:rsidR="00DB619B" w:rsidRPr="00DB619B" w:rsidRDefault="00DB619B" w:rsidP="00DB619B">
            <w:pPr>
              <w:spacing w:after="0" w:line="276" w:lineRule="auto"/>
              <w:rPr>
                <w:sz w:val="18"/>
                <w:szCs w:val="18"/>
              </w:rPr>
            </w:pPr>
            <w:r w:rsidRPr="00DB619B">
              <w:rPr>
                <w:sz w:val="18"/>
                <w:szCs w:val="18"/>
              </w:rPr>
              <w:t>AV ČR, Středisko společných činností</w:t>
            </w:r>
          </w:p>
        </w:tc>
      </w:tr>
      <w:tr w:rsidR="00DB619B" w:rsidRPr="00DB619B" w:rsidTr="00DB619B">
        <w:trPr>
          <w:trHeight w:val="250"/>
        </w:trPr>
        <w:tc>
          <w:tcPr>
            <w:tcW w:w="534" w:type="dxa"/>
            <w:noWrap/>
            <w:hideMark/>
          </w:tcPr>
          <w:p w:rsidR="00DB619B" w:rsidRPr="00DB619B" w:rsidRDefault="00DB619B" w:rsidP="00DB619B">
            <w:pPr>
              <w:spacing w:after="0" w:line="276" w:lineRule="auto"/>
              <w:rPr>
                <w:sz w:val="18"/>
                <w:szCs w:val="18"/>
              </w:rPr>
            </w:pPr>
            <w:r w:rsidRPr="00DB619B">
              <w:rPr>
                <w:sz w:val="18"/>
                <w:szCs w:val="18"/>
              </w:rPr>
              <w:t>29</w:t>
            </w:r>
          </w:p>
        </w:tc>
        <w:tc>
          <w:tcPr>
            <w:tcW w:w="1842" w:type="dxa"/>
            <w:hideMark/>
          </w:tcPr>
          <w:p w:rsidR="00DB619B" w:rsidRPr="00DB619B" w:rsidRDefault="00DB619B" w:rsidP="00DB619B">
            <w:pPr>
              <w:spacing w:after="0" w:line="276" w:lineRule="auto"/>
              <w:rPr>
                <w:sz w:val="18"/>
                <w:szCs w:val="18"/>
              </w:rPr>
            </w:pPr>
            <w:r w:rsidRPr="00DB619B">
              <w:rPr>
                <w:sz w:val="18"/>
                <w:szCs w:val="18"/>
              </w:rPr>
              <w:t>Ján</w:t>
            </w:r>
          </w:p>
        </w:tc>
        <w:tc>
          <w:tcPr>
            <w:tcW w:w="1418" w:type="dxa"/>
            <w:hideMark/>
          </w:tcPr>
          <w:p w:rsidR="00DB619B" w:rsidRPr="00DB619B" w:rsidRDefault="00DB619B" w:rsidP="00DB619B">
            <w:pPr>
              <w:spacing w:after="0" w:line="276" w:lineRule="auto"/>
              <w:rPr>
                <w:sz w:val="18"/>
                <w:szCs w:val="18"/>
              </w:rPr>
            </w:pPr>
            <w:proofErr w:type="spellStart"/>
            <w:r w:rsidRPr="00DB619B">
              <w:rPr>
                <w:sz w:val="18"/>
                <w:szCs w:val="18"/>
              </w:rPr>
              <w:t>Džugán</w:t>
            </w:r>
            <w:proofErr w:type="spellEnd"/>
          </w:p>
        </w:tc>
        <w:tc>
          <w:tcPr>
            <w:tcW w:w="6062" w:type="dxa"/>
            <w:hideMark/>
          </w:tcPr>
          <w:p w:rsidR="00DB619B" w:rsidRPr="00DB619B" w:rsidRDefault="00DB619B" w:rsidP="00DB619B">
            <w:pPr>
              <w:spacing w:after="0" w:line="276" w:lineRule="auto"/>
              <w:rPr>
                <w:sz w:val="18"/>
                <w:szCs w:val="18"/>
              </w:rPr>
            </w:pPr>
            <w:r w:rsidRPr="00DB619B">
              <w:rPr>
                <w:sz w:val="18"/>
                <w:szCs w:val="18"/>
              </w:rPr>
              <w:t>COMTES FHT a.s.</w:t>
            </w:r>
          </w:p>
        </w:tc>
      </w:tr>
    </w:tbl>
    <w:p w:rsidR="00DB619B" w:rsidRDefault="00DB619B" w:rsidP="00600608">
      <w:pPr>
        <w:spacing w:before="120" w:after="0" w:line="276" w:lineRule="auto"/>
      </w:pPr>
    </w:p>
    <w:p w:rsidR="00F5065B" w:rsidRPr="00B1394C" w:rsidRDefault="00F5065B" w:rsidP="00600608">
      <w:pPr>
        <w:spacing w:before="120" w:after="0" w:line="276" w:lineRule="auto"/>
      </w:pPr>
    </w:p>
    <w:sectPr w:rsidR="00F5065B" w:rsidRPr="00B1394C" w:rsidSect="00E9455C">
      <w:pgSz w:w="11906" w:h="16838"/>
      <w:pgMar w:top="2581" w:right="1133" w:bottom="1417" w:left="113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DF8" w:rsidRDefault="006C0DF8" w:rsidP="000D59FC">
      <w:r>
        <w:separator/>
      </w:r>
    </w:p>
  </w:endnote>
  <w:endnote w:type="continuationSeparator" w:id="0">
    <w:p w:rsidR="006C0DF8" w:rsidRDefault="006C0DF8" w:rsidP="000D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476727"/>
      <w:docPartObj>
        <w:docPartGallery w:val="Page Numbers (Bottom of Page)"/>
        <w:docPartUnique/>
      </w:docPartObj>
    </w:sdtPr>
    <w:sdtContent>
      <w:p w:rsidR="002879D8" w:rsidRDefault="002879D8">
        <w:pPr>
          <w:pStyle w:val="Zpat"/>
          <w:jc w:val="right"/>
        </w:pPr>
        <w:r>
          <w:fldChar w:fldCharType="begin"/>
        </w:r>
        <w:r>
          <w:instrText>PAGE   \* MERGEFORMAT</w:instrText>
        </w:r>
        <w:r>
          <w:fldChar w:fldCharType="separate"/>
        </w:r>
        <w:r w:rsidR="00A333AD">
          <w:rPr>
            <w:noProof/>
          </w:rPr>
          <w:t>1</w:t>
        </w:r>
        <w:r>
          <w:fldChar w:fldCharType="end"/>
        </w:r>
      </w:p>
    </w:sdtContent>
  </w:sdt>
  <w:p w:rsidR="002879D8" w:rsidRDefault="002879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612829"/>
      <w:docPartObj>
        <w:docPartGallery w:val="Page Numbers (Bottom of Page)"/>
        <w:docPartUnique/>
      </w:docPartObj>
    </w:sdtPr>
    <w:sdtContent>
      <w:p w:rsidR="002879D8" w:rsidRDefault="002879D8">
        <w:pPr>
          <w:pStyle w:val="Zpat"/>
          <w:jc w:val="right"/>
        </w:pPr>
        <w:r>
          <w:fldChar w:fldCharType="begin"/>
        </w:r>
        <w:r>
          <w:instrText>PAGE   \* MERGEFORMAT</w:instrText>
        </w:r>
        <w:r>
          <w:fldChar w:fldCharType="separate"/>
        </w:r>
        <w:r w:rsidR="00A333AD">
          <w:rPr>
            <w:noProof/>
          </w:rPr>
          <w:t>3</w:t>
        </w:r>
        <w:r>
          <w:fldChar w:fldCharType="end"/>
        </w:r>
      </w:p>
    </w:sdtContent>
  </w:sdt>
  <w:p w:rsidR="002879D8" w:rsidRDefault="002879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DF8" w:rsidRDefault="006C0DF8" w:rsidP="000D59FC">
      <w:r>
        <w:separator/>
      </w:r>
    </w:p>
  </w:footnote>
  <w:footnote w:type="continuationSeparator" w:id="0">
    <w:p w:rsidR="006C0DF8" w:rsidRDefault="006C0DF8" w:rsidP="000D59FC">
      <w:r>
        <w:continuationSeparator/>
      </w:r>
    </w:p>
  </w:footnote>
  <w:footnote w:id="1">
    <w:p w:rsidR="002879D8" w:rsidRPr="00574F7A" w:rsidRDefault="002879D8" w:rsidP="000D59FC">
      <w:pPr>
        <w:pStyle w:val="Textpoznpodarou"/>
      </w:pPr>
      <w:r w:rsidRPr="00574F7A">
        <w:rPr>
          <w:rStyle w:val="Znakapoznpodarou"/>
          <w:rFonts w:asciiTheme="majorHAnsi" w:hAnsiTheme="majorHAnsi"/>
          <w:szCs w:val="16"/>
        </w:rPr>
        <w:footnoteRef/>
      </w:r>
      <w:r w:rsidRPr="00574F7A">
        <w:t xml:space="preserve"> RVVI, 2015. Základní principy přípravy a hodnocení programů a skupin grantových projektů výzkumu, vývoje a</w:t>
      </w:r>
      <w:r>
        <w:t> </w:t>
      </w:r>
      <w:r w:rsidRPr="00574F7A">
        <w:t>inovací.</w:t>
      </w:r>
    </w:p>
  </w:footnote>
  <w:footnote w:id="2">
    <w:p w:rsidR="002879D8" w:rsidRDefault="002879D8" w:rsidP="000D59FC">
      <w:pPr>
        <w:pStyle w:val="Textpoznpodarou"/>
      </w:pPr>
      <w:r>
        <w:rPr>
          <w:rStyle w:val="Znakapoznpodarou"/>
        </w:rPr>
        <w:footnoteRef/>
      </w:r>
      <w:r>
        <w:t xml:space="preserve"> V</w:t>
      </w:r>
      <w:r w:rsidRPr="00D15414">
        <w:t>ybrány</w:t>
      </w:r>
      <w:r>
        <w:t xml:space="preserve"> byly </w:t>
      </w:r>
      <w:r w:rsidRPr="00D15414">
        <w:t xml:space="preserve"> veřejné soutěže </w:t>
      </w:r>
      <w:r w:rsidRPr="00825AF2">
        <w:rPr>
          <w:b/>
        </w:rPr>
        <w:t>TA1 - TA4, TD1 – TD3, TE1 – TE2, TF1 – TF2, TG1 – TG2, TH1, 4 VS programu TIP</w:t>
      </w:r>
      <w:r>
        <w:t>. 2. VS programu EPSILON je z důvodu neukončení výběru projektů vhodných k podpoře irelevantní, a výsledky 1. VS programu TRIO jsou využívány jen omezeně.</w:t>
      </w:r>
    </w:p>
  </w:footnote>
  <w:footnote w:id="3">
    <w:p w:rsidR="002879D8" w:rsidRDefault="002879D8" w:rsidP="000D59FC">
      <w:pPr>
        <w:pStyle w:val="Textpoznpodarou"/>
      </w:pPr>
      <w:r>
        <w:rPr>
          <w:rStyle w:val="Znakapoznpodarou"/>
        </w:rPr>
        <w:footnoteRef/>
      </w:r>
      <w:r>
        <w:t xml:space="preserve"> Pro potřeby absoprpční kapacity lze uvažovat pouze o programu </w:t>
      </w:r>
      <w:r w:rsidRPr="00D858A4">
        <w:t>POTENCIÁL (OPERAČNÍ PROGRAM PODNIKÁNÍ A INOVACE)</w:t>
      </w:r>
      <w:r>
        <w:t>, nicméně zde v současné době není genrován ani jeden výsledek spadající do oborů CEP JE A JF.(</w:t>
      </w:r>
      <w:hyperlink r:id="rId1" w:history="1">
        <w:r w:rsidRPr="005E767E">
          <w:rPr>
            <w:rStyle w:val="Hypertextovodkaz"/>
          </w:rPr>
          <w:t>www.rvvi.cz</w:t>
        </w:r>
      </w:hyperlink>
      <w:r>
        <w:t>, 14.9.2016)</w:t>
      </w:r>
    </w:p>
  </w:footnote>
  <w:footnote w:id="4">
    <w:p w:rsidR="002879D8" w:rsidRDefault="002879D8" w:rsidP="000D59FC">
      <w:pPr>
        <w:pStyle w:val="Textpoznpodarou"/>
      </w:pPr>
      <w:r>
        <w:rPr>
          <w:rStyle w:val="Znakapoznpodarou"/>
        </w:rPr>
        <w:footnoteRef/>
      </w:r>
      <w:r>
        <w:t xml:space="preserve"> P</w:t>
      </w:r>
      <w:r w:rsidRPr="00585761">
        <w:t>rogram</w:t>
      </w:r>
      <w:r>
        <w:t>y</w:t>
      </w:r>
      <w:r w:rsidRPr="00585761">
        <w:t xml:space="preserve"> ALFA, CK, DELTA, GAMA, </w:t>
      </w:r>
      <w:r>
        <w:t xml:space="preserve">EPSILON a </w:t>
      </w:r>
      <w:r w:rsidRPr="00D15414">
        <w:t xml:space="preserve">veřejné </w:t>
      </w:r>
      <w:r w:rsidRPr="00034519">
        <w:rPr>
          <w:b/>
        </w:rPr>
        <w:t>soutěže TA1 - TA4, TD1 – TD3, TE1 – TE2, TF1 – TF2, TG1 – TG2, TH1</w:t>
      </w:r>
      <w:r>
        <w:t>. 2. VS programu EPSILON je z důvodu neukončení výběru projektů vhodných k podpoře irelevantní.</w:t>
      </w:r>
    </w:p>
    <w:p w:rsidR="002879D8" w:rsidRDefault="002879D8" w:rsidP="000D59FC">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9D8" w:rsidRDefault="002879D8" w:rsidP="000D59FC">
    <w:pPr>
      <w:pStyle w:val="Zhlav"/>
    </w:pPr>
    <w:r w:rsidRPr="00996A8A">
      <w:rPr>
        <w:noProof/>
      </w:rPr>
      <w:drawing>
        <wp:anchor distT="0" distB="0" distL="114300" distR="114300" simplePos="0" relativeHeight="251658752" behindDoc="1" locked="0" layoutInCell="0" allowOverlap="0" wp14:anchorId="3C386BC5" wp14:editId="5B8B2D3F">
          <wp:simplePos x="0" y="0"/>
          <wp:positionH relativeFrom="page">
            <wp:posOffset>-57150</wp:posOffset>
          </wp:positionH>
          <wp:positionV relativeFrom="page">
            <wp:posOffset>-57150</wp:posOffset>
          </wp:positionV>
          <wp:extent cx="1440000" cy="1440000"/>
          <wp:effectExtent l="0" t="0" r="8255" b="8255"/>
          <wp:wrapNone/>
          <wp:docPr id="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rsidR="002879D8" w:rsidRDefault="002879D8" w:rsidP="000D59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4E9" w:rsidRDefault="000924E9">
    <w:pPr>
      <w:pStyle w:val="Zhlav"/>
    </w:pPr>
    <w:r w:rsidRPr="00996A8A">
      <w:rPr>
        <w:noProof/>
      </w:rPr>
      <w:drawing>
        <wp:anchor distT="0" distB="0" distL="114300" distR="114300" simplePos="0" relativeHeight="251660800" behindDoc="1" locked="0" layoutInCell="0" allowOverlap="0" wp14:anchorId="3B9518C6" wp14:editId="61E43034">
          <wp:simplePos x="0" y="0"/>
          <wp:positionH relativeFrom="page">
            <wp:posOffset>-57150</wp:posOffset>
          </wp:positionH>
          <wp:positionV relativeFrom="page">
            <wp:posOffset>95250</wp:posOffset>
          </wp:positionV>
          <wp:extent cx="1440000" cy="1440000"/>
          <wp:effectExtent l="0" t="0" r="8255" b="8255"/>
          <wp:wrapNone/>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40x40mm_do_roh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3AF6"/>
    <w:multiLevelType w:val="hybridMultilevel"/>
    <w:tmpl w:val="67268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357BD9"/>
    <w:multiLevelType w:val="multilevel"/>
    <w:tmpl w:val="2DC08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253E16"/>
    <w:multiLevelType w:val="multilevel"/>
    <w:tmpl w:val="1EA0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611CC2"/>
    <w:multiLevelType w:val="hybridMultilevel"/>
    <w:tmpl w:val="065C409E"/>
    <w:lvl w:ilvl="0" w:tplc="7AEE5DCA">
      <w:start w:val="1"/>
      <w:numFmt w:val="bullet"/>
      <w:pStyle w:val="doporuenMS"/>
      <w:lvlText w:val=""/>
      <w:lvlJc w:val="left"/>
      <w:pPr>
        <w:ind w:left="1434" w:hanging="360"/>
      </w:pPr>
      <w:rPr>
        <w:rFonts w:ascii="Wingdings" w:hAnsi="Wingdings"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4">
    <w:nsid w:val="08183F93"/>
    <w:multiLevelType w:val="multilevel"/>
    <w:tmpl w:val="608C4F0C"/>
    <w:lvl w:ilvl="0">
      <w:start w:val="1"/>
      <w:numFmt w:val="decimal"/>
      <w:lvlText w:val="%1"/>
      <w:lvlJc w:val="left"/>
      <w:pPr>
        <w:ind w:left="432" w:hanging="432"/>
      </w:pPr>
    </w:lvl>
    <w:lvl w:ilvl="1">
      <w:start w:val="1"/>
      <w:numFmt w:val="decimal"/>
      <w:pStyle w:val="rove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87D6101"/>
    <w:multiLevelType w:val="multilevel"/>
    <w:tmpl w:val="5D84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841E47"/>
    <w:multiLevelType w:val="multilevel"/>
    <w:tmpl w:val="74EE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235BC"/>
    <w:multiLevelType w:val="multilevel"/>
    <w:tmpl w:val="44B2D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056096"/>
    <w:multiLevelType w:val="hybridMultilevel"/>
    <w:tmpl w:val="569AA38C"/>
    <w:lvl w:ilvl="0" w:tplc="B9AEF2FE">
      <w:start w:val="1"/>
      <w:numFmt w:val="upperLetter"/>
      <w:pStyle w:val="Styl4"/>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305640A"/>
    <w:multiLevelType w:val="multilevel"/>
    <w:tmpl w:val="4C40A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755BA8"/>
    <w:multiLevelType w:val="multilevel"/>
    <w:tmpl w:val="064A8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AA44A1"/>
    <w:multiLevelType w:val="hybridMultilevel"/>
    <w:tmpl w:val="528EAC7A"/>
    <w:lvl w:ilvl="0" w:tplc="355C61FE">
      <w:start w:val="1"/>
      <w:numFmt w:val="bullet"/>
      <w:pStyle w:val="Styl3"/>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C842BD7"/>
    <w:multiLevelType w:val="hybridMultilevel"/>
    <w:tmpl w:val="FEA480B0"/>
    <w:lvl w:ilvl="0" w:tplc="04050001">
      <w:start w:val="1"/>
      <w:numFmt w:val="bullet"/>
      <w:lvlText w:val=""/>
      <w:lvlJc w:val="left"/>
      <w:pPr>
        <w:ind w:left="2880" w:hanging="360"/>
      </w:pPr>
      <w:rPr>
        <w:rFonts w:ascii="Symbol" w:hAnsi="Symbol"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13">
    <w:nsid w:val="1CBA4192"/>
    <w:multiLevelType w:val="multilevel"/>
    <w:tmpl w:val="8ECE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49368B"/>
    <w:multiLevelType w:val="hybridMultilevel"/>
    <w:tmpl w:val="46440DA4"/>
    <w:lvl w:ilvl="0" w:tplc="B596B2EE">
      <w:start w:val="1"/>
      <w:numFmt w:val="bullet"/>
      <w:pStyle w:val="respondenti"/>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1F5C43A6"/>
    <w:multiLevelType w:val="multilevel"/>
    <w:tmpl w:val="FD08B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4066CB"/>
    <w:multiLevelType w:val="multilevel"/>
    <w:tmpl w:val="8FD6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4D4B53"/>
    <w:multiLevelType w:val="hybridMultilevel"/>
    <w:tmpl w:val="29DC30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17C57C1"/>
    <w:multiLevelType w:val="multilevel"/>
    <w:tmpl w:val="9D008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3007630"/>
    <w:multiLevelType w:val="hybridMultilevel"/>
    <w:tmpl w:val="60228700"/>
    <w:lvl w:ilvl="0" w:tplc="A1A4B0F0">
      <w:start w:val="1"/>
      <w:numFmt w:val="bullet"/>
      <w:pStyle w:val="odrka1"/>
      <w:lvlText w:val="-"/>
      <w:lvlJc w:val="left"/>
      <w:pPr>
        <w:ind w:left="36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3A40F6C"/>
    <w:multiLevelType w:val="hybridMultilevel"/>
    <w:tmpl w:val="DEDE74B6"/>
    <w:lvl w:ilvl="0" w:tplc="E3EED96E">
      <w:start w:val="1"/>
      <w:numFmt w:val="bullet"/>
      <w:pStyle w:val="minus"/>
      <w:lvlText w:val="-"/>
      <w:lvlJc w:val="left"/>
      <w:pPr>
        <w:ind w:left="720" w:hanging="360"/>
      </w:pPr>
      <w:rPr>
        <w:rFonts w:ascii="Cambria" w:eastAsiaTheme="minorHAnsi" w:hAnsi="Cambria" w:cs="Times New Roman"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525426D"/>
    <w:multiLevelType w:val="hybridMultilevel"/>
    <w:tmpl w:val="BDB2ECEE"/>
    <w:lvl w:ilvl="0" w:tplc="E95CFF28">
      <w:start w:val="1"/>
      <w:numFmt w:val="bullet"/>
      <w:pStyle w:val="zjitn"/>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6A967A3"/>
    <w:multiLevelType w:val="multilevel"/>
    <w:tmpl w:val="65D4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08D5215"/>
    <w:multiLevelType w:val="multilevel"/>
    <w:tmpl w:val="8952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1E855D4"/>
    <w:multiLevelType w:val="multilevel"/>
    <w:tmpl w:val="19401A9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38C80447"/>
    <w:multiLevelType w:val="hybridMultilevel"/>
    <w:tmpl w:val="B7FCD7F4"/>
    <w:lvl w:ilvl="0" w:tplc="56580312">
      <w:start w:val="1"/>
      <w:numFmt w:val="decimal"/>
      <w:pStyle w:val="slovn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99261DC"/>
    <w:multiLevelType w:val="multilevel"/>
    <w:tmpl w:val="191CA0A2"/>
    <w:lvl w:ilvl="0">
      <w:start w:val="1"/>
      <w:numFmt w:val="decimal"/>
      <w:pStyle w:val="Nadpis1"/>
      <w:lvlText w:val="%1."/>
      <w:lvlJc w:val="right"/>
      <w:pPr>
        <w:ind w:left="720" w:firstLine="360"/>
      </w:pPr>
      <w:rPr>
        <w:u w:val="none"/>
      </w:rPr>
    </w:lvl>
    <w:lvl w:ilvl="1">
      <w:start w:val="1"/>
      <w:numFmt w:val="decimal"/>
      <w:pStyle w:val="Nadpis2"/>
      <w:lvlText w:val="%1.%2."/>
      <w:lvlJc w:val="right"/>
      <w:pPr>
        <w:ind w:left="1440" w:firstLine="1080"/>
      </w:pPr>
      <w:rPr>
        <w:u w:val="none"/>
      </w:rPr>
    </w:lvl>
    <w:lvl w:ilvl="2">
      <w:start w:val="1"/>
      <w:numFmt w:val="decimal"/>
      <w:pStyle w:val="Nadpis3"/>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abstractNum w:abstractNumId="27">
    <w:nsid w:val="3994108A"/>
    <w:multiLevelType w:val="multilevel"/>
    <w:tmpl w:val="61C0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CA379F0"/>
    <w:multiLevelType w:val="hybridMultilevel"/>
    <w:tmpl w:val="CA8626B8"/>
    <w:lvl w:ilvl="0" w:tplc="E034A47E">
      <w:start w:val="1"/>
      <w:numFmt w:val="lowerLetter"/>
      <w:pStyle w:val="Odstaveca"/>
      <w:lvlText w:val="%1)"/>
      <w:lvlJc w:val="left"/>
      <w:pPr>
        <w:ind w:left="720" w:hanging="360"/>
      </w:pPr>
      <w:rPr>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E087D5B"/>
    <w:multiLevelType w:val="multilevel"/>
    <w:tmpl w:val="B9A0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FE73C8F"/>
    <w:multiLevelType w:val="hybridMultilevel"/>
    <w:tmpl w:val="15C46D26"/>
    <w:lvl w:ilvl="0" w:tplc="E7E49D2A">
      <w:start w:val="1"/>
      <w:numFmt w:val="bullet"/>
      <w:pStyle w:val="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49E1A5D"/>
    <w:multiLevelType w:val="hybridMultilevel"/>
    <w:tmpl w:val="40D69C04"/>
    <w:lvl w:ilvl="0" w:tplc="BFB66074">
      <w:start w:val="1"/>
      <w:numFmt w:val="decimal"/>
      <w:pStyle w:val="1ODRKA"/>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59828CC"/>
    <w:multiLevelType w:val="multilevel"/>
    <w:tmpl w:val="C30AF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5A223D1"/>
    <w:multiLevelType w:val="multilevel"/>
    <w:tmpl w:val="660A1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ind w:left="2880" w:hanging="360"/>
      </w:pPr>
      <w:rPr>
        <w:rFonts w:ascii="Symbol" w:hAnsi="Symbo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631156A"/>
    <w:multiLevelType w:val="multilevel"/>
    <w:tmpl w:val="92E2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968533F"/>
    <w:multiLevelType w:val="multilevel"/>
    <w:tmpl w:val="AB14B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A0F7140"/>
    <w:multiLevelType w:val="multilevel"/>
    <w:tmpl w:val="EE6A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A183281"/>
    <w:multiLevelType w:val="multilevel"/>
    <w:tmpl w:val="9ABA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A305CF4"/>
    <w:multiLevelType w:val="hybridMultilevel"/>
    <w:tmpl w:val="5824BFF8"/>
    <w:lvl w:ilvl="0" w:tplc="27D6C6AA">
      <w:start w:val="1"/>
      <w:numFmt w:val="upperRoman"/>
      <w:pStyle w:val="IODRKA"/>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4C6D3531"/>
    <w:multiLevelType w:val="hybridMultilevel"/>
    <w:tmpl w:val="899E11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4D027A29"/>
    <w:multiLevelType w:val="hybridMultilevel"/>
    <w:tmpl w:val="047C59B0"/>
    <w:lvl w:ilvl="0" w:tplc="1F9647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4E457195"/>
    <w:multiLevelType w:val="hybridMultilevel"/>
    <w:tmpl w:val="6568D640"/>
    <w:lvl w:ilvl="0" w:tplc="05F85CDA">
      <w:start w:val="1"/>
      <w:numFmt w:val="bullet"/>
      <w:lvlText w:val=""/>
      <w:lvlJc w:val="left"/>
      <w:pPr>
        <w:ind w:left="720" w:hanging="360"/>
      </w:pPr>
      <w:rPr>
        <w:rFonts w:ascii="Wingdings" w:hAnsi="Wingding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4F1C29F0"/>
    <w:multiLevelType w:val="hybridMultilevel"/>
    <w:tmpl w:val="48CC11C0"/>
    <w:lvl w:ilvl="0" w:tplc="66B8389E">
      <w:start w:val="1"/>
      <w:numFmt w:val="bullet"/>
      <w:pStyle w:val="pehledmana"/>
      <w:lvlText w:val="→"/>
      <w:lvlJc w:val="left"/>
      <w:pPr>
        <w:ind w:left="720" w:hanging="360"/>
      </w:pPr>
      <w:rPr>
        <w:rFonts w:ascii="Calibri" w:hAnsi="Calibri"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4F203CAD"/>
    <w:multiLevelType w:val="hybridMultilevel"/>
    <w:tmpl w:val="A3FEDC2A"/>
    <w:lvl w:ilvl="0" w:tplc="5CAE0146">
      <w:start w:val="1"/>
      <w:numFmt w:val="decimal"/>
      <w:pStyle w:val="sloodrka"/>
      <w:lvlText w:val="%1."/>
      <w:lvlJc w:val="left"/>
      <w:pPr>
        <w:ind w:left="720" w:hanging="360"/>
      </w:pPr>
      <w:rPr>
        <w:rFonts w:hint="default"/>
        <w:b/>
        <w:sz w:val="22"/>
        <w:szCs w:val="24"/>
        <w:lang w:val="de-D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4F384AE2"/>
    <w:multiLevelType w:val="multilevel"/>
    <w:tmpl w:val="0DD6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F7B56D8"/>
    <w:multiLevelType w:val="multilevel"/>
    <w:tmpl w:val="E332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508007D3"/>
    <w:multiLevelType w:val="hybridMultilevel"/>
    <w:tmpl w:val="C3A07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52C51852"/>
    <w:multiLevelType w:val="hybridMultilevel"/>
    <w:tmpl w:val="761801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533B37CA"/>
    <w:multiLevelType w:val="hybridMultilevel"/>
    <w:tmpl w:val="8792902E"/>
    <w:lvl w:ilvl="0" w:tplc="A376513E">
      <w:start w:val="1"/>
      <w:numFmt w:val="bullet"/>
      <w:pStyle w:val="otzka"/>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542E3EBF"/>
    <w:multiLevelType w:val="multilevel"/>
    <w:tmpl w:val="BFDCE64A"/>
    <w:lvl w:ilvl="0">
      <w:start w:val="2"/>
      <w:numFmt w:val="decimal"/>
      <w:lvlText w:val="%1"/>
      <w:lvlJc w:val="left"/>
      <w:pPr>
        <w:ind w:left="432" w:hanging="432"/>
      </w:pPr>
    </w:lvl>
    <w:lvl w:ilvl="1">
      <w:start w:val="1"/>
      <w:numFmt w:val="decimal"/>
      <w:pStyle w:val="uroven2-4"/>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2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nsid w:val="553D5AE4"/>
    <w:multiLevelType w:val="multilevel"/>
    <w:tmpl w:val="480E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78426BC"/>
    <w:multiLevelType w:val="multilevel"/>
    <w:tmpl w:val="B714ED7E"/>
    <w:lvl w:ilvl="0">
      <w:start w:val="1"/>
      <w:numFmt w:val="bullet"/>
      <w:pStyle w:val="Odstavecseseznamem"/>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7B6294D"/>
    <w:multiLevelType w:val="multilevel"/>
    <w:tmpl w:val="64F68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E70C8D"/>
    <w:multiLevelType w:val="hybridMultilevel"/>
    <w:tmpl w:val="56D2102C"/>
    <w:lvl w:ilvl="0" w:tplc="DD4C2666">
      <w:start w:val="4"/>
      <w:numFmt w:val="bullet"/>
      <w:pStyle w:val="Odstavec-"/>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4">
    <w:nsid w:val="5BEC40B0"/>
    <w:multiLevelType w:val="multilevel"/>
    <w:tmpl w:val="A876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EA242D8"/>
    <w:multiLevelType w:val="multilevel"/>
    <w:tmpl w:val="354896C4"/>
    <w:lvl w:ilvl="0">
      <w:start w:val="2"/>
      <w:numFmt w:val="decimal"/>
      <w:lvlText w:val="%1"/>
      <w:lvlJc w:val="left"/>
      <w:pPr>
        <w:ind w:left="432" w:hanging="432"/>
      </w:pPr>
    </w:lvl>
    <w:lvl w:ilvl="1">
      <w:start w:val="1"/>
      <w:numFmt w:val="decimal"/>
      <w:pStyle w:val="urove2-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nsid w:val="5F8E1EE0"/>
    <w:multiLevelType w:val="multilevel"/>
    <w:tmpl w:val="2BD604E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nsid w:val="60FC00AF"/>
    <w:multiLevelType w:val="hybridMultilevel"/>
    <w:tmpl w:val="56E01F84"/>
    <w:lvl w:ilvl="0" w:tplc="80248A82">
      <w:start w:val="1"/>
      <w:numFmt w:val="bullet"/>
      <w:pStyle w:val="plus"/>
      <w:lvlText w:val="+"/>
      <w:lvlJc w:val="left"/>
      <w:pPr>
        <w:ind w:left="720" w:hanging="360"/>
      </w:pPr>
      <w:rPr>
        <w:rFonts w:ascii="Arial" w:hAnsi="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61D86B59"/>
    <w:multiLevelType w:val="hybridMultilevel"/>
    <w:tmpl w:val="99BC540A"/>
    <w:lvl w:ilvl="0" w:tplc="53C0603C">
      <w:start w:val="1"/>
      <w:numFmt w:val="lowerLetter"/>
      <w:pStyle w:val="atun"/>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nsid w:val="636148DD"/>
    <w:multiLevelType w:val="hybridMultilevel"/>
    <w:tmpl w:val="68F0443C"/>
    <w:lvl w:ilvl="0" w:tplc="47BEB582">
      <w:start w:val="1"/>
      <w:numFmt w:val="decimal"/>
      <w:pStyle w:val="rove1"/>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66756D57"/>
    <w:multiLevelType w:val="hybridMultilevel"/>
    <w:tmpl w:val="7F9C166E"/>
    <w:lvl w:ilvl="0" w:tplc="BCF6B5D6">
      <w:start w:val="1"/>
      <w:numFmt w:val="lowerLetter"/>
      <w:pStyle w:val="Styl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699B272A"/>
    <w:multiLevelType w:val="multilevel"/>
    <w:tmpl w:val="76809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A464D2C"/>
    <w:multiLevelType w:val="multilevel"/>
    <w:tmpl w:val="DF7C4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bullet"/>
      <w:lvlText w:val="-"/>
      <w:lvlJc w:val="left"/>
      <w:pPr>
        <w:ind w:left="2880" w:hanging="360"/>
      </w:pPr>
      <w:rPr>
        <w:rFonts w:ascii="Cambria" w:eastAsia="Arial" w:hAnsi="Cambria" w:cs="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AED4B83"/>
    <w:multiLevelType w:val="multilevel"/>
    <w:tmpl w:val="5E20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C926F77"/>
    <w:multiLevelType w:val="multilevel"/>
    <w:tmpl w:val="063A5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EB85EFF"/>
    <w:multiLevelType w:val="multilevel"/>
    <w:tmpl w:val="5B764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5587B1D"/>
    <w:multiLevelType w:val="hybridMultilevel"/>
    <w:tmpl w:val="CD12B2D0"/>
    <w:lvl w:ilvl="0" w:tplc="57BE91DA">
      <w:start w:val="1"/>
      <w:numFmt w:val="bullet"/>
      <w:pStyle w:val="odrkadoporuen"/>
      <w:lvlText w:val="→"/>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nsid w:val="766C6891"/>
    <w:multiLevelType w:val="multilevel"/>
    <w:tmpl w:val="9EAA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AAE2DFF"/>
    <w:multiLevelType w:val="hybridMultilevel"/>
    <w:tmpl w:val="A32C7AD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7AB711DE"/>
    <w:multiLevelType w:val="multilevel"/>
    <w:tmpl w:val="24C4E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BBF16D0"/>
    <w:multiLevelType w:val="multilevel"/>
    <w:tmpl w:val="CF98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C993A05"/>
    <w:multiLevelType w:val="multilevel"/>
    <w:tmpl w:val="3D125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D4B7645"/>
    <w:multiLevelType w:val="multilevel"/>
    <w:tmpl w:val="EAA2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DD24844"/>
    <w:multiLevelType w:val="hybridMultilevel"/>
    <w:tmpl w:val="5588D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56"/>
  </w:num>
  <w:num w:numId="4">
    <w:abstractNumId w:val="43"/>
  </w:num>
  <w:num w:numId="5">
    <w:abstractNumId w:val="19"/>
  </w:num>
  <w:num w:numId="6">
    <w:abstractNumId w:val="14"/>
  </w:num>
  <w:num w:numId="7">
    <w:abstractNumId w:val="60"/>
  </w:num>
  <w:num w:numId="8">
    <w:abstractNumId w:val="31"/>
  </w:num>
  <w:num w:numId="9">
    <w:abstractNumId w:val="38"/>
  </w:num>
  <w:num w:numId="10">
    <w:abstractNumId w:val="8"/>
  </w:num>
  <w:num w:numId="11">
    <w:abstractNumId w:val="48"/>
  </w:num>
  <w:num w:numId="12">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num>
  <w:num w:numId="14">
    <w:abstractNumId w:val="59"/>
  </w:num>
  <w:num w:numId="15">
    <w:abstractNumId w:val="4"/>
  </w:num>
  <w:num w:numId="16">
    <w:abstractNumId w:val="11"/>
  </w:num>
  <w:num w:numId="17">
    <w:abstractNumId w:val="30"/>
  </w:num>
  <w:num w:numId="18">
    <w:abstractNumId w:val="28"/>
  </w:num>
  <w:num w:numId="19">
    <w:abstractNumId w:val="53"/>
  </w:num>
  <w:num w:numId="20">
    <w:abstractNumId w:val="21"/>
  </w:num>
  <w:num w:numId="21">
    <w:abstractNumId w:val="20"/>
  </w:num>
  <w:num w:numId="22">
    <w:abstractNumId w:val="57"/>
  </w:num>
  <w:num w:numId="23">
    <w:abstractNumId w:val="66"/>
  </w:num>
  <w:num w:numId="24">
    <w:abstractNumId w:val="42"/>
  </w:num>
  <w:num w:numId="25">
    <w:abstractNumId w:val="3"/>
  </w:num>
  <w:num w:numId="26">
    <w:abstractNumId w:val="25"/>
  </w:num>
  <w:num w:numId="27">
    <w:abstractNumId w:val="58"/>
  </w:num>
  <w:num w:numId="28">
    <w:abstractNumId w:val="5"/>
  </w:num>
  <w:num w:numId="29">
    <w:abstractNumId w:val="7"/>
  </w:num>
  <w:num w:numId="30">
    <w:abstractNumId w:val="52"/>
  </w:num>
  <w:num w:numId="31">
    <w:abstractNumId w:val="10"/>
  </w:num>
  <w:num w:numId="32">
    <w:abstractNumId w:val="29"/>
  </w:num>
  <w:num w:numId="33">
    <w:abstractNumId w:val="72"/>
  </w:num>
  <w:num w:numId="34">
    <w:abstractNumId w:val="23"/>
  </w:num>
  <w:num w:numId="35">
    <w:abstractNumId w:val="2"/>
  </w:num>
  <w:num w:numId="36">
    <w:abstractNumId w:val="54"/>
  </w:num>
  <w:num w:numId="37">
    <w:abstractNumId w:val="61"/>
  </w:num>
  <w:num w:numId="38">
    <w:abstractNumId w:val="45"/>
  </w:num>
  <w:num w:numId="39">
    <w:abstractNumId w:val="1"/>
  </w:num>
  <w:num w:numId="40">
    <w:abstractNumId w:val="69"/>
  </w:num>
  <w:num w:numId="41">
    <w:abstractNumId w:val="37"/>
  </w:num>
  <w:num w:numId="42">
    <w:abstractNumId w:val="63"/>
  </w:num>
  <w:num w:numId="43">
    <w:abstractNumId w:val="27"/>
  </w:num>
  <w:num w:numId="44">
    <w:abstractNumId w:val="6"/>
  </w:num>
  <w:num w:numId="45">
    <w:abstractNumId w:val="70"/>
  </w:num>
  <w:num w:numId="46">
    <w:abstractNumId w:val="50"/>
  </w:num>
  <w:num w:numId="47">
    <w:abstractNumId w:val="44"/>
  </w:num>
  <w:num w:numId="48">
    <w:abstractNumId w:val="67"/>
  </w:num>
  <w:num w:numId="49">
    <w:abstractNumId w:val="32"/>
  </w:num>
  <w:num w:numId="50">
    <w:abstractNumId w:val="15"/>
  </w:num>
  <w:num w:numId="51">
    <w:abstractNumId w:val="34"/>
  </w:num>
  <w:num w:numId="52">
    <w:abstractNumId w:val="9"/>
  </w:num>
  <w:num w:numId="53">
    <w:abstractNumId w:val="35"/>
  </w:num>
  <w:num w:numId="54">
    <w:abstractNumId w:val="16"/>
  </w:num>
  <w:num w:numId="55">
    <w:abstractNumId w:val="22"/>
  </w:num>
  <w:num w:numId="56">
    <w:abstractNumId w:val="71"/>
  </w:num>
  <w:num w:numId="57">
    <w:abstractNumId w:val="51"/>
  </w:num>
  <w:num w:numId="58">
    <w:abstractNumId w:val="64"/>
  </w:num>
  <w:num w:numId="59">
    <w:abstractNumId w:val="13"/>
  </w:num>
  <w:num w:numId="60">
    <w:abstractNumId w:val="65"/>
  </w:num>
  <w:num w:numId="61">
    <w:abstractNumId w:val="62"/>
  </w:num>
  <w:num w:numId="62">
    <w:abstractNumId w:val="62"/>
    <w:lvlOverride w:ilvl="2">
      <w:lvl w:ilvl="2">
        <w:numFmt w:val="bullet"/>
        <w:lvlText w:val=""/>
        <w:lvlJc w:val="left"/>
        <w:pPr>
          <w:tabs>
            <w:tab w:val="num" w:pos="2160"/>
          </w:tabs>
          <w:ind w:left="2160" w:hanging="360"/>
        </w:pPr>
        <w:rPr>
          <w:rFonts w:ascii="Symbol" w:hAnsi="Symbol" w:hint="default"/>
          <w:sz w:val="20"/>
        </w:rPr>
      </w:lvl>
    </w:lvlOverride>
  </w:num>
  <w:num w:numId="63">
    <w:abstractNumId w:val="36"/>
  </w:num>
  <w:num w:numId="64">
    <w:abstractNumId w:val="47"/>
  </w:num>
  <w:num w:numId="65">
    <w:abstractNumId w:val="17"/>
  </w:num>
  <w:num w:numId="66">
    <w:abstractNumId w:val="46"/>
  </w:num>
  <w:num w:numId="67">
    <w:abstractNumId w:val="33"/>
  </w:num>
  <w:num w:numId="68">
    <w:abstractNumId w:val="12"/>
  </w:num>
  <w:num w:numId="69">
    <w:abstractNumId w:val="39"/>
  </w:num>
  <w:num w:numId="70">
    <w:abstractNumId w:val="18"/>
  </w:num>
  <w:num w:numId="71">
    <w:abstractNumId w:val="40"/>
  </w:num>
  <w:num w:numId="72">
    <w:abstractNumId w:val="41"/>
  </w:num>
  <w:num w:numId="73">
    <w:abstractNumId w:val="68"/>
  </w:num>
  <w:num w:numId="74">
    <w:abstractNumId w:val="73"/>
  </w:num>
  <w:num w:numId="75">
    <w:abstractNumId w:val="26"/>
  </w:num>
  <w:num w:numId="76">
    <w:abstractNumId w:val="0"/>
  </w:num>
  <w:num w:numId="77">
    <w:abstractNumId w:val="51"/>
  </w:num>
  <w:num w:numId="78">
    <w:abstractNumId w:val="5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C4588"/>
    <w:rsid w:val="00020305"/>
    <w:rsid w:val="000451FD"/>
    <w:rsid w:val="00046C12"/>
    <w:rsid w:val="00051753"/>
    <w:rsid w:val="000924E9"/>
    <w:rsid w:val="00094B57"/>
    <w:rsid w:val="0009700A"/>
    <w:rsid w:val="000A1B2A"/>
    <w:rsid w:val="000D59FC"/>
    <w:rsid w:val="000F2A00"/>
    <w:rsid w:val="00106054"/>
    <w:rsid w:val="0014254D"/>
    <w:rsid w:val="0014723F"/>
    <w:rsid w:val="00161C2B"/>
    <w:rsid w:val="0019473F"/>
    <w:rsid w:val="001A5C68"/>
    <w:rsid w:val="00204AEE"/>
    <w:rsid w:val="002160A3"/>
    <w:rsid w:val="002247AE"/>
    <w:rsid w:val="00224976"/>
    <w:rsid w:val="00231145"/>
    <w:rsid w:val="002633AC"/>
    <w:rsid w:val="00280E0E"/>
    <w:rsid w:val="00283C55"/>
    <w:rsid w:val="002865E4"/>
    <w:rsid w:val="002879D8"/>
    <w:rsid w:val="002E01CF"/>
    <w:rsid w:val="002E41D1"/>
    <w:rsid w:val="003272C3"/>
    <w:rsid w:val="00330CFF"/>
    <w:rsid w:val="0033239D"/>
    <w:rsid w:val="00332639"/>
    <w:rsid w:val="003A1E25"/>
    <w:rsid w:val="003A5B2E"/>
    <w:rsid w:val="003A602B"/>
    <w:rsid w:val="003E15BB"/>
    <w:rsid w:val="003E6BA6"/>
    <w:rsid w:val="00426829"/>
    <w:rsid w:val="004272B6"/>
    <w:rsid w:val="00463672"/>
    <w:rsid w:val="00473AB1"/>
    <w:rsid w:val="004773C8"/>
    <w:rsid w:val="00484951"/>
    <w:rsid w:val="00491774"/>
    <w:rsid w:val="00495BF7"/>
    <w:rsid w:val="004C0EE0"/>
    <w:rsid w:val="004D0BAE"/>
    <w:rsid w:val="004D52B7"/>
    <w:rsid w:val="004E7868"/>
    <w:rsid w:val="005078A2"/>
    <w:rsid w:val="005A1F36"/>
    <w:rsid w:val="005C389E"/>
    <w:rsid w:val="005D4FEC"/>
    <w:rsid w:val="005E6BCD"/>
    <w:rsid w:val="005E7B9B"/>
    <w:rsid w:val="005F3877"/>
    <w:rsid w:val="00600608"/>
    <w:rsid w:val="00616788"/>
    <w:rsid w:val="00626063"/>
    <w:rsid w:val="00636838"/>
    <w:rsid w:val="00650FB0"/>
    <w:rsid w:val="00660A9A"/>
    <w:rsid w:val="0068559B"/>
    <w:rsid w:val="006912DC"/>
    <w:rsid w:val="006A209E"/>
    <w:rsid w:val="006C0DF8"/>
    <w:rsid w:val="006C51A5"/>
    <w:rsid w:val="006D0F02"/>
    <w:rsid w:val="006E38F6"/>
    <w:rsid w:val="00736E0F"/>
    <w:rsid w:val="0079606E"/>
    <w:rsid w:val="007A5F66"/>
    <w:rsid w:val="00806978"/>
    <w:rsid w:val="00826E50"/>
    <w:rsid w:val="00851123"/>
    <w:rsid w:val="00891852"/>
    <w:rsid w:val="008950E8"/>
    <w:rsid w:val="008A649B"/>
    <w:rsid w:val="008C4588"/>
    <w:rsid w:val="008D7283"/>
    <w:rsid w:val="008D751E"/>
    <w:rsid w:val="008F2E50"/>
    <w:rsid w:val="00910C52"/>
    <w:rsid w:val="00947FC9"/>
    <w:rsid w:val="009833BA"/>
    <w:rsid w:val="009844BE"/>
    <w:rsid w:val="009B2AFE"/>
    <w:rsid w:val="009C043F"/>
    <w:rsid w:val="009D35E6"/>
    <w:rsid w:val="009F50A4"/>
    <w:rsid w:val="00A0120A"/>
    <w:rsid w:val="00A02B1A"/>
    <w:rsid w:val="00A171E8"/>
    <w:rsid w:val="00A333AD"/>
    <w:rsid w:val="00A35B2E"/>
    <w:rsid w:val="00A40358"/>
    <w:rsid w:val="00A52D2C"/>
    <w:rsid w:val="00AA7D62"/>
    <w:rsid w:val="00AC4472"/>
    <w:rsid w:val="00AD14B9"/>
    <w:rsid w:val="00AE2325"/>
    <w:rsid w:val="00AE2946"/>
    <w:rsid w:val="00AF1E89"/>
    <w:rsid w:val="00B1394C"/>
    <w:rsid w:val="00B14B77"/>
    <w:rsid w:val="00B23C6B"/>
    <w:rsid w:val="00B3134E"/>
    <w:rsid w:val="00B53164"/>
    <w:rsid w:val="00B53D84"/>
    <w:rsid w:val="00B5482F"/>
    <w:rsid w:val="00B83750"/>
    <w:rsid w:val="00B93770"/>
    <w:rsid w:val="00BC5587"/>
    <w:rsid w:val="00BC7CCF"/>
    <w:rsid w:val="00BF79FA"/>
    <w:rsid w:val="00C1186A"/>
    <w:rsid w:val="00C26960"/>
    <w:rsid w:val="00C53BCC"/>
    <w:rsid w:val="00C5621F"/>
    <w:rsid w:val="00C8527F"/>
    <w:rsid w:val="00C9203E"/>
    <w:rsid w:val="00CB22C6"/>
    <w:rsid w:val="00CB5C1F"/>
    <w:rsid w:val="00CC429C"/>
    <w:rsid w:val="00CD00F9"/>
    <w:rsid w:val="00CD0C15"/>
    <w:rsid w:val="00D125B1"/>
    <w:rsid w:val="00D17465"/>
    <w:rsid w:val="00D301F4"/>
    <w:rsid w:val="00D5502B"/>
    <w:rsid w:val="00D91091"/>
    <w:rsid w:val="00DB3A13"/>
    <w:rsid w:val="00DB619B"/>
    <w:rsid w:val="00DC34B7"/>
    <w:rsid w:val="00DD1719"/>
    <w:rsid w:val="00DE4ABB"/>
    <w:rsid w:val="00E01D55"/>
    <w:rsid w:val="00E30022"/>
    <w:rsid w:val="00E5232D"/>
    <w:rsid w:val="00E53D60"/>
    <w:rsid w:val="00E870E4"/>
    <w:rsid w:val="00E878DF"/>
    <w:rsid w:val="00E9257D"/>
    <w:rsid w:val="00E9455C"/>
    <w:rsid w:val="00E95E22"/>
    <w:rsid w:val="00EF600B"/>
    <w:rsid w:val="00F01E60"/>
    <w:rsid w:val="00F0587A"/>
    <w:rsid w:val="00F5065B"/>
    <w:rsid w:val="00F51F10"/>
    <w:rsid w:val="00F560B3"/>
    <w:rsid w:val="00F92E23"/>
    <w:rsid w:val="00FC0574"/>
    <w:rsid w:val="00FC46C6"/>
    <w:rsid w:val="00FC7BC8"/>
    <w:rsid w:val="00FC7E62"/>
    <w:rsid w:val="00FD6A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4B57"/>
    <w:pPr>
      <w:spacing w:after="60" w:line="240" w:lineRule="auto"/>
      <w:jc w:val="both"/>
    </w:pPr>
    <w:rPr>
      <w:rFonts w:asciiTheme="majorHAnsi" w:hAnsiTheme="majorHAnsi"/>
    </w:rPr>
  </w:style>
  <w:style w:type="paragraph" w:styleId="Nadpis1">
    <w:name w:val="heading 1"/>
    <w:aliases w:val="Nadpis 1."/>
    <w:basedOn w:val="Normln"/>
    <w:next w:val="Normln"/>
    <w:link w:val="Nadpis1Char"/>
    <w:autoRedefine/>
    <w:uiPriority w:val="9"/>
    <w:qFormat/>
    <w:rsid w:val="000D59FC"/>
    <w:pPr>
      <w:keepNext/>
      <w:keepLines/>
      <w:numPr>
        <w:numId w:val="1"/>
      </w:numPr>
      <w:spacing w:before="360" w:after="120"/>
      <w:ind w:left="0" w:firstLine="357"/>
      <w:contextualSpacing/>
      <w:outlineLvl w:val="0"/>
    </w:pPr>
    <w:rPr>
      <w:b/>
      <w:color w:val="FF0000"/>
      <w:sz w:val="28"/>
      <w:szCs w:val="32"/>
    </w:rPr>
  </w:style>
  <w:style w:type="paragraph" w:styleId="Nadpis2">
    <w:name w:val="heading 2"/>
    <w:aliases w:val="Nadpis 1.1"/>
    <w:basedOn w:val="Normln"/>
    <w:next w:val="Normln"/>
    <w:link w:val="Nadpis2Char"/>
    <w:autoRedefine/>
    <w:uiPriority w:val="9"/>
    <w:qFormat/>
    <w:rsid w:val="000D59FC"/>
    <w:pPr>
      <w:keepNext/>
      <w:keepLines/>
      <w:numPr>
        <w:ilvl w:val="1"/>
        <w:numId w:val="1"/>
      </w:numPr>
      <w:spacing w:before="360" w:after="120"/>
      <w:ind w:left="850" w:hanging="357"/>
      <w:contextualSpacing/>
      <w:outlineLvl w:val="1"/>
    </w:pPr>
    <w:rPr>
      <w:b/>
      <w:color w:val="FF0000"/>
      <w:sz w:val="24"/>
      <w:szCs w:val="28"/>
    </w:rPr>
  </w:style>
  <w:style w:type="paragraph" w:styleId="Nadpis3">
    <w:name w:val="heading 3"/>
    <w:basedOn w:val="Normln"/>
    <w:next w:val="Normln"/>
    <w:link w:val="Nadpis3Char"/>
    <w:autoRedefine/>
    <w:uiPriority w:val="9"/>
    <w:qFormat/>
    <w:rsid w:val="006E38F6"/>
    <w:pPr>
      <w:keepNext/>
      <w:keepLines/>
      <w:numPr>
        <w:ilvl w:val="2"/>
        <w:numId w:val="1"/>
      </w:numPr>
      <w:spacing w:before="120" w:after="0" w:line="276" w:lineRule="auto"/>
      <w:ind w:left="284" w:firstLine="250"/>
      <w:contextualSpacing/>
      <w:jc w:val="left"/>
      <w:outlineLvl w:val="2"/>
    </w:pPr>
    <w:rPr>
      <w:b/>
      <w:color w:val="FF0000"/>
    </w:rPr>
  </w:style>
  <w:style w:type="paragraph" w:styleId="Nadpis4">
    <w:name w:val="heading 4"/>
    <w:basedOn w:val="Normln"/>
    <w:next w:val="Normln"/>
    <w:link w:val="Nadpis4Char"/>
    <w:qFormat/>
    <w:pPr>
      <w:keepNext/>
      <w:keepLines/>
      <w:spacing w:before="280" w:after="80"/>
      <w:contextualSpacing/>
      <w:outlineLvl w:val="3"/>
    </w:pPr>
    <w:rPr>
      <w:color w:val="666666"/>
      <w:sz w:val="24"/>
      <w:szCs w:val="24"/>
    </w:rPr>
  </w:style>
  <w:style w:type="paragraph" w:styleId="Nadpis5">
    <w:name w:val="heading 5"/>
    <w:basedOn w:val="Normln"/>
    <w:next w:val="Normln"/>
    <w:link w:val="Nadpis5Char"/>
    <w:qFormat/>
    <w:pPr>
      <w:keepNext/>
      <w:keepLines/>
      <w:spacing w:before="240" w:after="80"/>
      <w:contextualSpacing/>
      <w:outlineLvl w:val="4"/>
    </w:pPr>
    <w:rPr>
      <w:color w:val="666666"/>
    </w:rPr>
  </w:style>
  <w:style w:type="paragraph" w:styleId="Nadpis6">
    <w:name w:val="heading 6"/>
    <w:basedOn w:val="Normln"/>
    <w:next w:val="Normln"/>
    <w:link w:val="Nadpis6Char"/>
    <w:qFormat/>
    <w:pPr>
      <w:keepNext/>
      <w:keepLines/>
      <w:spacing w:before="240" w:after="80"/>
      <w:contextualSpacing/>
      <w:outlineLvl w:val="5"/>
    </w:pPr>
    <w:rPr>
      <w:i/>
      <w:color w:val="666666"/>
    </w:rPr>
  </w:style>
  <w:style w:type="paragraph" w:styleId="Nadpis7">
    <w:name w:val="heading 7"/>
    <w:basedOn w:val="Normln"/>
    <w:next w:val="Normln"/>
    <w:link w:val="Nadpis7Char"/>
    <w:unhideWhenUsed/>
    <w:qFormat/>
    <w:rsid w:val="00A52D2C"/>
    <w:pPr>
      <w:keepNext/>
      <w:keepLines/>
      <w:spacing w:before="200"/>
      <w:ind w:left="1296" w:hanging="1296"/>
      <w:outlineLvl w:val="6"/>
    </w:pPr>
    <w:rPr>
      <w:rFonts w:eastAsiaTheme="majorEastAsia" w:cstheme="majorBidi"/>
      <w:i/>
      <w:iCs/>
      <w:color w:val="404040" w:themeColor="text1" w:themeTint="BF"/>
      <w:lang w:eastAsia="en-US"/>
    </w:rPr>
  </w:style>
  <w:style w:type="paragraph" w:styleId="Nadpis8">
    <w:name w:val="heading 8"/>
    <w:basedOn w:val="Normln"/>
    <w:next w:val="Normln"/>
    <w:link w:val="Nadpis8Char"/>
    <w:uiPriority w:val="9"/>
    <w:unhideWhenUsed/>
    <w:qFormat/>
    <w:rsid w:val="00A52D2C"/>
    <w:pPr>
      <w:keepNext/>
      <w:keepLines/>
      <w:spacing w:before="200"/>
      <w:ind w:left="1440" w:hanging="1440"/>
      <w:outlineLvl w:val="7"/>
    </w:pPr>
    <w:rPr>
      <w:rFonts w:eastAsiaTheme="majorEastAsia"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A52D2C"/>
    <w:pPr>
      <w:keepNext/>
      <w:keepLines/>
      <w:spacing w:before="200"/>
      <w:ind w:left="1584" w:hanging="1584"/>
      <w:outlineLvl w:val="8"/>
    </w:pPr>
    <w:rPr>
      <w:rFonts w:eastAsiaTheme="majorEastAsia"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aliases w:val="Graf"/>
    <w:basedOn w:val="Normln"/>
    <w:next w:val="Normln"/>
    <w:link w:val="NzevChar"/>
    <w:uiPriority w:val="10"/>
    <w:qFormat/>
    <w:pPr>
      <w:keepNext/>
      <w:keepLines/>
      <w:contextualSpacing/>
    </w:pPr>
    <w:rPr>
      <w:sz w:val="52"/>
      <w:szCs w:val="52"/>
    </w:rPr>
  </w:style>
  <w:style w:type="paragraph" w:styleId="Podtitul">
    <w:name w:val="Subtitle"/>
    <w:basedOn w:val="Normln"/>
    <w:next w:val="Normln"/>
    <w:link w:val="PodtitulChar"/>
    <w:uiPriority w:val="11"/>
    <w:qFormat/>
    <w:pPr>
      <w:keepNext/>
      <w:keepLines/>
      <w:spacing w:after="320"/>
      <w:contextualSpacing/>
    </w:pPr>
    <w:rPr>
      <w:rFonts w:ascii="Arial" w:hAnsi="Arial"/>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DC34B7"/>
    <w:rPr>
      <w:rFonts w:ascii="Tahoma" w:hAnsi="Tahoma" w:cs="Tahoma"/>
      <w:sz w:val="16"/>
      <w:szCs w:val="16"/>
    </w:rPr>
  </w:style>
  <w:style w:type="character" w:customStyle="1" w:styleId="TextbublinyChar">
    <w:name w:val="Text bubliny Char"/>
    <w:basedOn w:val="Standardnpsmoodstavce"/>
    <w:link w:val="Textbubliny"/>
    <w:uiPriority w:val="99"/>
    <w:semiHidden/>
    <w:rsid w:val="00DC34B7"/>
    <w:rPr>
      <w:rFonts w:ascii="Tahoma" w:hAnsi="Tahoma" w:cs="Tahoma"/>
      <w:sz w:val="16"/>
      <w:szCs w:val="16"/>
    </w:rPr>
  </w:style>
  <w:style w:type="paragraph" w:styleId="Zhlav">
    <w:name w:val="header"/>
    <w:basedOn w:val="Normln"/>
    <w:link w:val="ZhlavChar"/>
    <w:uiPriority w:val="99"/>
    <w:unhideWhenUsed/>
    <w:rsid w:val="00DC34B7"/>
    <w:pPr>
      <w:tabs>
        <w:tab w:val="center" w:pos="4536"/>
        <w:tab w:val="right" w:pos="9072"/>
      </w:tabs>
    </w:pPr>
  </w:style>
  <w:style w:type="character" w:customStyle="1" w:styleId="ZhlavChar">
    <w:name w:val="Záhlaví Char"/>
    <w:basedOn w:val="Standardnpsmoodstavce"/>
    <w:link w:val="Zhlav"/>
    <w:uiPriority w:val="99"/>
    <w:rsid w:val="00DC34B7"/>
  </w:style>
  <w:style w:type="paragraph" w:styleId="Zpat">
    <w:name w:val="footer"/>
    <w:basedOn w:val="Normln"/>
    <w:link w:val="ZpatChar"/>
    <w:uiPriority w:val="99"/>
    <w:unhideWhenUsed/>
    <w:qFormat/>
    <w:rsid w:val="00DC34B7"/>
    <w:pPr>
      <w:tabs>
        <w:tab w:val="center" w:pos="4536"/>
        <w:tab w:val="right" w:pos="9072"/>
      </w:tabs>
    </w:pPr>
  </w:style>
  <w:style w:type="character" w:customStyle="1" w:styleId="ZpatChar">
    <w:name w:val="Zápatí Char"/>
    <w:basedOn w:val="Standardnpsmoodstavce"/>
    <w:link w:val="Zpat"/>
    <w:uiPriority w:val="99"/>
    <w:rsid w:val="00DC34B7"/>
  </w:style>
  <w:style w:type="character" w:customStyle="1" w:styleId="NzevChar">
    <w:name w:val="Název Char"/>
    <w:aliases w:val="Graf Char"/>
    <w:basedOn w:val="Standardnpsmoodstavce"/>
    <w:link w:val="Nzev"/>
    <w:uiPriority w:val="10"/>
    <w:rsid w:val="00DC34B7"/>
    <w:rPr>
      <w:rFonts w:asciiTheme="majorHAnsi" w:hAnsiTheme="majorHAnsi"/>
      <w:sz w:val="52"/>
      <w:szCs w:val="52"/>
    </w:rPr>
  </w:style>
  <w:style w:type="character" w:customStyle="1" w:styleId="PodtitulChar">
    <w:name w:val="Podtitul Char"/>
    <w:basedOn w:val="Standardnpsmoodstavce"/>
    <w:link w:val="Podtitul"/>
    <w:uiPriority w:val="11"/>
    <w:rsid w:val="00DC34B7"/>
    <w:rPr>
      <w:color w:val="666666"/>
      <w:sz w:val="30"/>
      <w:szCs w:val="30"/>
    </w:rPr>
  </w:style>
  <w:style w:type="character" w:customStyle="1" w:styleId="Nadpis7Char">
    <w:name w:val="Nadpis 7 Char"/>
    <w:basedOn w:val="Standardnpsmoodstavce"/>
    <w:link w:val="Nadpis7"/>
    <w:rsid w:val="00A52D2C"/>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rsid w:val="00A52D2C"/>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A52D2C"/>
    <w:rPr>
      <w:rFonts w:asciiTheme="majorHAnsi" w:eastAsiaTheme="majorEastAsia" w:hAnsiTheme="majorHAnsi" w:cstheme="majorBidi"/>
      <w:i/>
      <w:iCs/>
      <w:color w:val="404040" w:themeColor="text1" w:themeTint="BF"/>
      <w:sz w:val="20"/>
      <w:szCs w:val="20"/>
      <w:lang w:eastAsia="en-US"/>
    </w:rPr>
  </w:style>
  <w:style w:type="character" w:customStyle="1" w:styleId="ZpatChar1">
    <w:name w:val="Zápatí Char1"/>
    <w:basedOn w:val="Standardnpsmoodstavce"/>
    <w:uiPriority w:val="99"/>
    <w:rsid w:val="00A52D2C"/>
    <w:rPr>
      <w:rFonts w:ascii="Cambria" w:hAnsi="Cambria" w:cs="Cambria"/>
      <w:color w:val="000000"/>
      <w:sz w:val="16"/>
    </w:rPr>
  </w:style>
  <w:style w:type="table" w:styleId="Mkatabulky">
    <w:name w:val="Table Grid"/>
    <w:basedOn w:val="Normlntabulka"/>
    <w:uiPriority w:val="59"/>
    <w:rsid w:val="00A52D2C"/>
    <w:pPr>
      <w:spacing w:before="12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A52D2C"/>
    <w:pPr>
      <w:autoSpaceDE w:val="0"/>
      <w:autoSpaceDN w:val="0"/>
      <w:adjustRightInd w:val="0"/>
      <w:spacing w:before="120"/>
      <w:textAlignment w:val="center"/>
    </w:pPr>
    <w:rPr>
      <w:rFonts w:eastAsiaTheme="minorHAnsi" w:cs="Minion Pro"/>
      <w:szCs w:val="24"/>
      <w:lang w:eastAsia="en-US"/>
    </w:rPr>
  </w:style>
  <w:style w:type="paragraph" w:customStyle="1" w:styleId="Nadpisdokumentu">
    <w:name w:val="Nadpis dokumentu"/>
    <w:basedOn w:val="Normln"/>
    <w:next w:val="Normln"/>
    <w:link w:val="NadpisdokumentuChar"/>
    <w:qFormat/>
    <w:rsid w:val="00A52D2C"/>
    <w:pPr>
      <w:autoSpaceDE w:val="0"/>
      <w:autoSpaceDN w:val="0"/>
      <w:adjustRightInd w:val="0"/>
      <w:spacing w:before="120"/>
      <w:jc w:val="right"/>
      <w:textAlignment w:val="center"/>
    </w:pPr>
    <w:rPr>
      <w:rFonts w:eastAsiaTheme="minorHAnsi" w:cs="Cambria"/>
      <w:b/>
      <w:noProof/>
      <w:sz w:val="36"/>
    </w:rPr>
  </w:style>
  <w:style w:type="paragraph" w:customStyle="1" w:styleId="Textvtabulce">
    <w:name w:val="Text v tabulce"/>
    <w:basedOn w:val="Normln"/>
    <w:link w:val="TextvtabulceChar"/>
    <w:qFormat/>
    <w:rsid w:val="00A52D2C"/>
    <w:pPr>
      <w:autoSpaceDE w:val="0"/>
      <w:autoSpaceDN w:val="0"/>
      <w:adjustRightInd w:val="0"/>
      <w:spacing w:before="40" w:after="40"/>
      <w:textAlignment w:val="center"/>
    </w:pPr>
    <w:rPr>
      <w:rFonts w:ascii="Cambria" w:eastAsiaTheme="minorHAnsi" w:hAnsi="Cambria" w:cs="Cambria"/>
      <w:lang w:eastAsia="en-US"/>
    </w:rPr>
  </w:style>
  <w:style w:type="character" w:customStyle="1" w:styleId="NadpisdokumentuChar">
    <w:name w:val="Nadpis dokumentu Char"/>
    <w:basedOn w:val="Standardnpsmoodstavce"/>
    <w:link w:val="Nadpisdokumentu"/>
    <w:rsid w:val="00A52D2C"/>
    <w:rPr>
      <w:rFonts w:asciiTheme="majorHAnsi" w:eastAsiaTheme="minorHAnsi" w:hAnsiTheme="majorHAnsi" w:cs="Cambria"/>
      <w:b/>
      <w:noProof/>
      <w:sz w:val="36"/>
    </w:rPr>
  </w:style>
  <w:style w:type="paragraph" w:customStyle="1" w:styleId="Zpat1">
    <w:name w:val="Zápatí1"/>
    <w:basedOn w:val="Zpat"/>
    <w:qFormat/>
    <w:rsid w:val="00A52D2C"/>
    <w:pPr>
      <w:autoSpaceDE w:val="0"/>
      <w:autoSpaceDN w:val="0"/>
      <w:adjustRightInd w:val="0"/>
      <w:jc w:val="right"/>
      <w:textAlignment w:val="center"/>
    </w:pPr>
    <w:rPr>
      <w:rFonts w:ascii="Cambria" w:eastAsiaTheme="minorHAnsi" w:hAnsi="Cambria" w:cs="Cambria"/>
      <w:noProof/>
      <w:sz w:val="16"/>
    </w:rPr>
  </w:style>
  <w:style w:type="character" w:customStyle="1" w:styleId="TextvtabulceChar">
    <w:name w:val="Text v tabulce Char"/>
    <w:basedOn w:val="Standardnpsmoodstavce"/>
    <w:link w:val="Textvtabulce"/>
    <w:rsid w:val="00A52D2C"/>
    <w:rPr>
      <w:rFonts w:ascii="Cambria" w:eastAsiaTheme="minorHAnsi" w:hAnsi="Cambria" w:cs="Cambria"/>
      <w:lang w:eastAsia="en-US"/>
    </w:rPr>
  </w:style>
  <w:style w:type="paragraph" w:styleId="Zkladntextodsazen">
    <w:name w:val="Body Text Indent"/>
    <w:basedOn w:val="Normln"/>
    <w:link w:val="ZkladntextodsazenChar"/>
    <w:rsid w:val="00A52D2C"/>
    <w:pPr>
      <w:autoSpaceDE w:val="0"/>
      <w:autoSpaceDN w:val="0"/>
      <w:adjustRightInd w:val="0"/>
      <w:spacing w:before="120"/>
      <w:ind w:left="708"/>
      <w:textAlignment w:val="center"/>
    </w:pPr>
    <w:rPr>
      <w:rFonts w:ascii="Cambria" w:eastAsiaTheme="minorHAnsi" w:hAnsi="Cambria" w:cs="Cambria"/>
      <w:lang w:eastAsia="en-US"/>
    </w:rPr>
  </w:style>
  <w:style w:type="character" w:customStyle="1" w:styleId="ZkladntextodsazenChar">
    <w:name w:val="Základní text odsazený Char"/>
    <w:basedOn w:val="Standardnpsmoodstavce"/>
    <w:link w:val="Zkladntextodsazen"/>
    <w:rsid w:val="00A52D2C"/>
    <w:rPr>
      <w:rFonts w:ascii="Cambria" w:eastAsiaTheme="minorHAnsi" w:hAnsi="Cambria" w:cs="Cambria"/>
      <w:lang w:eastAsia="en-US"/>
    </w:rPr>
  </w:style>
  <w:style w:type="character" w:styleId="Zstupntext">
    <w:name w:val="Placeholder Text"/>
    <w:basedOn w:val="Standardnpsmoodstavce"/>
    <w:uiPriority w:val="99"/>
    <w:semiHidden/>
    <w:rsid w:val="00A52D2C"/>
    <w:rPr>
      <w:color w:val="808080"/>
    </w:rPr>
  </w:style>
  <w:style w:type="character" w:customStyle="1" w:styleId="Nadpis1Char">
    <w:name w:val="Nadpis 1 Char"/>
    <w:aliases w:val="Nadpis 1. Char"/>
    <w:basedOn w:val="Standardnpsmoodstavce"/>
    <w:link w:val="Nadpis1"/>
    <w:uiPriority w:val="9"/>
    <w:rsid w:val="000D59FC"/>
    <w:rPr>
      <w:rFonts w:asciiTheme="majorHAnsi" w:hAnsiTheme="majorHAnsi"/>
      <w:b/>
      <w:color w:val="FF0000"/>
      <w:sz w:val="28"/>
      <w:szCs w:val="32"/>
    </w:rPr>
  </w:style>
  <w:style w:type="character" w:customStyle="1" w:styleId="Nadpis2Char">
    <w:name w:val="Nadpis 2 Char"/>
    <w:aliases w:val="Nadpis 1.1 Char"/>
    <w:basedOn w:val="Standardnpsmoodstavce"/>
    <w:link w:val="Nadpis2"/>
    <w:uiPriority w:val="9"/>
    <w:rsid w:val="000D59FC"/>
    <w:rPr>
      <w:rFonts w:asciiTheme="majorHAnsi" w:hAnsiTheme="majorHAnsi"/>
      <w:b/>
      <w:color w:val="FF0000"/>
      <w:sz w:val="24"/>
      <w:szCs w:val="28"/>
    </w:rPr>
  </w:style>
  <w:style w:type="character" w:customStyle="1" w:styleId="Nadpis3Char">
    <w:name w:val="Nadpis 3 Char"/>
    <w:basedOn w:val="Standardnpsmoodstavce"/>
    <w:link w:val="Nadpis3"/>
    <w:uiPriority w:val="9"/>
    <w:rsid w:val="006E38F6"/>
    <w:rPr>
      <w:rFonts w:asciiTheme="majorHAnsi" w:hAnsiTheme="majorHAnsi"/>
      <w:b/>
      <w:color w:val="FF0000"/>
    </w:rPr>
  </w:style>
  <w:style w:type="character" w:customStyle="1" w:styleId="Nadpis4Char">
    <w:name w:val="Nadpis 4 Char"/>
    <w:basedOn w:val="Standardnpsmoodstavce"/>
    <w:link w:val="Nadpis4"/>
    <w:rsid w:val="00A52D2C"/>
    <w:rPr>
      <w:rFonts w:asciiTheme="majorHAnsi" w:hAnsiTheme="majorHAnsi"/>
      <w:color w:val="666666"/>
      <w:sz w:val="24"/>
      <w:szCs w:val="24"/>
    </w:rPr>
  </w:style>
  <w:style w:type="character" w:customStyle="1" w:styleId="Nadpis5Char">
    <w:name w:val="Nadpis 5 Char"/>
    <w:basedOn w:val="Standardnpsmoodstavce"/>
    <w:link w:val="Nadpis5"/>
    <w:rsid w:val="00A52D2C"/>
    <w:rPr>
      <w:rFonts w:asciiTheme="majorHAnsi" w:hAnsiTheme="majorHAnsi"/>
      <w:color w:val="666666"/>
    </w:rPr>
  </w:style>
  <w:style w:type="character" w:customStyle="1" w:styleId="Nadpis6Char">
    <w:name w:val="Nadpis 6 Char"/>
    <w:basedOn w:val="Standardnpsmoodstavce"/>
    <w:link w:val="Nadpis6"/>
    <w:rsid w:val="00A52D2C"/>
    <w:rPr>
      <w:rFonts w:asciiTheme="majorHAnsi" w:hAnsiTheme="majorHAnsi"/>
      <w:i/>
      <w:color w:val="666666"/>
    </w:rPr>
  </w:style>
  <w:style w:type="paragraph" w:styleId="Odstavecseseznamem">
    <w:name w:val="List Paragraph"/>
    <w:basedOn w:val="Normln"/>
    <w:link w:val="OdstavecseseznamemChar"/>
    <w:uiPriority w:val="34"/>
    <w:qFormat/>
    <w:rsid w:val="00DD1719"/>
    <w:pPr>
      <w:numPr>
        <w:numId w:val="57"/>
      </w:numPr>
      <w:autoSpaceDE w:val="0"/>
      <w:autoSpaceDN w:val="0"/>
      <w:adjustRightInd w:val="0"/>
      <w:spacing w:before="60"/>
      <w:contextualSpacing/>
      <w:textAlignment w:val="center"/>
    </w:pPr>
    <w:rPr>
      <w:rFonts w:ascii="Cambria" w:eastAsiaTheme="minorHAnsi" w:hAnsi="Cambria" w:cs="Cambria"/>
      <w:lang w:eastAsia="en-US"/>
    </w:rPr>
  </w:style>
  <w:style w:type="paragraph" w:styleId="Citt">
    <w:name w:val="Quote"/>
    <w:basedOn w:val="Normln"/>
    <w:next w:val="Normln"/>
    <w:link w:val="CittChar"/>
    <w:uiPriority w:val="29"/>
    <w:qFormat/>
    <w:rsid w:val="00A52D2C"/>
    <w:pPr>
      <w:autoSpaceDE w:val="0"/>
      <w:autoSpaceDN w:val="0"/>
      <w:adjustRightInd w:val="0"/>
      <w:spacing w:before="120"/>
      <w:textAlignment w:val="center"/>
    </w:pPr>
    <w:rPr>
      <w:rFonts w:ascii="Cambria" w:eastAsiaTheme="minorHAnsi" w:hAnsi="Cambria" w:cs="Cambria"/>
      <w:i/>
      <w:iCs/>
      <w:color w:val="000000" w:themeColor="text1"/>
      <w:lang w:eastAsia="en-US"/>
    </w:rPr>
  </w:style>
  <w:style w:type="character" w:customStyle="1" w:styleId="CittChar">
    <w:name w:val="Citát Char"/>
    <w:basedOn w:val="Standardnpsmoodstavce"/>
    <w:link w:val="Citt"/>
    <w:uiPriority w:val="29"/>
    <w:rsid w:val="00A52D2C"/>
    <w:rPr>
      <w:rFonts w:ascii="Cambria" w:eastAsiaTheme="minorHAnsi" w:hAnsi="Cambria" w:cs="Cambria"/>
      <w:i/>
      <w:iCs/>
      <w:color w:val="000000" w:themeColor="text1"/>
      <w:lang w:eastAsia="en-US"/>
    </w:rPr>
  </w:style>
  <w:style w:type="character" w:styleId="Nzevknihy">
    <w:name w:val="Book Title"/>
    <w:basedOn w:val="Standardnpsmoodstavce"/>
    <w:uiPriority w:val="33"/>
    <w:qFormat/>
    <w:rsid w:val="00A52D2C"/>
    <w:rPr>
      <w:b/>
      <w:bCs/>
      <w:smallCaps/>
      <w:spacing w:val="5"/>
    </w:rPr>
  </w:style>
  <w:style w:type="character" w:styleId="Zdraznnintenzivn">
    <w:name w:val="Intense Emphasis"/>
    <w:basedOn w:val="Standardnpsmoodstavce"/>
    <w:uiPriority w:val="21"/>
    <w:rsid w:val="00A52D2C"/>
    <w:rPr>
      <w:b/>
      <w:bCs/>
      <w:color w:val="auto"/>
    </w:rPr>
  </w:style>
  <w:style w:type="paragraph" w:styleId="Vrazncitt">
    <w:name w:val="Intense Quote"/>
    <w:basedOn w:val="Normln"/>
    <w:next w:val="Normln"/>
    <w:link w:val="VrazncittChar"/>
    <w:uiPriority w:val="30"/>
    <w:rsid w:val="00A52D2C"/>
    <w:pPr>
      <w:pBdr>
        <w:bottom w:val="single" w:sz="4" w:space="4" w:color="4F81BD" w:themeColor="accent1"/>
      </w:pBdr>
      <w:autoSpaceDE w:val="0"/>
      <w:autoSpaceDN w:val="0"/>
      <w:adjustRightInd w:val="0"/>
      <w:spacing w:before="200" w:after="280"/>
      <w:ind w:left="936" w:right="936"/>
      <w:textAlignment w:val="center"/>
    </w:pPr>
    <w:rPr>
      <w:rFonts w:ascii="Cambria" w:eastAsiaTheme="minorHAnsi" w:hAnsi="Cambria" w:cs="Cambria"/>
      <w:b/>
      <w:bCs/>
      <w:i/>
      <w:iCs/>
      <w:color w:val="4F81BD" w:themeColor="accent1"/>
      <w:lang w:eastAsia="en-US"/>
    </w:rPr>
  </w:style>
  <w:style w:type="character" w:customStyle="1" w:styleId="VrazncittChar">
    <w:name w:val="Výrazný citát Char"/>
    <w:basedOn w:val="Standardnpsmoodstavce"/>
    <w:link w:val="Vrazncitt"/>
    <w:uiPriority w:val="30"/>
    <w:rsid w:val="00A52D2C"/>
    <w:rPr>
      <w:rFonts w:ascii="Cambria" w:eastAsiaTheme="minorHAnsi" w:hAnsi="Cambria" w:cs="Cambria"/>
      <w:b/>
      <w:bCs/>
      <w:i/>
      <w:iCs/>
      <w:color w:val="4F81BD" w:themeColor="accent1"/>
      <w:lang w:eastAsia="en-US"/>
    </w:rPr>
  </w:style>
  <w:style w:type="character" w:styleId="Odkazjemn">
    <w:name w:val="Subtle Reference"/>
    <w:basedOn w:val="Standardnpsmoodstavce"/>
    <w:uiPriority w:val="31"/>
    <w:rsid w:val="00A52D2C"/>
    <w:rPr>
      <w:smallCaps/>
      <w:color w:val="C0504D" w:themeColor="accent2"/>
      <w:u w:val="single"/>
    </w:rPr>
  </w:style>
  <w:style w:type="character" w:styleId="Odkazintenzivn">
    <w:name w:val="Intense Reference"/>
    <w:basedOn w:val="Standardnpsmoodstavce"/>
    <w:uiPriority w:val="32"/>
    <w:rsid w:val="00A52D2C"/>
    <w:rPr>
      <w:b/>
      <w:bCs/>
      <w:smallCaps/>
      <w:color w:val="C0504D" w:themeColor="accent2"/>
      <w:spacing w:val="5"/>
      <w:u w:val="single"/>
    </w:rPr>
  </w:style>
  <w:style w:type="paragraph" w:styleId="Titulek">
    <w:name w:val="caption"/>
    <w:basedOn w:val="Normln"/>
    <w:next w:val="Normln"/>
    <w:link w:val="TitulekChar"/>
    <w:uiPriority w:val="35"/>
    <w:unhideWhenUsed/>
    <w:qFormat/>
    <w:rsid w:val="00A52D2C"/>
    <w:pPr>
      <w:autoSpaceDE w:val="0"/>
      <w:autoSpaceDN w:val="0"/>
      <w:adjustRightInd w:val="0"/>
      <w:spacing w:before="240" w:after="120"/>
      <w:textAlignment w:val="center"/>
    </w:pPr>
    <w:rPr>
      <w:rFonts w:ascii="Cambria" w:eastAsiaTheme="minorHAnsi" w:hAnsi="Cambria" w:cs="Cambria"/>
      <w:b/>
      <w:bCs/>
      <w:color w:val="auto"/>
      <w:szCs w:val="18"/>
      <w:lang w:eastAsia="en-US"/>
    </w:rPr>
  </w:style>
  <w:style w:type="paragraph" w:styleId="Obsah1">
    <w:name w:val="toc 1"/>
    <w:basedOn w:val="Normln"/>
    <w:next w:val="Normln"/>
    <w:autoRedefine/>
    <w:uiPriority w:val="39"/>
    <w:unhideWhenUsed/>
    <w:qFormat/>
    <w:rsid w:val="00484951"/>
    <w:pPr>
      <w:tabs>
        <w:tab w:val="left" w:pos="440"/>
        <w:tab w:val="right" w:leader="dot" w:pos="9630"/>
      </w:tabs>
      <w:spacing w:before="240" w:after="120"/>
      <w:jc w:val="left"/>
    </w:pPr>
    <w:rPr>
      <w:b/>
      <w:sz w:val="20"/>
      <w:szCs w:val="28"/>
    </w:rPr>
  </w:style>
  <w:style w:type="paragraph" w:styleId="Obsah2">
    <w:name w:val="toc 2"/>
    <w:basedOn w:val="Normln"/>
    <w:next w:val="Normln"/>
    <w:autoRedefine/>
    <w:uiPriority w:val="39"/>
    <w:unhideWhenUsed/>
    <w:qFormat/>
    <w:rsid w:val="00A52D2C"/>
    <w:pPr>
      <w:spacing w:before="120" w:after="0"/>
      <w:ind w:left="220"/>
      <w:jc w:val="left"/>
    </w:pPr>
    <w:rPr>
      <w:rFonts w:asciiTheme="minorHAnsi" w:hAnsiTheme="minorHAnsi"/>
      <w:i/>
      <w:iCs/>
      <w:sz w:val="20"/>
      <w:szCs w:val="20"/>
    </w:rPr>
  </w:style>
  <w:style w:type="paragraph" w:styleId="Obsah3">
    <w:name w:val="toc 3"/>
    <w:basedOn w:val="Normln"/>
    <w:next w:val="Normln"/>
    <w:autoRedefine/>
    <w:uiPriority w:val="39"/>
    <w:unhideWhenUsed/>
    <w:qFormat/>
    <w:rsid w:val="00A52D2C"/>
    <w:pPr>
      <w:spacing w:after="0"/>
      <w:ind w:left="440"/>
      <w:jc w:val="left"/>
    </w:pPr>
    <w:rPr>
      <w:rFonts w:asciiTheme="minorHAnsi" w:hAnsiTheme="minorHAnsi"/>
      <w:sz w:val="20"/>
      <w:szCs w:val="20"/>
    </w:rPr>
  </w:style>
  <w:style w:type="paragraph" w:styleId="Obsah4">
    <w:name w:val="toc 4"/>
    <w:basedOn w:val="Normln"/>
    <w:next w:val="Normln"/>
    <w:autoRedefine/>
    <w:uiPriority w:val="39"/>
    <w:unhideWhenUsed/>
    <w:rsid w:val="00A52D2C"/>
    <w:pPr>
      <w:spacing w:after="0"/>
      <w:ind w:left="660"/>
      <w:jc w:val="left"/>
    </w:pPr>
    <w:rPr>
      <w:rFonts w:asciiTheme="minorHAnsi" w:hAnsiTheme="minorHAnsi"/>
      <w:sz w:val="20"/>
      <w:szCs w:val="20"/>
    </w:rPr>
  </w:style>
  <w:style w:type="paragraph" w:styleId="Obsah5">
    <w:name w:val="toc 5"/>
    <w:basedOn w:val="Normln"/>
    <w:next w:val="Normln"/>
    <w:autoRedefine/>
    <w:uiPriority w:val="39"/>
    <w:unhideWhenUsed/>
    <w:rsid w:val="00A52D2C"/>
    <w:pPr>
      <w:spacing w:after="0"/>
      <w:ind w:left="880"/>
      <w:jc w:val="left"/>
    </w:pPr>
    <w:rPr>
      <w:rFonts w:asciiTheme="minorHAnsi" w:hAnsiTheme="minorHAnsi"/>
      <w:sz w:val="20"/>
      <w:szCs w:val="20"/>
    </w:rPr>
  </w:style>
  <w:style w:type="paragraph" w:styleId="Obsah6">
    <w:name w:val="toc 6"/>
    <w:basedOn w:val="Normln"/>
    <w:next w:val="Normln"/>
    <w:autoRedefine/>
    <w:uiPriority w:val="39"/>
    <w:unhideWhenUsed/>
    <w:rsid w:val="00A52D2C"/>
    <w:pPr>
      <w:spacing w:after="0"/>
      <w:ind w:left="1100"/>
      <w:jc w:val="left"/>
    </w:pPr>
    <w:rPr>
      <w:rFonts w:asciiTheme="minorHAnsi" w:hAnsiTheme="minorHAnsi"/>
      <w:sz w:val="20"/>
      <w:szCs w:val="20"/>
    </w:rPr>
  </w:style>
  <w:style w:type="paragraph" w:styleId="Obsah7">
    <w:name w:val="toc 7"/>
    <w:basedOn w:val="Normln"/>
    <w:next w:val="Normln"/>
    <w:autoRedefine/>
    <w:uiPriority w:val="39"/>
    <w:unhideWhenUsed/>
    <w:rsid w:val="00A52D2C"/>
    <w:pPr>
      <w:spacing w:after="0"/>
      <w:ind w:left="1320"/>
      <w:jc w:val="left"/>
    </w:pPr>
    <w:rPr>
      <w:rFonts w:asciiTheme="minorHAnsi" w:hAnsiTheme="minorHAnsi"/>
      <w:sz w:val="20"/>
      <w:szCs w:val="20"/>
    </w:rPr>
  </w:style>
  <w:style w:type="paragraph" w:styleId="Obsah8">
    <w:name w:val="toc 8"/>
    <w:basedOn w:val="Normln"/>
    <w:next w:val="Normln"/>
    <w:autoRedefine/>
    <w:uiPriority w:val="39"/>
    <w:unhideWhenUsed/>
    <w:rsid w:val="00A52D2C"/>
    <w:pPr>
      <w:spacing w:after="0"/>
      <w:ind w:left="1540"/>
      <w:jc w:val="left"/>
    </w:pPr>
    <w:rPr>
      <w:rFonts w:asciiTheme="minorHAnsi" w:hAnsiTheme="minorHAnsi"/>
      <w:sz w:val="20"/>
      <w:szCs w:val="20"/>
    </w:rPr>
  </w:style>
  <w:style w:type="paragraph" w:styleId="Obsah9">
    <w:name w:val="toc 9"/>
    <w:basedOn w:val="Normln"/>
    <w:next w:val="Normln"/>
    <w:autoRedefine/>
    <w:uiPriority w:val="39"/>
    <w:unhideWhenUsed/>
    <w:rsid w:val="00A52D2C"/>
    <w:pPr>
      <w:spacing w:after="0"/>
      <w:ind w:left="1760"/>
      <w:jc w:val="left"/>
    </w:pPr>
    <w:rPr>
      <w:rFonts w:asciiTheme="minorHAnsi" w:hAnsiTheme="minorHAnsi"/>
      <w:sz w:val="20"/>
      <w:szCs w:val="20"/>
    </w:rPr>
  </w:style>
  <w:style w:type="character" w:styleId="Hypertextovodkaz">
    <w:name w:val="Hyperlink"/>
    <w:basedOn w:val="Standardnpsmoodstavce"/>
    <w:uiPriority w:val="99"/>
    <w:unhideWhenUsed/>
    <w:rsid w:val="00A52D2C"/>
    <w:rPr>
      <w:color w:val="808080" w:themeColor="background1" w:themeShade="80"/>
      <w:u w:val="single"/>
    </w:rPr>
  </w:style>
  <w:style w:type="character" w:customStyle="1" w:styleId="OdstavecseseznamemChar">
    <w:name w:val="Odstavec se seznamem Char"/>
    <w:basedOn w:val="Standardnpsmoodstavce"/>
    <w:link w:val="Odstavecseseznamem"/>
    <w:uiPriority w:val="34"/>
    <w:rsid w:val="00DD1719"/>
    <w:rPr>
      <w:rFonts w:ascii="Cambria" w:eastAsiaTheme="minorHAnsi" w:hAnsi="Cambria" w:cs="Cambria"/>
      <w:lang w:eastAsia="en-US"/>
    </w:rPr>
  </w:style>
  <w:style w:type="paragraph" w:customStyle="1" w:styleId="sloodrka">
    <w:name w:val="číslo odrážka"/>
    <w:basedOn w:val="Odstavecseseznamem"/>
    <w:link w:val="sloodrkaChar"/>
    <w:qFormat/>
    <w:rsid w:val="00A52D2C"/>
    <w:pPr>
      <w:numPr>
        <w:numId w:val="4"/>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A52D2C"/>
    <w:rPr>
      <w:rFonts w:ascii="Cambria" w:eastAsiaTheme="minorHAnsi" w:hAnsi="Cambria" w:cs="Times New Roman"/>
      <w:b/>
      <w:lang w:eastAsia="en-US"/>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A52D2C"/>
    <w:pPr>
      <w:spacing w:before="120"/>
    </w:pPr>
    <w:rPr>
      <w:rFonts w:ascii="Cambria" w:eastAsiaTheme="minorEastAsia" w:hAnsi="Cambria" w:cs="Times New Roman"/>
      <w:i/>
      <w:noProof/>
      <w:color w:val="auto"/>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A52D2C"/>
    <w:rPr>
      <w:rFonts w:ascii="Cambria" w:eastAsiaTheme="minorEastAsia" w:hAnsi="Cambria" w:cs="Times New Roman"/>
      <w:i/>
      <w:noProof/>
      <w:color w:val="auto"/>
      <w:sz w:val="20"/>
      <w:szCs w:val="20"/>
    </w:rPr>
  </w:style>
  <w:style w:type="character" w:styleId="Znakapoznpodarou">
    <w:name w:val="footnote reference"/>
    <w:basedOn w:val="Standardnpsmoodstavce"/>
    <w:uiPriority w:val="99"/>
    <w:unhideWhenUsed/>
    <w:rsid w:val="00A52D2C"/>
    <w:rPr>
      <w:vertAlign w:val="superscript"/>
    </w:rPr>
  </w:style>
  <w:style w:type="paragraph" w:customStyle="1" w:styleId="odrka1">
    <w:name w:val="odrážka 1"/>
    <w:basedOn w:val="Odstavecseseznamem"/>
    <w:link w:val="odrka1Char"/>
    <w:qFormat/>
    <w:rsid w:val="00A52D2C"/>
    <w:pPr>
      <w:numPr>
        <w:numId w:val="5"/>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A52D2C"/>
    <w:rPr>
      <w:rFonts w:ascii="Cambria" w:eastAsiaTheme="minorHAnsi" w:hAnsi="Cambria" w:cs="Times New Roman"/>
      <w:lang w:eastAsia="en-US"/>
    </w:rPr>
  </w:style>
  <w:style w:type="paragraph" w:customStyle="1" w:styleId="Vpovdi">
    <w:name w:val="Výpovědi"/>
    <w:basedOn w:val="Normln"/>
    <w:link w:val="VpovdiChar"/>
    <w:qFormat/>
    <w:rsid w:val="00A52D2C"/>
    <w:pPr>
      <w:spacing w:before="120" w:after="120"/>
    </w:pPr>
    <w:rPr>
      <w:rFonts w:ascii="Cambria" w:eastAsia="Calibri" w:hAnsi="Cambria" w:cs="Times New Roman"/>
      <w:color w:val="auto"/>
      <w:lang w:eastAsia="en-US"/>
    </w:rPr>
  </w:style>
  <w:style w:type="character" w:customStyle="1" w:styleId="VpovdiChar">
    <w:name w:val="Výpovědi Char"/>
    <w:basedOn w:val="Standardnpsmoodstavce"/>
    <w:link w:val="Vpovdi"/>
    <w:rsid w:val="00A52D2C"/>
    <w:rPr>
      <w:rFonts w:ascii="Cambria" w:eastAsia="Calibri" w:hAnsi="Cambria" w:cs="Times New Roman"/>
      <w:color w:val="auto"/>
      <w:lang w:eastAsia="en-US"/>
    </w:rPr>
  </w:style>
  <w:style w:type="paragraph" w:customStyle="1" w:styleId="Styl3">
    <w:name w:val="Styl3"/>
    <w:basedOn w:val="Normln"/>
    <w:link w:val="Styl3Char"/>
    <w:qFormat/>
    <w:rsid w:val="00A52D2C"/>
    <w:pPr>
      <w:numPr>
        <w:numId w:val="16"/>
      </w:numPr>
      <w:spacing w:before="240" w:after="120"/>
      <w:contextualSpacing/>
    </w:pPr>
    <w:rPr>
      <w:rFonts w:ascii="Cambria" w:eastAsia="Calibri" w:hAnsi="Cambria" w:cs="Times New Roman"/>
      <w:b/>
      <w:color w:val="auto"/>
      <w:lang w:eastAsia="en-US"/>
    </w:rPr>
  </w:style>
  <w:style w:type="character" w:customStyle="1" w:styleId="Styl3Char">
    <w:name w:val="Styl3 Char"/>
    <w:basedOn w:val="Standardnpsmoodstavce"/>
    <w:link w:val="Styl3"/>
    <w:rsid w:val="00A52D2C"/>
    <w:rPr>
      <w:rFonts w:ascii="Cambria" w:eastAsia="Calibri" w:hAnsi="Cambria" w:cs="Times New Roman"/>
      <w:b/>
      <w:color w:val="auto"/>
      <w:lang w:eastAsia="en-US"/>
    </w:rPr>
  </w:style>
  <w:style w:type="paragraph" w:customStyle="1" w:styleId="tabnadpis">
    <w:name w:val="tab_nadpis"/>
    <w:basedOn w:val="Normln"/>
    <w:qFormat/>
    <w:rsid w:val="00A52D2C"/>
    <w:pPr>
      <w:spacing w:before="240" w:after="120"/>
    </w:pPr>
    <w:rPr>
      <w:rFonts w:ascii="Cambria" w:eastAsiaTheme="minorHAnsi" w:hAnsi="Cambria" w:cs="Times New Roman"/>
      <w:b/>
      <w:color w:val="auto"/>
      <w:lang w:eastAsia="en-US"/>
    </w:rPr>
  </w:style>
  <w:style w:type="paragraph" w:styleId="Bezmezer">
    <w:name w:val="No Spacing"/>
    <w:aliases w:val="graf_nadpis"/>
    <w:basedOn w:val="tabnadpis"/>
    <w:link w:val="BezmezerChar"/>
    <w:autoRedefine/>
    <w:uiPriority w:val="1"/>
    <w:qFormat/>
    <w:rsid w:val="00A52D2C"/>
    <w:pPr>
      <w:framePr w:wrap="around" w:hAnchor="text"/>
      <w:widowControl w:val="0"/>
    </w:pPr>
    <w:rPr>
      <w:szCs w:val="24"/>
    </w:rPr>
  </w:style>
  <w:style w:type="character" w:customStyle="1" w:styleId="BezmezerChar">
    <w:name w:val="Bez mezer Char"/>
    <w:aliases w:val="graf_nadpis Char"/>
    <w:link w:val="Bezmezer"/>
    <w:uiPriority w:val="1"/>
    <w:rsid w:val="00A52D2C"/>
    <w:rPr>
      <w:rFonts w:ascii="Cambria" w:eastAsiaTheme="minorHAnsi" w:hAnsi="Cambria" w:cs="Times New Roman"/>
      <w:b/>
      <w:color w:val="auto"/>
      <w:szCs w:val="24"/>
      <w:lang w:eastAsia="en-US"/>
    </w:rPr>
  </w:style>
  <w:style w:type="paragraph" w:styleId="Pedmtkomente">
    <w:name w:val="annotation subject"/>
    <w:basedOn w:val="Textkomente"/>
    <w:next w:val="Textkomente"/>
    <w:link w:val="PedmtkomenteChar"/>
    <w:uiPriority w:val="99"/>
    <w:semiHidden/>
    <w:unhideWhenUsed/>
    <w:rsid w:val="00A52D2C"/>
    <w:pPr>
      <w:spacing w:before="120" w:after="200"/>
    </w:pPr>
    <w:rPr>
      <w:rFonts w:asciiTheme="minorHAnsi" w:eastAsiaTheme="minorHAnsi" w:hAnsiTheme="minorHAnsi" w:cstheme="minorBidi"/>
      <w:b/>
      <w:bCs/>
      <w:color w:val="auto"/>
      <w:lang w:val="de-DE" w:eastAsia="en-US"/>
    </w:rPr>
  </w:style>
  <w:style w:type="character" w:customStyle="1" w:styleId="PedmtkomenteChar">
    <w:name w:val="Předmět komentáře Char"/>
    <w:basedOn w:val="TextkomenteChar"/>
    <w:link w:val="Pedmtkomente"/>
    <w:uiPriority w:val="99"/>
    <w:semiHidden/>
    <w:rsid w:val="00A52D2C"/>
    <w:rPr>
      <w:rFonts w:asciiTheme="minorHAnsi" w:eastAsiaTheme="minorHAnsi" w:hAnsiTheme="minorHAnsi" w:cstheme="minorBidi"/>
      <w:b/>
      <w:bCs/>
      <w:color w:val="auto"/>
      <w:sz w:val="20"/>
      <w:szCs w:val="20"/>
      <w:lang w:val="de-DE" w:eastAsia="en-US"/>
    </w:rPr>
  </w:style>
  <w:style w:type="paragraph" w:customStyle="1" w:styleId="tabsla">
    <w:name w:val="tab_čísla"/>
    <w:basedOn w:val="Normln"/>
    <w:qFormat/>
    <w:rsid w:val="00A52D2C"/>
    <w:pPr>
      <w:spacing w:before="120"/>
      <w:jc w:val="right"/>
    </w:pPr>
    <w:rPr>
      <w:rFonts w:ascii="Cambria" w:eastAsia="Calibri" w:hAnsi="Cambria" w:cs="Times New Roman"/>
      <w:sz w:val="20"/>
      <w:szCs w:val="20"/>
      <w:lang w:eastAsia="en-US"/>
    </w:rPr>
  </w:style>
  <w:style w:type="paragraph" w:customStyle="1" w:styleId="Tabtext">
    <w:name w:val="Tab_text"/>
    <w:basedOn w:val="tabsla"/>
    <w:next w:val="Normln"/>
    <w:qFormat/>
    <w:rsid w:val="00A52D2C"/>
    <w:pPr>
      <w:jc w:val="left"/>
    </w:pPr>
  </w:style>
  <w:style w:type="paragraph" w:customStyle="1" w:styleId="Tabsloupce">
    <w:name w:val="Tab_sloupce"/>
    <w:basedOn w:val="Tabradky"/>
    <w:next w:val="Normln"/>
    <w:qFormat/>
    <w:rsid w:val="00A52D2C"/>
    <w:pPr>
      <w:jc w:val="left"/>
    </w:pPr>
  </w:style>
  <w:style w:type="paragraph" w:customStyle="1" w:styleId="Tabradky">
    <w:name w:val="Tab_radky"/>
    <w:basedOn w:val="Normln"/>
    <w:qFormat/>
    <w:rsid w:val="00A52D2C"/>
    <w:pPr>
      <w:spacing w:before="120"/>
      <w:jc w:val="center"/>
    </w:pPr>
    <w:rPr>
      <w:rFonts w:ascii="Cambria" w:eastAsia="Calibri" w:hAnsi="Cambria" w:cs="Times New Roman"/>
      <w:b/>
      <w:sz w:val="20"/>
      <w:szCs w:val="20"/>
      <w:lang w:eastAsia="en-US"/>
    </w:rPr>
  </w:style>
  <w:style w:type="paragraph" w:customStyle="1" w:styleId="Tabcisla">
    <w:name w:val="Tab_cisla"/>
    <w:basedOn w:val="Tabsloupce"/>
    <w:qFormat/>
    <w:rsid w:val="00A52D2C"/>
    <w:pPr>
      <w:jc w:val="right"/>
    </w:pPr>
    <w:rPr>
      <w:b w:val="0"/>
    </w:rPr>
  </w:style>
  <w:style w:type="table" w:customStyle="1" w:styleId="Svtlstnovn1">
    <w:name w:val="Světlé stínování1"/>
    <w:aliases w:val="Tab_souhrn_sl+rad"/>
    <w:basedOn w:val="Normlntabulka"/>
    <w:uiPriority w:val="60"/>
    <w:rsid w:val="00A52D2C"/>
    <w:pPr>
      <w:spacing w:line="240" w:lineRule="auto"/>
    </w:pPr>
    <w:rPr>
      <w:rFonts w:ascii="Calibri" w:eastAsia="Calibri" w:hAnsi="Calibri" w:cs="Times New Roman"/>
      <w:sz w:val="20"/>
      <w:szCs w:val="20"/>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A52D2C"/>
    <w:pPr>
      <w:spacing w:line="240" w:lineRule="auto"/>
      <w:jc w:val="right"/>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A52D2C"/>
    <w:pPr>
      <w:spacing w:line="240" w:lineRule="auto"/>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uiPriority w:val="22"/>
    <w:qFormat/>
    <w:rsid w:val="00A52D2C"/>
    <w:rPr>
      <w:b/>
      <w:bCs/>
    </w:rPr>
  </w:style>
  <w:style w:type="paragraph" w:customStyle="1" w:styleId="Obrnadpis">
    <w:name w:val="Obr_nadpis"/>
    <w:basedOn w:val="tabnadpis"/>
    <w:rsid w:val="00A52D2C"/>
    <w:pPr>
      <w:framePr w:wrap="around" w:hAnchor="text"/>
      <w:spacing w:after="40"/>
    </w:pPr>
  </w:style>
  <w:style w:type="paragraph" w:customStyle="1" w:styleId="RRtext">
    <w:name w:val="RR text"/>
    <w:basedOn w:val="Normln"/>
    <w:rsid w:val="00A52D2C"/>
    <w:pPr>
      <w:widowControl w:val="0"/>
      <w:spacing w:before="120" w:after="120" w:line="360" w:lineRule="atLeast"/>
      <w:ind w:firstLine="709"/>
    </w:pPr>
    <w:rPr>
      <w:rFonts w:ascii="Cambria" w:eastAsia="Times New Roman" w:hAnsi="Cambria" w:cs="Times New Roman"/>
      <w:color w:val="auto"/>
      <w:sz w:val="24"/>
      <w:szCs w:val="24"/>
    </w:rPr>
  </w:style>
  <w:style w:type="paragraph" w:styleId="Zkladntext2">
    <w:name w:val="Body Text 2"/>
    <w:basedOn w:val="Normln"/>
    <w:link w:val="Zkladntext2Char"/>
    <w:rsid w:val="00A52D2C"/>
    <w:pPr>
      <w:spacing w:before="120"/>
    </w:pPr>
    <w:rPr>
      <w:rFonts w:ascii="Cambria" w:eastAsia="Times New Roman" w:hAnsi="Cambria" w:cs="Times New Roman"/>
      <w:color w:val="auto"/>
      <w:sz w:val="24"/>
      <w:szCs w:val="24"/>
    </w:rPr>
  </w:style>
  <w:style w:type="character" w:customStyle="1" w:styleId="Zkladntext2Char">
    <w:name w:val="Základní text 2 Char"/>
    <w:basedOn w:val="Standardnpsmoodstavce"/>
    <w:link w:val="Zkladntext2"/>
    <w:rsid w:val="00A52D2C"/>
    <w:rPr>
      <w:rFonts w:ascii="Cambria" w:eastAsia="Times New Roman" w:hAnsi="Cambria" w:cs="Times New Roman"/>
      <w:color w:val="auto"/>
      <w:sz w:val="24"/>
      <w:szCs w:val="24"/>
    </w:rPr>
  </w:style>
  <w:style w:type="table" w:customStyle="1" w:styleId="Styl1">
    <w:name w:val="Styl1"/>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A52D2C"/>
    <w:pPr>
      <w:spacing w:line="240" w:lineRule="auto"/>
    </w:pPr>
    <w:rPr>
      <w:rFonts w:ascii="Times New Roman" w:eastAsia="Calibri" w:hAnsi="Times New Roman" w:cs="Times New Roman"/>
      <w:color w:val="auto"/>
      <w:lang w:eastAsia="en-US"/>
    </w:rPr>
  </w:style>
  <w:style w:type="paragraph" w:styleId="Textvysvtlivek">
    <w:name w:val="endnote text"/>
    <w:basedOn w:val="Normln"/>
    <w:link w:val="TextvysvtlivekChar"/>
    <w:uiPriority w:val="99"/>
    <w:semiHidden/>
    <w:unhideWhenUsed/>
    <w:rsid w:val="00A52D2C"/>
    <w:pPr>
      <w:spacing w:before="120"/>
    </w:pPr>
    <w:rPr>
      <w:rFonts w:ascii="Cambria" w:eastAsia="Calibri" w:hAnsi="Cambria" w:cs="Times New Roman"/>
      <w:color w:val="auto"/>
      <w:sz w:val="20"/>
      <w:szCs w:val="20"/>
      <w:lang w:eastAsia="en-US"/>
    </w:rPr>
  </w:style>
  <w:style w:type="character" w:customStyle="1" w:styleId="TextvysvtlivekChar">
    <w:name w:val="Text vysvětlivek Char"/>
    <w:basedOn w:val="Standardnpsmoodstavce"/>
    <w:link w:val="Textvysvtlivek"/>
    <w:uiPriority w:val="99"/>
    <w:semiHidden/>
    <w:rsid w:val="00A52D2C"/>
    <w:rPr>
      <w:rFonts w:ascii="Cambria" w:eastAsia="Calibri" w:hAnsi="Cambria" w:cs="Times New Roman"/>
      <w:color w:val="auto"/>
      <w:sz w:val="20"/>
      <w:szCs w:val="20"/>
      <w:lang w:eastAsia="en-US"/>
    </w:rPr>
  </w:style>
  <w:style w:type="character" w:styleId="Odkaznavysvtlivky">
    <w:name w:val="endnote reference"/>
    <w:basedOn w:val="Standardnpsmoodstavce"/>
    <w:uiPriority w:val="99"/>
    <w:semiHidden/>
    <w:unhideWhenUsed/>
    <w:rsid w:val="00A52D2C"/>
    <w:rPr>
      <w:vertAlign w:val="superscript"/>
    </w:rPr>
  </w:style>
  <w:style w:type="paragraph" w:customStyle="1" w:styleId="Default">
    <w:name w:val="Default"/>
    <w:rsid w:val="00A52D2C"/>
    <w:pPr>
      <w:autoSpaceDE w:val="0"/>
      <w:autoSpaceDN w:val="0"/>
      <w:adjustRightInd w:val="0"/>
      <w:spacing w:line="240" w:lineRule="auto"/>
    </w:pPr>
    <w:rPr>
      <w:rFonts w:ascii="Times New Roman" w:eastAsia="Calibri" w:hAnsi="Times New Roman" w:cs="Times New Roman"/>
      <w:sz w:val="24"/>
      <w:szCs w:val="24"/>
    </w:rPr>
  </w:style>
  <w:style w:type="paragraph" w:customStyle="1" w:styleId="celkemtabslo">
    <w:name w:val="celkem tab_číslo"/>
    <w:basedOn w:val="Normln"/>
    <w:link w:val="celkemtabsloChar"/>
    <w:rsid w:val="00A52D2C"/>
    <w:pPr>
      <w:spacing w:before="120" w:after="120" w:line="264" w:lineRule="auto"/>
      <w:jc w:val="right"/>
    </w:pPr>
    <w:rPr>
      <w:rFonts w:ascii="Arial" w:eastAsiaTheme="minorHAnsi" w:hAnsi="Arial"/>
      <w:b/>
      <w:bCs/>
      <w:color w:val="FFFFFF" w:themeColor="background1"/>
      <w:sz w:val="16"/>
      <w:szCs w:val="18"/>
      <w:lang w:eastAsia="en-US"/>
    </w:rPr>
  </w:style>
  <w:style w:type="paragraph" w:customStyle="1" w:styleId="slotab">
    <w:name w:val="číslo_tab"/>
    <w:basedOn w:val="Normln"/>
    <w:link w:val="slotabChar"/>
    <w:qFormat/>
    <w:rsid w:val="00A52D2C"/>
    <w:pPr>
      <w:spacing w:before="120"/>
      <w:jc w:val="right"/>
    </w:pPr>
    <w:rPr>
      <w:rFonts w:ascii="Arial" w:eastAsia="Calibri" w:hAnsi="Arial"/>
      <w:sz w:val="18"/>
      <w:szCs w:val="18"/>
      <w:lang w:eastAsia="en-US"/>
    </w:rPr>
  </w:style>
  <w:style w:type="character" w:customStyle="1" w:styleId="celkemtabsloChar">
    <w:name w:val="celkem tab_číslo Char"/>
    <w:basedOn w:val="Standardnpsmoodstavce"/>
    <w:link w:val="celkemtabslo"/>
    <w:rsid w:val="00A52D2C"/>
    <w:rPr>
      <w:rFonts w:eastAsiaTheme="minorHAnsi"/>
      <w:b/>
      <w:bCs/>
      <w:color w:val="FFFFFF" w:themeColor="background1"/>
      <w:sz w:val="16"/>
      <w:szCs w:val="18"/>
      <w:lang w:eastAsia="en-US"/>
    </w:rPr>
  </w:style>
  <w:style w:type="character" w:customStyle="1" w:styleId="slotabChar">
    <w:name w:val="číslo_tab Char"/>
    <w:basedOn w:val="Standardnpsmoodstavce"/>
    <w:link w:val="slotab"/>
    <w:rsid w:val="00A52D2C"/>
    <w:rPr>
      <w:rFonts w:eastAsia="Calibri"/>
      <w:sz w:val="18"/>
      <w:szCs w:val="18"/>
      <w:lang w:eastAsia="en-US"/>
    </w:rPr>
  </w:style>
  <w:style w:type="paragraph" w:customStyle="1" w:styleId="Celkembl">
    <w:name w:val="Celkem_bílý"/>
    <w:basedOn w:val="Tabsloupce"/>
    <w:link w:val="CelkemblChar"/>
    <w:rsid w:val="00A52D2C"/>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A52D2C"/>
    <w:rPr>
      <w:rFonts w:eastAsia="Calibri"/>
      <w:b/>
      <w:color w:val="FFFFFF" w:themeColor="background1"/>
      <w:sz w:val="18"/>
      <w:szCs w:val="18"/>
      <w:lang w:eastAsia="en-US"/>
    </w:rPr>
  </w:style>
  <w:style w:type="paragraph" w:customStyle="1" w:styleId="blacelkovtab">
    <w:name w:val="bíla celková tab"/>
    <w:basedOn w:val="Celkembl"/>
    <w:link w:val="blacelkovtabChar"/>
    <w:qFormat/>
    <w:rsid w:val="00A52D2C"/>
    <w:pPr>
      <w:spacing w:line="276" w:lineRule="auto"/>
      <w:jc w:val="right"/>
    </w:pPr>
  </w:style>
  <w:style w:type="paragraph" w:customStyle="1" w:styleId="zhlavtabvertikal">
    <w:name w:val="záhlaví tab_vertikal"/>
    <w:basedOn w:val="Normln"/>
    <w:link w:val="zhlavtabvertikalChar"/>
    <w:qFormat/>
    <w:rsid w:val="00A52D2C"/>
    <w:pPr>
      <w:spacing w:before="120"/>
      <w:ind w:left="113" w:right="113"/>
    </w:pPr>
    <w:rPr>
      <w:rFonts w:ascii="Arial" w:eastAsia="Calibri" w:hAnsi="Arial"/>
      <w:color w:val="FFFFFF" w:themeColor="background1"/>
      <w:sz w:val="18"/>
      <w:szCs w:val="18"/>
      <w:lang w:eastAsia="en-US"/>
    </w:rPr>
  </w:style>
  <w:style w:type="character" w:customStyle="1" w:styleId="blacelkovtabChar">
    <w:name w:val="bíla celková tab Char"/>
    <w:basedOn w:val="CelkemblChar"/>
    <w:link w:val="blacelkovtab"/>
    <w:rsid w:val="00A52D2C"/>
    <w:rPr>
      <w:rFonts w:eastAsia="Calibri"/>
      <w:b/>
      <w:color w:val="FFFFFF" w:themeColor="background1"/>
      <w:sz w:val="18"/>
      <w:szCs w:val="18"/>
      <w:lang w:eastAsia="en-US"/>
    </w:rPr>
  </w:style>
  <w:style w:type="paragraph" w:customStyle="1" w:styleId="tabtext0">
    <w:name w:val="tab_text"/>
    <w:basedOn w:val="Normln"/>
    <w:link w:val="tabtextChar"/>
    <w:qFormat/>
    <w:rsid w:val="00A52D2C"/>
    <w:pPr>
      <w:spacing w:before="120"/>
    </w:pPr>
    <w:rPr>
      <w:rFonts w:ascii="Arial" w:eastAsia="Calibri" w:hAnsi="Arial"/>
      <w:sz w:val="18"/>
      <w:szCs w:val="18"/>
      <w:lang w:eastAsia="en-US"/>
    </w:rPr>
  </w:style>
  <w:style w:type="character" w:customStyle="1" w:styleId="zhlavtabvertikalChar">
    <w:name w:val="záhlaví tab_vertikal Char"/>
    <w:basedOn w:val="Standardnpsmoodstavce"/>
    <w:link w:val="zhlavtabvertikal"/>
    <w:rsid w:val="00A52D2C"/>
    <w:rPr>
      <w:rFonts w:eastAsia="Calibri"/>
      <w:color w:val="FFFFFF" w:themeColor="background1"/>
      <w:sz w:val="18"/>
      <w:szCs w:val="18"/>
      <w:lang w:eastAsia="en-US"/>
    </w:rPr>
  </w:style>
  <w:style w:type="character" w:customStyle="1" w:styleId="tabtextChar">
    <w:name w:val="tab_text Char"/>
    <w:basedOn w:val="Standardnpsmoodstavce"/>
    <w:link w:val="tabtext0"/>
    <w:rsid w:val="00A52D2C"/>
    <w:rPr>
      <w:rFonts w:eastAsia="Calibri"/>
      <w:sz w:val="18"/>
      <w:szCs w:val="18"/>
      <w:lang w:eastAsia="en-US"/>
    </w:rPr>
  </w:style>
  <w:style w:type="paragraph" w:styleId="Normlnweb">
    <w:name w:val="Normal (Web)"/>
    <w:basedOn w:val="Normln"/>
    <w:link w:val="NormlnwebChar"/>
    <w:uiPriority w:val="99"/>
    <w:unhideWhenUsed/>
    <w:rsid w:val="00A52D2C"/>
    <w:pPr>
      <w:spacing w:before="100" w:beforeAutospacing="1" w:after="100" w:afterAutospacing="1"/>
    </w:pPr>
    <w:rPr>
      <w:rFonts w:ascii="Cambria" w:eastAsiaTheme="minorEastAsia" w:hAnsi="Cambria" w:cs="Times New Roman"/>
      <w:color w:val="auto"/>
      <w:sz w:val="24"/>
      <w:szCs w:val="24"/>
    </w:rPr>
  </w:style>
  <w:style w:type="table" w:styleId="Stednstnovn1zvraznn1">
    <w:name w:val="Medium Shading 1 Accent 1"/>
    <w:basedOn w:val="Normlntabulka"/>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A52D2C"/>
    <w:pPr>
      <w:numPr>
        <w:numId w:val="6"/>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A52D2C"/>
    <w:rPr>
      <w:rFonts w:asciiTheme="majorHAnsi" w:eastAsia="Calibri" w:hAnsiTheme="majorHAnsi" w:cs="Times New Roman"/>
      <w:b/>
      <w:lang w:eastAsia="en-US"/>
    </w:rPr>
  </w:style>
  <w:style w:type="paragraph" w:customStyle="1" w:styleId="Styl2">
    <w:name w:val="Styl2"/>
    <w:basedOn w:val="Odstavecseseznamem"/>
    <w:link w:val="Styl2Char"/>
    <w:qFormat/>
    <w:rsid w:val="00A52D2C"/>
    <w:pPr>
      <w:numPr>
        <w:numId w:val="7"/>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A52D2C"/>
    <w:rPr>
      <w:rFonts w:ascii="Cambria" w:eastAsia="Calibri" w:hAnsi="Cambria" w:cs="Times New Roman"/>
      <w:u w:val="single"/>
      <w:lang w:eastAsia="en-US"/>
    </w:rPr>
  </w:style>
  <w:style w:type="paragraph" w:styleId="Nadpisobsahu">
    <w:name w:val="TOC Heading"/>
    <w:basedOn w:val="Nadpis1"/>
    <w:next w:val="Normln"/>
    <w:uiPriority w:val="39"/>
    <w:unhideWhenUsed/>
    <w:qFormat/>
    <w:rsid w:val="00A52D2C"/>
    <w:pPr>
      <w:numPr>
        <w:numId w:val="0"/>
      </w:numPr>
      <w:spacing w:before="480"/>
      <w:contextualSpacing w:val="0"/>
      <w:outlineLvl w:val="9"/>
    </w:pPr>
    <w:rPr>
      <w:rFonts w:eastAsiaTheme="majorEastAsia" w:cstheme="majorBidi"/>
      <w:bCs/>
      <w:color w:val="365F91" w:themeColor="accent1" w:themeShade="BF"/>
      <w:szCs w:val="22"/>
    </w:rPr>
  </w:style>
  <w:style w:type="table" w:styleId="Stednstnovn1zvraznn4">
    <w:name w:val="Medium Shading 1 Accent 4"/>
    <w:basedOn w:val="Normlntabulka"/>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
    <w:name w:val="Light List"/>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ulekChar">
    <w:name w:val="Titulek Char"/>
    <w:basedOn w:val="Standardnpsmoodstavce"/>
    <w:link w:val="Titulek"/>
    <w:uiPriority w:val="35"/>
    <w:rsid w:val="00A52D2C"/>
    <w:rPr>
      <w:rFonts w:ascii="Cambria" w:eastAsiaTheme="minorHAnsi" w:hAnsi="Cambria" w:cs="Cambria"/>
      <w:b/>
      <w:bCs/>
      <w:color w:val="auto"/>
      <w:szCs w:val="18"/>
      <w:lang w:eastAsia="en-US"/>
    </w:rPr>
  </w:style>
  <w:style w:type="character" w:styleId="Zvraznn">
    <w:name w:val="Emphasis"/>
    <w:basedOn w:val="Standardnpsmoodstavce"/>
    <w:qFormat/>
    <w:rsid w:val="00F51F10"/>
    <w:rPr>
      <w:b/>
    </w:rPr>
  </w:style>
  <w:style w:type="paragraph" w:styleId="Zkladntext">
    <w:name w:val="Body Text"/>
    <w:basedOn w:val="Normln"/>
    <w:link w:val="ZkladntextChar"/>
    <w:uiPriority w:val="99"/>
    <w:semiHidden/>
    <w:unhideWhenUsed/>
    <w:rsid w:val="00A52D2C"/>
    <w:pPr>
      <w:spacing w:before="120" w:after="120"/>
    </w:pPr>
    <w:rPr>
      <w:rFonts w:ascii="Cambria" w:eastAsia="Calibri" w:hAnsi="Cambria" w:cs="Times New Roman"/>
      <w:color w:val="auto"/>
      <w:lang w:eastAsia="en-US"/>
    </w:rPr>
  </w:style>
  <w:style w:type="character" w:customStyle="1" w:styleId="ZkladntextChar">
    <w:name w:val="Základní text Char"/>
    <w:basedOn w:val="Standardnpsmoodstavce"/>
    <w:link w:val="Zkladntext"/>
    <w:uiPriority w:val="99"/>
    <w:semiHidden/>
    <w:rsid w:val="00A52D2C"/>
    <w:rPr>
      <w:rFonts w:ascii="Cambria" w:eastAsia="Calibri" w:hAnsi="Cambria" w:cs="Times New Roman"/>
      <w:color w:val="auto"/>
      <w:lang w:eastAsia="en-US"/>
    </w:rPr>
  </w:style>
  <w:style w:type="paragraph" w:customStyle="1" w:styleId="1ODRKA">
    <w:name w:val="1. ODRÁŽKA"/>
    <w:basedOn w:val="Odstavecseseznamem"/>
    <w:link w:val="1ODRKAChar"/>
    <w:qFormat/>
    <w:rsid w:val="00A52D2C"/>
    <w:pPr>
      <w:numPr>
        <w:numId w:val="8"/>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A52D2C"/>
    <w:rPr>
      <w:rFonts w:ascii="Cambria" w:eastAsiaTheme="minorEastAsia" w:hAnsi="Cambria" w:cs="Times New Roman"/>
      <w:noProof/>
      <w:sz w:val="24"/>
      <w:szCs w:val="24"/>
      <w:lang w:eastAsia="en-US"/>
    </w:rPr>
  </w:style>
  <w:style w:type="paragraph" w:customStyle="1" w:styleId="IODRKA">
    <w:name w:val="I. ODRÁŽKA"/>
    <w:basedOn w:val="Odstavecseseznamem"/>
    <w:link w:val="IODRKAChar"/>
    <w:qFormat/>
    <w:rsid w:val="00A52D2C"/>
    <w:pPr>
      <w:numPr>
        <w:numId w:val="9"/>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A52D2C"/>
    <w:rPr>
      <w:rFonts w:ascii="Cambria" w:eastAsiaTheme="minorEastAsia" w:hAnsi="Cambria" w:cs="Times New Roman"/>
      <w:noProof/>
      <w:sz w:val="24"/>
      <w:szCs w:val="24"/>
      <w:lang w:eastAsia="en-US"/>
    </w:rPr>
  </w:style>
  <w:style w:type="paragraph" w:customStyle="1" w:styleId="Styl4">
    <w:name w:val="Styl4"/>
    <w:basedOn w:val="Nadpis1"/>
    <w:link w:val="Styl4Char"/>
    <w:qFormat/>
    <w:rsid w:val="00A52D2C"/>
    <w:pPr>
      <w:numPr>
        <w:numId w:val="10"/>
      </w:numPr>
      <w:spacing w:before="480"/>
      <w:ind w:hanging="750"/>
      <w:contextualSpacing w:val="0"/>
    </w:pPr>
    <w:rPr>
      <w:rFonts w:eastAsiaTheme="majorEastAsia" w:cs="Times New Roman"/>
      <w:bCs/>
      <w:caps/>
      <w:color w:val="auto"/>
      <w:sz w:val="48"/>
      <w:szCs w:val="28"/>
    </w:rPr>
  </w:style>
  <w:style w:type="paragraph" w:customStyle="1" w:styleId="otzka">
    <w:name w:val="otázka"/>
    <w:basedOn w:val="Vpovdi"/>
    <w:link w:val="otzkaChar"/>
    <w:qFormat/>
    <w:rsid w:val="00A52D2C"/>
    <w:pPr>
      <w:numPr>
        <w:numId w:val="11"/>
      </w:numPr>
      <w:spacing w:before="240"/>
      <w:ind w:left="1134" w:hanging="425"/>
    </w:pPr>
    <w:rPr>
      <w:b/>
      <w:color w:val="FF0000"/>
      <w:sz w:val="24"/>
    </w:rPr>
  </w:style>
  <w:style w:type="character" w:customStyle="1" w:styleId="Styl4Char">
    <w:name w:val="Styl4 Char"/>
    <w:basedOn w:val="Nadpis1Char"/>
    <w:link w:val="Styl4"/>
    <w:rsid w:val="00A52D2C"/>
    <w:rPr>
      <w:rFonts w:asciiTheme="majorHAnsi" w:eastAsiaTheme="majorEastAsia" w:hAnsiTheme="majorHAnsi" w:cs="Times New Roman"/>
      <w:b/>
      <w:bCs/>
      <w:caps/>
      <w:color w:val="auto"/>
      <w:sz w:val="48"/>
      <w:szCs w:val="28"/>
    </w:rPr>
  </w:style>
  <w:style w:type="paragraph" w:customStyle="1" w:styleId="Poznpodtabgraf">
    <w:name w:val="Pozn_pod_tab_graf"/>
    <w:basedOn w:val="Normln"/>
    <w:link w:val="PoznpodtabgrafChar"/>
    <w:qFormat/>
    <w:rsid w:val="00A52D2C"/>
    <w:pPr>
      <w:spacing w:before="120" w:after="120"/>
      <w:contextualSpacing/>
    </w:pPr>
    <w:rPr>
      <w:rFonts w:ascii="Cambria" w:eastAsia="Calibri" w:hAnsi="Cambria" w:cs="Times New Roman"/>
      <w:color w:val="auto"/>
      <w:sz w:val="18"/>
      <w:lang w:eastAsia="en-US"/>
    </w:rPr>
  </w:style>
  <w:style w:type="character" w:customStyle="1" w:styleId="otzkaChar">
    <w:name w:val="otázka Char"/>
    <w:basedOn w:val="VpovdiChar"/>
    <w:link w:val="otzka"/>
    <w:rsid w:val="00A52D2C"/>
    <w:rPr>
      <w:rFonts w:ascii="Cambria" w:eastAsia="Calibri" w:hAnsi="Cambria" w:cs="Times New Roman"/>
      <w:b/>
      <w:color w:val="FF0000"/>
      <w:sz w:val="24"/>
      <w:lang w:eastAsia="en-US"/>
    </w:rPr>
  </w:style>
  <w:style w:type="character" w:customStyle="1" w:styleId="PoznpodtabgrafChar">
    <w:name w:val="Pozn_pod_tab_graf Char"/>
    <w:basedOn w:val="Standardnpsmoodstavce"/>
    <w:link w:val="Poznpodtabgraf"/>
    <w:rsid w:val="00A52D2C"/>
    <w:rPr>
      <w:rFonts w:ascii="Cambria" w:eastAsia="Calibri" w:hAnsi="Cambria" w:cs="Times New Roman"/>
      <w:color w:val="auto"/>
      <w:sz w:val="18"/>
      <w:lang w:eastAsia="en-US"/>
    </w:rPr>
  </w:style>
  <w:style w:type="paragraph" w:customStyle="1" w:styleId="Klov">
    <w:name w:val="Klíčové"/>
    <w:basedOn w:val="Normln"/>
    <w:link w:val="KlovChar"/>
    <w:qFormat/>
    <w:rsid w:val="00A52D2C"/>
    <w:pPr>
      <w:pBdr>
        <w:top w:val="single" w:sz="24" w:space="1" w:color="0070C0"/>
        <w:left w:val="single" w:sz="24" w:space="4" w:color="0070C0"/>
        <w:bottom w:val="single" w:sz="24" w:space="1" w:color="0070C0"/>
        <w:right w:val="single" w:sz="24" w:space="4" w:color="0070C0"/>
      </w:pBdr>
      <w:spacing w:before="120"/>
    </w:pPr>
    <w:rPr>
      <w:rFonts w:ascii="Cambria" w:eastAsiaTheme="minorHAnsi" w:hAnsi="Cambria" w:cs="Times New Roman"/>
      <w:b/>
      <w:color w:val="auto"/>
      <w:lang w:eastAsia="en-US"/>
    </w:rPr>
  </w:style>
  <w:style w:type="paragraph" w:customStyle="1" w:styleId="klovII">
    <w:name w:val="klíčové II"/>
    <w:basedOn w:val="Klov"/>
    <w:link w:val="klovIIChar"/>
    <w:qFormat/>
    <w:rsid w:val="00A52D2C"/>
    <w:pPr>
      <w:spacing w:after="240"/>
    </w:pPr>
    <w:rPr>
      <w:b w:val="0"/>
    </w:rPr>
  </w:style>
  <w:style w:type="character" w:customStyle="1" w:styleId="KlovChar">
    <w:name w:val="Klíčové Char"/>
    <w:basedOn w:val="Standardnpsmoodstavce"/>
    <w:link w:val="Klov"/>
    <w:rsid w:val="00A52D2C"/>
    <w:rPr>
      <w:rFonts w:ascii="Cambria" w:eastAsiaTheme="minorHAnsi" w:hAnsi="Cambria" w:cs="Times New Roman"/>
      <w:b/>
      <w:color w:val="auto"/>
      <w:lang w:eastAsia="en-US"/>
    </w:rPr>
  </w:style>
  <w:style w:type="table" w:styleId="Stednmka2zvraznn6">
    <w:name w:val="Medium Grid 2 Accent 6"/>
    <w:basedOn w:val="Normlntabulka"/>
    <w:uiPriority w:val="68"/>
    <w:rsid w:val="00A52D2C"/>
    <w:pPr>
      <w:spacing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A52D2C"/>
    <w:rPr>
      <w:rFonts w:ascii="Cambria" w:eastAsiaTheme="minorHAnsi" w:hAnsi="Cambria" w:cs="Times New Roman"/>
      <w:b w:val="0"/>
      <w:color w:val="auto"/>
      <w:lang w:eastAsia="en-US"/>
    </w:rPr>
  </w:style>
  <w:style w:type="paragraph" w:customStyle="1" w:styleId="rove2">
    <w:name w:val="úroveň 2"/>
    <w:basedOn w:val="Odstavecseseznamem"/>
    <w:link w:val="rove2Char"/>
    <w:qFormat/>
    <w:rsid w:val="00A52D2C"/>
    <w:pPr>
      <w:numPr>
        <w:ilvl w:val="1"/>
        <w:numId w:val="15"/>
      </w:numPr>
      <w:suppressAutoHyphens/>
      <w:autoSpaceDE/>
      <w:autoSpaceDN/>
      <w:adjustRightInd/>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A52D2C"/>
    <w:pPr>
      <w:numPr>
        <w:numId w:val="14"/>
      </w:numPr>
      <w:autoSpaceDE/>
      <w:autoSpaceDN/>
      <w:adjustRightInd/>
      <w:textAlignment w:val="auto"/>
    </w:pPr>
    <w:rPr>
      <w:rFonts w:asciiTheme="majorHAnsi" w:eastAsia="Times New Roman" w:hAnsiTheme="majorHAnsi" w:cs="Times New Roman"/>
      <w:b/>
      <w:caps/>
      <w:color w:val="000000" w:themeColor="text1"/>
      <w:sz w:val="24"/>
      <w:szCs w:val="24"/>
      <w:lang w:val="de-DE" w:eastAsia="ar-SA"/>
    </w:rPr>
  </w:style>
  <w:style w:type="character" w:customStyle="1" w:styleId="rove2Char">
    <w:name w:val="úroveň 2 Char"/>
    <w:basedOn w:val="OdstavecseseznamemChar"/>
    <w:link w:val="rove2"/>
    <w:rsid w:val="00A52D2C"/>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A52D2C"/>
    <w:rPr>
      <w:rFonts w:asciiTheme="majorHAnsi" w:eastAsia="Times New Roman" w:hAnsiTheme="majorHAnsi" w:cs="Times New Roman"/>
      <w:b/>
      <w:caps/>
      <w:color w:val="000000" w:themeColor="text1"/>
      <w:sz w:val="24"/>
      <w:szCs w:val="24"/>
      <w:lang w:val="de-DE" w:eastAsia="ar-SA"/>
    </w:rPr>
  </w:style>
  <w:style w:type="paragraph" w:customStyle="1" w:styleId="urove2-2">
    <w:name w:val="uroveň 2 -2"/>
    <w:basedOn w:val="rove2"/>
    <w:link w:val="urove2-2Char"/>
    <w:qFormat/>
    <w:rsid w:val="00A52D2C"/>
    <w:pPr>
      <w:numPr>
        <w:numId w:val="12"/>
      </w:numPr>
      <w:ind w:left="317" w:hanging="317"/>
    </w:pPr>
  </w:style>
  <w:style w:type="character" w:customStyle="1" w:styleId="urove2-2Char">
    <w:name w:val="uroveň 2 -2 Char"/>
    <w:basedOn w:val="rove2Char"/>
    <w:link w:val="urove2-2"/>
    <w:rsid w:val="00A52D2C"/>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A52D2C"/>
    <w:pPr>
      <w:numPr>
        <w:ilvl w:val="1"/>
        <w:numId w:val="13"/>
      </w:numPr>
      <w:suppressAutoHyphens/>
      <w:spacing w:before="120"/>
      <w:ind w:left="317" w:hanging="317"/>
      <w:contextualSpacing/>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A52D2C"/>
    <w:pPr>
      <w:numPr>
        <w:ilvl w:val="3"/>
      </w:numPr>
      <w:spacing w:before="240" w:after="120"/>
      <w:ind w:left="864" w:hanging="864"/>
      <w:contextualSpacing w:val="0"/>
    </w:pPr>
    <w:rPr>
      <w:rFonts w:ascii="Cambria" w:eastAsiaTheme="majorEastAsia" w:hAnsi="Cambria" w:cs="Times New Roman"/>
      <w:b/>
      <w:bCs/>
      <w:iCs/>
      <w:caps/>
      <w:color w:val="FF0000"/>
    </w:rPr>
  </w:style>
  <w:style w:type="paragraph" w:customStyle="1" w:styleId="Klovb">
    <w:name w:val="Klíčové b"/>
    <w:basedOn w:val="Klov"/>
    <w:link w:val="KlovbChar"/>
    <w:qFormat/>
    <w:rsid w:val="00A52D2C"/>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A52D2C"/>
    <w:rPr>
      <w:rFonts w:ascii="Cambria" w:eastAsiaTheme="majorEastAsia" w:hAnsi="Cambria" w:cs="Times New Roman"/>
      <w:b/>
      <w:bCs/>
      <w:iCs/>
      <w:caps/>
      <w:color w:val="FF0000"/>
      <w:sz w:val="24"/>
      <w:szCs w:val="24"/>
    </w:rPr>
  </w:style>
  <w:style w:type="character" w:customStyle="1" w:styleId="KlovbChar">
    <w:name w:val="Klíčové b Char"/>
    <w:basedOn w:val="KlovChar"/>
    <w:link w:val="Klovb"/>
    <w:rsid w:val="00A52D2C"/>
    <w:rPr>
      <w:rFonts w:ascii="Cambria" w:eastAsiaTheme="minorHAnsi" w:hAnsi="Cambria" w:cs="Times New Roman"/>
      <w:b/>
      <w:color w:val="FF0000"/>
      <w:lang w:eastAsia="en-US"/>
    </w:rPr>
  </w:style>
  <w:style w:type="paragraph" w:customStyle="1" w:styleId="doporuen">
    <w:name w:val="doporučení"/>
    <w:basedOn w:val="Odstavecseseznamem"/>
    <w:link w:val="doporuenChar"/>
    <w:qFormat/>
    <w:rsid w:val="00A52D2C"/>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A52D2C"/>
    <w:rPr>
      <w:rFonts w:ascii="Cambria" w:eastAsiaTheme="minorHAnsi" w:hAnsi="Cambria" w:cs="Times New Roman"/>
      <w:lang w:eastAsia="en-US"/>
    </w:rPr>
  </w:style>
  <w:style w:type="paragraph" w:customStyle="1" w:styleId="Odstaveca">
    <w:name w:val="Odstavec a)"/>
    <w:basedOn w:val="Odstavecseseznamem"/>
    <w:link w:val="OdstavecaChar"/>
    <w:qFormat/>
    <w:rsid w:val="00A52D2C"/>
    <w:pPr>
      <w:numPr>
        <w:numId w:val="18"/>
      </w:numPr>
      <w:autoSpaceDE/>
      <w:autoSpaceDN/>
      <w:adjustRightInd/>
      <w:spacing w:before="0" w:after="200"/>
      <w:textAlignment w:val="auto"/>
    </w:pPr>
    <w:rPr>
      <w:rFonts w:cs="Times New Roman"/>
      <w:b/>
      <w:sz w:val="24"/>
      <w:lang w:val="de-DE"/>
    </w:rPr>
  </w:style>
  <w:style w:type="character" w:customStyle="1" w:styleId="OdstavecaChar">
    <w:name w:val="Odstavec a) Char"/>
    <w:basedOn w:val="OdstavecseseznamemChar"/>
    <w:link w:val="Odstaveca"/>
    <w:rsid w:val="00A52D2C"/>
    <w:rPr>
      <w:rFonts w:ascii="Cambria" w:eastAsiaTheme="minorHAnsi" w:hAnsi="Cambria" w:cs="Times New Roman"/>
      <w:b/>
      <w:sz w:val="24"/>
      <w:lang w:val="de-DE" w:eastAsia="en-US"/>
    </w:rPr>
  </w:style>
  <w:style w:type="paragraph" w:customStyle="1" w:styleId="Odstavec-">
    <w:name w:val="Odstavec -"/>
    <w:basedOn w:val="Odstaveca"/>
    <w:link w:val="Odstavec-Char"/>
    <w:qFormat/>
    <w:rsid w:val="00A52D2C"/>
    <w:pPr>
      <w:numPr>
        <w:numId w:val="19"/>
      </w:numPr>
      <w:spacing w:after="0"/>
    </w:pPr>
    <w:rPr>
      <w:b w:val="0"/>
    </w:rPr>
  </w:style>
  <w:style w:type="character" w:customStyle="1" w:styleId="Odstavec-Char">
    <w:name w:val="Odstavec - Char"/>
    <w:basedOn w:val="OdstavecaChar"/>
    <w:link w:val="Odstavec-"/>
    <w:rsid w:val="00A52D2C"/>
    <w:rPr>
      <w:rFonts w:ascii="Cambria" w:eastAsiaTheme="minorHAnsi" w:hAnsi="Cambria" w:cs="Times New Roman"/>
      <w:b w:val="0"/>
      <w:sz w:val="24"/>
      <w:lang w:val="de-DE" w:eastAsia="en-US"/>
    </w:rPr>
  </w:style>
  <w:style w:type="paragraph" w:styleId="Seznamobrzk">
    <w:name w:val="table of figures"/>
    <w:basedOn w:val="Normln"/>
    <w:next w:val="Normln"/>
    <w:uiPriority w:val="99"/>
    <w:unhideWhenUsed/>
    <w:rsid w:val="00A52D2C"/>
    <w:rPr>
      <w:rFonts w:ascii="Times New Roman" w:eastAsia="Calibri" w:hAnsi="Times New Roman" w:cs="Times New Roman"/>
      <w:color w:val="auto"/>
      <w:lang w:eastAsia="en-US"/>
    </w:rPr>
  </w:style>
  <w:style w:type="numbering" w:customStyle="1" w:styleId="Bezseznamu1">
    <w:name w:val="Bez seznamu1"/>
    <w:next w:val="Bezseznamu"/>
    <w:uiPriority w:val="99"/>
    <w:semiHidden/>
    <w:unhideWhenUsed/>
    <w:rsid w:val="00A52D2C"/>
  </w:style>
  <w:style w:type="table" w:customStyle="1" w:styleId="Tabsouhrnslrad1">
    <w:name w:val="Tab_souhrn_sl+rad1"/>
    <w:basedOn w:val="Normlntabulka"/>
    <w:uiPriority w:val="60"/>
    <w:rsid w:val="00A52D2C"/>
    <w:pPr>
      <w:spacing w:line="240" w:lineRule="auto"/>
    </w:pPr>
    <w:rPr>
      <w:rFonts w:ascii="Calibri" w:eastAsia="Calibri" w:hAnsi="Calibri" w:cs="Times New Roman"/>
      <w:sz w:val="20"/>
      <w:szCs w:val="20"/>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A52D2C"/>
    <w:pPr>
      <w:spacing w:line="240" w:lineRule="auto"/>
      <w:jc w:val="right"/>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A52D2C"/>
    <w:pPr>
      <w:spacing w:line="240" w:lineRule="auto"/>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A52D2C"/>
    <w:pPr>
      <w:spacing w:line="240" w:lineRule="auto"/>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next w:val="Stednstnovn1zvraznn1"/>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A52D2C"/>
    <w:rPr>
      <w:color w:val="800080" w:themeColor="followedHyperlink"/>
      <w:u w:val="single"/>
    </w:rPr>
  </w:style>
  <w:style w:type="character" w:customStyle="1" w:styleId="apple-converted-space">
    <w:name w:val="apple-converted-space"/>
    <w:basedOn w:val="Standardnpsmoodstavce"/>
    <w:rsid w:val="00A52D2C"/>
  </w:style>
  <w:style w:type="paragraph" w:customStyle="1" w:styleId="Odrka">
    <w:name w:val="Odrážka"/>
    <w:basedOn w:val="Odstavecseseznamem"/>
    <w:qFormat/>
    <w:rsid w:val="00A52D2C"/>
    <w:pPr>
      <w:numPr>
        <w:numId w:val="17"/>
      </w:numPr>
      <w:autoSpaceDE/>
      <w:autoSpaceDN/>
      <w:adjustRightInd/>
      <w:ind w:firstLine="360"/>
      <w:contextualSpacing w:val="0"/>
      <w:textAlignment w:val="auto"/>
    </w:pPr>
    <w:rPr>
      <w:rFonts w:cs="Times New Roman"/>
      <w:color w:val="auto"/>
    </w:rPr>
  </w:style>
  <w:style w:type="paragraph" w:styleId="Rozloendokumentu">
    <w:name w:val="Document Map"/>
    <w:basedOn w:val="Normln"/>
    <w:link w:val="RozloendokumentuChar"/>
    <w:uiPriority w:val="99"/>
    <w:semiHidden/>
    <w:unhideWhenUsed/>
    <w:rsid w:val="00A52D2C"/>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A52D2C"/>
    <w:rPr>
      <w:rFonts w:ascii="Tahoma" w:eastAsiaTheme="minorHAnsi" w:hAnsi="Tahoma" w:cs="Tahoma"/>
      <w:color w:val="auto"/>
      <w:sz w:val="16"/>
      <w:szCs w:val="16"/>
      <w:lang w:eastAsia="en-US"/>
    </w:rPr>
  </w:style>
  <w:style w:type="table" w:customStyle="1" w:styleId="Mkatabulky2">
    <w:name w:val="Mřížka tabulky2"/>
    <w:basedOn w:val="Normlntabulka"/>
    <w:next w:val="Mkatabulky"/>
    <w:uiPriority w:val="59"/>
    <w:rsid w:val="00A52D2C"/>
    <w:pPr>
      <w:spacing w:line="240" w:lineRule="auto"/>
    </w:pPr>
    <w:rPr>
      <w:rFonts w:asciiTheme="minorHAnsi" w:eastAsiaTheme="minorEastAsia"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b">
    <w:name w:val="Nadpis 2b"/>
    <w:basedOn w:val="Nadpis2"/>
    <w:link w:val="Nadpis2bChar"/>
    <w:qFormat/>
    <w:rsid w:val="00A52D2C"/>
    <w:pPr>
      <w:numPr>
        <w:ilvl w:val="0"/>
        <w:numId w:val="0"/>
      </w:numPr>
      <w:spacing w:before="240"/>
      <w:contextualSpacing w:val="0"/>
      <w:jc w:val="left"/>
    </w:pPr>
    <w:rPr>
      <w:rFonts w:eastAsiaTheme="majorEastAsia" w:cs="Times New Roman"/>
      <w:bCs/>
      <w:color w:val="auto"/>
      <w:szCs w:val="26"/>
    </w:rPr>
  </w:style>
  <w:style w:type="character" w:customStyle="1" w:styleId="Nadpis2bChar">
    <w:name w:val="Nadpis 2b Char"/>
    <w:basedOn w:val="Nadpis2Char"/>
    <w:link w:val="Nadpis2b"/>
    <w:rsid w:val="00A52D2C"/>
    <w:rPr>
      <w:rFonts w:asciiTheme="majorHAnsi" w:eastAsiaTheme="majorEastAsia" w:hAnsiTheme="majorHAnsi" w:cs="Times New Roman"/>
      <w:b/>
      <w:bCs/>
      <w:color w:val="auto"/>
      <w:sz w:val="24"/>
      <w:szCs w:val="26"/>
    </w:rPr>
  </w:style>
  <w:style w:type="paragraph" w:customStyle="1" w:styleId="zjitn">
    <w:name w:val="zjištění"/>
    <w:basedOn w:val="Odstavecseseznamem"/>
    <w:link w:val="zjitnChar"/>
    <w:qFormat/>
    <w:rsid w:val="00A52D2C"/>
    <w:pPr>
      <w:numPr>
        <w:numId w:val="20"/>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A52D2C"/>
    <w:pPr>
      <w:numPr>
        <w:numId w:val="22"/>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A52D2C"/>
    <w:rPr>
      <w:rFonts w:ascii="Cambria" w:eastAsiaTheme="minorHAnsi" w:hAnsi="Cambria" w:cs="Times New Roman"/>
      <w:b/>
      <w:lang w:eastAsia="en-US"/>
    </w:rPr>
  </w:style>
  <w:style w:type="paragraph" w:customStyle="1" w:styleId="minus">
    <w:name w:val="minus"/>
    <w:basedOn w:val="Odstavecseseznamem"/>
    <w:link w:val="minusChar"/>
    <w:qFormat/>
    <w:rsid w:val="00A52D2C"/>
    <w:pPr>
      <w:numPr>
        <w:numId w:val="21"/>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A52D2C"/>
    <w:rPr>
      <w:rFonts w:ascii="Cambria" w:eastAsiaTheme="minorHAnsi" w:hAnsi="Cambria" w:cs="Times New Roman"/>
      <w:lang w:eastAsia="en-US"/>
    </w:rPr>
  </w:style>
  <w:style w:type="character" w:customStyle="1" w:styleId="minusChar">
    <w:name w:val="minus Char"/>
    <w:basedOn w:val="OdstavecseseznamemChar"/>
    <w:link w:val="minus"/>
    <w:rsid w:val="00A52D2C"/>
    <w:rPr>
      <w:rFonts w:ascii="Cambria" w:eastAsiaTheme="minorHAnsi" w:hAnsi="Cambria" w:cs="Times New Roman"/>
      <w:lang w:eastAsia="en-US"/>
    </w:rPr>
  </w:style>
  <w:style w:type="paragraph" w:customStyle="1" w:styleId="odrkadoporuen">
    <w:name w:val="odrážka doporučení"/>
    <w:basedOn w:val="Titulek"/>
    <w:link w:val="odrkadoporuenChar"/>
    <w:qFormat/>
    <w:rsid w:val="00A52D2C"/>
    <w:pPr>
      <w:numPr>
        <w:numId w:val="23"/>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A52D2C"/>
    <w:rPr>
      <w:caps w:val="0"/>
    </w:rPr>
  </w:style>
  <w:style w:type="character" w:customStyle="1" w:styleId="odrkadoporuenChar">
    <w:name w:val="odrážka doporučení Char"/>
    <w:basedOn w:val="TitulekChar"/>
    <w:link w:val="odrkadoporuen"/>
    <w:rsid w:val="00A52D2C"/>
    <w:rPr>
      <w:rFonts w:ascii="Cambria" w:eastAsia="Calibri" w:hAnsi="Cambria" w:cs="Times New Roman"/>
      <w:b/>
      <w:bCs/>
      <w:caps/>
      <w:color w:val="FF0000"/>
      <w:szCs w:val="18"/>
      <w:lang w:eastAsia="en-US"/>
    </w:rPr>
  </w:style>
  <w:style w:type="character" w:customStyle="1" w:styleId="dopjednotlivChar">
    <w:name w:val="dop jednotlivá Char"/>
    <w:basedOn w:val="odrkadoporuenChar"/>
    <w:link w:val="dopjednotliv"/>
    <w:rsid w:val="00A52D2C"/>
    <w:rPr>
      <w:rFonts w:ascii="Cambria" w:eastAsia="Calibri" w:hAnsi="Cambria" w:cs="Times New Roman"/>
      <w:b/>
      <w:bCs/>
      <w:caps w:val="0"/>
      <w:color w:val="FF0000"/>
      <w:szCs w:val="18"/>
      <w:lang w:eastAsia="en-US"/>
    </w:rPr>
  </w:style>
  <w:style w:type="paragraph" w:customStyle="1" w:styleId="pehledmana">
    <w:name w:val="přehled manaž"/>
    <w:basedOn w:val="Odstavecseseznamem"/>
    <w:link w:val="pehledmanaChar"/>
    <w:qFormat/>
    <w:rsid w:val="00A52D2C"/>
    <w:pPr>
      <w:numPr>
        <w:numId w:val="24"/>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A52D2C"/>
    <w:rPr>
      <w:rFonts w:ascii="Cambria" w:eastAsiaTheme="minorHAnsi" w:hAnsi="Cambria" w:cs="Times New Roman"/>
      <w:lang w:eastAsia="en-US"/>
    </w:rPr>
  </w:style>
  <w:style w:type="paragraph" w:customStyle="1" w:styleId="doporuenMS">
    <w:name w:val="doporučení MS"/>
    <w:basedOn w:val="Odstavecseseznamem"/>
    <w:link w:val="doporuenMSChar"/>
    <w:qFormat/>
    <w:rsid w:val="00A52D2C"/>
    <w:pPr>
      <w:numPr>
        <w:numId w:val="25"/>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A52D2C"/>
    <w:rPr>
      <w:rFonts w:ascii="Cambria" w:eastAsiaTheme="minorHAnsi" w:hAnsi="Cambria" w:cs="Times New Roman"/>
      <w:i/>
      <w:lang w:eastAsia="en-US"/>
    </w:rPr>
  </w:style>
  <w:style w:type="paragraph" w:customStyle="1" w:styleId="Nadpis4c">
    <w:name w:val="Nadpis 4c"/>
    <w:basedOn w:val="Nadpis3"/>
    <w:link w:val="Nadpis4cChar"/>
    <w:qFormat/>
    <w:rsid w:val="00A52D2C"/>
    <w:pPr>
      <w:numPr>
        <w:ilvl w:val="0"/>
        <w:numId w:val="0"/>
      </w:numPr>
      <w:spacing w:before="240" w:after="120"/>
      <w:ind w:left="864" w:hanging="864"/>
      <w:contextualSpacing w:val="0"/>
    </w:pPr>
    <w:rPr>
      <w:rFonts w:eastAsia="Calibri" w:cs="Times New Roman"/>
      <w:bCs/>
      <w:i/>
      <w:color w:val="auto"/>
      <w:sz w:val="24"/>
    </w:rPr>
  </w:style>
  <w:style w:type="character" w:customStyle="1" w:styleId="apple-tab-span">
    <w:name w:val="apple-tab-span"/>
    <w:basedOn w:val="Standardnpsmoodstavce"/>
    <w:rsid w:val="00A52D2C"/>
  </w:style>
  <w:style w:type="character" w:customStyle="1" w:styleId="Nadpis4cChar">
    <w:name w:val="Nadpis 4c Char"/>
    <w:basedOn w:val="Nadpis3Char"/>
    <w:link w:val="Nadpis4c"/>
    <w:rsid w:val="00A52D2C"/>
    <w:rPr>
      <w:rFonts w:asciiTheme="majorHAnsi" w:eastAsia="Calibri" w:hAnsiTheme="majorHAnsi" w:cs="Times New Roman"/>
      <w:b/>
      <w:bCs/>
      <w:i/>
      <w:color w:val="auto"/>
      <w:sz w:val="24"/>
    </w:rPr>
  </w:style>
  <w:style w:type="paragraph" w:customStyle="1" w:styleId="slovn1">
    <w:name w:val="číslování 1"/>
    <w:basedOn w:val="Odstavecseseznamem"/>
    <w:link w:val="slovn1Char"/>
    <w:qFormat/>
    <w:rsid w:val="00A52D2C"/>
    <w:pPr>
      <w:numPr>
        <w:numId w:val="26"/>
      </w:numPr>
      <w:autoSpaceDE/>
      <w:autoSpaceDN/>
      <w:adjustRightInd/>
      <w:spacing w:before="0"/>
      <w:ind w:left="993" w:hanging="567"/>
      <w:textAlignment w:val="auto"/>
    </w:pPr>
    <w:rPr>
      <w:rFonts w:ascii="Times New Roman" w:eastAsia="Times New Roman" w:hAnsi="Times New Roman" w:cs="Times New Roman"/>
      <w:b/>
      <w:sz w:val="24"/>
      <w:szCs w:val="24"/>
      <w:lang w:val="en-GB" w:eastAsia="en-GB"/>
    </w:rPr>
  </w:style>
  <w:style w:type="paragraph" w:customStyle="1" w:styleId="normln0">
    <w:name w:val="normální"/>
    <w:basedOn w:val="Normln"/>
    <w:link w:val="normlnChar"/>
    <w:qFormat/>
    <w:rsid w:val="00A52D2C"/>
    <w:rPr>
      <w:lang w:val="en-GB" w:eastAsia="en-GB"/>
    </w:rPr>
  </w:style>
  <w:style w:type="character" w:customStyle="1" w:styleId="slovn1Char">
    <w:name w:val="číslování 1 Char"/>
    <w:basedOn w:val="OdstavecseseznamemChar"/>
    <w:link w:val="slovn1"/>
    <w:rsid w:val="00A52D2C"/>
    <w:rPr>
      <w:rFonts w:ascii="Times New Roman" w:eastAsia="Times New Roman" w:hAnsi="Times New Roman" w:cs="Times New Roman"/>
      <w:b/>
      <w:sz w:val="24"/>
      <w:szCs w:val="24"/>
      <w:lang w:val="en-GB" w:eastAsia="en-GB"/>
    </w:rPr>
  </w:style>
  <w:style w:type="character" w:customStyle="1" w:styleId="normlnChar">
    <w:name w:val="normální Char"/>
    <w:basedOn w:val="Standardnpsmoodstavce"/>
    <w:link w:val="normln0"/>
    <w:rsid w:val="00A52D2C"/>
    <w:rPr>
      <w:rFonts w:asciiTheme="majorHAnsi" w:hAnsiTheme="majorHAnsi"/>
      <w:lang w:val="en-GB" w:eastAsia="en-GB"/>
    </w:rPr>
  </w:style>
  <w:style w:type="paragraph" w:customStyle="1" w:styleId="atun">
    <w:name w:val="a) tučně"/>
    <w:basedOn w:val="Odstavecseseznamem"/>
    <w:link w:val="atunChar"/>
    <w:qFormat/>
    <w:rsid w:val="00A52D2C"/>
    <w:pPr>
      <w:numPr>
        <w:numId w:val="27"/>
      </w:numPr>
      <w:autoSpaceDE/>
      <w:autoSpaceDN/>
      <w:adjustRightInd/>
      <w:spacing w:before="0" w:after="200"/>
      <w:textAlignment w:val="auto"/>
    </w:pPr>
    <w:rPr>
      <w:rFonts w:ascii="Times New Roman" w:eastAsia="Times New Roman" w:hAnsi="Times New Roman" w:cs="Times New Roman"/>
      <w:b/>
      <w:noProof/>
      <w:sz w:val="24"/>
      <w:szCs w:val="24"/>
      <w:lang w:val="de-DE"/>
    </w:rPr>
  </w:style>
  <w:style w:type="character" w:customStyle="1" w:styleId="atunChar">
    <w:name w:val="a) tučně Char"/>
    <w:basedOn w:val="OdstavecseseznamemChar"/>
    <w:link w:val="atun"/>
    <w:rsid w:val="00A52D2C"/>
    <w:rPr>
      <w:rFonts w:ascii="Times New Roman" w:eastAsia="Times New Roman" w:hAnsi="Times New Roman" w:cs="Times New Roman"/>
      <w:b/>
      <w:noProof/>
      <w:sz w:val="24"/>
      <w:szCs w:val="24"/>
      <w:lang w:val="de-DE" w:eastAsia="en-US"/>
    </w:rPr>
  </w:style>
  <w:style w:type="table" w:customStyle="1" w:styleId="Mkatabulky11">
    <w:name w:val="Mřížka tabulky11"/>
    <w:basedOn w:val="Normlntabulka"/>
    <w:next w:val="Mkatabulky"/>
    <w:uiPriority w:val="59"/>
    <w:rsid w:val="00A52D2C"/>
    <w:pPr>
      <w:spacing w:line="240" w:lineRule="auto"/>
    </w:pPr>
    <w:rPr>
      <w:rFonts w:asciiTheme="minorHAnsi" w:eastAsia="Times New Roman"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4abstract">
    <w:name w:val="P4 abstract"/>
    <w:basedOn w:val="Bezmezer"/>
    <w:next w:val="Normln"/>
    <w:uiPriority w:val="99"/>
    <w:qFormat/>
    <w:rsid w:val="00A52D2C"/>
    <w:pPr>
      <w:framePr w:wrap="auto"/>
      <w:widowControl/>
      <w:spacing w:after="0"/>
    </w:pPr>
    <w:rPr>
      <w:rFonts w:ascii="Times New Roman" w:eastAsia="Arial Unicode MS" w:hAnsi="Times New Roman" w:cs="Arial Unicode MS"/>
      <w:bCs/>
      <w:color w:val="000000"/>
      <w:szCs w:val="22"/>
      <w:u w:color="000000"/>
      <w:lang w:eastAsia="en-GB"/>
    </w:rPr>
  </w:style>
  <w:style w:type="table" w:styleId="Stednstnovn2zvraznn2">
    <w:name w:val="Medium Shading 2 Accent 2"/>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seznamzvraznn1">
    <w:name w:val="Light List Accent 1"/>
    <w:basedOn w:val="Normlntabulka"/>
    <w:uiPriority w:val="61"/>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Barevnseznamzvraznn1">
    <w:name w:val="Colorful List Accent 1"/>
    <w:basedOn w:val="Normlntabulka"/>
    <w:uiPriority w:val="72"/>
    <w:rsid w:val="00A52D2C"/>
    <w:pPr>
      <w:spacing w:line="240" w:lineRule="auto"/>
    </w:pPr>
    <w:rPr>
      <w:rFonts w:asciiTheme="minorHAnsi" w:eastAsiaTheme="minorHAnsi" w:hAnsiTheme="minorHAnsi" w:cstheme="minorBid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text01">
    <w:name w:val="text_01"/>
    <w:basedOn w:val="Normln"/>
    <w:link w:val="text01Char"/>
    <w:qFormat/>
    <w:rsid w:val="00A52D2C"/>
    <w:pPr>
      <w:spacing w:after="200"/>
    </w:pPr>
    <w:rPr>
      <w:rFonts w:ascii="Cambria" w:eastAsiaTheme="minorHAnsi" w:hAnsi="Cambria" w:cstheme="minorBidi"/>
      <w:color w:val="auto"/>
      <w:lang w:eastAsia="en-US"/>
    </w:rPr>
  </w:style>
  <w:style w:type="character" w:customStyle="1" w:styleId="text01Char">
    <w:name w:val="text_01 Char"/>
    <w:basedOn w:val="Standardnpsmoodstavce"/>
    <w:link w:val="text01"/>
    <w:rsid w:val="00A52D2C"/>
    <w:rPr>
      <w:rFonts w:ascii="Cambria" w:eastAsiaTheme="minorHAnsi" w:hAnsi="Cambria" w:cstheme="minorBidi"/>
      <w:color w:val="auto"/>
      <w:lang w:eastAsia="en-US"/>
    </w:rPr>
  </w:style>
  <w:style w:type="paragraph" w:customStyle="1" w:styleId="zdroj">
    <w:name w:val="zdroj"/>
    <w:basedOn w:val="Normlnweb"/>
    <w:link w:val="zdrojChar"/>
    <w:qFormat/>
    <w:rsid w:val="00A52D2C"/>
    <w:pPr>
      <w:spacing w:before="0" w:beforeAutospacing="0" w:after="240" w:afterAutospacing="0"/>
    </w:pPr>
    <w:rPr>
      <w:rFonts w:asciiTheme="minorHAnsi" w:hAnsiTheme="minorHAnsi"/>
      <w:sz w:val="18"/>
    </w:rPr>
  </w:style>
  <w:style w:type="character" w:customStyle="1" w:styleId="NormlnwebChar">
    <w:name w:val="Normální (web) Char"/>
    <w:basedOn w:val="Standardnpsmoodstavce"/>
    <w:link w:val="Normlnweb"/>
    <w:uiPriority w:val="99"/>
    <w:rsid w:val="00A52D2C"/>
    <w:rPr>
      <w:rFonts w:ascii="Cambria" w:eastAsiaTheme="minorEastAsia" w:hAnsi="Cambria" w:cs="Times New Roman"/>
      <w:color w:val="auto"/>
      <w:sz w:val="24"/>
      <w:szCs w:val="24"/>
    </w:rPr>
  </w:style>
  <w:style w:type="character" w:customStyle="1" w:styleId="zdrojChar">
    <w:name w:val="zdroj Char"/>
    <w:basedOn w:val="NormlnwebChar"/>
    <w:link w:val="zdroj"/>
    <w:rsid w:val="00A52D2C"/>
    <w:rPr>
      <w:rFonts w:asciiTheme="minorHAnsi" w:eastAsiaTheme="minorEastAsia" w:hAnsiTheme="minorHAnsi" w:cs="Times New Roman"/>
      <w:color w:val="auto"/>
      <w:sz w:val="18"/>
      <w:szCs w:val="24"/>
    </w:rPr>
  </w:style>
  <w:style w:type="character" w:styleId="Zdraznnjemn">
    <w:name w:val="Subtle Emphasis"/>
    <w:basedOn w:val="Zvraznn"/>
    <w:uiPriority w:val="19"/>
    <w:qFormat/>
    <w:rsid w:val="004272B6"/>
    <w:rPr>
      <w:b/>
    </w:rPr>
  </w:style>
  <w:style w:type="paragraph" w:customStyle="1" w:styleId="Zvraznnnormln">
    <w:name w:val="Zvýrazněný normální"/>
    <w:basedOn w:val="Normln"/>
    <w:link w:val="ZvraznnnormlnChar"/>
    <w:qFormat/>
    <w:rsid w:val="003E15BB"/>
    <w:pPr>
      <w:spacing w:before="120"/>
    </w:pPr>
    <w:rPr>
      <w:b/>
    </w:rPr>
  </w:style>
  <w:style w:type="character" w:customStyle="1" w:styleId="ZvraznnnormlnChar">
    <w:name w:val="Zvýrazněný normální Char"/>
    <w:basedOn w:val="Standardnpsmoodstavce"/>
    <w:link w:val="Zvraznnnormln"/>
    <w:rsid w:val="003E15BB"/>
    <w:rPr>
      <w:rFonts w:asciiTheme="majorHAnsi" w:hAnsiTheme="majorHAns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4B57"/>
    <w:pPr>
      <w:spacing w:after="60" w:line="240" w:lineRule="auto"/>
      <w:jc w:val="both"/>
    </w:pPr>
    <w:rPr>
      <w:rFonts w:asciiTheme="majorHAnsi" w:hAnsiTheme="majorHAnsi"/>
    </w:rPr>
  </w:style>
  <w:style w:type="paragraph" w:styleId="Nadpis1">
    <w:name w:val="heading 1"/>
    <w:aliases w:val="Nadpis 1."/>
    <w:basedOn w:val="Normln"/>
    <w:next w:val="Normln"/>
    <w:link w:val="Nadpis1Char"/>
    <w:autoRedefine/>
    <w:uiPriority w:val="9"/>
    <w:qFormat/>
    <w:rsid w:val="000D59FC"/>
    <w:pPr>
      <w:keepNext/>
      <w:keepLines/>
      <w:numPr>
        <w:numId w:val="1"/>
      </w:numPr>
      <w:spacing w:before="360" w:after="120"/>
      <w:ind w:left="0" w:firstLine="357"/>
      <w:contextualSpacing/>
      <w:outlineLvl w:val="0"/>
    </w:pPr>
    <w:rPr>
      <w:b/>
      <w:color w:val="FF0000"/>
      <w:sz w:val="28"/>
      <w:szCs w:val="32"/>
    </w:rPr>
  </w:style>
  <w:style w:type="paragraph" w:styleId="Nadpis2">
    <w:name w:val="heading 2"/>
    <w:aliases w:val="Nadpis 1.1"/>
    <w:basedOn w:val="Normln"/>
    <w:next w:val="Normln"/>
    <w:link w:val="Nadpis2Char"/>
    <w:autoRedefine/>
    <w:uiPriority w:val="9"/>
    <w:qFormat/>
    <w:rsid w:val="000D59FC"/>
    <w:pPr>
      <w:keepNext/>
      <w:keepLines/>
      <w:numPr>
        <w:ilvl w:val="1"/>
        <w:numId w:val="1"/>
      </w:numPr>
      <w:spacing w:before="360" w:after="120"/>
      <w:ind w:left="850" w:hanging="357"/>
      <w:contextualSpacing/>
      <w:outlineLvl w:val="1"/>
    </w:pPr>
    <w:rPr>
      <w:b/>
      <w:color w:val="FF0000"/>
      <w:sz w:val="24"/>
      <w:szCs w:val="28"/>
    </w:rPr>
  </w:style>
  <w:style w:type="paragraph" w:styleId="Nadpis3">
    <w:name w:val="heading 3"/>
    <w:basedOn w:val="Normln"/>
    <w:next w:val="Normln"/>
    <w:link w:val="Nadpis3Char"/>
    <w:autoRedefine/>
    <w:uiPriority w:val="9"/>
    <w:qFormat/>
    <w:rsid w:val="006E38F6"/>
    <w:pPr>
      <w:keepNext/>
      <w:keepLines/>
      <w:numPr>
        <w:ilvl w:val="2"/>
        <w:numId w:val="1"/>
      </w:numPr>
      <w:spacing w:before="120" w:after="0" w:line="276" w:lineRule="auto"/>
      <w:ind w:left="284" w:firstLine="250"/>
      <w:contextualSpacing/>
      <w:jc w:val="left"/>
      <w:outlineLvl w:val="2"/>
    </w:pPr>
    <w:rPr>
      <w:b/>
      <w:color w:val="FF0000"/>
    </w:rPr>
  </w:style>
  <w:style w:type="paragraph" w:styleId="Nadpis4">
    <w:name w:val="heading 4"/>
    <w:basedOn w:val="Normln"/>
    <w:next w:val="Normln"/>
    <w:link w:val="Nadpis4Char"/>
    <w:qFormat/>
    <w:pPr>
      <w:keepNext/>
      <w:keepLines/>
      <w:spacing w:before="280" w:after="80"/>
      <w:contextualSpacing/>
      <w:outlineLvl w:val="3"/>
    </w:pPr>
    <w:rPr>
      <w:color w:val="666666"/>
      <w:sz w:val="24"/>
      <w:szCs w:val="24"/>
    </w:rPr>
  </w:style>
  <w:style w:type="paragraph" w:styleId="Nadpis5">
    <w:name w:val="heading 5"/>
    <w:basedOn w:val="Normln"/>
    <w:next w:val="Normln"/>
    <w:link w:val="Nadpis5Char"/>
    <w:qFormat/>
    <w:pPr>
      <w:keepNext/>
      <w:keepLines/>
      <w:spacing w:before="240" w:after="80"/>
      <w:contextualSpacing/>
      <w:outlineLvl w:val="4"/>
    </w:pPr>
    <w:rPr>
      <w:color w:val="666666"/>
    </w:rPr>
  </w:style>
  <w:style w:type="paragraph" w:styleId="Nadpis6">
    <w:name w:val="heading 6"/>
    <w:basedOn w:val="Normln"/>
    <w:next w:val="Normln"/>
    <w:link w:val="Nadpis6Char"/>
    <w:qFormat/>
    <w:pPr>
      <w:keepNext/>
      <w:keepLines/>
      <w:spacing w:before="240" w:after="80"/>
      <w:contextualSpacing/>
      <w:outlineLvl w:val="5"/>
    </w:pPr>
    <w:rPr>
      <w:i/>
      <w:color w:val="666666"/>
    </w:rPr>
  </w:style>
  <w:style w:type="paragraph" w:styleId="Nadpis7">
    <w:name w:val="heading 7"/>
    <w:basedOn w:val="Normln"/>
    <w:next w:val="Normln"/>
    <w:link w:val="Nadpis7Char"/>
    <w:unhideWhenUsed/>
    <w:qFormat/>
    <w:rsid w:val="00A52D2C"/>
    <w:pPr>
      <w:keepNext/>
      <w:keepLines/>
      <w:spacing w:before="200"/>
      <w:ind w:left="1296" w:hanging="1296"/>
      <w:outlineLvl w:val="6"/>
    </w:pPr>
    <w:rPr>
      <w:rFonts w:eastAsiaTheme="majorEastAsia" w:cstheme="majorBidi"/>
      <w:i/>
      <w:iCs/>
      <w:color w:val="404040" w:themeColor="text1" w:themeTint="BF"/>
      <w:lang w:eastAsia="en-US"/>
    </w:rPr>
  </w:style>
  <w:style w:type="paragraph" w:styleId="Nadpis8">
    <w:name w:val="heading 8"/>
    <w:basedOn w:val="Normln"/>
    <w:next w:val="Normln"/>
    <w:link w:val="Nadpis8Char"/>
    <w:uiPriority w:val="9"/>
    <w:unhideWhenUsed/>
    <w:qFormat/>
    <w:rsid w:val="00A52D2C"/>
    <w:pPr>
      <w:keepNext/>
      <w:keepLines/>
      <w:spacing w:before="200"/>
      <w:ind w:left="1440" w:hanging="1440"/>
      <w:outlineLvl w:val="7"/>
    </w:pPr>
    <w:rPr>
      <w:rFonts w:eastAsiaTheme="majorEastAsia"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A52D2C"/>
    <w:pPr>
      <w:keepNext/>
      <w:keepLines/>
      <w:spacing w:before="200"/>
      <w:ind w:left="1584" w:hanging="1584"/>
      <w:outlineLvl w:val="8"/>
    </w:pPr>
    <w:rPr>
      <w:rFonts w:eastAsiaTheme="majorEastAsia"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aliases w:val="Graf"/>
    <w:basedOn w:val="Normln"/>
    <w:next w:val="Normln"/>
    <w:link w:val="NzevChar"/>
    <w:uiPriority w:val="10"/>
    <w:qFormat/>
    <w:pPr>
      <w:keepNext/>
      <w:keepLines/>
      <w:contextualSpacing/>
    </w:pPr>
    <w:rPr>
      <w:sz w:val="52"/>
      <w:szCs w:val="52"/>
    </w:rPr>
  </w:style>
  <w:style w:type="paragraph" w:styleId="Podtitul">
    <w:name w:val="Subtitle"/>
    <w:basedOn w:val="Normln"/>
    <w:next w:val="Normln"/>
    <w:link w:val="PodtitulChar"/>
    <w:uiPriority w:val="11"/>
    <w:qFormat/>
    <w:pPr>
      <w:keepNext/>
      <w:keepLines/>
      <w:spacing w:after="320"/>
      <w:contextualSpacing/>
    </w:pPr>
    <w:rPr>
      <w:rFonts w:ascii="Arial" w:hAnsi="Arial"/>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DC34B7"/>
    <w:rPr>
      <w:rFonts w:ascii="Tahoma" w:hAnsi="Tahoma" w:cs="Tahoma"/>
      <w:sz w:val="16"/>
      <w:szCs w:val="16"/>
    </w:rPr>
  </w:style>
  <w:style w:type="character" w:customStyle="1" w:styleId="TextbublinyChar">
    <w:name w:val="Text bubliny Char"/>
    <w:basedOn w:val="Standardnpsmoodstavce"/>
    <w:link w:val="Textbubliny"/>
    <w:uiPriority w:val="99"/>
    <w:semiHidden/>
    <w:rsid w:val="00DC34B7"/>
    <w:rPr>
      <w:rFonts w:ascii="Tahoma" w:hAnsi="Tahoma" w:cs="Tahoma"/>
      <w:sz w:val="16"/>
      <w:szCs w:val="16"/>
    </w:rPr>
  </w:style>
  <w:style w:type="paragraph" w:styleId="Zhlav">
    <w:name w:val="header"/>
    <w:basedOn w:val="Normln"/>
    <w:link w:val="ZhlavChar"/>
    <w:uiPriority w:val="99"/>
    <w:unhideWhenUsed/>
    <w:rsid w:val="00DC34B7"/>
    <w:pPr>
      <w:tabs>
        <w:tab w:val="center" w:pos="4536"/>
        <w:tab w:val="right" w:pos="9072"/>
      </w:tabs>
    </w:pPr>
  </w:style>
  <w:style w:type="character" w:customStyle="1" w:styleId="ZhlavChar">
    <w:name w:val="Záhlaví Char"/>
    <w:basedOn w:val="Standardnpsmoodstavce"/>
    <w:link w:val="Zhlav"/>
    <w:uiPriority w:val="99"/>
    <w:rsid w:val="00DC34B7"/>
  </w:style>
  <w:style w:type="paragraph" w:styleId="Zpat">
    <w:name w:val="footer"/>
    <w:basedOn w:val="Normln"/>
    <w:link w:val="ZpatChar"/>
    <w:uiPriority w:val="99"/>
    <w:unhideWhenUsed/>
    <w:qFormat/>
    <w:rsid w:val="00DC34B7"/>
    <w:pPr>
      <w:tabs>
        <w:tab w:val="center" w:pos="4536"/>
        <w:tab w:val="right" w:pos="9072"/>
      </w:tabs>
    </w:pPr>
  </w:style>
  <w:style w:type="character" w:customStyle="1" w:styleId="ZpatChar">
    <w:name w:val="Zápatí Char"/>
    <w:basedOn w:val="Standardnpsmoodstavce"/>
    <w:link w:val="Zpat"/>
    <w:uiPriority w:val="99"/>
    <w:rsid w:val="00DC34B7"/>
  </w:style>
  <w:style w:type="character" w:customStyle="1" w:styleId="NzevChar">
    <w:name w:val="Název Char"/>
    <w:aliases w:val="Graf Char"/>
    <w:basedOn w:val="Standardnpsmoodstavce"/>
    <w:link w:val="Nzev"/>
    <w:uiPriority w:val="10"/>
    <w:rsid w:val="00DC34B7"/>
    <w:rPr>
      <w:rFonts w:asciiTheme="majorHAnsi" w:hAnsiTheme="majorHAnsi"/>
      <w:sz w:val="52"/>
      <w:szCs w:val="52"/>
    </w:rPr>
  </w:style>
  <w:style w:type="character" w:customStyle="1" w:styleId="PodtitulChar">
    <w:name w:val="Podtitul Char"/>
    <w:basedOn w:val="Standardnpsmoodstavce"/>
    <w:link w:val="Podtitul"/>
    <w:uiPriority w:val="11"/>
    <w:rsid w:val="00DC34B7"/>
    <w:rPr>
      <w:color w:val="666666"/>
      <w:sz w:val="30"/>
      <w:szCs w:val="30"/>
    </w:rPr>
  </w:style>
  <w:style w:type="character" w:customStyle="1" w:styleId="Nadpis7Char">
    <w:name w:val="Nadpis 7 Char"/>
    <w:basedOn w:val="Standardnpsmoodstavce"/>
    <w:link w:val="Nadpis7"/>
    <w:rsid w:val="00A52D2C"/>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rsid w:val="00A52D2C"/>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A52D2C"/>
    <w:rPr>
      <w:rFonts w:asciiTheme="majorHAnsi" w:eastAsiaTheme="majorEastAsia" w:hAnsiTheme="majorHAnsi" w:cstheme="majorBidi"/>
      <w:i/>
      <w:iCs/>
      <w:color w:val="404040" w:themeColor="text1" w:themeTint="BF"/>
      <w:sz w:val="20"/>
      <w:szCs w:val="20"/>
      <w:lang w:eastAsia="en-US"/>
    </w:rPr>
  </w:style>
  <w:style w:type="character" w:customStyle="1" w:styleId="ZpatChar1">
    <w:name w:val="Zápatí Char1"/>
    <w:basedOn w:val="Standardnpsmoodstavce"/>
    <w:uiPriority w:val="99"/>
    <w:rsid w:val="00A52D2C"/>
    <w:rPr>
      <w:rFonts w:ascii="Cambria" w:hAnsi="Cambria" w:cs="Cambria"/>
      <w:color w:val="000000"/>
      <w:sz w:val="16"/>
    </w:rPr>
  </w:style>
  <w:style w:type="table" w:styleId="Mkatabulky">
    <w:name w:val="Table Grid"/>
    <w:basedOn w:val="Normlntabulka"/>
    <w:uiPriority w:val="59"/>
    <w:rsid w:val="00A52D2C"/>
    <w:pPr>
      <w:spacing w:before="12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A52D2C"/>
    <w:pPr>
      <w:autoSpaceDE w:val="0"/>
      <w:autoSpaceDN w:val="0"/>
      <w:adjustRightInd w:val="0"/>
      <w:spacing w:before="120"/>
      <w:textAlignment w:val="center"/>
    </w:pPr>
    <w:rPr>
      <w:rFonts w:eastAsiaTheme="minorHAnsi" w:cs="Minion Pro"/>
      <w:szCs w:val="24"/>
      <w:lang w:eastAsia="en-US"/>
    </w:rPr>
  </w:style>
  <w:style w:type="paragraph" w:customStyle="1" w:styleId="Nadpisdokumentu">
    <w:name w:val="Nadpis dokumentu"/>
    <w:basedOn w:val="Normln"/>
    <w:next w:val="Normln"/>
    <w:link w:val="NadpisdokumentuChar"/>
    <w:qFormat/>
    <w:rsid w:val="00A52D2C"/>
    <w:pPr>
      <w:autoSpaceDE w:val="0"/>
      <w:autoSpaceDN w:val="0"/>
      <w:adjustRightInd w:val="0"/>
      <w:spacing w:before="120"/>
      <w:jc w:val="right"/>
      <w:textAlignment w:val="center"/>
    </w:pPr>
    <w:rPr>
      <w:rFonts w:eastAsiaTheme="minorHAnsi" w:cs="Cambria"/>
      <w:b/>
      <w:noProof/>
      <w:sz w:val="36"/>
    </w:rPr>
  </w:style>
  <w:style w:type="paragraph" w:customStyle="1" w:styleId="Textvtabulce">
    <w:name w:val="Text v tabulce"/>
    <w:basedOn w:val="Normln"/>
    <w:link w:val="TextvtabulceChar"/>
    <w:qFormat/>
    <w:rsid w:val="00A52D2C"/>
    <w:pPr>
      <w:autoSpaceDE w:val="0"/>
      <w:autoSpaceDN w:val="0"/>
      <w:adjustRightInd w:val="0"/>
      <w:spacing w:before="40" w:after="40"/>
      <w:textAlignment w:val="center"/>
    </w:pPr>
    <w:rPr>
      <w:rFonts w:ascii="Cambria" w:eastAsiaTheme="minorHAnsi" w:hAnsi="Cambria" w:cs="Cambria"/>
      <w:lang w:eastAsia="en-US"/>
    </w:rPr>
  </w:style>
  <w:style w:type="character" w:customStyle="1" w:styleId="NadpisdokumentuChar">
    <w:name w:val="Nadpis dokumentu Char"/>
    <w:basedOn w:val="Standardnpsmoodstavce"/>
    <w:link w:val="Nadpisdokumentu"/>
    <w:rsid w:val="00A52D2C"/>
    <w:rPr>
      <w:rFonts w:asciiTheme="majorHAnsi" w:eastAsiaTheme="minorHAnsi" w:hAnsiTheme="majorHAnsi" w:cs="Cambria"/>
      <w:b/>
      <w:noProof/>
      <w:sz w:val="36"/>
    </w:rPr>
  </w:style>
  <w:style w:type="paragraph" w:customStyle="1" w:styleId="Zpat1">
    <w:name w:val="Zápatí1"/>
    <w:basedOn w:val="Zpat"/>
    <w:qFormat/>
    <w:rsid w:val="00A52D2C"/>
    <w:pPr>
      <w:autoSpaceDE w:val="0"/>
      <w:autoSpaceDN w:val="0"/>
      <w:adjustRightInd w:val="0"/>
      <w:jc w:val="right"/>
      <w:textAlignment w:val="center"/>
    </w:pPr>
    <w:rPr>
      <w:rFonts w:ascii="Cambria" w:eastAsiaTheme="minorHAnsi" w:hAnsi="Cambria" w:cs="Cambria"/>
      <w:noProof/>
      <w:sz w:val="16"/>
    </w:rPr>
  </w:style>
  <w:style w:type="character" w:customStyle="1" w:styleId="TextvtabulceChar">
    <w:name w:val="Text v tabulce Char"/>
    <w:basedOn w:val="Standardnpsmoodstavce"/>
    <w:link w:val="Textvtabulce"/>
    <w:rsid w:val="00A52D2C"/>
    <w:rPr>
      <w:rFonts w:ascii="Cambria" w:eastAsiaTheme="minorHAnsi" w:hAnsi="Cambria" w:cs="Cambria"/>
      <w:lang w:eastAsia="en-US"/>
    </w:rPr>
  </w:style>
  <w:style w:type="paragraph" w:styleId="Zkladntextodsazen">
    <w:name w:val="Body Text Indent"/>
    <w:basedOn w:val="Normln"/>
    <w:link w:val="ZkladntextodsazenChar"/>
    <w:rsid w:val="00A52D2C"/>
    <w:pPr>
      <w:autoSpaceDE w:val="0"/>
      <w:autoSpaceDN w:val="0"/>
      <w:adjustRightInd w:val="0"/>
      <w:spacing w:before="120"/>
      <w:ind w:left="708"/>
      <w:textAlignment w:val="center"/>
    </w:pPr>
    <w:rPr>
      <w:rFonts w:ascii="Cambria" w:eastAsiaTheme="minorHAnsi" w:hAnsi="Cambria" w:cs="Cambria"/>
      <w:lang w:eastAsia="en-US"/>
    </w:rPr>
  </w:style>
  <w:style w:type="character" w:customStyle="1" w:styleId="ZkladntextodsazenChar">
    <w:name w:val="Základní text odsazený Char"/>
    <w:basedOn w:val="Standardnpsmoodstavce"/>
    <w:link w:val="Zkladntextodsazen"/>
    <w:rsid w:val="00A52D2C"/>
    <w:rPr>
      <w:rFonts w:ascii="Cambria" w:eastAsiaTheme="minorHAnsi" w:hAnsi="Cambria" w:cs="Cambria"/>
      <w:lang w:eastAsia="en-US"/>
    </w:rPr>
  </w:style>
  <w:style w:type="character" w:styleId="Zstupntext">
    <w:name w:val="Placeholder Text"/>
    <w:basedOn w:val="Standardnpsmoodstavce"/>
    <w:uiPriority w:val="99"/>
    <w:semiHidden/>
    <w:rsid w:val="00A52D2C"/>
    <w:rPr>
      <w:color w:val="808080"/>
    </w:rPr>
  </w:style>
  <w:style w:type="character" w:customStyle="1" w:styleId="Nadpis1Char">
    <w:name w:val="Nadpis 1 Char"/>
    <w:aliases w:val="Nadpis 1. Char"/>
    <w:basedOn w:val="Standardnpsmoodstavce"/>
    <w:link w:val="Nadpis1"/>
    <w:uiPriority w:val="9"/>
    <w:rsid w:val="000D59FC"/>
    <w:rPr>
      <w:rFonts w:asciiTheme="majorHAnsi" w:hAnsiTheme="majorHAnsi"/>
      <w:b/>
      <w:color w:val="FF0000"/>
      <w:sz w:val="28"/>
      <w:szCs w:val="32"/>
    </w:rPr>
  </w:style>
  <w:style w:type="character" w:customStyle="1" w:styleId="Nadpis2Char">
    <w:name w:val="Nadpis 2 Char"/>
    <w:aliases w:val="Nadpis 1.1 Char"/>
    <w:basedOn w:val="Standardnpsmoodstavce"/>
    <w:link w:val="Nadpis2"/>
    <w:uiPriority w:val="9"/>
    <w:rsid w:val="000D59FC"/>
    <w:rPr>
      <w:rFonts w:asciiTheme="majorHAnsi" w:hAnsiTheme="majorHAnsi"/>
      <w:b/>
      <w:color w:val="FF0000"/>
      <w:sz w:val="24"/>
      <w:szCs w:val="28"/>
    </w:rPr>
  </w:style>
  <w:style w:type="character" w:customStyle="1" w:styleId="Nadpis3Char">
    <w:name w:val="Nadpis 3 Char"/>
    <w:basedOn w:val="Standardnpsmoodstavce"/>
    <w:link w:val="Nadpis3"/>
    <w:uiPriority w:val="9"/>
    <w:rsid w:val="006E38F6"/>
    <w:rPr>
      <w:rFonts w:asciiTheme="majorHAnsi" w:hAnsiTheme="majorHAnsi"/>
      <w:b/>
      <w:color w:val="FF0000"/>
    </w:rPr>
  </w:style>
  <w:style w:type="character" w:customStyle="1" w:styleId="Nadpis4Char">
    <w:name w:val="Nadpis 4 Char"/>
    <w:basedOn w:val="Standardnpsmoodstavce"/>
    <w:link w:val="Nadpis4"/>
    <w:rsid w:val="00A52D2C"/>
    <w:rPr>
      <w:rFonts w:asciiTheme="majorHAnsi" w:hAnsiTheme="majorHAnsi"/>
      <w:color w:val="666666"/>
      <w:sz w:val="24"/>
      <w:szCs w:val="24"/>
    </w:rPr>
  </w:style>
  <w:style w:type="character" w:customStyle="1" w:styleId="Nadpis5Char">
    <w:name w:val="Nadpis 5 Char"/>
    <w:basedOn w:val="Standardnpsmoodstavce"/>
    <w:link w:val="Nadpis5"/>
    <w:rsid w:val="00A52D2C"/>
    <w:rPr>
      <w:rFonts w:asciiTheme="majorHAnsi" w:hAnsiTheme="majorHAnsi"/>
      <w:color w:val="666666"/>
    </w:rPr>
  </w:style>
  <w:style w:type="character" w:customStyle="1" w:styleId="Nadpis6Char">
    <w:name w:val="Nadpis 6 Char"/>
    <w:basedOn w:val="Standardnpsmoodstavce"/>
    <w:link w:val="Nadpis6"/>
    <w:rsid w:val="00A52D2C"/>
    <w:rPr>
      <w:rFonts w:asciiTheme="majorHAnsi" w:hAnsiTheme="majorHAnsi"/>
      <w:i/>
      <w:color w:val="666666"/>
    </w:rPr>
  </w:style>
  <w:style w:type="paragraph" w:styleId="Odstavecseseznamem">
    <w:name w:val="List Paragraph"/>
    <w:basedOn w:val="Normln"/>
    <w:link w:val="OdstavecseseznamemChar"/>
    <w:uiPriority w:val="34"/>
    <w:qFormat/>
    <w:rsid w:val="00DD1719"/>
    <w:pPr>
      <w:numPr>
        <w:numId w:val="57"/>
      </w:numPr>
      <w:autoSpaceDE w:val="0"/>
      <w:autoSpaceDN w:val="0"/>
      <w:adjustRightInd w:val="0"/>
      <w:spacing w:before="60"/>
      <w:contextualSpacing/>
      <w:textAlignment w:val="center"/>
    </w:pPr>
    <w:rPr>
      <w:rFonts w:ascii="Cambria" w:eastAsiaTheme="minorHAnsi" w:hAnsi="Cambria" w:cs="Cambria"/>
      <w:lang w:eastAsia="en-US"/>
    </w:rPr>
  </w:style>
  <w:style w:type="paragraph" w:styleId="Citt">
    <w:name w:val="Quote"/>
    <w:basedOn w:val="Normln"/>
    <w:next w:val="Normln"/>
    <w:link w:val="CittChar"/>
    <w:uiPriority w:val="29"/>
    <w:qFormat/>
    <w:rsid w:val="00A52D2C"/>
    <w:pPr>
      <w:autoSpaceDE w:val="0"/>
      <w:autoSpaceDN w:val="0"/>
      <w:adjustRightInd w:val="0"/>
      <w:spacing w:before="120"/>
      <w:textAlignment w:val="center"/>
    </w:pPr>
    <w:rPr>
      <w:rFonts w:ascii="Cambria" w:eastAsiaTheme="minorHAnsi" w:hAnsi="Cambria" w:cs="Cambria"/>
      <w:i/>
      <w:iCs/>
      <w:color w:val="000000" w:themeColor="text1"/>
      <w:lang w:eastAsia="en-US"/>
    </w:rPr>
  </w:style>
  <w:style w:type="character" w:customStyle="1" w:styleId="CittChar">
    <w:name w:val="Citát Char"/>
    <w:basedOn w:val="Standardnpsmoodstavce"/>
    <w:link w:val="Citt"/>
    <w:uiPriority w:val="29"/>
    <w:rsid w:val="00A52D2C"/>
    <w:rPr>
      <w:rFonts w:ascii="Cambria" w:eastAsiaTheme="minorHAnsi" w:hAnsi="Cambria" w:cs="Cambria"/>
      <w:i/>
      <w:iCs/>
      <w:color w:val="000000" w:themeColor="text1"/>
      <w:lang w:eastAsia="en-US"/>
    </w:rPr>
  </w:style>
  <w:style w:type="character" w:styleId="Nzevknihy">
    <w:name w:val="Book Title"/>
    <w:basedOn w:val="Standardnpsmoodstavce"/>
    <w:uiPriority w:val="33"/>
    <w:qFormat/>
    <w:rsid w:val="00A52D2C"/>
    <w:rPr>
      <w:b/>
      <w:bCs/>
      <w:smallCaps/>
      <w:spacing w:val="5"/>
    </w:rPr>
  </w:style>
  <w:style w:type="character" w:styleId="Zdraznnintenzivn">
    <w:name w:val="Intense Emphasis"/>
    <w:basedOn w:val="Standardnpsmoodstavce"/>
    <w:uiPriority w:val="21"/>
    <w:rsid w:val="00A52D2C"/>
    <w:rPr>
      <w:b/>
      <w:bCs/>
      <w:color w:val="auto"/>
    </w:rPr>
  </w:style>
  <w:style w:type="paragraph" w:styleId="Vrazncitt">
    <w:name w:val="Intense Quote"/>
    <w:basedOn w:val="Normln"/>
    <w:next w:val="Normln"/>
    <w:link w:val="VrazncittChar"/>
    <w:uiPriority w:val="30"/>
    <w:rsid w:val="00A52D2C"/>
    <w:pPr>
      <w:pBdr>
        <w:bottom w:val="single" w:sz="4" w:space="4" w:color="4F81BD" w:themeColor="accent1"/>
      </w:pBdr>
      <w:autoSpaceDE w:val="0"/>
      <w:autoSpaceDN w:val="0"/>
      <w:adjustRightInd w:val="0"/>
      <w:spacing w:before="200" w:after="280"/>
      <w:ind w:left="936" w:right="936"/>
      <w:textAlignment w:val="center"/>
    </w:pPr>
    <w:rPr>
      <w:rFonts w:ascii="Cambria" w:eastAsiaTheme="minorHAnsi" w:hAnsi="Cambria" w:cs="Cambria"/>
      <w:b/>
      <w:bCs/>
      <w:i/>
      <w:iCs/>
      <w:color w:val="4F81BD" w:themeColor="accent1"/>
      <w:lang w:eastAsia="en-US"/>
    </w:rPr>
  </w:style>
  <w:style w:type="character" w:customStyle="1" w:styleId="VrazncittChar">
    <w:name w:val="Výrazný citát Char"/>
    <w:basedOn w:val="Standardnpsmoodstavce"/>
    <w:link w:val="Vrazncitt"/>
    <w:uiPriority w:val="30"/>
    <w:rsid w:val="00A52D2C"/>
    <w:rPr>
      <w:rFonts w:ascii="Cambria" w:eastAsiaTheme="minorHAnsi" w:hAnsi="Cambria" w:cs="Cambria"/>
      <w:b/>
      <w:bCs/>
      <w:i/>
      <w:iCs/>
      <w:color w:val="4F81BD" w:themeColor="accent1"/>
      <w:lang w:eastAsia="en-US"/>
    </w:rPr>
  </w:style>
  <w:style w:type="character" w:styleId="Odkazjemn">
    <w:name w:val="Subtle Reference"/>
    <w:basedOn w:val="Standardnpsmoodstavce"/>
    <w:uiPriority w:val="31"/>
    <w:rsid w:val="00A52D2C"/>
    <w:rPr>
      <w:smallCaps/>
      <w:color w:val="C0504D" w:themeColor="accent2"/>
      <w:u w:val="single"/>
    </w:rPr>
  </w:style>
  <w:style w:type="character" w:styleId="Odkazintenzivn">
    <w:name w:val="Intense Reference"/>
    <w:basedOn w:val="Standardnpsmoodstavce"/>
    <w:uiPriority w:val="32"/>
    <w:rsid w:val="00A52D2C"/>
    <w:rPr>
      <w:b/>
      <w:bCs/>
      <w:smallCaps/>
      <w:color w:val="C0504D" w:themeColor="accent2"/>
      <w:spacing w:val="5"/>
      <w:u w:val="single"/>
    </w:rPr>
  </w:style>
  <w:style w:type="paragraph" w:styleId="Titulek">
    <w:name w:val="caption"/>
    <w:basedOn w:val="Normln"/>
    <w:next w:val="Normln"/>
    <w:link w:val="TitulekChar"/>
    <w:uiPriority w:val="35"/>
    <w:unhideWhenUsed/>
    <w:qFormat/>
    <w:rsid w:val="00A52D2C"/>
    <w:pPr>
      <w:autoSpaceDE w:val="0"/>
      <w:autoSpaceDN w:val="0"/>
      <w:adjustRightInd w:val="0"/>
      <w:spacing w:before="240" w:after="120"/>
      <w:textAlignment w:val="center"/>
    </w:pPr>
    <w:rPr>
      <w:rFonts w:ascii="Cambria" w:eastAsiaTheme="minorHAnsi" w:hAnsi="Cambria" w:cs="Cambria"/>
      <w:b/>
      <w:bCs/>
      <w:color w:val="auto"/>
      <w:szCs w:val="18"/>
      <w:lang w:eastAsia="en-US"/>
    </w:rPr>
  </w:style>
  <w:style w:type="paragraph" w:styleId="Obsah1">
    <w:name w:val="toc 1"/>
    <w:basedOn w:val="Normln"/>
    <w:next w:val="Normln"/>
    <w:autoRedefine/>
    <w:uiPriority w:val="39"/>
    <w:unhideWhenUsed/>
    <w:qFormat/>
    <w:rsid w:val="00484951"/>
    <w:pPr>
      <w:tabs>
        <w:tab w:val="left" w:pos="440"/>
        <w:tab w:val="right" w:leader="dot" w:pos="9630"/>
      </w:tabs>
      <w:spacing w:before="240" w:after="120"/>
      <w:jc w:val="left"/>
    </w:pPr>
    <w:rPr>
      <w:b/>
      <w:sz w:val="20"/>
      <w:szCs w:val="28"/>
    </w:rPr>
  </w:style>
  <w:style w:type="paragraph" w:styleId="Obsah2">
    <w:name w:val="toc 2"/>
    <w:basedOn w:val="Normln"/>
    <w:next w:val="Normln"/>
    <w:autoRedefine/>
    <w:uiPriority w:val="39"/>
    <w:unhideWhenUsed/>
    <w:qFormat/>
    <w:rsid w:val="00A52D2C"/>
    <w:pPr>
      <w:spacing w:before="120" w:after="0"/>
      <w:ind w:left="220"/>
      <w:jc w:val="left"/>
    </w:pPr>
    <w:rPr>
      <w:rFonts w:asciiTheme="minorHAnsi" w:hAnsiTheme="minorHAnsi"/>
      <w:i/>
      <w:iCs/>
      <w:sz w:val="20"/>
      <w:szCs w:val="20"/>
    </w:rPr>
  </w:style>
  <w:style w:type="paragraph" w:styleId="Obsah3">
    <w:name w:val="toc 3"/>
    <w:basedOn w:val="Normln"/>
    <w:next w:val="Normln"/>
    <w:autoRedefine/>
    <w:uiPriority w:val="39"/>
    <w:unhideWhenUsed/>
    <w:qFormat/>
    <w:rsid w:val="00A52D2C"/>
    <w:pPr>
      <w:spacing w:after="0"/>
      <w:ind w:left="440"/>
      <w:jc w:val="left"/>
    </w:pPr>
    <w:rPr>
      <w:rFonts w:asciiTheme="minorHAnsi" w:hAnsiTheme="minorHAnsi"/>
      <w:sz w:val="20"/>
      <w:szCs w:val="20"/>
    </w:rPr>
  </w:style>
  <w:style w:type="paragraph" w:styleId="Obsah4">
    <w:name w:val="toc 4"/>
    <w:basedOn w:val="Normln"/>
    <w:next w:val="Normln"/>
    <w:autoRedefine/>
    <w:uiPriority w:val="39"/>
    <w:unhideWhenUsed/>
    <w:rsid w:val="00A52D2C"/>
    <w:pPr>
      <w:spacing w:after="0"/>
      <w:ind w:left="660"/>
      <w:jc w:val="left"/>
    </w:pPr>
    <w:rPr>
      <w:rFonts w:asciiTheme="minorHAnsi" w:hAnsiTheme="minorHAnsi"/>
      <w:sz w:val="20"/>
      <w:szCs w:val="20"/>
    </w:rPr>
  </w:style>
  <w:style w:type="paragraph" w:styleId="Obsah5">
    <w:name w:val="toc 5"/>
    <w:basedOn w:val="Normln"/>
    <w:next w:val="Normln"/>
    <w:autoRedefine/>
    <w:uiPriority w:val="39"/>
    <w:unhideWhenUsed/>
    <w:rsid w:val="00A52D2C"/>
    <w:pPr>
      <w:spacing w:after="0"/>
      <w:ind w:left="880"/>
      <w:jc w:val="left"/>
    </w:pPr>
    <w:rPr>
      <w:rFonts w:asciiTheme="minorHAnsi" w:hAnsiTheme="minorHAnsi"/>
      <w:sz w:val="20"/>
      <w:szCs w:val="20"/>
    </w:rPr>
  </w:style>
  <w:style w:type="paragraph" w:styleId="Obsah6">
    <w:name w:val="toc 6"/>
    <w:basedOn w:val="Normln"/>
    <w:next w:val="Normln"/>
    <w:autoRedefine/>
    <w:uiPriority w:val="39"/>
    <w:unhideWhenUsed/>
    <w:rsid w:val="00A52D2C"/>
    <w:pPr>
      <w:spacing w:after="0"/>
      <w:ind w:left="1100"/>
      <w:jc w:val="left"/>
    </w:pPr>
    <w:rPr>
      <w:rFonts w:asciiTheme="minorHAnsi" w:hAnsiTheme="minorHAnsi"/>
      <w:sz w:val="20"/>
      <w:szCs w:val="20"/>
    </w:rPr>
  </w:style>
  <w:style w:type="paragraph" w:styleId="Obsah7">
    <w:name w:val="toc 7"/>
    <w:basedOn w:val="Normln"/>
    <w:next w:val="Normln"/>
    <w:autoRedefine/>
    <w:uiPriority w:val="39"/>
    <w:unhideWhenUsed/>
    <w:rsid w:val="00A52D2C"/>
    <w:pPr>
      <w:spacing w:after="0"/>
      <w:ind w:left="1320"/>
      <w:jc w:val="left"/>
    </w:pPr>
    <w:rPr>
      <w:rFonts w:asciiTheme="minorHAnsi" w:hAnsiTheme="minorHAnsi"/>
      <w:sz w:val="20"/>
      <w:szCs w:val="20"/>
    </w:rPr>
  </w:style>
  <w:style w:type="paragraph" w:styleId="Obsah8">
    <w:name w:val="toc 8"/>
    <w:basedOn w:val="Normln"/>
    <w:next w:val="Normln"/>
    <w:autoRedefine/>
    <w:uiPriority w:val="39"/>
    <w:unhideWhenUsed/>
    <w:rsid w:val="00A52D2C"/>
    <w:pPr>
      <w:spacing w:after="0"/>
      <w:ind w:left="1540"/>
      <w:jc w:val="left"/>
    </w:pPr>
    <w:rPr>
      <w:rFonts w:asciiTheme="minorHAnsi" w:hAnsiTheme="minorHAnsi"/>
      <w:sz w:val="20"/>
      <w:szCs w:val="20"/>
    </w:rPr>
  </w:style>
  <w:style w:type="paragraph" w:styleId="Obsah9">
    <w:name w:val="toc 9"/>
    <w:basedOn w:val="Normln"/>
    <w:next w:val="Normln"/>
    <w:autoRedefine/>
    <w:uiPriority w:val="39"/>
    <w:unhideWhenUsed/>
    <w:rsid w:val="00A52D2C"/>
    <w:pPr>
      <w:spacing w:after="0"/>
      <w:ind w:left="1760"/>
      <w:jc w:val="left"/>
    </w:pPr>
    <w:rPr>
      <w:rFonts w:asciiTheme="minorHAnsi" w:hAnsiTheme="minorHAnsi"/>
      <w:sz w:val="20"/>
      <w:szCs w:val="20"/>
    </w:rPr>
  </w:style>
  <w:style w:type="character" w:styleId="Hypertextovodkaz">
    <w:name w:val="Hyperlink"/>
    <w:basedOn w:val="Standardnpsmoodstavce"/>
    <w:uiPriority w:val="99"/>
    <w:unhideWhenUsed/>
    <w:rsid w:val="00A52D2C"/>
    <w:rPr>
      <w:color w:val="808080" w:themeColor="background1" w:themeShade="80"/>
      <w:u w:val="single"/>
    </w:rPr>
  </w:style>
  <w:style w:type="character" w:customStyle="1" w:styleId="OdstavecseseznamemChar">
    <w:name w:val="Odstavec se seznamem Char"/>
    <w:basedOn w:val="Standardnpsmoodstavce"/>
    <w:link w:val="Odstavecseseznamem"/>
    <w:uiPriority w:val="34"/>
    <w:rsid w:val="00DD1719"/>
    <w:rPr>
      <w:rFonts w:ascii="Cambria" w:eastAsiaTheme="minorHAnsi" w:hAnsi="Cambria" w:cs="Cambria"/>
      <w:lang w:eastAsia="en-US"/>
    </w:rPr>
  </w:style>
  <w:style w:type="paragraph" w:customStyle="1" w:styleId="sloodrka">
    <w:name w:val="číslo odrážka"/>
    <w:basedOn w:val="Odstavecseseznamem"/>
    <w:link w:val="sloodrkaChar"/>
    <w:qFormat/>
    <w:rsid w:val="00A52D2C"/>
    <w:pPr>
      <w:numPr>
        <w:numId w:val="4"/>
      </w:numPr>
      <w:autoSpaceDE/>
      <w:autoSpaceDN/>
      <w:adjustRightInd/>
      <w:spacing w:before="240" w:after="120"/>
      <w:textAlignment w:val="auto"/>
    </w:pPr>
    <w:rPr>
      <w:rFonts w:cs="Times New Roman"/>
      <w:b/>
    </w:rPr>
  </w:style>
  <w:style w:type="character" w:customStyle="1" w:styleId="sloodrkaChar">
    <w:name w:val="číslo odrážka Char"/>
    <w:basedOn w:val="OdstavecseseznamemChar"/>
    <w:link w:val="sloodrka"/>
    <w:rsid w:val="00A52D2C"/>
    <w:rPr>
      <w:rFonts w:ascii="Cambria" w:eastAsiaTheme="minorHAnsi" w:hAnsi="Cambria" w:cs="Times New Roman"/>
      <w:b/>
      <w:lang w:eastAsia="en-US"/>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A52D2C"/>
    <w:pPr>
      <w:spacing w:before="120"/>
    </w:pPr>
    <w:rPr>
      <w:rFonts w:ascii="Cambria" w:eastAsiaTheme="minorEastAsia" w:hAnsi="Cambria" w:cs="Times New Roman"/>
      <w:i/>
      <w:noProof/>
      <w:color w:val="auto"/>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A52D2C"/>
    <w:rPr>
      <w:rFonts w:ascii="Cambria" w:eastAsiaTheme="minorEastAsia" w:hAnsi="Cambria" w:cs="Times New Roman"/>
      <w:i/>
      <w:noProof/>
      <w:color w:val="auto"/>
      <w:sz w:val="20"/>
      <w:szCs w:val="20"/>
    </w:rPr>
  </w:style>
  <w:style w:type="character" w:styleId="Znakapoznpodarou">
    <w:name w:val="footnote reference"/>
    <w:basedOn w:val="Standardnpsmoodstavce"/>
    <w:uiPriority w:val="99"/>
    <w:unhideWhenUsed/>
    <w:rsid w:val="00A52D2C"/>
    <w:rPr>
      <w:vertAlign w:val="superscript"/>
    </w:rPr>
  </w:style>
  <w:style w:type="paragraph" w:customStyle="1" w:styleId="odrka1">
    <w:name w:val="odrážka 1"/>
    <w:basedOn w:val="Odstavecseseznamem"/>
    <w:link w:val="odrka1Char"/>
    <w:qFormat/>
    <w:rsid w:val="00A52D2C"/>
    <w:pPr>
      <w:numPr>
        <w:numId w:val="5"/>
      </w:numPr>
      <w:autoSpaceDE/>
      <w:autoSpaceDN/>
      <w:adjustRightInd/>
      <w:ind w:left="851" w:hanging="567"/>
      <w:textAlignment w:val="auto"/>
    </w:pPr>
    <w:rPr>
      <w:rFonts w:cs="Times New Roman"/>
    </w:rPr>
  </w:style>
  <w:style w:type="character" w:customStyle="1" w:styleId="odrka1Char">
    <w:name w:val="odrážka 1 Char"/>
    <w:basedOn w:val="OdstavecseseznamemChar"/>
    <w:link w:val="odrka1"/>
    <w:rsid w:val="00A52D2C"/>
    <w:rPr>
      <w:rFonts w:ascii="Cambria" w:eastAsiaTheme="minorHAnsi" w:hAnsi="Cambria" w:cs="Times New Roman"/>
      <w:lang w:eastAsia="en-US"/>
    </w:rPr>
  </w:style>
  <w:style w:type="paragraph" w:customStyle="1" w:styleId="Vpovdi">
    <w:name w:val="Výpovědi"/>
    <w:basedOn w:val="Normln"/>
    <w:link w:val="VpovdiChar"/>
    <w:qFormat/>
    <w:rsid w:val="00A52D2C"/>
    <w:pPr>
      <w:spacing w:before="120" w:after="120"/>
    </w:pPr>
    <w:rPr>
      <w:rFonts w:ascii="Cambria" w:eastAsia="Calibri" w:hAnsi="Cambria" w:cs="Times New Roman"/>
      <w:color w:val="auto"/>
      <w:lang w:eastAsia="en-US"/>
    </w:rPr>
  </w:style>
  <w:style w:type="character" w:customStyle="1" w:styleId="VpovdiChar">
    <w:name w:val="Výpovědi Char"/>
    <w:basedOn w:val="Standardnpsmoodstavce"/>
    <w:link w:val="Vpovdi"/>
    <w:rsid w:val="00A52D2C"/>
    <w:rPr>
      <w:rFonts w:ascii="Cambria" w:eastAsia="Calibri" w:hAnsi="Cambria" w:cs="Times New Roman"/>
      <w:color w:val="auto"/>
      <w:lang w:eastAsia="en-US"/>
    </w:rPr>
  </w:style>
  <w:style w:type="paragraph" w:customStyle="1" w:styleId="Styl3">
    <w:name w:val="Styl3"/>
    <w:basedOn w:val="Normln"/>
    <w:link w:val="Styl3Char"/>
    <w:qFormat/>
    <w:rsid w:val="00A52D2C"/>
    <w:pPr>
      <w:numPr>
        <w:numId w:val="16"/>
      </w:numPr>
      <w:spacing w:before="240" w:after="120"/>
      <w:contextualSpacing/>
    </w:pPr>
    <w:rPr>
      <w:rFonts w:ascii="Cambria" w:eastAsia="Calibri" w:hAnsi="Cambria" w:cs="Times New Roman"/>
      <w:b/>
      <w:color w:val="auto"/>
      <w:lang w:eastAsia="en-US"/>
    </w:rPr>
  </w:style>
  <w:style w:type="character" w:customStyle="1" w:styleId="Styl3Char">
    <w:name w:val="Styl3 Char"/>
    <w:basedOn w:val="Standardnpsmoodstavce"/>
    <w:link w:val="Styl3"/>
    <w:rsid w:val="00A52D2C"/>
    <w:rPr>
      <w:rFonts w:ascii="Cambria" w:eastAsia="Calibri" w:hAnsi="Cambria" w:cs="Times New Roman"/>
      <w:b/>
      <w:color w:val="auto"/>
      <w:lang w:eastAsia="en-US"/>
    </w:rPr>
  </w:style>
  <w:style w:type="paragraph" w:customStyle="1" w:styleId="tabnadpis">
    <w:name w:val="tab_nadpis"/>
    <w:basedOn w:val="Normln"/>
    <w:qFormat/>
    <w:rsid w:val="00A52D2C"/>
    <w:pPr>
      <w:spacing w:before="240" w:after="120"/>
    </w:pPr>
    <w:rPr>
      <w:rFonts w:ascii="Cambria" w:eastAsiaTheme="minorHAnsi" w:hAnsi="Cambria" w:cs="Times New Roman"/>
      <w:b/>
      <w:color w:val="auto"/>
      <w:lang w:eastAsia="en-US"/>
    </w:rPr>
  </w:style>
  <w:style w:type="paragraph" w:styleId="Bezmezer">
    <w:name w:val="No Spacing"/>
    <w:aliases w:val="graf_nadpis"/>
    <w:basedOn w:val="tabnadpis"/>
    <w:link w:val="BezmezerChar"/>
    <w:autoRedefine/>
    <w:uiPriority w:val="1"/>
    <w:qFormat/>
    <w:rsid w:val="00A52D2C"/>
    <w:pPr>
      <w:framePr w:wrap="around" w:hAnchor="text"/>
      <w:widowControl w:val="0"/>
    </w:pPr>
    <w:rPr>
      <w:szCs w:val="24"/>
    </w:rPr>
  </w:style>
  <w:style w:type="character" w:customStyle="1" w:styleId="BezmezerChar">
    <w:name w:val="Bez mezer Char"/>
    <w:aliases w:val="graf_nadpis Char"/>
    <w:link w:val="Bezmezer"/>
    <w:uiPriority w:val="1"/>
    <w:rsid w:val="00A52D2C"/>
    <w:rPr>
      <w:rFonts w:ascii="Cambria" w:eastAsiaTheme="minorHAnsi" w:hAnsi="Cambria" w:cs="Times New Roman"/>
      <w:b/>
      <w:color w:val="auto"/>
      <w:szCs w:val="24"/>
      <w:lang w:eastAsia="en-US"/>
    </w:rPr>
  </w:style>
  <w:style w:type="paragraph" w:styleId="Pedmtkomente">
    <w:name w:val="annotation subject"/>
    <w:basedOn w:val="Textkomente"/>
    <w:next w:val="Textkomente"/>
    <w:link w:val="PedmtkomenteChar"/>
    <w:uiPriority w:val="99"/>
    <w:semiHidden/>
    <w:unhideWhenUsed/>
    <w:rsid w:val="00A52D2C"/>
    <w:pPr>
      <w:spacing w:before="120" w:after="200"/>
    </w:pPr>
    <w:rPr>
      <w:rFonts w:asciiTheme="minorHAnsi" w:eastAsiaTheme="minorHAnsi" w:hAnsiTheme="minorHAnsi" w:cstheme="minorBidi"/>
      <w:b/>
      <w:bCs/>
      <w:color w:val="auto"/>
      <w:lang w:val="de-DE" w:eastAsia="en-US"/>
    </w:rPr>
  </w:style>
  <w:style w:type="character" w:customStyle="1" w:styleId="PedmtkomenteChar">
    <w:name w:val="Předmět komentáře Char"/>
    <w:basedOn w:val="TextkomenteChar"/>
    <w:link w:val="Pedmtkomente"/>
    <w:uiPriority w:val="99"/>
    <w:semiHidden/>
    <w:rsid w:val="00A52D2C"/>
    <w:rPr>
      <w:rFonts w:asciiTheme="minorHAnsi" w:eastAsiaTheme="minorHAnsi" w:hAnsiTheme="minorHAnsi" w:cstheme="minorBidi"/>
      <w:b/>
      <w:bCs/>
      <w:color w:val="auto"/>
      <w:sz w:val="20"/>
      <w:szCs w:val="20"/>
      <w:lang w:val="de-DE" w:eastAsia="en-US"/>
    </w:rPr>
  </w:style>
  <w:style w:type="paragraph" w:customStyle="1" w:styleId="tabsla">
    <w:name w:val="tab_čísla"/>
    <w:basedOn w:val="Normln"/>
    <w:qFormat/>
    <w:rsid w:val="00A52D2C"/>
    <w:pPr>
      <w:spacing w:before="120"/>
      <w:jc w:val="right"/>
    </w:pPr>
    <w:rPr>
      <w:rFonts w:ascii="Cambria" w:eastAsia="Calibri" w:hAnsi="Cambria" w:cs="Times New Roman"/>
      <w:sz w:val="20"/>
      <w:szCs w:val="20"/>
      <w:lang w:eastAsia="en-US"/>
    </w:rPr>
  </w:style>
  <w:style w:type="paragraph" w:customStyle="1" w:styleId="Tabtext">
    <w:name w:val="Tab_text"/>
    <w:basedOn w:val="tabsla"/>
    <w:next w:val="Normln"/>
    <w:qFormat/>
    <w:rsid w:val="00A52D2C"/>
    <w:pPr>
      <w:jc w:val="left"/>
    </w:pPr>
  </w:style>
  <w:style w:type="paragraph" w:customStyle="1" w:styleId="Tabsloupce">
    <w:name w:val="Tab_sloupce"/>
    <w:basedOn w:val="Tabradky"/>
    <w:next w:val="Normln"/>
    <w:qFormat/>
    <w:rsid w:val="00A52D2C"/>
    <w:pPr>
      <w:jc w:val="left"/>
    </w:pPr>
  </w:style>
  <w:style w:type="paragraph" w:customStyle="1" w:styleId="Tabradky">
    <w:name w:val="Tab_radky"/>
    <w:basedOn w:val="Normln"/>
    <w:qFormat/>
    <w:rsid w:val="00A52D2C"/>
    <w:pPr>
      <w:spacing w:before="120"/>
      <w:jc w:val="center"/>
    </w:pPr>
    <w:rPr>
      <w:rFonts w:ascii="Cambria" w:eastAsia="Calibri" w:hAnsi="Cambria" w:cs="Times New Roman"/>
      <w:b/>
      <w:sz w:val="20"/>
      <w:szCs w:val="20"/>
      <w:lang w:eastAsia="en-US"/>
    </w:rPr>
  </w:style>
  <w:style w:type="paragraph" w:customStyle="1" w:styleId="Tabcisla">
    <w:name w:val="Tab_cisla"/>
    <w:basedOn w:val="Tabsloupce"/>
    <w:qFormat/>
    <w:rsid w:val="00A52D2C"/>
    <w:pPr>
      <w:jc w:val="right"/>
    </w:pPr>
    <w:rPr>
      <w:b w:val="0"/>
    </w:rPr>
  </w:style>
  <w:style w:type="table" w:customStyle="1" w:styleId="Svtlstnovn1">
    <w:name w:val="Světlé stínování1"/>
    <w:aliases w:val="Tab_souhrn_sl+rad"/>
    <w:basedOn w:val="Normlntabulka"/>
    <w:uiPriority w:val="60"/>
    <w:rsid w:val="00A52D2C"/>
    <w:pPr>
      <w:spacing w:line="240" w:lineRule="auto"/>
    </w:pPr>
    <w:rPr>
      <w:rFonts w:ascii="Calibri" w:eastAsia="Calibri" w:hAnsi="Calibri" w:cs="Times New Roman"/>
      <w:sz w:val="20"/>
      <w:szCs w:val="20"/>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
    <w:name w:val="Tab_souhrn_sl"/>
    <w:basedOn w:val="Normlntabulka"/>
    <w:uiPriority w:val="99"/>
    <w:rsid w:val="00A52D2C"/>
    <w:pPr>
      <w:spacing w:line="240" w:lineRule="auto"/>
      <w:jc w:val="right"/>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
    <w:name w:val="Tab_r"/>
    <w:basedOn w:val="Normlntabulka"/>
    <w:uiPriority w:val="99"/>
    <w:rsid w:val="00A52D2C"/>
    <w:pPr>
      <w:spacing w:line="240" w:lineRule="auto"/>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character" w:styleId="Siln">
    <w:name w:val="Strong"/>
    <w:uiPriority w:val="22"/>
    <w:qFormat/>
    <w:rsid w:val="00A52D2C"/>
    <w:rPr>
      <w:b/>
      <w:bCs/>
    </w:rPr>
  </w:style>
  <w:style w:type="paragraph" w:customStyle="1" w:styleId="Obrnadpis">
    <w:name w:val="Obr_nadpis"/>
    <w:basedOn w:val="tabnadpis"/>
    <w:rsid w:val="00A52D2C"/>
    <w:pPr>
      <w:framePr w:wrap="around" w:hAnchor="text"/>
      <w:spacing w:after="40"/>
    </w:pPr>
  </w:style>
  <w:style w:type="paragraph" w:customStyle="1" w:styleId="RRtext">
    <w:name w:val="RR text"/>
    <w:basedOn w:val="Normln"/>
    <w:rsid w:val="00A52D2C"/>
    <w:pPr>
      <w:widowControl w:val="0"/>
      <w:spacing w:before="120" w:after="120" w:line="360" w:lineRule="atLeast"/>
      <w:ind w:firstLine="709"/>
    </w:pPr>
    <w:rPr>
      <w:rFonts w:ascii="Cambria" w:eastAsia="Times New Roman" w:hAnsi="Cambria" w:cs="Times New Roman"/>
      <w:color w:val="auto"/>
      <w:sz w:val="24"/>
      <w:szCs w:val="24"/>
    </w:rPr>
  </w:style>
  <w:style w:type="paragraph" w:styleId="Zkladntext2">
    <w:name w:val="Body Text 2"/>
    <w:basedOn w:val="Normln"/>
    <w:link w:val="Zkladntext2Char"/>
    <w:rsid w:val="00A52D2C"/>
    <w:pPr>
      <w:spacing w:before="120"/>
    </w:pPr>
    <w:rPr>
      <w:rFonts w:ascii="Cambria" w:eastAsia="Times New Roman" w:hAnsi="Cambria" w:cs="Times New Roman"/>
      <w:color w:val="auto"/>
      <w:sz w:val="24"/>
      <w:szCs w:val="24"/>
    </w:rPr>
  </w:style>
  <w:style w:type="character" w:customStyle="1" w:styleId="Zkladntext2Char">
    <w:name w:val="Základní text 2 Char"/>
    <w:basedOn w:val="Standardnpsmoodstavce"/>
    <w:link w:val="Zkladntext2"/>
    <w:rsid w:val="00A52D2C"/>
    <w:rPr>
      <w:rFonts w:ascii="Cambria" w:eastAsia="Times New Roman" w:hAnsi="Cambria" w:cs="Times New Roman"/>
      <w:color w:val="auto"/>
      <w:sz w:val="24"/>
      <w:szCs w:val="24"/>
    </w:rPr>
  </w:style>
  <w:style w:type="table" w:customStyle="1" w:styleId="Styl1">
    <w:name w:val="Styl1"/>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paragraph" w:styleId="Revize">
    <w:name w:val="Revision"/>
    <w:hidden/>
    <w:uiPriority w:val="99"/>
    <w:semiHidden/>
    <w:rsid w:val="00A52D2C"/>
    <w:pPr>
      <w:spacing w:line="240" w:lineRule="auto"/>
    </w:pPr>
    <w:rPr>
      <w:rFonts w:ascii="Times New Roman" w:eastAsia="Calibri" w:hAnsi="Times New Roman" w:cs="Times New Roman"/>
      <w:color w:val="auto"/>
      <w:lang w:eastAsia="en-US"/>
    </w:rPr>
  </w:style>
  <w:style w:type="paragraph" w:styleId="Textvysvtlivek">
    <w:name w:val="endnote text"/>
    <w:basedOn w:val="Normln"/>
    <w:link w:val="TextvysvtlivekChar"/>
    <w:uiPriority w:val="99"/>
    <w:semiHidden/>
    <w:unhideWhenUsed/>
    <w:rsid w:val="00A52D2C"/>
    <w:pPr>
      <w:spacing w:before="120"/>
    </w:pPr>
    <w:rPr>
      <w:rFonts w:ascii="Cambria" w:eastAsia="Calibri" w:hAnsi="Cambria" w:cs="Times New Roman"/>
      <w:color w:val="auto"/>
      <w:sz w:val="20"/>
      <w:szCs w:val="20"/>
      <w:lang w:eastAsia="en-US"/>
    </w:rPr>
  </w:style>
  <w:style w:type="character" w:customStyle="1" w:styleId="TextvysvtlivekChar">
    <w:name w:val="Text vysvětlivek Char"/>
    <w:basedOn w:val="Standardnpsmoodstavce"/>
    <w:link w:val="Textvysvtlivek"/>
    <w:uiPriority w:val="99"/>
    <w:semiHidden/>
    <w:rsid w:val="00A52D2C"/>
    <w:rPr>
      <w:rFonts w:ascii="Cambria" w:eastAsia="Calibri" w:hAnsi="Cambria" w:cs="Times New Roman"/>
      <w:color w:val="auto"/>
      <w:sz w:val="20"/>
      <w:szCs w:val="20"/>
      <w:lang w:eastAsia="en-US"/>
    </w:rPr>
  </w:style>
  <w:style w:type="character" w:styleId="Odkaznavysvtlivky">
    <w:name w:val="endnote reference"/>
    <w:basedOn w:val="Standardnpsmoodstavce"/>
    <w:uiPriority w:val="99"/>
    <w:semiHidden/>
    <w:unhideWhenUsed/>
    <w:rsid w:val="00A52D2C"/>
    <w:rPr>
      <w:vertAlign w:val="superscript"/>
    </w:rPr>
  </w:style>
  <w:style w:type="paragraph" w:customStyle="1" w:styleId="Default">
    <w:name w:val="Default"/>
    <w:rsid w:val="00A52D2C"/>
    <w:pPr>
      <w:autoSpaceDE w:val="0"/>
      <w:autoSpaceDN w:val="0"/>
      <w:adjustRightInd w:val="0"/>
      <w:spacing w:line="240" w:lineRule="auto"/>
    </w:pPr>
    <w:rPr>
      <w:rFonts w:ascii="Times New Roman" w:eastAsia="Calibri" w:hAnsi="Times New Roman" w:cs="Times New Roman"/>
      <w:sz w:val="24"/>
      <w:szCs w:val="24"/>
    </w:rPr>
  </w:style>
  <w:style w:type="paragraph" w:customStyle="1" w:styleId="celkemtabslo">
    <w:name w:val="celkem tab_číslo"/>
    <w:basedOn w:val="Normln"/>
    <w:link w:val="celkemtabsloChar"/>
    <w:rsid w:val="00A52D2C"/>
    <w:pPr>
      <w:spacing w:before="120" w:after="120" w:line="264" w:lineRule="auto"/>
      <w:jc w:val="right"/>
    </w:pPr>
    <w:rPr>
      <w:rFonts w:ascii="Arial" w:eastAsiaTheme="minorHAnsi" w:hAnsi="Arial"/>
      <w:b/>
      <w:bCs/>
      <w:color w:val="FFFFFF" w:themeColor="background1"/>
      <w:sz w:val="16"/>
      <w:szCs w:val="18"/>
      <w:lang w:eastAsia="en-US"/>
    </w:rPr>
  </w:style>
  <w:style w:type="paragraph" w:customStyle="1" w:styleId="slotab">
    <w:name w:val="číslo_tab"/>
    <w:basedOn w:val="Normln"/>
    <w:link w:val="slotabChar"/>
    <w:qFormat/>
    <w:rsid w:val="00A52D2C"/>
    <w:pPr>
      <w:spacing w:before="120"/>
      <w:jc w:val="right"/>
    </w:pPr>
    <w:rPr>
      <w:rFonts w:ascii="Arial" w:eastAsia="Calibri" w:hAnsi="Arial"/>
      <w:sz w:val="18"/>
      <w:szCs w:val="18"/>
      <w:lang w:eastAsia="en-US"/>
    </w:rPr>
  </w:style>
  <w:style w:type="character" w:customStyle="1" w:styleId="celkemtabsloChar">
    <w:name w:val="celkem tab_číslo Char"/>
    <w:basedOn w:val="Standardnpsmoodstavce"/>
    <w:link w:val="celkemtabslo"/>
    <w:rsid w:val="00A52D2C"/>
    <w:rPr>
      <w:rFonts w:eastAsiaTheme="minorHAnsi"/>
      <w:b/>
      <w:bCs/>
      <w:color w:val="FFFFFF" w:themeColor="background1"/>
      <w:sz w:val="16"/>
      <w:szCs w:val="18"/>
      <w:lang w:eastAsia="en-US"/>
    </w:rPr>
  </w:style>
  <w:style w:type="character" w:customStyle="1" w:styleId="slotabChar">
    <w:name w:val="číslo_tab Char"/>
    <w:basedOn w:val="Standardnpsmoodstavce"/>
    <w:link w:val="slotab"/>
    <w:rsid w:val="00A52D2C"/>
    <w:rPr>
      <w:rFonts w:eastAsia="Calibri"/>
      <w:sz w:val="18"/>
      <w:szCs w:val="18"/>
      <w:lang w:eastAsia="en-US"/>
    </w:rPr>
  </w:style>
  <w:style w:type="paragraph" w:customStyle="1" w:styleId="Celkembl">
    <w:name w:val="Celkem_bílý"/>
    <w:basedOn w:val="Tabsloupce"/>
    <w:link w:val="CelkemblChar"/>
    <w:rsid w:val="00A52D2C"/>
    <w:pPr>
      <w:jc w:val="center"/>
    </w:pPr>
    <w:rPr>
      <w:rFonts w:ascii="Arial" w:hAnsi="Arial" w:cs="Arial"/>
      <w:color w:val="FFFFFF" w:themeColor="background1"/>
      <w:sz w:val="18"/>
      <w:szCs w:val="18"/>
    </w:rPr>
  </w:style>
  <w:style w:type="character" w:customStyle="1" w:styleId="CelkemblChar">
    <w:name w:val="Celkem_bílý Char"/>
    <w:basedOn w:val="Standardnpsmoodstavce"/>
    <w:link w:val="Celkembl"/>
    <w:rsid w:val="00A52D2C"/>
    <w:rPr>
      <w:rFonts w:eastAsia="Calibri"/>
      <w:b/>
      <w:color w:val="FFFFFF" w:themeColor="background1"/>
      <w:sz w:val="18"/>
      <w:szCs w:val="18"/>
      <w:lang w:eastAsia="en-US"/>
    </w:rPr>
  </w:style>
  <w:style w:type="paragraph" w:customStyle="1" w:styleId="blacelkovtab">
    <w:name w:val="bíla celková tab"/>
    <w:basedOn w:val="Celkembl"/>
    <w:link w:val="blacelkovtabChar"/>
    <w:qFormat/>
    <w:rsid w:val="00A52D2C"/>
    <w:pPr>
      <w:spacing w:line="276" w:lineRule="auto"/>
      <w:jc w:val="right"/>
    </w:pPr>
  </w:style>
  <w:style w:type="paragraph" w:customStyle="1" w:styleId="zhlavtabvertikal">
    <w:name w:val="záhlaví tab_vertikal"/>
    <w:basedOn w:val="Normln"/>
    <w:link w:val="zhlavtabvertikalChar"/>
    <w:qFormat/>
    <w:rsid w:val="00A52D2C"/>
    <w:pPr>
      <w:spacing w:before="120"/>
      <w:ind w:left="113" w:right="113"/>
    </w:pPr>
    <w:rPr>
      <w:rFonts w:ascii="Arial" w:eastAsia="Calibri" w:hAnsi="Arial"/>
      <w:color w:val="FFFFFF" w:themeColor="background1"/>
      <w:sz w:val="18"/>
      <w:szCs w:val="18"/>
      <w:lang w:eastAsia="en-US"/>
    </w:rPr>
  </w:style>
  <w:style w:type="character" w:customStyle="1" w:styleId="blacelkovtabChar">
    <w:name w:val="bíla celková tab Char"/>
    <w:basedOn w:val="CelkemblChar"/>
    <w:link w:val="blacelkovtab"/>
    <w:rsid w:val="00A52D2C"/>
    <w:rPr>
      <w:rFonts w:eastAsia="Calibri"/>
      <w:b/>
      <w:color w:val="FFFFFF" w:themeColor="background1"/>
      <w:sz w:val="18"/>
      <w:szCs w:val="18"/>
      <w:lang w:eastAsia="en-US"/>
    </w:rPr>
  </w:style>
  <w:style w:type="paragraph" w:customStyle="1" w:styleId="tabtext0">
    <w:name w:val="tab_text"/>
    <w:basedOn w:val="Normln"/>
    <w:link w:val="tabtextChar"/>
    <w:qFormat/>
    <w:rsid w:val="00A52D2C"/>
    <w:pPr>
      <w:spacing w:before="120"/>
    </w:pPr>
    <w:rPr>
      <w:rFonts w:ascii="Arial" w:eastAsia="Calibri" w:hAnsi="Arial"/>
      <w:sz w:val="18"/>
      <w:szCs w:val="18"/>
      <w:lang w:eastAsia="en-US"/>
    </w:rPr>
  </w:style>
  <w:style w:type="character" w:customStyle="1" w:styleId="zhlavtabvertikalChar">
    <w:name w:val="záhlaví tab_vertikal Char"/>
    <w:basedOn w:val="Standardnpsmoodstavce"/>
    <w:link w:val="zhlavtabvertikal"/>
    <w:rsid w:val="00A52D2C"/>
    <w:rPr>
      <w:rFonts w:eastAsia="Calibri"/>
      <w:color w:val="FFFFFF" w:themeColor="background1"/>
      <w:sz w:val="18"/>
      <w:szCs w:val="18"/>
      <w:lang w:eastAsia="en-US"/>
    </w:rPr>
  </w:style>
  <w:style w:type="character" w:customStyle="1" w:styleId="tabtextChar">
    <w:name w:val="tab_text Char"/>
    <w:basedOn w:val="Standardnpsmoodstavce"/>
    <w:link w:val="tabtext0"/>
    <w:rsid w:val="00A52D2C"/>
    <w:rPr>
      <w:rFonts w:eastAsia="Calibri"/>
      <w:sz w:val="18"/>
      <w:szCs w:val="18"/>
      <w:lang w:eastAsia="en-US"/>
    </w:rPr>
  </w:style>
  <w:style w:type="paragraph" w:styleId="Normlnweb">
    <w:name w:val="Normal (Web)"/>
    <w:basedOn w:val="Normln"/>
    <w:link w:val="NormlnwebChar"/>
    <w:uiPriority w:val="99"/>
    <w:unhideWhenUsed/>
    <w:rsid w:val="00A52D2C"/>
    <w:pPr>
      <w:spacing w:before="100" w:beforeAutospacing="1" w:after="100" w:afterAutospacing="1"/>
    </w:pPr>
    <w:rPr>
      <w:rFonts w:ascii="Cambria" w:eastAsiaTheme="minorEastAsia" w:hAnsi="Cambria" w:cs="Times New Roman"/>
      <w:color w:val="auto"/>
      <w:sz w:val="24"/>
      <w:szCs w:val="24"/>
    </w:rPr>
  </w:style>
  <w:style w:type="table" w:styleId="Stednstnovn1zvraznn1">
    <w:name w:val="Medium Shading 1 Accent 1"/>
    <w:basedOn w:val="Normlntabulka"/>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respondenti">
    <w:name w:val="respondenti"/>
    <w:basedOn w:val="Odstavecseseznamem"/>
    <w:link w:val="respondentiChar"/>
    <w:qFormat/>
    <w:rsid w:val="00A52D2C"/>
    <w:pPr>
      <w:numPr>
        <w:numId w:val="6"/>
      </w:numPr>
      <w:autoSpaceDE/>
      <w:autoSpaceDN/>
      <w:adjustRightInd/>
      <w:spacing w:before="360" w:after="120"/>
      <w:ind w:left="357" w:hanging="357"/>
      <w:textAlignment w:val="auto"/>
    </w:pPr>
    <w:rPr>
      <w:rFonts w:asciiTheme="majorHAnsi" w:eastAsia="Calibri" w:hAnsiTheme="majorHAnsi" w:cs="Times New Roman"/>
      <w:b/>
    </w:rPr>
  </w:style>
  <w:style w:type="character" w:customStyle="1" w:styleId="respondentiChar">
    <w:name w:val="respondenti Char"/>
    <w:basedOn w:val="OdstavecseseznamemChar"/>
    <w:link w:val="respondenti"/>
    <w:rsid w:val="00A52D2C"/>
    <w:rPr>
      <w:rFonts w:asciiTheme="majorHAnsi" w:eastAsia="Calibri" w:hAnsiTheme="majorHAnsi" w:cs="Times New Roman"/>
      <w:b/>
      <w:lang w:eastAsia="en-US"/>
    </w:rPr>
  </w:style>
  <w:style w:type="paragraph" w:customStyle="1" w:styleId="Styl2">
    <w:name w:val="Styl2"/>
    <w:basedOn w:val="Odstavecseseznamem"/>
    <w:link w:val="Styl2Char"/>
    <w:qFormat/>
    <w:rsid w:val="00A52D2C"/>
    <w:pPr>
      <w:numPr>
        <w:numId w:val="7"/>
      </w:numPr>
      <w:autoSpaceDE/>
      <w:autoSpaceDN/>
      <w:adjustRightInd/>
      <w:spacing w:after="120"/>
      <w:textAlignment w:val="auto"/>
    </w:pPr>
    <w:rPr>
      <w:rFonts w:eastAsia="Calibri" w:cs="Times New Roman"/>
      <w:u w:val="single"/>
    </w:rPr>
  </w:style>
  <w:style w:type="character" w:customStyle="1" w:styleId="Styl2Char">
    <w:name w:val="Styl2 Char"/>
    <w:basedOn w:val="OdstavecseseznamemChar"/>
    <w:link w:val="Styl2"/>
    <w:rsid w:val="00A52D2C"/>
    <w:rPr>
      <w:rFonts w:ascii="Cambria" w:eastAsia="Calibri" w:hAnsi="Cambria" w:cs="Times New Roman"/>
      <w:u w:val="single"/>
      <w:lang w:eastAsia="en-US"/>
    </w:rPr>
  </w:style>
  <w:style w:type="paragraph" w:styleId="Nadpisobsahu">
    <w:name w:val="TOC Heading"/>
    <w:basedOn w:val="Nadpis1"/>
    <w:next w:val="Normln"/>
    <w:uiPriority w:val="39"/>
    <w:unhideWhenUsed/>
    <w:qFormat/>
    <w:rsid w:val="00A52D2C"/>
    <w:pPr>
      <w:numPr>
        <w:numId w:val="0"/>
      </w:numPr>
      <w:spacing w:before="480"/>
      <w:contextualSpacing w:val="0"/>
      <w:outlineLvl w:val="9"/>
    </w:pPr>
    <w:rPr>
      <w:rFonts w:eastAsiaTheme="majorEastAsia" w:cstheme="majorBidi"/>
      <w:bCs/>
      <w:color w:val="365F91" w:themeColor="accent1" w:themeShade="BF"/>
      <w:szCs w:val="22"/>
    </w:rPr>
  </w:style>
  <w:style w:type="table" w:styleId="Stednstnovn1zvraznn4">
    <w:name w:val="Medium Shading 1 Accent 4"/>
    <w:basedOn w:val="Normlntabulka"/>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vtlseznamzvraznn4">
    <w:name w:val="Light List Accent 4"/>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
    <w:name w:val="Light List"/>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2">
    <w:name w:val="Light List Accent 2"/>
    <w:basedOn w:val="Normlntabulka"/>
    <w:uiPriority w:val="61"/>
    <w:rsid w:val="00A52D2C"/>
    <w:pPr>
      <w:spacing w:line="240" w:lineRule="auto"/>
    </w:pPr>
    <w:rPr>
      <w:rFonts w:asciiTheme="minorHAnsi" w:eastAsiaTheme="minorEastAsia" w:hAnsiTheme="minorHAnsi" w:cstheme="minorBidi"/>
      <w:color w:val="auto"/>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ulekChar">
    <w:name w:val="Titulek Char"/>
    <w:basedOn w:val="Standardnpsmoodstavce"/>
    <w:link w:val="Titulek"/>
    <w:uiPriority w:val="35"/>
    <w:rsid w:val="00A52D2C"/>
    <w:rPr>
      <w:rFonts w:ascii="Cambria" w:eastAsiaTheme="minorHAnsi" w:hAnsi="Cambria" w:cs="Cambria"/>
      <w:b/>
      <w:bCs/>
      <w:color w:val="auto"/>
      <w:szCs w:val="18"/>
      <w:lang w:eastAsia="en-US"/>
    </w:rPr>
  </w:style>
  <w:style w:type="character" w:styleId="Zvraznn">
    <w:name w:val="Emphasis"/>
    <w:basedOn w:val="Standardnpsmoodstavce"/>
    <w:qFormat/>
    <w:rsid w:val="00F51F10"/>
    <w:rPr>
      <w:b/>
    </w:rPr>
  </w:style>
  <w:style w:type="paragraph" w:styleId="Zkladntext">
    <w:name w:val="Body Text"/>
    <w:basedOn w:val="Normln"/>
    <w:link w:val="ZkladntextChar"/>
    <w:uiPriority w:val="99"/>
    <w:semiHidden/>
    <w:unhideWhenUsed/>
    <w:rsid w:val="00A52D2C"/>
    <w:pPr>
      <w:spacing w:before="120" w:after="120"/>
    </w:pPr>
    <w:rPr>
      <w:rFonts w:ascii="Cambria" w:eastAsia="Calibri" w:hAnsi="Cambria" w:cs="Times New Roman"/>
      <w:color w:val="auto"/>
      <w:lang w:eastAsia="en-US"/>
    </w:rPr>
  </w:style>
  <w:style w:type="character" w:customStyle="1" w:styleId="ZkladntextChar">
    <w:name w:val="Základní text Char"/>
    <w:basedOn w:val="Standardnpsmoodstavce"/>
    <w:link w:val="Zkladntext"/>
    <w:uiPriority w:val="99"/>
    <w:semiHidden/>
    <w:rsid w:val="00A52D2C"/>
    <w:rPr>
      <w:rFonts w:ascii="Cambria" w:eastAsia="Calibri" w:hAnsi="Cambria" w:cs="Times New Roman"/>
      <w:color w:val="auto"/>
      <w:lang w:eastAsia="en-US"/>
    </w:rPr>
  </w:style>
  <w:style w:type="paragraph" w:customStyle="1" w:styleId="1ODRKA">
    <w:name w:val="1. ODRÁŽKA"/>
    <w:basedOn w:val="Odstavecseseznamem"/>
    <w:link w:val="1ODRKAChar"/>
    <w:qFormat/>
    <w:rsid w:val="00A52D2C"/>
    <w:pPr>
      <w:numPr>
        <w:numId w:val="8"/>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1ODRKAChar">
    <w:name w:val="1. ODRÁŽKA Char"/>
    <w:basedOn w:val="OdstavecseseznamemChar"/>
    <w:link w:val="1ODRKA"/>
    <w:rsid w:val="00A52D2C"/>
    <w:rPr>
      <w:rFonts w:ascii="Cambria" w:eastAsiaTheme="minorEastAsia" w:hAnsi="Cambria" w:cs="Times New Roman"/>
      <w:noProof/>
      <w:sz w:val="24"/>
      <w:szCs w:val="24"/>
      <w:lang w:eastAsia="en-US"/>
    </w:rPr>
  </w:style>
  <w:style w:type="paragraph" w:customStyle="1" w:styleId="IODRKA">
    <w:name w:val="I. ODRÁŽKA"/>
    <w:basedOn w:val="Odstavecseseznamem"/>
    <w:link w:val="IODRKAChar"/>
    <w:qFormat/>
    <w:rsid w:val="00A52D2C"/>
    <w:pPr>
      <w:numPr>
        <w:numId w:val="9"/>
      </w:numPr>
      <w:autoSpaceDE/>
      <w:autoSpaceDN/>
      <w:adjustRightInd/>
      <w:spacing w:before="360" w:after="120"/>
      <w:ind w:left="714" w:hanging="357"/>
      <w:textAlignment w:val="auto"/>
    </w:pPr>
    <w:rPr>
      <w:rFonts w:eastAsiaTheme="minorEastAsia" w:cs="Times New Roman"/>
      <w:noProof/>
      <w:sz w:val="24"/>
      <w:szCs w:val="24"/>
    </w:rPr>
  </w:style>
  <w:style w:type="character" w:customStyle="1" w:styleId="IODRKAChar">
    <w:name w:val="I. ODRÁŽKA Char"/>
    <w:basedOn w:val="OdstavecseseznamemChar"/>
    <w:link w:val="IODRKA"/>
    <w:rsid w:val="00A52D2C"/>
    <w:rPr>
      <w:rFonts w:ascii="Cambria" w:eastAsiaTheme="minorEastAsia" w:hAnsi="Cambria" w:cs="Times New Roman"/>
      <w:noProof/>
      <w:sz w:val="24"/>
      <w:szCs w:val="24"/>
      <w:lang w:eastAsia="en-US"/>
    </w:rPr>
  </w:style>
  <w:style w:type="paragraph" w:customStyle="1" w:styleId="Styl4">
    <w:name w:val="Styl4"/>
    <w:basedOn w:val="Nadpis1"/>
    <w:link w:val="Styl4Char"/>
    <w:qFormat/>
    <w:rsid w:val="00A52D2C"/>
    <w:pPr>
      <w:numPr>
        <w:numId w:val="10"/>
      </w:numPr>
      <w:spacing w:before="480"/>
      <w:ind w:hanging="750"/>
      <w:contextualSpacing w:val="0"/>
    </w:pPr>
    <w:rPr>
      <w:rFonts w:eastAsiaTheme="majorEastAsia" w:cs="Times New Roman"/>
      <w:bCs/>
      <w:caps/>
      <w:color w:val="auto"/>
      <w:sz w:val="48"/>
      <w:szCs w:val="28"/>
    </w:rPr>
  </w:style>
  <w:style w:type="paragraph" w:customStyle="1" w:styleId="otzka">
    <w:name w:val="otázka"/>
    <w:basedOn w:val="Vpovdi"/>
    <w:link w:val="otzkaChar"/>
    <w:qFormat/>
    <w:rsid w:val="00A52D2C"/>
    <w:pPr>
      <w:numPr>
        <w:numId w:val="11"/>
      </w:numPr>
      <w:spacing w:before="240"/>
      <w:ind w:left="1134" w:hanging="425"/>
    </w:pPr>
    <w:rPr>
      <w:b/>
      <w:color w:val="FF0000"/>
      <w:sz w:val="24"/>
    </w:rPr>
  </w:style>
  <w:style w:type="character" w:customStyle="1" w:styleId="Styl4Char">
    <w:name w:val="Styl4 Char"/>
    <w:basedOn w:val="Nadpis1Char"/>
    <w:link w:val="Styl4"/>
    <w:rsid w:val="00A52D2C"/>
    <w:rPr>
      <w:rFonts w:asciiTheme="majorHAnsi" w:eastAsiaTheme="majorEastAsia" w:hAnsiTheme="majorHAnsi" w:cs="Times New Roman"/>
      <w:b/>
      <w:bCs/>
      <w:caps/>
      <w:color w:val="auto"/>
      <w:sz w:val="48"/>
      <w:szCs w:val="28"/>
    </w:rPr>
  </w:style>
  <w:style w:type="paragraph" w:customStyle="1" w:styleId="Poznpodtabgraf">
    <w:name w:val="Pozn_pod_tab_graf"/>
    <w:basedOn w:val="Normln"/>
    <w:link w:val="PoznpodtabgrafChar"/>
    <w:qFormat/>
    <w:rsid w:val="00A52D2C"/>
    <w:pPr>
      <w:spacing w:before="120" w:after="120"/>
      <w:contextualSpacing/>
    </w:pPr>
    <w:rPr>
      <w:rFonts w:ascii="Cambria" w:eastAsia="Calibri" w:hAnsi="Cambria" w:cs="Times New Roman"/>
      <w:color w:val="auto"/>
      <w:sz w:val="18"/>
      <w:lang w:eastAsia="en-US"/>
    </w:rPr>
  </w:style>
  <w:style w:type="character" w:customStyle="1" w:styleId="otzkaChar">
    <w:name w:val="otázka Char"/>
    <w:basedOn w:val="VpovdiChar"/>
    <w:link w:val="otzka"/>
    <w:rsid w:val="00A52D2C"/>
    <w:rPr>
      <w:rFonts w:ascii="Cambria" w:eastAsia="Calibri" w:hAnsi="Cambria" w:cs="Times New Roman"/>
      <w:b/>
      <w:color w:val="FF0000"/>
      <w:sz w:val="24"/>
      <w:lang w:eastAsia="en-US"/>
    </w:rPr>
  </w:style>
  <w:style w:type="character" w:customStyle="1" w:styleId="PoznpodtabgrafChar">
    <w:name w:val="Pozn_pod_tab_graf Char"/>
    <w:basedOn w:val="Standardnpsmoodstavce"/>
    <w:link w:val="Poznpodtabgraf"/>
    <w:rsid w:val="00A52D2C"/>
    <w:rPr>
      <w:rFonts w:ascii="Cambria" w:eastAsia="Calibri" w:hAnsi="Cambria" w:cs="Times New Roman"/>
      <w:color w:val="auto"/>
      <w:sz w:val="18"/>
      <w:lang w:eastAsia="en-US"/>
    </w:rPr>
  </w:style>
  <w:style w:type="paragraph" w:customStyle="1" w:styleId="Klov">
    <w:name w:val="Klíčové"/>
    <w:basedOn w:val="Normln"/>
    <w:link w:val="KlovChar"/>
    <w:qFormat/>
    <w:rsid w:val="00A52D2C"/>
    <w:pPr>
      <w:pBdr>
        <w:top w:val="single" w:sz="24" w:space="1" w:color="0070C0"/>
        <w:left w:val="single" w:sz="24" w:space="4" w:color="0070C0"/>
        <w:bottom w:val="single" w:sz="24" w:space="1" w:color="0070C0"/>
        <w:right w:val="single" w:sz="24" w:space="4" w:color="0070C0"/>
      </w:pBdr>
      <w:spacing w:before="120"/>
    </w:pPr>
    <w:rPr>
      <w:rFonts w:ascii="Cambria" w:eastAsiaTheme="minorHAnsi" w:hAnsi="Cambria" w:cs="Times New Roman"/>
      <w:b/>
      <w:color w:val="auto"/>
      <w:lang w:eastAsia="en-US"/>
    </w:rPr>
  </w:style>
  <w:style w:type="paragraph" w:customStyle="1" w:styleId="klovII">
    <w:name w:val="klíčové II"/>
    <w:basedOn w:val="Klov"/>
    <w:link w:val="klovIIChar"/>
    <w:qFormat/>
    <w:rsid w:val="00A52D2C"/>
    <w:pPr>
      <w:spacing w:after="240"/>
    </w:pPr>
    <w:rPr>
      <w:b w:val="0"/>
    </w:rPr>
  </w:style>
  <w:style w:type="character" w:customStyle="1" w:styleId="KlovChar">
    <w:name w:val="Klíčové Char"/>
    <w:basedOn w:val="Standardnpsmoodstavce"/>
    <w:link w:val="Klov"/>
    <w:rsid w:val="00A52D2C"/>
    <w:rPr>
      <w:rFonts w:ascii="Cambria" w:eastAsiaTheme="minorHAnsi" w:hAnsi="Cambria" w:cs="Times New Roman"/>
      <w:b/>
      <w:color w:val="auto"/>
      <w:lang w:eastAsia="en-US"/>
    </w:rPr>
  </w:style>
  <w:style w:type="table" w:styleId="Stednmka2zvraznn6">
    <w:name w:val="Medium Grid 2 Accent 6"/>
    <w:basedOn w:val="Normlntabulka"/>
    <w:uiPriority w:val="68"/>
    <w:rsid w:val="00A52D2C"/>
    <w:pPr>
      <w:spacing w:line="240" w:lineRule="auto"/>
    </w:pPr>
    <w:rPr>
      <w:rFonts w:asciiTheme="majorHAnsi" w:eastAsiaTheme="majorEastAsia" w:hAnsiTheme="majorHAnsi" w:cstheme="majorBidi"/>
      <w:color w:val="000000" w:themeColor="text1"/>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character" w:customStyle="1" w:styleId="klovIIChar">
    <w:name w:val="klíčové II Char"/>
    <w:basedOn w:val="KlovChar"/>
    <w:link w:val="klovII"/>
    <w:rsid w:val="00A52D2C"/>
    <w:rPr>
      <w:rFonts w:ascii="Cambria" w:eastAsiaTheme="minorHAnsi" w:hAnsi="Cambria" w:cs="Times New Roman"/>
      <w:b w:val="0"/>
      <w:color w:val="auto"/>
      <w:lang w:eastAsia="en-US"/>
    </w:rPr>
  </w:style>
  <w:style w:type="paragraph" w:customStyle="1" w:styleId="rove2">
    <w:name w:val="úroveň 2"/>
    <w:basedOn w:val="Odstavecseseznamem"/>
    <w:link w:val="rove2Char"/>
    <w:qFormat/>
    <w:rsid w:val="00A52D2C"/>
    <w:pPr>
      <w:numPr>
        <w:ilvl w:val="1"/>
        <w:numId w:val="15"/>
      </w:numPr>
      <w:suppressAutoHyphens/>
      <w:autoSpaceDE/>
      <w:autoSpaceDN/>
      <w:adjustRightInd/>
      <w:textAlignment w:val="auto"/>
    </w:pPr>
    <w:rPr>
      <w:rFonts w:eastAsia="Times New Roman" w:cs="Times New Roman"/>
      <w:color w:val="000000" w:themeColor="text1"/>
      <w:sz w:val="18"/>
      <w:szCs w:val="24"/>
      <w:lang w:val="de-DE" w:eastAsia="ar-SA"/>
    </w:rPr>
  </w:style>
  <w:style w:type="paragraph" w:customStyle="1" w:styleId="rove1">
    <w:name w:val="úroveň 1"/>
    <w:basedOn w:val="Odstavecseseznamem"/>
    <w:link w:val="rove1Char"/>
    <w:qFormat/>
    <w:rsid w:val="00A52D2C"/>
    <w:pPr>
      <w:numPr>
        <w:numId w:val="14"/>
      </w:numPr>
      <w:autoSpaceDE/>
      <w:autoSpaceDN/>
      <w:adjustRightInd/>
      <w:textAlignment w:val="auto"/>
    </w:pPr>
    <w:rPr>
      <w:rFonts w:asciiTheme="majorHAnsi" w:eastAsia="Times New Roman" w:hAnsiTheme="majorHAnsi" w:cs="Times New Roman"/>
      <w:b/>
      <w:caps/>
      <w:color w:val="000000" w:themeColor="text1"/>
      <w:sz w:val="24"/>
      <w:szCs w:val="24"/>
      <w:lang w:val="de-DE" w:eastAsia="ar-SA"/>
    </w:rPr>
  </w:style>
  <w:style w:type="character" w:customStyle="1" w:styleId="rove2Char">
    <w:name w:val="úroveň 2 Char"/>
    <w:basedOn w:val="OdstavecseseznamemChar"/>
    <w:link w:val="rove2"/>
    <w:rsid w:val="00A52D2C"/>
    <w:rPr>
      <w:rFonts w:ascii="Cambria" w:eastAsia="Times New Roman" w:hAnsi="Cambria" w:cs="Times New Roman"/>
      <w:color w:val="000000" w:themeColor="text1"/>
      <w:sz w:val="18"/>
      <w:szCs w:val="24"/>
      <w:lang w:val="de-DE" w:eastAsia="ar-SA"/>
    </w:rPr>
  </w:style>
  <w:style w:type="character" w:customStyle="1" w:styleId="rove1Char">
    <w:name w:val="úroveň 1 Char"/>
    <w:basedOn w:val="OdstavecseseznamemChar"/>
    <w:link w:val="rove1"/>
    <w:rsid w:val="00A52D2C"/>
    <w:rPr>
      <w:rFonts w:asciiTheme="majorHAnsi" w:eastAsia="Times New Roman" w:hAnsiTheme="majorHAnsi" w:cs="Times New Roman"/>
      <w:b/>
      <w:caps/>
      <w:color w:val="000000" w:themeColor="text1"/>
      <w:sz w:val="24"/>
      <w:szCs w:val="24"/>
      <w:lang w:val="de-DE" w:eastAsia="ar-SA"/>
    </w:rPr>
  </w:style>
  <w:style w:type="paragraph" w:customStyle="1" w:styleId="urove2-2">
    <w:name w:val="uroveň 2 -2"/>
    <w:basedOn w:val="rove2"/>
    <w:link w:val="urove2-2Char"/>
    <w:qFormat/>
    <w:rsid w:val="00A52D2C"/>
    <w:pPr>
      <w:numPr>
        <w:numId w:val="12"/>
      </w:numPr>
      <w:ind w:left="317" w:hanging="317"/>
    </w:pPr>
  </w:style>
  <w:style w:type="character" w:customStyle="1" w:styleId="urove2-2Char">
    <w:name w:val="uroveň 2 -2 Char"/>
    <w:basedOn w:val="rove2Char"/>
    <w:link w:val="urove2-2"/>
    <w:rsid w:val="00A52D2C"/>
    <w:rPr>
      <w:rFonts w:ascii="Cambria" w:eastAsia="Times New Roman" w:hAnsi="Cambria" w:cs="Times New Roman"/>
      <w:color w:val="000000" w:themeColor="text1"/>
      <w:sz w:val="18"/>
      <w:szCs w:val="24"/>
      <w:lang w:val="de-DE" w:eastAsia="ar-SA"/>
    </w:rPr>
  </w:style>
  <w:style w:type="paragraph" w:customStyle="1" w:styleId="uroven2-4">
    <w:name w:val="uroven 2 -4"/>
    <w:basedOn w:val="Normln"/>
    <w:qFormat/>
    <w:rsid w:val="00A52D2C"/>
    <w:pPr>
      <w:numPr>
        <w:ilvl w:val="1"/>
        <w:numId w:val="13"/>
      </w:numPr>
      <w:suppressAutoHyphens/>
      <w:spacing w:before="120"/>
      <w:ind w:left="317" w:hanging="317"/>
      <w:contextualSpacing/>
    </w:pPr>
    <w:rPr>
      <w:rFonts w:asciiTheme="minorHAnsi" w:eastAsia="Times New Roman" w:hAnsiTheme="minorHAnsi" w:cs="Times New Roman"/>
      <w:color w:val="000000" w:themeColor="text1"/>
      <w:sz w:val="18"/>
      <w:szCs w:val="24"/>
      <w:lang w:eastAsia="ar-SA"/>
    </w:rPr>
  </w:style>
  <w:style w:type="paragraph" w:customStyle="1" w:styleId="Nadpis4b">
    <w:name w:val="Nadpis 4b"/>
    <w:basedOn w:val="Nadpis4"/>
    <w:link w:val="Nadpis4bChar"/>
    <w:qFormat/>
    <w:rsid w:val="00A52D2C"/>
    <w:pPr>
      <w:numPr>
        <w:ilvl w:val="3"/>
      </w:numPr>
      <w:spacing w:before="240" w:after="120"/>
      <w:ind w:left="864" w:hanging="864"/>
      <w:contextualSpacing w:val="0"/>
    </w:pPr>
    <w:rPr>
      <w:rFonts w:ascii="Cambria" w:eastAsiaTheme="majorEastAsia" w:hAnsi="Cambria" w:cs="Times New Roman"/>
      <w:b/>
      <w:bCs/>
      <w:iCs/>
      <w:caps/>
      <w:color w:val="FF0000"/>
    </w:rPr>
  </w:style>
  <w:style w:type="paragraph" w:customStyle="1" w:styleId="Klovb">
    <w:name w:val="Klíčové b"/>
    <w:basedOn w:val="Klov"/>
    <w:link w:val="KlovbChar"/>
    <w:qFormat/>
    <w:rsid w:val="00A52D2C"/>
    <w:pPr>
      <w:pBdr>
        <w:top w:val="single" w:sz="24" w:space="1" w:color="FF0000"/>
        <w:left w:val="single" w:sz="24" w:space="4" w:color="FF0000"/>
        <w:bottom w:val="single" w:sz="24" w:space="1" w:color="FF0000"/>
        <w:right w:val="single" w:sz="24" w:space="4" w:color="FF0000"/>
      </w:pBdr>
    </w:pPr>
    <w:rPr>
      <w:color w:val="FF0000"/>
    </w:rPr>
  </w:style>
  <w:style w:type="character" w:customStyle="1" w:styleId="Nadpis4bChar">
    <w:name w:val="Nadpis 4b Char"/>
    <w:basedOn w:val="Nadpis4Char"/>
    <w:link w:val="Nadpis4b"/>
    <w:rsid w:val="00A52D2C"/>
    <w:rPr>
      <w:rFonts w:ascii="Cambria" w:eastAsiaTheme="majorEastAsia" w:hAnsi="Cambria" w:cs="Times New Roman"/>
      <w:b/>
      <w:bCs/>
      <w:iCs/>
      <w:caps/>
      <w:color w:val="FF0000"/>
      <w:sz w:val="24"/>
      <w:szCs w:val="24"/>
    </w:rPr>
  </w:style>
  <w:style w:type="character" w:customStyle="1" w:styleId="KlovbChar">
    <w:name w:val="Klíčové b Char"/>
    <w:basedOn w:val="KlovChar"/>
    <w:link w:val="Klovb"/>
    <w:rsid w:val="00A52D2C"/>
    <w:rPr>
      <w:rFonts w:ascii="Cambria" w:eastAsiaTheme="minorHAnsi" w:hAnsi="Cambria" w:cs="Times New Roman"/>
      <w:b/>
      <w:color w:val="FF0000"/>
      <w:lang w:eastAsia="en-US"/>
    </w:rPr>
  </w:style>
  <w:style w:type="paragraph" w:customStyle="1" w:styleId="doporuen">
    <w:name w:val="doporučení"/>
    <w:basedOn w:val="Odstavecseseznamem"/>
    <w:link w:val="doporuenChar"/>
    <w:qFormat/>
    <w:rsid w:val="00A52D2C"/>
    <w:pPr>
      <w:numPr>
        <w:numId w:val="0"/>
      </w:numPr>
      <w:autoSpaceDE/>
      <w:autoSpaceDN/>
      <w:adjustRightInd/>
      <w:textAlignment w:val="auto"/>
    </w:pPr>
    <w:rPr>
      <w:rFonts w:cs="Times New Roman"/>
    </w:rPr>
  </w:style>
  <w:style w:type="table" w:styleId="Stednstnovn2zvraznn1">
    <w:name w:val="Medium Shading 2 Accent 1"/>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doporuenChar">
    <w:name w:val="doporučení Char"/>
    <w:basedOn w:val="OdstavecseseznamemChar"/>
    <w:link w:val="doporuen"/>
    <w:rsid w:val="00A52D2C"/>
    <w:rPr>
      <w:rFonts w:ascii="Cambria" w:eastAsiaTheme="minorHAnsi" w:hAnsi="Cambria" w:cs="Times New Roman"/>
      <w:lang w:eastAsia="en-US"/>
    </w:rPr>
  </w:style>
  <w:style w:type="paragraph" w:customStyle="1" w:styleId="Odstaveca">
    <w:name w:val="Odstavec a)"/>
    <w:basedOn w:val="Odstavecseseznamem"/>
    <w:link w:val="OdstavecaChar"/>
    <w:qFormat/>
    <w:rsid w:val="00A52D2C"/>
    <w:pPr>
      <w:numPr>
        <w:numId w:val="18"/>
      </w:numPr>
      <w:autoSpaceDE/>
      <w:autoSpaceDN/>
      <w:adjustRightInd/>
      <w:spacing w:before="0" w:after="200"/>
      <w:textAlignment w:val="auto"/>
    </w:pPr>
    <w:rPr>
      <w:rFonts w:cs="Times New Roman"/>
      <w:b/>
      <w:sz w:val="24"/>
      <w:lang w:val="de-DE"/>
    </w:rPr>
  </w:style>
  <w:style w:type="character" w:customStyle="1" w:styleId="OdstavecaChar">
    <w:name w:val="Odstavec a) Char"/>
    <w:basedOn w:val="OdstavecseseznamemChar"/>
    <w:link w:val="Odstaveca"/>
    <w:rsid w:val="00A52D2C"/>
    <w:rPr>
      <w:rFonts w:ascii="Cambria" w:eastAsiaTheme="minorHAnsi" w:hAnsi="Cambria" w:cs="Times New Roman"/>
      <w:b/>
      <w:sz w:val="24"/>
      <w:lang w:val="de-DE" w:eastAsia="en-US"/>
    </w:rPr>
  </w:style>
  <w:style w:type="paragraph" w:customStyle="1" w:styleId="Odstavec-">
    <w:name w:val="Odstavec -"/>
    <w:basedOn w:val="Odstaveca"/>
    <w:link w:val="Odstavec-Char"/>
    <w:qFormat/>
    <w:rsid w:val="00A52D2C"/>
    <w:pPr>
      <w:numPr>
        <w:numId w:val="19"/>
      </w:numPr>
      <w:spacing w:after="0"/>
    </w:pPr>
    <w:rPr>
      <w:b w:val="0"/>
    </w:rPr>
  </w:style>
  <w:style w:type="character" w:customStyle="1" w:styleId="Odstavec-Char">
    <w:name w:val="Odstavec - Char"/>
    <w:basedOn w:val="OdstavecaChar"/>
    <w:link w:val="Odstavec-"/>
    <w:rsid w:val="00A52D2C"/>
    <w:rPr>
      <w:rFonts w:ascii="Cambria" w:eastAsiaTheme="minorHAnsi" w:hAnsi="Cambria" w:cs="Times New Roman"/>
      <w:b w:val="0"/>
      <w:sz w:val="24"/>
      <w:lang w:val="de-DE" w:eastAsia="en-US"/>
    </w:rPr>
  </w:style>
  <w:style w:type="paragraph" w:styleId="Seznamobrzk">
    <w:name w:val="table of figures"/>
    <w:basedOn w:val="Normln"/>
    <w:next w:val="Normln"/>
    <w:uiPriority w:val="99"/>
    <w:unhideWhenUsed/>
    <w:rsid w:val="00A52D2C"/>
    <w:rPr>
      <w:rFonts w:ascii="Times New Roman" w:eastAsia="Calibri" w:hAnsi="Times New Roman" w:cs="Times New Roman"/>
      <w:color w:val="auto"/>
      <w:lang w:eastAsia="en-US"/>
    </w:rPr>
  </w:style>
  <w:style w:type="numbering" w:customStyle="1" w:styleId="Bezseznamu1">
    <w:name w:val="Bez seznamu1"/>
    <w:next w:val="Bezseznamu"/>
    <w:uiPriority w:val="99"/>
    <w:semiHidden/>
    <w:unhideWhenUsed/>
    <w:rsid w:val="00A52D2C"/>
  </w:style>
  <w:style w:type="table" w:customStyle="1" w:styleId="Tabsouhrnslrad1">
    <w:name w:val="Tab_souhrn_sl+rad1"/>
    <w:basedOn w:val="Normlntabulka"/>
    <w:uiPriority w:val="60"/>
    <w:rsid w:val="00A52D2C"/>
    <w:pPr>
      <w:spacing w:line="240" w:lineRule="auto"/>
    </w:pPr>
    <w:rPr>
      <w:rFonts w:ascii="Calibri" w:eastAsia="Calibri" w:hAnsi="Calibri" w:cs="Times New Roman"/>
      <w:sz w:val="20"/>
      <w:szCs w:val="20"/>
    </w:rPr>
    <w:tblPr>
      <w:tblStyleRowBandSize w:val="1"/>
      <w:tblStyleColBandSize w:val="1"/>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tcPr>
    <w:tblStylePr w:type="firstRow">
      <w:pPr>
        <w:spacing w:before="0" w:after="0" w:line="240" w:lineRule="auto"/>
        <w:jc w:val="center"/>
      </w:pPr>
      <w:rPr>
        <w:rFonts w:ascii="Times New Roman" w:hAnsi="Times New Roman"/>
        <w:b/>
        <w:bCs/>
        <w:i w:val="0"/>
        <w:sz w:val="20"/>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lastRow">
      <w:pPr>
        <w:spacing w:before="0" w:after="0" w:line="240" w:lineRule="auto"/>
      </w:pPr>
      <w:rPr>
        <w:b/>
        <w:bCs/>
      </w:rPr>
      <w:tblPr/>
      <w:tcPr>
        <w:tcBorders>
          <w:top w:val="single" w:sz="12" w:space="0" w:color="000000"/>
          <w:left w:val="single" w:sz="12" w:space="0" w:color="000000"/>
          <w:bottom w:val="single" w:sz="12" w:space="0" w:color="000000"/>
          <w:right w:val="single" w:sz="12" w:space="0" w:color="000000"/>
          <w:insideH w:val="nil"/>
          <w:insideV w:val="single" w:sz="4" w:space="0" w:color="000000"/>
          <w:tl2br w:val="nil"/>
          <w:tr2bl w:val="nil"/>
        </w:tcBorders>
        <w:shd w:val="clear" w:color="auto" w:fill="BFBFBF"/>
      </w:tcPr>
    </w:tblStylePr>
    <w:tblStylePr w:type="fir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b/>
        <w:bCs/>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band1Vert">
      <w:tblPr/>
      <w:tcPr>
        <w:tcBorders>
          <w:left w:val="nil"/>
          <w:right w:val="nil"/>
          <w:insideH w:val="nil"/>
          <w:insideV w:val="nil"/>
        </w:tcBorders>
        <w:shd w:val="clear" w:color="auto" w:fill="C0C0C0"/>
      </w:tcPr>
    </w:tblStylePr>
    <w:tblStylePr w:type="band1Horz">
      <w:tblPr/>
      <w:tcPr>
        <w:shd w:val="clear" w:color="auto" w:fill="FFFFFF"/>
      </w:tcPr>
    </w:tblStylePr>
    <w:tblStylePr w:type="band2Horz">
      <w:tblPr/>
      <w:tcPr>
        <w:tcBorders>
          <w:top w:val="single" w:sz="8" w:space="0" w:color="000000"/>
          <w:left w:val="single" w:sz="12" w:space="0" w:color="000000"/>
          <w:bottom w:val="single" w:sz="8" w:space="0" w:color="000000"/>
          <w:right w:val="single" w:sz="12" w:space="0" w:color="000000"/>
          <w:insideH w:val="nil"/>
          <w:insideV w:val="single" w:sz="4" w:space="0" w:color="000000"/>
          <w:tl2br w:val="nil"/>
          <w:tr2bl w:val="nil"/>
        </w:tcBorders>
        <w:shd w:val="clear" w:color="auto" w:fill="FFFFFF"/>
      </w:tcPr>
    </w:tblStylePr>
    <w:tblStylePr w:type="neCell">
      <w:pPr>
        <w:jc w:val="center"/>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eCell">
      <w:pPr>
        <w:jc w:val="right"/>
      </w:pPr>
      <w:rPr>
        <w:rFonts w:ascii="Times New Roman" w:hAnsi="Times New Roman"/>
        <w:sz w:val="20"/>
      </w:rPr>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Tabsouhrnsl1">
    <w:name w:val="Tab_souhrn_sl1"/>
    <w:basedOn w:val="Normlntabulka"/>
    <w:uiPriority w:val="99"/>
    <w:rsid w:val="00A52D2C"/>
    <w:pPr>
      <w:spacing w:line="240" w:lineRule="auto"/>
      <w:jc w:val="right"/>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cPr>
      <w:shd w:val="clear" w:color="auto" w:fill="FFFFFF"/>
      <w:vAlign w:val="center"/>
    </w:tcPr>
    <w:tblStylePr w:type="firstRow">
      <w:pPr>
        <w:jc w:val="center"/>
      </w:pPr>
      <w:rPr>
        <w:rFonts w:ascii="Times New Roman" w:hAnsi="Times New Roman"/>
        <w:b/>
        <w:i w:val="0"/>
        <w:sz w:val="20"/>
      </w:rPr>
      <w:tblPr/>
      <w:tcPr>
        <w:tcBorders>
          <w:top w:val="single" w:sz="12" w:space="0" w:color="auto"/>
          <w:left w:val="single" w:sz="12" w:space="0" w:color="auto"/>
          <w:bottom w:val="single" w:sz="12" w:space="0" w:color="auto"/>
          <w:right w:val="single" w:sz="12" w:space="0" w:color="auto"/>
          <w:insideH w:val="nil"/>
          <w:insideV w:val="single" w:sz="4" w:space="0" w:color="auto"/>
          <w:tl2br w:val="nil"/>
          <w:tr2bl w:val="nil"/>
        </w:tcBorders>
        <w:shd w:val="clear" w:color="auto" w:fill="BFBFBF"/>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tcPr>
    </w:tblStylePr>
    <w:tblStylePr w:type="lastCol">
      <w:rPr>
        <w:rFonts w:ascii="Times New Roman" w:hAnsi="Times New Roman"/>
        <w:sz w:val="20"/>
      </w:rPr>
      <w:tblPr/>
      <w:tcPr>
        <w:shd w:val="clear" w:color="auto" w:fill="BFBFBF"/>
      </w:tcPr>
    </w:tblStylePr>
    <w:tblStylePr w:type="nwCell">
      <w:pPr>
        <w:jc w:val="left"/>
      </w:pPr>
      <w:tblPr/>
      <w:tcPr>
        <w:tcBorders>
          <w:top w:val="single" w:sz="12" w:space="0" w:color="000000"/>
          <w:left w:val="single" w:sz="12" w:space="0" w:color="000000"/>
          <w:bottom w:val="single" w:sz="12" w:space="0" w:color="000000"/>
          <w:right w:val="single" w:sz="12" w:space="0" w:color="000000"/>
        </w:tcBorders>
      </w:tcPr>
    </w:tblStylePr>
    <w:tblStylePr w:type="swCell">
      <w:pPr>
        <w:jc w:val="left"/>
      </w:pPr>
      <w:tblPr/>
      <w:tcPr>
        <w:tcBorders>
          <w:top w:val="single" w:sz="4" w:space="0" w:color="000000"/>
          <w:left w:val="single" w:sz="12" w:space="0" w:color="000000"/>
          <w:bottom w:val="single" w:sz="12" w:space="0" w:color="000000"/>
          <w:right w:val="single" w:sz="12" w:space="0" w:color="000000"/>
          <w:insideH w:val="nil"/>
          <w:insideV w:val="nil"/>
          <w:tl2br w:val="nil"/>
          <w:tr2bl w:val="nil"/>
        </w:tcBorders>
      </w:tcPr>
    </w:tblStylePr>
  </w:style>
  <w:style w:type="table" w:customStyle="1" w:styleId="Tabr1">
    <w:name w:val="Tab_r1"/>
    <w:basedOn w:val="Normlntabulka"/>
    <w:uiPriority w:val="99"/>
    <w:rsid w:val="00A52D2C"/>
    <w:pPr>
      <w:spacing w:line="240" w:lineRule="auto"/>
    </w:pPr>
    <w:rPr>
      <w:rFonts w:ascii="Times New Roman" w:eastAsia="Calibri" w:hAnsi="Times New Roman" w:cs="Times New Roman"/>
      <w:color w:val="auto"/>
      <w:sz w:val="20"/>
      <w:szCs w:val="20"/>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Pr>
    <w:tblStylePr w:type="firstRow">
      <w:pPr>
        <w:jc w:val="center"/>
      </w:pPr>
      <w:tblPr/>
      <w:tcPr>
        <w:tcBorders>
          <w:top w:val="single" w:sz="12" w:space="0" w:color="000000"/>
          <w:left w:val="single" w:sz="4" w:space="0" w:color="000000"/>
          <w:bottom w:val="single" w:sz="12" w:space="0" w:color="000000"/>
          <w:right w:val="single" w:sz="12" w:space="0" w:color="000000"/>
          <w:insideH w:val="nil"/>
          <w:insideV w:val="nil"/>
          <w:tl2br w:val="nil"/>
          <w:tr2bl w:val="nil"/>
        </w:tcBorders>
        <w:shd w:val="clear" w:color="auto" w:fill="BFBFBF"/>
      </w:tcPr>
    </w:tblStylePr>
  </w:style>
  <w:style w:type="table" w:customStyle="1" w:styleId="Styl11">
    <w:name w:val="Styl11"/>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table" w:customStyle="1" w:styleId="Mkatabulky1">
    <w:name w:val="Mřížka tabulky1"/>
    <w:basedOn w:val="Normlntabulka"/>
    <w:next w:val="Mkatabulky"/>
    <w:rsid w:val="00A52D2C"/>
    <w:pPr>
      <w:spacing w:line="240" w:lineRule="auto"/>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ednstnovn1zvraznn11">
    <w:name w:val="Střední stínování 1 – zvýraznění 11"/>
    <w:basedOn w:val="Normlntabulka"/>
    <w:next w:val="Stednstnovn1zvraznn1"/>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tednstnovn1zvraznn41">
    <w:name w:val="Střední stínování 1 – zvýraznění 41"/>
    <w:basedOn w:val="Normlntabulka"/>
    <w:next w:val="Stednstnovn1zvraznn4"/>
    <w:uiPriority w:val="63"/>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Styl12">
    <w:name w:val="Styl12"/>
    <w:basedOn w:val="Normlntabulka"/>
    <w:uiPriority w:val="99"/>
    <w:rsid w:val="00A52D2C"/>
    <w:pPr>
      <w:spacing w:line="240" w:lineRule="auto"/>
    </w:pPr>
    <w:rPr>
      <w:rFonts w:ascii="Calibri" w:eastAsia="Calibri" w:hAnsi="Calibri" w:cs="Times New Roman"/>
      <w:color w:val="auto"/>
      <w:sz w:val="20"/>
      <w:szCs w:val="20"/>
    </w:rPr>
    <w:tblPr/>
    <w:tblStylePr w:type="firstRow">
      <w:pPr>
        <w:wordWrap/>
        <w:spacing w:beforeLines="0" w:beforeAutospacing="0" w:afterLines="0" w:afterAutospacing="0" w:line="240" w:lineRule="auto"/>
        <w:ind w:leftChars="0" w:left="0" w:rightChars="0" w:right="0" w:firstLineChars="0" w:firstLine="0"/>
        <w:jc w:val="center"/>
      </w:pPr>
      <w:rPr>
        <w:b/>
        <w:i w:val="0"/>
        <w:sz w:val="24"/>
      </w:rPr>
      <w:tblPr/>
      <w:tcPr>
        <w:tcBorders>
          <w:top w:val="double" w:sz="4" w:space="0" w:color="auto"/>
          <w:left w:val="nil"/>
          <w:bottom w:val="double" w:sz="4" w:space="0" w:color="auto"/>
          <w:right w:val="nil"/>
          <w:insideH w:val="nil"/>
          <w:insideV w:val="single" w:sz="4" w:space="0" w:color="auto"/>
          <w:tl2br w:val="nil"/>
          <w:tr2bl w:val="nil"/>
        </w:tcBorders>
      </w:tcPr>
    </w:tblStylePr>
    <w:tblStylePr w:type="lastRow">
      <w:tblPr/>
      <w:tcPr>
        <w:tcBorders>
          <w:top w:val="single" w:sz="4" w:space="0" w:color="auto"/>
          <w:left w:val="nil"/>
          <w:bottom w:val="double" w:sz="4" w:space="0" w:color="auto"/>
          <w:right w:val="nil"/>
          <w:insideH w:val="nil"/>
          <w:insideV w:val="nil"/>
          <w:tl2br w:val="nil"/>
          <w:tr2bl w:val="nil"/>
        </w:tcBorders>
      </w:tcPr>
    </w:tblStylePr>
    <w:tblStylePr w:type="firstCol">
      <w:tblPr/>
      <w:tcPr>
        <w:tcBorders>
          <w:top w:val="nil"/>
          <w:left w:val="nil"/>
          <w:bottom w:val="nil"/>
          <w:right w:val="single" w:sz="4" w:space="0" w:color="auto"/>
          <w:insideH w:val="nil"/>
          <w:insideV w:val="nil"/>
          <w:tl2br w:val="nil"/>
          <w:tr2bl w:val="nil"/>
        </w:tcBorders>
      </w:tcPr>
    </w:tblStylePr>
  </w:style>
  <w:style w:type="character" w:styleId="Sledovanodkaz">
    <w:name w:val="FollowedHyperlink"/>
    <w:basedOn w:val="Standardnpsmoodstavce"/>
    <w:uiPriority w:val="99"/>
    <w:semiHidden/>
    <w:unhideWhenUsed/>
    <w:rsid w:val="00A52D2C"/>
    <w:rPr>
      <w:color w:val="800080" w:themeColor="followedHyperlink"/>
      <w:u w:val="single"/>
    </w:rPr>
  </w:style>
  <w:style w:type="character" w:customStyle="1" w:styleId="apple-converted-space">
    <w:name w:val="apple-converted-space"/>
    <w:basedOn w:val="Standardnpsmoodstavce"/>
    <w:rsid w:val="00A52D2C"/>
  </w:style>
  <w:style w:type="paragraph" w:customStyle="1" w:styleId="Odrka">
    <w:name w:val="Odrážka"/>
    <w:basedOn w:val="Odstavecseseznamem"/>
    <w:qFormat/>
    <w:rsid w:val="00A52D2C"/>
    <w:pPr>
      <w:numPr>
        <w:numId w:val="17"/>
      </w:numPr>
      <w:autoSpaceDE/>
      <w:autoSpaceDN/>
      <w:adjustRightInd/>
      <w:ind w:firstLine="360"/>
      <w:contextualSpacing w:val="0"/>
      <w:textAlignment w:val="auto"/>
    </w:pPr>
    <w:rPr>
      <w:rFonts w:cs="Times New Roman"/>
      <w:color w:val="auto"/>
    </w:rPr>
  </w:style>
  <w:style w:type="paragraph" w:styleId="Rozloendokumentu">
    <w:name w:val="Document Map"/>
    <w:basedOn w:val="Normln"/>
    <w:link w:val="RozloendokumentuChar"/>
    <w:uiPriority w:val="99"/>
    <w:semiHidden/>
    <w:unhideWhenUsed/>
    <w:rsid w:val="00A52D2C"/>
    <w:rPr>
      <w:rFonts w:ascii="Tahoma" w:eastAsiaTheme="minorHAnsi" w:hAnsi="Tahoma" w:cs="Tahoma"/>
      <w:color w:val="auto"/>
      <w:sz w:val="16"/>
      <w:szCs w:val="16"/>
      <w:lang w:eastAsia="en-US"/>
    </w:rPr>
  </w:style>
  <w:style w:type="character" w:customStyle="1" w:styleId="RozloendokumentuChar">
    <w:name w:val="Rozložení dokumentu Char"/>
    <w:basedOn w:val="Standardnpsmoodstavce"/>
    <w:link w:val="Rozloendokumentu"/>
    <w:uiPriority w:val="99"/>
    <w:semiHidden/>
    <w:rsid w:val="00A52D2C"/>
    <w:rPr>
      <w:rFonts w:ascii="Tahoma" w:eastAsiaTheme="minorHAnsi" w:hAnsi="Tahoma" w:cs="Tahoma"/>
      <w:color w:val="auto"/>
      <w:sz w:val="16"/>
      <w:szCs w:val="16"/>
      <w:lang w:eastAsia="en-US"/>
    </w:rPr>
  </w:style>
  <w:style w:type="table" w:customStyle="1" w:styleId="Mkatabulky2">
    <w:name w:val="Mřížka tabulky2"/>
    <w:basedOn w:val="Normlntabulka"/>
    <w:next w:val="Mkatabulky"/>
    <w:uiPriority w:val="59"/>
    <w:rsid w:val="00A52D2C"/>
    <w:pPr>
      <w:spacing w:line="240" w:lineRule="auto"/>
    </w:pPr>
    <w:rPr>
      <w:rFonts w:asciiTheme="minorHAnsi" w:eastAsiaTheme="minorEastAsia"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b">
    <w:name w:val="Nadpis 2b"/>
    <w:basedOn w:val="Nadpis2"/>
    <w:link w:val="Nadpis2bChar"/>
    <w:qFormat/>
    <w:rsid w:val="00A52D2C"/>
    <w:pPr>
      <w:numPr>
        <w:ilvl w:val="0"/>
        <w:numId w:val="0"/>
      </w:numPr>
      <w:spacing w:before="240"/>
      <w:contextualSpacing w:val="0"/>
      <w:jc w:val="left"/>
    </w:pPr>
    <w:rPr>
      <w:rFonts w:eastAsiaTheme="majorEastAsia" w:cs="Times New Roman"/>
      <w:bCs/>
      <w:color w:val="auto"/>
      <w:szCs w:val="26"/>
    </w:rPr>
  </w:style>
  <w:style w:type="character" w:customStyle="1" w:styleId="Nadpis2bChar">
    <w:name w:val="Nadpis 2b Char"/>
    <w:basedOn w:val="Nadpis2Char"/>
    <w:link w:val="Nadpis2b"/>
    <w:rsid w:val="00A52D2C"/>
    <w:rPr>
      <w:rFonts w:asciiTheme="majorHAnsi" w:eastAsiaTheme="majorEastAsia" w:hAnsiTheme="majorHAnsi" w:cs="Times New Roman"/>
      <w:b/>
      <w:bCs/>
      <w:color w:val="auto"/>
      <w:sz w:val="24"/>
      <w:szCs w:val="26"/>
    </w:rPr>
  </w:style>
  <w:style w:type="paragraph" w:customStyle="1" w:styleId="zjitn">
    <w:name w:val="zjištění"/>
    <w:basedOn w:val="Odstavecseseznamem"/>
    <w:link w:val="zjitnChar"/>
    <w:qFormat/>
    <w:rsid w:val="00A52D2C"/>
    <w:pPr>
      <w:numPr>
        <w:numId w:val="20"/>
      </w:numPr>
      <w:autoSpaceDE/>
      <w:autoSpaceDN/>
      <w:adjustRightInd/>
      <w:ind w:left="426" w:hanging="426"/>
      <w:textAlignment w:val="auto"/>
    </w:pPr>
    <w:rPr>
      <w:rFonts w:cs="Times New Roman"/>
      <w:b/>
    </w:rPr>
  </w:style>
  <w:style w:type="paragraph" w:customStyle="1" w:styleId="plus">
    <w:name w:val="plus"/>
    <w:basedOn w:val="Odstavecseseznamem"/>
    <w:link w:val="plusChar"/>
    <w:qFormat/>
    <w:rsid w:val="00A52D2C"/>
    <w:pPr>
      <w:numPr>
        <w:numId w:val="22"/>
      </w:numPr>
      <w:autoSpaceDE/>
      <w:autoSpaceDN/>
      <w:adjustRightInd/>
      <w:ind w:left="426" w:hanging="426"/>
      <w:textAlignment w:val="auto"/>
    </w:pPr>
    <w:rPr>
      <w:rFonts w:cs="Times New Roman"/>
    </w:rPr>
  </w:style>
  <w:style w:type="character" w:customStyle="1" w:styleId="zjitnChar">
    <w:name w:val="zjištění Char"/>
    <w:basedOn w:val="OdstavecseseznamemChar"/>
    <w:link w:val="zjitn"/>
    <w:rsid w:val="00A52D2C"/>
    <w:rPr>
      <w:rFonts w:ascii="Cambria" w:eastAsiaTheme="minorHAnsi" w:hAnsi="Cambria" w:cs="Times New Roman"/>
      <w:b/>
      <w:lang w:eastAsia="en-US"/>
    </w:rPr>
  </w:style>
  <w:style w:type="paragraph" w:customStyle="1" w:styleId="minus">
    <w:name w:val="minus"/>
    <w:basedOn w:val="Odstavecseseznamem"/>
    <w:link w:val="minusChar"/>
    <w:qFormat/>
    <w:rsid w:val="00A52D2C"/>
    <w:pPr>
      <w:numPr>
        <w:numId w:val="21"/>
      </w:numPr>
      <w:autoSpaceDE/>
      <w:autoSpaceDN/>
      <w:adjustRightInd/>
      <w:ind w:left="426" w:hanging="426"/>
      <w:textAlignment w:val="auto"/>
    </w:pPr>
    <w:rPr>
      <w:rFonts w:cs="Times New Roman"/>
    </w:rPr>
  </w:style>
  <w:style w:type="character" w:customStyle="1" w:styleId="plusChar">
    <w:name w:val="plus Char"/>
    <w:basedOn w:val="OdstavecseseznamemChar"/>
    <w:link w:val="plus"/>
    <w:rsid w:val="00A52D2C"/>
    <w:rPr>
      <w:rFonts w:ascii="Cambria" w:eastAsiaTheme="minorHAnsi" w:hAnsi="Cambria" w:cs="Times New Roman"/>
      <w:lang w:eastAsia="en-US"/>
    </w:rPr>
  </w:style>
  <w:style w:type="character" w:customStyle="1" w:styleId="minusChar">
    <w:name w:val="minus Char"/>
    <w:basedOn w:val="OdstavecseseznamemChar"/>
    <w:link w:val="minus"/>
    <w:rsid w:val="00A52D2C"/>
    <w:rPr>
      <w:rFonts w:ascii="Cambria" w:eastAsiaTheme="minorHAnsi" w:hAnsi="Cambria" w:cs="Times New Roman"/>
      <w:lang w:eastAsia="en-US"/>
    </w:rPr>
  </w:style>
  <w:style w:type="paragraph" w:customStyle="1" w:styleId="odrkadoporuen">
    <w:name w:val="odrážka doporučení"/>
    <w:basedOn w:val="Titulek"/>
    <w:link w:val="odrkadoporuenChar"/>
    <w:qFormat/>
    <w:rsid w:val="00A52D2C"/>
    <w:pPr>
      <w:numPr>
        <w:numId w:val="23"/>
      </w:numPr>
      <w:autoSpaceDE/>
      <w:autoSpaceDN/>
      <w:adjustRightInd/>
      <w:spacing w:after="240"/>
      <w:textAlignment w:val="auto"/>
    </w:pPr>
    <w:rPr>
      <w:rFonts w:eastAsia="Calibri" w:cs="Times New Roman"/>
      <w:caps/>
      <w:color w:val="FF0000"/>
    </w:rPr>
  </w:style>
  <w:style w:type="paragraph" w:customStyle="1" w:styleId="dopjednotliv">
    <w:name w:val="dop jednotlivá"/>
    <w:basedOn w:val="odrkadoporuen"/>
    <w:link w:val="dopjednotlivChar"/>
    <w:qFormat/>
    <w:rsid w:val="00A52D2C"/>
    <w:rPr>
      <w:caps w:val="0"/>
    </w:rPr>
  </w:style>
  <w:style w:type="character" w:customStyle="1" w:styleId="odrkadoporuenChar">
    <w:name w:val="odrážka doporučení Char"/>
    <w:basedOn w:val="TitulekChar"/>
    <w:link w:val="odrkadoporuen"/>
    <w:rsid w:val="00A52D2C"/>
    <w:rPr>
      <w:rFonts w:ascii="Cambria" w:eastAsia="Calibri" w:hAnsi="Cambria" w:cs="Times New Roman"/>
      <w:b/>
      <w:bCs/>
      <w:caps/>
      <w:color w:val="FF0000"/>
      <w:szCs w:val="18"/>
      <w:lang w:eastAsia="en-US"/>
    </w:rPr>
  </w:style>
  <w:style w:type="character" w:customStyle="1" w:styleId="dopjednotlivChar">
    <w:name w:val="dop jednotlivá Char"/>
    <w:basedOn w:val="odrkadoporuenChar"/>
    <w:link w:val="dopjednotliv"/>
    <w:rsid w:val="00A52D2C"/>
    <w:rPr>
      <w:rFonts w:ascii="Cambria" w:eastAsia="Calibri" w:hAnsi="Cambria" w:cs="Times New Roman"/>
      <w:b/>
      <w:bCs/>
      <w:caps w:val="0"/>
      <w:color w:val="FF0000"/>
      <w:szCs w:val="18"/>
      <w:lang w:eastAsia="en-US"/>
    </w:rPr>
  </w:style>
  <w:style w:type="paragraph" w:customStyle="1" w:styleId="pehledmana">
    <w:name w:val="přehled manaž"/>
    <w:basedOn w:val="Odstavecseseznamem"/>
    <w:link w:val="pehledmanaChar"/>
    <w:qFormat/>
    <w:rsid w:val="00A52D2C"/>
    <w:pPr>
      <w:numPr>
        <w:numId w:val="24"/>
      </w:numPr>
      <w:autoSpaceDE/>
      <w:autoSpaceDN/>
      <w:adjustRightInd/>
      <w:spacing w:after="120"/>
      <w:ind w:left="284" w:hanging="284"/>
      <w:textAlignment w:val="auto"/>
    </w:pPr>
    <w:rPr>
      <w:rFonts w:cs="Times New Roman"/>
    </w:rPr>
  </w:style>
  <w:style w:type="character" w:customStyle="1" w:styleId="pehledmanaChar">
    <w:name w:val="přehled manaž Char"/>
    <w:basedOn w:val="OdstavecseseznamemChar"/>
    <w:link w:val="pehledmana"/>
    <w:rsid w:val="00A52D2C"/>
    <w:rPr>
      <w:rFonts w:ascii="Cambria" w:eastAsiaTheme="minorHAnsi" w:hAnsi="Cambria" w:cs="Times New Roman"/>
      <w:lang w:eastAsia="en-US"/>
    </w:rPr>
  </w:style>
  <w:style w:type="paragraph" w:customStyle="1" w:styleId="doporuenMS">
    <w:name w:val="doporučení MS"/>
    <w:basedOn w:val="Odstavecseseznamem"/>
    <w:link w:val="doporuenMSChar"/>
    <w:qFormat/>
    <w:rsid w:val="00A52D2C"/>
    <w:pPr>
      <w:numPr>
        <w:numId w:val="25"/>
      </w:numPr>
      <w:autoSpaceDE/>
      <w:autoSpaceDN/>
      <w:adjustRightInd/>
      <w:ind w:left="567" w:hanging="283"/>
      <w:textAlignment w:val="auto"/>
    </w:pPr>
    <w:rPr>
      <w:rFonts w:cs="Times New Roman"/>
      <w:i/>
      <w:shd w:val="clear" w:color="auto" w:fill="FFFFFF"/>
    </w:rPr>
  </w:style>
  <w:style w:type="character" w:customStyle="1" w:styleId="doporuenMSChar">
    <w:name w:val="doporučení MS Char"/>
    <w:basedOn w:val="OdstavecseseznamemChar"/>
    <w:link w:val="doporuenMS"/>
    <w:rsid w:val="00A52D2C"/>
    <w:rPr>
      <w:rFonts w:ascii="Cambria" w:eastAsiaTheme="minorHAnsi" w:hAnsi="Cambria" w:cs="Times New Roman"/>
      <w:i/>
      <w:lang w:eastAsia="en-US"/>
    </w:rPr>
  </w:style>
  <w:style w:type="paragraph" w:customStyle="1" w:styleId="Nadpis4c">
    <w:name w:val="Nadpis 4c"/>
    <w:basedOn w:val="Nadpis3"/>
    <w:link w:val="Nadpis4cChar"/>
    <w:qFormat/>
    <w:rsid w:val="00A52D2C"/>
    <w:pPr>
      <w:numPr>
        <w:ilvl w:val="0"/>
        <w:numId w:val="0"/>
      </w:numPr>
      <w:spacing w:before="240" w:after="120"/>
      <w:ind w:left="864" w:hanging="864"/>
      <w:contextualSpacing w:val="0"/>
    </w:pPr>
    <w:rPr>
      <w:rFonts w:eastAsia="Calibri" w:cs="Times New Roman"/>
      <w:bCs/>
      <w:i/>
      <w:color w:val="auto"/>
      <w:sz w:val="24"/>
    </w:rPr>
  </w:style>
  <w:style w:type="character" w:customStyle="1" w:styleId="apple-tab-span">
    <w:name w:val="apple-tab-span"/>
    <w:basedOn w:val="Standardnpsmoodstavce"/>
    <w:rsid w:val="00A52D2C"/>
  </w:style>
  <w:style w:type="character" w:customStyle="1" w:styleId="Nadpis4cChar">
    <w:name w:val="Nadpis 4c Char"/>
    <w:basedOn w:val="Nadpis3Char"/>
    <w:link w:val="Nadpis4c"/>
    <w:rsid w:val="00A52D2C"/>
    <w:rPr>
      <w:rFonts w:asciiTheme="majorHAnsi" w:eastAsia="Calibri" w:hAnsiTheme="majorHAnsi" w:cs="Times New Roman"/>
      <w:b/>
      <w:bCs/>
      <w:i/>
      <w:color w:val="auto"/>
      <w:sz w:val="24"/>
    </w:rPr>
  </w:style>
  <w:style w:type="paragraph" w:customStyle="1" w:styleId="slovn1">
    <w:name w:val="číslování 1"/>
    <w:basedOn w:val="Odstavecseseznamem"/>
    <w:link w:val="slovn1Char"/>
    <w:qFormat/>
    <w:rsid w:val="00A52D2C"/>
    <w:pPr>
      <w:numPr>
        <w:numId w:val="26"/>
      </w:numPr>
      <w:autoSpaceDE/>
      <w:autoSpaceDN/>
      <w:adjustRightInd/>
      <w:spacing w:before="0"/>
      <w:ind w:left="993" w:hanging="567"/>
      <w:textAlignment w:val="auto"/>
    </w:pPr>
    <w:rPr>
      <w:rFonts w:ascii="Times New Roman" w:eastAsia="Times New Roman" w:hAnsi="Times New Roman" w:cs="Times New Roman"/>
      <w:b/>
      <w:sz w:val="24"/>
      <w:szCs w:val="24"/>
      <w:lang w:val="en-GB" w:eastAsia="en-GB"/>
    </w:rPr>
  </w:style>
  <w:style w:type="paragraph" w:customStyle="1" w:styleId="normln0">
    <w:name w:val="normální"/>
    <w:basedOn w:val="Normln"/>
    <w:link w:val="normlnChar"/>
    <w:qFormat/>
    <w:rsid w:val="00A52D2C"/>
    <w:rPr>
      <w:lang w:val="en-GB" w:eastAsia="en-GB"/>
    </w:rPr>
  </w:style>
  <w:style w:type="character" w:customStyle="1" w:styleId="slovn1Char">
    <w:name w:val="číslování 1 Char"/>
    <w:basedOn w:val="OdstavecseseznamemChar"/>
    <w:link w:val="slovn1"/>
    <w:rsid w:val="00A52D2C"/>
    <w:rPr>
      <w:rFonts w:ascii="Times New Roman" w:eastAsia="Times New Roman" w:hAnsi="Times New Roman" w:cs="Times New Roman"/>
      <w:b/>
      <w:sz w:val="24"/>
      <w:szCs w:val="24"/>
      <w:lang w:val="en-GB" w:eastAsia="en-GB"/>
    </w:rPr>
  </w:style>
  <w:style w:type="character" w:customStyle="1" w:styleId="normlnChar">
    <w:name w:val="normální Char"/>
    <w:basedOn w:val="Standardnpsmoodstavce"/>
    <w:link w:val="normln0"/>
    <w:rsid w:val="00A52D2C"/>
    <w:rPr>
      <w:rFonts w:asciiTheme="majorHAnsi" w:hAnsiTheme="majorHAnsi"/>
      <w:lang w:val="en-GB" w:eastAsia="en-GB"/>
    </w:rPr>
  </w:style>
  <w:style w:type="paragraph" w:customStyle="1" w:styleId="atun">
    <w:name w:val="a) tučně"/>
    <w:basedOn w:val="Odstavecseseznamem"/>
    <w:link w:val="atunChar"/>
    <w:qFormat/>
    <w:rsid w:val="00A52D2C"/>
    <w:pPr>
      <w:numPr>
        <w:numId w:val="27"/>
      </w:numPr>
      <w:autoSpaceDE/>
      <w:autoSpaceDN/>
      <w:adjustRightInd/>
      <w:spacing w:before="0" w:after="200"/>
      <w:textAlignment w:val="auto"/>
    </w:pPr>
    <w:rPr>
      <w:rFonts w:ascii="Times New Roman" w:eastAsia="Times New Roman" w:hAnsi="Times New Roman" w:cs="Times New Roman"/>
      <w:b/>
      <w:noProof/>
      <w:sz w:val="24"/>
      <w:szCs w:val="24"/>
      <w:lang w:val="de-DE"/>
    </w:rPr>
  </w:style>
  <w:style w:type="character" w:customStyle="1" w:styleId="atunChar">
    <w:name w:val="a) tučně Char"/>
    <w:basedOn w:val="OdstavecseseznamemChar"/>
    <w:link w:val="atun"/>
    <w:rsid w:val="00A52D2C"/>
    <w:rPr>
      <w:rFonts w:ascii="Times New Roman" w:eastAsia="Times New Roman" w:hAnsi="Times New Roman" w:cs="Times New Roman"/>
      <w:b/>
      <w:noProof/>
      <w:sz w:val="24"/>
      <w:szCs w:val="24"/>
      <w:lang w:val="de-DE" w:eastAsia="en-US"/>
    </w:rPr>
  </w:style>
  <w:style w:type="table" w:customStyle="1" w:styleId="Mkatabulky11">
    <w:name w:val="Mřížka tabulky11"/>
    <w:basedOn w:val="Normlntabulka"/>
    <w:next w:val="Mkatabulky"/>
    <w:uiPriority w:val="59"/>
    <w:rsid w:val="00A52D2C"/>
    <w:pPr>
      <w:spacing w:line="240" w:lineRule="auto"/>
    </w:pPr>
    <w:rPr>
      <w:rFonts w:asciiTheme="minorHAnsi" w:eastAsia="Times New Roman" w:hAnsiTheme="minorHAnsi" w:cstheme="minorBid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52D2C"/>
    <w:pPr>
      <w:spacing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4abstract">
    <w:name w:val="P4 abstract"/>
    <w:basedOn w:val="Bezmezer"/>
    <w:next w:val="Normln"/>
    <w:uiPriority w:val="99"/>
    <w:qFormat/>
    <w:rsid w:val="00A52D2C"/>
    <w:pPr>
      <w:framePr w:wrap="auto"/>
      <w:widowControl/>
      <w:spacing w:after="0"/>
    </w:pPr>
    <w:rPr>
      <w:rFonts w:ascii="Times New Roman" w:eastAsia="Arial Unicode MS" w:hAnsi="Times New Roman" w:cs="Arial Unicode MS"/>
      <w:bCs/>
      <w:color w:val="000000"/>
      <w:szCs w:val="22"/>
      <w:u w:color="000000"/>
      <w:lang w:eastAsia="en-GB"/>
    </w:rPr>
  </w:style>
  <w:style w:type="table" w:styleId="Stednstnovn2zvraznn2">
    <w:name w:val="Medium Shading 2 Accent 2"/>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seznamzvraznn1">
    <w:name w:val="Light List Accent 1"/>
    <w:basedOn w:val="Normlntabulka"/>
    <w:uiPriority w:val="61"/>
    <w:rsid w:val="00A52D2C"/>
    <w:pPr>
      <w:spacing w:line="240" w:lineRule="auto"/>
    </w:pPr>
    <w:rPr>
      <w:rFonts w:asciiTheme="minorHAnsi" w:eastAsiaTheme="minorHAnsi" w:hAnsiTheme="minorHAnsi" w:cstheme="minorBidi"/>
      <w:color w:val="auto"/>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Barevnseznamzvraznn1">
    <w:name w:val="Colorful List Accent 1"/>
    <w:basedOn w:val="Normlntabulka"/>
    <w:uiPriority w:val="72"/>
    <w:rsid w:val="00A52D2C"/>
    <w:pPr>
      <w:spacing w:line="240" w:lineRule="auto"/>
    </w:pPr>
    <w:rPr>
      <w:rFonts w:asciiTheme="minorHAnsi" w:eastAsiaTheme="minorHAnsi" w:hAnsiTheme="minorHAnsi" w:cstheme="minorBidi"/>
      <w:color w:val="000000" w:themeColor="text1"/>
      <w:lang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text01">
    <w:name w:val="text_01"/>
    <w:basedOn w:val="Normln"/>
    <w:link w:val="text01Char"/>
    <w:qFormat/>
    <w:rsid w:val="00A52D2C"/>
    <w:pPr>
      <w:spacing w:after="200"/>
    </w:pPr>
    <w:rPr>
      <w:rFonts w:ascii="Cambria" w:eastAsiaTheme="minorHAnsi" w:hAnsi="Cambria" w:cstheme="minorBidi"/>
      <w:color w:val="auto"/>
      <w:lang w:eastAsia="en-US"/>
    </w:rPr>
  </w:style>
  <w:style w:type="character" w:customStyle="1" w:styleId="text01Char">
    <w:name w:val="text_01 Char"/>
    <w:basedOn w:val="Standardnpsmoodstavce"/>
    <w:link w:val="text01"/>
    <w:rsid w:val="00A52D2C"/>
    <w:rPr>
      <w:rFonts w:ascii="Cambria" w:eastAsiaTheme="minorHAnsi" w:hAnsi="Cambria" w:cstheme="minorBidi"/>
      <w:color w:val="auto"/>
      <w:lang w:eastAsia="en-US"/>
    </w:rPr>
  </w:style>
  <w:style w:type="paragraph" w:customStyle="1" w:styleId="zdroj">
    <w:name w:val="zdroj"/>
    <w:basedOn w:val="Normlnweb"/>
    <w:link w:val="zdrojChar"/>
    <w:qFormat/>
    <w:rsid w:val="00A52D2C"/>
    <w:pPr>
      <w:spacing w:before="0" w:beforeAutospacing="0" w:after="240" w:afterAutospacing="0"/>
    </w:pPr>
    <w:rPr>
      <w:rFonts w:asciiTheme="minorHAnsi" w:hAnsiTheme="minorHAnsi"/>
      <w:sz w:val="18"/>
    </w:rPr>
  </w:style>
  <w:style w:type="character" w:customStyle="1" w:styleId="NormlnwebChar">
    <w:name w:val="Normální (web) Char"/>
    <w:basedOn w:val="Standardnpsmoodstavce"/>
    <w:link w:val="Normlnweb"/>
    <w:uiPriority w:val="99"/>
    <w:rsid w:val="00A52D2C"/>
    <w:rPr>
      <w:rFonts w:ascii="Cambria" w:eastAsiaTheme="minorEastAsia" w:hAnsi="Cambria" w:cs="Times New Roman"/>
      <w:color w:val="auto"/>
      <w:sz w:val="24"/>
      <w:szCs w:val="24"/>
    </w:rPr>
  </w:style>
  <w:style w:type="character" w:customStyle="1" w:styleId="zdrojChar">
    <w:name w:val="zdroj Char"/>
    <w:basedOn w:val="NormlnwebChar"/>
    <w:link w:val="zdroj"/>
    <w:rsid w:val="00A52D2C"/>
    <w:rPr>
      <w:rFonts w:asciiTheme="minorHAnsi" w:eastAsiaTheme="minorEastAsia" w:hAnsiTheme="minorHAnsi" w:cs="Times New Roman"/>
      <w:color w:val="auto"/>
      <w:sz w:val="18"/>
      <w:szCs w:val="24"/>
    </w:rPr>
  </w:style>
  <w:style w:type="character" w:styleId="Zdraznnjemn">
    <w:name w:val="Subtle Emphasis"/>
    <w:basedOn w:val="Zvraznn"/>
    <w:uiPriority w:val="19"/>
    <w:qFormat/>
    <w:rsid w:val="004272B6"/>
    <w:rPr>
      <w:b/>
    </w:rPr>
  </w:style>
  <w:style w:type="paragraph" w:customStyle="1" w:styleId="Zvraznnnormln">
    <w:name w:val="Zvýrazněný normální"/>
    <w:basedOn w:val="Normln"/>
    <w:link w:val="ZvraznnnormlnChar"/>
    <w:qFormat/>
    <w:rsid w:val="003E15BB"/>
    <w:pPr>
      <w:spacing w:before="120"/>
    </w:pPr>
    <w:rPr>
      <w:b/>
    </w:rPr>
  </w:style>
  <w:style w:type="character" w:customStyle="1" w:styleId="ZvraznnnormlnChar">
    <w:name w:val="Zvýrazněný normální Char"/>
    <w:basedOn w:val="Standardnpsmoodstavce"/>
    <w:link w:val="Zvraznnnormln"/>
    <w:rsid w:val="003E15BB"/>
    <w:rPr>
      <w:rFonts w:asciiTheme="majorHAnsi" w:hAnsiTheme="maj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447">
      <w:bodyDiv w:val="1"/>
      <w:marLeft w:val="0"/>
      <w:marRight w:val="0"/>
      <w:marTop w:val="0"/>
      <w:marBottom w:val="0"/>
      <w:divBdr>
        <w:top w:val="none" w:sz="0" w:space="0" w:color="auto"/>
        <w:left w:val="none" w:sz="0" w:space="0" w:color="auto"/>
        <w:bottom w:val="none" w:sz="0" w:space="0" w:color="auto"/>
        <w:right w:val="none" w:sz="0" w:space="0" w:color="auto"/>
      </w:divBdr>
    </w:div>
    <w:div w:id="104159378">
      <w:bodyDiv w:val="1"/>
      <w:marLeft w:val="0"/>
      <w:marRight w:val="0"/>
      <w:marTop w:val="0"/>
      <w:marBottom w:val="0"/>
      <w:divBdr>
        <w:top w:val="none" w:sz="0" w:space="0" w:color="auto"/>
        <w:left w:val="none" w:sz="0" w:space="0" w:color="auto"/>
        <w:bottom w:val="none" w:sz="0" w:space="0" w:color="auto"/>
        <w:right w:val="none" w:sz="0" w:space="0" w:color="auto"/>
      </w:divBdr>
      <w:divsChild>
        <w:div w:id="1897160099">
          <w:marLeft w:val="0"/>
          <w:marRight w:val="0"/>
          <w:marTop w:val="0"/>
          <w:marBottom w:val="0"/>
          <w:divBdr>
            <w:top w:val="none" w:sz="0" w:space="0" w:color="auto"/>
            <w:left w:val="none" w:sz="0" w:space="0" w:color="auto"/>
            <w:bottom w:val="none" w:sz="0" w:space="0" w:color="auto"/>
            <w:right w:val="none" w:sz="0" w:space="0" w:color="auto"/>
          </w:divBdr>
        </w:div>
      </w:divsChild>
    </w:div>
    <w:div w:id="152721529">
      <w:bodyDiv w:val="1"/>
      <w:marLeft w:val="0"/>
      <w:marRight w:val="0"/>
      <w:marTop w:val="0"/>
      <w:marBottom w:val="0"/>
      <w:divBdr>
        <w:top w:val="none" w:sz="0" w:space="0" w:color="auto"/>
        <w:left w:val="none" w:sz="0" w:space="0" w:color="auto"/>
        <w:bottom w:val="none" w:sz="0" w:space="0" w:color="auto"/>
        <w:right w:val="none" w:sz="0" w:space="0" w:color="auto"/>
      </w:divBdr>
    </w:div>
    <w:div w:id="180049344">
      <w:bodyDiv w:val="1"/>
      <w:marLeft w:val="0"/>
      <w:marRight w:val="0"/>
      <w:marTop w:val="0"/>
      <w:marBottom w:val="0"/>
      <w:divBdr>
        <w:top w:val="none" w:sz="0" w:space="0" w:color="auto"/>
        <w:left w:val="none" w:sz="0" w:space="0" w:color="auto"/>
        <w:bottom w:val="none" w:sz="0" w:space="0" w:color="auto"/>
        <w:right w:val="none" w:sz="0" w:space="0" w:color="auto"/>
      </w:divBdr>
    </w:div>
    <w:div w:id="225996748">
      <w:bodyDiv w:val="1"/>
      <w:marLeft w:val="0"/>
      <w:marRight w:val="0"/>
      <w:marTop w:val="0"/>
      <w:marBottom w:val="0"/>
      <w:divBdr>
        <w:top w:val="none" w:sz="0" w:space="0" w:color="auto"/>
        <w:left w:val="none" w:sz="0" w:space="0" w:color="auto"/>
        <w:bottom w:val="none" w:sz="0" w:space="0" w:color="auto"/>
        <w:right w:val="none" w:sz="0" w:space="0" w:color="auto"/>
      </w:divBdr>
    </w:div>
    <w:div w:id="265504859">
      <w:bodyDiv w:val="1"/>
      <w:marLeft w:val="0"/>
      <w:marRight w:val="0"/>
      <w:marTop w:val="0"/>
      <w:marBottom w:val="0"/>
      <w:divBdr>
        <w:top w:val="none" w:sz="0" w:space="0" w:color="auto"/>
        <w:left w:val="none" w:sz="0" w:space="0" w:color="auto"/>
        <w:bottom w:val="none" w:sz="0" w:space="0" w:color="auto"/>
        <w:right w:val="none" w:sz="0" w:space="0" w:color="auto"/>
      </w:divBdr>
    </w:div>
    <w:div w:id="304316397">
      <w:bodyDiv w:val="1"/>
      <w:marLeft w:val="0"/>
      <w:marRight w:val="0"/>
      <w:marTop w:val="0"/>
      <w:marBottom w:val="0"/>
      <w:divBdr>
        <w:top w:val="none" w:sz="0" w:space="0" w:color="auto"/>
        <w:left w:val="none" w:sz="0" w:space="0" w:color="auto"/>
        <w:bottom w:val="none" w:sz="0" w:space="0" w:color="auto"/>
        <w:right w:val="none" w:sz="0" w:space="0" w:color="auto"/>
      </w:divBdr>
    </w:div>
    <w:div w:id="348871815">
      <w:bodyDiv w:val="1"/>
      <w:marLeft w:val="0"/>
      <w:marRight w:val="0"/>
      <w:marTop w:val="0"/>
      <w:marBottom w:val="0"/>
      <w:divBdr>
        <w:top w:val="none" w:sz="0" w:space="0" w:color="auto"/>
        <w:left w:val="none" w:sz="0" w:space="0" w:color="auto"/>
        <w:bottom w:val="none" w:sz="0" w:space="0" w:color="auto"/>
        <w:right w:val="none" w:sz="0" w:space="0" w:color="auto"/>
      </w:divBdr>
    </w:div>
    <w:div w:id="482742800">
      <w:bodyDiv w:val="1"/>
      <w:marLeft w:val="0"/>
      <w:marRight w:val="0"/>
      <w:marTop w:val="0"/>
      <w:marBottom w:val="0"/>
      <w:divBdr>
        <w:top w:val="none" w:sz="0" w:space="0" w:color="auto"/>
        <w:left w:val="none" w:sz="0" w:space="0" w:color="auto"/>
        <w:bottom w:val="none" w:sz="0" w:space="0" w:color="auto"/>
        <w:right w:val="none" w:sz="0" w:space="0" w:color="auto"/>
      </w:divBdr>
    </w:div>
    <w:div w:id="497229785">
      <w:bodyDiv w:val="1"/>
      <w:marLeft w:val="0"/>
      <w:marRight w:val="0"/>
      <w:marTop w:val="0"/>
      <w:marBottom w:val="0"/>
      <w:divBdr>
        <w:top w:val="none" w:sz="0" w:space="0" w:color="auto"/>
        <w:left w:val="none" w:sz="0" w:space="0" w:color="auto"/>
        <w:bottom w:val="none" w:sz="0" w:space="0" w:color="auto"/>
        <w:right w:val="none" w:sz="0" w:space="0" w:color="auto"/>
      </w:divBdr>
    </w:div>
    <w:div w:id="564680038">
      <w:bodyDiv w:val="1"/>
      <w:marLeft w:val="0"/>
      <w:marRight w:val="0"/>
      <w:marTop w:val="0"/>
      <w:marBottom w:val="0"/>
      <w:divBdr>
        <w:top w:val="none" w:sz="0" w:space="0" w:color="auto"/>
        <w:left w:val="none" w:sz="0" w:space="0" w:color="auto"/>
        <w:bottom w:val="none" w:sz="0" w:space="0" w:color="auto"/>
        <w:right w:val="none" w:sz="0" w:space="0" w:color="auto"/>
      </w:divBdr>
    </w:div>
    <w:div w:id="621350350">
      <w:bodyDiv w:val="1"/>
      <w:marLeft w:val="0"/>
      <w:marRight w:val="0"/>
      <w:marTop w:val="0"/>
      <w:marBottom w:val="0"/>
      <w:divBdr>
        <w:top w:val="none" w:sz="0" w:space="0" w:color="auto"/>
        <w:left w:val="none" w:sz="0" w:space="0" w:color="auto"/>
        <w:bottom w:val="none" w:sz="0" w:space="0" w:color="auto"/>
        <w:right w:val="none" w:sz="0" w:space="0" w:color="auto"/>
      </w:divBdr>
    </w:div>
    <w:div w:id="638803594">
      <w:bodyDiv w:val="1"/>
      <w:marLeft w:val="0"/>
      <w:marRight w:val="0"/>
      <w:marTop w:val="0"/>
      <w:marBottom w:val="0"/>
      <w:divBdr>
        <w:top w:val="none" w:sz="0" w:space="0" w:color="auto"/>
        <w:left w:val="none" w:sz="0" w:space="0" w:color="auto"/>
        <w:bottom w:val="none" w:sz="0" w:space="0" w:color="auto"/>
        <w:right w:val="none" w:sz="0" w:space="0" w:color="auto"/>
      </w:divBdr>
    </w:div>
    <w:div w:id="665206654">
      <w:bodyDiv w:val="1"/>
      <w:marLeft w:val="0"/>
      <w:marRight w:val="0"/>
      <w:marTop w:val="0"/>
      <w:marBottom w:val="0"/>
      <w:divBdr>
        <w:top w:val="none" w:sz="0" w:space="0" w:color="auto"/>
        <w:left w:val="none" w:sz="0" w:space="0" w:color="auto"/>
        <w:bottom w:val="none" w:sz="0" w:space="0" w:color="auto"/>
        <w:right w:val="none" w:sz="0" w:space="0" w:color="auto"/>
      </w:divBdr>
    </w:div>
    <w:div w:id="672268748">
      <w:bodyDiv w:val="1"/>
      <w:marLeft w:val="0"/>
      <w:marRight w:val="0"/>
      <w:marTop w:val="0"/>
      <w:marBottom w:val="0"/>
      <w:divBdr>
        <w:top w:val="none" w:sz="0" w:space="0" w:color="auto"/>
        <w:left w:val="none" w:sz="0" w:space="0" w:color="auto"/>
        <w:bottom w:val="none" w:sz="0" w:space="0" w:color="auto"/>
        <w:right w:val="none" w:sz="0" w:space="0" w:color="auto"/>
      </w:divBdr>
    </w:div>
    <w:div w:id="700278756">
      <w:bodyDiv w:val="1"/>
      <w:marLeft w:val="0"/>
      <w:marRight w:val="0"/>
      <w:marTop w:val="0"/>
      <w:marBottom w:val="0"/>
      <w:divBdr>
        <w:top w:val="none" w:sz="0" w:space="0" w:color="auto"/>
        <w:left w:val="none" w:sz="0" w:space="0" w:color="auto"/>
        <w:bottom w:val="none" w:sz="0" w:space="0" w:color="auto"/>
        <w:right w:val="none" w:sz="0" w:space="0" w:color="auto"/>
      </w:divBdr>
      <w:divsChild>
        <w:div w:id="763040552">
          <w:marLeft w:val="0"/>
          <w:marRight w:val="0"/>
          <w:marTop w:val="0"/>
          <w:marBottom w:val="0"/>
          <w:divBdr>
            <w:top w:val="none" w:sz="0" w:space="0" w:color="auto"/>
            <w:left w:val="none" w:sz="0" w:space="0" w:color="auto"/>
            <w:bottom w:val="none" w:sz="0" w:space="0" w:color="auto"/>
            <w:right w:val="none" w:sz="0" w:space="0" w:color="auto"/>
          </w:divBdr>
        </w:div>
        <w:div w:id="1922987184">
          <w:marLeft w:val="0"/>
          <w:marRight w:val="0"/>
          <w:marTop w:val="0"/>
          <w:marBottom w:val="0"/>
          <w:divBdr>
            <w:top w:val="none" w:sz="0" w:space="0" w:color="auto"/>
            <w:left w:val="none" w:sz="0" w:space="0" w:color="auto"/>
            <w:bottom w:val="none" w:sz="0" w:space="0" w:color="auto"/>
            <w:right w:val="none" w:sz="0" w:space="0" w:color="auto"/>
          </w:divBdr>
        </w:div>
      </w:divsChild>
    </w:div>
    <w:div w:id="816991147">
      <w:bodyDiv w:val="1"/>
      <w:marLeft w:val="0"/>
      <w:marRight w:val="0"/>
      <w:marTop w:val="0"/>
      <w:marBottom w:val="0"/>
      <w:divBdr>
        <w:top w:val="none" w:sz="0" w:space="0" w:color="auto"/>
        <w:left w:val="none" w:sz="0" w:space="0" w:color="auto"/>
        <w:bottom w:val="none" w:sz="0" w:space="0" w:color="auto"/>
        <w:right w:val="none" w:sz="0" w:space="0" w:color="auto"/>
      </w:divBdr>
    </w:div>
    <w:div w:id="825508829">
      <w:bodyDiv w:val="1"/>
      <w:marLeft w:val="0"/>
      <w:marRight w:val="0"/>
      <w:marTop w:val="0"/>
      <w:marBottom w:val="0"/>
      <w:divBdr>
        <w:top w:val="none" w:sz="0" w:space="0" w:color="auto"/>
        <w:left w:val="none" w:sz="0" w:space="0" w:color="auto"/>
        <w:bottom w:val="none" w:sz="0" w:space="0" w:color="auto"/>
        <w:right w:val="none" w:sz="0" w:space="0" w:color="auto"/>
      </w:divBdr>
    </w:div>
    <w:div w:id="851258692">
      <w:bodyDiv w:val="1"/>
      <w:marLeft w:val="0"/>
      <w:marRight w:val="0"/>
      <w:marTop w:val="0"/>
      <w:marBottom w:val="0"/>
      <w:divBdr>
        <w:top w:val="none" w:sz="0" w:space="0" w:color="auto"/>
        <w:left w:val="none" w:sz="0" w:space="0" w:color="auto"/>
        <w:bottom w:val="none" w:sz="0" w:space="0" w:color="auto"/>
        <w:right w:val="none" w:sz="0" w:space="0" w:color="auto"/>
      </w:divBdr>
    </w:div>
    <w:div w:id="876939463">
      <w:bodyDiv w:val="1"/>
      <w:marLeft w:val="0"/>
      <w:marRight w:val="0"/>
      <w:marTop w:val="0"/>
      <w:marBottom w:val="0"/>
      <w:divBdr>
        <w:top w:val="none" w:sz="0" w:space="0" w:color="auto"/>
        <w:left w:val="none" w:sz="0" w:space="0" w:color="auto"/>
        <w:bottom w:val="none" w:sz="0" w:space="0" w:color="auto"/>
        <w:right w:val="none" w:sz="0" w:space="0" w:color="auto"/>
      </w:divBdr>
    </w:div>
    <w:div w:id="971405055">
      <w:bodyDiv w:val="1"/>
      <w:marLeft w:val="0"/>
      <w:marRight w:val="0"/>
      <w:marTop w:val="0"/>
      <w:marBottom w:val="0"/>
      <w:divBdr>
        <w:top w:val="none" w:sz="0" w:space="0" w:color="auto"/>
        <w:left w:val="none" w:sz="0" w:space="0" w:color="auto"/>
        <w:bottom w:val="none" w:sz="0" w:space="0" w:color="auto"/>
        <w:right w:val="none" w:sz="0" w:space="0" w:color="auto"/>
      </w:divBdr>
    </w:div>
    <w:div w:id="1006714069">
      <w:bodyDiv w:val="1"/>
      <w:marLeft w:val="0"/>
      <w:marRight w:val="0"/>
      <w:marTop w:val="0"/>
      <w:marBottom w:val="0"/>
      <w:divBdr>
        <w:top w:val="none" w:sz="0" w:space="0" w:color="auto"/>
        <w:left w:val="none" w:sz="0" w:space="0" w:color="auto"/>
        <w:bottom w:val="none" w:sz="0" w:space="0" w:color="auto"/>
        <w:right w:val="none" w:sz="0" w:space="0" w:color="auto"/>
      </w:divBdr>
    </w:div>
    <w:div w:id="1014460324">
      <w:bodyDiv w:val="1"/>
      <w:marLeft w:val="0"/>
      <w:marRight w:val="0"/>
      <w:marTop w:val="0"/>
      <w:marBottom w:val="0"/>
      <w:divBdr>
        <w:top w:val="none" w:sz="0" w:space="0" w:color="auto"/>
        <w:left w:val="none" w:sz="0" w:space="0" w:color="auto"/>
        <w:bottom w:val="none" w:sz="0" w:space="0" w:color="auto"/>
        <w:right w:val="none" w:sz="0" w:space="0" w:color="auto"/>
      </w:divBdr>
    </w:div>
    <w:div w:id="1016806734">
      <w:bodyDiv w:val="1"/>
      <w:marLeft w:val="0"/>
      <w:marRight w:val="0"/>
      <w:marTop w:val="0"/>
      <w:marBottom w:val="0"/>
      <w:divBdr>
        <w:top w:val="none" w:sz="0" w:space="0" w:color="auto"/>
        <w:left w:val="none" w:sz="0" w:space="0" w:color="auto"/>
        <w:bottom w:val="none" w:sz="0" w:space="0" w:color="auto"/>
        <w:right w:val="none" w:sz="0" w:space="0" w:color="auto"/>
      </w:divBdr>
    </w:div>
    <w:div w:id="1020084332">
      <w:bodyDiv w:val="1"/>
      <w:marLeft w:val="0"/>
      <w:marRight w:val="0"/>
      <w:marTop w:val="0"/>
      <w:marBottom w:val="0"/>
      <w:divBdr>
        <w:top w:val="none" w:sz="0" w:space="0" w:color="auto"/>
        <w:left w:val="none" w:sz="0" w:space="0" w:color="auto"/>
        <w:bottom w:val="none" w:sz="0" w:space="0" w:color="auto"/>
        <w:right w:val="none" w:sz="0" w:space="0" w:color="auto"/>
      </w:divBdr>
      <w:divsChild>
        <w:div w:id="102698034">
          <w:marLeft w:val="0"/>
          <w:marRight w:val="0"/>
          <w:marTop w:val="0"/>
          <w:marBottom w:val="0"/>
          <w:divBdr>
            <w:top w:val="none" w:sz="0" w:space="0" w:color="auto"/>
            <w:left w:val="none" w:sz="0" w:space="0" w:color="auto"/>
            <w:bottom w:val="none" w:sz="0" w:space="0" w:color="auto"/>
            <w:right w:val="none" w:sz="0" w:space="0" w:color="auto"/>
          </w:divBdr>
        </w:div>
      </w:divsChild>
    </w:div>
    <w:div w:id="1084763289">
      <w:bodyDiv w:val="1"/>
      <w:marLeft w:val="0"/>
      <w:marRight w:val="0"/>
      <w:marTop w:val="0"/>
      <w:marBottom w:val="0"/>
      <w:divBdr>
        <w:top w:val="none" w:sz="0" w:space="0" w:color="auto"/>
        <w:left w:val="none" w:sz="0" w:space="0" w:color="auto"/>
        <w:bottom w:val="none" w:sz="0" w:space="0" w:color="auto"/>
        <w:right w:val="none" w:sz="0" w:space="0" w:color="auto"/>
      </w:divBdr>
      <w:divsChild>
        <w:div w:id="1127968267">
          <w:marLeft w:val="0"/>
          <w:marRight w:val="0"/>
          <w:marTop w:val="0"/>
          <w:marBottom w:val="0"/>
          <w:divBdr>
            <w:top w:val="none" w:sz="0" w:space="0" w:color="auto"/>
            <w:left w:val="none" w:sz="0" w:space="0" w:color="auto"/>
            <w:bottom w:val="none" w:sz="0" w:space="0" w:color="auto"/>
            <w:right w:val="none" w:sz="0" w:space="0" w:color="auto"/>
          </w:divBdr>
        </w:div>
      </w:divsChild>
    </w:div>
    <w:div w:id="1136489805">
      <w:bodyDiv w:val="1"/>
      <w:marLeft w:val="0"/>
      <w:marRight w:val="0"/>
      <w:marTop w:val="0"/>
      <w:marBottom w:val="0"/>
      <w:divBdr>
        <w:top w:val="none" w:sz="0" w:space="0" w:color="auto"/>
        <w:left w:val="none" w:sz="0" w:space="0" w:color="auto"/>
        <w:bottom w:val="none" w:sz="0" w:space="0" w:color="auto"/>
        <w:right w:val="none" w:sz="0" w:space="0" w:color="auto"/>
      </w:divBdr>
    </w:div>
    <w:div w:id="1191869997">
      <w:bodyDiv w:val="1"/>
      <w:marLeft w:val="0"/>
      <w:marRight w:val="0"/>
      <w:marTop w:val="0"/>
      <w:marBottom w:val="0"/>
      <w:divBdr>
        <w:top w:val="none" w:sz="0" w:space="0" w:color="auto"/>
        <w:left w:val="none" w:sz="0" w:space="0" w:color="auto"/>
        <w:bottom w:val="none" w:sz="0" w:space="0" w:color="auto"/>
        <w:right w:val="none" w:sz="0" w:space="0" w:color="auto"/>
      </w:divBdr>
    </w:div>
    <w:div w:id="1264192418">
      <w:bodyDiv w:val="1"/>
      <w:marLeft w:val="0"/>
      <w:marRight w:val="0"/>
      <w:marTop w:val="0"/>
      <w:marBottom w:val="0"/>
      <w:divBdr>
        <w:top w:val="none" w:sz="0" w:space="0" w:color="auto"/>
        <w:left w:val="none" w:sz="0" w:space="0" w:color="auto"/>
        <w:bottom w:val="none" w:sz="0" w:space="0" w:color="auto"/>
        <w:right w:val="none" w:sz="0" w:space="0" w:color="auto"/>
      </w:divBdr>
    </w:div>
    <w:div w:id="1279289400">
      <w:bodyDiv w:val="1"/>
      <w:marLeft w:val="0"/>
      <w:marRight w:val="0"/>
      <w:marTop w:val="0"/>
      <w:marBottom w:val="0"/>
      <w:divBdr>
        <w:top w:val="none" w:sz="0" w:space="0" w:color="auto"/>
        <w:left w:val="none" w:sz="0" w:space="0" w:color="auto"/>
        <w:bottom w:val="none" w:sz="0" w:space="0" w:color="auto"/>
        <w:right w:val="none" w:sz="0" w:space="0" w:color="auto"/>
      </w:divBdr>
      <w:divsChild>
        <w:div w:id="1323388462">
          <w:marLeft w:val="0"/>
          <w:marRight w:val="0"/>
          <w:marTop w:val="0"/>
          <w:marBottom w:val="0"/>
          <w:divBdr>
            <w:top w:val="none" w:sz="0" w:space="0" w:color="auto"/>
            <w:left w:val="none" w:sz="0" w:space="0" w:color="auto"/>
            <w:bottom w:val="none" w:sz="0" w:space="0" w:color="auto"/>
            <w:right w:val="none" w:sz="0" w:space="0" w:color="auto"/>
          </w:divBdr>
        </w:div>
      </w:divsChild>
    </w:div>
    <w:div w:id="1289749023">
      <w:bodyDiv w:val="1"/>
      <w:marLeft w:val="0"/>
      <w:marRight w:val="0"/>
      <w:marTop w:val="0"/>
      <w:marBottom w:val="0"/>
      <w:divBdr>
        <w:top w:val="none" w:sz="0" w:space="0" w:color="auto"/>
        <w:left w:val="none" w:sz="0" w:space="0" w:color="auto"/>
        <w:bottom w:val="none" w:sz="0" w:space="0" w:color="auto"/>
        <w:right w:val="none" w:sz="0" w:space="0" w:color="auto"/>
      </w:divBdr>
    </w:div>
    <w:div w:id="1298338050">
      <w:bodyDiv w:val="1"/>
      <w:marLeft w:val="0"/>
      <w:marRight w:val="0"/>
      <w:marTop w:val="0"/>
      <w:marBottom w:val="0"/>
      <w:divBdr>
        <w:top w:val="none" w:sz="0" w:space="0" w:color="auto"/>
        <w:left w:val="none" w:sz="0" w:space="0" w:color="auto"/>
        <w:bottom w:val="none" w:sz="0" w:space="0" w:color="auto"/>
        <w:right w:val="none" w:sz="0" w:space="0" w:color="auto"/>
      </w:divBdr>
    </w:div>
    <w:div w:id="1334265661">
      <w:bodyDiv w:val="1"/>
      <w:marLeft w:val="0"/>
      <w:marRight w:val="0"/>
      <w:marTop w:val="0"/>
      <w:marBottom w:val="0"/>
      <w:divBdr>
        <w:top w:val="none" w:sz="0" w:space="0" w:color="auto"/>
        <w:left w:val="none" w:sz="0" w:space="0" w:color="auto"/>
        <w:bottom w:val="none" w:sz="0" w:space="0" w:color="auto"/>
        <w:right w:val="none" w:sz="0" w:space="0" w:color="auto"/>
      </w:divBdr>
    </w:div>
    <w:div w:id="1495683595">
      <w:bodyDiv w:val="1"/>
      <w:marLeft w:val="0"/>
      <w:marRight w:val="0"/>
      <w:marTop w:val="0"/>
      <w:marBottom w:val="0"/>
      <w:divBdr>
        <w:top w:val="none" w:sz="0" w:space="0" w:color="auto"/>
        <w:left w:val="none" w:sz="0" w:space="0" w:color="auto"/>
        <w:bottom w:val="none" w:sz="0" w:space="0" w:color="auto"/>
        <w:right w:val="none" w:sz="0" w:space="0" w:color="auto"/>
      </w:divBdr>
    </w:div>
    <w:div w:id="1528636287">
      <w:bodyDiv w:val="1"/>
      <w:marLeft w:val="0"/>
      <w:marRight w:val="0"/>
      <w:marTop w:val="0"/>
      <w:marBottom w:val="0"/>
      <w:divBdr>
        <w:top w:val="none" w:sz="0" w:space="0" w:color="auto"/>
        <w:left w:val="none" w:sz="0" w:space="0" w:color="auto"/>
        <w:bottom w:val="none" w:sz="0" w:space="0" w:color="auto"/>
        <w:right w:val="none" w:sz="0" w:space="0" w:color="auto"/>
      </w:divBdr>
    </w:div>
    <w:div w:id="1539269917">
      <w:bodyDiv w:val="1"/>
      <w:marLeft w:val="0"/>
      <w:marRight w:val="0"/>
      <w:marTop w:val="0"/>
      <w:marBottom w:val="0"/>
      <w:divBdr>
        <w:top w:val="none" w:sz="0" w:space="0" w:color="auto"/>
        <w:left w:val="none" w:sz="0" w:space="0" w:color="auto"/>
        <w:bottom w:val="none" w:sz="0" w:space="0" w:color="auto"/>
        <w:right w:val="none" w:sz="0" w:space="0" w:color="auto"/>
      </w:divBdr>
    </w:div>
    <w:div w:id="1544056862">
      <w:bodyDiv w:val="1"/>
      <w:marLeft w:val="0"/>
      <w:marRight w:val="0"/>
      <w:marTop w:val="0"/>
      <w:marBottom w:val="0"/>
      <w:divBdr>
        <w:top w:val="none" w:sz="0" w:space="0" w:color="auto"/>
        <w:left w:val="none" w:sz="0" w:space="0" w:color="auto"/>
        <w:bottom w:val="none" w:sz="0" w:space="0" w:color="auto"/>
        <w:right w:val="none" w:sz="0" w:space="0" w:color="auto"/>
      </w:divBdr>
    </w:div>
    <w:div w:id="1546480653">
      <w:bodyDiv w:val="1"/>
      <w:marLeft w:val="0"/>
      <w:marRight w:val="0"/>
      <w:marTop w:val="0"/>
      <w:marBottom w:val="0"/>
      <w:divBdr>
        <w:top w:val="none" w:sz="0" w:space="0" w:color="auto"/>
        <w:left w:val="none" w:sz="0" w:space="0" w:color="auto"/>
        <w:bottom w:val="none" w:sz="0" w:space="0" w:color="auto"/>
        <w:right w:val="none" w:sz="0" w:space="0" w:color="auto"/>
      </w:divBdr>
    </w:div>
    <w:div w:id="1645427231">
      <w:bodyDiv w:val="1"/>
      <w:marLeft w:val="0"/>
      <w:marRight w:val="0"/>
      <w:marTop w:val="0"/>
      <w:marBottom w:val="0"/>
      <w:divBdr>
        <w:top w:val="none" w:sz="0" w:space="0" w:color="auto"/>
        <w:left w:val="none" w:sz="0" w:space="0" w:color="auto"/>
        <w:bottom w:val="none" w:sz="0" w:space="0" w:color="auto"/>
        <w:right w:val="none" w:sz="0" w:space="0" w:color="auto"/>
      </w:divBdr>
      <w:divsChild>
        <w:div w:id="992679036">
          <w:marLeft w:val="-115"/>
          <w:marRight w:val="0"/>
          <w:marTop w:val="0"/>
          <w:marBottom w:val="0"/>
          <w:divBdr>
            <w:top w:val="none" w:sz="0" w:space="0" w:color="auto"/>
            <w:left w:val="none" w:sz="0" w:space="0" w:color="auto"/>
            <w:bottom w:val="none" w:sz="0" w:space="0" w:color="auto"/>
            <w:right w:val="none" w:sz="0" w:space="0" w:color="auto"/>
          </w:divBdr>
        </w:div>
      </w:divsChild>
    </w:div>
    <w:div w:id="1705666400">
      <w:bodyDiv w:val="1"/>
      <w:marLeft w:val="0"/>
      <w:marRight w:val="0"/>
      <w:marTop w:val="0"/>
      <w:marBottom w:val="0"/>
      <w:divBdr>
        <w:top w:val="none" w:sz="0" w:space="0" w:color="auto"/>
        <w:left w:val="none" w:sz="0" w:space="0" w:color="auto"/>
        <w:bottom w:val="none" w:sz="0" w:space="0" w:color="auto"/>
        <w:right w:val="none" w:sz="0" w:space="0" w:color="auto"/>
      </w:divBdr>
    </w:div>
    <w:div w:id="1753694505">
      <w:bodyDiv w:val="1"/>
      <w:marLeft w:val="0"/>
      <w:marRight w:val="0"/>
      <w:marTop w:val="0"/>
      <w:marBottom w:val="0"/>
      <w:divBdr>
        <w:top w:val="none" w:sz="0" w:space="0" w:color="auto"/>
        <w:left w:val="none" w:sz="0" w:space="0" w:color="auto"/>
        <w:bottom w:val="none" w:sz="0" w:space="0" w:color="auto"/>
        <w:right w:val="none" w:sz="0" w:space="0" w:color="auto"/>
      </w:divBdr>
    </w:div>
    <w:div w:id="1917087253">
      <w:bodyDiv w:val="1"/>
      <w:marLeft w:val="0"/>
      <w:marRight w:val="0"/>
      <w:marTop w:val="0"/>
      <w:marBottom w:val="0"/>
      <w:divBdr>
        <w:top w:val="none" w:sz="0" w:space="0" w:color="auto"/>
        <w:left w:val="none" w:sz="0" w:space="0" w:color="auto"/>
        <w:bottom w:val="none" w:sz="0" w:space="0" w:color="auto"/>
        <w:right w:val="none" w:sz="0" w:space="0" w:color="auto"/>
      </w:divBdr>
    </w:div>
    <w:div w:id="1936161873">
      <w:bodyDiv w:val="1"/>
      <w:marLeft w:val="0"/>
      <w:marRight w:val="0"/>
      <w:marTop w:val="0"/>
      <w:marBottom w:val="0"/>
      <w:divBdr>
        <w:top w:val="none" w:sz="0" w:space="0" w:color="auto"/>
        <w:left w:val="none" w:sz="0" w:space="0" w:color="auto"/>
        <w:bottom w:val="none" w:sz="0" w:space="0" w:color="auto"/>
        <w:right w:val="none" w:sz="0" w:space="0" w:color="auto"/>
      </w:divBdr>
    </w:div>
    <w:div w:id="2005475409">
      <w:bodyDiv w:val="1"/>
      <w:marLeft w:val="0"/>
      <w:marRight w:val="0"/>
      <w:marTop w:val="0"/>
      <w:marBottom w:val="0"/>
      <w:divBdr>
        <w:top w:val="none" w:sz="0" w:space="0" w:color="auto"/>
        <w:left w:val="none" w:sz="0" w:space="0" w:color="auto"/>
        <w:bottom w:val="none" w:sz="0" w:space="0" w:color="auto"/>
        <w:right w:val="none" w:sz="0" w:space="0" w:color="auto"/>
      </w:divBdr>
    </w:div>
    <w:div w:id="2014601820">
      <w:bodyDiv w:val="1"/>
      <w:marLeft w:val="0"/>
      <w:marRight w:val="0"/>
      <w:marTop w:val="0"/>
      <w:marBottom w:val="0"/>
      <w:divBdr>
        <w:top w:val="none" w:sz="0" w:space="0" w:color="auto"/>
        <w:left w:val="none" w:sz="0" w:space="0" w:color="auto"/>
        <w:bottom w:val="none" w:sz="0" w:space="0" w:color="auto"/>
        <w:right w:val="none" w:sz="0" w:space="0" w:color="auto"/>
      </w:divBdr>
    </w:div>
    <w:div w:id="2037466999">
      <w:bodyDiv w:val="1"/>
      <w:marLeft w:val="0"/>
      <w:marRight w:val="0"/>
      <w:marTop w:val="0"/>
      <w:marBottom w:val="0"/>
      <w:divBdr>
        <w:top w:val="none" w:sz="0" w:space="0" w:color="auto"/>
        <w:left w:val="none" w:sz="0" w:space="0" w:color="auto"/>
        <w:bottom w:val="none" w:sz="0" w:space="0" w:color="auto"/>
        <w:right w:val="none" w:sz="0" w:space="0" w:color="auto"/>
      </w:divBdr>
    </w:div>
    <w:div w:id="2044209708">
      <w:bodyDiv w:val="1"/>
      <w:marLeft w:val="0"/>
      <w:marRight w:val="0"/>
      <w:marTop w:val="0"/>
      <w:marBottom w:val="0"/>
      <w:divBdr>
        <w:top w:val="none" w:sz="0" w:space="0" w:color="auto"/>
        <w:left w:val="none" w:sz="0" w:space="0" w:color="auto"/>
        <w:bottom w:val="none" w:sz="0" w:space="0" w:color="auto"/>
        <w:right w:val="none" w:sz="0" w:space="0" w:color="auto"/>
      </w:divBdr>
    </w:div>
    <w:div w:id="2091196121">
      <w:bodyDiv w:val="1"/>
      <w:marLeft w:val="0"/>
      <w:marRight w:val="0"/>
      <w:marTop w:val="0"/>
      <w:marBottom w:val="0"/>
      <w:divBdr>
        <w:top w:val="none" w:sz="0" w:space="0" w:color="auto"/>
        <w:left w:val="none" w:sz="0" w:space="0" w:color="auto"/>
        <w:bottom w:val="none" w:sz="0" w:space="0" w:color="auto"/>
        <w:right w:val="none" w:sz="0" w:space="0" w:color="auto"/>
      </w:divBdr>
    </w:div>
    <w:div w:id="2133935612">
      <w:bodyDiv w:val="1"/>
      <w:marLeft w:val="0"/>
      <w:marRight w:val="0"/>
      <w:marTop w:val="0"/>
      <w:marBottom w:val="0"/>
      <w:divBdr>
        <w:top w:val="none" w:sz="0" w:space="0" w:color="auto"/>
        <w:left w:val="none" w:sz="0" w:space="0" w:color="auto"/>
        <w:bottom w:val="none" w:sz="0" w:space="0" w:color="auto"/>
        <w:right w:val="none" w:sz="0" w:space="0" w:color="auto"/>
      </w:divBdr>
    </w:div>
    <w:div w:id="2135252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rvv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4EADD-8AB0-4233-BBA5-2009C625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96</Pages>
  <Words>32482</Words>
  <Characters>191647</Characters>
  <Application>Microsoft Office Word</Application>
  <DocSecurity>0</DocSecurity>
  <Lines>1597</Lines>
  <Paragraphs>447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Kühnelová</dc:creator>
  <cp:lastModifiedBy>Markéta Kühnelová</cp:lastModifiedBy>
  <cp:revision>79</cp:revision>
  <cp:lastPrinted>2016-10-05T11:28:00Z</cp:lastPrinted>
  <dcterms:created xsi:type="dcterms:W3CDTF">2016-09-22T16:06:00Z</dcterms:created>
  <dcterms:modified xsi:type="dcterms:W3CDTF">2016-10-05T11:48:00Z</dcterms:modified>
</cp:coreProperties>
</file>