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3C9" w:rsidRDefault="004873C9" w:rsidP="004873C9">
      <w:pPr>
        <w:pStyle w:val="Nadpis2"/>
        <w:numPr>
          <w:ilvl w:val="0"/>
          <w:numId w:val="0"/>
        </w:numPr>
        <w:pBdr>
          <w:bottom w:val="single" w:sz="6" w:space="1" w:color="auto"/>
        </w:pBdr>
        <w:jc w:val="center"/>
        <w:rPr>
          <w:rFonts w:ascii="Arial" w:hAnsi="Arial" w:cs="Arial"/>
          <w:sz w:val="28"/>
          <w:szCs w:val="28"/>
        </w:rPr>
      </w:pPr>
      <w:bookmarkStart w:id="0" w:name="_GoBack"/>
      <w:bookmarkEnd w:id="0"/>
      <w:r w:rsidRPr="004873C9">
        <w:rPr>
          <w:rFonts w:ascii="Arial" w:hAnsi="Arial" w:cs="Arial"/>
          <w:sz w:val="28"/>
          <w:szCs w:val="28"/>
        </w:rPr>
        <w:t>Souhrnné vyhodnocení výsledků programů výzkumu, vývoje a inovací ukončených v roce 2015</w:t>
      </w:r>
    </w:p>
    <w:p w:rsidR="004873C9" w:rsidRPr="00C04996" w:rsidRDefault="004873C9" w:rsidP="00F93762">
      <w:pPr>
        <w:pStyle w:val="Nadpis3"/>
        <w:numPr>
          <w:ilvl w:val="2"/>
          <w:numId w:val="9"/>
        </w:numPr>
        <w:rPr>
          <w:rFonts w:cs="Arial"/>
        </w:rPr>
      </w:pPr>
      <w:r w:rsidRPr="00C04996">
        <w:rPr>
          <w:rFonts w:cs="Arial"/>
        </w:rPr>
        <w:t>Úvod</w:t>
      </w:r>
    </w:p>
    <w:p w:rsidR="004873C9" w:rsidRDefault="004873C9" w:rsidP="004873C9">
      <w:pPr>
        <w:spacing w:after="120" w:line="240" w:lineRule="auto"/>
        <w:jc w:val="both"/>
        <w:rPr>
          <w:rFonts w:ascii="Arial" w:hAnsi="Arial" w:cs="Arial"/>
          <w:sz w:val="24"/>
          <w:szCs w:val="24"/>
        </w:rPr>
      </w:pPr>
      <w:r>
        <w:rPr>
          <w:rFonts w:ascii="Arial" w:hAnsi="Arial" w:cs="Arial"/>
          <w:sz w:val="24"/>
          <w:szCs w:val="24"/>
        </w:rPr>
        <w:t xml:space="preserve">Souhrnné hodnocení výsledků ukončených programů (dále jen „Souhrnné hodnocení“) zabezpečuje </w:t>
      </w:r>
      <w:r w:rsidRPr="00C7161E">
        <w:rPr>
          <w:rFonts w:ascii="Arial" w:hAnsi="Arial" w:cs="Arial"/>
          <w:sz w:val="24"/>
          <w:szCs w:val="24"/>
        </w:rPr>
        <w:t>Rada pro</w:t>
      </w:r>
      <w:r>
        <w:rPr>
          <w:rFonts w:ascii="Arial" w:hAnsi="Arial" w:cs="Arial"/>
          <w:sz w:val="24"/>
          <w:szCs w:val="24"/>
        </w:rPr>
        <w:t> </w:t>
      </w:r>
      <w:r w:rsidRPr="00C7161E">
        <w:rPr>
          <w:rFonts w:ascii="Arial" w:hAnsi="Arial" w:cs="Arial"/>
          <w:sz w:val="24"/>
          <w:szCs w:val="24"/>
        </w:rPr>
        <w:t>výzkum, vývoj a inovace</w:t>
      </w:r>
      <w:r>
        <w:rPr>
          <w:rFonts w:ascii="Arial" w:hAnsi="Arial" w:cs="Arial"/>
          <w:sz w:val="24"/>
          <w:szCs w:val="24"/>
        </w:rPr>
        <w:t xml:space="preserve"> (dále jen „Rada“) v souladu s § 35 odst. 2 písm. d) zákona č. 130/2012 Sb., o podpoře výzkumu, experimentálního vývoje a inovací z veřejných prostředků a o změně některých souvisejících zákonů</w:t>
      </w:r>
      <w:r w:rsidRPr="00C7161E">
        <w:rPr>
          <w:rFonts w:ascii="Arial" w:hAnsi="Arial" w:cs="Arial"/>
          <w:sz w:val="24"/>
          <w:szCs w:val="24"/>
        </w:rPr>
        <w:t> (zákon o podpoře výzkumu, experimentálního vývoje a inovací)</w:t>
      </w:r>
      <w:r>
        <w:rPr>
          <w:rFonts w:ascii="Arial" w:hAnsi="Arial" w:cs="Arial"/>
          <w:sz w:val="24"/>
          <w:szCs w:val="24"/>
        </w:rPr>
        <w:t>, ve znění pozdějších předpisů.</w:t>
      </w:r>
    </w:p>
    <w:p w:rsidR="004873C9" w:rsidRDefault="004873C9" w:rsidP="004873C9">
      <w:pPr>
        <w:spacing w:after="120" w:line="240" w:lineRule="auto"/>
        <w:jc w:val="both"/>
        <w:rPr>
          <w:rFonts w:ascii="Arial" w:hAnsi="Arial" w:cs="Arial"/>
          <w:sz w:val="24"/>
          <w:szCs w:val="24"/>
        </w:rPr>
      </w:pPr>
      <w:r>
        <w:rPr>
          <w:rFonts w:ascii="Arial" w:hAnsi="Arial" w:cs="Arial"/>
          <w:sz w:val="24"/>
          <w:szCs w:val="24"/>
        </w:rPr>
        <w:t>Programem výzkumu, vývoje a inovací</w:t>
      </w:r>
      <w:r w:rsidR="00F96999">
        <w:rPr>
          <w:rFonts w:ascii="Arial" w:hAnsi="Arial" w:cs="Arial"/>
          <w:sz w:val="24"/>
          <w:szCs w:val="24"/>
        </w:rPr>
        <w:t xml:space="preserve"> (dále jen „VaVaI“)</w:t>
      </w:r>
      <w:r>
        <w:rPr>
          <w:rFonts w:ascii="Arial" w:hAnsi="Arial" w:cs="Arial"/>
          <w:sz w:val="24"/>
          <w:szCs w:val="24"/>
        </w:rPr>
        <w:t xml:space="preserve"> se rozumí soubor věcných, časových a finančních podmínek pro činnosti potřebné k dosažení schválených cílů programu aplikovaného </w:t>
      </w:r>
      <w:r w:rsidR="00F96999">
        <w:rPr>
          <w:rFonts w:ascii="Arial" w:hAnsi="Arial" w:cs="Arial"/>
          <w:sz w:val="24"/>
          <w:szCs w:val="24"/>
        </w:rPr>
        <w:t>VaVaI</w:t>
      </w:r>
      <w:r>
        <w:rPr>
          <w:rFonts w:ascii="Arial" w:hAnsi="Arial" w:cs="Arial"/>
          <w:sz w:val="24"/>
          <w:szCs w:val="24"/>
        </w:rPr>
        <w:t xml:space="preserve"> vyhlášených poskytovatelem ve veřejné soutěži ve</w:t>
      </w:r>
      <w:r w:rsidR="00F96999">
        <w:rPr>
          <w:rFonts w:ascii="Arial" w:hAnsi="Arial" w:cs="Arial"/>
          <w:sz w:val="24"/>
          <w:szCs w:val="24"/>
        </w:rPr>
        <w:t> VaVaI</w:t>
      </w:r>
      <w:r>
        <w:rPr>
          <w:rFonts w:ascii="Arial" w:hAnsi="Arial" w:cs="Arial"/>
          <w:sz w:val="24"/>
          <w:szCs w:val="24"/>
        </w:rPr>
        <w:t xml:space="preserve"> nebo uvedených v zadání veřejné zakázky ve </w:t>
      </w:r>
      <w:r w:rsidR="00F96999">
        <w:rPr>
          <w:rFonts w:ascii="Arial" w:hAnsi="Arial" w:cs="Arial"/>
          <w:sz w:val="24"/>
          <w:szCs w:val="24"/>
        </w:rPr>
        <w:t>VaVaI</w:t>
      </w:r>
      <w:r>
        <w:rPr>
          <w:rFonts w:ascii="Arial" w:hAnsi="Arial" w:cs="Arial"/>
          <w:sz w:val="24"/>
          <w:szCs w:val="24"/>
        </w:rPr>
        <w:t xml:space="preserve"> na jednotlivé projekty v rámci programu.</w:t>
      </w:r>
    </w:p>
    <w:p w:rsidR="000823DF" w:rsidRDefault="00511D27" w:rsidP="000823DF">
      <w:pPr>
        <w:spacing w:after="120" w:line="240" w:lineRule="auto"/>
        <w:jc w:val="both"/>
        <w:rPr>
          <w:rFonts w:ascii="Arial" w:hAnsi="Arial" w:cs="Arial"/>
          <w:sz w:val="24"/>
          <w:szCs w:val="24"/>
        </w:rPr>
      </w:pPr>
      <w:r>
        <w:rPr>
          <w:rFonts w:ascii="Arial" w:hAnsi="Arial" w:cs="Arial"/>
          <w:sz w:val="24"/>
          <w:szCs w:val="24"/>
        </w:rPr>
        <w:t>V předkládaném</w:t>
      </w:r>
      <w:r w:rsidR="000823DF">
        <w:rPr>
          <w:rFonts w:ascii="Arial" w:hAnsi="Arial" w:cs="Arial"/>
          <w:sz w:val="24"/>
          <w:szCs w:val="24"/>
        </w:rPr>
        <w:t xml:space="preserve"> Souhrnné</w:t>
      </w:r>
      <w:r>
        <w:rPr>
          <w:rFonts w:ascii="Arial" w:hAnsi="Arial" w:cs="Arial"/>
          <w:sz w:val="24"/>
          <w:szCs w:val="24"/>
        </w:rPr>
        <w:t>m</w:t>
      </w:r>
      <w:r w:rsidR="000823DF">
        <w:rPr>
          <w:rFonts w:ascii="Arial" w:hAnsi="Arial" w:cs="Arial"/>
          <w:sz w:val="24"/>
          <w:szCs w:val="24"/>
        </w:rPr>
        <w:t xml:space="preserve"> hodnocení </w:t>
      </w:r>
      <w:r>
        <w:rPr>
          <w:rFonts w:ascii="Arial" w:hAnsi="Arial" w:cs="Arial"/>
          <w:sz w:val="24"/>
          <w:szCs w:val="24"/>
        </w:rPr>
        <w:t>se odráží</w:t>
      </w:r>
      <w:r w:rsidR="000823DF">
        <w:rPr>
          <w:rFonts w:ascii="Arial" w:hAnsi="Arial" w:cs="Arial"/>
          <w:sz w:val="24"/>
          <w:szCs w:val="24"/>
        </w:rPr>
        <w:t xml:space="preserve"> významné změny v </w:t>
      </w:r>
      <w:r>
        <w:rPr>
          <w:rFonts w:ascii="Arial" w:hAnsi="Arial" w:cs="Arial"/>
          <w:sz w:val="24"/>
          <w:szCs w:val="24"/>
        </w:rPr>
        <w:t>pohledu</w:t>
      </w:r>
      <w:r w:rsidR="000823DF">
        <w:rPr>
          <w:rFonts w:ascii="Arial" w:hAnsi="Arial" w:cs="Arial"/>
          <w:sz w:val="24"/>
          <w:szCs w:val="24"/>
        </w:rPr>
        <w:t xml:space="preserve"> </w:t>
      </w:r>
      <w:r>
        <w:rPr>
          <w:rFonts w:ascii="Arial" w:hAnsi="Arial" w:cs="Arial"/>
          <w:sz w:val="24"/>
          <w:szCs w:val="24"/>
        </w:rPr>
        <w:t>na </w:t>
      </w:r>
      <w:r w:rsidR="000823DF">
        <w:rPr>
          <w:rFonts w:ascii="Arial" w:hAnsi="Arial" w:cs="Arial"/>
          <w:sz w:val="24"/>
          <w:szCs w:val="24"/>
        </w:rPr>
        <w:t>problematik</w:t>
      </w:r>
      <w:r>
        <w:rPr>
          <w:rFonts w:ascii="Arial" w:hAnsi="Arial" w:cs="Arial"/>
          <w:sz w:val="24"/>
          <w:szCs w:val="24"/>
        </w:rPr>
        <w:t>u</w:t>
      </w:r>
      <w:r w:rsidR="000823DF">
        <w:rPr>
          <w:rFonts w:ascii="Arial" w:hAnsi="Arial" w:cs="Arial"/>
          <w:sz w:val="24"/>
          <w:szCs w:val="24"/>
        </w:rPr>
        <w:t xml:space="preserve"> hodnocení programů ve všech fázích</w:t>
      </w:r>
      <w:r>
        <w:rPr>
          <w:rFonts w:ascii="Arial" w:hAnsi="Arial" w:cs="Arial"/>
          <w:sz w:val="24"/>
          <w:szCs w:val="24"/>
        </w:rPr>
        <w:t>.</w:t>
      </w:r>
    </w:p>
    <w:p w:rsidR="00A0489A" w:rsidRPr="00A0489A" w:rsidRDefault="00A0489A" w:rsidP="00806A62">
      <w:pPr>
        <w:pStyle w:val="Nadpis3"/>
        <w:numPr>
          <w:ilvl w:val="2"/>
          <w:numId w:val="9"/>
        </w:numPr>
      </w:pPr>
      <w:r w:rsidRPr="00A0489A">
        <w:t>Základní dokumenty a zdroje</w:t>
      </w:r>
    </w:p>
    <w:p w:rsidR="00446CEB" w:rsidRDefault="004873C9" w:rsidP="004873C9">
      <w:pPr>
        <w:spacing w:after="120" w:line="240" w:lineRule="auto"/>
        <w:jc w:val="both"/>
        <w:rPr>
          <w:rFonts w:ascii="Arial" w:hAnsi="Arial" w:cs="Arial"/>
          <w:sz w:val="24"/>
          <w:szCs w:val="24"/>
        </w:rPr>
      </w:pPr>
      <w:r>
        <w:rPr>
          <w:rFonts w:ascii="Arial" w:hAnsi="Arial" w:cs="Arial"/>
          <w:sz w:val="24"/>
          <w:szCs w:val="24"/>
        </w:rPr>
        <w:t xml:space="preserve">Souhrnné hodnocení se v současné době provádí podle Metodiky hodnocení výsledků výzkumných organizací a hodnocení výsledků ukončených programů </w:t>
      </w:r>
      <w:r w:rsidRPr="00C7161E">
        <w:rPr>
          <w:rFonts w:ascii="Arial" w:hAnsi="Arial" w:cs="Arial"/>
          <w:sz w:val="24"/>
          <w:szCs w:val="24"/>
        </w:rPr>
        <w:t xml:space="preserve">(platné pro léta 2013 až 2016), </w:t>
      </w:r>
      <w:r>
        <w:rPr>
          <w:rFonts w:ascii="Arial" w:hAnsi="Arial" w:cs="Arial"/>
          <w:sz w:val="24"/>
          <w:szCs w:val="24"/>
        </w:rPr>
        <w:t xml:space="preserve">schválené usnesením </w:t>
      </w:r>
      <w:r w:rsidRPr="00C7161E">
        <w:rPr>
          <w:rFonts w:ascii="Arial" w:hAnsi="Arial" w:cs="Arial"/>
          <w:sz w:val="24"/>
          <w:szCs w:val="24"/>
        </w:rPr>
        <w:t>vlády ze dne 19. června 2013 č. 475 (dále jen „Metodika“), ve znění usnesení vlády ze dne 29. července 2015 č.</w:t>
      </w:r>
      <w:r w:rsidR="00446CEB">
        <w:rPr>
          <w:rFonts w:ascii="Arial" w:hAnsi="Arial" w:cs="Arial"/>
          <w:sz w:val="24"/>
          <w:szCs w:val="24"/>
        </w:rPr>
        <w:t> </w:t>
      </w:r>
      <w:r w:rsidRPr="00C7161E">
        <w:rPr>
          <w:rFonts w:ascii="Arial" w:hAnsi="Arial" w:cs="Arial"/>
          <w:sz w:val="24"/>
          <w:szCs w:val="24"/>
        </w:rPr>
        <w:t>605</w:t>
      </w:r>
      <w:r w:rsidR="00446CEB">
        <w:rPr>
          <w:rFonts w:ascii="Arial" w:hAnsi="Arial" w:cs="Arial"/>
          <w:sz w:val="24"/>
          <w:szCs w:val="24"/>
        </w:rPr>
        <w:t xml:space="preserve"> (Příloha č. 1).</w:t>
      </w:r>
    </w:p>
    <w:p w:rsidR="004873C9" w:rsidRDefault="004873C9" w:rsidP="004873C9">
      <w:pPr>
        <w:spacing w:after="120" w:line="240" w:lineRule="auto"/>
        <w:jc w:val="both"/>
        <w:rPr>
          <w:rFonts w:ascii="Arial" w:hAnsi="Arial" w:cs="Arial"/>
          <w:sz w:val="24"/>
          <w:szCs w:val="24"/>
        </w:rPr>
      </w:pPr>
      <w:r>
        <w:rPr>
          <w:rFonts w:ascii="Arial" w:hAnsi="Arial" w:cs="Arial"/>
          <w:sz w:val="24"/>
          <w:szCs w:val="24"/>
        </w:rPr>
        <w:t xml:space="preserve">Souhrnné vyhodnocení </w:t>
      </w:r>
      <w:r w:rsidR="00BF3C41">
        <w:rPr>
          <w:rFonts w:ascii="Arial" w:hAnsi="Arial" w:cs="Arial"/>
          <w:sz w:val="24"/>
          <w:szCs w:val="24"/>
        </w:rPr>
        <w:t xml:space="preserve">musí být </w:t>
      </w:r>
      <w:r>
        <w:rPr>
          <w:rFonts w:ascii="Arial" w:hAnsi="Arial" w:cs="Arial"/>
          <w:sz w:val="24"/>
          <w:szCs w:val="24"/>
        </w:rPr>
        <w:t>rovněž v souladu s dokument</w:t>
      </w:r>
      <w:r w:rsidR="00BF3C41">
        <w:rPr>
          <w:rFonts w:ascii="Arial" w:hAnsi="Arial" w:cs="Arial"/>
          <w:sz w:val="24"/>
          <w:szCs w:val="24"/>
        </w:rPr>
        <w:t>y</w:t>
      </w:r>
      <w:r>
        <w:rPr>
          <w:rFonts w:ascii="Arial" w:hAnsi="Arial" w:cs="Arial"/>
          <w:sz w:val="24"/>
          <w:szCs w:val="24"/>
        </w:rPr>
        <w:t xml:space="preserve"> Implementace Národních priorit orientovaného výzkumu, experimentálního vývoje a inovací, který byl schválen usnesením vlády ze dne 31. července 2013 č. 569 (dále jen „Implementace Priorit“)</w:t>
      </w:r>
      <w:r w:rsidR="00BF3C41">
        <w:rPr>
          <w:rFonts w:ascii="Arial" w:hAnsi="Arial" w:cs="Arial"/>
          <w:sz w:val="24"/>
          <w:szCs w:val="24"/>
        </w:rPr>
        <w:t xml:space="preserve"> a</w:t>
      </w:r>
      <w:r w:rsidRPr="00C7161E">
        <w:rPr>
          <w:rFonts w:ascii="Arial" w:hAnsi="Arial" w:cs="Arial"/>
          <w:sz w:val="24"/>
          <w:szCs w:val="24"/>
        </w:rPr>
        <w:t> Pokyn</w:t>
      </w:r>
      <w:r>
        <w:rPr>
          <w:rFonts w:ascii="Arial" w:hAnsi="Arial" w:cs="Arial"/>
          <w:sz w:val="24"/>
          <w:szCs w:val="24"/>
        </w:rPr>
        <w:t>em</w:t>
      </w:r>
      <w:r w:rsidRPr="00C7161E">
        <w:rPr>
          <w:rFonts w:ascii="Arial" w:hAnsi="Arial" w:cs="Arial"/>
          <w:sz w:val="24"/>
          <w:szCs w:val="24"/>
        </w:rPr>
        <w:t xml:space="preserve"> Rady pro</w:t>
      </w:r>
      <w:r>
        <w:rPr>
          <w:rFonts w:ascii="Arial" w:hAnsi="Arial" w:cs="Arial"/>
          <w:sz w:val="24"/>
          <w:szCs w:val="24"/>
        </w:rPr>
        <w:t> </w:t>
      </w:r>
      <w:r w:rsidRPr="00C7161E">
        <w:rPr>
          <w:rFonts w:ascii="Arial" w:hAnsi="Arial" w:cs="Arial"/>
          <w:sz w:val="24"/>
          <w:szCs w:val="24"/>
        </w:rPr>
        <w:t>hodnocení výsledků ukončených programů výzkumu, experimentálního vývoje a</w:t>
      </w:r>
      <w:r>
        <w:rPr>
          <w:rFonts w:ascii="Arial" w:hAnsi="Arial" w:cs="Arial"/>
          <w:sz w:val="24"/>
          <w:szCs w:val="24"/>
        </w:rPr>
        <w:t> </w:t>
      </w:r>
      <w:r w:rsidRPr="00C7161E">
        <w:rPr>
          <w:rFonts w:ascii="Arial" w:hAnsi="Arial" w:cs="Arial"/>
          <w:sz w:val="24"/>
          <w:szCs w:val="24"/>
        </w:rPr>
        <w:t>inovací, schváleného na</w:t>
      </w:r>
      <w:r>
        <w:rPr>
          <w:rFonts w:ascii="Arial" w:hAnsi="Arial" w:cs="Arial"/>
          <w:sz w:val="24"/>
          <w:szCs w:val="24"/>
        </w:rPr>
        <w:t> </w:t>
      </w:r>
      <w:r w:rsidRPr="00C7161E">
        <w:rPr>
          <w:rFonts w:ascii="Arial" w:hAnsi="Arial" w:cs="Arial"/>
          <w:sz w:val="24"/>
          <w:szCs w:val="24"/>
        </w:rPr>
        <w:t>285. zasedání Rady dne 30.</w:t>
      </w:r>
      <w:r>
        <w:rPr>
          <w:rFonts w:ascii="Arial" w:hAnsi="Arial" w:cs="Arial"/>
          <w:sz w:val="24"/>
          <w:szCs w:val="24"/>
        </w:rPr>
        <w:t> </w:t>
      </w:r>
      <w:r w:rsidRPr="00C7161E">
        <w:rPr>
          <w:rFonts w:ascii="Arial" w:hAnsi="Arial" w:cs="Arial"/>
          <w:sz w:val="24"/>
          <w:szCs w:val="24"/>
        </w:rPr>
        <w:t>srpna 2013</w:t>
      </w:r>
      <w:r>
        <w:rPr>
          <w:rFonts w:ascii="Arial" w:hAnsi="Arial" w:cs="Arial"/>
          <w:sz w:val="24"/>
          <w:szCs w:val="24"/>
        </w:rPr>
        <w:t>.</w:t>
      </w:r>
      <w:r w:rsidRPr="00C7161E">
        <w:rPr>
          <w:rFonts w:ascii="Arial" w:hAnsi="Arial" w:cs="Arial"/>
          <w:sz w:val="24"/>
          <w:szCs w:val="24"/>
        </w:rPr>
        <w:t xml:space="preserve"> </w:t>
      </w:r>
    </w:p>
    <w:p w:rsidR="004873C9" w:rsidRPr="009E196F" w:rsidRDefault="004873C9" w:rsidP="004873C9">
      <w:pPr>
        <w:spacing w:after="120" w:line="240" w:lineRule="auto"/>
        <w:jc w:val="both"/>
        <w:rPr>
          <w:rFonts w:ascii="Arial" w:hAnsi="Arial" w:cs="Arial"/>
          <w:sz w:val="24"/>
          <w:szCs w:val="24"/>
        </w:rPr>
      </w:pPr>
      <w:r>
        <w:rPr>
          <w:rFonts w:ascii="Arial" w:hAnsi="Arial" w:cs="Arial"/>
          <w:sz w:val="24"/>
          <w:szCs w:val="24"/>
        </w:rPr>
        <w:t>Při Souhrnném hodnocení se Rada rovněž zabývala tím, jak bylo plněno usnesení vlády</w:t>
      </w:r>
      <w:r w:rsidRPr="009E196F">
        <w:rPr>
          <w:rFonts w:ascii="Arial" w:hAnsi="Arial" w:cs="Arial"/>
          <w:sz w:val="24"/>
          <w:szCs w:val="24"/>
        </w:rPr>
        <w:t xml:space="preserve"> ze dne 15. května 2013 č. 346</w:t>
      </w:r>
      <w:r>
        <w:rPr>
          <w:rFonts w:ascii="Arial" w:hAnsi="Arial" w:cs="Arial"/>
          <w:sz w:val="24"/>
          <w:szCs w:val="24"/>
        </w:rPr>
        <w:t>, které</w:t>
      </w:r>
      <w:r w:rsidRPr="009E196F">
        <w:rPr>
          <w:rFonts w:ascii="Arial" w:hAnsi="Arial" w:cs="Arial"/>
          <w:sz w:val="24"/>
          <w:szCs w:val="24"/>
        </w:rPr>
        <w:t xml:space="preserve"> uložil</w:t>
      </w:r>
      <w:r>
        <w:rPr>
          <w:rFonts w:ascii="Arial" w:hAnsi="Arial" w:cs="Arial"/>
          <w:sz w:val="24"/>
          <w:szCs w:val="24"/>
        </w:rPr>
        <w:t>o</w:t>
      </w:r>
      <w:r w:rsidRPr="009E196F">
        <w:rPr>
          <w:rFonts w:ascii="Arial" w:hAnsi="Arial" w:cs="Arial"/>
          <w:sz w:val="24"/>
          <w:szCs w:val="24"/>
        </w:rPr>
        <w:t xml:space="preserve"> poskytovatelům a příjemcům podpory důsledně uplatňovat § 13 a </w:t>
      </w:r>
      <w:r>
        <w:rPr>
          <w:rFonts w:ascii="Arial" w:hAnsi="Arial" w:cs="Arial"/>
          <w:sz w:val="24"/>
          <w:szCs w:val="24"/>
        </w:rPr>
        <w:t xml:space="preserve">§ </w:t>
      </w:r>
      <w:r w:rsidRPr="009E196F">
        <w:rPr>
          <w:rFonts w:ascii="Arial" w:hAnsi="Arial" w:cs="Arial"/>
          <w:sz w:val="24"/>
          <w:szCs w:val="24"/>
        </w:rPr>
        <w:t xml:space="preserve">14 zákona o podpoře výzkumu, experimentálního vývoje a inovací, </w:t>
      </w:r>
      <w:r>
        <w:rPr>
          <w:rFonts w:ascii="Arial" w:hAnsi="Arial" w:cs="Arial"/>
          <w:sz w:val="24"/>
          <w:szCs w:val="24"/>
        </w:rPr>
        <w:t>týkající se</w:t>
      </w:r>
      <w:r w:rsidRPr="009E196F">
        <w:rPr>
          <w:rFonts w:ascii="Arial" w:hAnsi="Arial" w:cs="Arial"/>
          <w:sz w:val="24"/>
          <w:szCs w:val="24"/>
        </w:rPr>
        <w:t xml:space="preserve"> kontrol plnění cílů projekt</w:t>
      </w:r>
      <w:r>
        <w:rPr>
          <w:rFonts w:ascii="Arial" w:hAnsi="Arial" w:cs="Arial"/>
          <w:sz w:val="24"/>
          <w:szCs w:val="24"/>
        </w:rPr>
        <w:t>ů</w:t>
      </w:r>
      <w:r w:rsidRPr="009E196F">
        <w:rPr>
          <w:rFonts w:ascii="Arial" w:hAnsi="Arial" w:cs="Arial"/>
          <w:sz w:val="24"/>
          <w:szCs w:val="24"/>
        </w:rPr>
        <w:t xml:space="preserve"> včetně čerpání a využívání podpor, účelnost</w:t>
      </w:r>
      <w:r>
        <w:rPr>
          <w:rFonts w:ascii="Arial" w:hAnsi="Arial" w:cs="Arial"/>
          <w:sz w:val="24"/>
          <w:szCs w:val="24"/>
        </w:rPr>
        <w:t>í</w:t>
      </w:r>
      <w:r w:rsidRPr="009E196F">
        <w:rPr>
          <w:rFonts w:ascii="Arial" w:hAnsi="Arial" w:cs="Arial"/>
          <w:sz w:val="24"/>
          <w:szCs w:val="24"/>
        </w:rPr>
        <w:t xml:space="preserve"> vynaložených nákladů projekt</w:t>
      </w:r>
      <w:r>
        <w:rPr>
          <w:rFonts w:ascii="Arial" w:hAnsi="Arial" w:cs="Arial"/>
          <w:sz w:val="24"/>
          <w:szCs w:val="24"/>
        </w:rPr>
        <w:t>ů</w:t>
      </w:r>
      <w:r w:rsidRPr="009E196F">
        <w:rPr>
          <w:rFonts w:ascii="Arial" w:hAnsi="Arial" w:cs="Arial"/>
          <w:sz w:val="24"/>
          <w:szCs w:val="24"/>
        </w:rPr>
        <w:t xml:space="preserve"> podle uzavřené smlouvy a realizac</w:t>
      </w:r>
      <w:r>
        <w:rPr>
          <w:rFonts w:ascii="Arial" w:hAnsi="Arial" w:cs="Arial"/>
          <w:sz w:val="24"/>
          <w:szCs w:val="24"/>
        </w:rPr>
        <w:t>í</w:t>
      </w:r>
      <w:r w:rsidRPr="009E196F">
        <w:rPr>
          <w:rFonts w:ascii="Arial" w:hAnsi="Arial" w:cs="Arial"/>
          <w:sz w:val="24"/>
          <w:szCs w:val="24"/>
        </w:rPr>
        <w:t xml:space="preserve"> souboru dalších opatření </w:t>
      </w:r>
      <w:r>
        <w:rPr>
          <w:rFonts w:ascii="Arial" w:hAnsi="Arial" w:cs="Arial"/>
          <w:sz w:val="24"/>
          <w:szCs w:val="24"/>
        </w:rPr>
        <w:t>včetně</w:t>
      </w:r>
      <w:r w:rsidRPr="009E196F">
        <w:rPr>
          <w:rFonts w:ascii="Arial" w:hAnsi="Arial" w:cs="Arial"/>
          <w:sz w:val="24"/>
          <w:szCs w:val="24"/>
        </w:rPr>
        <w:t xml:space="preserve"> vyvozování důsledků za nedodržení zákonného ustanovení. </w:t>
      </w:r>
    </w:p>
    <w:p w:rsidR="004873C9" w:rsidRDefault="004873C9" w:rsidP="004873C9">
      <w:pPr>
        <w:spacing w:after="120" w:line="240" w:lineRule="auto"/>
        <w:jc w:val="both"/>
        <w:rPr>
          <w:rFonts w:ascii="Arial" w:hAnsi="Arial" w:cs="Arial"/>
          <w:sz w:val="24"/>
          <w:szCs w:val="24"/>
        </w:rPr>
      </w:pPr>
      <w:r>
        <w:rPr>
          <w:rFonts w:ascii="Arial" w:hAnsi="Arial" w:cs="Arial"/>
          <w:sz w:val="24"/>
          <w:szCs w:val="24"/>
        </w:rPr>
        <w:t xml:space="preserve">V rámci Souhrnného hodnocení byly rovněž přiměřeně aplikovány </w:t>
      </w:r>
      <w:r w:rsidRPr="00C7161E">
        <w:rPr>
          <w:rFonts w:ascii="Arial" w:hAnsi="Arial" w:cs="Arial"/>
          <w:sz w:val="24"/>
          <w:szCs w:val="24"/>
        </w:rPr>
        <w:t>Základní</w:t>
      </w:r>
      <w:r>
        <w:rPr>
          <w:rFonts w:ascii="Arial" w:hAnsi="Arial" w:cs="Arial"/>
          <w:sz w:val="24"/>
          <w:szCs w:val="24"/>
        </w:rPr>
        <w:t xml:space="preserve"> principy</w:t>
      </w:r>
      <w:r w:rsidRPr="00C7161E">
        <w:rPr>
          <w:rFonts w:ascii="Arial" w:hAnsi="Arial" w:cs="Arial"/>
          <w:sz w:val="24"/>
          <w:szCs w:val="24"/>
        </w:rPr>
        <w:t xml:space="preserve"> přípravy a hodnocení programů a skupin grantových projektů výzkumu, vývoje a</w:t>
      </w:r>
      <w:r>
        <w:rPr>
          <w:rFonts w:ascii="Arial" w:hAnsi="Arial" w:cs="Arial"/>
          <w:sz w:val="24"/>
          <w:szCs w:val="24"/>
        </w:rPr>
        <w:t> </w:t>
      </w:r>
      <w:r w:rsidRPr="00C7161E">
        <w:rPr>
          <w:rFonts w:ascii="Arial" w:hAnsi="Arial" w:cs="Arial"/>
          <w:sz w:val="24"/>
          <w:szCs w:val="24"/>
        </w:rPr>
        <w:t xml:space="preserve">inovací schválené usnesením </w:t>
      </w:r>
      <w:r>
        <w:rPr>
          <w:rFonts w:ascii="Arial" w:hAnsi="Arial" w:cs="Arial"/>
          <w:sz w:val="24"/>
          <w:szCs w:val="24"/>
        </w:rPr>
        <w:t xml:space="preserve">vlády </w:t>
      </w:r>
      <w:r w:rsidRPr="00C7161E">
        <w:rPr>
          <w:rFonts w:ascii="Arial" w:hAnsi="Arial" w:cs="Arial"/>
          <w:sz w:val="24"/>
          <w:szCs w:val="24"/>
        </w:rPr>
        <w:t>č. 531 ze dne 13. května 2015</w:t>
      </w:r>
      <w:r>
        <w:rPr>
          <w:rFonts w:ascii="Arial" w:hAnsi="Arial" w:cs="Arial"/>
          <w:sz w:val="24"/>
          <w:szCs w:val="24"/>
        </w:rPr>
        <w:t xml:space="preserve"> (dále jen „Principy“)</w:t>
      </w:r>
      <w:r w:rsidR="00CD711E">
        <w:rPr>
          <w:rFonts w:ascii="Arial" w:hAnsi="Arial" w:cs="Arial"/>
          <w:sz w:val="24"/>
          <w:szCs w:val="24"/>
        </w:rPr>
        <w:t>.</w:t>
      </w:r>
    </w:p>
    <w:p w:rsidR="00806A62" w:rsidRPr="00806A62" w:rsidRDefault="00806A62" w:rsidP="00806A62">
      <w:pPr>
        <w:pStyle w:val="Nadpis3"/>
        <w:numPr>
          <w:ilvl w:val="2"/>
          <w:numId w:val="9"/>
        </w:numPr>
        <w:rPr>
          <w:szCs w:val="24"/>
        </w:rPr>
      </w:pPr>
      <w:r w:rsidRPr="00806A62">
        <w:t>Harmonogram hodnocení</w:t>
      </w:r>
    </w:p>
    <w:p w:rsidR="00806A62" w:rsidRPr="000D4E73" w:rsidRDefault="00806A62" w:rsidP="00C741F8">
      <w:pPr>
        <w:keepNext/>
        <w:spacing w:after="120" w:line="240" w:lineRule="auto"/>
        <w:jc w:val="both"/>
        <w:rPr>
          <w:rFonts w:ascii="Arial" w:hAnsi="Arial" w:cs="Arial"/>
          <w:sz w:val="24"/>
          <w:szCs w:val="24"/>
        </w:rPr>
      </w:pPr>
      <w:r w:rsidRPr="000D4E73">
        <w:rPr>
          <w:rFonts w:ascii="Arial" w:hAnsi="Arial" w:cs="Arial"/>
          <w:sz w:val="24"/>
          <w:szCs w:val="24"/>
        </w:rPr>
        <w:t>Hodnocení probíhalo v následujících etapách:</w:t>
      </w:r>
    </w:p>
    <w:p w:rsidR="00806A62" w:rsidRPr="000D4E73" w:rsidRDefault="00806A62" w:rsidP="00806A62">
      <w:pPr>
        <w:pStyle w:val="Odstavecseseznamem"/>
        <w:numPr>
          <w:ilvl w:val="0"/>
          <w:numId w:val="2"/>
        </w:numPr>
        <w:spacing w:after="120" w:line="240" w:lineRule="auto"/>
        <w:ind w:left="0" w:firstLine="709"/>
        <w:contextualSpacing w:val="0"/>
        <w:jc w:val="both"/>
        <w:rPr>
          <w:rFonts w:ascii="Arial" w:hAnsi="Arial" w:cs="Arial"/>
          <w:sz w:val="24"/>
          <w:szCs w:val="24"/>
        </w:rPr>
      </w:pPr>
      <w:r w:rsidRPr="000D4E73">
        <w:rPr>
          <w:rFonts w:ascii="Arial" w:hAnsi="Arial" w:cs="Arial"/>
          <w:sz w:val="24"/>
          <w:szCs w:val="24"/>
        </w:rPr>
        <w:t>do 7. září 201</w:t>
      </w:r>
      <w:r>
        <w:rPr>
          <w:rFonts w:ascii="Arial" w:hAnsi="Arial" w:cs="Arial"/>
          <w:sz w:val="24"/>
          <w:szCs w:val="24"/>
        </w:rPr>
        <w:t>6</w:t>
      </w:r>
      <w:r w:rsidRPr="000D4E73">
        <w:rPr>
          <w:rFonts w:ascii="Arial" w:hAnsi="Arial" w:cs="Arial"/>
          <w:sz w:val="24"/>
          <w:szCs w:val="24"/>
        </w:rPr>
        <w:t xml:space="preserve"> – </w:t>
      </w:r>
      <w:r>
        <w:rPr>
          <w:rFonts w:ascii="Arial" w:hAnsi="Arial" w:cs="Arial"/>
          <w:sz w:val="24"/>
          <w:szCs w:val="24"/>
        </w:rPr>
        <w:t xml:space="preserve">poskytovatel dodal údaje o výsledcích programových projektů ukončených v roce předcházejícím (lhůta 150 dní od ukončení projektu) </w:t>
      </w:r>
      <w:r>
        <w:rPr>
          <w:rFonts w:ascii="Arial" w:hAnsi="Arial" w:cs="Arial"/>
          <w:sz w:val="24"/>
          <w:szCs w:val="24"/>
        </w:rPr>
        <w:lastRenderedPageBreak/>
        <w:t>a údaje o výsledcích projektů, jimž byla poskytnuta podpora podle § odst. 2 písm. a), u nichž lhůta na předání provozovateli činí 730 dní;</w:t>
      </w:r>
    </w:p>
    <w:p w:rsidR="00806A62" w:rsidRPr="000D4E73" w:rsidRDefault="00806A62" w:rsidP="00806A62">
      <w:pPr>
        <w:pStyle w:val="Odstavecseseznamem"/>
        <w:numPr>
          <w:ilvl w:val="0"/>
          <w:numId w:val="2"/>
        </w:numPr>
        <w:spacing w:after="120" w:line="240" w:lineRule="auto"/>
        <w:ind w:left="0" w:firstLine="709"/>
        <w:contextualSpacing w:val="0"/>
        <w:jc w:val="both"/>
        <w:rPr>
          <w:rFonts w:ascii="Arial" w:hAnsi="Arial" w:cs="Arial"/>
          <w:sz w:val="24"/>
          <w:szCs w:val="24"/>
        </w:rPr>
      </w:pPr>
      <w:r w:rsidRPr="00FE3F3D">
        <w:rPr>
          <w:rFonts w:ascii="Arial" w:hAnsi="Arial" w:cs="Arial"/>
          <w:sz w:val="24"/>
          <w:szCs w:val="24"/>
        </w:rPr>
        <w:t>do 30. října 201</w:t>
      </w:r>
      <w:r>
        <w:rPr>
          <w:rFonts w:ascii="Arial" w:hAnsi="Arial" w:cs="Arial"/>
          <w:sz w:val="24"/>
          <w:szCs w:val="24"/>
        </w:rPr>
        <w:t>6</w:t>
      </w:r>
      <w:r w:rsidRPr="00FE3F3D">
        <w:rPr>
          <w:rFonts w:ascii="Arial" w:hAnsi="Arial" w:cs="Arial"/>
          <w:sz w:val="24"/>
          <w:szCs w:val="24"/>
        </w:rPr>
        <w:t xml:space="preserve"> – poskytovatel</w:t>
      </w:r>
      <w:r w:rsidR="00611E5F">
        <w:rPr>
          <w:rFonts w:ascii="Arial" w:hAnsi="Arial" w:cs="Arial"/>
          <w:sz w:val="24"/>
          <w:szCs w:val="24"/>
        </w:rPr>
        <w:t>é předložili</w:t>
      </w:r>
      <w:r w:rsidRPr="00FE3F3D">
        <w:rPr>
          <w:rFonts w:ascii="Arial" w:hAnsi="Arial" w:cs="Arial"/>
          <w:sz w:val="24"/>
          <w:szCs w:val="24"/>
        </w:rPr>
        <w:t xml:space="preserve"> Radě </w:t>
      </w:r>
      <w:r w:rsidR="00611E5F">
        <w:rPr>
          <w:rFonts w:ascii="Arial" w:hAnsi="Arial" w:cs="Arial"/>
          <w:sz w:val="24"/>
          <w:szCs w:val="24"/>
        </w:rPr>
        <w:t>jimi provedená závěrečná hodnocení ukončených programů výzkumu, vývoje a inovací (dále jen „VaVaI“) ukončených v roce 2015</w:t>
      </w:r>
      <w:r>
        <w:rPr>
          <w:rFonts w:ascii="Arial" w:hAnsi="Arial" w:cs="Arial"/>
          <w:sz w:val="24"/>
          <w:szCs w:val="24"/>
        </w:rPr>
        <w:t>;</w:t>
      </w:r>
    </w:p>
    <w:p w:rsidR="00806A62" w:rsidRPr="00FE3F3D" w:rsidRDefault="00611E5F" w:rsidP="00806A62">
      <w:pPr>
        <w:pStyle w:val="Odstavecseseznamem"/>
        <w:numPr>
          <w:ilvl w:val="0"/>
          <w:numId w:val="2"/>
        </w:numPr>
        <w:tabs>
          <w:tab w:val="left" w:pos="0"/>
        </w:tabs>
        <w:spacing w:after="120" w:line="240" w:lineRule="auto"/>
        <w:ind w:left="0" w:firstLine="709"/>
        <w:contextualSpacing w:val="0"/>
        <w:jc w:val="both"/>
        <w:rPr>
          <w:rFonts w:ascii="Arial" w:hAnsi="Arial" w:cs="Arial"/>
          <w:sz w:val="24"/>
          <w:szCs w:val="24"/>
        </w:rPr>
      </w:pPr>
      <w:r>
        <w:rPr>
          <w:rFonts w:ascii="Arial" w:hAnsi="Arial" w:cs="Arial"/>
          <w:sz w:val="24"/>
          <w:szCs w:val="24"/>
        </w:rPr>
        <w:t>n</w:t>
      </w:r>
      <w:r w:rsidR="00806A62" w:rsidRPr="00FE3F3D">
        <w:rPr>
          <w:rFonts w:ascii="Arial" w:hAnsi="Arial" w:cs="Arial"/>
          <w:sz w:val="24"/>
          <w:szCs w:val="24"/>
        </w:rPr>
        <w:t xml:space="preserve">ásledně </w:t>
      </w:r>
      <w:r w:rsidR="00806A62">
        <w:rPr>
          <w:rFonts w:ascii="Arial" w:hAnsi="Arial" w:cs="Arial"/>
          <w:sz w:val="24"/>
          <w:szCs w:val="24"/>
        </w:rPr>
        <w:t xml:space="preserve">probíhalo </w:t>
      </w:r>
      <w:r w:rsidR="00806A62" w:rsidRPr="00FE3F3D">
        <w:rPr>
          <w:rFonts w:ascii="Arial" w:hAnsi="Arial" w:cs="Arial"/>
          <w:sz w:val="24"/>
          <w:szCs w:val="24"/>
        </w:rPr>
        <w:t>zpracování materiálu „Souhrnné vyhodnocení výsledků programů výzkumu, vývoje a inovací ukončených v roce 201</w:t>
      </w:r>
      <w:r w:rsidR="00806A62">
        <w:rPr>
          <w:rFonts w:ascii="Arial" w:hAnsi="Arial" w:cs="Arial"/>
          <w:sz w:val="24"/>
          <w:szCs w:val="24"/>
        </w:rPr>
        <w:t>5</w:t>
      </w:r>
      <w:r w:rsidR="00806A62" w:rsidRPr="00FE3F3D">
        <w:rPr>
          <w:rFonts w:ascii="Arial" w:hAnsi="Arial" w:cs="Arial"/>
          <w:sz w:val="24"/>
          <w:szCs w:val="24"/>
        </w:rPr>
        <w:t>“</w:t>
      </w:r>
      <w:r w:rsidR="00806A62">
        <w:rPr>
          <w:rFonts w:ascii="Arial" w:hAnsi="Arial" w:cs="Arial"/>
          <w:sz w:val="24"/>
          <w:szCs w:val="24"/>
        </w:rPr>
        <w:t xml:space="preserve">, který byl </w:t>
      </w:r>
      <w:r w:rsidR="00806A62" w:rsidRPr="00FE3F3D">
        <w:rPr>
          <w:rFonts w:ascii="Arial" w:hAnsi="Arial" w:cs="Arial"/>
          <w:sz w:val="24"/>
          <w:szCs w:val="24"/>
        </w:rPr>
        <w:t>předložen na zasedání Rady a do meziresortního připomínkového řízení;</w:t>
      </w:r>
    </w:p>
    <w:p w:rsidR="00806A62" w:rsidRDefault="00806A62" w:rsidP="00806A62">
      <w:pPr>
        <w:pStyle w:val="Odstavecseseznamem"/>
        <w:numPr>
          <w:ilvl w:val="0"/>
          <w:numId w:val="2"/>
        </w:numPr>
        <w:spacing w:after="120" w:line="240" w:lineRule="auto"/>
        <w:ind w:left="0" w:firstLine="709"/>
        <w:contextualSpacing w:val="0"/>
        <w:jc w:val="both"/>
        <w:rPr>
          <w:rFonts w:ascii="Arial" w:hAnsi="Arial" w:cs="Arial"/>
          <w:sz w:val="24"/>
          <w:szCs w:val="24"/>
        </w:rPr>
      </w:pPr>
      <w:r w:rsidRPr="000D4E73">
        <w:rPr>
          <w:rFonts w:ascii="Arial" w:hAnsi="Arial" w:cs="Arial"/>
          <w:sz w:val="24"/>
          <w:szCs w:val="24"/>
        </w:rPr>
        <w:t>do 30. dubna 201</w:t>
      </w:r>
      <w:r>
        <w:rPr>
          <w:rFonts w:ascii="Arial" w:hAnsi="Arial" w:cs="Arial"/>
          <w:sz w:val="24"/>
          <w:szCs w:val="24"/>
        </w:rPr>
        <w:t>7</w:t>
      </w:r>
      <w:r w:rsidRPr="000D4E73">
        <w:rPr>
          <w:rFonts w:ascii="Arial" w:hAnsi="Arial" w:cs="Arial"/>
          <w:sz w:val="24"/>
          <w:szCs w:val="24"/>
        </w:rPr>
        <w:t xml:space="preserve"> </w:t>
      </w:r>
      <w:r>
        <w:rPr>
          <w:rFonts w:ascii="Arial" w:hAnsi="Arial" w:cs="Arial"/>
          <w:sz w:val="24"/>
          <w:szCs w:val="24"/>
        </w:rPr>
        <w:t xml:space="preserve">- </w:t>
      </w:r>
      <w:r w:rsidRPr="000D4E73">
        <w:rPr>
          <w:rFonts w:ascii="Arial" w:hAnsi="Arial" w:cs="Arial"/>
          <w:sz w:val="24"/>
          <w:szCs w:val="24"/>
        </w:rPr>
        <w:t xml:space="preserve"> předložen</w:t>
      </w:r>
      <w:r>
        <w:rPr>
          <w:rFonts w:ascii="Arial" w:hAnsi="Arial" w:cs="Arial"/>
          <w:sz w:val="24"/>
          <w:szCs w:val="24"/>
        </w:rPr>
        <w:t>í dokumentu</w:t>
      </w:r>
      <w:r w:rsidRPr="000D4E73">
        <w:rPr>
          <w:rFonts w:ascii="Arial" w:hAnsi="Arial" w:cs="Arial"/>
          <w:sz w:val="24"/>
          <w:szCs w:val="24"/>
        </w:rPr>
        <w:t xml:space="preserve"> vládě ke schválení.</w:t>
      </w:r>
    </w:p>
    <w:p w:rsidR="004873C9" w:rsidRPr="00C04996" w:rsidRDefault="004873C9" w:rsidP="00A0489A">
      <w:pPr>
        <w:pStyle w:val="Nadpis3"/>
        <w:numPr>
          <w:ilvl w:val="2"/>
          <w:numId w:val="9"/>
        </w:numPr>
        <w:rPr>
          <w:rFonts w:cs="Arial"/>
        </w:rPr>
      </w:pPr>
      <w:r w:rsidRPr="00C04996">
        <w:rPr>
          <w:rFonts w:cs="Arial"/>
        </w:rPr>
        <w:t>Výchozí údaje</w:t>
      </w:r>
    </w:p>
    <w:p w:rsidR="00FA4AF6" w:rsidRPr="00FA4AF6" w:rsidRDefault="004873C9" w:rsidP="00FA4AF6">
      <w:pPr>
        <w:spacing w:after="120" w:line="240" w:lineRule="auto"/>
        <w:jc w:val="both"/>
        <w:rPr>
          <w:rFonts w:ascii="Arial" w:hAnsi="Arial" w:cs="Arial"/>
          <w:sz w:val="24"/>
          <w:szCs w:val="24"/>
        </w:rPr>
      </w:pPr>
      <w:r w:rsidRPr="00FA4AF6">
        <w:rPr>
          <w:rFonts w:ascii="Arial" w:hAnsi="Arial" w:cs="Arial"/>
          <w:sz w:val="24"/>
          <w:szCs w:val="24"/>
        </w:rPr>
        <w:t xml:space="preserve">Výchozí údaje pro Souhrnné vyhodnocení pocházejí ze dvou zdrojů. </w:t>
      </w:r>
      <w:r w:rsidR="00FA4AF6" w:rsidRPr="00FA4AF6">
        <w:rPr>
          <w:rFonts w:ascii="Arial" w:hAnsi="Arial" w:cs="Arial"/>
          <w:sz w:val="24"/>
          <w:szCs w:val="24"/>
        </w:rPr>
        <w:t xml:space="preserve">Primárně bylo využito údajů, které předali jednotliví poskytovatelé do Informačního systému výzkumu, experimentálního vývoje a inovací (dále jen „IS VaVaI“), tj. do Centrální evidence projektů (CEP) a Rejstříku informací o výsledcích (RIV), a to podle § 31 zákona o podpoře výzkumu, experimentálního vývoje a inovací. </w:t>
      </w:r>
    </w:p>
    <w:p w:rsidR="00FA4AF6" w:rsidRPr="00FA4AF6" w:rsidRDefault="00FA4AF6" w:rsidP="00FA4AF6">
      <w:pPr>
        <w:spacing w:after="120" w:line="240" w:lineRule="auto"/>
        <w:jc w:val="both"/>
        <w:rPr>
          <w:rFonts w:ascii="Arial" w:hAnsi="Arial" w:cs="Arial"/>
          <w:sz w:val="24"/>
          <w:szCs w:val="24"/>
        </w:rPr>
      </w:pPr>
      <w:r w:rsidRPr="00FA4AF6">
        <w:rPr>
          <w:rFonts w:ascii="Arial" w:hAnsi="Arial" w:cs="Arial"/>
          <w:sz w:val="24"/>
          <w:szCs w:val="24"/>
        </w:rPr>
        <w:t>Současně bylo využito informací, které Radě předložili poskytovatelé v Závěrečných hodnoceních programů předložených formou zpráv o jimi provedeném hodnocení výsledků ukončených programů. Tyto zprávy byli poskytovatelé povinni zpracovat podle Metodiky hodnocení ve struktuře jí stanovenou a předložit je Radě do 30. října 2016.</w:t>
      </w:r>
    </w:p>
    <w:p w:rsidR="004873C9" w:rsidRDefault="004873C9" w:rsidP="004873C9">
      <w:pPr>
        <w:spacing w:after="120" w:line="240" w:lineRule="auto"/>
        <w:jc w:val="both"/>
        <w:rPr>
          <w:rFonts w:ascii="Arial" w:hAnsi="Arial" w:cs="Arial"/>
          <w:sz w:val="24"/>
          <w:szCs w:val="24"/>
        </w:rPr>
      </w:pPr>
      <w:r>
        <w:rPr>
          <w:rFonts w:ascii="Arial" w:hAnsi="Arial" w:cs="Arial"/>
          <w:sz w:val="24"/>
          <w:szCs w:val="24"/>
        </w:rPr>
        <w:t>V Souhrnné</w:t>
      </w:r>
      <w:r w:rsidR="00C741F8">
        <w:rPr>
          <w:rFonts w:ascii="Arial" w:hAnsi="Arial" w:cs="Arial"/>
          <w:sz w:val="24"/>
          <w:szCs w:val="24"/>
        </w:rPr>
        <w:t>m</w:t>
      </w:r>
      <w:r>
        <w:rPr>
          <w:rFonts w:ascii="Arial" w:hAnsi="Arial" w:cs="Arial"/>
          <w:sz w:val="24"/>
          <w:szCs w:val="24"/>
        </w:rPr>
        <w:t xml:space="preserve"> vyhodnocení Rada neprovádí hodnocení jednotlivých projektů, které jsou v rámci programů řešeny, protože to je podle zákona o podpoře výzkumu, experimentálního vývoje a inovací pouze v kompetenci příslušných poskytovatelů podpory.</w:t>
      </w:r>
    </w:p>
    <w:p w:rsidR="004873C9" w:rsidRDefault="004873C9" w:rsidP="004873C9">
      <w:pPr>
        <w:autoSpaceDE w:val="0"/>
        <w:autoSpaceDN w:val="0"/>
        <w:adjustRightInd w:val="0"/>
        <w:spacing w:after="120" w:line="240" w:lineRule="auto"/>
        <w:jc w:val="both"/>
        <w:rPr>
          <w:rFonts w:ascii="Arial" w:hAnsi="Arial" w:cs="Arial"/>
          <w:sz w:val="24"/>
          <w:szCs w:val="24"/>
        </w:rPr>
      </w:pPr>
      <w:bookmarkStart w:id="1" w:name="_Toc461902533"/>
      <w:bookmarkStart w:id="2" w:name="_Toc461902657"/>
      <w:bookmarkEnd w:id="1"/>
      <w:bookmarkEnd w:id="2"/>
      <w:r>
        <w:rPr>
          <w:rFonts w:ascii="Arial" w:hAnsi="Arial" w:cs="Arial"/>
          <w:sz w:val="24"/>
          <w:szCs w:val="24"/>
        </w:rPr>
        <w:t xml:space="preserve">V </w:t>
      </w:r>
      <w:r w:rsidRPr="009E196F">
        <w:rPr>
          <w:rFonts w:ascii="Arial" w:hAnsi="Arial" w:cs="Arial"/>
          <w:sz w:val="24"/>
          <w:szCs w:val="24"/>
        </w:rPr>
        <w:t xml:space="preserve">roce 2015 byly ukončeny dva programy výzkumu, vývoje a inovací. </w:t>
      </w:r>
    </w:p>
    <w:p w:rsidR="004873C9" w:rsidRDefault="004873C9" w:rsidP="00F93762">
      <w:pPr>
        <w:pStyle w:val="Odstavecseseznamem"/>
        <w:numPr>
          <w:ilvl w:val="0"/>
          <w:numId w:val="6"/>
        </w:numPr>
        <w:autoSpaceDE w:val="0"/>
        <w:autoSpaceDN w:val="0"/>
        <w:adjustRightInd w:val="0"/>
        <w:spacing w:after="120" w:line="240" w:lineRule="auto"/>
        <w:jc w:val="both"/>
        <w:rPr>
          <w:rFonts w:ascii="Arial" w:hAnsi="Arial" w:cs="Arial"/>
          <w:sz w:val="24"/>
          <w:szCs w:val="24"/>
        </w:rPr>
      </w:pPr>
      <w:r>
        <w:rPr>
          <w:rFonts w:ascii="Arial" w:hAnsi="Arial" w:cs="Arial"/>
          <w:sz w:val="24"/>
          <w:szCs w:val="24"/>
        </w:rPr>
        <w:t>P</w:t>
      </w:r>
      <w:r w:rsidRPr="00444DF6">
        <w:rPr>
          <w:rFonts w:ascii="Arial" w:hAnsi="Arial" w:cs="Arial"/>
          <w:sz w:val="24"/>
          <w:szCs w:val="24"/>
        </w:rPr>
        <w:t>rogram administrovaný Ministerstvem vnitra (dále jen „MV“) s názvem „Bezpečnostní výzkum ČR 2010 – 2015</w:t>
      </w:r>
      <w:r>
        <w:rPr>
          <w:rFonts w:ascii="Arial" w:hAnsi="Arial" w:cs="Arial"/>
          <w:sz w:val="24"/>
          <w:szCs w:val="24"/>
        </w:rPr>
        <w:t>“</w:t>
      </w:r>
      <w:r w:rsidRPr="00444DF6">
        <w:rPr>
          <w:rFonts w:ascii="Arial" w:hAnsi="Arial" w:cs="Arial"/>
          <w:sz w:val="24"/>
          <w:szCs w:val="24"/>
        </w:rPr>
        <w:t xml:space="preserve"> (dále jen „Bezpečnostní výzkum“), schválený usnesením vlády ze dne 12. ledna 2009 </w:t>
      </w:r>
      <w:r w:rsidRPr="00444DF6">
        <w:rPr>
          <w:rFonts w:ascii="Arial" w:eastAsia="TimesNewRoman" w:hAnsi="Arial" w:cs="Arial"/>
          <w:sz w:val="24"/>
          <w:szCs w:val="24"/>
        </w:rPr>
        <w:t>č</w:t>
      </w:r>
      <w:r w:rsidRPr="00444DF6">
        <w:rPr>
          <w:rFonts w:ascii="Arial" w:hAnsi="Arial" w:cs="Arial"/>
          <w:sz w:val="24"/>
          <w:szCs w:val="24"/>
        </w:rPr>
        <w:t xml:space="preserve">. 50. </w:t>
      </w:r>
    </w:p>
    <w:p w:rsidR="004873C9" w:rsidRPr="00444DF6" w:rsidRDefault="004873C9" w:rsidP="00F93762">
      <w:pPr>
        <w:pStyle w:val="Odstavecseseznamem"/>
        <w:numPr>
          <w:ilvl w:val="0"/>
          <w:numId w:val="6"/>
        </w:numPr>
        <w:autoSpaceDE w:val="0"/>
        <w:autoSpaceDN w:val="0"/>
        <w:adjustRightInd w:val="0"/>
        <w:spacing w:after="120" w:line="240" w:lineRule="auto"/>
        <w:jc w:val="both"/>
        <w:rPr>
          <w:rFonts w:ascii="Arial" w:hAnsi="Arial" w:cs="Arial"/>
          <w:sz w:val="24"/>
          <w:szCs w:val="24"/>
        </w:rPr>
      </w:pPr>
      <w:r w:rsidRPr="00444DF6">
        <w:rPr>
          <w:rFonts w:ascii="Arial" w:hAnsi="Arial" w:cs="Arial"/>
          <w:sz w:val="24"/>
          <w:szCs w:val="24"/>
        </w:rPr>
        <w:t>„Resortní program výzkumu a vývoje Ministerstva zdravotnictví III na léta 2010 – 2015“ (dále jen „Zdravotnický výzkum“). Tento program administrovalo Ministerstvo zdravotnictví (dále jen „MZ“) a byl schválen usnesením vlády ze</w:t>
      </w:r>
      <w:r w:rsidR="00BF1DC1">
        <w:rPr>
          <w:rFonts w:ascii="Arial" w:hAnsi="Arial" w:cs="Arial"/>
          <w:sz w:val="24"/>
          <w:szCs w:val="24"/>
        </w:rPr>
        <w:t> </w:t>
      </w:r>
      <w:r w:rsidRPr="00444DF6">
        <w:rPr>
          <w:rFonts w:ascii="Arial" w:hAnsi="Arial" w:cs="Arial"/>
          <w:sz w:val="24"/>
          <w:szCs w:val="24"/>
        </w:rPr>
        <w:t xml:space="preserve">dne 31. srpna 2009 </w:t>
      </w:r>
      <w:r w:rsidRPr="00444DF6">
        <w:rPr>
          <w:rFonts w:ascii="Arial" w:eastAsia="TimesNewRoman" w:hAnsi="Arial" w:cs="Arial"/>
          <w:sz w:val="24"/>
          <w:szCs w:val="24"/>
        </w:rPr>
        <w:t>č</w:t>
      </w:r>
      <w:r w:rsidRPr="00444DF6">
        <w:rPr>
          <w:rFonts w:ascii="Arial" w:hAnsi="Arial" w:cs="Arial"/>
          <w:sz w:val="24"/>
          <w:szCs w:val="24"/>
        </w:rPr>
        <w:t xml:space="preserve">. 1133. </w:t>
      </w:r>
    </w:p>
    <w:p w:rsidR="004873C9" w:rsidRPr="00216961" w:rsidRDefault="004873C9" w:rsidP="004873C9">
      <w:pPr>
        <w:spacing w:after="120" w:line="240" w:lineRule="auto"/>
        <w:jc w:val="both"/>
        <w:rPr>
          <w:rFonts w:ascii="Arial" w:hAnsi="Arial" w:cs="Arial"/>
          <w:sz w:val="24"/>
          <w:szCs w:val="24"/>
        </w:rPr>
      </w:pPr>
      <w:r w:rsidRPr="00216961">
        <w:rPr>
          <w:rFonts w:ascii="Arial" w:hAnsi="Arial" w:cs="Arial"/>
          <w:sz w:val="24"/>
          <w:szCs w:val="24"/>
        </w:rPr>
        <w:t>Projekty hodnocených programů MV a MZ byly zadávány prostřednictvím veřejných soutěží ve výzkumu, experimentálním vývoji a inovacích</w:t>
      </w:r>
      <w:r w:rsidR="00CD711E">
        <w:rPr>
          <w:rFonts w:ascii="Arial" w:hAnsi="Arial" w:cs="Arial"/>
          <w:sz w:val="24"/>
          <w:szCs w:val="24"/>
        </w:rPr>
        <w:t>.</w:t>
      </w:r>
      <w:r w:rsidRPr="00216961">
        <w:rPr>
          <w:rFonts w:ascii="Arial" w:hAnsi="Arial" w:cs="Arial"/>
          <w:sz w:val="24"/>
          <w:szCs w:val="24"/>
        </w:rPr>
        <w:t xml:space="preserve">  </w:t>
      </w:r>
    </w:p>
    <w:p w:rsidR="00C741F8" w:rsidRDefault="004873C9" w:rsidP="00CD711E">
      <w:pPr>
        <w:keepNext/>
        <w:keepLines/>
        <w:spacing w:after="120" w:line="240" w:lineRule="auto"/>
        <w:jc w:val="both"/>
      </w:pPr>
      <w:r w:rsidRPr="00216961">
        <w:rPr>
          <w:rFonts w:ascii="Arial" w:hAnsi="Arial" w:cs="Arial"/>
          <w:sz w:val="24"/>
          <w:szCs w:val="24"/>
        </w:rPr>
        <w:t>Základní údaje o hodnocených programech jsou uvedeny v Tabulce č. 1.</w:t>
      </w:r>
    </w:p>
    <w:p w:rsidR="004873C9" w:rsidRPr="00216961" w:rsidRDefault="004873C9" w:rsidP="004873C9">
      <w:pPr>
        <w:keepNext/>
        <w:spacing w:after="120" w:line="240" w:lineRule="auto"/>
        <w:jc w:val="both"/>
        <w:rPr>
          <w:rFonts w:ascii="Arial" w:hAnsi="Arial" w:cs="Arial"/>
          <w:b/>
          <w:sz w:val="24"/>
          <w:szCs w:val="24"/>
        </w:rPr>
      </w:pPr>
      <w:r w:rsidRPr="00216961">
        <w:rPr>
          <w:rFonts w:ascii="Arial" w:hAnsi="Arial" w:cs="Arial"/>
          <w:b/>
          <w:sz w:val="24"/>
          <w:szCs w:val="24"/>
        </w:rPr>
        <w:t xml:space="preserve">Tabulka 1: </w:t>
      </w:r>
      <w:r w:rsidRPr="00216961">
        <w:rPr>
          <w:rFonts w:ascii="Arial" w:hAnsi="Arial" w:cs="Arial"/>
          <w:sz w:val="24"/>
          <w:szCs w:val="24"/>
        </w:rPr>
        <w:t>Základní údaje o programech MV a MZ ukončených v roce 2015</w:t>
      </w:r>
      <w:r w:rsidRPr="00216961">
        <w:rPr>
          <w:rFonts w:ascii="Arial" w:hAnsi="Arial" w:cs="Arial"/>
          <w:b/>
          <w:sz w:val="24"/>
          <w:szCs w:val="24"/>
        </w:rPr>
        <w:t xml:space="preserve"> </w:t>
      </w:r>
    </w:p>
    <w:tbl>
      <w:tblPr>
        <w:tblW w:w="9700" w:type="dxa"/>
        <w:tblInd w:w="-63" w:type="dxa"/>
        <w:tblLayout w:type="fixed"/>
        <w:tblCellMar>
          <w:left w:w="70" w:type="dxa"/>
          <w:right w:w="70" w:type="dxa"/>
        </w:tblCellMar>
        <w:tblLook w:val="04A0" w:firstRow="1" w:lastRow="0" w:firstColumn="1" w:lastColumn="0" w:noHBand="0" w:noVBand="1"/>
      </w:tblPr>
      <w:tblGrid>
        <w:gridCol w:w="2256"/>
        <w:gridCol w:w="708"/>
        <w:gridCol w:w="5246"/>
        <w:gridCol w:w="720"/>
        <w:gridCol w:w="770"/>
      </w:tblGrid>
      <w:tr w:rsidR="004873C9" w:rsidRPr="00216961" w:rsidTr="00531673">
        <w:trPr>
          <w:cantSplit/>
        </w:trPr>
        <w:tc>
          <w:tcPr>
            <w:tcW w:w="2256" w:type="dxa"/>
            <w:vMerge w:val="restart"/>
            <w:tcBorders>
              <w:top w:val="single" w:sz="12" w:space="0" w:color="auto"/>
              <w:left w:val="single" w:sz="12" w:space="0" w:color="auto"/>
              <w:bottom w:val="double" w:sz="2" w:space="0" w:color="000000"/>
              <w:right w:val="single" w:sz="12" w:space="0" w:color="auto"/>
            </w:tcBorders>
            <w:shd w:val="clear" w:color="auto" w:fill="EEECE1" w:themeFill="background2"/>
            <w:vAlign w:val="center"/>
            <w:hideMark/>
          </w:tcPr>
          <w:p w:rsidR="004873C9" w:rsidRPr="00216961" w:rsidRDefault="004873C9" w:rsidP="004873C9">
            <w:pPr>
              <w:suppressAutoHyphens/>
              <w:snapToGrid w:val="0"/>
              <w:spacing w:after="120" w:line="240" w:lineRule="auto"/>
              <w:jc w:val="center"/>
              <w:rPr>
                <w:rFonts w:ascii="Arial" w:hAnsi="Arial" w:cs="Arial"/>
                <w:b/>
                <w:sz w:val="24"/>
                <w:szCs w:val="24"/>
                <w:lang w:eastAsia="zh-CN"/>
              </w:rPr>
            </w:pPr>
            <w:r w:rsidRPr="00216961">
              <w:rPr>
                <w:rFonts w:ascii="Arial" w:hAnsi="Arial" w:cs="Arial"/>
                <w:b/>
                <w:sz w:val="24"/>
                <w:szCs w:val="24"/>
              </w:rPr>
              <w:t>Poskytovatel</w:t>
            </w:r>
          </w:p>
        </w:tc>
        <w:tc>
          <w:tcPr>
            <w:tcW w:w="5954" w:type="dxa"/>
            <w:gridSpan w:val="2"/>
            <w:tcBorders>
              <w:top w:val="single" w:sz="12" w:space="0" w:color="auto"/>
              <w:left w:val="single" w:sz="12" w:space="0" w:color="auto"/>
              <w:bottom w:val="single" w:sz="4" w:space="0" w:color="000000"/>
              <w:right w:val="single" w:sz="12" w:space="0" w:color="auto"/>
            </w:tcBorders>
            <w:shd w:val="clear" w:color="auto" w:fill="EEECE1" w:themeFill="background2"/>
            <w:vAlign w:val="center"/>
            <w:hideMark/>
          </w:tcPr>
          <w:p w:rsidR="004873C9" w:rsidRPr="00216961" w:rsidRDefault="004873C9" w:rsidP="004873C9">
            <w:pPr>
              <w:suppressAutoHyphens/>
              <w:snapToGrid w:val="0"/>
              <w:spacing w:after="120" w:line="240" w:lineRule="auto"/>
              <w:jc w:val="center"/>
              <w:rPr>
                <w:rFonts w:ascii="Arial" w:hAnsi="Arial" w:cs="Arial"/>
                <w:b/>
                <w:sz w:val="24"/>
                <w:szCs w:val="24"/>
                <w:lang w:eastAsia="zh-CN"/>
              </w:rPr>
            </w:pPr>
            <w:r w:rsidRPr="00216961">
              <w:rPr>
                <w:rFonts w:ascii="Arial" w:hAnsi="Arial" w:cs="Arial"/>
                <w:b/>
                <w:sz w:val="24"/>
                <w:szCs w:val="24"/>
              </w:rPr>
              <w:t>Program</w:t>
            </w:r>
          </w:p>
        </w:tc>
        <w:tc>
          <w:tcPr>
            <w:tcW w:w="1490" w:type="dxa"/>
            <w:gridSpan w:val="2"/>
            <w:tcBorders>
              <w:top w:val="single" w:sz="12" w:space="0" w:color="auto"/>
              <w:left w:val="single" w:sz="12" w:space="0" w:color="auto"/>
              <w:bottom w:val="single" w:sz="4" w:space="0" w:color="000000"/>
              <w:right w:val="single" w:sz="12" w:space="0" w:color="auto"/>
            </w:tcBorders>
            <w:shd w:val="clear" w:color="auto" w:fill="EEECE1" w:themeFill="background2"/>
            <w:vAlign w:val="center"/>
            <w:hideMark/>
          </w:tcPr>
          <w:p w:rsidR="004873C9" w:rsidRPr="00216961" w:rsidRDefault="004873C9" w:rsidP="004873C9">
            <w:pPr>
              <w:suppressAutoHyphens/>
              <w:snapToGrid w:val="0"/>
              <w:spacing w:after="120" w:line="240" w:lineRule="auto"/>
              <w:jc w:val="center"/>
              <w:rPr>
                <w:rFonts w:ascii="Arial" w:hAnsi="Arial" w:cs="Arial"/>
                <w:b/>
                <w:sz w:val="24"/>
                <w:szCs w:val="24"/>
                <w:lang w:eastAsia="zh-CN"/>
              </w:rPr>
            </w:pPr>
            <w:r w:rsidRPr="00216961">
              <w:rPr>
                <w:rFonts w:ascii="Arial" w:hAnsi="Arial" w:cs="Arial"/>
                <w:b/>
                <w:sz w:val="24"/>
                <w:szCs w:val="24"/>
              </w:rPr>
              <w:t>Trvání programu</w:t>
            </w:r>
          </w:p>
        </w:tc>
      </w:tr>
      <w:tr w:rsidR="004873C9" w:rsidRPr="00216961" w:rsidTr="00531673">
        <w:trPr>
          <w:cantSplit/>
        </w:trPr>
        <w:tc>
          <w:tcPr>
            <w:tcW w:w="2256" w:type="dxa"/>
            <w:vMerge/>
            <w:tcBorders>
              <w:top w:val="single" w:sz="4" w:space="0" w:color="000000"/>
              <w:left w:val="single" w:sz="12" w:space="0" w:color="auto"/>
              <w:bottom w:val="single" w:sz="12" w:space="0" w:color="auto"/>
              <w:right w:val="single" w:sz="12" w:space="0" w:color="auto"/>
            </w:tcBorders>
            <w:shd w:val="clear" w:color="auto" w:fill="EEECE1" w:themeFill="background2"/>
            <w:vAlign w:val="center"/>
            <w:hideMark/>
          </w:tcPr>
          <w:p w:rsidR="004873C9" w:rsidRPr="00216961" w:rsidRDefault="004873C9" w:rsidP="004873C9">
            <w:pPr>
              <w:spacing w:after="120" w:line="240" w:lineRule="auto"/>
              <w:rPr>
                <w:rFonts w:ascii="Arial" w:hAnsi="Arial" w:cs="Arial"/>
                <w:b/>
                <w:sz w:val="24"/>
                <w:szCs w:val="24"/>
                <w:lang w:eastAsia="zh-CN"/>
              </w:rPr>
            </w:pPr>
          </w:p>
        </w:tc>
        <w:tc>
          <w:tcPr>
            <w:tcW w:w="708"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hideMark/>
          </w:tcPr>
          <w:p w:rsidR="004873C9" w:rsidRPr="00216961" w:rsidRDefault="004873C9" w:rsidP="004873C9">
            <w:pPr>
              <w:suppressAutoHyphens/>
              <w:snapToGrid w:val="0"/>
              <w:spacing w:after="120" w:line="240" w:lineRule="auto"/>
              <w:jc w:val="center"/>
              <w:rPr>
                <w:rFonts w:ascii="Arial" w:hAnsi="Arial" w:cs="Arial"/>
                <w:b/>
                <w:sz w:val="24"/>
                <w:szCs w:val="24"/>
                <w:lang w:eastAsia="zh-CN"/>
              </w:rPr>
            </w:pPr>
            <w:r w:rsidRPr="00216961">
              <w:rPr>
                <w:rFonts w:ascii="Arial" w:hAnsi="Arial" w:cs="Arial"/>
                <w:b/>
                <w:sz w:val="24"/>
                <w:szCs w:val="24"/>
              </w:rPr>
              <w:t>Kód</w:t>
            </w:r>
          </w:p>
        </w:tc>
        <w:tc>
          <w:tcPr>
            <w:tcW w:w="5246" w:type="dxa"/>
            <w:tcBorders>
              <w:top w:val="single" w:sz="12" w:space="0" w:color="auto"/>
              <w:left w:val="single" w:sz="12" w:space="0" w:color="auto"/>
              <w:bottom w:val="single" w:sz="12" w:space="0" w:color="auto"/>
              <w:right w:val="nil"/>
            </w:tcBorders>
            <w:shd w:val="clear" w:color="auto" w:fill="EEECE1" w:themeFill="background2"/>
            <w:vAlign w:val="center"/>
            <w:hideMark/>
          </w:tcPr>
          <w:p w:rsidR="004873C9" w:rsidRPr="00216961" w:rsidRDefault="004873C9" w:rsidP="004873C9">
            <w:pPr>
              <w:suppressAutoHyphens/>
              <w:snapToGrid w:val="0"/>
              <w:spacing w:after="120" w:line="240" w:lineRule="auto"/>
              <w:jc w:val="center"/>
              <w:rPr>
                <w:rFonts w:ascii="Arial" w:hAnsi="Arial" w:cs="Arial"/>
                <w:b/>
                <w:sz w:val="24"/>
                <w:szCs w:val="24"/>
                <w:lang w:eastAsia="zh-CN"/>
              </w:rPr>
            </w:pPr>
            <w:r w:rsidRPr="00216961">
              <w:rPr>
                <w:rFonts w:ascii="Arial" w:hAnsi="Arial" w:cs="Arial"/>
                <w:b/>
                <w:sz w:val="24"/>
                <w:szCs w:val="24"/>
              </w:rPr>
              <w:t>Název</w:t>
            </w:r>
          </w:p>
        </w:tc>
        <w:tc>
          <w:tcPr>
            <w:tcW w:w="720" w:type="dxa"/>
            <w:tcBorders>
              <w:top w:val="single" w:sz="12" w:space="0" w:color="auto"/>
              <w:left w:val="single" w:sz="4" w:space="0" w:color="000000"/>
              <w:bottom w:val="single" w:sz="12" w:space="0" w:color="auto"/>
              <w:right w:val="single" w:sz="12" w:space="0" w:color="auto"/>
            </w:tcBorders>
            <w:shd w:val="clear" w:color="auto" w:fill="EEECE1" w:themeFill="background2"/>
            <w:vAlign w:val="center"/>
            <w:hideMark/>
          </w:tcPr>
          <w:p w:rsidR="004873C9" w:rsidRPr="00216961" w:rsidRDefault="004873C9" w:rsidP="004873C9">
            <w:pPr>
              <w:suppressAutoHyphens/>
              <w:snapToGrid w:val="0"/>
              <w:spacing w:after="120" w:line="240" w:lineRule="auto"/>
              <w:jc w:val="center"/>
              <w:rPr>
                <w:rFonts w:ascii="Arial" w:hAnsi="Arial" w:cs="Arial"/>
                <w:b/>
                <w:sz w:val="24"/>
                <w:szCs w:val="24"/>
                <w:lang w:eastAsia="zh-CN"/>
              </w:rPr>
            </w:pPr>
            <w:r w:rsidRPr="00216961">
              <w:rPr>
                <w:rFonts w:ascii="Arial" w:hAnsi="Arial" w:cs="Arial"/>
                <w:b/>
                <w:sz w:val="24"/>
                <w:szCs w:val="24"/>
              </w:rPr>
              <w:t>od</w:t>
            </w:r>
          </w:p>
        </w:tc>
        <w:tc>
          <w:tcPr>
            <w:tcW w:w="770" w:type="dxa"/>
            <w:tcBorders>
              <w:top w:val="single" w:sz="12" w:space="0" w:color="auto"/>
              <w:left w:val="single" w:sz="12" w:space="0" w:color="auto"/>
              <w:bottom w:val="single" w:sz="12" w:space="0" w:color="auto"/>
              <w:right w:val="single" w:sz="4" w:space="0" w:color="000000"/>
            </w:tcBorders>
            <w:shd w:val="clear" w:color="auto" w:fill="EEECE1" w:themeFill="background2"/>
            <w:vAlign w:val="center"/>
            <w:hideMark/>
          </w:tcPr>
          <w:p w:rsidR="004873C9" w:rsidRPr="00216961" w:rsidRDefault="004873C9" w:rsidP="004873C9">
            <w:pPr>
              <w:suppressAutoHyphens/>
              <w:snapToGrid w:val="0"/>
              <w:spacing w:after="120" w:line="240" w:lineRule="auto"/>
              <w:jc w:val="center"/>
              <w:rPr>
                <w:rFonts w:ascii="Arial" w:hAnsi="Arial" w:cs="Arial"/>
                <w:b/>
                <w:sz w:val="24"/>
                <w:szCs w:val="24"/>
                <w:lang w:eastAsia="zh-CN"/>
              </w:rPr>
            </w:pPr>
            <w:r w:rsidRPr="00216961">
              <w:rPr>
                <w:rFonts w:ascii="Arial" w:hAnsi="Arial" w:cs="Arial"/>
                <w:b/>
                <w:sz w:val="24"/>
                <w:szCs w:val="24"/>
              </w:rPr>
              <w:t>do</w:t>
            </w:r>
          </w:p>
        </w:tc>
      </w:tr>
      <w:tr w:rsidR="004873C9" w:rsidRPr="00216961" w:rsidTr="00531673">
        <w:tc>
          <w:tcPr>
            <w:tcW w:w="2256" w:type="dxa"/>
            <w:tcBorders>
              <w:top w:val="single" w:sz="12" w:space="0" w:color="auto"/>
              <w:left w:val="single" w:sz="4" w:space="0" w:color="000000"/>
              <w:bottom w:val="single" w:sz="4" w:space="0" w:color="000000"/>
              <w:right w:val="nil"/>
            </w:tcBorders>
            <w:vAlign w:val="center"/>
            <w:hideMark/>
          </w:tcPr>
          <w:p w:rsidR="004873C9" w:rsidRPr="00216961" w:rsidRDefault="004873C9" w:rsidP="004873C9">
            <w:pPr>
              <w:suppressAutoHyphens/>
              <w:snapToGrid w:val="0"/>
              <w:spacing w:after="120" w:line="240" w:lineRule="auto"/>
              <w:rPr>
                <w:rFonts w:ascii="Arial" w:hAnsi="Arial" w:cs="Arial"/>
                <w:sz w:val="24"/>
                <w:szCs w:val="24"/>
                <w:lang w:eastAsia="zh-CN"/>
              </w:rPr>
            </w:pPr>
            <w:r w:rsidRPr="00216961">
              <w:rPr>
                <w:rFonts w:ascii="Arial" w:hAnsi="Arial" w:cs="Arial"/>
                <w:sz w:val="24"/>
                <w:szCs w:val="24"/>
              </w:rPr>
              <w:t xml:space="preserve">Ministerstvo vnitra </w:t>
            </w:r>
          </w:p>
        </w:tc>
        <w:tc>
          <w:tcPr>
            <w:tcW w:w="708" w:type="dxa"/>
            <w:tcBorders>
              <w:top w:val="single" w:sz="12" w:space="0" w:color="auto"/>
              <w:left w:val="single" w:sz="4" w:space="0" w:color="000000"/>
              <w:bottom w:val="single" w:sz="4" w:space="0" w:color="000000"/>
              <w:right w:val="nil"/>
            </w:tcBorders>
            <w:vAlign w:val="center"/>
            <w:hideMark/>
          </w:tcPr>
          <w:p w:rsidR="004873C9" w:rsidRPr="00216961" w:rsidRDefault="004873C9" w:rsidP="004873C9">
            <w:pPr>
              <w:suppressAutoHyphens/>
              <w:snapToGrid w:val="0"/>
              <w:spacing w:after="120" w:line="240" w:lineRule="auto"/>
              <w:jc w:val="center"/>
              <w:rPr>
                <w:rFonts w:ascii="Arial" w:hAnsi="Arial" w:cs="Arial"/>
                <w:sz w:val="24"/>
                <w:szCs w:val="24"/>
                <w:lang w:eastAsia="zh-CN"/>
              </w:rPr>
            </w:pPr>
            <w:r w:rsidRPr="00216961">
              <w:rPr>
                <w:rFonts w:ascii="Arial" w:hAnsi="Arial" w:cs="Arial"/>
                <w:sz w:val="24"/>
                <w:szCs w:val="24"/>
              </w:rPr>
              <w:t>VG</w:t>
            </w:r>
          </w:p>
        </w:tc>
        <w:tc>
          <w:tcPr>
            <w:tcW w:w="5246" w:type="dxa"/>
            <w:tcBorders>
              <w:top w:val="single" w:sz="12" w:space="0" w:color="auto"/>
              <w:left w:val="single" w:sz="4" w:space="0" w:color="000000"/>
              <w:bottom w:val="single" w:sz="4" w:space="0" w:color="000000"/>
              <w:right w:val="nil"/>
            </w:tcBorders>
            <w:vAlign w:val="center"/>
            <w:hideMark/>
          </w:tcPr>
          <w:p w:rsidR="004873C9" w:rsidRPr="00216961" w:rsidRDefault="004873C9" w:rsidP="004873C9">
            <w:pPr>
              <w:suppressAutoHyphens/>
              <w:snapToGrid w:val="0"/>
              <w:spacing w:after="120" w:line="240" w:lineRule="auto"/>
              <w:jc w:val="both"/>
              <w:rPr>
                <w:rFonts w:ascii="Arial" w:hAnsi="Arial" w:cs="Arial"/>
                <w:sz w:val="24"/>
                <w:szCs w:val="24"/>
                <w:lang w:eastAsia="zh-CN"/>
              </w:rPr>
            </w:pPr>
            <w:r w:rsidRPr="00216961">
              <w:rPr>
                <w:rFonts w:ascii="Arial" w:hAnsi="Arial" w:cs="Arial"/>
                <w:sz w:val="24"/>
                <w:szCs w:val="24"/>
              </w:rPr>
              <w:t>Bezpečnostní výzkum ČR 2010-2015</w:t>
            </w:r>
          </w:p>
        </w:tc>
        <w:tc>
          <w:tcPr>
            <w:tcW w:w="720" w:type="dxa"/>
            <w:tcBorders>
              <w:top w:val="single" w:sz="12" w:space="0" w:color="auto"/>
              <w:left w:val="single" w:sz="4" w:space="0" w:color="000000"/>
              <w:bottom w:val="single" w:sz="4" w:space="0" w:color="000000"/>
              <w:right w:val="nil"/>
            </w:tcBorders>
            <w:vAlign w:val="center"/>
            <w:hideMark/>
          </w:tcPr>
          <w:p w:rsidR="004873C9" w:rsidRPr="00216961" w:rsidRDefault="004873C9" w:rsidP="004873C9">
            <w:pPr>
              <w:suppressAutoHyphens/>
              <w:snapToGrid w:val="0"/>
              <w:spacing w:after="120" w:line="240" w:lineRule="auto"/>
              <w:jc w:val="center"/>
              <w:rPr>
                <w:rFonts w:ascii="Arial" w:hAnsi="Arial" w:cs="Arial"/>
                <w:sz w:val="24"/>
                <w:szCs w:val="24"/>
                <w:lang w:eastAsia="zh-CN"/>
              </w:rPr>
            </w:pPr>
            <w:r w:rsidRPr="00216961">
              <w:rPr>
                <w:rFonts w:ascii="Arial" w:hAnsi="Arial" w:cs="Arial"/>
                <w:sz w:val="24"/>
                <w:szCs w:val="24"/>
              </w:rPr>
              <w:t>2010</w:t>
            </w:r>
          </w:p>
        </w:tc>
        <w:tc>
          <w:tcPr>
            <w:tcW w:w="770" w:type="dxa"/>
            <w:tcBorders>
              <w:top w:val="single" w:sz="12" w:space="0" w:color="auto"/>
              <w:left w:val="single" w:sz="4" w:space="0" w:color="000000"/>
              <w:bottom w:val="single" w:sz="4" w:space="0" w:color="000000"/>
              <w:right w:val="single" w:sz="4" w:space="0" w:color="000000"/>
            </w:tcBorders>
            <w:vAlign w:val="center"/>
            <w:hideMark/>
          </w:tcPr>
          <w:p w:rsidR="004873C9" w:rsidRPr="00216961" w:rsidRDefault="004873C9" w:rsidP="004873C9">
            <w:pPr>
              <w:suppressAutoHyphens/>
              <w:snapToGrid w:val="0"/>
              <w:spacing w:after="120" w:line="240" w:lineRule="auto"/>
              <w:jc w:val="center"/>
              <w:rPr>
                <w:rFonts w:ascii="Arial" w:hAnsi="Arial" w:cs="Arial"/>
                <w:sz w:val="24"/>
                <w:szCs w:val="24"/>
                <w:lang w:eastAsia="zh-CN"/>
              </w:rPr>
            </w:pPr>
            <w:r w:rsidRPr="00216961">
              <w:rPr>
                <w:rFonts w:ascii="Arial" w:hAnsi="Arial" w:cs="Arial"/>
                <w:sz w:val="24"/>
                <w:szCs w:val="24"/>
              </w:rPr>
              <w:t>2015</w:t>
            </w:r>
          </w:p>
        </w:tc>
      </w:tr>
      <w:tr w:rsidR="004873C9" w:rsidRPr="00216961" w:rsidTr="004873C9">
        <w:tc>
          <w:tcPr>
            <w:tcW w:w="2256" w:type="dxa"/>
            <w:tcBorders>
              <w:top w:val="single" w:sz="4" w:space="0" w:color="000000"/>
              <w:left w:val="single" w:sz="4" w:space="0" w:color="000000"/>
              <w:bottom w:val="single" w:sz="4" w:space="0" w:color="000000"/>
              <w:right w:val="nil"/>
            </w:tcBorders>
            <w:vAlign w:val="center"/>
          </w:tcPr>
          <w:p w:rsidR="004873C9" w:rsidRPr="00216961" w:rsidRDefault="004873C9" w:rsidP="004873C9">
            <w:pPr>
              <w:suppressAutoHyphens/>
              <w:snapToGrid w:val="0"/>
              <w:spacing w:after="120" w:line="240" w:lineRule="auto"/>
              <w:rPr>
                <w:rFonts w:ascii="Arial" w:hAnsi="Arial" w:cs="Arial"/>
                <w:sz w:val="24"/>
                <w:szCs w:val="24"/>
              </w:rPr>
            </w:pPr>
            <w:r w:rsidRPr="00216961">
              <w:rPr>
                <w:rFonts w:ascii="Arial" w:hAnsi="Arial" w:cs="Arial"/>
                <w:sz w:val="24"/>
                <w:szCs w:val="24"/>
              </w:rPr>
              <w:t>Ministerstvo zdravotnictví</w:t>
            </w:r>
          </w:p>
        </w:tc>
        <w:tc>
          <w:tcPr>
            <w:tcW w:w="708" w:type="dxa"/>
            <w:tcBorders>
              <w:top w:val="single" w:sz="4" w:space="0" w:color="000000"/>
              <w:left w:val="single" w:sz="4" w:space="0" w:color="000000"/>
              <w:bottom w:val="single" w:sz="4" w:space="0" w:color="000000"/>
              <w:right w:val="nil"/>
            </w:tcBorders>
            <w:vAlign w:val="center"/>
          </w:tcPr>
          <w:p w:rsidR="004873C9" w:rsidRPr="00216961" w:rsidRDefault="004873C9" w:rsidP="004873C9">
            <w:pPr>
              <w:suppressAutoHyphens/>
              <w:snapToGrid w:val="0"/>
              <w:spacing w:after="120" w:line="240" w:lineRule="auto"/>
              <w:jc w:val="center"/>
              <w:rPr>
                <w:rFonts w:ascii="Arial" w:hAnsi="Arial" w:cs="Arial"/>
                <w:sz w:val="24"/>
                <w:szCs w:val="24"/>
              </w:rPr>
            </w:pPr>
            <w:r w:rsidRPr="00216961">
              <w:rPr>
                <w:rFonts w:ascii="Arial" w:hAnsi="Arial" w:cs="Arial"/>
                <w:sz w:val="24"/>
                <w:szCs w:val="24"/>
              </w:rPr>
              <w:t>NT</w:t>
            </w:r>
          </w:p>
        </w:tc>
        <w:tc>
          <w:tcPr>
            <w:tcW w:w="5246" w:type="dxa"/>
            <w:tcBorders>
              <w:top w:val="single" w:sz="4" w:space="0" w:color="000000"/>
              <w:left w:val="single" w:sz="4" w:space="0" w:color="000000"/>
              <w:bottom w:val="single" w:sz="4" w:space="0" w:color="000000"/>
              <w:right w:val="nil"/>
            </w:tcBorders>
            <w:vAlign w:val="center"/>
          </w:tcPr>
          <w:p w:rsidR="004873C9" w:rsidRPr="00216961" w:rsidRDefault="004873C9" w:rsidP="004873C9">
            <w:pPr>
              <w:suppressAutoHyphens/>
              <w:snapToGrid w:val="0"/>
              <w:spacing w:after="120" w:line="240" w:lineRule="auto"/>
              <w:jc w:val="both"/>
              <w:rPr>
                <w:rFonts w:ascii="Arial" w:hAnsi="Arial" w:cs="Arial"/>
                <w:sz w:val="24"/>
                <w:szCs w:val="24"/>
              </w:rPr>
            </w:pPr>
            <w:r w:rsidRPr="00216961">
              <w:rPr>
                <w:rFonts w:ascii="Arial" w:hAnsi="Arial" w:cs="Arial"/>
                <w:sz w:val="24"/>
                <w:szCs w:val="24"/>
              </w:rPr>
              <w:t>Resortní program výzkumu a vývoje Ministerstva zdravotnictví III na léta 2010 - 2015</w:t>
            </w:r>
          </w:p>
        </w:tc>
        <w:tc>
          <w:tcPr>
            <w:tcW w:w="720" w:type="dxa"/>
            <w:tcBorders>
              <w:top w:val="single" w:sz="4" w:space="0" w:color="000000"/>
              <w:left w:val="single" w:sz="4" w:space="0" w:color="000000"/>
              <w:bottom w:val="single" w:sz="4" w:space="0" w:color="000000"/>
              <w:right w:val="nil"/>
            </w:tcBorders>
            <w:vAlign w:val="center"/>
          </w:tcPr>
          <w:p w:rsidR="004873C9" w:rsidRPr="00216961" w:rsidRDefault="004873C9" w:rsidP="004873C9">
            <w:pPr>
              <w:suppressAutoHyphens/>
              <w:snapToGrid w:val="0"/>
              <w:spacing w:after="120" w:line="240" w:lineRule="auto"/>
              <w:jc w:val="center"/>
              <w:rPr>
                <w:rFonts w:ascii="Arial" w:hAnsi="Arial" w:cs="Arial"/>
                <w:sz w:val="24"/>
                <w:szCs w:val="24"/>
              </w:rPr>
            </w:pPr>
            <w:r w:rsidRPr="00216961">
              <w:rPr>
                <w:rFonts w:ascii="Arial" w:hAnsi="Arial" w:cs="Arial"/>
                <w:sz w:val="24"/>
                <w:szCs w:val="24"/>
              </w:rPr>
              <w:t>2010</w:t>
            </w:r>
          </w:p>
        </w:tc>
        <w:tc>
          <w:tcPr>
            <w:tcW w:w="770" w:type="dxa"/>
            <w:tcBorders>
              <w:top w:val="single" w:sz="4" w:space="0" w:color="000000"/>
              <w:left w:val="single" w:sz="4" w:space="0" w:color="000000"/>
              <w:bottom w:val="single" w:sz="4" w:space="0" w:color="000000"/>
              <w:right w:val="single" w:sz="4" w:space="0" w:color="000000"/>
            </w:tcBorders>
            <w:vAlign w:val="center"/>
          </w:tcPr>
          <w:p w:rsidR="004873C9" w:rsidRPr="00216961" w:rsidRDefault="004873C9" w:rsidP="004873C9">
            <w:pPr>
              <w:suppressAutoHyphens/>
              <w:snapToGrid w:val="0"/>
              <w:spacing w:after="120" w:line="240" w:lineRule="auto"/>
              <w:jc w:val="center"/>
              <w:rPr>
                <w:rFonts w:ascii="Arial" w:hAnsi="Arial" w:cs="Arial"/>
                <w:sz w:val="24"/>
                <w:szCs w:val="24"/>
              </w:rPr>
            </w:pPr>
            <w:r w:rsidRPr="00216961">
              <w:rPr>
                <w:rFonts w:ascii="Arial" w:hAnsi="Arial" w:cs="Arial"/>
                <w:sz w:val="24"/>
                <w:szCs w:val="24"/>
              </w:rPr>
              <w:t>2015</w:t>
            </w:r>
          </w:p>
        </w:tc>
      </w:tr>
    </w:tbl>
    <w:p w:rsidR="00D43ECC" w:rsidRDefault="00FA4AF6" w:rsidP="00D43ECC">
      <w:pPr>
        <w:pStyle w:val="Nadpis1"/>
        <w:keepNext w:val="0"/>
        <w:keepLines w:val="0"/>
        <w:numPr>
          <w:ilvl w:val="0"/>
          <w:numId w:val="0"/>
        </w:numPr>
        <w:spacing w:before="120" w:after="120" w:line="240" w:lineRule="auto"/>
        <w:jc w:val="both"/>
        <w:rPr>
          <w:rFonts w:ascii="Arial" w:hAnsi="Arial" w:cs="Arial"/>
          <w:b w:val="0"/>
          <w:color w:val="auto"/>
          <w:sz w:val="24"/>
          <w:szCs w:val="24"/>
        </w:rPr>
      </w:pPr>
      <w:r w:rsidRPr="00D43ECC">
        <w:rPr>
          <w:rFonts w:ascii="Arial" w:hAnsi="Arial" w:cs="Arial"/>
          <w:b w:val="0"/>
          <w:color w:val="auto"/>
          <w:sz w:val="24"/>
          <w:szCs w:val="24"/>
        </w:rPr>
        <w:lastRenderedPageBreak/>
        <w:t>Do hodnocení nebyl zařaz</w:t>
      </w:r>
      <w:r w:rsidR="002D6520" w:rsidRPr="00D43ECC">
        <w:rPr>
          <w:rFonts w:ascii="Arial" w:hAnsi="Arial" w:cs="Arial"/>
          <w:b w:val="0"/>
          <w:color w:val="auto"/>
          <w:sz w:val="24"/>
          <w:szCs w:val="24"/>
        </w:rPr>
        <w:t>en dílčí program</w:t>
      </w:r>
      <w:r w:rsidRPr="00D43ECC">
        <w:rPr>
          <w:rFonts w:ascii="Arial" w:hAnsi="Arial" w:cs="Arial"/>
          <w:b w:val="0"/>
          <w:color w:val="auto"/>
          <w:sz w:val="24"/>
          <w:szCs w:val="24"/>
        </w:rPr>
        <w:t xml:space="preserve"> Národního programu výzkumu</w:t>
      </w:r>
      <w:r w:rsidR="002D6520" w:rsidRPr="00D43ECC">
        <w:rPr>
          <w:rFonts w:ascii="Arial" w:hAnsi="Arial" w:cs="Arial"/>
          <w:b w:val="0"/>
          <w:color w:val="auto"/>
          <w:sz w:val="24"/>
          <w:szCs w:val="24"/>
        </w:rPr>
        <w:t xml:space="preserve"> III (dále jen „NPV III“) evidovaný </w:t>
      </w:r>
      <w:r w:rsidR="00D43ECC">
        <w:rPr>
          <w:rFonts w:ascii="Arial" w:hAnsi="Arial" w:cs="Arial"/>
          <w:b w:val="0"/>
          <w:color w:val="auto"/>
          <w:sz w:val="24"/>
          <w:szCs w:val="24"/>
        </w:rPr>
        <w:t xml:space="preserve">v IS VaVaI </w:t>
      </w:r>
      <w:r w:rsidR="002D6520" w:rsidRPr="00D43ECC">
        <w:rPr>
          <w:rFonts w:ascii="Arial" w:hAnsi="Arial" w:cs="Arial"/>
          <w:b w:val="0"/>
          <w:color w:val="auto"/>
          <w:sz w:val="24"/>
          <w:szCs w:val="24"/>
        </w:rPr>
        <w:t xml:space="preserve">pod </w:t>
      </w:r>
      <w:r w:rsidR="00D43ECC">
        <w:rPr>
          <w:rFonts w:ascii="Arial" w:hAnsi="Arial" w:cs="Arial"/>
          <w:b w:val="0"/>
          <w:color w:val="auto"/>
          <w:sz w:val="24"/>
          <w:szCs w:val="24"/>
        </w:rPr>
        <w:t xml:space="preserve">identifikačním kódem </w:t>
      </w:r>
      <w:r w:rsidR="002D6520" w:rsidRPr="00D43ECC">
        <w:rPr>
          <w:rFonts w:ascii="Arial" w:hAnsi="Arial" w:cs="Arial"/>
          <w:b w:val="0"/>
          <w:color w:val="auto"/>
          <w:sz w:val="24"/>
          <w:szCs w:val="24"/>
        </w:rPr>
        <w:t xml:space="preserve">3A. V </w:t>
      </w:r>
      <w:r w:rsidRPr="00D43ECC">
        <w:rPr>
          <w:rFonts w:ascii="Arial" w:hAnsi="Arial" w:cs="Arial"/>
          <w:b w:val="0"/>
          <w:color w:val="auto"/>
          <w:sz w:val="24"/>
          <w:szCs w:val="24"/>
        </w:rPr>
        <w:t>souladu s</w:t>
      </w:r>
      <w:r w:rsidR="002D6520" w:rsidRPr="00D43ECC">
        <w:rPr>
          <w:rFonts w:ascii="Arial" w:hAnsi="Arial" w:cs="Arial"/>
          <w:b w:val="0"/>
          <w:color w:val="auto"/>
          <w:sz w:val="24"/>
          <w:szCs w:val="24"/>
        </w:rPr>
        <w:t> </w:t>
      </w:r>
      <w:r w:rsidRPr="00D43ECC">
        <w:rPr>
          <w:rFonts w:ascii="Arial" w:hAnsi="Arial" w:cs="Arial"/>
          <w:b w:val="0"/>
          <w:color w:val="auto"/>
          <w:sz w:val="24"/>
          <w:szCs w:val="24"/>
        </w:rPr>
        <w:t>NPV</w:t>
      </w:r>
      <w:r w:rsidR="002D6520" w:rsidRPr="00D43ECC">
        <w:rPr>
          <w:rFonts w:ascii="Arial" w:hAnsi="Arial" w:cs="Arial"/>
          <w:b w:val="0"/>
          <w:color w:val="auto"/>
          <w:sz w:val="24"/>
          <w:szCs w:val="24"/>
        </w:rPr>
        <w:t xml:space="preserve"> </w:t>
      </w:r>
      <w:r w:rsidRPr="00D43ECC">
        <w:rPr>
          <w:rFonts w:ascii="Arial" w:hAnsi="Arial" w:cs="Arial"/>
          <w:b w:val="0"/>
          <w:color w:val="auto"/>
          <w:sz w:val="24"/>
          <w:szCs w:val="24"/>
        </w:rPr>
        <w:t>II</w:t>
      </w:r>
      <w:r w:rsidR="002D6520" w:rsidRPr="00D43ECC">
        <w:rPr>
          <w:rFonts w:ascii="Arial" w:hAnsi="Arial" w:cs="Arial"/>
          <w:b w:val="0"/>
          <w:color w:val="auto"/>
          <w:sz w:val="24"/>
          <w:szCs w:val="24"/>
        </w:rPr>
        <w:t>I</w:t>
      </w:r>
      <w:r w:rsidRPr="00D43ECC">
        <w:rPr>
          <w:rFonts w:ascii="Arial" w:hAnsi="Arial" w:cs="Arial"/>
          <w:b w:val="0"/>
          <w:color w:val="auto"/>
          <w:sz w:val="24"/>
          <w:szCs w:val="24"/>
        </w:rPr>
        <w:t xml:space="preserve"> a Metodikou hodnocení zprac</w:t>
      </w:r>
      <w:r w:rsidR="002D6520" w:rsidRPr="00D43ECC">
        <w:rPr>
          <w:rFonts w:ascii="Arial" w:hAnsi="Arial" w:cs="Arial"/>
          <w:b w:val="0"/>
          <w:color w:val="auto"/>
          <w:sz w:val="24"/>
          <w:szCs w:val="24"/>
        </w:rPr>
        <w:t>uje</w:t>
      </w:r>
      <w:r w:rsidRPr="00D43ECC">
        <w:rPr>
          <w:rFonts w:ascii="Arial" w:hAnsi="Arial" w:cs="Arial"/>
          <w:b w:val="0"/>
          <w:color w:val="auto"/>
          <w:sz w:val="24"/>
          <w:szCs w:val="24"/>
        </w:rPr>
        <w:t xml:space="preserve"> vyhodnocení </w:t>
      </w:r>
      <w:r w:rsidR="002D6520" w:rsidRPr="00D43ECC">
        <w:rPr>
          <w:rFonts w:ascii="Arial" w:hAnsi="Arial" w:cs="Arial"/>
          <w:b w:val="0"/>
          <w:color w:val="auto"/>
          <w:sz w:val="24"/>
          <w:szCs w:val="24"/>
        </w:rPr>
        <w:t>tohoto programu</w:t>
      </w:r>
      <w:r w:rsidRPr="00D43ECC">
        <w:rPr>
          <w:rFonts w:ascii="Arial" w:hAnsi="Arial" w:cs="Arial"/>
          <w:b w:val="0"/>
          <w:color w:val="auto"/>
          <w:sz w:val="24"/>
          <w:szCs w:val="24"/>
        </w:rPr>
        <w:t xml:space="preserve"> Ministerstvo školství, mládeže a tělovýchovy</w:t>
      </w:r>
      <w:r w:rsidR="002D6520" w:rsidRPr="00D43ECC">
        <w:rPr>
          <w:rFonts w:ascii="Arial" w:hAnsi="Arial" w:cs="Arial"/>
          <w:b w:val="0"/>
          <w:color w:val="auto"/>
          <w:sz w:val="24"/>
          <w:szCs w:val="24"/>
        </w:rPr>
        <w:t>.</w:t>
      </w:r>
    </w:p>
    <w:p w:rsidR="00D43ECC" w:rsidRDefault="002D6520" w:rsidP="00D43ECC">
      <w:pPr>
        <w:pStyle w:val="Nadpis1"/>
        <w:keepNext w:val="0"/>
        <w:keepLines w:val="0"/>
        <w:numPr>
          <w:ilvl w:val="0"/>
          <w:numId w:val="0"/>
        </w:numPr>
        <w:spacing w:before="120" w:after="120" w:line="240" w:lineRule="auto"/>
        <w:jc w:val="both"/>
        <w:rPr>
          <w:rFonts w:ascii="Arial" w:hAnsi="Arial" w:cs="Arial"/>
          <w:b w:val="0"/>
          <w:color w:val="auto"/>
          <w:sz w:val="24"/>
          <w:szCs w:val="24"/>
        </w:rPr>
      </w:pPr>
      <w:r w:rsidRPr="00D43ECC">
        <w:rPr>
          <w:rFonts w:ascii="Arial" w:hAnsi="Arial" w:cs="Arial"/>
          <w:b w:val="0"/>
          <w:color w:val="auto"/>
          <w:sz w:val="24"/>
          <w:szCs w:val="24"/>
        </w:rPr>
        <w:t>Rada dále nehodnotila Výzkumný program Ministerstva dopravy evidovaný v IS VaVaI pod identifikačním kódem CH</w:t>
      </w:r>
      <w:r w:rsidR="00D43ECC" w:rsidRPr="00D43ECC">
        <w:rPr>
          <w:rFonts w:ascii="Arial" w:hAnsi="Arial" w:cs="Arial"/>
          <w:b w:val="0"/>
          <w:color w:val="auto"/>
          <w:sz w:val="24"/>
          <w:szCs w:val="24"/>
        </w:rPr>
        <w:t xml:space="preserve"> a program Akademie věd České republiky</w:t>
      </w:r>
      <w:r w:rsidR="00D43ECC" w:rsidRPr="00D43ECC">
        <w:rPr>
          <w:rStyle w:val="Siln"/>
          <w:rFonts w:ascii="Arial" w:hAnsi="Arial" w:cs="Arial"/>
          <w:bCs/>
          <w:color w:val="auto"/>
          <w:sz w:val="24"/>
          <w:szCs w:val="24"/>
        </w:rPr>
        <w:t xml:space="preserve"> Podpora projektů cíleného výzkumu II evidovaný v IS VaVaI pod identifikačním kódem KT, </w:t>
      </w:r>
      <w:r w:rsidRPr="00D43ECC">
        <w:rPr>
          <w:rFonts w:ascii="Arial" w:hAnsi="Arial" w:cs="Arial"/>
          <w:b w:val="0"/>
          <w:color w:val="auto"/>
          <w:sz w:val="24"/>
          <w:szCs w:val="24"/>
        </w:rPr>
        <w:t>kter</w:t>
      </w:r>
      <w:r w:rsidR="00D43ECC" w:rsidRPr="00D43ECC">
        <w:rPr>
          <w:rFonts w:ascii="Arial" w:hAnsi="Arial" w:cs="Arial"/>
          <w:b w:val="0"/>
          <w:color w:val="auto"/>
          <w:sz w:val="24"/>
          <w:szCs w:val="24"/>
        </w:rPr>
        <w:t>é</w:t>
      </w:r>
      <w:r w:rsidRPr="00D43ECC">
        <w:rPr>
          <w:rFonts w:ascii="Arial" w:hAnsi="Arial" w:cs="Arial"/>
          <w:b w:val="0"/>
          <w:color w:val="auto"/>
          <w:sz w:val="24"/>
          <w:szCs w:val="24"/>
        </w:rPr>
        <w:t xml:space="preserve"> nebyl</w:t>
      </w:r>
      <w:r w:rsidR="00D43ECC" w:rsidRPr="00D43ECC">
        <w:rPr>
          <w:rFonts w:ascii="Arial" w:hAnsi="Arial" w:cs="Arial"/>
          <w:b w:val="0"/>
          <w:color w:val="auto"/>
          <w:sz w:val="24"/>
          <w:szCs w:val="24"/>
        </w:rPr>
        <w:t>y</w:t>
      </w:r>
      <w:r w:rsidRPr="00D43ECC">
        <w:rPr>
          <w:rFonts w:ascii="Arial" w:hAnsi="Arial" w:cs="Arial"/>
          <w:b w:val="0"/>
          <w:color w:val="auto"/>
          <w:sz w:val="24"/>
          <w:szCs w:val="24"/>
        </w:rPr>
        <w:t xml:space="preserve"> realizován</w:t>
      </w:r>
      <w:r w:rsidR="00D43ECC" w:rsidRPr="00D43ECC">
        <w:rPr>
          <w:rFonts w:ascii="Arial" w:hAnsi="Arial" w:cs="Arial"/>
          <w:b w:val="0"/>
          <w:color w:val="auto"/>
          <w:sz w:val="24"/>
          <w:szCs w:val="24"/>
        </w:rPr>
        <w:t>y v důsledku snížení výdajů státního rozpočtu na výzkum, vývoj a inovace</w:t>
      </w:r>
      <w:r w:rsidR="00D43ECC">
        <w:rPr>
          <w:rFonts w:ascii="Arial" w:hAnsi="Arial" w:cs="Arial"/>
          <w:b w:val="0"/>
          <w:color w:val="auto"/>
          <w:sz w:val="24"/>
          <w:szCs w:val="24"/>
        </w:rPr>
        <w:t>.</w:t>
      </w:r>
    </w:p>
    <w:p w:rsidR="00A0489A" w:rsidRPr="00400FED" w:rsidRDefault="00400FED" w:rsidP="00400FED">
      <w:pPr>
        <w:pStyle w:val="Nadpis3"/>
        <w:numPr>
          <w:ilvl w:val="2"/>
          <w:numId w:val="9"/>
        </w:numPr>
        <w:rPr>
          <w:rFonts w:cs="Arial"/>
        </w:rPr>
      </w:pPr>
      <w:r>
        <w:t>P</w:t>
      </w:r>
      <w:r w:rsidR="00A0489A">
        <w:t>ostup hodnocení</w:t>
      </w:r>
    </w:p>
    <w:p w:rsidR="00A0489A" w:rsidRPr="00C741F8" w:rsidRDefault="00A0489A" w:rsidP="00400FED">
      <w:pPr>
        <w:spacing w:after="120" w:line="240" w:lineRule="auto"/>
        <w:jc w:val="both"/>
        <w:rPr>
          <w:rFonts w:ascii="Arial" w:hAnsi="Arial" w:cs="Arial"/>
          <w:sz w:val="24"/>
          <w:szCs w:val="24"/>
        </w:rPr>
      </w:pPr>
      <w:r w:rsidRPr="0030091F">
        <w:rPr>
          <w:rFonts w:ascii="Arial" w:hAnsi="Arial" w:cs="Arial"/>
          <w:sz w:val="24"/>
          <w:szCs w:val="24"/>
        </w:rPr>
        <w:t>Hodnocení bylo provedeno tak, že údaje obsažené v IS VaVaI k datu 7. září 201</w:t>
      </w:r>
      <w:r w:rsidR="00C741F8" w:rsidRPr="0030091F">
        <w:rPr>
          <w:rFonts w:ascii="Arial" w:hAnsi="Arial" w:cs="Arial"/>
          <w:sz w:val="24"/>
          <w:szCs w:val="24"/>
        </w:rPr>
        <w:t>6</w:t>
      </w:r>
      <w:r w:rsidRPr="0030091F">
        <w:rPr>
          <w:rFonts w:ascii="Arial" w:hAnsi="Arial" w:cs="Arial"/>
          <w:sz w:val="24"/>
          <w:szCs w:val="24"/>
        </w:rPr>
        <w:t>, tj. ke dni, kdy byla provozovatelem IS VaVaI v souladu s Metodikou hodnocení provedena uzávěrka předání údajů (poskytovatelům je podle § 31 odst. 6 zákona o</w:t>
      </w:r>
      <w:r w:rsidR="00BF1DC1" w:rsidRPr="0030091F">
        <w:rPr>
          <w:rFonts w:ascii="Arial" w:hAnsi="Arial" w:cs="Arial"/>
          <w:sz w:val="24"/>
          <w:szCs w:val="24"/>
        </w:rPr>
        <w:t> </w:t>
      </w:r>
      <w:r w:rsidRPr="0030091F">
        <w:rPr>
          <w:rFonts w:ascii="Arial" w:hAnsi="Arial" w:cs="Arial"/>
          <w:sz w:val="24"/>
          <w:szCs w:val="24"/>
        </w:rPr>
        <w:t>podpoře výzkumu, experimentálního vývoje a inovací uložena povinnost předávat do IS VaVaI údaje o výsledcích projektů nejpozději do 250 kalendářních dnů po</w:t>
      </w:r>
      <w:r w:rsidR="00BF1DC1" w:rsidRPr="0030091F">
        <w:rPr>
          <w:rFonts w:ascii="Arial" w:hAnsi="Arial" w:cs="Arial"/>
          <w:sz w:val="24"/>
          <w:szCs w:val="24"/>
        </w:rPr>
        <w:t> </w:t>
      </w:r>
      <w:r w:rsidRPr="0030091F">
        <w:rPr>
          <w:rFonts w:ascii="Arial" w:hAnsi="Arial" w:cs="Arial"/>
          <w:sz w:val="24"/>
          <w:szCs w:val="24"/>
        </w:rPr>
        <w:t>ukončení poskytování podpory), byly zpracovány ve dvou na sebe navazujících</w:t>
      </w:r>
      <w:r w:rsidRPr="00C741F8">
        <w:rPr>
          <w:rFonts w:ascii="Arial" w:hAnsi="Arial" w:cs="Arial"/>
          <w:sz w:val="24"/>
          <w:szCs w:val="24"/>
        </w:rPr>
        <w:t xml:space="preserve"> krocích:</w:t>
      </w:r>
    </w:p>
    <w:p w:rsidR="00A0489A" w:rsidRPr="00C741F8" w:rsidRDefault="00A0489A" w:rsidP="00A0489A">
      <w:pPr>
        <w:pStyle w:val="Odstavecseseznamem"/>
        <w:numPr>
          <w:ilvl w:val="0"/>
          <w:numId w:val="3"/>
        </w:numPr>
        <w:autoSpaceDE w:val="0"/>
        <w:autoSpaceDN w:val="0"/>
        <w:adjustRightInd w:val="0"/>
        <w:spacing w:after="120" w:line="240" w:lineRule="auto"/>
        <w:ind w:left="0" w:firstLine="709"/>
        <w:contextualSpacing w:val="0"/>
        <w:jc w:val="both"/>
        <w:rPr>
          <w:rFonts w:ascii="Arial" w:hAnsi="Arial" w:cs="Arial"/>
          <w:color w:val="000000"/>
          <w:sz w:val="24"/>
          <w:szCs w:val="24"/>
        </w:rPr>
      </w:pPr>
      <w:r w:rsidRPr="00C741F8">
        <w:rPr>
          <w:rFonts w:ascii="Arial" w:hAnsi="Arial" w:cs="Arial"/>
          <w:b/>
          <w:color w:val="000000"/>
          <w:sz w:val="24"/>
          <w:szCs w:val="24"/>
        </w:rPr>
        <w:t>Sjednocení výskytů shodných výsledků</w:t>
      </w:r>
      <w:r w:rsidRPr="00C741F8">
        <w:rPr>
          <w:rFonts w:ascii="Arial" w:hAnsi="Arial" w:cs="Arial"/>
          <w:color w:val="000000"/>
          <w:sz w:val="24"/>
          <w:szCs w:val="24"/>
        </w:rPr>
        <w:t xml:space="preserve"> – při vícenásobném výskytu téhož výsledku, tj. případy opakovaného předání shodných údajů o výsledku se</w:t>
      </w:r>
      <w:r w:rsidR="00BF1DC1">
        <w:rPr>
          <w:rFonts w:ascii="Arial" w:hAnsi="Arial" w:cs="Arial"/>
          <w:color w:val="000000"/>
          <w:sz w:val="24"/>
          <w:szCs w:val="24"/>
        </w:rPr>
        <w:t> </w:t>
      </w:r>
      <w:r w:rsidRPr="00C741F8">
        <w:rPr>
          <w:rFonts w:ascii="Arial" w:hAnsi="Arial" w:cs="Arial"/>
          <w:color w:val="000000"/>
          <w:sz w:val="24"/>
          <w:szCs w:val="24"/>
        </w:rPr>
        <w:t>zachováním návazností na konkrétní výzkumné aktivity. V procesu sjednocení výskytů výsledků byl každé skupině shodných výsledků přidělen identifikační kód. Výsledky, u nichž rok uplatnění předcházel roku řešení příslušné výzkumné aktivity, nebyly do hodnocení programů zahrnuty.</w:t>
      </w:r>
    </w:p>
    <w:p w:rsidR="00A0489A" w:rsidRPr="00C741F8" w:rsidRDefault="00A0489A" w:rsidP="00A0489A">
      <w:pPr>
        <w:pStyle w:val="Odstavecseseznamem"/>
        <w:numPr>
          <w:ilvl w:val="0"/>
          <w:numId w:val="3"/>
        </w:numPr>
        <w:autoSpaceDE w:val="0"/>
        <w:autoSpaceDN w:val="0"/>
        <w:adjustRightInd w:val="0"/>
        <w:spacing w:after="120" w:line="240" w:lineRule="auto"/>
        <w:ind w:left="0" w:firstLine="709"/>
        <w:contextualSpacing w:val="0"/>
        <w:jc w:val="both"/>
        <w:rPr>
          <w:rFonts w:ascii="Arial" w:hAnsi="Arial" w:cs="Arial"/>
          <w:sz w:val="24"/>
          <w:szCs w:val="24"/>
        </w:rPr>
      </w:pPr>
      <w:r w:rsidRPr="00C741F8">
        <w:rPr>
          <w:rFonts w:ascii="Arial" w:hAnsi="Arial" w:cs="Arial"/>
          <w:b/>
          <w:color w:val="000000"/>
          <w:sz w:val="24"/>
          <w:szCs w:val="24"/>
        </w:rPr>
        <w:t>Posouzení, zda projekt vykázal či nevykázal výsledek</w:t>
      </w:r>
      <w:r w:rsidRPr="00C741F8">
        <w:rPr>
          <w:rFonts w:ascii="Arial" w:hAnsi="Arial" w:cs="Arial"/>
          <w:color w:val="000000"/>
          <w:sz w:val="24"/>
          <w:szCs w:val="24"/>
        </w:rPr>
        <w:t xml:space="preserve"> (přiřazení binární hodnoty) – jsou zahrnuty všechny důvody, proč není vykázán výsledek (projekt hodnocený poskytovatelem kódem „O“ či „S“ nebo projekt hodnocený poskytovatelem „U“ či „V“</w:t>
      </w:r>
      <w:r w:rsidRPr="00C741F8">
        <w:rPr>
          <w:rStyle w:val="Znakapoznpodarou"/>
          <w:rFonts w:ascii="Arial" w:hAnsi="Arial" w:cs="Arial"/>
          <w:color w:val="000000"/>
          <w:sz w:val="24"/>
          <w:szCs w:val="24"/>
        </w:rPr>
        <w:footnoteReference w:id="1"/>
      </w:r>
      <w:r w:rsidRPr="00C741F8">
        <w:rPr>
          <w:rFonts w:ascii="Arial" w:hAnsi="Arial" w:cs="Arial"/>
          <w:color w:val="000000"/>
          <w:sz w:val="24"/>
          <w:szCs w:val="24"/>
        </w:rPr>
        <w:t>, u něhož není v databázi RIV záznam o výsledku).</w:t>
      </w:r>
    </w:p>
    <w:p w:rsidR="00400FED" w:rsidRPr="00400FED" w:rsidRDefault="00400FED" w:rsidP="00400FED">
      <w:pPr>
        <w:pStyle w:val="Nadpis3"/>
        <w:numPr>
          <w:ilvl w:val="2"/>
          <w:numId w:val="9"/>
        </w:numPr>
        <w:rPr>
          <w:rFonts w:cs="Arial"/>
        </w:rPr>
      </w:pPr>
      <w:r>
        <w:rPr>
          <w:rFonts w:cs="Arial"/>
        </w:rPr>
        <w:t>Výsledky hodnocení</w:t>
      </w:r>
    </w:p>
    <w:p w:rsidR="00A0489A" w:rsidRPr="00713CD8" w:rsidRDefault="00A0489A" w:rsidP="00670AF1">
      <w:pPr>
        <w:spacing w:after="120" w:line="240" w:lineRule="auto"/>
        <w:jc w:val="both"/>
        <w:rPr>
          <w:rFonts w:ascii="Arial" w:hAnsi="Arial" w:cs="Arial"/>
          <w:sz w:val="24"/>
          <w:szCs w:val="24"/>
        </w:rPr>
      </w:pPr>
      <w:r w:rsidRPr="00713CD8">
        <w:rPr>
          <w:rFonts w:ascii="Arial" w:hAnsi="Arial" w:cs="Arial"/>
          <w:sz w:val="24"/>
          <w:szCs w:val="24"/>
        </w:rPr>
        <w:t xml:space="preserve">V průběhu realizace </w:t>
      </w:r>
      <w:r w:rsidR="00400FED" w:rsidRPr="00713CD8">
        <w:rPr>
          <w:rFonts w:ascii="Arial" w:hAnsi="Arial" w:cs="Arial"/>
          <w:sz w:val="24"/>
          <w:szCs w:val="24"/>
        </w:rPr>
        <w:t>dvou</w:t>
      </w:r>
      <w:r w:rsidRPr="00713CD8">
        <w:rPr>
          <w:rFonts w:ascii="Arial" w:hAnsi="Arial" w:cs="Arial"/>
          <w:sz w:val="24"/>
          <w:szCs w:val="24"/>
        </w:rPr>
        <w:t xml:space="preserve"> programů, které jsou předmětem hodnocení, bylo v letech </w:t>
      </w:r>
      <w:r w:rsidR="00400FED" w:rsidRPr="00713CD8">
        <w:rPr>
          <w:rFonts w:ascii="Arial" w:hAnsi="Arial" w:cs="Arial"/>
          <w:sz w:val="24"/>
          <w:szCs w:val="24"/>
        </w:rPr>
        <w:t>2010</w:t>
      </w:r>
      <w:r w:rsidRPr="00713CD8">
        <w:rPr>
          <w:rFonts w:ascii="Arial" w:hAnsi="Arial" w:cs="Arial"/>
          <w:sz w:val="24"/>
          <w:szCs w:val="24"/>
        </w:rPr>
        <w:t> – 201</w:t>
      </w:r>
      <w:r w:rsidR="00400FED" w:rsidRPr="00713CD8">
        <w:rPr>
          <w:rFonts w:ascii="Arial" w:hAnsi="Arial" w:cs="Arial"/>
          <w:sz w:val="24"/>
          <w:szCs w:val="24"/>
        </w:rPr>
        <w:t>5</w:t>
      </w:r>
      <w:r w:rsidRPr="00713CD8">
        <w:rPr>
          <w:rFonts w:ascii="Arial" w:hAnsi="Arial" w:cs="Arial"/>
          <w:sz w:val="24"/>
          <w:szCs w:val="24"/>
        </w:rPr>
        <w:t xml:space="preserve"> </w:t>
      </w:r>
      <w:r w:rsidR="00214C22" w:rsidRPr="00713CD8">
        <w:rPr>
          <w:rFonts w:ascii="Arial" w:hAnsi="Arial" w:cs="Arial"/>
          <w:sz w:val="24"/>
          <w:szCs w:val="24"/>
        </w:rPr>
        <w:t xml:space="preserve">dle </w:t>
      </w:r>
      <w:r w:rsidR="00DB4F0D">
        <w:rPr>
          <w:rFonts w:ascii="Arial" w:hAnsi="Arial" w:cs="Arial"/>
          <w:sz w:val="24"/>
          <w:szCs w:val="24"/>
        </w:rPr>
        <w:t xml:space="preserve">údajů v </w:t>
      </w:r>
      <w:r w:rsidR="00214C22" w:rsidRPr="00713CD8">
        <w:rPr>
          <w:rFonts w:ascii="Arial" w:hAnsi="Arial" w:cs="Arial"/>
          <w:sz w:val="24"/>
          <w:szCs w:val="24"/>
        </w:rPr>
        <w:t xml:space="preserve">IS VaVaI </w:t>
      </w:r>
      <w:r w:rsidRPr="00713CD8">
        <w:rPr>
          <w:rFonts w:ascii="Arial" w:hAnsi="Arial" w:cs="Arial"/>
          <w:sz w:val="24"/>
          <w:szCs w:val="24"/>
        </w:rPr>
        <w:t xml:space="preserve">podpořeno celkem </w:t>
      </w:r>
      <w:r w:rsidR="00F0486A" w:rsidRPr="001850B4">
        <w:rPr>
          <w:rFonts w:ascii="Arial" w:hAnsi="Arial" w:cs="Arial"/>
          <w:sz w:val="24"/>
          <w:szCs w:val="24"/>
        </w:rPr>
        <w:t xml:space="preserve">656 projektů </w:t>
      </w:r>
      <w:r w:rsidR="00670AF1" w:rsidRPr="00713CD8">
        <w:rPr>
          <w:rFonts w:ascii="Arial" w:hAnsi="Arial" w:cs="Arial"/>
          <w:sz w:val="24"/>
          <w:szCs w:val="24"/>
        </w:rPr>
        <w:t xml:space="preserve">finanční částkou </w:t>
      </w:r>
      <w:r w:rsidR="00F0486A" w:rsidRPr="001850B4">
        <w:rPr>
          <w:rFonts w:ascii="Arial" w:hAnsi="Arial" w:cs="Arial"/>
          <w:sz w:val="24"/>
          <w:szCs w:val="24"/>
        </w:rPr>
        <w:t xml:space="preserve"> 5 358 172 tis. Kč, po</w:t>
      </w:r>
      <w:r w:rsidR="00F0486A">
        <w:rPr>
          <w:rFonts w:ascii="Arial" w:hAnsi="Arial" w:cs="Arial"/>
          <w:sz w:val="24"/>
          <w:szCs w:val="24"/>
        </w:rPr>
        <w:t>dpora </w:t>
      </w:r>
      <w:r w:rsidR="00F0486A" w:rsidRPr="001850B4">
        <w:rPr>
          <w:rFonts w:ascii="Arial" w:hAnsi="Arial" w:cs="Arial"/>
          <w:sz w:val="24"/>
          <w:szCs w:val="24"/>
        </w:rPr>
        <w:t xml:space="preserve">ze státního rozpočtu na VaVaI (dále jen „SR“) činila </w:t>
      </w:r>
      <w:r w:rsidR="00670AF1" w:rsidRPr="00713CD8">
        <w:rPr>
          <w:rFonts w:ascii="Arial" w:hAnsi="Arial" w:cs="Arial"/>
          <w:sz w:val="24"/>
          <w:szCs w:val="24"/>
        </w:rPr>
        <w:t xml:space="preserve">celkem 5 096 867 tis., tj. 95,12 %. </w:t>
      </w:r>
    </w:p>
    <w:p w:rsidR="00400FED" w:rsidRPr="000F2A7E" w:rsidRDefault="00400FED" w:rsidP="00214C22">
      <w:pPr>
        <w:spacing w:after="120" w:line="240" w:lineRule="auto"/>
        <w:jc w:val="both"/>
        <w:rPr>
          <w:rFonts w:ascii="Arial" w:hAnsi="Arial" w:cs="Arial"/>
          <w:sz w:val="24"/>
          <w:szCs w:val="24"/>
        </w:rPr>
      </w:pPr>
      <w:r w:rsidRPr="000F2A7E">
        <w:rPr>
          <w:rFonts w:ascii="Arial" w:hAnsi="Arial" w:cs="Arial"/>
          <w:sz w:val="24"/>
          <w:szCs w:val="24"/>
        </w:rPr>
        <w:t xml:space="preserve">Souhrnné výsledky Hodnocení jsou </w:t>
      </w:r>
      <w:r w:rsidRPr="00446CEB">
        <w:rPr>
          <w:rFonts w:ascii="Arial" w:hAnsi="Arial" w:cs="Arial"/>
          <w:sz w:val="24"/>
          <w:szCs w:val="24"/>
        </w:rPr>
        <w:t xml:space="preserve">uvedeny v Příloze č. </w:t>
      </w:r>
      <w:r w:rsidR="00446CEB" w:rsidRPr="00446CEB">
        <w:rPr>
          <w:rFonts w:ascii="Arial" w:hAnsi="Arial" w:cs="Arial"/>
          <w:sz w:val="24"/>
          <w:szCs w:val="24"/>
        </w:rPr>
        <w:t>2</w:t>
      </w:r>
      <w:r w:rsidR="0030091F">
        <w:rPr>
          <w:rFonts w:ascii="Arial" w:hAnsi="Arial" w:cs="Arial"/>
          <w:sz w:val="24"/>
          <w:szCs w:val="24"/>
        </w:rPr>
        <w:t xml:space="preserve"> – Základní údaje o výsledcích programů ukončených v roce 2015</w:t>
      </w:r>
      <w:r w:rsidRPr="00446CEB">
        <w:rPr>
          <w:rFonts w:ascii="Arial" w:hAnsi="Arial" w:cs="Arial"/>
          <w:sz w:val="24"/>
          <w:szCs w:val="24"/>
        </w:rPr>
        <w:t>. Příslušná</w:t>
      </w:r>
      <w:r w:rsidRPr="000F2A7E">
        <w:rPr>
          <w:rFonts w:ascii="Arial" w:hAnsi="Arial" w:cs="Arial"/>
          <w:sz w:val="24"/>
          <w:szCs w:val="24"/>
        </w:rPr>
        <w:t xml:space="preserve"> tabulka obsahuje údaje o hodnocených projektech agregované podle jednotlivých hodnocených programů s uvedením jejich poskytovatele, identifikačního kódu, pod kterým jsou evidovány v IS VaVaI</w:t>
      </w:r>
      <w:r w:rsidR="004C3B8E" w:rsidRPr="000F2A7E">
        <w:rPr>
          <w:rFonts w:ascii="Arial" w:hAnsi="Arial" w:cs="Arial"/>
          <w:sz w:val="24"/>
          <w:szCs w:val="24"/>
        </w:rPr>
        <w:t>,</w:t>
      </w:r>
      <w:r w:rsidRPr="000F2A7E">
        <w:rPr>
          <w:rFonts w:ascii="Arial" w:hAnsi="Arial" w:cs="Arial"/>
          <w:sz w:val="24"/>
          <w:szCs w:val="24"/>
        </w:rPr>
        <w:t xml:space="preserve"> údaje o</w:t>
      </w:r>
      <w:r w:rsidR="000F2A7E" w:rsidRPr="000F2A7E">
        <w:rPr>
          <w:rFonts w:ascii="Arial" w:hAnsi="Arial" w:cs="Arial"/>
          <w:sz w:val="24"/>
          <w:szCs w:val="24"/>
        </w:rPr>
        <w:t> </w:t>
      </w:r>
      <w:r w:rsidRPr="000F2A7E">
        <w:rPr>
          <w:rFonts w:ascii="Arial" w:hAnsi="Arial" w:cs="Arial"/>
          <w:sz w:val="24"/>
          <w:szCs w:val="24"/>
        </w:rPr>
        <w:t xml:space="preserve">vynaložených výdajích na řešení programů, včetně výše poskytnuté podpory z veřejných prostředků, údaje o celkovém počtu řešených projektů, </w:t>
      </w:r>
      <w:r w:rsidR="004C3B8E" w:rsidRPr="000F2A7E">
        <w:rPr>
          <w:rFonts w:ascii="Arial" w:hAnsi="Arial" w:cs="Arial"/>
          <w:sz w:val="24"/>
          <w:szCs w:val="24"/>
        </w:rPr>
        <w:t xml:space="preserve">počtu výsledků a </w:t>
      </w:r>
      <w:r w:rsidRPr="000F2A7E">
        <w:rPr>
          <w:rFonts w:ascii="Arial" w:hAnsi="Arial" w:cs="Arial"/>
          <w:sz w:val="24"/>
          <w:szCs w:val="24"/>
        </w:rPr>
        <w:t>údaje o jednotlivých druzích výsledků, jichž bylo v průběhu řešení dosaženo</w:t>
      </w:r>
      <w:r w:rsidR="004C3B8E" w:rsidRPr="000F2A7E">
        <w:rPr>
          <w:rFonts w:ascii="Arial" w:hAnsi="Arial" w:cs="Arial"/>
          <w:sz w:val="24"/>
          <w:szCs w:val="24"/>
        </w:rPr>
        <w:t>.</w:t>
      </w:r>
    </w:p>
    <w:p w:rsidR="000F2A7E" w:rsidRPr="000F2A7E" w:rsidRDefault="000F2A7E" w:rsidP="000F2A7E">
      <w:pPr>
        <w:autoSpaceDE w:val="0"/>
        <w:autoSpaceDN w:val="0"/>
        <w:adjustRightInd w:val="0"/>
        <w:spacing w:after="120" w:line="240" w:lineRule="auto"/>
        <w:jc w:val="both"/>
        <w:rPr>
          <w:rFonts w:ascii="Arial" w:hAnsi="Arial" w:cs="Arial"/>
          <w:color w:val="000000"/>
          <w:sz w:val="24"/>
          <w:szCs w:val="24"/>
        </w:rPr>
      </w:pPr>
      <w:r w:rsidRPr="000F2A7E">
        <w:rPr>
          <w:rFonts w:ascii="Arial" w:hAnsi="Arial" w:cs="Arial"/>
          <w:color w:val="000000"/>
          <w:sz w:val="24"/>
          <w:szCs w:val="24"/>
        </w:rPr>
        <w:t>Konečný počet výsledků se může mírně lišit, obvykle však tato odlišnost nepřekračuje 1 % celkových počtů výsledků za jednotlivé programy.</w:t>
      </w:r>
    </w:p>
    <w:p w:rsidR="004873C9" w:rsidRDefault="00400FED" w:rsidP="00D72F52">
      <w:pPr>
        <w:pStyle w:val="Nadpis3"/>
        <w:numPr>
          <w:ilvl w:val="2"/>
          <w:numId w:val="9"/>
        </w:numPr>
        <w:spacing w:before="120" w:after="120"/>
      </w:pPr>
      <w:r>
        <w:lastRenderedPageBreak/>
        <w:t xml:space="preserve">K programu Bezpečnostní výzkum </w:t>
      </w:r>
      <w:r w:rsidR="004873C9">
        <w:t xml:space="preserve"> </w:t>
      </w:r>
    </w:p>
    <w:p w:rsidR="00927C8B" w:rsidRDefault="0054479E" w:rsidP="004A4392">
      <w:pPr>
        <w:spacing w:line="240" w:lineRule="auto"/>
        <w:jc w:val="both"/>
        <w:rPr>
          <w:rFonts w:ascii="Arial" w:hAnsi="Arial" w:cs="Arial"/>
          <w:sz w:val="24"/>
          <w:szCs w:val="24"/>
          <w:lang w:eastAsia="cs-CZ"/>
        </w:rPr>
      </w:pPr>
      <w:r>
        <w:rPr>
          <w:rFonts w:ascii="Arial" w:hAnsi="Arial" w:cs="Arial"/>
          <w:sz w:val="24"/>
          <w:szCs w:val="24"/>
          <w:lang w:eastAsia="cs-CZ"/>
        </w:rPr>
        <w:t>Program Bezpečnostní výzkum vznikl z potřeby zvýšení bezpečnosti státu a občanů s využitím nových technologií, poznatků a dalších výsledků aplikovaného výzkumu v oblasti identifikace, prevence a ochrany proti nezákonným jednáním poškozujícím občany ČR, organizace nebo struktury, statky, infrastruktury a proti přirozeným nebo průmyslovým pohromám. Byl realizován formou veřejných soutěží.</w:t>
      </w:r>
    </w:p>
    <w:p w:rsidR="0054479E" w:rsidRDefault="0054479E" w:rsidP="004A4392">
      <w:pPr>
        <w:spacing w:line="240" w:lineRule="auto"/>
        <w:jc w:val="both"/>
        <w:rPr>
          <w:rFonts w:ascii="Arial" w:hAnsi="Arial" w:cs="Arial"/>
          <w:sz w:val="24"/>
          <w:szCs w:val="24"/>
          <w:lang w:eastAsia="cs-CZ"/>
        </w:rPr>
      </w:pPr>
      <w:r>
        <w:rPr>
          <w:rFonts w:ascii="Arial" w:hAnsi="Arial" w:cs="Arial"/>
          <w:sz w:val="24"/>
          <w:szCs w:val="24"/>
          <w:lang w:eastAsia="cs-CZ"/>
        </w:rPr>
        <w:t xml:space="preserve">Program </w:t>
      </w:r>
      <w:r w:rsidR="00BF1DC1">
        <w:rPr>
          <w:rFonts w:ascii="Arial" w:hAnsi="Arial" w:cs="Arial"/>
          <w:sz w:val="24"/>
          <w:szCs w:val="24"/>
          <w:lang w:eastAsia="cs-CZ"/>
        </w:rPr>
        <w:t xml:space="preserve">Bezpečnostní výzkum </w:t>
      </w:r>
      <w:r>
        <w:rPr>
          <w:rFonts w:ascii="Arial" w:hAnsi="Arial" w:cs="Arial"/>
          <w:sz w:val="24"/>
          <w:szCs w:val="24"/>
          <w:lang w:eastAsia="cs-CZ"/>
        </w:rPr>
        <w:t>byl předložen k notifikaci Evropské komisi a poté byl schválen usnesením vlády ze dne 12. ledna 2009 č. 50.</w:t>
      </w:r>
    </w:p>
    <w:p w:rsidR="004A4392" w:rsidRDefault="000F2A7E" w:rsidP="004A4392">
      <w:pPr>
        <w:spacing w:line="240" w:lineRule="auto"/>
        <w:jc w:val="both"/>
        <w:rPr>
          <w:rFonts w:ascii="Arial" w:hAnsi="Arial" w:cs="Arial"/>
          <w:sz w:val="24"/>
          <w:szCs w:val="24"/>
        </w:rPr>
      </w:pPr>
      <w:r>
        <w:rPr>
          <w:rFonts w:ascii="Arial" w:hAnsi="Arial" w:cs="Arial"/>
          <w:sz w:val="24"/>
          <w:szCs w:val="24"/>
          <w:lang w:eastAsia="cs-CZ"/>
        </w:rPr>
        <w:t>Tento p</w:t>
      </w:r>
      <w:r w:rsidR="0054479E">
        <w:rPr>
          <w:rFonts w:ascii="Arial" w:hAnsi="Arial" w:cs="Arial"/>
          <w:sz w:val="24"/>
          <w:szCs w:val="24"/>
          <w:lang w:eastAsia="cs-CZ"/>
        </w:rPr>
        <w:t>rogram nebyl členěn na podprogramy a v průběhu jeho trvání byly vyhlášeny v souladu s textem programu tři veřejné soutěže (v letech 2009, 2010 a 2012)</w:t>
      </w:r>
      <w:r w:rsidR="004A4392">
        <w:rPr>
          <w:rFonts w:ascii="Arial" w:hAnsi="Arial" w:cs="Arial"/>
          <w:sz w:val="24"/>
          <w:szCs w:val="24"/>
          <w:lang w:eastAsia="cs-CZ"/>
        </w:rPr>
        <w:t xml:space="preserve">. </w:t>
      </w:r>
      <w:r w:rsidR="003B36F8">
        <w:rPr>
          <w:rFonts w:ascii="Arial" w:hAnsi="Arial" w:cs="Arial"/>
          <w:sz w:val="24"/>
          <w:szCs w:val="24"/>
        </w:rPr>
        <w:t xml:space="preserve">Celkově bylo </w:t>
      </w:r>
      <w:r w:rsidR="00DC091E">
        <w:rPr>
          <w:rFonts w:ascii="Arial" w:hAnsi="Arial" w:cs="Arial"/>
          <w:sz w:val="24"/>
          <w:szCs w:val="24"/>
        </w:rPr>
        <w:t xml:space="preserve">dle poskytovatele </w:t>
      </w:r>
      <w:r w:rsidR="003B36F8">
        <w:rPr>
          <w:rFonts w:ascii="Arial" w:hAnsi="Arial" w:cs="Arial"/>
          <w:sz w:val="24"/>
          <w:szCs w:val="24"/>
        </w:rPr>
        <w:t>do veřejných soutěží přihlášeno 742 návrhů projektů, 134 z nich bylo doporučeno</w:t>
      </w:r>
      <w:r w:rsidR="004A4392">
        <w:rPr>
          <w:rFonts w:ascii="Arial" w:hAnsi="Arial" w:cs="Arial"/>
          <w:sz w:val="24"/>
          <w:szCs w:val="24"/>
        </w:rPr>
        <w:t> </w:t>
      </w:r>
      <w:r w:rsidR="003B36F8">
        <w:rPr>
          <w:rFonts w:ascii="Arial" w:hAnsi="Arial" w:cs="Arial"/>
          <w:sz w:val="24"/>
          <w:szCs w:val="24"/>
        </w:rPr>
        <w:t>k realizaci.</w:t>
      </w:r>
    </w:p>
    <w:p w:rsidR="004E214F" w:rsidRPr="00FA4AF6" w:rsidRDefault="004E214F" w:rsidP="004E214F">
      <w:pPr>
        <w:spacing w:after="120" w:line="240" w:lineRule="auto"/>
        <w:jc w:val="both"/>
        <w:rPr>
          <w:rFonts w:ascii="Arial" w:hAnsi="Arial" w:cs="Arial"/>
          <w:sz w:val="24"/>
          <w:szCs w:val="24"/>
        </w:rPr>
      </w:pPr>
      <w:r>
        <w:rPr>
          <w:rFonts w:ascii="Arial" w:hAnsi="Arial" w:cs="Arial"/>
          <w:sz w:val="24"/>
          <w:szCs w:val="24"/>
        </w:rPr>
        <w:t>K hodnocení programu Bezpečnostní výzkum</w:t>
      </w:r>
      <w:r w:rsidRPr="00FA4AF6">
        <w:rPr>
          <w:rFonts w:ascii="Arial" w:hAnsi="Arial" w:cs="Arial"/>
          <w:sz w:val="24"/>
          <w:szCs w:val="24"/>
        </w:rPr>
        <w:t xml:space="preserve"> bylo využito </w:t>
      </w:r>
      <w:r>
        <w:rPr>
          <w:rFonts w:ascii="Arial" w:hAnsi="Arial" w:cs="Arial"/>
          <w:sz w:val="24"/>
          <w:szCs w:val="24"/>
        </w:rPr>
        <w:t xml:space="preserve">informací, které Radě předložilo MV v dokumentu Závěrečné hodnocení programu VG – Bezpečnostní výzkum ČR 2010 – 2015 </w:t>
      </w:r>
      <w:r w:rsidR="00332290">
        <w:rPr>
          <w:rFonts w:ascii="Arial" w:hAnsi="Arial" w:cs="Arial"/>
          <w:sz w:val="24"/>
          <w:szCs w:val="24"/>
        </w:rPr>
        <w:t xml:space="preserve">(dále jen </w:t>
      </w:r>
      <w:r w:rsidR="000554E8">
        <w:rPr>
          <w:rFonts w:ascii="Arial" w:hAnsi="Arial" w:cs="Arial"/>
          <w:sz w:val="24"/>
          <w:szCs w:val="24"/>
        </w:rPr>
        <w:t>„</w:t>
      </w:r>
      <w:r w:rsidR="00332290">
        <w:rPr>
          <w:rFonts w:ascii="Arial" w:hAnsi="Arial" w:cs="Arial"/>
          <w:sz w:val="24"/>
          <w:szCs w:val="24"/>
        </w:rPr>
        <w:t xml:space="preserve">Závěrečné hodnocení MV“) </w:t>
      </w:r>
      <w:r>
        <w:rPr>
          <w:rFonts w:ascii="Arial" w:hAnsi="Arial" w:cs="Arial"/>
          <w:sz w:val="24"/>
          <w:szCs w:val="24"/>
        </w:rPr>
        <w:t>dopisem ze dne 2.</w:t>
      </w:r>
      <w:r w:rsidR="000554E8">
        <w:rPr>
          <w:rFonts w:ascii="Arial" w:hAnsi="Arial" w:cs="Arial"/>
          <w:sz w:val="24"/>
          <w:szCs w:val="24"/>
        </w:rPr>
        <w:t> </w:t>
      </w:r>
      <w:r>
        <w:rPr>
          <w:rFonts w:ascii="Arial" w:hAnsi="Arial" w:cs="Arial"/>
          <w:sz w:val="24"/>
          <w:szCs w:val="24"/>
        </w:rPr>
        <w:t>prosince 2016.</w:t>
      </w:r>
      <w:r w:rsidR="00EA1B9E">
        <w:rPr>
          <w:rFonts w:ascii="Arial" w:hAnsi="Arial" w:cs="Arial"/>
          <w:sz w:val="24"/>
          <w:szCs w:val="24"/>
        </w:rPr>
        <w:t xml:space="preserve"> (Závěrečné hodnocení MV je obsahem přílohy č. 3.)</w:t>
      </w:r>
      <w:r w:rsidR="00670E47">
        <w:rPr>
          <w:rFonts w:ascii="Arial" w:hAnsi="Arial" w:cs="Arial"/>
          <w:sz w:val="24"/>
          <w:szCs w:val="24"/>
        </w:rPr>
        <w:tab/>
      </w:r>
      <w:r w:rsidRPr="00FA4AF6">
        <w:rPr>
          <w:rFonts w:ascii="Arial" w:hAnsi="Arial" w:cs="Arial"/>
          <w:sz w:val="24"/>
          <w:szCs w:val="24"/>
        </w:rPr>
        <w:t xml:space="preserve"> </w:t>
      </w:r>
    </w:p>
    <w:p w:rsidR="00CB7736" w:rsidRDefault="00453101" w:rsidP="00C4445E">
      <w:pPr>
        <w:pStyle w:val="Nadpis3"/>
        <w:numPr>
          <w:ilvl w:val="1"/>
          <w:numId w:val="36"/>
        </w:numPr>
        <w:spacing w:before="0" w:after="120" w:line="240" w:lineRule="auto"/>
      </w:pPr>
      <w:r w:rsidRPr="00DD6513">
        <w:t>Výsledky programu</w:t>
      </w:r>
    </w:p>
    <w:p w:rsidR="00453101" w:rsidRDefault="00661920" w:rsidP="008506B5">
      <w:pPr>
        <w:pStyle w:val="Nadpis3"/>
        <w:spacing w:before="0" w:after="120" w:line="240" w:lineRule="auto"/>
        <w:jc w:val="both"/>
        <w:rPr>
          <w:rFonts w:cs="Arial"/>
          <w:b w:val="0"/>
          <w:color w:val="000000"/>
          <w:szCs w:val="24"/>
        </w:rPr>
      </w:pPr>
      <w:r>
        <w:rPr>
          <w:rFonts w:cs="Arial"/>
          <w:b w:val="0"/>
          <w:color w:val="000000"/>
          <w:szCs w:val="24"/>
        </w:rPr>
        <w:t>MV</w:t>
      </w:r>
      <w:r w:rsidR="00453101" w:rsidRPr="00CB7736">
        <w:rPr>
          <w:rFonts w:cs="Arial"/>
          <w:b w:val="0"/>
          <w:color w:val="000000"/>
          <w:szCs w:val="24"/>
        </w:rPr>
        <w:t xml:space="preserve"> posoudil</w:t>
      </w:r>
      <w:r>
        <w:rPr>
          <w:rFonts w:cs="Arial"/>
          <w:b w:val="0"/>
          <w:color w:val="000000"/>
          <w:szCs w:val="24"/>
        </w:rPr>
        <w:t>o</w:t>
      </w:r>
      <w:r w:rsidR="00453101" w:rsidRPr="00CB7736">
        <w:rPr>
          <w:rFonts w:cs="Arial"/>
          <w:b w:val="0"/>
          <w:color w:val="000000"/>
          <w:szCs w:val="24"/>
        </w:rPr>
        <w:t xml:space="preserve"> kvalitu výsledků samostatně v rámci závěrečného posuzování projektů. Stav výsledkových indikátorů </w:t>
      </w:r>
      <w:r w:rsidR="008506B5">
        <w:rPr>
          <w:rFonts w:cs="Arial"/>
          <w:b w:val="0"/>
          <w:color w:val="000000"/>
          <w:szCs w:val="24"/>
        </w:rPr>
        <w:t xml:space="preserve">programu </w:t>
      </w:r>
      <w:r w:rsidR="00453101" w:rsidRPr="00CB7736">
        <w:rPr>
          <w:rFonts w:cs="Arial"/>
          <w:b w:val="0"/>
          <w:color w:val="000000"/>
          <w:szCs w:val="24"/>
        </w:rPr>
        <w:t xml:space="preserve">je uveden v tabulce č. </w:t>
      </w:r>
      <w:r w:rsidR="00DC091E">
        <w:rPr>
          <w:rFonts w:cs="Arial"/>
          <w:b w:val="0"/>
          <w:color w:val="000000"/>
          <w:szCs w:val="24"/>
        </w:rPr>
        <w:t>2</w:t>
      </w:r>
      <w:r w:rsidR="00CB3F3A">
        <w:rPr>
          <w:rFonts w:cs="Arial"/>
          <w:b w:val="0"/>
          <w:color w:val="000000"/>
          <w:szCs w:val="24"/>
        </w:rPr>
        <w:t>.</w:t>
      </w:r>
    </w:p>
    <w:p w:rsidR="00CB3F3A" w:rsidRPr="00551E0B" w:rsidRDefault="00CB3F3A" w:rsidP="00CB3F3A">
      <w:pPr>
        <w:keepNext/>
        <w:spacing w:after="120" w:line="240" w:lineRule="auto"/>
        <w:jc w:val="both"/>
        <w:rPr>
          <w:rFonts w:ascii="Arial" w:hAnsi="Arial" w:cs="Arial"/>
          <w:b/>
          <w:sz w:val="24"/>
          <w:szCs w:val="24"/>
        </w:rPr>
      </w:pPr>
      <w:r w:rsidRPr="00551E0B">
        <w:rPr>
          <w:rFonts w:ascii="Arial" w:hAnsi="Arial" w:cs="Arial"/>
          <w:b/>
          <w:sz w:val="24"/>
          <w:szCs w:val="24"/>
        </w:rPr>
        <w:t xml:space="preserve">Tabulka </w:t>
      </w:r>
      <w:r>
        <w:rPr>
          <w:rFonts w:ascii="Arial" w:hAnsi="Arial" w:cs="Arial"/>
          <w:b/>
          <w:sz w:val="24"/>
          <w:szCs w:val="24"/>
        </w:rPr>
        <w:t>2</w:t>
      </w:r>
      <w:r w:rsidRPr="00551E0B">
        <w:rPr>
          <w:rFonts w:ascii="Arial" w:hAnsi="Arial" w:cs="Arial"/>
          <w:b/>
          <w:sz w:val="24"/>
          <w:szCs w:val="24"/>
        </w:rPr>
        <w:t xml:space="preserve">: </w:t>
      </w:r>
      <w:r w:rsidRPr="00551E0B">
        <w:rPr>
          <w:rFonts w:ascii="Arial" w:hAnsi="Arial" w:cs="Arial"/>
          <w:sz w:val="24"/>
          <w:szCs w:val="24"/>
        </w:rPr>
        <w:t>Definované kódy a počty výsledků programu Bezpečnostní výzkum</w:t>
      </w:r>
      <w:r w:rsidRPr="00551E0B">
        <w:rPr>
          <w:rStyle w:val="Znakapoznpodarou"/>
          <w:rFonts w:ascii="Arial" w:hAnsi="Arial"/>
          <w:sz w:val="24"/>
          <w:szCs w:val="24"/>
        </w:rPr>
        <w:footnoteReference w:id="2"/>
      </w:r>
      <w:r w:rsidRPr="00551E0B">
        <w:rPr>
          <w:rFonts w:ascii="Arial" w:hAnsi="Arial" w:cs="Arial"/>
          <w:b/>
          <w:sz w:val="24"/>
          <w:szCs w:val="24"/>
        </w:rPr>
        <w:t xml:space="preserve"> </w:t>
      </w:r>
    </w:p>
    <w:tbl>
      <w:tblPr>
        <w:tblStyle w:val="Mkatabulky"/>
        <w:tblW w:w="0" w:type="auto"/>
        <w:jc w:val="center"/>
        <w:tblLook w:val="04A0" w:firstRow="1" w:lastRow="0" w:firstColumn="1" w:lastColumn="0" w:noHBand="0" w:noVBand="1"/>
      </w:tblPr>
      <w:tblGrid>
        <w:gridCol w:w="1526"/>
        <w:gridCol w:w="1291"/>
        <w:gridCol w:w="1459"/>
        <w:gridCol w:w="1546"/>
        <w:gridCol w:w="2224"/>
        <w:gridCol w:w="1242"/>
      </w:tblGrid>
      <w:tr w:rsidR="00CB3F3A" w:rsidRPr="00551E0B" w:rsidTr="00531673">
        <w:trPr>
          <w:jc w:val="center"/>
        </w:trPr>
        <w:tc>
          <w:tcPr>
            <w:tcW w:w="1526"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CB3F3A" w:rsidRPr="00551E0B" w:rsidRDefault="00CB3F3A" w:rsidP="00B57A37">
            <w:pPr>
              <w:jc w:val="center"/>
              <w:rPr>
                <w:rFonts w:ascii="Arial" w:hAnsi="Arial" w:cs="Arial"/>
                <w:color w:val="000000"/>
                <w:sz w:val="20"/>
                <w:szCs w:val="20"/>
                <w:lang w:eastAsia="cs-CZ"/>
              </w:rPr>
            </w:pPr>
            <w:r w:rsidRPr="00551E0B">
              <w:rPr>
                <w:rFonts w:ascii="Arial" w:hAnsi="Arial" w:cs="Arial"/>
                <w:color w:val="000000"/>
                <w:sz w:val="20"/>
                <w:szCs w:val="20"/>
                <w:lang w:eastAsia="cs-CZ"/>
              </w:rPr>
              <w:t>Výsledky publikační</w:t>
            </w:r>
          </w:p>
          <w:p w:rsidR="00CB3F3A" w:rsidRPr="00551E0B" w:rsidRDefault="00CB3F3A" w:rsidP="0035428D">
            <w:pPr>
              <w:jc w:val="center"/>
              <w:rPr>
                <w:rFonts w:ascii="Arial" w:hAnsi="Arial" w:cs="Arial"/>
                <w:sz w:val="20"/>
                <w:szCs w:val="20"/>
              </w:rPr>
            </w:pPr>
            <w:r w:rsidRPr="00551E0B">
              <w:rPr>
                <w:rFonts w:ascii="Arial" w:hAnsi="Arial" w:cs="Arial"/>
                <w:color w:val="000000"/>
                <w:sz w:val="20"/>
                <w:szCs w:val="20"/>
                <w:lang w:eastAsia="cs-CZ"/>
              </w:rPr>
              <w:t>(B, C, D, J)</w:t>
            </w:r>
          </w:p>
        </w:tc>
        <w:tc>
          <w:tcPr>
            <w:tcW w:w="7762" w:type="dxa"/>
            <w:gridSpan w:val="5"/>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CB3F3A" w:rsidRPr="00551E0B" w:rsidRDefault="00CB3F3A" w:rsidP="00B57A37">
            <w:pPr>
              <w:jc w:val="center"/>
              <w:rPr>
                <w:rFonts w:ascii="Arial" w:hAnsi="Arial" w:cs="Arial"/>
                <w:sz w:val="20"/>
                <w:szCs w:val="20"/>
              </w:rPr>
            </w:pPr>
            <w:r w:rsidRPr="00551E0B">
              <w:rPr>
                <w:rFonts w:ascii="Arial" w:hAnsi="Arial" w:cs="Arial"/>
                <w:color w:val="000000"/>
                <w:sz w:val="20"/>
                <w:szCs w:val="20"/>
                <w:lang w:eastAsia="cs-CZ"/>
              </w:rPr>
              <w:t>Výsledky nepublikační</w:t>
            </w:r>
          </w:p>
        </w:tc>
      </w:tr>
      <w:tr w:rsidR="00CB3F3A" w:rsidRPr="00551E0B" w:rsidTr="00531673">
        <w:trPr>
          <w:trHeight w:val="536"/>
          <w:jc w:val="center"/>
        </w:trPr>
        <w:tc>
          <w:tcPr>
            <w:tcW w:w="1526" w:type="dxa"/>
            <w:vMerge w:val="restart"/>
            <w:tcBorders>
              <w:top w:val="single" w:sz="12" w:space="0" w:color="auto"/>
              <w:left w:val="single" w:sz="12" w:space="0" w:color="auto"/>
              <w:right w:val="single" w:sz="12" w:space="0" w:color="auto"/>
            </w:tcBorders>
            <w:vAlign w:val="center"/>
          </w:tcPr>
          <w:p w:rsidR="00CB3F3A" w:rsidRDefault="00CB3F3A" w:rsidP="00B57A37">
            <w:pPr>
              <w:jc w:val="center"/>
              <w:rPr>
                <w:rFonts w:ascii="Arial" w:hAnsi="Arial" w:cs="Arial"/>
                <w:color w:val="000000"/>
                <w:sz w:val="20"/>
                <w:szCs w:val="20"/>
                <w:lang w:eastAsia="cs-CZ"/>
              </w:rPr>
            </w:pPr>
            <w:r w:rsidRPr="00551E0B">
              <w:rPr>
                <w:rFonts w:ascii="Arial" w:hAnsi="Arial" w:cs="Arial"/>
                <w:color w:val="000000"/>
                <w:sz w:val="20"/>
                <w:szCs w:val="20"/>
                <w:lang w:eastAsia="cs-CZ"/>
              </w:rPr>
              <w:t>15</w:t>
            </w:r>
            <w:r w:rsidR="00A65712">
              <w:rPr>
                <w:rFonts w:ascii="Arial" w:hAnsi="Arial" w:cs="Arial"/>
                <w:color w:val="000000"/>
                <w:sz w:val="20"/>
                <w:szCs w:val="20"/>
                <w:lang w:eastAsia="cs-CZ"/>
              </w:rPr>
              <w:t>03</w:t>
            </w:r>
          </w:p>
          <w:p w:rsidR="00CB3F3A" w:rsidRPr="00D56947" w:rsidRDefault="00CB3F3A" w:rsidP="00B57A37">
            <w:pPr>
              <w:jc w:val="center"/>
              <w:rPr>
                <w:rFonts w:ascii="Arial" w:hAnsi="Arial" w:cs="Arial"/>
                <w:i/>
                <w:color w:val="000000"/>
                <w:sz w:val="20"/>
                <w:szCs w:val="20"/>
                <w:lang w:eastAsia="cs-CZ"/>
              </w:rPr>
            </w:pPr>
            <w:r w:rsidRPr="00D56947">
              <w:rPr>
                <w:rFonts w:ascii="Arial" w:hAnsi="Arial" w:cs="Arial"/>
                <w:i/>
                <w:color w:val="000000"/>
                <w:sz w:val="20"/>
                <w:szCs w:val="20"/>
                <w:lang w:eastAsia="cs-CZ"/>
              </w:rPr>
              <w:t>(1555)</w:t>
            </w:r>
          </w:p>
          <w:p w:rsidR="00CB3F3A" w:rsidRPr="00551E0B" w:rsidRDefault="00CB3F3A" w:rsidP="00B57A37">
            <w:pPr>
              <w:jc w:val="center"/>
              <w:rPr>
                <w:rFonts w:ascii="Arial" w:hAnsi="Arial" w:cs="Arial"/>
                <w:sz w:val="20"/>
                <w:szCs w:val="20"/>
              </w:rPr>
            </w:pPr>
          </w:p>
        </w:tc>
        <w:tc>
          <w:tcPr>
            <w:tcW w:w="4296" w:type="dxa"/>
            <w:gridSpan w:val="3"/>
            <w:tcBorders>
              <w:top w:val="single" w:sz="12" w:space="0" w:color="auto"/>
              <w:left w:val="single" w:sz="12" w:space="0" w:color="auto"/>
              <w:right w:val="single" w:sz="12" w:space="0" w:color="auto"/>
            </w:tcBorders>
            <w:shd w:val="clear" w:color="auto" w:fill="EEECE1" w:themeFill="background2"/>
            <w:vAlign w:val="center"/>
          </w:tcPr>
          <w:p w:rsidR="00CB3F3A" w:rsidRPr="00551E0B" w:rsidRDefault="00CB3F3A" w:rsidP="00B57A37">
            <w:pPr>
              <w:jc w:val="center"/>
              <w:rPr>
                <w:rFonts w:ascii="Arial" w:hAnsi="Arial" w:cs="Arial"/>
                <w:sz w:val="20"/>
                <w:szCs w:val="20"/>
              </w:rPr>
            </w:pPr>
            <w:r w:rsidRPr="00551E0B">
              <w:rPr>
                <w:rFonts w:ascii="Arial" w:hAnsi="Arial" w:cs="Arial"/>
                <w:color w:val="000000"/>
                <w:sz w:val="20"/>
                <w:szCs w:val="20"/>
                <w:lang w:eastAsia="cs-CZ"/>
              </w:rPr>
              <w:t>aplikované</w:t>
            </w:r>
          </w:p>
        </w:tc>
        <w:tc>
          <w:tcPr>
            <w:tcW w:w="3466" w:type="dxa"/>
            <w:gridSpan w:val="2"/>
            <w:tcBorders>
              <w:top w:val="single" w:sz="12" w:space="0" w:color="auto"/>
              <w:left w:val="single" w:sz="12" w:space="0" w:color="auto"/>
              <w:right w:val="single" w:sz="12" w:space="0" w:color="auto"/>
            </w:tcBorders>
            <w:shd w:val="clear" w:color="auto" w:fill="EEECE1" w:themeFill="background2"/>
            <w:vAlign w:val="center"/>
          </w:tcPr>
          <w:p w:rsidR="00CB3F3A" w:rsidRPr="00551E0B" w:rsidRDefault="00CB3F3A" w:rsidP="00B57A37">
            <w:pPr>
              <w:jc w:val="center"/>
              <w:rPr>
                <w:rFonts w:ascii="Arial" w:hAnsi="Arial" w:cs="Arial"/>
                <w:sz w:val="20"/>
                <w:szCs w:val="20"/>
              </w:rPr>
            </w:pPr>
            <w:r w:rsidRPr="00551E0B">
              <w:rPr>
                <w:rFonts w:ascii="Arial" w:hAnsi="Arial" w:cs="Arial"/>
                <w:color w:val="000000"/>
                <w:sz w:val="20"/>
                <w:szCs w:val="20"/>
                <w:lang w:eastAsia="cs-CZ"/>
              </w:rPr>
              <w:t xml:space="preserve">ostatní </w:t>
            </w:r>
          </w:p>
        </w:tc>
      </w:tr>
      <w:tr w:rsidR="004B0CEB" w:rsidRPr="00551E0B" w:rsidTr="000E0F66">
        <w:trPr>
          <w:trHeight w:val="245"/>
          <w:jc w:val="center"/>
        </w:trPr>
        <w:tc>
          <w:tcPr>
            <w:tcW w:w="1526" w:type="dxa"/>
            <w:vMerge/>
            <w:tcBorders>
              <w:left w:val="single" w:sz="12" w:space="0" w:color="auto"/>
              <w:right w:val="single" w:sz="12" w:space="0" w:color="auto"/>
            </w:tcBorders>
            <w:vAlign w:val="center"/>
          </w:tcPr>
          <w:p w:rsidR="004B0CEB" w:rsidRPr="00551E0B" w:rsidRDefault="004B0CEB" w:rsidP="00B57A37">
            <w:pPr>
              <w:jc w:val="both"/>
              <w:rPr>
                <w:rFonts w:ascii="Arial" w:hAnsi="Arial" w:cs="Arial"/>
                <w:sz w:val="20"/>
                <w:szCs w:val="20"/>
              </w:rPr>
            </w:pPr>
          </w:p>
        </w:tc>
        <w:tc>
          <w:tcPr>
            <w:tcW w:w="1291" w:type="dxa"/>
            <w:tcBorders>
              <w:top w:val="single" w:sz="12" w:space="0" w:color="auto"/>
              <w:left w:val="single" w:sz="12" w:space="0" w:color="auto"/>
            </w:tcBorders>
            <w:shd w:val="clear" w:color="auto" w:fill="EEECE1" w:themeFill="background2"/>
            <w:vAlign w:val="center"/>
          </w:tcPr>
          <w:p w:rsidR="004B0CEB" w:rsidRPr="00551E0B" w:rsidRDefault="004B0CEB" w:rsidP="00B57A37">
            <w:pPr>
              <w:jc w:val="center"/>
              <w:rPr>
                <w:rFonts w:ascii="Arial" w:hAnsi="Arial" w:cs="Arial"/>
                <w:color w:val="000000"/>
                <w:sz w:val="16"/>
                <w:szCs w:val="16"/>
                <w:lang w:eastAsia="cs-CZ"/>
              </w:rPr>
            </w:pPr>
            <w:r w:rsidRPr="00551E0B">
              <w:rPr>
                <w:rFonts w:ascii="Arial" w:hAnsi="Arial" w:cs="Arial"/>
                <w:color w:val="000000"/>
                <w:sz w:val="16"/>
                <w:szCs w:val="16"/>
                <w:lang w:eastAsia="cs-CZ"/>
              </w:rPr>
              <w:t>patenty</w:t>
            </w:r>
          </w:p>
          <w:p w:rsidR="004B0CEB" w:rsidRPr="00551E0B" w:rsidRDefault="004B0CEB" w:rsidP="00B57A37">
            <w:pPr>
              <w:jc w:val="center"/>
              <w:rPr>
                <w:rFonts w:ascii="Arial" w:hAnsi="Arial" w:cs="Arial"/>
                <w:color w:val="000000"/>
                <w:sz w:val="16"/>
                <w:szCs w:val="16"/>
                <w:lang w:eastAsia="cs-CZ"/>
              </w:rPr>
            </w:pPr>
            <w:r w:rsidRPr="00551E0B">
              <w:rPr>
                <w:rFonts w:ascii="Arial" w:hAnsi="Arial" w:cs="Arial"/>
                <w:color w:val="000000"/>
                <w:sz w:val="16"/>
                <w:szCs w:val="16"/>
                <w:lang w:eastAsia="cs-CZ"/>
              </w:rPr>
              <w:t>(P)</w:t>
            </w:r>
          </w:p>
        </w:tc>
        <w:tc>
          <w:tcPr>
            <w:tcW w:w="1459" w:type="dxa"/>
            <w:tcBorders>
              <w:top w:val="single" w:sz="12" w:space="0" w:color="auto"/>
            </w:tcBorders>
            <w:shd w:val="clear" w:color="auto" w:fill="EEECE1" w:themeFill="background2"/>
            <w:vAlign w:val="center"/>
          </w:tcPr>
          <w:p w:rsidR="004B0CEB" w:rsidRPr="00551E0B" w:rsidRDefault="004B0CEB" w:rsidP="00B57A37">
            <w:pPr>
              <w:jc w:val="center"/>
              <w:rPr>
                <w:rFonts w:ascii="Arial" w:hAnsi="Arial" w:cs="Arial"/>
                <w:color w:val="000000"/>
                <w:sz w:val="16"/>
                <w:szCs w:val="16"/>
                <w:lang w:eastAsia="cs-CZ"/>
              </w:rPr>
            </w:pPr>
            <w:r w:rsidRPr="00551E0B">
              <w:rPr>
                <w:rFonts w:ascii="Arial" w:hAnsi="Arial" w:cs="Arial"/>
                <w:color w:val="000000"/>
                <w:sz w:val="16"/>
                <w:szCs w:val="16"/>
                <w:lang w:eastAsia="cs-CZ"/>
              </w:rPr>
              <w:t>užitné či průmyslové vzory (F)</w:t>
            </w:r>
          </w:p>
        </w:tc>
        <w:tc>
          <w:tcPr>
            <w:tcW w:w="1546" w:type="dxa"/>
            <w:tcBorders>
              <w:top w:val="single" w:sz="12" w:space="0" w:color="auto"/>
              <w:bottom w:val="single" w:sz="4" w:space="0" w:color="auto"/>
              <w:right w:val="single" w:sz="12" w:space="0" w:color="auto"/>
            </w:tcBorders>
            <w:shd w:val="clear" w:color="auto" w:fill="EEECE1" w:themeFill="background2"/>
            <w:vAlign w:val="center"/>
          </w:tcPr>
          <w:p w:rsidR="004B0CEB" w:rsidRPr="00551E0B" w:rsidRDefault="004B0CEB" w:rsidP="00B57A37">
            <w:pPr>
              <w:jc w:val="center"/>
              <w:rPr>
                <w:rFonts w:ascii="Arial" w:hAnsi="Arial" w:cs="Arial"/>
                <w:color w:val="000000"/>
                <w:sz w:val="16"/>
                <w:szCs w:val="16"/>
                <w:lang w:eastAsia="cs-CZ"/>
              </w:rPr>
            </w:pPr>
            <w:r w:rsidRPr="00551E0B">
              <w:rPr>
                <w:rFonts w:ascii="Arial" w:hAnsi="Arial" w:cs="Arial"/>
                <w:color w:val="000000"/>
                <w:sz w:val="16"/>
                <w:szCs w:val="16"/>
                <w:lang w:eastAsia="cs-CZ"/>
              </w:rPr>
              <w:t xml:space="preserve">další aplikované výsledky </w:t>
            </w:r>
            <w:r w:rsidRPr="00551E0B">
              <w:rPr>
                <w:rFonts w:ascii="Arial" w:hAnsi="Arial" w:cs="Arial"/>
                <w:color w:val="000000"/>
                <w:sz w:val="16"/>
                <w:szCs w:val="16"/>
                <w:lang w:eastAsia="cs-CZ"/>
              </w:rPr>
              <w:br/>
              <w:t>(Z, G, N, R</w:t>
            </w:r>
            <w:r>
              <w:rPr>
                <w:rFonts w:ascii="Arial" w:hAnsi="Arial" w:cs="Arial"/>
                <w:color w:val="000000"/>
                <w:sz w:val="16"/>
                <w:szCs w:val="16"/>
                <w:lang w:eastAsia="cs-CZ"/>
              </w:rPr>
              <w:t>,H</w:t>
            </w:r>
            <w:r w:rsidRPr="00551E0B">
              <w:rPr>
                <w:rFonts w:ascii="Arial" w:hAnsi="Arial" w:cs="Arial"/>
                <w:color w:val="000000"/>
                <w:sz w:val="16"/>
                <w:szCs w:val="16"/>
                <w:lang w:eastAsia="cs-CZ"/>
              </w:rPr>
              <w:t>)</w:t>
            </w:r>
          </w:p>
          <w:p w:rsidR="004B0CEB" w:rsidRPr="00551E0B" w:rsidRDefault="004B0CEB" w:rsidP="00B57A37">
            <w:pPr>
              <w:jc w:val="center"/>
              <w:rPr>
                <w:rFonts w:ascii="Arial" w:hAnsi="Arial" w:cs="Arial"/>
                <w:color w:val="000000"/>
                <w:sz w:val="16"/>
                <w:szCs w:val="16"/>
                <w:lang w:eastAsia="cs-CZ"/>
              </w:rPr>
            </w:pPr>
          </w:p>
        </w:tc>
        <w:tc>
          <w:tcPr>
            <w:tcW w:w="2224" w:type="dxa"/>
            <w:tcBorders>
              <w:top w:val="single" w:sz="12" w:space="0" w:color="auto"/>
              <w:left w:val="single" w:sz="12" w:space="0" w:color="auto"/>
              <w:bottom w:val="single" w:sz="4" w:space="0" w:color="auto"/>
              <w:right w:val="single" w:sz="4" w:space="0" w:color="auto"/>
            </w:tcBorders>
            <w:shd w:val="clear" w:color="auto" w:fill="EEECE1" w:themeFill="background2"/>
            <w:vAlign w:val="center"/>
          </w:tcPr>
          <w:p w:rsidR="004B0CEB" w:rsidRDefault="004B0CEB" w:rsidP="00B57A37">
            <w:pPr>
              <w:jc w:val="center"/>
              <w:rPr>
                <w:rFonts w:ascii="Arial" w:hAnsi="Arial" w:cs="Arial"/>
                <w:color w:val="000000"/>
                <w:sz w:val="16"/>
                <w:szCs w:val="16"/>
                <w:lang w:eastAsia="cs-CZ"/>
              </w:rPr>
            </w:pPr>
            <w:r>
              <w:rPr>
                <w:rFonts w:ascii="Arial" w:hAnsi="Arial" w:cs="Arial"/>
                <w:color w:val="000000"/>
                <w:sz w:val="16"/>
                <w:szCs w:val="16"/>
                <w:lang w:eastAsia="cs-CZ"/>
              </w:rPr>
              <w:t>v</w:t>
            </w:r>
            <w:r w:rsidRPr="00754210">
              <w:rPr>
                <w:rFonts w:ascii="Arial" w:hAnsi="Arial" w:cs="Arial"/>
                <w:color w:val="000000"/>
                <w:sz w:val="16"/>
                <w:szCs w:val="16"/>
                <w:lang w:eastAsia="cs-CZ"/>
              </w:rPr>
              <w:t>ýzkumné zprávy</w:t>
            </w:r>
            <w:r>
              <w:rPr>
                <w:rFonts w:ascii="Arial" w:hAnsi="Arial" w:cs="Arial"/>
                <w:color w:val="000000"/>
                <w:sz w:val="16"/>
                <w:szCs w:val="16"/>
                <w:lang w:eastAsia="cs-CZ"/>
              </w:rPr>
              <w:t>, workshop,</w:t>
            </w:r>
          </w:p>
          <w:p w:rsidR="004B0CEB" w:rsidRDefault="004B0CEB" w:rsidP="00B57A37">
            <w:pPr>
              <w:jc w:val="center"/>
              <w:rPr>
                <w:rFonts w:ascii="Arial" w:hAnsi="Arial" w:cs="Arial"/>
                <w:color w:val="000000"/>
                <w:sz w:val="16"/>
                <w:szCs w:val="16"/>
                <w:lang w:eastAsia="cs-CZ"/>
              </w:rPr>
            </w:pPr>
            <w:r>
              <w:rPr>
                <w:rFonts w:ascii="Arial" w:hAnsi="Arial" w:cs="Arial"/>
                <w:color w:val="000000"/>
                <w:sz w:val="16"/>
                <w:szCs w:val="16"/>
                <w:lang w:eastAsia="cs-CZ"/>
              </w:rPr>
              <w:t>seminář,</w:t>
            </w:r>
          </w:p>
          <w:p w:rsidR="004B0CEB" w:rsidRDefault="004B0CEB" w:rsidP="00B57A37">
            <w:pPr>
              <w:jc w:val="center"/>
              <w:rPr>
                <w:rFonts w:ascii="Arial" w:hAnsi="Arial" w:cs="Arial"/>
                <w:color w:val="000000"/>
                <w:sz w:val="16"/>
                <w:szCs w:val="16"/>
                <w:lang w:eastAsia="cs-CZ"/>
              </w:rPr>
            </w:pPr>
            <w:r>
              <w:rPr>
                <w:rFonts w:ascii="Arial" w:hAnsi="Arial" w:cs="Arial"/>
                <w:color w:val="000000"/>
                <w:sz w:val="16"/>
                <w:szCs w:val="16"/>
                <w:lang w:eastAsia="cs-CZ"/>
              </w:rPr>
              <w:t>audioviz. tvorba</w:t>
            </w:r>
          </w:p>
          <w:p w:rsidR="004B0CEB" w:rsidRPr="00754210" w:rsidRDefault="004B0CEB" w:rsidP="00B57A37">
            <w:pPr>
              <w:jc w:val="center"/>
              <w:rPr>
                <w:rFonts w:ascii="Arial" w:hAnsi="Arial" w:cs="Arial"/>
                <w:color w:val="000000"/>
                <w:sz w:val="16"/>
                <w:szCs w:val="16"/>
                <w:lang w:eastAsia="cs-CZ"/>
              </w:rPr>
            </w:pPr>
            <w:r>
              <w:rPr>
                <w:rFonts w:ascii="Arial" w:hAnsi="Arial" w:cs="Arial"/>
                <w:color w:val="000000"/>
                <w:sz w:val="16"/>
                <w:szCs w:val="16"/>
                <w:lang w:eastAsia="cs-CZ"/>
              </w:rPr>
              <w:t>(A,V, W, M)</w:t>
            </w:r>
          </w:p>
        </w:tc>
        <w:tc>
          <w:tcPr>
            <w:tcW w:w="1242" w:type="dxa"/>
            <w:tcBorders>
              <w:top w:val="single" w:sz="12" w:space="0" w:color="auto"/>
              <w:left w:val="single" w:sz="4" w:space="0" w:color="auto"/>
              <w:right w:val="single" w:sz="12" w:space="0" w:color="auto"/>
            </w:tcBorders>
            <w:shd w:val="clear" w:color="auto" w:fill="EEECE1" w:themeFill="background2"/>
            <w:vAlign w:val="center"/>
          </w:tcPr>
          <w:p w:rsidR="004B0CEB" w:rsidRDefault="004B0CEB" w:rsidP="00B57A37">
            <w:pPr>
              <w:jc w:val="center"/>
              <w:rPr>
                <w:rFonts w:ascii="Arial" w:hAnsi="Arial" w:cs="Arial"/>
                <w:color w:val="000000"/>
                <w:sz w:val="16"/>
                <w:szCs w:val="16"/>
                <w:lang w:eastAsia="cs-CZ"/>
              </w:rPr>
            </w:pPr>
            <w:r w:rsidRPr="00D56947">
              <w:rPr>
                <w:rFonts w:ascii="Arial" w:hAnsi="Arial" w:cs="Arial"/>
                <w:color w:val="000000"/>
                <w:sz w:val="16"/>
                <w:szCs w:val="16"/>
                <w:lang w:eastAsia="cs-CZ"/>
              </w:rPr>
              <w:t>Ostatní</w:t>
            </w:r>
          </w:p>
          <w:p w:rsidR="004B0CEB" w:rsidRPr="00D56947" w:rsidRDefault="004B0CEB" w:rsidP="00B57A37">
            <w:pPr>
              <w:jc w:val="center"/>
              <w:rPr>
                <w:rFonts w:ascii="Arial" w:hAnsi="Arial" w:cs="Arial"/>
                <w:color w:val="000000"/>
                <w:sz w:val="16"/>
                <w:szCs w:val="16"/>
                <w:lang w:eastAsia="cs-CZ"/>
              </w:rPr>
            </w:pPr>
            <w:r>
              <w:rPr>
                <w:rFonts w:ascii="Arial" w:hAnsi="Arial" w:cs="Arial"/>
                <w:color w:val="000000"/>
                <w:sz w:val="16"/>
                <w:szCs w:val="16"/>
                <w:lang w:eastAsia="cs-CZ"/>
              </w:rPr>
              <w:t>(O)</w:t>
            </w:r>
          </w:p>
        </w:tc>
      </w:tr>
      <w:tr w:rsidR="004B0CEB" w:rsidRPr="00551E0B" w:rsidTr="003A1A1D">
        <w:trPr>
          <w:jc w:val="center"/>
        </w:trPr>
        <w:tc>
          <w:tcPr>
            <w:tcW w:w="1526" w:type="dxa"/>
            <w:vMerge/>
            <w:tcBorders>
              <w:left w:val="single" w:sz="12" w:space="0" w:color="auto"/>
              <w:bottom w:val="single" w:sz="12" w:space="0" w:color="auto"/>
              <w:right w:val="single" w:sz="12" w:space="0" w:color="auto"/>
            </w:tcBorders>
            <w:vAlign w:val="center"/>
          </w:tcPr>
          <w:p w:rsidR="004B0CEB" w:rsidRPr="00551E0B" w:rsidRDefault="004B0CEB" w:rsidP="00B57A37">
            <w:pPr>
              <w:jc w:val="both"/>
              <w:rPr>
                <w:rFonts w:ascii="Arial" w:hAnsi="Arial" w:cs="Arial"/>
                <w:sz w:val="20"/>
                <w:szCs w:val="20"/>
              </w:rPr>
            </w:pPr>
          </w:p>
        </w:tc>
        <w:tc>
          <w:tcPr>
            <w:tcW w:w="1291" w:type="dxa"/>
            <w:tcBorders>
              <w:left w:val="single" w:sz="12" w:space="0" w:color="auto"/>
              <w:bottom w:val="single" w:sz="12" w:space="0" w:color="auto"/>
            </w:tcBorders>
            <w:vAlign w:val="center"/>
          </w:tcPr>
          <w:p w:rsidR="004B0CEB" w:rsidRDefault="004B0CEB" w:rsidP="00B57A37">
            <w:pPr>
              <w:jc w:val="center"/>
              <w:rPr>
                <w:rFonts w:ascii="Arial" w:hAnsi="Arial" w:cs="Arial"/>
                <w:color w:val="000000"/>
                <w:sz w:val="20"/>
                <w:szCs w:val="20"/>
                <w:lang w:eastAsia="cs-CZ"/>
              </w:rPr>
            </w:pPr>
            <w:r>
              <w:rPr>
                <w:rFonts w:ascii="Arial" w:hAnsi="Arial" w:cs="Arial"/>
                <w:color w:val="000000"/>
                <w:sz w:val="20"/>
                <w:szCs w:val="20"/>
                <w:lang w:eastAsia="cs-CZ"/>
              </w:rPr>
              <w:t>21</w:t>
            </w:r>
          </w:p>
          <w:p w:rsidR="004B0CEB" w:rsidRPr="00D56947" w:rsidRDefault="004B0CEB" w:rsidP="00B57A37">
            <w:pPr>
              <w:jc w:val="center"/>
              <w:rPr>
                <w:rFonts w:ascii="Arial" w:hAnsi="Arial" w:cs="Arial"/>
                <w:i/>
                <w:sz w:val="20"/>
                <w:szCs w:val="20"/>
              </w:rPr>
            </w:pPr>
            <w:r>
              <w:rPr>
                <w:rFonts w:ascii="Arial" w:hAnsi="Arial" w:cs="Arial"/>
                <w:i/>
                <w:color w:val="000000"/>
                <w:sz w:val="20"/>
                <w:szCs w:val="20"/>
                <w:lang w:eastAsia="cs-CZ"/>
              </w:rPr>
              <w:t>(</w:t>
            </w:r>
            <w:r w:rsidRPr="00D56947">
              <w:rPr>
                <w:rFonts w:ascii="Arial" w:hAnsi="Arial" w:cs="Arial"/>
                <w:i/>
                <w:color w:val="000000"/>
                <w:sz w:val="20"/>
                <w:szCs w:val="20"/>
                <w:lang w:eastAsia="cs-CZ"/>
              </w:rPr>
              <w:t>20</w:t>
            </w:r>
            <w:r>
              <w:rPr>
                <w:rFonts w:ascii="Arial" w:hAnsi="Arial" w:cs="Arial"/>
                <w:i/>
                <w:color w:val="000000"/>
                <w:sz w:val="20"/>
                <w:szCs w:val="20"/>
                <w:lang w:eastAsia="cs-CZ"/>
              </w:rPr>
              <w:t>)</w:t>
            </w:r>
          </w:p>
        </w:tc>
        <w:tc>
          <w:tcPr>
            <w:tcW w:w="1459" w:type="dxa"/>
            <w:tcBorders>
              <w:top w:val="nil"/>
              <w:bottom w:val="single" w:sz="12" w:space="0" w:color="auto"/>
            </w:tcBorders>
            <w:vAlign w:val="center"/>
          </w:tcPr>
          <w:p w:rsidR="004B0CEB" w:rsidRDefault="004B0CEB" w:rsidP="00B57A37">
            <w:pPr>
              <w:jc w:val="center"/>
              <w:rPr>
                <w:rFonts w:ascii="Arial" w:hAnsi="Arial" w:cs="Arial"/>
                <w:color w:val="000000"/>
                <w:sz w:val="20"/>
                <w:szCs w:val="20"/>
                <w:lang w:eastAsia="cs-CZ"/>
              </w:rPr>
            </w:pPr>
            <w:r w:rsidRPr="00D56947">
              <w:rPr>
                <w:rFonts w:ascii="Arial" w:hAnsi="Arial" w:cs="Arial"/>
                <w:color w:val="000000"/>
                <w:sz w:val="20"/>
                <w:szCs w:val="20"/>
                <w:lang w:eastAsia="cs-CZ"/>
              </w:rPr>
              <w:t>69</w:t>
            </w:r>
          </w:p>
          <w:p w:rsidR="004B0CEB" w:rsidRPr="00D56947" w:rsidRDefault="004B0CEB" w:rsidP="00B57A37">
            <w:pPr>
              <w:jc w:val="center"/>
              <w:rPr>
                <w:rFonts w:ascii="Arial" w:hAnsi="Arial" w:cs="Arial"/>
                <w:i/>
                <w:sz w:val="20"/>
                <w:szCs w:val="20"/>
              </w:rPr>
            </w:pPr>
            <w:r w:rsidRPr="00D56947">
              <w:rPr>
                <w:rFonts w:ascii="Arial" w:hAnsi="Arial" w:cs="Arial"/>
                <w:i/>
                <w:color w:val="000000"/>
                <w:sz w:val="20"/>
                <w:szCs w:val="20"/>
                <w:lang w:eastAsia="cs-CZ"/>
              </w:rPr>
              <w:t>(74)</w:t>
            </w:r>
          </w:p>
        </w:tc>
        <w:tc>
          <w:tcPr>
            <w:tcW w:w="1546" w:type="dxa"/>
            <w:tcBorders>
              <w:top w:val="single" w:sz="4" w:space="0" w:color="auto"/>
              <w:bottom w:val="single" w:sz="12" w:space="0" w:color="auto"/>
              <w:right w:val="single" w:sz="12" w:space="0" w:color="auto"/>
            </w:tcBorders>
            <w:vAlign w:val="center"/>
          </w:tcPr>
          <w:p w:rsidR="004B0CEB" w:rsidRDefault="004B0CEB" w:rsidP="00B57A37">
            <w:pPr>
              <w:jc w:val="center"/>
              <w:rPr>
                <w:rFonts w:ascii="Arial" w:hAnsi="Arial" w:cs="Arial"/>
                <w:color w:val="000000"/>
                <w:sz w:val="20"/>
                <w:szCs w:val="20"/>
                <w:lang w:eastAsia="cs-CZ"/>
              </w:rPr>
            </w:pPr>
            <w:r w:rsidRPr="00D56947">
              <w:rPr>
                <w:rFonts w:ascii="Arial" w:hAnsi="Arial" w:cs="Arial"/>
                <w:color w:val="000000"/>
                <w:sz w:val="20"/>
                <w:szCs w:val="20"/>
                <w:lang w:eastAsia="cs-CZ"/>
              </w:rPr>
              <w:t>6</w:t>
            </w:r>
            <w:r>
              <w:rPr>
                <w:rFonts w:ascii="Arial" w:hAnsi="Arial" w:cs="Arial"/>
                <w:color w:val="000000"/>
                <w:sz w:val="20"/>
                <w:szCs w:val="20"/>
                <w:lang w:eastAsia="cs-CZ"/>
              </w:rPr>
              <w:t>63</w:t>
            </w:r>
          </w:p>
          <w:p w:rsidR="004B0CEB" w:rsidRPr="00D56947" w:rsidRDefault="004B0CEB" w:rsidP="004B0CEB">
            <w:pPr>
              <w:jc w:val="center"/>
              <w:rPr>
                <w:rFonts w:ascii="Arial" w:hAnsi="Arial" w:cs="Arial"/>
                <w:i/>
                <w:sz w:val="20"/>
                <w:szCs w:val="20"/>
              </w:rPr>
            </w:pPr>
            <w:r w:rsidRPr="00D56947">
              <w:rPr>
                <w:rFonts w:ascii="Arial" w:hAnsi="Arial" w:cs="Arial"/>
                <w:i/>
                <w:color w:val="000000"/>
                <w:sz w:val="20"/>
                <w:szCs w:val="20"/>
                <w:lang w:eastAsia="cs-CZ"/>
              </w:rPr>
              <w:t>(6</w:t>
            </w:r>
            <w:r>
              <w:rPr>
                <w:rFonts w:ascii="Arial" w:hAnsi="Arial" w:cs="Arial"/>
                <w:i/>
                <w:color w:val="000000"/>
                <w:sz w:val="20"/>
                <w:szCs w:val="20"/>
                <w:lang w:eastAsia="cs-CZ"/>
              </w:rPr>
              <w:t>97</w:t>
            </w:r>
            <w:r w:rsidRPr="00D56947">
              <w:rPr>
                <w:rFonts w:ascii="Arial" w:hAnsi="Arial" w:cs="Arial"/>
                <w:i/>
                <w:color w:val="000000"/>
                <w:sz w:val="20"/>
                <w:szCs w:val="20"/>
                <w:lang w:eastAsia="cs-CZ"/>
              </w:rPr>
              <w:t>)</w:t>
            </w:r>
          </w:p>
        </w:tc>
        <w:tc>
          <w:tcPr>
            <w:tcW w:w="2224" w:type="dxa"/>
            <w:tcBorders>
              <w:top w:val="single" w:sz="4" w:space="0" w:color="auto"/>
              <w:left w:val="single" w:sz="12" w:space="0" w:color="auto"/>
              <w:bottom w:val="single" w:sz="12" w:space="0" w:color="auto"/>
              <w:right w:val="single" w:sz="4" w:space="0" w:color="auto"/>
            </w:tcBorders>
            <w:vAlign w:val="center"/>
          </w:tcPr>
          <w:p w:rsidR="004B0CEB" w:rsidRDefault="004B0CEB" w:rsidP="00B57A37">
            <w:pPr>
              <w:jc w:val="center"/>
              <w:rPr>
                <w:rFonts w:ascii="Arial" w:hAnsi="Arial" w:cs="Arial"/>
                <w:sz w:val="20"/>
                <w:szCs w:val="20"/>
              </w:rPr>
            </w:pPr>
            <w:r>
              <w:rPr>
                <w:rFonts w:ascii="Arial" w:hAnsi="Arial" w:cs="Arial"/>
                <w:sz w:val="20"/>
                <w:szCs w:val="20"/>
              </w:rPr>
              <w:t>69</w:t>
            </w:r>
          </w:p>
          <w:p w:rsidR="004B0CEB" w:rsidRPr="00661920" w:rsidRDefault="004B0CEB" w:rsidP="00B57A37">
            <w:pPr>
              <w:jc w:val="center"/>
              <w:rPr>
                <w:rFonts w:ascii="Arial" w:hAnsi="Arial" w:cs="Arial"/>
                <w:i/>
                <w:sz w:val="20"/>
                <w:szCs w:val="20"/>
              </w:rPr>
            </w:pPr>
            <w:r>
              <w:rPr>
                <w:rFonts w:ascii="Arial" w:hAnsi="Arial" w:cs="Arial"/>
                <w:i/>
                <w:sz w:val="20"/>
                <w:szCs w:val="20"/>
              </w:rPr>
              <w:t>(</w:t>
            </w:r>
            <w:r w:rsidRPr="00661920">
              <w:rPr>
                <w:rFonts w:ascii="Arial" w:hAnsi="Arial" w:cs="Arial"/>
                <w:i/>
                <w:sz w:val="20"/>
                <w:szCs w:val="20"/>
              </w:rPr>
              <w:t>36</w:t>
            </w:r>
            <w:r>
              <w:rPr>
                <w:rFonts w:ascii="Arial" w:hAnsi="Arial" w:cs="Arial"/>
                <w:i/>
                <w:sz w:val="20"/>
                <w:szCs w:val="20"/>
              </w:rPr>
              <w:t>)</w:t>
            </w:r>
          </w:p>
        </w:tc>
        <w:tc>
          <w:tcPr>
            <w:tcW w:w="1242" w:type="dxa"/>
            <w:tcBorders>
              <w:left w:val="single" w:sz="4" w:space="0" w:color="auto"/>
              <w:bottom w:val="single" w:sz="12" w:space="0" w:color="auto"/>
              <w:right w:val="single" w:sz="12" w:space="0" w:color="auto"/>
            </w:tcBorders>
            <w:vAlign w:val="center"/>
          </w:tcPr>
          <w:p w:rsidR="004B0CEB" w:rsidRDefault="004B0CEB" w:rsidP="00B57A37">
            <w:pPr>
              <w:jc w:val="center"/>
              <w:rPr>
                <w:rFonts w:ascii="Arial" w:hAnsi="Arial" w:cs="Arial"/>
                <w:sz w:val="20"/>
                <w:szCs w:val="20"/>
              </w:rPr>
            </w:pPr>
            <w:r w:rsidRPr="00D56947">
              <w:rPr>
                <w:rFonts w:ascii="Arial" w:hAnsi="Arial" w:cs="Arial"/>
                <w:sz w:val="20"/>
                <w:szCs w:val="20"/>
              </w:rPr>
              <w:t>325</w:t>
            </w:r>
          </w:p>
          <w:p w:rsidR="004B0CEB" w:rsidRPr="00661920" w:rsidRDefault="004B0CEB" w:rsidP="00B57A37">
            <w:pPr>
              <w:jc w:val="center"/>
              <w:rPr>
                <w:rFonts w:ascii="Arial" w:hAnsi="Arial" w:cs="Arial"/>
                <w:i/>
                <w:sz w:val="20"/>
                <w:szCs w:val="20"/>
              </w:rPr>
            </w:pPr>
            <w:r w:rsidRPr="00661920">
              <w:rPr>
                <w:rFonts w:ascii="Arial" w:hAnsi="Arial" w:cs="Arial"/>
                <w:i/>
                <w:sz w:val="20"/>
                <w:szCs w:val="20"/>
              </w:rPr>
              <w:t>(393)</w:t>
            </w:r>
          </w:p>
        </w:tc>
      </w:tr>
    </w:tbl>
    <w:p w:rsidR="00CB3F3A" w:rsidRDefault="00CB3F3A" w:rsidP="00CB3F3A">
      <w:pPr>
        <w:spacing w:after="120" w:line="240" w:lineRule="auto"/>
        <w:jc w:val="both"/>
        <w:rPr>
          <w:rFonts w:ascii="Arial" w:hAnsi="Arial" w:cs="Arial"/>
          <w:b/>
          <w:sz w:val="24"/>
          <w:szCs w:val="24"/>
        </w:rPr>
      </w:pPr>
    </w:p>
    <w:p w:rsidR="00CB3F3A" w:rsidRPr="00713CD8" w:rsidRDefault="00CB3F3A" w:rsidP="00CB3F3A">
      <w:pPr>
        <w:spacing w:after="120" w:line="240" w:lineRule="auto"/>
        <w:jc w:val="both"/>
        <w:rPr>
          <w:rFonts w:ascii="Arial" w:hAnsi="Arial" w:cs="Arial"/>
          <w:sz w:val="18"/>
          <w:szCs w:val="18"/>
        </w:rPr>
      </w:pPr>
      <w:r w:rsidRPr="00713CD8">
        <w:rPr>
          <w:rFonts w:ascii="Arial" w:hAnsi="Arial" w:cs="Arial"/>
          <w:b/>
          <w:sz w:val="18"/>
          <w:szCs w:val="18"/>
        </w:rPr>
        <w:t>Poznámka:</w:t>
      </w:r>
      <w:r w:rsidRPr="00713CD8">
        <w:rPr>
          <w:rFonts w:ascii="Arial" w:hAnsi="Arial" w:cs="Arial"/>
          <w:sz w:val="18"/>
          <w:szCs w:val="18"/>
        </w:rPr>
        <w:t xml:space="preserve"> V závorkách jsou uvedeny kódy výsledků definovaných v příloze č. 2 Metodiky hodnocení, číslo značí počet dosažených výsledků v rámci programu Bezpečnostní výzkum v uvedené skupině. </w:t>
      </w:r>
    </w:p>
    <w:p w:rsidR="00CB3F3A" w:rsidRPr="00713CD8" w:rsidRDefault="00CB3F3A" w:rsidP="00CB3F3A">
      <w:pPr>
        <w:spacing w:after="120" w:line="240" w:lineRule="auto"/>
        <w:jc w:val="both"/>
        <w:rPr>
          <w:rFonts w:ascii="Arial" w:hAnsi="Arial" w:cs="Arial"/>
          <w:sz w:val="18"/>
          <w:szCs w:val="18"/>
        </w:rPr>
      </w:pPr>
      <w:r w:rsidRPr="00713CD8">
        <w:rPr>
          <w:rFonts w:ascii="Arial" w:hAnsi="Arial" w:cs="Arial"/>
          <w:sz w:val="18"/>
          <w:szCs w:val="18"/>
        </w:rPr>
        <w:t>Čísla uvedená kurzivou v závorkách představují počty výsledků, které MV uvedlo v Závěrečné</w:t>
      </w:r>
      <w:r w:rsidR="004B0CEB">
        <w:rPr>
          <w:rFonts w:ascii="Arial" w:hAnsi="Arial" w:cs="Arial"/>
          <w:sz w:val="18"/>
          <w:szCs w:val="18"/>
        </w:rPr>
        <w:t>m</w:t>
      </w:r>
      <w:r w:rsidRPr="00713CD8">
        <w:rPr>
          <w:rFonts w:ascii="Arial" w:hAnsi="Arial" w:cs="Arial"/>
          <w:sz w:val="18"/>
          <w:szCs w:val="18"/>
        </w:rPr>
        <w:t xml:space="preserve"> hodno</w:t>
      </w:r>
      <w:r w:rsidR="004B0CEB">
        <w:rPr>
          <w:rFonts w:ascii="Arial" w:hAnsi="Arial" w:cs="Arial"/>
          <w:sz w:val="18"/>
          <w:szCs w:val="18"/>
        </w:rPr>
        <w:t>cení.</w:t>
      </w:r>
    </w:p>
    <w:p w:rsidR="00670AF1" w:rsidRDefault="00CB3F3A" w:rsidP="00CB3F3A">
      <w:pPr>
        <w:pStyle w:val="Text"/>
        <w:overflowPunct w:val="0"/>
        <w:autoSpaceDE w:val="0"/>
        <w:autoSpaceDN w:val="0"/>
        <w:adjustRightInd w:val="0"/>
        <w:spacing w:after="120" w:line="240" w:lineRule="auto"/>
        <w:ind w:firstLine="0"/>
        <w:textAlignment w:val="baseline"/>
        <w:rPr>
          <w:rFonts w:ascii="Arial" w:hAnsi="Arial" w:cs="Arial"/>
        </w:rPr>
      </w:pPr>
      <w:r w:rsidRPr="00220BFC">
        <w:rPr>
          <w:rFonts w:ascii="Arial" w:hAnsi="Arial" w:cs="Arial"/>
        </w:rPr>
        <w:t>Poskytovatel ve své</w:t>
      </w:r>
      <w:r w:rsidR="009566B3">
        <w:rPr>
          <w:rFonts w:ascii="Arial" w:hAnsi="Arial" w:cs="Arial"/>
        </w:rPr>
        <w:t>m</w:t>
      </w:r>
      <w:r w:rsidRPr="00220BFC">
        <w:rPr>
          <w:rFonts w:ascii="Arial" w:hAnsi="Arial" w:cs="Arial"/>
        </w:rPr>
        <w:t xml:space="preserve"> </w:t>
      </w:r>
      <w:r w:rsidR="00670AF1">
        <w:rPr>
          <w:rFonts w:ascii="Arial" w:hAnsi="Arial" w:cs="Arial"/>
        </w:rPr>
        <w:t>z</w:t>
      </w:r>
      <w:r w:rsidRPr="00220BFC">
        <w:rPr>
          <w:rFonts w:ascii="Arial" w:hAnsi="Arial" w:cs="Arial"/>
        </w:rPr>
        <w:t>ávěrečné</w:t>
      </w:r>
      <w:r w:rsidR="009566B3">
        <w:rPr>
          <w:rFonts w:ascii="Arial" w:hAnsi="Arial" w:cs="Arial"/>
        </w:rPr>
        <w:t>m</w:t>
      </w:r>
      <w:r w:rsidRPr="00220BFC">
        <w:rPr>
          <w:rFonts w:ascii="Arial" w:hAnsi="Arial" w:cs="Arial"/>
        </w:rPr>
        <w:t xml:space="preserve"> hodnocení</w:t>
      </w:r>
      <w:r w:rsidR="009566B3">
        <w:rPr>
          <w:rFonts w:ascii="Arial" w:hAnsi="Arial" w:cs="Arial"/>
        </w:rPr>
        <w:t xml:space="preserve"> </w:t>
      </w:r>
      <w:r w:rsidRPr="00220BFC">
        <w:rPr>
          <w:rFonts w:ascii="Arial" w:hAnsi="Arial" w:cs="Arial"/>
        </w:rPr>
        <w:t xml:space="preserve">uvedl, že v průběhu řešení jednotlivých projektů </w:t>
      </w:r>
      <w:r>
        <w:rPr>
          <w:rFonts w:ascii="Arial" w:hAnsi="Arial" w:cs="Arial"/>
        </w:rPr>
        <w:t xml:space="preserve">vzniklo </w:t>
      </w:r>
      <w:r w:rsidRPr="00220BFC">
        <w:rPr>
          <w:rFonts w:ascii="Arial" w:hAnsi="Arial" w:cs="Arial"/>
        </w:rPr>
        <w:t>2</w:t>
      </w:r>
      <w:r>
        <w:rPr>
          <w:rFonts w:ascii="Arial" w:hAnsi="Arial" w:cs="Arial"/>
        </w:rPr>
        <w:t>650</w:t>
      </w:r>
      <w:r w:rsidRPr="00220BFC">
        <w:rPr>
          <w:rFonts w:ascii="Arial" w:hAnsi="Arial" w:cs="Arial"/>
        </w:rPr>
        <w:t xml:space="preserve"> výsledků</w:t>
      </w:r>
      <w:r w:rsidR="00670AF1">
        <w:rPr>
          <w:rFonts w:ascii="Arial" w:hAnsi="Arial" w:cs="Arial"/>
        </w:rPr>
        <w:t>, což odpovídá údajům v IS VaVaI.</w:t>
      </w:r>
    </w:p>
    <w:p w:rsidR="00453101" w:rsidRDefault="00661920" w:rsidP="00453101">
      <w:pPr>
        <w:autoSpaceDE w:val="0"/>
        <w:autoSpaceDN w:val="0"/>
        <w:adjustRightInd w:val="0"/>
        <w:spacing w:after="120" w:line="240" w:lineRule="auto"/>
        <w:jc w:val="both"/>
        <w:rPr>
          <w:rFonts w:ascii="Arial" w:hAnsi="Arial" w:cs="Arial"/>
          <w:sz w:val="24"/>
          <w:szCs w:val="24"/>
        </w:rPr>
      </w:pPr>
      <w:r w:rsidRPr="00713CD8">
        <w:rPr>
          <w:rFonts w:ascii="Arial" w:hAnsi="Arial" w:cs="Arial"/>
          <w:color w:val="000000"/>
          <w:sz w:val="24"/>
          <w:szCs w:val="24"/>
        </w:rPr>
        <w:t xml:space="preserve">Jestliže srovnáme </w:t>
      </w:r>
      <w:r w:rsidR="00453101" w:rsidRPr="00661920">
        <w:rPr>
          <w:rFonts w:ascii="Arial" w:hAnsi="Arial" w:cs="Arial"/>
          <w:sz w:val="24"/>
          <w:szCs w:val="24"/>
        </w:rPr>
        <w:t>plánované indikátory</w:t>
      </w:r>
      <w:r w:rsidRPr="00661920">
        <w:rPr>
          <w:rFonts w:ascii="Arial" w:hAnsi="Arial" w:cs="Arial"/>
          <w:sz w:val="24"/>
          <w:szCs w:val="24"/>
        </w:rPr>
        <w:t xml:space="preserve"> programu Bezpečnostní výzkum, tak jak byly schváleny vládou, zjistíme, že byly</w:t>
      </w:r>
      <w:r w:rsidR="00453101" w:rsidRPr="00661920">
        <w:rPr>
          <w:rFonts w:ascii="Arial" w:hAnsi="Arial" w:cs="Arial"/>
          <w:sz w:val="24"/>
          <w:szCs w:val="24"/>
        </w:rPr>
        <w:t xml:space="preserve"> většinou vysoko překročeny.</w:t>
      </w:r>
      <w:r w:rsidR="00453101">
        <w:rPr>
          <w:rFonts w:ascii="Arial" w:hAnsi="Arial" w:cs="Arial"/>
          <w:sz w:val="24"/>
          <w:szCs w:val="24"/>
        </w:rPr>
        <w:t xml:space="preserve"> Zejména se to týká publikačních výsledků, výzkumných zpráv, patentů, software a certifikovaných metodik. </w:t>
      </w:r>
      <w:r w:rsidR="004B0CEB">
        <w:rPr>
          <w:rFonts w:ascii="Arial" w:hAnsi="Arial" w:cs="Arial"/>
          <w:sz w:val="24"/>
          <w:szCs w:val="24"/>
        </w:rPr>
        <w:t>V</w:t>
      </w:r>
      <w:r w:rsidR="00453101" w:rsidRPr="00FA0678">
        <w:rPr>
          <w:rFonts w:ascii="Arial" w:hAnsi="Arial" w:cs="Arial"/>
          <w:sz w:val="24"/>
          <w:szCs w:val="24"/>
        </w:rPr>
        <w:t>elké množství publikačních výsledků zdůvodnil poskytovatel tím, že příjemci v</w:t>
      </w:r>
      <w:r w:rsidR="00453101">
        <w:rPr>
          <w:rFonts w:ascii="Arial" w:hAnsi="Arial" w:cs="Arial"/>
          <w:sz w:val="24"/>
          <w:szCs w:val="24"/>
        </w:rPr>
        <w:t> </w:t>
      </w:r>
      <w:r w:rsidR="00453101" w:rsidRPr="00FA0678">
        <w:rPr>
          <w:rFonts w:ascii="Arial" w:hAnsi="Arial" w:cs="Arial"/>
          <w:sz w:val="24"/>
          <w:szCs w:val="24"/>
        </w:rPr>
        <w:t xml:space="preserve">programu </w:t>
      </w:r>
      <w:r w:rsidR="00A86F4B">
        <w:rPr>
          <w:rFonts w:ascii="Arial" w:hAnsi="Arial" w:cs="Arial"/>
          <w:sz w:val="24"/>
          <w:szCs w:val="24"/>
        </w:rPr>
        <w:t>investují dodatečné</w:t>
      </w:r>
      <w:r w:rsidR="00453101" w:rsidRPr="00FA0678">
        <w:rPr>
          <w:rFonts w:ascii="Arial" w:hAnsi="Arial" w:cs="Arial"/>
          <w:sz w:val="24"/>
          <w:szCs w:val="24"/>
        </w:rPr>
        <w:t xml:space="preserve"> úsilí do publikačních činností z</w:t>
      </w:r>
      <w:r w:rsidR="00453101">
        <w:rPr>
          <w:rFonts w:ascii="Arial" w:hAnsi="Arial" w:cs="Arial"/>
          <w:sz w:val="24"/>
          <w:szCs w:val="24"/>
        </w:rPr>
        <w:t> </w:t>
      </w:r>
      <w:r w:rsidR="00453101" w:rsidRPr="00FA0678">
        <w:rPr>
          <w:rFonts w:ascii="Arial" w:hAnsi="Arial" w:cs="Arial"/>
          <w:sz w:val="24"/>
          <w:szCs w:val="24"/>
        </w:rPr>
        <w:t xml:space="preserve">důvodu naplnění vlastních </w:t>
      </w:r>
      <w:r w:rsidR="00AF27DF" w:rsidRPr="00FA0678">
        <w:rPr>
          <w:rFonts w:ascii="Arial" w:hAnsi="Arial" w:cs="Arial"/>
          <w:sz w:val="24"/>
          <w:szCs w:val="24"/>
        </w:rPr>
        <w:t>strategi</w:t>
      </w:r>
      <w:r w:rsidR="00AF27DF">
        <w:rPr>
          <w:rFonts w:ascii="Arial" w:hAnsi="Arial" w:cs="Arial"/>
          <w:sz w:val="24"/>
          <w:szCs w:val="24"/>
        </w:rPr>
        <w:t>í</w:t>
      </w:r>
      <w:r w:rsidR="00453101">
        <w:rPr>
          <w:rFonts w:ascii="Arial" w:hAnsi="Arial" w:cs="Arial"/>
          <w:sz w:val="24"/>
          <w:szCs w:val="24"/>
        </w:rPr>
        <w:t>.</w:t>
      </w:r>
      <w:r w:rsidR="00A86F4B">
        <w:rPr>
          <w:rFonts w:ascii="Arial" w:hAnsi="Arial" w:cs="Arial"/>
          <w:sz w:val="24"/>
          <w:szCs w:val="24"/>
        </w:rPr>
        <w:t xml:space="preserve"> Jde o výsledky akceptované v rámci Bezpečnostního </w:t>
      </w:r>
      <w:r w:rsidR="00A86F4B">
        <w:rPr>
          <w:rFonts w:ascii="Arial" w:hAnsi="Arial" w:cs="Arial"/>
          <w:sz w:val="24"/>
          <w:szCs w:val="24"/>
        </w:rPr>
        <w:lastRenderedPageBreak/>
        <w:t>výzkumu jako vedlejší a jejich tvorba není poskytovatelem zásadním způsobem regulována.</w:t>
      </w:r>
    </w:p>
    <w:p w:rsidR="008A4C98" w:rsidRDefault="008A4C98" w:rsidP="008A4C98">
      <w:pPr>
        <w:pStyle w:val="Text"/>
        <w:overflowPunct w:val="0"/>
        <w:autoSpaceDE w:val="0"/>
        <w:autoSpaceDN w:val="0"/>
        <w:adjustRightInd w:val="0"/>
        <w:spacing w:after="120" w:line="240" w:lineRule="auto"/>
        <w:ind w:firstLine="0"/>
        <w:textAlignment w:val="baseline"/>
        <w:rPr>
          <w:rFonts w:ascii="Arial" w:hAnsi="Arial" w:cs="Arial"/>
        </w:rPr>
      </w:pPr>
      <w:r w:rsidRPr="00D93A7F">
        <w:rPr>
          <w:rFonts w:ascii="Arial" w:hAnsi="Arial" w:cs="Arial"/>
        </w:rPr>
        <w:t xml:space="preserve">Z celkového počtu ohodnocených výsledků </w:t>
      </w:r>
      <w:r w:rsidR="00C2667C">
        <w:rPr>
          <w:rFonts w:ascii="Arial" w:hAnsi="Arial" w:cs="Arial"/>
        </w:rPr>
        <w:t>bylo</w:t>
      </w:r>
      <w:r w:rsidRPr="00D93A7F">
        <w:rPr>
          <w:rFonts w:ascii="Arial" w:hAnsi="Arial" w:cs="Arial"/>
        </w:rPr>
        <w:t xml:space="preserve"> 27,</w:t>
      </w:r>
      <w:r>
        <w:rPr>
          <w:rFonts w:ascii="Arial" w:hAnsi="Arial" w:cs="Arial"/>
        </w:rPr>
        <w:t>6</w:t>
      </w:r>
      <w:r w:rsidRPr="00D93A7F">
        <w:rPr>
          <w:rFonts w:ascii="Arial" w:hAnsi="Arial" w:cs="Arial"/>
        </w:rPr>
        <w:t xml:space="preserve"> % výsledků aplikovaných</w:t>
      </w:r>
      <w:r>
        <w:rPr>
          <w:rFonts w:ascii="Arial" w:hAnsi="Arial" w:cs="Arial"/>
        </w:rPr>
        <w:t>, </w:t>
      </w:r>
      <w:r w:rsidRPr="00D93A7F">
        <w:rPr>
          <w:rFonts w:ascii="Arial" w:hAnsi="Arial" w:cs="Arial"/>
        </w:rPr>
        <w:t>5</w:t>
      </w:r>
      <w:r>
        <w:rPr>
          <w:rFonts w:ascii="Arial" w:hAnsi="Arial" w:cs="Arial"/>
        </w:rPr>
        <w:t>7,2 </w:t>
      </w:r>
      <w:r w:rsidRPr="00D93A7F">
        <w:rPr>
          <w:rFonts w:ascii="Arial" w:hAnsi="Arial" w:cs="Arial"/>
        </w:rPr>
        <w:t>% výsledků publikačních a 14,</w:t>
      </w:r>
      <w:r>
        <w:rPr>
          <w:rFonts w:ascii="Arial" w:hAnsi="Arial" w:cs="Arial"/>
        </w:rPr>
        <w:t>5</w:t>
      </w:r>
      <w:r w:rsidRPr="00D93A7F">
        <w:rPr>
          <w:rFonts w:ascii="Arial" w:hAnsi="Arial" w:cs="Arial"/>
        </w:rPr>
        <w:t xml:space="preserve"> % výsledků ostatních.</w:t>
      </w:r>
      <w:r w:rsidR="00A86F4B">
        <w:rPr>
          <w:rFonts w:ascii="Arial" w:hAnsi="Arial" w:cs="Arial"/>
        </w:rPr>
        <w:t xml:space="preserve"> Každý z dokončených projektů disponuje alespoň jedním výsledkem aplikovaného charakteru, resp. výsledkem, který vládou schválený text Bezpečnostního výzkumu považuje za tzv. hlavní. Naplňování poslání tohoto programu, jakožto nástroje podpory aplikovaného výzkumu tak lze považovat za úspěšné.</w:t>
      </w:r>
    </w:p>
    <w:p w:rsidR="00453101" w:rsidRPr="00C3114E" w:rsidRDefault="00453101" w:rsidP="00453101">
      <w:pPr>
        <w:autoSpaceDE w:val="0"/>
        <w:autoSpaceDN w:val="0"/>
        <w:adjustRightInd w:val="0"/>
        <w:spacing w:after="120" w:line="240" w:lineRule="auto"/>
        <w:jc w:val="both"/>
        <w:rPr>
          <w:rFonts w:ascii="Calibri" w:hAnsi="Calibri" w:cs="Calibri"/>
          <w:color w:val="000000"/>
          <w:sz w:val="20"/>
          <w:szCs w:val="20"/>
        </w:rPr>
      </w:pPr>
      <w:r>
        <w:rPr>
          <w:rFonts w:ascii="Arial" w:hAnsi="Arial" w:cs="Arial"/>
          <w:color w:val="000000"/>
          <w:sz w:val="24"/>
          <w:szCs w:val="24"/>
        </w:rPr>
        <w:t xml:space="preserve">Nejvíce výsledků podpořených projektů bylo předáno do užívání státu (49 %), 16 % projektů předpokládá volné šíření </w:t>
      </w:r>
      <w:r w:rsidR="00A86F4B">
        <w:rPr>
          <w:rFonts w:ascii="Arial" w:hAnsi="Arial" w:cs="Arial"/>
          <w:color w:val="000000"/>
          <w:sz w:val="24"/>
          <w:szCs w:val="24"/>
        </w:rPr>
        <w:t>výsledků</w:t>
      </w:r>
      <w:r>
        <w:rPr>
          <w:rFonts w:ascii="Arial" w:hAnsi="Arial" w:cs="Arial"/>
          <w:color w:val="000000"/>
          <w:sz w:val="24"/>
          <w:szCs w:val="24"/>
        </w:rPr>
        <w:t xml:space="preserve"> (biologické hrozby, farmaka a</w:t>
      </w:r>
      <w:r w:rsidR="004A4002">
        <w:rPr>
          <w:rFonts w:ascii="Arial" w:hAnsi="Arial" w:cs="Arial"/>
          <w:color w:val="000000"/>
          <w:sz w:val="24"/>
          <w:szCs w:val="24"/>
        </w:rPr>
        <w:t> </w:t>
      </w:r>
      <w:r>
        <w:rPr>
          <w:rFonts w:ascii="Arial" w:hAnsi="Arial" w:cs="Arial"/>
          <w:color w:val="000000"/>
          <w:sz w:val="24"/>
          <w:szCs w:val="24"/>
        </w:rPr>
        <w:t>medikamenty</w:t>
      </w:r>
      <w:r w:rsidR="00A86F4B">
        <w:rPr>
          <w:rFonts w:ascii="Arial" w:hAnsi="Arial" w:cs="Arial"/>
          <w:color w:val="000000"/>
          <w:sz w:val="24"/>
          <w:szCs w:val="24"/>
        </w:rPr>
        <w:t xml:space="preserve"> v krizových situacích, doprava</w:t>
      </w:r>
      <w:r>
        <w:rPr>
          <w:rFonts w:ascii="Arial" w:hAnsi="Arial" w:cs="Arial"/>
          <w:color w:val="000000"/>
          <w:sz w:val="24"/>
          <w:szCs w:val="24"/>
        </w:rPr>
        <w:t xml:space="preserve">). </w:t>
      </w:r>
      <w:r w:rsidR="00A86F4B">
        <w:rPr>
          <w:rFonts w:ascii="Arial" w:hAnsi="Arial" w:cs="Arial"/>
          <w:color w:val="000000"/>
          <w:sz w:val="24"/>
          <w:szCs w:val="24"/>
        </w:rPr>
        <w:t xml:space="preserve">Zbývajících 35 5 projektů předpokládá další komerční využití výsledků, přičemž </w:t>
      </w:r>
      <w:r>
        <w:rPr>
          <w:rFonts w:ascii="Arial" w:hAnsi="Arial" w:cs="Arial"/>
          <w:color w:val="000000"/>
          <w:sz w:val="24"/>
          <w:szCs w:val="24"/>
        </w:rPr>
        <w:t>18 % projektů bylo zaměřeno na privátní uživatele (</w:t>
      </w:r>
      <w:r w:rsidR="00A86F4B">
        <w:rPr>
          <w:rFonts w:ascii="Arial" w:hAnsi="Arial" w:cs="Arial"/>
          <w:color w:val="000000"/>
          <w:sz w:val="24"/>
          <w:szCs w:val="24"/>
        </w:rPr>
        <w:t xml:space="preserve">zejm. </w:t>
      </w:r>
      <w:r>
        <w:rPr>
          <w:rFonts w:ascii="Arial" w:hAnsi="Arial" w:cs="Arial"/>
          <w:color w:val="000000"/>
          <w:sz w:val="24"/>
          <w:szCs w:val="24"/>
        </w:rPr>
        <w:t xml:space="preserve">ochrana kritických </w:t>
      </w:r>
      <w:r w:rsidRPr="00C3114E">
        <w:rPr>
          <w:rFonts w:ascii="Arial" w:hAnsi="Arial" w:cs="Arial"/>
          <w:color w:val="000000"/>
          <w:sz w:val="24"/>
          <w:szCs w:val="24"/>
        </w:rPr>
        <w:t>infrastruktur)</w:t>
      </w:r>
      <w:r w:rsidR="00C3114E" w:rsidRPr="00C3114E">
        <w:rPr>
          <w:rFonts w:ascii="Arial" w:hAnsi="Arial" w:cs="Arial"/>
          <w:color w:val="000000"/>
          <w:sz w:val="24"/>
          <w:szCs w:val="24"/>
        </w:rPr>
        <w:t xml:space="preserve"> a</w:t>
      </w:r>
      <w:r w:rsidRPr="00C3114E">
        <w:rPr>
          <w:rFonts w:ascii="Arial" w:hAnsi="Arial" w:cs="Arial"/>
          <w:color w:val="000000"/>
          <w:sz w:val="24"/>
          <w:szCs w:val="24"/>
        </w:rPr>
        <w:t xml:space="preserve"> 17 % </w:t>
      </w:r>
      <w:r w:rsidR="00A86F4B">
        <w:rPr>
          <w:rFonts w:ascii="Arial" w:hAnsi="Arial" w:cs="Arial"/>
          <w:color w:val="000000"/>
          <w:sz w:val="24"/>
          <w:szCs w:val="24"/>
        </w:rPr>
        <w:t>bylo zaměřeno na specializované uživatele, jakými jsou např. policie nebo hasičský záchranný sbor.</w:t>
      </w:r>
    </w:p>
    <w:p w:rsidR="00453101" w:rsidRPr="00C3114E" w:rsidRDefault="00453101" w:rsidP="00453101">
      <w:pPr>
        <w:autoSpaceDE w:val="0"/>
        <w:autoSpaceDN w:val="0"/>
        <w:adjustRightInd w:val="0"/>
        <w:spacing w:after="120" w:line="240" w:lineRule="auto"/>
        <w:jc w:val="both"/>
        <w:rPr>
          <w:rFonts w:ascii="Arial" w:hAnsi="Arial" w:cs="Arial"/>
          <w:sz w:val="24"/>
          <w:szCs w:val="24"/>
        </w:rPr>
      </w:pPr>
      <w:r w:rsidRPr="00C3114E">
        <w:rPr>
          <w:rFonts w:ascii="Arial" w:hAnsi="Arial" w:cs="Arial"/>
          <w:sz w:val="24"/>
          <w:szCs w:val="24"/>
        </w:rPr>
        <w:t xml:space="preserve">Tabulka hodnocení projektů podle stupně hodnocení poskytovatelem je obsahem přílohy č. 4. </w:t>
      </w:r>
    </w:p>
    <w:p w:rsidR="00A240DD" w:rsidRDefault="00CB7736" w:rsidP="00CB7736">
      <w:pPr>
        <w:pStyle w:val="Nadpis3"/>
        <w:spacing w:before="0" w:after="120" w:line="240" w:lineRule="auto"/>
      </w:pPr>
      <w:r>
        <w:t>7.2</w:t>
      </w:r>
      <w:r>
        <w:tab/>
      </w:r>
      <w:r w:rsidR="00A240DD">
        <w:t>Splnění cílů programu Bezpečnostní výzkum</w:t>
      </w:r>
    </w:p>
    <w:p w:rsidR="000351D7" w:rsidRDefault="00C3114E" w:rsidP="000351D7">
      <w:pPr>
        <w:spacing w:after="120" w:line="240" w:lineRule="auto"/>
        <w:jc w:val="both"/>
        <w:rPr>
          <w:rFonts w:ascii="Arial" w:hAnsi="Arial" w:cs="Arial"/>
          <w:sz w:val="24"/>
          <w:szCs w:val="24"/>
        </w:rPr>
      </w:pPr>
      <w:r>
        <w:rPr>
          <w:rFonts w:ascii="Arial" w:hAnsi="Arial" w:cs="Arial"/>
          <w:sz w:val="24"/>
          <w:szCs w:val="24"/>
        </w:rPr>
        <w:t xml:space="preserve">Naplnění cílů programu vychází </w:t>
      </w:r>
      <w:r w:rsidR="00D74CA6">
        <w:rPr>
          <w:rFonts w:ascii="Arial" w:hAnsi="Arial" w:cs="Arial"/>
          <w:sz w:val="24"/>
          <w:szCs w:val="24"/>
        </w:rPr>
        <w:t>z vyhodnocení jednotlivých projektů, které je v kompetenci MV jako poskytovatele podpory. Proto p</w:t>
      </w:r>
      <w:r w:rsidR="000351D7" w:rsidRPr="00DD6513">
        <w:rPr>
          <w:rFonts w:ascii="Arial" w:hAnsi="Arial" w:cs="Arial"/>
          <w:sz w:val="24"/>
          <w:szCs w:val="24"/>
        </w:rPr>
        <w:t>ři posouzení, zda byly naplněny cíle programu</w:t>
      </w:r>
      <w:r w:rsidR="000351D7">
        <w:rPr>
          <w:rFonts w:ascii="Arial" w:hAnsi="Arial" w:cs="Arial"/>
          <w:sz w:val="24"/>
          <w:szCs w:val="24"/>
        </w:rPr>
        <w:t>,</w:t>
      </w:r>
      <w:r w:rsidR="000351D7" w:rsidRPr="00DD6513">
        <w:rPr>
          <w:rFonts w:ascii="Arial" w:hAnsi="Arial" w:cs="Arial"/>
          <w:sz w:val="24"/>
          <w:szCs w:val="24"/>
        </w:rPr>
        <w:t xml:space="preserve"> </w:t>
      </w:r>
      <w:r w:rsidR="00B57A37">
        <w:rPr>
          <w:rFonts w:ascii="Arial" w:hAnsi="Arial" w:cs="Arial"/>
          <w:sz w:val="24"/>
          <w:szCs w:val="24"/>
        </w:rPr>
        <w:t>musíme vycházet z </w:t>
      </w:r>
      <w:r w:rsidR="000351D7" w:rsidRPr="00DD6513">
        <w:rPr>
          <w:rFonts w:ascii="Arial" w:hAnsi="Arial" w:cs="Arial"/>
          <w:sz w:val="24"/>
          <w:szCs w:val="24"/>
        </w:rPr>
        <w:t>údajů</w:t>
      </w:r>
      <w:r w:rsidR="00B57A37">
        <w:rPr>
          <w:rFonts w:ascii="Arial" w:hAnsi="Arial" w:cs="Arial"/>
          <w:sz w:val="24"/>
          <w:szCs w:val="24"/>
        </w:rPr>
        <w:t xml:space="preserve"> </w:t>
      </w:r>
      <w:r w:rsidR="00D74CA6">
        <w:rPr>
          <w:rFonts w:ascii="Arial" w:hAnsi="Arial" w:cs="Arial"/>
          <w:sz w:val="24"/>
          <w:szCs w:val="24"/>
        </w:rPr>
        <w:t xml:space="preserve">v Závěrečném hodnocení </w:t>
      </w:r>
      <w:r w:rsidR="00670AF1">
        <w:rPr>
          <w:rFonts w:ascii="Arial" w:hAnsi="Arial" w:cs="Arial"/>
          <w:sz w:val="24"/>
          <w:szCs w:val="24"/>
        </w:rPr>
        <w:t>MV</w:t>
      </w:r>
      <w:r w:rsidR="00D74CA6">
        <w:rPr>
          <w:rFonts w:ascii="Arial" w:hAnsi="Arial" w:cs="Arial"/>
          <w:sz w:val="24"/>
          <w:szCs w:val="24"/>
        </w:rPr>
        <w:t>.</w:t>
      </w:r>
    </w:p>
    <w:p w:rsidR="000351D7" w:rsidRDefault="000351D7" w:rsidP="000351D7">
      <w:pPr>
        <w:pStyle w:val="Default"/>
        <w:spacing w:after="120"/>
        <w:jc w:val="both"/>
        <w:rPr>
          <w:rFonts w:ascii="Arial" w:hAnsi="Arial" w:cs="Arial"/>
          <w:i/>
        </w:rPr>
      </w:pPr>
      <w:r w:rsidRPr="00DD6513">
        <w:rPr>
          <w:rFonts w:ascii="Arial" w:hAnsi="Arial" w:cs="Arial"/>
          <w:bCs/>
        </w:rPr>
        <w:t xml:space="preserve">Cílem programu Bezpečnostní výzkum bylo </w:t>
      </w:r>
      <w:r w:rsidRPr="00DD6513">
        <w:rPr>
          <w:rFonts w:ascii="Arial" w:hAnsi="Arial" w:cs="Arial"/>
          <w:bCs/>
          <w:i/>
        </w:rPr>
        <w:t>„</w:t>
      </w:r>
      <w:r w:rsidRPr="00DD6513">
        <w:rPr>
          <w:rFonts w:ascii="Arial" w:hAnsi="Arial" w:cs="Arial"/>
          <w:i/>
        </w:rPr>
        <w:t>zvýšit bezpečnost státu a občanů s</w:t>
      </w:r>
      <w:r>
        <w:rPr>
          <w:rFonts w:ascii="Arial" w:hAnsi="Arial" w:cs="Arial"/>
          <w:i/>
        </w:rPr>
        <w:t> </w:t>
      </w:r>
      <w:r w:rsidRPr="00DD6513">
        <w:rPr>
          <w:rFonts w:ascii="Arial" w:hAnsi="Arial" w:cs="Arial"/>
          <w:i/>
        </w:rPr>
        <w:t>využitím nových technologií, poznatků a dalších výsledků aplikovaného výzkumu v</w:t>
      </w:r>
      <w:r>
        <w:rPr>
          <w:rFonts w:ascii="Arial" w:hAnsi="Arial" w:cs="Arial"/>
          <w:i/>
        </w:rPr>
        <w:t> </w:t>
      </w:r>
      <w:r w:rsidRPr="00DD6513">
        <w:rPr>
          <w:rFonts w:ascii="Arial" w:hAnsi="Arial" w:cs="Arial"/>
          <w:i/>
        </w:rPr>
        <w:t>oblasti identifikace, prevence a ochrany proti nezákonným jednáním poškozujícím občany ČR, organizace nebo struktury, statky, infrastruktury a proti přirozeným nebo průmyslovým pohromám.“</w:t>
      </w:r>
    </w:p>
    <w:p w:rsidR="000351D7" w:rsidRPr="00DD6513" w:rsidRDefault="00670AF1" w:rsidP="000351D7">
      <w:pPr>
        <w:pStyle w:val="Default"/>
        <w:spacing w:after="120"/>
        <w:jc w:val="both"/>
        <w:rPr>
          <w:rFonts w:ascii="Arial" w:hAnsi="Arial" w:cs="Arial"/>
        </w:rPr>
      </w:pPr>
      <w:r>
        <w:rPr>
          <w:rFonts w:ascii="Arial" w:hAnsi="Arial" w:cs="Arial"/>
        </w:rPr>
        <w:t>V</w:t>
      </w:r>
      <w:r w:rsidR="00B57A37">
        <w:rPr>
          <w:rFonts w:ascii="Arial" w:hAnsi="Arial" w:cs="Arial"/>
        </w:rPr>
        <w:t> Závěrečném hodnocení</w:t>
      </w:r>
      <w:r w:rsidR="00202CD6">
        <w:rPr>
          <w:rFonts w:ascii="Arial" w:hAnsi="Arial" w:cs="Arial"/>
        </w:rPr>
        <w:t xml:space="preserve"> </w:t>
      </w:r>
      <w:r>
        <w:rPr>
          <w:rFonts w:ascii="Arial" w:hAnsi="Arial" w:cs="Arial"/>
        </w:rPr>
        <w:t>MV</w:t>
      </w:r>
      <w:r w:rsidR="000351D7">
        <w:rPr>
          <w:rFonts w:ascii="Arial" w:hAnsi="Arial" w:cs="Arial"/>
        </w:rPr>
        <w:t xml:space="preserve"> </w:t>
      </w:r>
      <w:r>
        <w:rPr>
          <w:rFonts w:ascii="Arial" w:hAnsi="Arial" w:cs="Arial"/>
        </w:rPr>
        <w:t>je uvedeno</w:t>
      </w:r>
      <w:r w:rsidR="000351D7" w:rsidRPr="00DD6513">
        <w:rPr>
          <w:rFonts w:ascii="Arial" w:hAnsi="Arial" w:cs="Arial"/>
        </w:rPr>
        <w:t>, že byla splněn</w:t>
      </w:r>
      <w:r w:rsidR="000351D7">
        <w:rPr>
          <w:rFonts w:ascii="Arial" w:hAnsi="Arial" w:cs="Arial"/>
        </w:rPr>
        <w:t>a</w:t>
      </w:r>
      <w:r w:rsidR="000351D7" w:rsidRPr="00DD6513">
        <w:rPr>
          <w:rFonts w:ascii="Arial" w:hAnsi="Arial" w:cs="Arial"/>
        </w:rPr>
        <w:t xml:space="preserve"> většina realizačních indikátorů programu a to i </w:t>
      </w:r>
      <w:r w:rsidR="000351D7">
        <w:rPr>
          <w:rFonts w:ascii="Arial" w:hAnsi="Arial" w:cs="Arial"/>
        </w:rPr>
        <w:t> p</w:t>
      </w:r>
      <w:r w:rsidR="000351D7" w:rsidRPr="00DD6513">
        <w:rPr>
          <w:rFonts w:ascii="Arial" w:hAnsi="Arial" w:cs="Arial"/>
        </w:rPr>
        <w:t xml:space="preserve">řes výrazné zkrácení prostředků ze státního rozpočtu. Dalším podkladem jsou </w:t>
      </w:r>
      <w:r w:rsidR="00B57A37">
        <w:rPr>
          <w:rFonts w:ascii="Arial" w:hAnsi="Arial" w:cs="Arial"/>
        </w:rPr>
        <w:t>informace</w:t>
      </w:r>
      <w:r w:rsidR="000351D7" w:rsidRPr="00DD6513">
        <w:rPr>
          <w:rFonts w:ascii="Arial" w:hAnsi="Arial" w:cs="Arial"/>
        </w:rPr>
        <w:t xml:space="preserve"> o </w:t>
      </w:r>
      <w:r w:rsidR="00B57A37" w:rsidRPr="00DD6513">
        <w:rPr>
          <w:rFonts w:ascii="Arial" w:hAnsi="Arial" w:cs="Arial"/>
        </w:rPr>
        <w:t>směr</w:t>
      </w:r>
      <w:r w:rsidR="00B57A37">
        <w:rPr>
          <w:rFonts w:ascii="Arial" w:hAnsi="Arial" w:cs="Arial"/>
        </w:rPr>
        <w:t>ech</w:t>
      </w:r>
      <w:r w:rsidR="000351D7" w:rsidRPr="00DD6513">
        <w:rPr>
          <w:rFonts w:ascii="Arial" w:hAnsi="Arial" w:cs="Arial"/>
        </w:rPr>
        <w:t xml:space="preserve"> v oblastech vstupů i výstupů programu, zaměření a</w:t>
      </w:r>
      <w:r w:rsidR="000351D7">
        <w:rPr>
          <w:rFonts w:ascii="Arial" w:hAnsi="Arial" w:cs="Arial"/>
        </w:rPr>
        <w:t> </w:t>
      </w:r>
      <w:r w:rsidR="000351D7" w:rsidRPr="00DD6513">
        <w:rPr>
          <w:rFonts w:ascii="Arial" w:hAnsi="Arial" w:cs="Arial"/>
        </w:rPr>
        <w:t xml:space="preserve">kvality projektů a jejich využitelnosti v bezpečnostním systému. </w:t>
      </w:r>
    </w:p>
    <w:p w:rsidR="000351D7" w:rsidRDefault="00B57A37" w:rsidP="006E766E">
      <w:pPr>
        <w:pStyle w:val="Default"/>
        <w:spacing w:after="120"/>
        <w:jc w:val="both"/>
        <w:rPr>
          <w:rFonts w:ascii="Arial" w:hAnsi="Arial" w:cs="Arial"/>
        </w:rPr>
      </w:pPr>
      <w:r>
        <w:rPr>
          <w:rFonts w:ascii="Arial" w:hAnsi="Arial" w:cs="Arial"/>
        </w:rPr>
        <w:t xml:space="preserve">MV </w:t>
      </w:r>
      <w:r w:rsidR="000351D7" w:rsidRPr="00DD6513">
        <w:rPr>
          <w:rFonts w:ascii="Arial" w:hAnsi="Arial" w:cs="Arial"/>
        </w:rPr>
        <w:t xml:space="preserve">objektivně poznamenává, že </w:t>
      </w:r>
      <w:r w:rsidR="006E766E">
        <w:rPr>
          <w:rFonts w:ascii="Arial" w:hAnsi="Arial" w:cs="Arial"/>
        </w:rPr>
        <w:t>program</w:t>
      </w:r>
      <w:r>
        <w:rPr>
          <w:rFonts w:ascii="Arial" w:hAnsi="Arial" w:cs="Arial"/>
        </w:rPr>
        <w:t xml:space="preserve"> Bezpečnostní výzkum</w:t>
      </w:r>
      <w:r w:rsidR="006E766E">
        <w:rPr>
          <w:rFonts w:ascii="Arial" w:hAnsi="Arial" w:cs="Arial"/>
        </w:rPr>
        <w:t xml:space="preserve"> </w:t>
      </w:r>
      <w:r w:rsidR="00A86F4B">
        <w:rPr>
          <w:rFonts w:ascii="Arial" w:hAnsi="Arial" w:cs="Arial"/>
        </w:rPr>
        <w:t xml:space="preserve">zaznamenal při realizaci také </w:t>
      </w:r>
      <w:r w:rsidR="007F26AE">
        <w:rPr>
          <w:rFonts w:ascii="Arial" w:hAnsi="Arial" w:cs="Arial"/>
        </w:rPr>
        <w:t>n</w:t>
      </w:r>
      <w:r w:rsidR="00A86F4B">
        <w:rPr>
          <w:rFonts w:ascii="Arial" w:hAnsi="Arial" w:cs="Arial"/>
        </w:rPr>
        <w:t>ěkolik</w:t>
      </w:r>
      <w:r>
        <w:rPr>
          <w:rFonts w:ascii="Arial" w:hAnsi="Arial" w:cs="Arial"/>
        </w:rPr>
        <w:t xml:space="preserve"> problémů týkajících se </w:t>
      </w:r>
      <w:r w:rsidR="006E766E">
        <w:rPr>
          <w:rFonts w:ascii="Arial" w:hAnsi="Arial" w:cs="Arial"/>
        </w:rPr>
        <w:t xml:space="preserve">nejen </w:t>
      </w:r>
      <w:r w:rsidR="000351D7" w:rsidRPr="00DD6513">
        <w:rPr>
          <w:rFonts w:ascii="Arial" w:hAnsi="Arial" w:cs="Arial"/>
        </w:rPr>
        <w:t xml:space="preserve">finančního zajištění, ale také spoluúčastí ze strany příjemců, která byla nižší, než předpokládaná. </w:t>
      </w:r>
    </w:p>
    <w:p w:rsidR="000351D7" w:rsidRDefault="006E766E" w:rsidP="000351D7">
      <w:pPr>
        <w:pStyle w:val="Default"/>
        <w:spacing w:after="120"/>
        <w:jc w:val="both"/>
        <w:rPr>
          <w:rFonts w:ascii="Arial" w:hAnsi="Arial" w:cs="Arial"/>
        </w:rPr>
      </w:pPr>
      <w:r>
        <w:rPr>
          <w:rFonts w:ascii="Arial" w:hAnsi="Arial" w:cs="Arial"/>
        </w:rPr>
        <w:t>V rámci programu n</w:t>
      </w:r>
      <w:r w:rsidR="000351D7">
        <w:rPr>
          <w:rFonts w:ascii="Arial" w:hAnsi="Arial" w:cs="Arial"/>
        </w:rPr>
        <w:t>ebyla zrealizována z</w:t>
      </w:r>
      <w:r w:rsidR="000351D7" w:rsidRPr="00DD6513">
        <w:rPr>
          <w:rFonts w:ascii="Arial" w:hAnsi="Arial" w:cs="Arial"/>
        </w:rPr>
        <w:t>amýšlená výzva pro inovační uskupení</w:t>
      </w:r>
      <w:r w:rsidR="000351D7">
        <w:rPr>
          <w:rFonts w:ascii="Arial" w:hAnsi="Arial" w:cs="Arial"/>
        </w:rPr>
        <w:t>,</w:t>
      </w:r>
      <w:r w:rsidR="000351D7" w:rsidRPr="00DD6513">
        <w:rPr>
          <w:rFonts w:ascii="Arial" w:hAnsi="Arial" w:cs="Arial"/>
        </w:rPr>
        <w:t xml:space="preserve"> zejména z důvodu nedostatku finančních prostředků </w:t>
      </w:r>
      <w:r w:rsidR="000351D7">
        <w:rPr>
          <w:rFonts w:ascii="Arial" w:hAnsi="Arial" w:cs="Arial"/>
        </w:rPr>
        <w:t>(</w:t>
      </w:r>
      <w:r w:rsidR="000351D7" w:rsidRPr="00DD6513">
        <w:rPr>
          <w:rFonts w:ascii="Arial" w:hAnsi="Arial" w:cs="Arial"/>
        </w:rPr>
        <w:t xml:space="preserve">po zkrácení </w:t>
      </w:r>
      <w:r w:rsidR="000351D7">
        <w:rPr>
          <w:rFonts w:ascii="Arial" w:hAnsi="Arial" w:cs="Arial"/>
        </w:rPr>
        <w:t>rozpočtu programu</w:t>
      </w:r>
      <w:r>
        <w:rPr>
          <w:rFonts w:ascii="Arial" w:hAnsi="Arial" w:cs="Arial"/>
        </w:rPr>
        <w:t xml:space="preserve"> – viz část Čerpání finančních prostředků a efektivita jejich využití materiálu</w:t>
      </w:r>
      <w:r w:rsidR="000351D7">
        <w:rPr>
          <w:rFonts w:ascii="Arial" w:hAnsi="Arial" w:cs="Arial"/>
        </w:rPr>
        <w:t xml:space="preserve">), </w:t>
      </w:r>
      <w:r w:rsidR="000351D7" w:rsidRPr="00DD6513">
        <w:rPr>
          <w:rFonts w:ascii="Arial" w:hAnsi="Arial" w:cs="Arial"/>
        </w:rPr>
        <w:t xml:space="preserve">ale také pro nejasné zákonné podmínky pro tento typ projektů. </w:t>
      </w:r>
    </w:p>
    <w:p w:rsidR="000351D7" w:rsidRDefault="000351D7" w:rsidP="000351D7">
      <w:pPr>
        <w:pStyle w:val="Nadpis3"/>
        <w:spacing w:before="0" w:after="120" w:line="240" w:lineRule="auto"/>
      </w:pPr>
      <w:r>
        <w:t>7.3</w:t>
      </w:r>
      <w:r>
        <w:tab/>
      </w:r>
      <w:r w:rsidR="00A14C41">
        <w:t>Soulad Bezpečnostního výzkumu s Implementací priorit</w:t>
      </w:r>
    </w:p>
    <w:p w:rsidR="00B71833" w:rsidRDefault="00A14C41" w:rsidP="006E766E">
      <w:pPr>
        <w:pStyle w:val="Textpoznpodarou"/>
        <w:spacing w:after="120"/>
        <w:jc w:val="both"/>
        <w:rPr>
          <w:rFonts w:ascii="Arial" w:hAnsi="Arial" w:cs="Arial"/>
          <w:color w:val="000000"/>
          <w:sz w:val="24"/>
          <w:szCs w:val="24"/>
        </w:rPr>
      </w:pPr>
      <w:r>
        <w:rPr>
          <w:rFonts w:ascii="Arial" w:hAnsi="Arial" w:cs="Arial"/>
          <w:color w:val="000000"/>
          <w:sz w:val="24"/>
          <w:szCs w:val="24"/>
        </w:rPr>
        <w:t xml:space="preserve">Realizace programu Bezpečnostní výzkum začala </w:t>
      </w:r>
      <w:r w:rsidR="001B7EE7">
        <w:rPr>
          <w:rFonts w:ascii="Arial" w:hAnsi="Arial" w:cs="Arial"/>
          <w:color w:val="000000"/>
          <w:sz w:val="24"/>
          <w:szCs w:val="24"/>
        </w:rPr>
        <w:t>dříve, než</w:t>
      </w:r>
      <w:r>
        <w:rPr>
          <w:rFonts w:ascii="Arial" w:hAnsi="Arial" w:cs="Arial"/>
          <w:color w:val="000000"/>
          <w:sz w:val="24"/>
          <w:szCs w:val="24"/>
        </w:rPr>
        <w:t xml:space="preserve"> byly vládou schváleny Národní priority orientovaného výzkumu (dále jen „Priority“). Z tohoto důvodu nemohl být </w:t>
      </w:r>
      <w:r w:rsidR="00531673">
        <w:rPr>
          <w:rFonts w:ascii="Arial" w:hAnsi="Arial" w:cs="Arial"/>
          <w:color w:val="000000"/>
          <w:sz w:val="24"/>
          <w:szCs w:val="24"/>
        </w:rPr>
        <w:t>nastaven zcela v souladu s Prioritami.</w:t>
      </w:r>
    </w:p>
    <w:p w:rsidR="00B71833" w:rsidRPr="00A47C49" w:rsidRDefault="00A47C49" w:rsidP="006E766E">
      <w:pPr>
        <w:pStyle w:val="Textpoznpodarou"/>
        <w:spacing w:after="120"/>
        <w:jc w:val="both"/>
        <w:rPr>
          <w:rFonts w:ascii="Arial" w:hAnsi="Arial" w:cs="Arial"/>
          <w:sz w:val="24"/>
          <w:szCs w:val="24"/>
        </w:rPr>
      </w:pPr>
      <w:r w:rsidRPr="00A47C49">
        <w:rPr>
          <w:rFonts w:ascii="Arial" w:hAnsi="Arial" w:cs="Arial"/>
          <w:color w:val="000000"/>
          <w:sz w:val="24"/>
          <w:szCs w:val="24"/>
        </w:rPr>
        <w:t>Bezpečnostní výzkum vychází z Meziresortní koncepce bezpečnostního výzkumu ČR</w:t>
      </w:r>
      <w:r w:rsidR="000351D7" w:rsidRPr="00A47C49">
        <w:rPr>
          <w:rFonts w:ascii="Arial" w:hAnsi="Arial" w:cs="Arial"/>
          <w:sz w:val="24"/>
          <w:szCs w:val="24"/>
        </w:rPr>
        <w:t xml:space="preserve"> 2009 – 2015 schválené usnesením vlády ze dne 27. června 2008 č.</w:t>
      </w:r>
      <w:r w:rsidRPr="00A47C49">
        <w:rPr>
          <w:rFonts w:ascii="Arial" w:hAnsi="Arial" w:cs="Arial"/>
          <w:sz w:val="24"/>
          <w:szCs w:val="24"/>
        </w:rPr>
        <w:t> </w:t>
      </w:r>
      <w:r w:rsidR="004C5CA3" w:rsidRPr="00A47C49">
        <w:rPr>
          <w:rFonts w:ascii="Arial" w:hAnsi="Arial" w:cs="Arial"/>
          <w:sz w:val="24"/>
          <w:szCs w:val="24"/>
        </w:rPr>
        <w:t>743</w:t>
      </w:r>
      <w:r>
        <w:rPr>
          <w:rFonts w:ascii="Arial" w:hAnsi="Arial" w:cs="Arial"/>
          <w:sz w:val="24"/>
          <w:szCs w:val="24"/>
        </w:rPr>
        <w:t xml:space="preserve"> (dále jen „Bezpečnostní koncepce 2015“)</w:t>
      </w:r>
      <w:r w:rsidRPr="00A47C49">
        <w:rPr>
          <w:rFonts w:ascii="Arial" w:hAnsi="Arial" w:cs="Arial"/>
          <w:sz w:val="24"/>
          <w:szCs w:val="24"/>
        </w:rPr>
        <w:t>.</w:t>
      </w:r>
    </w:p>
    <w:p w:rsidR="006E766E" w:rsidRPr="006E766E" w:rsidRDefault="00A47C49" w:rsidP="006E766E">
      <w:pPr>
        <w:pStyle w:val="Textpoznpodarou"/>
        <w:spacing w:after="120"/>
        <w:jc w:val="both"/>
        <w:rPr>
          <w:rFonts w:ascii="Arial" w:hAnsi="Arial" w:cs="Arial"/>
          <w:color w:val="000000"/>
          <w:sz w:val="24"/>
          <w:szCs w:val="24"/>
        </w:rPr>
      </w:pPr>
      <w:r>
        <w:rPr>
          <w:rFonts w:ascii="Arial" w:hAnsi="Arial" w:cs="Arial"/>
          <w:color w:val="000000"/>
          <w:sz w:val="24"/>
          <w:szCs w:val="24"/>
        </w:rPr>
        <w:t xml:space="preserve">Z porovnání Priorit a </w:t>
      </w:r>
      <w:r>
        <w:rPr>
          <w:rFonts w:ascii="Arial" w:hAnsi="Arial" w:cs="Arial"/>
          <w:sz w:val="24"/>
          <w:szCs w:val="24"/>
        </w:rPr>
        <w:t xml:space="preserve">Bezpečnostní koncepce 2015 lze vyvodit, že Bezpečnostní výzkum přispěl k plnění Priorit, což konstatuje také MV v Závěrečném hodnocení </w:t>
      </w:r>
      <w:r w:rsidR="007F26AE">
        <w:rPr>
          <w:rFonts w:ascii="Arial" w:hAnsi="Arial" w:cs="Arial"/>
          <w:sz w:val="24"/>
          <w:szCs w:val="24"/>
        </w:rPr>
        <w:t>MV</w:t>
      </w:r>
      <w:r>
        <w:rPr>
          <w:rFonts w:ascii="Arial" w:hAnsi="Arial" w:cs="Arial"/>
          <w:sz w:val="24"/>
          <w:szCs w:val="24"/>
        </w:rPr>
        <w:t>.</w:t>
      </w:r>
    </w:p>
    <w:p w:rsidR="00CB7736" w:rsidRDefault="000351D7" w:rsidP="00CB7736">
      <w:pPr>
        <w:pStyle w:val="Nadpis3"/>
        <w:spacing w:before="0" w:after="120" w:line="240" w:lineRule="auto"/>
      </w:pPr>
      <w:r>
        <w:lastRenderedPageBreak/>
        <w:t>7.4</w:t>
      </w:r>
      <w:r>
        <w:tab/>
      </w:r>
      <w:r w:rsidR="00CB7736">
        <w:t>Využití výsledků včetně již známých přínosů</w:t>
      </w:r>
    </w:p>
    <w:p w:rsidR="00CB7736" w:rsidRPr="00D17BB4" w:rsidRDefault="00531673" w:rsidP="00CB7736">
      <w:pPr>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t>Z hlediska</w:t>
      </w:r>
      <w:r w:rsidR="00CB7736">
        <w:rPr>
          <w:rFonts w:ascii="Arial" w:hAnsi="Arial" w:cs="Arial"/>
          <w:color w:val="000000"/>
          <w:sz w:val="24"/>
          <w:szCs w:val="24"/>
        </w:rPr>
        <w:t xml:space="preserve"> přínosů</w:t>
      </w:r>
      <w:r w:rsidR="00CB7736" w:rsidRPr="00517FBA">
        <w:rPr>
          <w:rFonts w:ascii="Arial" w:hAnsi="Arial" w:cs="Arial"/>
          <w:color w:val="000000"/>
          <w:sz w:val="24"/>
          <w:szCs w:val="24"/>
        </w:rPr>
        <w:t xml:space="preserve"> </w:t>
      </w:r>
      <w:r w:rsidR="00CB7736">
        <w:rPr>
          <w:rFonts w:ascii="Arial" w:hAnsi="Arial" w:cs="Arial"/>
          <w:color w:val="000000"/>
          <w:sz w:val="24"/>
          <w:szCs w:val="24"/>
        </w:rPr>
        <w:t>programu B</w:t>
      </w:r>
      <w:r w:rsidR="00CB7736" w:rsidRPr="00D17BB4">
        <w:rPr>
          <w:rFonts w:ascii="Arial" w:hAnsi="Arial" w:cs="Arial"/>
          <w:color w:val="000000"/>
          <w:sz w:val="24"/>
          <w:szCs w:val="24"/>
        </w:rPr>
        <w:t>ezpečnostní</w:t>
      </w:r>
      <w:r w:rsidR="00CB7736" w:rsidRPr="00517FBA">
        <w:rPr>
          <w:rFonts w:ascii="Arial" w:hAnsi="Arial" w:cs="Arial"/>
          <w:color w:val="000000"/>
          <w:sz w:val="24"/>
          <w:szCs w:val="24"/>
        </w:rPr>
        <w:t xml:space="preserve"> výzkum</w:t>
      </w:r>
      <w:r w:rsidR="00CB7736">
        <w:rPr>
          <w:rFonts w:ascii="Arial" w:hAnsi="Arial" w:cs="Arial"/>
          <w:color w:val="000000"/>
          <w:sz w:val="24"/>
          <w:szCs w:val="24"/>
        </w:rPr>
        <w:t xml:space="preserve"> by bylo </w:t>
      </w:r>
      <w:r>
        <w:rPr>
          <w:rFonts w:ascii="Arial" w:hAnsi="Arial" w:cs="Arial"/>
          <w:color w:val="000000"/>
          <w:sz w:val="24"/>
          <w:szCs w:val="24"/>
        </w:rPr>
        <w:t>potřebné</w:t>
      </w:r>
      <w:r w:rsidR="00CB7736">
        <w:rPr>
          <w:rFonts w:ascii="Arial" w:hAnsi="Arial" w:cs="Arial"/>
          <w:color w:val="000000"/>
          <w:sz w:val="24"/>
          <w:szCs w:val="24"/>
        </w:rPr>
        <w:t xml:space="preserve"> hodnotit </w:t>
      </w:r>
      <w:r w:rsidR="00CB7736" w:rsidRPr="00D17BB4">
        <w:rPr>
          <w:rFonts w:ascii="Arial" w:hAnsi="Arial" w:cs="Arial"/>
          <w:color w:val="000000"/>
          <w:sz w:val="24"/>
          <w:szCs w:val="24"/>
        </w:rPr>
        <w:t>jednotliv</w:t>
      </w:r>
      <w:r w:rsidR="00CB7736">
        <w:rPr>
          <w:rFonts w:ascii="Arial" w:hAnsi="Arial" w:cs="Arial"/>
          <w:color w:val="000000"/>
          <w:sz w:val="24"/>
          <w:szCs w:val="24"/>
        </w:rPr>
        <w:t>é</w:t>
      </w:r>
      <w:r w:rsidR="00CB7736" w:rsidRPr="00D17BB4">
        <w:rPr>
          <w:rFonts w:ascii="Arial" w:hAnsi="Arial" w:cs="Arial"/>
          <w:color w:val="000000"/>
          <w:sz w:val="24"/>
          <w:szCs w:val="24"/>
        </w:rPr>
        <w:t xml:space="preserve"> projekt</w:t>
      </w:r>
      <w:r w:rsidR="00CB7736">
        <w:rPr>
          <w:rFonts w:ascii="Arial" w:hAnsi="Arial" w:cs="Arial"/>
          <w:color w:val="000000"/>
          <w:sz w:val="24"/>
          <w:szCs w:val="24"/>
        </w:rPr>
        <w:t>y</w:t>
      </w:r>
      <w:r w:rsidR="00CB7736" w:rsidRPr="00D17BB4">
        <w:rPr>
          <w:rFonts w:ascii="Arial" w:hAnsi="Arial" w:cs="Arial"/>
          <w:color w:val="000000"/>
          <w:sz w:val="24"/>
          <w:szCs w:val="24"/>
        </w:rPr>
        <w:t xml:space="preserve"> a sledovat jejich dopad</w:t>
      </w:r>
      <w:r w:rsidR="00CB7736">
        <w:rPr>
          <w:rFonts w:ascii="Arial" w:hAnsi="Arial" w:cs="Arial"/>
          <w:color w:val="000000"/>
          <w:sz w:val="24"/>
          <w:szCs w:val="24"/>
        </w:rPr>
        <w:t>y z hlediska</w:t>
      </w:r>
      <w:r w:rsidR="00CB7736" w:rsidRPr="00D17BB4">
        <w:rPr>
          <w:rFonts w:ascii="Arial" w:hAnsi="Arial" w:cs="Arial"/>
          <w:color w:val="000000"/>
          <w:sz w:val="24"/>
          <w:szCs w:val="24"/>
        </w:rPr>
        <w:t xml:space="preserve"> kvalit</w:t>
      </w:r>
      <w:r w:rsidR="00CB7736">
        <w:rPr>
          <w:rFonts w:ascii="Arial" w:hAnsi="Arial" w:cs="Arial"/>
          <w:color w:val="000000"/>
          <w:sz w:val="24"/>
          <w:szCs w:val="24"/>
        </w:rPr>
        <w:t>y</w:t>
      </w:r>
      <w:r w:rsidR="00CB7736" w:rsidRPr="00D17BB4">
        <w:rPr>
          <w:rFonts w:ascii="Arial" w:hAnsi="Arial" w:cs="Arial"/>
          <w:color w:val="000000"/>
          <w:sz w:val="24"/>
          <w:szCs w:val="24"/>
        </w:rPr>
        <w:t xml:space="preserve"> a rozsahu</w:t>
      </w:r>
      <w:r w:rsidR="00CB7736">
        <w:rPr>
          <w:rFonts w:ascii="Arial" w:hAnsi="Arial" w:cs="Arial"/>
          <w:color w:val="000000"/>
          <w:sz w:val="24"/>
          <w:szCs w:val="24"/>
        </w:rPr>
        <w:t>, což není úkolem Rady, ale poskytovatele. Poskytovatel v</w:t>
      </w:r>
      <w:r w:rsidR="00A47C49">
        <w:rPr>
          <w:rFonts w:ascii="Arial" w:hAnsi="Arial" w:cs="Arial"/>
          <w:color w:val="000000"/>
          <w:sz w:val="24"/>
          <w:szCs w:val="24"/>
        </w:rPr>
        <w:t> </w:t>
      </w:r>
      <w:r w:rsidR="00CB7736">
        <w:rPr>
          <w:rFonts w:ascii="Arial" w:hAnsi="Arial" w:cs="Arial"/>
          <w:color w:val="000000"/>
          <w:sz w:val="24"/>
          <w:szCs w:val="24"/>
        </w:rPr>
        <w:t>Závěrečné</w:t>
      </w:r>
      <w:r w:rsidR="00A47C49">
        <w:rPr>
          <w:rFonts w:ascii="Arial" w:hAnsi="Arial" w:cs="Arial"/>
          <w:color w:val="000000"/>
          <w:sz w:val="24"/>
          <w:szCs w:val="24"/>
        </w:rPr>
        <w:t xml:space="preserve">m hodnocení </w:t>
      </w:r>
      <w:r w:rsidR="007F26AE">
        <w:rPr>
          <w:rFonts w:ascii="Arial" w:hAnsi="Arial" w:cs="Arial"/>
          <w:color w:val="000000"/>
          <w:sz w:val="24"/>
          <w:szCs w:val="24"/>
        </w:rPr>
        <w:t>MV</w:t>
      </w:r>
      <w:r w:rsidR="00CB7736">
        <w:rPr>
          <w:rFonts w:ascii="Arial" w:hAnsi="Arial" w:cs="Arial"/>
          <w:color w:val="000000"/>
          <w:sz w:val="24"/>
          <w:szCs w:val="24"/>
        </w:rPr>
        <w:t xml:space="preserve"> popisuje dílčí</w:t>
      </w:r>
      <w:r w:rsidR="00CB7736" w:rsidRPr="00D17BB4">
        <w:rPr>
          <w:rFonts w:ascii="Arial" w:hAnsi="Arial" w:cs="Arial"/>
          <w:color w:val="000000"/>
          <w:sz w:val="24"/>
          <w:szCs w:val="24"/>
        </w:rPr>
        <w:t xml:space="preserve"> prezentac</w:t>
      </w:r>
      <w:r w:rsidR="00CB7736">
        <w:rPr>
          <w:rFonts w:ascii="Arial" w:hAnsi="Arial" w:cs="Arial"/>
          <w:color w:val="000000"/>
          <w:sz w:val="24"/>
          <w:szCs w:val="24"/>
        </w:rPr>
        <w:t>i</w:t>
      </w:r>
      <w:r w:rsidR="00CB7736" w:rsidRPr="00D17BB4">
        <w:rPr>
          <w:rFonts w:ascii="Arial" w:hAnsi="Arial" w:cs="Arial"/>
          <w:color w:val="000000"/>
          <w:sz w:val="24"/>
          <w:szCs w:val="24"/>
        </w:rPr>
        <w:t xml:space="preserve"> zaměření a dopadů reprezentativních projektů</w:t>
      </w:r>
      <w:r w:rsidR="00CB7736">
        <w:rPr>
          <w:rFonts w:ascii="Arial" w:hAnsi="Arial" w:cs="Arial"/>
          <w:color w:val="000000"/>
          <w:sz w:val="24"/>
          <w:szCs w:val="24"/>
        </w:rPr>
        <w:t>.</w:t>
      </w:r>
      <w:r w:rsidR="00CB7736" w:rsidRPr="00D17BB4">
        <w:rPr>
          <w:rFonts w:ascii="Arial" w:hAnsi="Arial" w:cs="Arial"/>
          <w:color w:val="000000"/>
          <w:sz w:val="24"/>
          <w:szCs w:val="24"/>
        </w:rPr>
        <w:t xml:space="preserve"> </w:t>
      </w:r>
    </w:p>
    <w:p w:rsidR="00CB7736" w:rsidRDefault="00CB7736" w:rsidP="00CB7736">
      <w:pPr>
        <w:pStyle w:val="Default"/>
        <w:spacing w:after="120"/>
        <w:jc w:val="both"/>
      </w:pPr>
      <w:r>
        <w:rPr>
          <w:rFonts w:ascii="Arial" w:hAnsi="Arial" w:cs="Arial"/>
        </w:rPr>
        <w:t>Mezi vzorovými</w:t>
      </w:r>
      <w:r w:rsidRPr="00517FBA">
        <w:rPr>
          <w:rFonts w:ascii="Arial" w:hAnsi="Arial" w:cs="Arial"/>
        </w:rPr>
        <w:t xml:space="preserve"> projekt</w:t>
      </w:r>
      <w:r>
        <w:rPr>
          <w:rFonts w:ascii="Arial" w:hAnsi="Arial" w:cs="Arial"/>
        </w:rPr>
        <w:t>y</w:t>
      </w:r>
      <w:r w:rsidRPr="00517FBA">
        <w:rPr>
          <w:rFonts w:ascii="Arial" w:hAnsi="Arial" w:cs="Arial"/>
        </w:rPr>
        <w:t xml:space="preserve"> </w:t>
      </w:r>
      <w:r w:rsidRPr="00B03B42">
        <w:rPr>
          <w:rFonts w:ascii="Arial" w:hAnsi="Arial" w:cs="Arial"/>
        </w:rPr>
        <w:t>poskytovatel uvádí např.:</w:t>
      </w:r>
      <w:r w:rsidRPr="00B03B42">
        <w:rPr>
          <w:rFonts w:ascii="Arial" w:hAnsi="Arial" w:cs="Arial"/>
          <w:bCs/>
        </w:rPr>
        <w:t xml:space="preserve"> </w:t>
      </w:r>
      <w:r>
        <w:rPr>
          <w:rFonts w:ascii="Arial" w:hAnsi="Arial" w:cs="Arial"/>
          <w:bCs/>
        </w:rPr>
        <w:t>D</w:t>
      </w:r>
      <w:r w:rsidRPr="00B03B42">
        <w:rPr>
          <w:rFonts w:ascii="Arial" w:hAnsi="Arial" w:cs="Arial"/>
        </w:rPr>
        <w:t>ecentralizovanou</w:t>
      </w:r>
      <w:r>
        <w:rPr>
          <w:rFonts w:ascii="Arial" w:hAnsi="Arial" w:cs="Arial"/>
        </w:rPr>
        <w:t xml:space="preserve"> výrobu</w:t>
      </w:r>
      <w:r w:rsidRPr="00517FBA">
        <w:rPr>
          <w:rFonts w:ascii="Arial" w:hAnsi="Arial" w:cs="Arial"/>
        </w:rPr>
        <w:t xml:space="preserve"> pitné a</w:t>
      </w:r>
      <w:r>
        <w:rPr>
          <w:rFonts w:ascii="Arial" w:hAnsi="Arial" w:cs="Arial"/>
        </w:rPr>
        <w:t> </w:t>
      </w:r>
      <w:r w:rsidRPr="00517FBA">
        <w:rPr>
          <w:rFonts w:ascii="Arial" w:hAnsi="Arial" w:cs="Arial"/>
        </w:rPr>
        <w:t>užitkové vody při havarijních a krizových situacích pomocí membránových separačních procesů</w:t>
      </w:r>
      <w:r>
        <w:rPr>
          <w:rFonts w:ascii="Arial" w:hAnsi="Arial" w:cs="Arial"/>
        </w:rPr>
        <w:t>,</w:t>
      </w:r>
      <w:r w:rsidRPr="00517FBA">
        <w:rPr>
          <w:rFonts w:ascii="Arial" w:hAnsi="Arial" w:cs="Arial"/>
        </w:rPr>
        <w:t xml:space="preserve"> </w:t>
      </w:r>
      <w:r>
        <w:rPr>
          <w:rFonts w:ascii="Arial" w:hAnsi="Arial" w:cs="Arial"/>
        </w:rPr>
        <w:t>S</w:t>
      </w:r>
      <w:r w:rsidRPr="00517FBA">
        <w:rPr>
          <w:rFonts w:ascii="Arial" w:hAnsi="Arial" w:cs="Arial"/>
        </w:rPr>
        <w:t>tanovení prahu potravinové bezpečnosti pro zásobování obyvatel v případě krizových situací a ohrožení</w:t>
      </w:r>
      <w:r>
        <w:rPr>
          <w:rFonts w:ascii="Arial" w:hAnsi="Arial" w:cs="Arial"/>
        </w:rPr>
        <w:t>,</w:t>
      </w:r>
      <w:r w:rsidRPr="00517FBA">
        <w:rPr>
          <w:rFonts w:ascii="Arial" w:hAnsi="Arial" w:cs="Arial"/>
        </w:rPr>
        <w:t xml:space="preserve"> </w:t>
      </w:r>
      <w:r>
        <w:rPr>
          <w:rFonts w:ascii="Arial" w:hAnsi="Arial" w:cs="Arial"/>
        </w:rPr>
        <w:t>O</w:t>
      </w:r>
      <w:r w:rsidRPr="00517FBA">
        <w:rPr>
          <w:rFonts w:ascii="Arial" w:hAnsi="Arial" w:cs="Arial"/>
        </w:rPr>
        <w:t>perativní řízení dopravní poptávky při evakuaci obyvatel a mimořádných událostech na dopravní síti</w:t>
      </w:r>
      <w:r>
        <w:rPr>
          <w:rFonts w:ascii="Arial" w:hAnsi="Arial" w:cs="Arial"/>
        </w:rPr>
        <w:t xml:space="preserve"> či</w:t>
      </w:r>
      <w:r w:rsidRPr="00517FBA">
        <w:rPr>
          <w:rFonts w:ascii="Arial" w:hAnsi="Arial" w:cs="Arial"/>
        </w:rPr>
        <w:t xml:space="preserve"> </w:t>
      </w:r>
      <w:r>
        <w:rPr>
          <w:rFonts w:ascii="Arial" w:hAnsi="Arial" w:cs="Arial"/>
        </w:rPr>
        <w:t>n</w:t>
      </w:r>
      <w:r w:rsidRPr="00517FBA">
        <w:rPr>
          <w:rFonts w:ascii="Arial" w:hAnsi="Arial" w:cs="Arial"/>
        </w:rPr>
        <w:t>ov</w:t>
      </w:r>
      <w:r>
        <w:rPr>
          <w:rFonts w:ascii="Arial" w:hAnsi="Arial" w:cs="Arial"/>
        </w:rPr>
        <w:t>ou</w:t>
      </w:r>
      <w:r w:rsidRPr="00517FBA">
        <w:rPr>
          <w:rFonts w:ascii="Arial" w:hAnsi="Arial" w:cs="Arial"/>
        </w:rPr>
        <w:t xml:space="preserve"> </w:t>
      </w:r>
      <w:r>
        <w:rPr>
          <w:rFonts w:ascii="Arial" w:hAnsi="Arial" w:cs="Arial"/>
        </w:rPr>
        <w:t>M</w:t>
      </w:r>
      <w:r w:rsidRPr="00517FBA">
        <w:rPr>
          <w:rFonts w:ascii="Arial" w:hAnsi="Arial" w:cs="Arial"/>
        </w:rPr>
        <w:t>etod</w:t>
      </w:r>
      <w:r>
        <w:rPr>
          <w:rFonts w:ascii="Arial" w:hAnsi="Arial" w:cs="Arial"/>
        </w:rPr>
        <w:t>u</w:t>
      </w:r>
      <w:r w:rsidRPr="00517FBA">
        <w:rPr>
          <w:rFonts w:ascii="Arial" w:hAnsi="Arial" w:cs="Arial"/>
        </w:rPr>
        <w:t xml:space="preserve"> měření odezvy konstrukce ochranné obálky pro zajištění bezpečnosti </w:t>
      </w:r>
      <w:r>
        <w:rPr>
          <w:rFonts w:ascii="Arial" w:hAnsi="Arial" w:cs="Arial"/>
        </w:rPr>
        <w:t>jaderné elektrárny</w:t>
      </w:r>
      <w:r w:rsidRPr="00517FBA">
        <w:rPr>
          <w:rFonts w:ascii="Arial" w:hAnsi="Arial" w:cs="Arial"/>
        </w:rPr>
        <w:t xml:space="preserve"> i v případě těžkých havárií</w:t>
      </w:r>
      <w:r>
        <w:rPr>
          <w:rFonts w:ascii="Arial" w:hAnsi="Arial" w:cs="Arial"/>
        </w:rPr>
        <w:t xml:space="preserve"> atd.</w:t>
      </w:r>
      <w:r w:rsidRPr="00517FBA">
        <w:t xml:space="preserve"> </w:t>
      </w:r>
    </w:p>
    <w:p w:rsidR="00F30440" w:rsidRDefault="00CB7736" w:rsidP="00CB7736">
      <w:pPr>
        <w:pStyle w:val="Default"/>
        <w:spacing w:after="120"/>
        <w:jc w:val="both"/>
        <w:rPr>
          <w:rFonts w:ascii="Arial" w:hAnsi="Arial" w:cs="Arial"/>
        </w:rPr>
      </w:pPr>
      <w:r w:rsidRPr="00B03B42">
        <w:rPr>
          <w:rFonts w:ascii="Arial" w:hAnsi="Arial" w:cs="Arial"/>
        </w:rPr>
        <w:t xml:space="preserve">Nutno poznamenat, že jednotlivé projekty </w:t>
      </w:r>
      <w:r>
        <w:rPr>
          <w:rFonts w:ascii="Arial" w:hAnsi="Arial" w:cs="Arial"/>
        </w:rPr>
        <w:t xml:space="preserve">programu </w:t>
      </w:r>
      <w:r w:rsidRPr="00B03B42">
        <w:rPr>
          <w:rFonts w:ascii="Arial" w:hAnsi="Arial" w:cs="Arial"/>
        </w:rPr>
        <w:t>Bezpečnostní</w:t>
      </w:r>
      <w:r>
        <w:rPr>
          <w:rFonts w:ascii="Arial" w:hAnsi="Arial" w:cs="Arial"/>
        </w:rPr>
        <w:t xml:space="preserve"> výzkum</w:t>
      </w:r>
      <w:r w:rsidRPr="00B03B42">
        <w:rPr>
          <w:rFonts w:ascii="Arial" w:hAnsi="Arial" w:cs="Arial"/>
        </w:rPr>
        <w:t xml:space="preserve"> jsou svým charakterem z hlediska zaměření a přínosů velmi rozdílné, což </w:t>
      </w:r>
      <w:r>
        <w:rPr>
          <w:rFonts w:ascii="Arial" w:hAnsi="Arial" w:cs="Arial"/>
        </w:rPr>
        <w:t xml:space="preserve">odpovídá </w:t>
      </w:r>
      <w:r w:rsidRPr="00B03B42">
        <w:rPr>
          <w:rFonts w:ascii="Arial" w:hAnsi="Arial" w:cs="Arial"/>
        </w:rPr>
        <w:t> charakter</w:t>
      </w:r>
      <w:r>
        <w:rPr>
          <w:rFonts w:ascii="Arial" w:hAnsi="Arial" w:cs="Arial"/>
        </w:rPr>
        <w:t>u</w:t>
      </w:r>
      <w:r w:rsidRPr="00B03B42">
        <w:rPr>
          <w:rFonts w:ascii="Arial" w:hAnsi="Arial" w:cs="Arial"/>
        </w:rPr>
        <w:t xml:space="preserve"> hodnoceného programu, ale omezuje možnosti vyhodnocení.</w:t>
      </w:r>
      <w:r w:rsidR="00101151">
        <w:rPr>
          <w:rFonts w:ascii="Arial" w:hAnsi="Arial" w:cs="Arial"/>
        </w:rPr>
        <w:t xml:space="preserve"> Přínosy programu zahrnují zvýšení připravenosti bezpečnostního systému, eliminace bezpečnostních hrozeb, zvýšení účinnosti bezpečnostní politiky a podporu spolupráce inst</w:t>
      </w:r>
      <w:r w:rsidR="007F26AE">
        <w:rPr>
          <w:rFonts w:ascii="Arial" w:hAnsi="Arial" w:cs="Arial"/>
        </w:rPr>
        <w:t>i</w:t>
      </w:r>
      <w:r w:rsidR="00101151">
        <w:rPr>
          <w:rFonts w:ascii="Arial" w:hAnsi="Arial" w:cs="Arial"/>
        </w:rPr>
        <w:t>tucí zapojených do problematiky bezpečnosti.</w:t>
      </w:r>
    </w:p>
    <w:p w:rsidR="00101151" w:rsidRDefault="00101151" w:rsidP="00CB7736">
      <w:pPr>
        <w:pStyle w:val="Default"/>
        <w:spacing w:after="120"/>
        <w:jc w:val="both"/>
        <w:rPr>
          <w:rFonts w:ascii="Arial" w:hAnsi="Arial" w:cs="Arial"/>
        </w:rPr>
      </w:pPr>
      <w:r>
        <w:rPr>
          <w:rFonts w:ascii="Arial" w:hAnsi="Arial" w:cs="Arial"/>
        </w:rPr>
        <w:t>Ze sledování implementace výsledků projektů do praxe</w:t>
      </w:r>
      <w:r w:rsidR="007F26AE">
        <w:rPr>
          <w:rFonts w:ascii="Arial" w:hAnsi="Arial" w:cs="Arial"/>
        </w:rPr>
        <w:t>, k</w:t>
      </w:r>
      <w:r>
        <w:rPr>
          <w:rFonts w:ascii="Arial" w:hAnsi="Arial" w:cs="Arial"/>
        </w:rPr>
        <w:t>teré poskytovatel každoročně provádí</w:t>
      </w:r>
      <w:r w:rsidR="007F26AE">
        <w:rPr>
          <w:rFonts w:ascii="Arial" w:hAnsi="Arial" w:cs="Arial"/>
        </w:rPr>
        <w:t>,</w:t>
      </w:r>
      <w:r>
        <w:rPr>
          <w:rFonts w:ascii="Arial" w:hAnsi="Arial" w:cs="Arial"/>
        </w:rPr>
        <w:t xml:space="preserve"> vyplývá, že v době zpracování Závěrečného hodnocení </w:t>
      </w:r>
      <w:r w:rsidR="007F26AE">
        <w:rPr>
          <w:rFonts w:ascii="Arial" w:hAnsi="Arial" w:cs="Arial"/>
        </w:rPr>
        <w:t>MV</w:t>
      </w:r>
      <w:r>
        <w:rPr>
          <w:rFonts w:ascii="Arial" w:hAnsi="Arial" w:cs="Arial"/>
        </w:rPr>
        <w:t xml:space="preserve"> byly mezi konečnými uživateli šířeny výsledky cca 75 % podpořených projektů ukončených do poloviny roku 2015. U dalších 25 % probíhaly různé navazující aktivity vývojového charakteru, nebo nutné certifikace a zkoušky.</w:t>
      </w:r>
    </w:p>
    <w:p w:rsidR="00C82565" w:rsidRDefault="00C82565" w:rsidP="00CB7736">
      <w:pPr>
        <w:pStyle w:val="Default"/>
        <w:spacing w:after="120"/>
        <w:jc w:val="both"/>
        <w:rPr>
          <w:rFonts w:ascii="Arial" w:hAnsi="Arial" w:cs="Arial"/>
        </w:rPr>
      </w:pPr>
      <w:r>
        <w:rPr>
          <w:rFonts w:ascii="Arial" w:hAnsi="Arial" w:cs="Arial"/>
        </w:rPr>
        <w:t>Hlavními nástroji pro hodnocení přínosů byly rozhovory s konečnými uživateli a</w:t>
      </w:r>
      <w:r w:rsidR="00813C6F">
        <w:rPr>
          <w:rFonts w:ascii="Arial" w:hAnsi="Arial" w:cs="Arial"/>
        </w:rPr>
        <w:t> </w:t>
      </w:r>
      <w:r>
        <w:rPr>
          <w:rFonts w:ascii="Arial" w:hAnsi="Arial" w:cs="Arial"/>
        </w:rPr>
        <w:t xml:space="preserve">dotazníková </w:t>
      </w:r>
      <w:r w:rsidR="00825345">
        <w:rPr>
          <w:rFonts w:ascii="Arial" w:hAnsi="Arial" w:cs="Arial"/>
        </w:rPr>
        <w:t>šetření mezi</w:t>
      </w:r>
      <w:r>
        <w:rPr>
          <w:rFonts w:ascii="Arial" w:hAnsi="Arial" w:cs="Arial"/>
        </w:rPr>
        <w:t xml:space="preserve"> příjemci podpory a expertní hodnocení pro bezpečnostní přínos, které je prováděno od roku 2015 v rámci závěrečného hodnocení projektů.</w:t>
      </w:r>
    </w:p>
    <w:p w:rsidR="00453101" w:rsidRPr="00713CD8" w:rsidRDefault="00936314" w:rsidP="00936314">
      <w:pPr>
        <w:pStyle w:val="Default"/>
        <w:spacing w:after="120"/>
        <w:jc w:val="both"/>
        <w:rPr>
          <w:rFonts w:ascii="Arial" w:hAnsi="Arial" w:cs="Arial"/>
          <w:highlight w:val="yellow"/>
        </w:rPr>
      </w:pPr>
      <w:r w:rsidRPr="00936314">
        <w:rPr>
          <w:rFonts w:ascii="Arial" w:hAnsi="Arial" w:cs="Arial"/>
        </w:rPr>
        <w:t xml:space="preserve">V Závěrečném hodnocení </w:t>
      </w:r>
      <w:r w:rsidR="007F26AE">
        <w:rPr>
          <w:rFonts w:ascii="Arial" w:hAnsi="Arial" w:cs="Arial"/>
        </w:rPr>
        <w:t>MV</w:t>
      </w:r>
      <w:r w:rsidR="00C17788">
        <w:rPr>
          <w:rFonts w:ascii="Arial" w:hAnsi="Arial" w:cs="Arial"/>
        </w:rPr>
        <w:t xml:space="preserve"> </w:t>
      </w:r>
      <w:r w:rsidRPr="00936314">
        <w:rPr>
          <w:rFonts w:ascii="Arial" w:hAnsi="Arial" w:cs="Arial"/>
        </w:rPr>
        <w:t>je konstatováno, že program Bezpečnostní výzkum splnil indikátory</w:t>
      </w:r>
      <w:r w:rsidR="00F30440" w:rsidRPr="00936314">
        <w:rPr>
          <w:rFonts w:ascii="Arial" w:hAnsi="Arial" w:cs="Arial"/>
        </w:rPr>
        <w:t xml:space="preserve"> </w:t>
      </w:r>
      <w:r w:rsidRPr="00936314">
        <w:rPr>
          <w:rFonts w:ascii="Arial" w:hAnsi="Arial" w:cs="Arial"/>
        </w:rPr>
        <w:t xml:space="preserve">výsledků, z nichž </w:t>
      </w:r>
      <w:r w:rsidR="00F30440" w:rsidRPr="00936314">
        <w:rPr>
          <w:rFonts w:ascii="Arial" w:hAnsi="Arial" w:cs="Arial"/>
        </w:rPr>
        <w:t>některé lze považovat za světově konkurenceschopné</w:t>
      </w:r>
      <w:r w:rsidR="00C17788">
        <w:rPr>
          <w:rFonts w:ascii="Arial" w:hAnsi="Arial" w:cs="Arial"/>
        </w:rPr>
        <w:t>. P</w:t>
      </w:r>
      <w:r w:rsidR="0066317E">
        <w:rPr>
          <w:rFonts w:ascii="Arial" w:hAnsi="Arial" w:cs="Arial"/>
        </w:rPr>
        <w:t>rojekty</w:t>
      </w:r>
      <w:r w:rsidR="00F84F3D" w:rsidRPr="00713CD8">
        <w:rPr>
          <w:rFonts w:ascii="Arial" w:hAnsi="Arial" w:cs="Arial"/>
        </w:rPr>
        <w:t xml:space="preserve">, </w:t>
      </w:r>
      <w:r w:rsidR="00F84F3D">
        <w:rPr>
          <w:rFonts w:ascii="Arial" w:hAnsi="Arial" w:cs="Arial"/>
        </w:rPr>
        <w:t xml:space="preserve">u </w:t>
      </w:r>
      <w:r w:rsidR="00F84F3D" w:rsidRPr="00713CD8">
        <w:rPr>
          <w:rFonts w:ascii="Arial" w:hAnsi="Arial" w:cs="Arial"/>
        </w:rPr>
        <w:t>kter</w:t>
      </w:r>
      <w:r w:rsidR="00F84F3D">
        <w:rPr>
          <w:rFonts w:ascii="Arial" w:hAnsi="Arial" w:cs="Arial"/>
        </w:rPr>
        <w:t>ých bylo dosaženo</w:t>
      </w:r>
      <w:r w:rsidR="00F84F3D" w:rsidRPr="00713CD8">
        <w:rPr>
          <w:rFonts w:ascii="Arial" w:hAnsi="Arial" w:cs="Arial"/>
        </w:rPr>
        <w:t xml:space="preserve"> zvlášť významných výsledků</w:t>
      </w:r>
      <w:r w:rsidR="00F84F3D">
        <w:rPr>
          <w:rFonts w:ascii="Arial" w:hAnsi="Arial" w:cs="Arial"/>
        </w:rPr>
        <w:t>,</w:t>
      </w:r>
      <w:r w:rsidR="00453101" w:rsidRPr="00713CD8">
        <w:rPr>
          <w:rFonts w:ascii="Arial" w:hAnsi="Arial" w:cs="Arial"/>
        </w:rPr>
        <w:t xml:space="preserve"> jsou srovnatelné s výzkumem v zahraničí. </w:t>
      </w:r>
    </w:p>
    <w:p w:rsidR="00453101" w:rsidRDefault="00453101" w:rsidP="00453101">
      <w:pPr>
        <w:pStyle w:val="Nadpis3"/>
      </w:pPr>
      <w:r>
        <w:t>7.</w:t>
      </w:r>
      <w:r w:rsidR="00CB7736">
        <w:t>5</w:t>
      </w:r>
      <w:r>
        <w:tab/>
        <w:t>Lidské zdroje</w:t>
      </w:r>
    </w:p>
    <w:p w:rsidR="00453101" w:rsidRDefault="00453101" w:rsidP="00453101">
      <w:pPr>
        <w:spacing w:after="120" w:line="240" w:lineRule="auto"/>
        <w:jc w:val="both"/>
        <w:rPr>
          <w:rFonts w:ascii="Arial" w:hAnsi="Arial" w:cs="Arial"/>
          <w:sz w:val="24"/>
          <w:szCs w:val="24"/>
        </w:rPr>
      </w:pPr>
      <w:r>
        <w:rPr>
          <w:rFonts w:ascii="Arial" w:hAnsi="Arial" w:cs="Arial"/>
          <w:sz w:val="24"/>
          <w:szCs w:val="24"/>
        </w:rPr>
        <w:t xml:space="preserve">Podle </w:t>
      </w:r>
      <w:r w:rsidR="0066317E">
        <w:rPr>
          <w:rFonts w:ascii="Arial" w:hAnsi="Arial" w:cs="Arial"/>
          <w:sz w:val="24"/>
          <w:szCs w:val="24"/>
        </w:rPr>
        <w:t xml:space="preserve">Závěrečného hodnocení </w:t>
      </w:r>
      <w:r w:rsidR="007F26AE">
        <w:rPr>
          <w:rFonts w:ascii="Arial" w:hAnsi="Arial" w:cs="Arial"/>
          <w:sz w:val="24"/>
          <w:szCs w:val="24"/>
        </w:rPr>
        <w:t>MV</w:t>
      </w:r>
      <w:r w:rsidR="0066317E">
        <w:rPr>
          <w:rFonts w:ascii="Arial" w:hAnsi="Arial" w:cs="Arial"/>
          <w:sz w:val="24"/>
          <w:szCs w:val="24"/>
        </w:rPr>
        <w:t xml:space="preserve"> </w:t>
      </w:r>
      <w:r w:rsidR="001B7EE7">
        <w:rPr>
          <w:rFonts w:ascii="Arial" w:hAnsi="Arial" w:cs="Arial"/>
          <w:sz w:val="24"/>
          <w:szCs w:val="24"/>
        </w:rPr>
        <w:t>vznikl</w:t>
      </w:r>
      <w:r w:rsidR="0066317E">
        <w:rPr>
          <w:rFonts w:ascii="Arial" w:hAnsi="Arial" w:cs="Arial"/>
          <w:sz w:val="24"/>
          <w:szCs w:val="24"/>
        </w:rPr>
        <w:t xml:space="preserve"> díky</w:t>
      </w:r>
      <w:r>
        <w:rPr>
          <w:rFonts w:ascii="Arial" w:hAnsi="Arial" w:cs="Arial"/>
          <w:sz w:val="24"/>
          <w:szCs w:val="24"/>
        </w:rPr>
        <w:t xml:space="preserve"> účelov</w:t>
      </w:r>
      <w:r w:rsidR="0066317E">
        <w:rPr>
          <w:rFonts w:ascii="Arial" w:hAnsi="Arial" w:cs="Arial"/>
          <w:sz w:val="24"/>
          <w:szCs w:val="24"/>
        </w:rPr>
        <w:t>é podpoře</w:t>
      </w:r>
      <w:r>
        <w:rPr>
          <w:rFonts w:ascii="Arial" w:hAnsi="Arial" w:cs="Arial"/>
          <w:sz w:val="24"/>
          <w:szCs w:val="24"/>
        </w:rPr>
        <w:t xml:space="preserve"> z programu Bezpečnostní výzkum 557 ekvivalent</w:t>
      </w:r>
      <w:r w:rsidR="00101151">
        <w:rPr>
          <w:rFonts w:ascii="Arial" w:hAnsi="Arial" w:cs="Arial"/>
          <w:sz w:val="24"/>
          <w:szCs w:val="24"/>
        </w:rPr>
        <w:t>ů</w:t>
      </w:r>
      <w:r>
        <w:rPr>
          <w:rFonts w:ascii="Arial" w:hAnsi="Arial" w:cs="Arial"/>
          <w:sz w:val="24"/>
          <w:szCs w:val="24"/>
        </w:rPr>
        <w:t xml:space="preserve"> pracovních míst</w:t>
      </w:r>
      <w:r w:rsidR="0066317E">
        <w:rPr>
          <w:rFonts w:ascii="Arial" w:hAnsi="Arial" w:cs="Arial"/>
          <w:sz w:val="24"/>
          <w:szCs w:val="24"/>
        </w:rPr>
        <w:t>. Z toho bylo</w:t>
      </w:r>
      <w:r w:rsidR="008B27BA">
        <w:rPr>
          <w:rFonts w:ascii="Arial" w:hAnsi="Arial" w:cs="Arial"/>
          <w:sz w:val="24"/>
          <w:szCs w:val="24"/>
        </w:rPr>
        <w:t xml:space="preserve"> 242 pracovních míst vytvořeno v první veřejné </w:t>
      </w:r>
      <w:r w:rsidR="00C17788">
        <w:rPr>
          <w:rFonts w:ascii="Arial" w:hAnsi="Arial" w:cs="Arial"/>
          <w:sz w:val="24"/>
          <w:szCs w:val="24"/>
        </w:rPr>
        <w:t>soutěži, 161</w:t>
      </w:r>
      <w:r w:rsidR="0066317E">
        <w:rPr>
          <w:rFonts w:ascii="Arial" w:hAnsi="Arial" w:cs="Arial"/>
          <w:sz w:val="24"/>
          <w:szCs w:val="24"/>
        </w:rPr>
        <w:t xml:space="preserve"> </w:t>
      </w:r>
      <w:r w:rsidR="008B27BA">
        <w:rPr>
          <w:rFonts w:ascii="Arial" w:hAnsi="Arial" w:cs="Arial"/>
          <w:sz w:val="24"/>
          <w:szCs w:val="24"/>
        </w:rPr>
        <w:t xml:space="preserve">ve druhé a 153 ve třetí, </w:t>
      </w:r>
      <w:r>
        <w:rPr>
          <w:rFonts w:ascii="Arial" w:hAnsi="Arial" w:cs="Arial"/>
          <w:sz w:val="24"/>
          <w:szCs w:val="24"/>
        </w:rPr>
        <w:t xml:space="preserve">převážně v regionech Praha, Ostrava, Brno, Hradec Králové a Pardubice. Vzhledem k průměrnému úvazku v programovém projektu </w:t>
      </w:r>
      <w:r w:rsidR="0066317E">
        <w:rPr>
          <w:rFonts w:ascii="Arial" w:hAnsi="Arial" w:cs="Arial"/>
          <w:sz w:val="24"/>
          <w:szCs w:val="24"/>
        </w:rPr>
        <w:t>MV</w:t>
      </w:r>
      <w:r>
        <w:rPr>
          <w:rFonts w:ascii="Arial" w:hAnsi="Arial" w:cs="Arial"/>
          <w:sz w:val="24"/>
          <w:szCs w:val="24"/>
        </w:rPr>
        <w:t xml:space="preserve"> dovozuje, že v rámci </w:t>
      </w:r>
      <w:r w:rsidR="0066317E">
        <w:rPr>
          <w:rFonts w:ascii="Arial" w:hAnsi="Arial" w:cs="Arial"/>
          <w:sz w:val="24"/>
          <w:szCs w:val="24"/>
        </w:rPr>
        <w:t>Bezpečnostního výzkumu</w:t>
      </w:r>
      <w:r>
        <w:rPr>
          <w:rFonts w:ascii="Arial" w:hAnsi="Arial" w:cs="Arial"/>
          <w:sz w:val="24"/>
          <w:szCs w:val="24"/>
        </w:rPr>
        <w:t xml:space="preserve"> bylo podpořeno více než 2000 individuálních pracovníků. Z indikativních výpočtů uvedených v</w:t>
      </w:r>
      <w:r w:rsidR="0066317E">
        <w:rPr>
          <w:rFonts w:ascii="Arial" w:hAnsi="Arial" w:cs="Arial"/>
          <w:sz w:val="24"/>
          <w:szCs w:val="24"/>
        </w:rPr>
        <w:t xml:space="preserve"> Závěrečném hodnocení </w:t>
      </w:r>
      <w:r w:rsidR="007F26AE">
        <w:rPr>
          <w:rFonts w:ascii="Arial" w:hAnsi="Arial" w:cs="Arial"/>
          <w:sz w:val="24"/>
          <w:szCs w:val="24"/>
        </w:rPr>
        <w:t>M</w:t>
      </w:r>
      <w:r w:rsidR="0066317E">
        <w:rPr>
          <w:rFonts w:ascii="Arial" w:hAnsi="Arial" w:cs="Arial"/>
          <w:sz w:val="24"/>
          <w:szCs w:val="24"/>
        </w:rPr>
        <w:t>V</w:t>
      </w:r>
      <w:r>
        <w:rPr>
          <w:rFonts w:ascii="Arial" w:hAnsi="Arial" w:cs="Arial"/>
          <w:sz w:val="24"/>
          <w:szCs w:val="24"/>
        </w:rPr>
        <w:t xml:space="preserve"> vyplývá, že 40 % </w:t>
      </w:r>
      <w:r w:rsidR="0066317E">
        <w:rPr>
          <w:rFonts w:ascii="Arial" w:hAnsi="Arial" w:cs="Arial"/>
          <w:sz w:val="24"/>
          <w:szCs w:val="24"/>
        </w:rPr>
        <w:t xml:space="preserve">z celkové </w:t>
      </w:r>
      <w:r>
        <w:rPr>
          <w:rFonts w:ascii="Arial" w:hAnsi="Arial" w:cs="Arial"/>
          <w:sz w:val="24"/>
          <w:szCs w:val="24"/>
        </w:rPr>
        <w:t>podpory odchází zpět do</w:t>
      </w:r>
      <w:r w:rsidR="002A6F43">
        <w:rPr>
          <w:rFonts w:ascii="Arial" w:hAnsi="Arial" w:cs="Arial"/>
          <w:sz w:val="24"/>
          <w:szCs w:val="24"/>
        </w:rPr>
        <w:t> </w:t>
      </w:r>
      <w:r>
        <w:rPr>
          <w:rFonts w:ascii="Arial" w:hAnsi="Arial" w:cs="Arial"/>
          <w:sz w:val="24"/>
          <w:szCs w:val="24"/>
        </w:rPr>
        <w:t>státního rozpočtu formou odvodů na sociální a</w:t>
      </w:r>
      <w:r w:rsidR="0066317E">
        <w:rPr>
          <w:rFonts w:ascii="Arial" w:hAnsi="Arial" w:cs="Arial"/>
          <w:sz w:val="24"/>
          <w:szCs w:val="24"/>
        </w:rPr>
        <w:t> </w:t>
      </w:r>
      <w:r>
        <w:rPr>
          <w:rFonts w:ascii="Arial" w:hAnsi="Arial" w:cs="Arial"/>
          <w:sz w:val="24"/>
          <w:szCs w:val="24"/>
        </w:rPr>
        <w:t>zdravotní pojištění, daně z příjmu a</w:t>
      </w:r>
      <w:r w:rsidR="002A6F43">
        <w:rPr>
          <w:rFonts w:ascii="Arial" w:hAnsi="Arial" w:cs="Arial"/>
          <w:sz w:val="24"/>
          <w:szCs w:val="24"/>
        </w:rPr>
        <w:t> </w:t>
      </w:r>
      <w:r>
        <w:rPr>
          <w:rFonts w:ascii="Arial" w:hAnsi="Arial" w:cs="Arial"/>
          <w:sz w:val="24"/>
          <w:szCs w:val="24"/>
        </w:rPr>
        <w:t>DPH.</w:t>
      </w:r>
    </w:p>
    <w:p w:rsidR="00453101" w:rsidRDefault="00453101" w:rsidP="00CD63DD">
      <w:pPr>
        <w:pStyle w:val="Nadpis3"/>
        <w:spacing w:before="0" w:after="120" w:line="240" w:lineRule="auto"/>
      </w:pPr>
      <w:r>
        <w:t>7.</w:t>
      </w:r>
      <w:r w:rsidR="00CB7736">
        <w:t>6</w:t>
      </w:r>
      <w:r>
        <w:tab/>
      </w:r>
      <w:r w:rsidR="00644F04">
        <w:t>Zapojení institucí</w:t>
      </w:r>
    </w:p>
    <w:p w:rsidR="008B27BA" w:rsidRDefault="008B27BA" w:rsidP="00CD63DD">
      <w:pPr>
        <w:spacing w:after="120" w:line="240" w:lineRule="auto"/>
        <w:jc w:val="both"/>
        <w:rPr>
          <w:rFonts w:ascii="Arial" w:hAnsi="Arial" w:cs="Arial"/>
          <w:sz w:val="24"/>
          <w:szCs w:val="24"/>
        </w:rPr>
      </w:pPr>
      <w:r w:rsidRPr="00985B22">
        <w:rPr>
          <w:rFonts w:ascii="Arial" w:hAnsi="Arial" w:cs="Arial"/>
          <w:sz w:val="24"/>
          <w:szCs w:val="24"/>
        </w:rPr>
        <w:t xml:space="preserve">Program předpokládal zapojení dvou hlavních typů typy </w:t>
      </w:r>
      <w:r w:rsidR="00985B22" w:rsidRPr="00985B22">
        <w:rPr>
          <w:rFonts w:ascii="Arial" w:hAnsi="Arial" w:cs="Arial"/>
          <w:sz w:val="24"/>
          <w:szCs w:val="24"/>
        </w:rPr>
        <w:t xml:space="preserve">příjemců </w:t>
      </w:r>
      <w:r w:rsidR="00985B22">
        <w:rPr>
          <w:rFonts w:ascii="Arial" w:hAnsi="Arial" w:cs="Arial"/>
          <w:sz w:val="24"/>
          <w:szCs w:val="24"/>
        </w:rPr>
        <w:t xml:space="preserve">- </w:t>
      </w:r>
      <w:r w:rsidR="00985B22" w:rsidRPr="00985B22">
        <w:rPr>
          <w:rFonts w:ascii="Arial" w:hAnsi="Arial" w:cs="Arial"/>
          <w:sz w:val="24"/>
          <w:szCs w:val="24"/>
        </w:rPr>
        <w:t>organizac</w:t>
      </w:r>
      <w:r w:rsidR="00985B22">
        <w:rPr>
          <w:rFonts w:ascii="Arial" w:hAnsi="Arial" w:cs="Arial"/>
          <w:sz w:val="24"/>
          <w:szCs w:val="24"/>
        </w:rPr>
        <w:t>í</w:t>
      </w:r>
      <w:r w:rsidR="00985B22" w:rsidRPr="0075188B">
        <w:rPr>
          <w:rFonts w:ascii="Arial" w:hAnsi="Arial" w:cs="Arial"/>
          <w:sz w:val="24"/>
          <w:szCs w:val="24"/>
        </w:rPr>
        <w:t xml:space="preserve"> p</w:t>
      </w:r>
      <w:r w:rsidR="00985B22">
        <w:rPr>
          <w:rFonts w:ascii="Arial" w:hAnsi="Arial" w:cs="Arial"/>
          <w:sz w:val="24"/>
          <w:szCs w:val="24"/>
        </w:rPr>
        <w:t>r</w:t>
      </w:r>
      <w:r w:rsidR="00985B22" w:rsidRPr="0075188B">
        <w:rPr>
          <w:rFonts w:ascii="Arial" w:hAnsi="Arial" w:cs="Arial"/>
          <w:sz w:val="24"/>
          <w:szCs w:val="24"/>
        </w:rPr>
        <w:t xml:space="preserve">o </w:t>
      </w:r>
      <w:r w:rsidR="00CD63DD">
        <w:rPr>
          <w:rFonts w:ascii="Arial" w:hAnsi="Arial" w:cs="Arial"/>
          <w:sz w:val="24"/>
          <w:szCs w:val="24"/>
        </w:rPr>
        <w:t> v</w:t>
      </w:r>
      <w:r w:rsidR="00985B22" w:rsidRPr="0075188B">
        <w:rPr>
          <w:rFonts w:ascii="Arial" w:hAnsi="Arial" w:cs="Arial"/>
          <w:sz w:val="24"/>
          <w:szCs w:val="24"/>
        </w:rPr>
        <w:t>ýzkum a šíření znalostí</w:t>
      </w:r>
      <w:r w:rsidR="00985B22">
        <w:rPr>
          <w:rFonts w:ascii="Arial" w:hAnsi="Arial" w:cs="Arial"/>
          <w:sz w:val="24"/>
          <w:szCs w:val="24"/>
        </w:rPr>
        <w:t xml:space="preserve"> (dále jen „výzkumné</w:t>
      </w:r>
      <w:r w:rsidRPr="00985B22">
        <w:rPr>
          <w:rFonts w:ascii="Arial" w:hAnsi="Arial" w:cs="Arial"/>
          <w:sz w:val="24"/>
          <w:szCs w:val="24"/>
        </w:rPr>
        <w:t xml:space="preserve"> organizac</w:t>
      </w:r>
      <w:r w:rsidR="00985B22">
        <w:rPr>
          <w:rFonts w:ascii="Arial" w:hAnsi="Arial" w:cs="Arial"/>
          <w:sz w:val="24"/>
          <w:szCs w:val="24"/>
        </w:rPr>
        <w:t>e“)</w:t>
      </w:r>
      <w:r w:rsidRPr="00985B22">
        <w:rPr>
          <w:rFonts w:ascii="Arial" w:hAnsi="Arial" w:cs="Arial"/>
          <w:sz w:val="24"/>
          <w:szCs w:val="24"/>
        </w:rPr>
        <w:t xml:space="preserve"> a podniků</w:t>
      </w:r>
      <w:r w:rsidR="00985B22" w:rsidRPr="00985B22">
        <w:rPr>
          <w:rFonts w:ascii="Arial" w:hAnsi="Arial" w:cs="Arial"/>
          <w:sz w:val="24"/>
          <w:szCs w:val="24"/>
        </w:rPr>
        <w:t xml:space="preserve">. </w:t>
      </w:r>
    </w:p>
    <w:p w:rsidR="00644F04" w:rsidRPr="00985B22" w:rsidRDefault="00644F04" w:rsidP="00CD63DD">
      <w:pPr>
        <w:spacing w:after="120" w:line="240" w:lineRule="auto"/>
        <w:jc w:val="both"/>
        <w:rPr>
          <w:rFonts w:ascii="Arial" w:hAnsi="Arial" w:cs="Arial"/>
          <w:sz w:val="24"/>
          <w:szCs w:val="24"/>
          <w:lang w:eastAsia="cs-CZ"/>
        </w:rPr>
      </w:pPr>
      <w:r>
        <w:rPr>
          <w:rFonts w:ascii="Arial" w:hAnsi="Arial" w:cs="Arial"/>
          <w:sz w:val="24"/>
          <w:szCs w:val="24"/>
        </w:rPr>
        <w:t>Největší zastoupenou skupinou subjektů byly výzkumné organizace. Tento stav svědčí o tom, že těžiště bezpečnostního výzkumu v ČR lež</w:t>
      </w:r>
      <w:r w:rsidR="00101151">
        <w:rPr>
          <w:rFonts w:ascii="Arial" w:hAnsi="Arial" w:cs="Arial"/>
          <w:sz w:val="24"/>
          <w:szCs w:val="24"/>
        </w:rPr>
        <w:t xml:space="preserve">elo v programovém </w:t>
      </w:r>
      <w:r w:rsidR="00101151">
        <w:rPr>
          <w:rFonts w:ascii="Arial" w:hAnsi="Arial" w:cs="Arial"/>
          <w:sz w:val="24"/>
          <w:szCs w:val="24"/>
        </w:rPr>
        <w:lastRenderedPageBreak/>
        <w:t>období 2010 - 2015</w:t>
      </w:r>
      <w:r>
        <w:rPr>
          <w:rFonts w:ascii="Arial" w:hAnsi="Arial" w:cs="Arial"/>
          <w:sz w:val="24"/>
          <w:szCs w:val="24"/>
        </w:rPr>
        <w:t xml:space="preserve"> spíše v akademickém prostoru než v podnikové sféře. Celková úspěšnost jednotlivých typů žadatelů </w:t>
      </w:r>
      <w:r w:rsidR="00CD63DD">
        <w:rPr>
          <w:rFonts w:ascii="Arial" w:hAnsi="Arial" w:cs="Arial"/>
          <w:sz w:val="24"/>
          <w:szCs w:val="24"/>
        </w:rPr>
        <w:t>ve veřejných soutěžích byla však podle poskytovatele</w:t>
      </w:r>
      <w:r>
        <w:rPr>
          <w:rFonts w:ascii="Arial" w:hAnsi="Arial" w:cs="Arial"/>
          <w:sz w:val="24"/>
          <w:szCs w:val="24"/>
        </w:rPr>
        <w:t xml:space="preserve"> srovnatelná (</w:t>
      </w:r>
      <w:r w:rsidR="00101151">
        <w:rPr>
          <w:rFonts w:ascii="Arial" w:hAnsi="Arial" w:cs="Arial"/>
          <w:sz w:val="24"/>
          <w:szCs w:val="24"/>
        </w:rPr>
        <w:t xml:space="preserve">nejvyšší </w:t>
      </w:r>
      <w:r w:rsidR="00CD63DD">
        <w:rPr>
          <w:rFonts w:ascii="Arial" w:hAnsi="Arial" w:cs="Arial"/>
          <w:sz w:val="24"/>
          <w:szCs w:val="24"/>
        </w:rPr>
        <w:t xml:space="preserve">úspěšnost </w:t>
      </w:r>
      <w:r w:rsidR="00101151">
        <w:rPr>
          <w:rFonts w:ascii="Arial" w:hAnsi="Arial" w:cs="Arial"/>
          <w:sz w:val="24"/>
          <w:szCs w:val="24"/>
        </w:rPr>
        <w:t xml:space="preserve">vykázaly </w:t>
      </w:r>
      <w:r w:rsidR="00CD63DD">
        <w:rPr>
          <w:rFonts w:ascii="Arial" w:hAnsi="Arial" w:cs="Arial"/>
          <w:sz w:val="24"/>
          <w:szCs w:val="24"/>
        </w:rPr>
        <w:t>v</w:t>
      </w:r>
      <w:r>
        <w:rPr>
          <w:rFonts w:ascii="Arial" w:hAnsi="Arial" w:cs="Arial"/>
          <w:sz w:val="24"/>
          <w:szCs w:val="24"/>
        </w:rPr>
        <w:t>ýz</w:t>
      </w:r>
      <w:r w:rsidR="00CD63DD">
        <w:rPr>
          <w:rFonts w:ascii="Arial" w:hAnsi="Arial" w:cs="Arial"/>
          <w:sz w:val="24"/>
          <w:szCs w:val="24"/>
        </w:rPr>
        <w:t>k</w:t>
      </w:r>
      <w:r>
        <w:rPr>
          <w:rFonts w:ascii="Arial" w:hAnsi="Arial" w:cs="Arial"/>
          <w:sz w:val="24"/>
          <w:szCs w:val="24"/>
        </w:rPr>
        <w:t>umn</w:t>
      </w:r>
      <w:r w:rsidR="00101151">
        <w:rPr>
          <w:rFonts w:ascii="Arial" w:hAnsi="Arial" w:cs="Arial"/>
          <w:sz w:val="24"/>
          <w:szCs w:val="24"/>
        </w:rPr>
        <w:t>é</w:t>
      </w:r>
      <w:r>
        <w:rPr>
          <w:rFonts w:ascii="Arial" w:hAnsi="Arial" w:cs="Arial"/>
          <w:sz w:val="24"/>
          <w:szCs w:val="24"/>
        </w:rPr>
        <w:t xml:space="preserve"> organizac</w:t>
      </w:r>
      <w:r w:rsidR="00101151">
        <w:rPr>
          <w:rFonts w:ascii="Arial" w:hAnsi="Arial" w:cs="Arial"/>
          <w:sz w:val="24"/>
          <w:szCs w:val="24"/>
        </w:rPr>
        <w:t>e -</w:t>
      </w:r>
      <w:r>
        <w:rPr>
          <w:rFonts w:ascii="Arial" w:hAnsi="Arial" w:cs="Arial"/>
          <w:sz w:val="24"/>
          <w:szCs w:val="24"/>
        </w:rPr>
        <w:t>22,5 %</w:t>
      </w:r>
      <w:r w:rsidR="00101151">
        <w:rPr>
          <w:rFonts w:ascii="Arial" w:hAnsi="Arial" w:cs="Arial"/>
          <w:sz w:val="24"/>
          <w:szCs w:val="24"/>
        </w:rPr>
        <w:t xml:space="preserve">, nejnižší </w:t>
      </w:r>
      <w:r w:rsidR="0061100F">
        <w:rPr>
          <w:rFonts w:ascii="Arial" w:hAnsi="Arial" w:cs="Arial"/>
          <w:sz w:val="24"/>
          <w:szCs w:val="24"/>
        </w:rPr>
        <w:t>pak a středních</w:t>
      </w:r>
      <w:r w:rsidR="00CD63DD">
        <w:rPr>
          <w:rFonts w:ascii="Arial" w:hAnsi="Arial" w:cs="Arial"/>
          <w:sz w:val="24"/>
          <w:szCs w:val="24"/>
        </w:rPr>
        <w:t xml:space="preserve"> podnik</w:t>
      </w:r>
      <w:r w:rsidR="0061100F">
        <w:rPr>
          <w:rFonts w:ascii="Arial" w:hAnsi="Arial" w:cs="Arial"/>
          <w:sz w:val="24"/>
          <w:szCs w:val="24"/>
        </w:rPr>
        <w:t>y</w:t>
      </w:r>
      <w:r w:rsidR="00CD63DD">
        <w:rPr>
          <w:rFonts w:ascii="Arial" w:hAnsi="Arial" w:cs="Arial"/>
          <w:sz w:val="24"/>
          <w:szCs w:val="24"/>
        </w:rPr>
        <w:t xml:space="preserve"> 15,9 %).</w:t>
      </w:r>
    </w:p>
    <w:p w:rsidR="00453101" w:rsidRDefault="00453101" w:rsidP="00CD63DD">
      <w:pPr>
        <w:spacing w:after="120" w:line="240" w:lineRule="auto"/>
        <w:jc w:val="both"/>
        <w:rPr>
          <w:rFonts w:ascii="Arial" w:hAnsi="Arial" w:cs="Arial"/>
          <w:sz w:val="24"/>
          <w:szCs w:val="24"/>
        </w:rPr>
      </w:pPr>
      <w:r>
        <w:rPr>
          <w:rFonts w:ascii="Arial" w:hAnsi="Arial" w:cs="Arial"/>
          <w:sz w:val="24"/>
          <w:szCs w:val="24"/>
          <w:lang w:eastAsia="cs-CZ"/>
        </w:rPr>
        <w:t xml:space="preserve">Největšími příjemci podpory v rámci programu byly veřejné vysoké školy a </w:t>
      </w:r>
      <w:r w:rsidR="00CD63DD">
        <w:rPr>
          <w:rFonts w:ascii="Arial" w:hAnsi="Arial" w:cs="Arial"/>
          <w:sz w:val="24"/>
          <w:szCs w:val="24"/>
          <w:lang w:eastAsia="cs-CZ"/>
        </w:rPr>
        <w:t xml:space="preserve">výzkumné organizace, </w:t>
      </w:r>
      <w:r w:rsidR="00C17788">
        <w:rPr>
          <w:rFonts w:ascii="Arial" w:hAnsi="Arial" w:cs="Arial"/>
          <w:sz w:val="24"/>
          <w:szCs w:val="24"/>
          <w:lang w:eastAsia="cs-CZ"/>
        </w:rPr>
        <w:t>v</w:t>
      </w:r>
      <w:r w:rsidR="00C17788">
        <w:rPr>
          <w:rFonts w:ascii="Arial" w:hAnsi="Arial" w:cs="Arial"/>
          <w:sz w:val="24"/>
          <w:szCs w:val="24"/>
        </w:rPr>
        <w:t>ýznamnou</w:t>
      </w:r>
      <w:r>
        <w:rPr>
          <w:rFonts w:ascii="Arial" w:hAnsi="Arial" w:cs="Arial"/>
          <w:sz w:val="24"/>
          <w:szCs w:val="24"/>
        </w:rPr>
        <w:t xml:space="preserve"> podporu čerpaly i některé subjekty podnikatelské sféry</w:t>
      </w:r>
      <w:r w:rsidR="00CD63DD">
        <w:rPr>
          <w:rFonts w:ascii="Arial" w:hAnsi="Arial" w:cs="Arial"/>
          <w:sz w:val="24"/>
          <w:szCs w:val="24"/>
        </w:rPr>
        <w:t>.</w:t>
      </w:r>
      <w:r w:rsidR="0061100F">
        <w:rPr>
          <w:rFonts w:ascii="Arial" w:hAnsi="Arial" w:cs="Arial"/>
          <w:sz w:val="24"/>
          <w:szCs w:val="24"/>
        </w:rPr>
        <w:t xml:space="preserve"> Akademie věd je třetím největším příjemcem dle objemu podpory.</w:t>
      </w:r>
    </w:p>
    <w:p w:rsidR="00453101" w:rsidRDefault="00CD63DD" w:rsidP="00453101">
      <w:pPr>
        <w:spacing w:after="120" w:line="240" w:lineRule="auto"/>
        <w:jc w:val="both"/>
        <w:rPr>
          <w:rFonts w:ascii="Arial" w:hAnsi="Arial" w:cs="Arial"/>
          <w:sz w:val="24"/>
          <w:szCs w:val="24"/>
        </w:rPr>
      </w:pPr>
      <w:r>
        <w:rPr>
          <w:rFonts w:ascii="Arial" w:hAnsi="Arial" w:cs="Arial"/>
          <w:sz w:val="24"/>
          <w:szCs w:val="24"/>
        </w:rPr>
        <w:t xml:space="preserve">Program předpokládal intenzivní zapojení resortních výzkumných organizací. </w:t>
      </w:r>
      <w:r w:rsidR="00453101">
        <w:rPr>
          <w:rFonts w:ascii="Arial" w:hAnsi="Arial" w:cs="Arial"/>
          <w:sz w:val="24"/>
          <w:szCs w:val="24"/>
        </w:rPr>
        <w:t xml:space="preserve">V průběhu </w:t>
      </w:r>
      <w:r w:rsidR="005E1A77">
        <w:rPr>
          <w:rFonts w:ascii="Arial" w:hAnsi="Arial" w:cs="Arial"/>
          <w:sz w:val="24"/>
          <w:szCs w:val="24"/>
        </w:rPr>
        <w:t xml:space="preserve">jeho </w:t>
      </w:r>
      <w:r w:rsidR="00453101">
        <w:rPr>
          <w:rFonts w:ascii="Arial" w:hAnsi="Arial" w:cs="Arial"/>
          <w:sz w:val="24"/>
          <w:szCs w:val="24"/>
        </w:rPr>
        <w:t>trvání došlo</w:t>
      </w:r>
      <w:r w:rsidR="005E1A77">
        <w:rPr>
          <w:rFonts w:ascii="Arial" w:hAnsi="Arial" w:cs="Arial"/>
          <w:sz w:val="24"/>
          <w:szCs w:val="24"/>
        </w:rPr>
        <w:t xml:space="preserve"> však</w:t>
      </w:r>
      <w:r>
        <w:rPr>
          <w:rFonts w:ascii="Arial" w:hAnsi="Arial" w:cs="Arial"/>
          <w:sz w:val="24"/>
          <w:szCs w:val="24"/>
        </w:rPr>
        <w:t xml:space="preserve"> </w:t>
      </w:r>
      <w:r w:rsidR="00453101">
        <w:rPr>
          <w:rFonts w:ascii="Arial" w:hAnsi="Arial" w:cs="Arial"/>
          <w:sz w:val="24"/>
          <w:szCs w:val="24"/>
        </w:rPr>
        <w:t xml:space="preserve">ke snížení </w:t>
      </w:r>
      <w:r>
        <w:rPr>
          <w:rFonts w:ascii="Arial" w:hAnsi="Arial" w:cs="Arial"/>
          <w:sz w:val="24"/>
          <w:szCs w:val="24"/>
        </w:rPr>
        <w:t xml:space="preserve">jejich </w:t>
      </w:r>
      <w:r w:rsidR="00453101">
        <w:rPr>
          <w:rFonts w:ascii="Arial" w:hAnsi="Arial" w:cs="Arial"/>
          <w:sz w:val="24"/>
          <w:szCs w:val="24"/>
        </w:rPr>
        <w:t>počtu a z tohoto důvodu není</w:t>
      </w:r>
      <w:r>
        <w:rPr>
          <w:rFonts w:ascii="Arial" w:hAnsi="Arial" w:cs="Arial"/>
          <w:sz w:val="24"/>
          <w:szCs w:val="24"/>
        </w:rPr>
        <w:t xml:space="preserve"> tento indikátor</w:t>
      </w:r>
      <w:r w:rsidR="00453101">
        <w:rPr>
          <w:rFonts w:ascii="Arial" w:hAnsi="Arial" w:cs="Arial"/>
          <w:sz w:val="24"/>
          <w:szCs w:val="24"/>
        </w:rPr>
        <w:t xml:space="preserve"> zcela vypovídající.</w:t>
      </w:r>
    </w:p>
    <w:p w:rsidR="00CD63DD" w:rsidRDefault="00A8139F" w:rsidP="00453101">
      <w:pPr>
        <w:spacing w:after="120" w:line="240" w:lineRule="auto"/>
        <w:jc w:val="both"/>
        <w:rPr>
          <w:rFonts w:ascii="Arial" w:hAnsi="Arial" w:cs="Arial"/>
          <w:sz w:val="24"/>
          <w:szCs w:val="24"/>
        </w:rPr>
      </w:pPr>
      <w:r>
        <w:rPr>
          <w:rFonts w:ascii="Arial" w:hAnsi="Arial" w:cs="Arial"/>
          <w:sz w:val="24"/>
          <w:szCs w:val="24"/>
        </w:rPr>
        <w:t>Z resortních výzkumných organizací získal nejvíce prostředků Kriminalistický ústav Praha (více než 75 mil. Kč, tj. 4,03 % z celkového objemu).</w:t>
      </w:r>
      <w:r w:rsidR="0061100F">
        <w:rPr>
          <w:rFonts w:ascii="Arial" w:hAnsi="Arial" w:cs="Arial"/>
          <w:sz w:val="24"/>
          <w:szCs w:val="24"/>
        </w:rPr>
        <w:t xml:space="preserve"> Celkově čerpaly resortní výzkumné organizace podřízené MV částku cca 105 mil. Kč, tj. 6 % z celkového objemu distribuované podpory.</w:t>
      </w:r>
    </w:p>
    <w:p w:rsidR="00CB7736" w:rsidRPr="00997557" w:rsidRDefault="00CB7736" w:rsidP="00CB7736">
      <w:pPr>
        <w:pStyle w:val="Nadpis3"/>
      </w:pPr>
      <w:r>
        <w:t>7.7</w:t>
      </w:r>
      <w:r>
        <w:tab/>
        <w:t>Spolupráce s aplikační sférou</w:t>
      </w:r>
    </w:p>
    <w:p w:rsidR="00453101" w:rsidRDefault="00BD2796" w:rsidP="0043520D">
      <w:pPr>
        <w:spacing w:after="120" w:line="240" w:lineRule="auto"/>
        <w:jc w:val="both"/>
        <w:rPr>
          <w:rFonts w:ascii="Arial" w:hAnsi="Arial" w:cs="Arial"/>
          <w:sz w:val="24"/>
          <w:szCs w:val="24"/>
        </w:rPr>
      </w:pPr>
      <w:r>
        <w:rPr>
          <w:rFonts w:ascii="Arial" w:hAnsi="Arial" w:cs="Arial"/>
          <w:sz w:val="24"/>
          <w:szCs w:val="24"/>
        </w:rPr>
        <w:t xml:space="preserve">V rámci programu docházelo oproti předpokladu častěji ke spolupráci mezi výzkumnými organizacemi a podniky. Celkově tak bylo realizováno 32 % projektů. Nejvýznamnějším subjektem z hlediska spolupráce je Fakulta bezpečnostního inženýrství Vysoké školy báňské – Technické univerzity Ostrava, dále </w:t>
      </w:r>
      <w:r w:rsidR="0061100F">
        <w:rPr>
          <w:rFonts w:ascii="Arial" w:hAnsi="Arial" w:cs="Arial"/>
          <w:sz w:val="24"/>
          <w:szCs w:val="24"/>
        </w:rPr>
        <w:t xml:space="preserve">Fakulta elektrotechnická </w:t>
      </w:r>
      <w:r>
        <w:rPr>
          <w:rFonts w:ascii="Arial" w:hAnsi="Arial" w:cs="Arial"/>
          <w:sz w:val="24"/>
          <w:szCs w:val="24"/>
        </w:rPr>
        <w:t>České</w:t>
      </w:r>
      <w:r w:rsidR="0061100F">
        <w:rPr>
          <w:rFonts w:ascii="Arial" w:hAnsi="Arial" w:cs="Arial"/>
          <w:sz w:val="24"/>
          <w:szCs w:val="24"/>
        </w:rPr>
        <w:t>ho</w:t>
      </w:r>
      <w:r>
        <w:rPr>
          <w:rFonts w:ascii="Arial" w:hAnsi="Arial" w:cs="Arial"/>
          <w:sz w:val="24"/>
          <w:szCs w:val="24"/>
        </w:rPr>
        <w:t xml:space="preserve"> vysoké</w:t>
      </w:r>
      <w:r w:rsidR="0061100F">
        <w:rPr>
          <w:rFonts w:ascii="Arial" w:hAnsi="Arial" w:cs="Arial"/>
          <w:sz w:val="24"/>
          <w:szCs w:val="24"/>
        </w:rPr>
        <w:t>ho</w:t>
      </w:r>
      <w:r>
        <w:rPr>
          <w:rFonts w:ascii="Arial" w:hAnsi="Arial" w:cs="Arial"/>
          <w:sz w:val="24"/>
          <w:szCs w:val="24"/>
        </w:rPr>
        <w:t xml:space="preserve"> učení technické</w:t>
      </w:r>
      <w:r w:rsidR="0061100F">
        <w:rPr>
          <w:rFonts w:ascii="Arial" w:hAnsi="Arial" w:cs="Arial"/>
          <w:sz w:val="24"/>
          <w:szCs w:val="24"/>
        </w:rPr>
        <w:t>ho</w:t>
      </w:r>
      <w:r>
        <w:rPr>
          <w:rFonts w:ascii="Arial" w:hAnsi="Arial" w:cs="Arial"/>
          <w:sz w:val="24"/>
          <w:szCs w:val="24"/>
        </w:rPr>
        <w:t>.</w:t>
      </w:r>
    </w:p>
    <w:p w:rsidR="00CB4B94" w:rsidRDefault="009B2B01" w:rsidP="00F76EC3">
      <w:pPr>
        <w:pStyle w:val="Nadpis3"/>
        <w:spacing w:before="0" w:line="240" w:lineRule="auto"/>
      </w:pPr>
      <w:r>
        <w:t>7.</w:t>
      </w:r>
      <w:r w:rsidR="00CB7736">
        <w:t>8</w:t>
      </w:r>
      <w:r>
        <w:tab/>
      </w:r>
      <w:r w:rsidR="00CB4B94">
        <w:t>Čerpání finančních prostředků</w:t>
      </w:r>
    </w:p>
    <w:p w:rsidR="00CB4B94" w:rsidRPr="00CB4B94" w:rsidRDefault="0061100F" w:rsidP="0061100F">
      <w:pPr>
        <w:pStyle w:val="Default"/>
        <w:spacing w:after="120"/>
        <w:jc w:val="both"/>
        <w:rPr>
          <w:rFonts w:ascii="Arial" w:hAnsi="Arial" w:cs="Arial"/>
          <w:lang w:eastAsia="cs-CZ"/>
        </w:rPr>
      </w:pPr>
      <w:r>
        <w:rPr>
          <w:rFonts w:ascii="Arial" w:hAnsi="Arial" w:cs="Arial"/>
          <w:lang w:eastAsia="cs-CZ"/>
        </w:rPr>
        <w:t>Č</w:t>
      </w:r>
      <w:r w:rsidR="002A6F43">
        <w:rPr>
          <w:rFonts w:ascii="Arial" w:hAnsi="Arial" w:cs="Arial"/>
          <w:lang w:eastAsia="cs-CZ"/>
        </w:rPr>
        <w:t xml:space="preserve">ástka </w:t>
      </w:r>
      <w:r>
        <w:rPr>
          <w:rFonts w:ascii="Arial" w:hAnsi="Arial" w:cs="Arial"/>
          <w:lang w:eastAsia="cs-CZ"/>
        </w:rPr>
        <w:t>schválená</w:t>
      </w:r>
      <w:r w:rsidR="002A6F43">
        <w:rPr>
          <w:rFonts w:ascii="Arial" w:hAnsi="Arial" w:cs="Arial"/>
          <w:lang w:eastAsia="cs-CZ"/>
        </w:rPr>
        <w:t xml:space="preserve"> usnesením vlády</w:t>
      </w:r>
      <w:r w:rsidR="005D6144">
        <w:rPr>
          <w:rFonts w:ascii="Arial" w:hAnsi="Arial" w:cs="Arial"/>
          <w:lang w:eastAsia="cs-CZ"/>
        </w:rPr>
        <w:t xml:space="preserve"> ze dne 12. ledna 2009 č. 50</w:t>
      </w:r>
      <w:r>
        <w:rPr>
          <w:rFonts w:ascii="Arial" w:hAnsi="Arial" w:cs="Arial"/>
          <w:lang w:eastAsia="cs-CZ"/>
        </w:rPr>
        <w:t xml:space="preserve"> jako celkové plánované náklady programu byla 3 192 000 tis. Kč</w:t>
      </w:r>
      <w:r w:rsidR="005D6144">
        <w:rPr>
          <w:rFonts w:ascii="Arial" w:hAnsi="Arial" w:cs="Arial"/>
          <w:lang w:eastAsia="cs-CZ"/>
        </w:rPr>
        <w:t>.</w:t>
      </w:r>
    </w:p>
    <w:p w:rsidR="004873C9" w:rsidRDefault="004873C9" w:rsidP="001850B4">
      <w:pPr>
        <w:keepNext/>
        <w:jc w:val="both"/>
        <w:rPr>
          <w:rFonts w:ascii="Arial" w:hAnsi="Arial" w:cs="Arial"/>
          <w:sz w:val="24"/>
          <w:szCs w:val="24"/>
        </w:rPr>
      </w:pPr>
      <w:r w:rsidRPr="00936794">
        <w:rPr>
          <w:rFonts w:ascii="Arial" w:hAnsi="Arial" w:cs="Arial"/>
          <w:sz w:val="24"/>
          <w:szCs w:val="24"/>
        </w:rPr>
        <w:t xml:space="preserve">Tabulka </w:t>
      </w:r>
      <w:r w:rsidR="005D6144">
        <w:rPr>
          <w:rFonts w:ascii="Arial" w:hAnsi="Arial" w:cs="Arial"/>
          <w:sz w:val="24"/>
          <w:szCs w:val="24"/>
        </w:rPr>
        <w:t>3</w:t>
      </w:r>
      <w:r w:rsidRPr="00936794">
        <w:rPr>
          <w:rFonts w:ascii="Arial" w:hAnsi="Arial" w:cs="Arial"/>
          <w:sz w:val="24"/>
          <w:szCs w:val="24"/>
        </w:rPr>
        <w:t xml:space="preserve">: </w:t>
      </w:r>
      <w:r w:rsidR="001850B4">
        <w:rPr>
          <w:rFonts w:ascii="Arial" w:hAnsi="Arial" w:cs="Arial"/>
          <w:sz w:val="24"/>
          <w:szCs w:val="24"/>
        </w:rPr>
        <w:t>N</w:t>
      </w:r>
      <w:r w:rsidRPr="00936794">
        <w:rPr>
          <w:rFonts w:ascii="Arial" w:hAnsi="Arial" w:cs="Arial"/>
          <w:sz w:val="24"/>
          <w:szCs w:val="24"/>
        </w:rPr>
        <w:t>áklady na program Bezpečnostní výzkum</w:t>
      </w:r>
      <w:r w:rsidR="005E1A77">
        <w:rPr>
          <w:rFonts w:ascii="Arial" w:hAnsi="Arial" w:cs="Arial"/>
          <w:sz w:val="24"/>
          <w:szCs w:val="24"/>
        </w:rPr>
        <w:t xml:space="preserve"> dle údajů MV</w:t>
      </w:r>
      <w:r w:rsidR="00305512">
        <w:rPr>
          <w:rFonts w:ascii="Arial" w:hAnsi="Arial" w:cs="Arial"/>
          <w:sz w:val="24"/>
          <w:szCs w:val="24"/>
        </w:rPr>
        <w:t xml:space="preserve"> (v</w:t>
      </w:r>
      <w:r w:rsidR="000030AC">
        <w:rPr>
          <w:rFonts w:ascii="Arial" w:hAnsi="Arial" w:cs="Arial"/>
          <w:sz w:val="24"/>
          <w:szCs w:val="24"/>
        </w:rPr>
        <w:t> </w:t>
      </w:r>
      <w:r w:rsidR="00305512">
        <w:rPr>
          <w:rFonts w:ascii="Arial" w:hAnsi="Arial" w:cs="Arial"/>
          <w:sz w:val="24"/>
          <w:szCs w:val="24"/>
        </w:rPr>
        <w:t>tis.</w:t>
      </w:r>
      <w:r w:rsidR="000030AC">
        <w:rPr>
          <w:rFonts w:ascii="Arial" w:hAnsi="Arial" w:cs="Arial"/>
          <w:sz w:val="24"/>
          <w:szCs w:val="24"/>
        </w:rPr>
        <w:t> </w:t>
      </w:r>
      <w:r w:rsidR="00305512">
        <w:rPr>
          <w:rFonts w:ascii="Arial" w:hAnsi="Arial" w:cs="Arial"/>
          <w:sz w:val="24"/>
          <w:szCs w:val="24"/>
        </w:rPr>
        <w:t>Kč)</w:t>
      </w:r>
    </w:p>
    <w:tbl>
      <w:tblPr>
        <w:tblW w:w="9072" w:type="dxa"/>
        <w:tblInd w:w="70" w:type="dxa"/>
        <w:tblLayout w:type="fixed"/>
        <w:tblCellMar>
          <w:left w:w="70" w:type="dxa"/>
          <w:right w:w="70" w:type="dxa"/>
        </w:tblCellMar>
        <w:tblLook w:val="04A0" w:firstRow="1" w:lastRow="0" w:firstColumn="1" w:lastColumn="0" w:noHBand="0" w:noVBand="1"/>
      </w:tblPr>
      <w:tblGrid>
        <w:gridCol w:w="3969"/>
        <w:gridCol w:w="5103"/>
      </w:tblGrid>
      <w:tr w:rsidR="004873C9" w:rsidRPr="00216961" w:rsidTr="00C17788">
        <w:trPr>
          <w:cantSplit/>
        </w:trPr>
        <w:tc>
          <w:tcPr>
            <w:tcW w:w="9072" w:type="dxa"/>
            <w:gridSpan w:val="2"/>
            <w:tcBorders>
              <w:top w:val="single" w:sz="12" w:space="0" w:color="auto"/>
              <w:left w:val="single" w:sz="12" w:space="0" w:color="auto"/>
              <w:bottom w:val="double" w:sz="2" w:space="0" w:color="000000"/>
              <w:right w:val="single" w:sz="12" w:space="0" w:color="auto"/>
            </w:tcBorders>
            <w:shd w:val="clear" w:color="auto" w:fill="EEECE1" w:themeFill="background2"/>
            <w:vAlign w:val="center"/>
            <w:hideMark/>
          </w:tcPr>
          <w:p w:rsidR="004873C9" w:rsidRPr="00216961" w:rsidRDefault="004873C9" w:rsidP="001850B4">
            <w:pPr>
              <w:keepNext/>
              <w:suppressAutoHyphens/>
              <w:snapToGrid w:val="0"/>
              <w:spacing w:after="120" w:line="240" w:lineRule="auto"/>
              <w:jc w:val="center"/>
              <w:rPr>
                <w:rFonts w:ascii="Arial" w:hAnsi="Arial" w:cs="Arial"/>
                <w:b/>
                <w:sz w:val="24"/>
                <w:szCs w:val="24"/>
                <w:lang w:eastAsia="zh-CN"/>
              </w:rPr>
            </w:pPr>
            <w:r>
              <w:rPr>
                <w:rFonts w:ascii="Arial" w:hAnsi="Arial" w:cs="Arial"/>
                <w:b/>
                <w:sz w:val="24"/>
                <w:szCs w:val="24"/>
              </w:rPr>
              <w:t>Náklady a výdaje na program Bezpečnostní výzkum</w:t>
            </w:r>
            <w:r w:rsidR="000030AC">
              <w:rPr>
                <w:rFonts w:ascii="Arial" w:hAnsi="Arial" w:cs="Arial"/>
                <w:b/>
                <w:sz w:val="24"/>
                <w:szCs w:val="24"/>
              </w:rPr>
              <w:t xml:space="preserve"> (v tis. Kč)</w:t>
            </w:r>
          </w:p>
        </w:tc>
      </w:tr>
      <w:tr w:rsidR="004873C9" w:rsidRPr="00216961" w:rsidTr="00C17788">
        <w:tc>
          <w:tcPr>
            <w:tcW w:w="3969" w:type="dxa"/>
            <w:tcBorders>
              <w:top w:val="single" w:sz="12" w:space="0" w:color="auto"/>
              <w:left w:val="single" w:sz="4" w:space="0" w:color="000000"/>
              <w:bottom w:val="single" w:sz="4" w:space="0" w:color="000000"/>
              <w:right w:val="nil"/>
            </w:tcBorders>
            <w:vAlign w:val="center"/>
            <w:hideMark/>
          </w:tcPr>
          <w:p w:rsidR="004873C9" w:rsidRPr="00216961" w:rsidRDefault="004873C9" w:rsidP="004873C9">
            <w:pPr>
              <w:suppressAutoHyphens/>
              <w:snapToGrid w:val="0"/>
              <w:spacing w:after="120" w:line="240" w:lineRule="auto"/>
              <w:rPr>
                <w:rFonts w:ascii="Arial" w:hAnsi="Arial" w:cs="Arial"/>
                <w:sz w:val="24"/>
                <w:szCs w:val="24"/>
                <w:lang w:eastAsia="zh-CN"/>
              </w:rPr>
            </w:pPr>
            <w:r>
              <w:rPr>
                <w:rFonts w:ascii="Arial" w:hAnsi="Arial" w:cs="Arial"/>
                <w:sz w:val="24"/>
                <w:szCs w:val="24"/>
              </w:rPr>
              <w:t>Celkové plánované náklady</w:t>
            </w:r>
          </w:p>
        </w:tc>
        <w:tc>
          <w:tcPr>
            <w:tcW w:w="5103" w:type="dxa"/>
            <w:tcBorders>
              <w:top w:val="single" w:sz="12" w:space="0" w:color="auto"/>
              <w:left w:val="single" w:sz="4" w:space="0" w:color="000000"/>
              <w:bottom w:val="single" w:sz="4" w:space="0" w:color="000000"/>
              <w:right w:val="single" w:sz="4" w:space="0" w:color="000000"/>
            </w:tcBorders>
            <w:vAlign w:val="center"/>
            <w:hideMark/>
          </w:tcPr>
          <w:p w:rsidR="004873C9" w:rsidRPr="00216961" w:rsidRDefault="004873C9" w:rsidP="004873C9">
            <w:pPr>
              <w:suppressAutoHyphens/>
              <w:snapToGrid w:val="0"/>
              <w:spacing w:after="120" w:line="240" w:lineRule="auto"/>
              <w:jc w:val="center"/>
              <w:rPr>
                <w:rFonts w:ascii="Arial" w:hAnsi="Arial" w:cs="Arial"/>
                <w:sz w:val="24"/>
                <w:szCs w:val="24"/>
                <w:lang w:eastAsia="zh-CN"/>
              </w:rPr>
            </w:pPr>
            <w:r w:rsidRPr="00686C01">
              <w:rPr>
                <w:rFonts w:ascii="Arial" w:hAnsi="Arial" w:cs="Arial"/>
                <w:color w:val="000000" w:themeColor="text1"/>
                <w:sz w:val="24"/>
                <w:szCs w:val="24"/>
              </w:rPr>
              <w:t>3 192 000</w:t>
            </w:r>
          </w:p>
        </w:tc>
      </w:tr>
      <w:tr w:rsidR="004873C9" w:rsidRPr="00216961" w:rsidTr="004873C9">
        <w:tc>
          <w:tcPr>
            <w:tcW w:w="3969" w:type="dxa"/>
            <w:tcBorders>
              <w:top w:val="single" w:sz="4" w:space="0" w:color="000000"/>
              <w:left w:val="single" w:sz="4" w:space="0" w:color="000000"/>
              <w:bottom w:val="single" w:sz="4" w:space="0" w:color="000000"/>
              <w:right w:val="nil"/>
            </w:tcBorders>
            <w:vAlign w:val="center"/>
          </w:tcPr>
          <w:p w:rsidR="004873C9" w:rsidRPr="00216961" w:rsidRDefault="004873C9" w:rsidP="004873C9">
            <w:pPr>
              <w:suppressAutoHyphens/>
              <w:snapToGrid w:val="0"/>
              <w:spacing w:after="120" w:line="240" w:lineRule="auto"/>
              <w:rPr>
                <w:rFonts w:ascii="Arial" w:hAnsi="Arial" w:cs="Arial"/>
                <w:sz w:val="24"/>
                <w:szCs w:val="24"/>
              </w:rPr>
            </w:pPr>
            <w:r>
              <w:rPr>
                <w:rFonts w:ascii="Arial" w:hAnsi="Arial" w:cs="Arial"/>
                <w:sz w:val="24"/>
                <w:szCs w:val="24"/>
              </w:rPr>
              <w:t>Celkové náklady čerpané</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216961" w:rsidRDefault="004873C9" w:rsidP="004873C9">
            <w:pPr>
              <w:suppressAutoHyphens/>
              <w:snapToGrid w:val="0"/>
              <w:spacing w:after="120" w:line="240" w:lineRule="auto"/>
              <w:jc w:val="center"/>
              <w:rPr>
                <w:rFonts w:ascii="Arial" w:hAnsi="Arial" w:cs="Arial"/>
                <w:sz w:val="24"/>
                <w:szCs w:val="24"/>
              </w:rPr>
            </w:pPr>
            <w:r w:rsidRPr="00686C01">
              <w:rPr>
                <w:rFonts w:ascii="Arial" w:hAnsi="Arial" w:cs="Arial"/>
                <w:color w:val="000000" w:themeColor="text1"/>
                <w:sz w:val="24"/>
                <w:szCs w:val="24"/>
              </w:rPr>
              <w:t>2 108 628</w:t>
            </w:r>
          </w:p>
        </w:tc>
      </w:tr>
      <w:tr w:rsidR="004873C9" w:rsidRPr="00216961" w:rsidTr="004873C9">
        <w:tc>
          <w:tcPr>
            <w:tcW w:w="3969" w:type="dxa"/>
            <w:tcBorders>
              <w:top w:val="single" w:sz="4" w:space="0" w:color="000000"/>
              <w:left w:val="single" w:sz="4" w:space="0" w:color="000000"/>
              <w:bottom w:val="single" w:sz="4" w:space="0" w:color="000000"/>
              <w:right w:val="nil"/>
            </w:tcBorders>
            <w:vAlign w:val="center"/>
          </w:tcPr>
          <w:p w:rsidR="004873C9" w:rsidRPr="00216961" w:rsidRDefault="004873C9" w:rsidP="004873C9">
            <w:pPr>
              <w:suppressAutoHyphens/>
              <w:snapToGrid w:val="0"/>
              <w:spacing w:after="120" w:line="240" w:lineRule="auto"/>
              <w:rPr>
                <w:rFonts w:ascii="Arial" w:hAnsi="Arial" w:cs="Arial"/>
                <w:sz w:val="24"/>
                <w:szCs w:val="24"/>
              </w:rPr>
            </w:pPr>
            <w:r>
              <w:rPr>
                <w:rFonts w:ascii="Arial" w:hAnsi="Arial" w:cs="Arial"/>
                <w:sz w:val="24"/>
                <w:szCs w:val="24"/>
              </w:rPr>
              <w:t>Plánované náklady ze SR</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216961" w:rsidRDefault="004873C9" w:rsidP="004873C9">
            <w:pPr>
              <w:suppressAutoHyphens/>
              <w:snapToGrid w:val="0"/>
              <w:spacing w:after="120" w:line="240" w:lineRule="auto"/>
              <w:jc w:val="center"/>
              <w:rPr>
                <w:rFonts w:ascii="Arial" w:hAnsi="Arial" w:cs="Arial"/>
                <w:sz w:val="24"/>
                <w:szCs w:val="24"/>
              </w:rPr>
            </w:pPr>
            <w:r>
              <w:rPr>
                <w:rFonts w:ascii="Arial" w:hAnsi="Arial" w:cs="Arial"/>
                <w:color w:val="000000" w:themeColor="text1"/>
                <w:sz w:val="24"/>
                <w:szCs w:val="24"/>
              </w:rPr>
              <w:t>2 394 000</w:t>
            </w:r>
          </w:p>
        </w:tc>
      </w:tr>
      <w:tr w:rsidR="004873C9" w:rsidRPr="00216961" w:rsidTr="004873C9">
        <w:tc>
          <w:tcPr>
            <w:tcW w:w="3969" w:type="dxa"/>
            <w:tcBorders>
              <w:top w:val="single" w:sz="4" w:space="0" w:color="000000"/>
              <w:left w:val="single" w:sz="4" w:space="0" w:color="000000"/>
              <w:bottom w:val="single" w:sz="4" w:space="0" w:color="000000"/>
              <w:right w:val="nil"/>
            </w:tcBorders>
            <w:vAlign w:val="center"/>
          </w:tcPr>
          <w:p w:rsidR="004873C9" w:rsidRPr="00216961" w:rsidRDefault="004873C9" w:rsidP="004873C9">
            <w:pPr>
              <w:suppressAutoHyphens/>
              <w:snapToGrid w:val="0"/>
              <w:spacing w:after="120" w:line="240" w:lineRule="auto"/>
              <w:rPr>
                <w:rFonts w:ascii="Arial" w:hAnsi="Arial" w:cs="Arial"/>
                <w:sz w:val="24"/>
                <w:szCs w:val="24"/>
              </w:rPr>
            </w:pPr>
            <w:r>
              <w:rPr>
                <w:rFonts w:ascii="Arial" w:hAnsi="Arial" w:cs="Arial"/>
                <w:sz w:val="24"/>
                <w:szCs w:val="24"/>
              </w:rPr>
              <w:t xml:space="preserve">Celkové přidělené prostředky ze SR </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216961" w:rsidRDefault="004873C9" w:rsidP="004873C9">
            <w:pPr>
              <w:suppressAutoHyphens/>
              <w:snapToGrid w:val="0"/>
              <w:spacing w:after="120" w:line="240" w:lineRule="auto"/>
              <w:jc w:val="center"/>
              <w:rPr>
                <w:rFonts w:ascii="Arial" w:hAnsi="Arial" w:cs="Arial"/>
                <w:sz w:val="24"/>
                <w:szCs w:val="24"/>
              </w:rPr>
            </w:pPr>
            <w:r>
              <w:rPr>
                <w:rFonts w:ascii="Arial" w:hAnsi="Arial" w:cs="Arial"/>
                <w:color w:val="000000" w:themeColor="text1"/>
                <w:sz w:val="24"/>
                <w:szCs w:val="24"/>
              </w:rPr>
              <w:t>1 883 798</w:t>
            </w:r>
          </w:p>
        </w:tc>
      </w:tr>
      <w:tr w:rsidR="004873C9" w:rsidRPr="00216961" w:rsidTr="004873C9">
        <w:tc>
          <w:tcPr>
            <w:tcW w:w="3969" w:type="dxa"/>
            <w:tcBorders>
              <w:top w:val="single" w:sz="4" w:space="0" w:color="000000"/>
              <w:left w:val="single" w:sz="4" w:space="0" w:color="000000"/>
              <w:bottom w:val="single" w:sz="4" w:space="0" w:color="000000"/>
              <w:right w:val="nil"/>
            </w:tcBorders>
            <w:vAlign w:val="center"/>
          </w:tcPr>
          <w:p w:rsidR="004873C9" w:rsidRDefault="004873C9" w:rsidP="004873C9">
            <w:pPr>
              <w:suppressAutoHyphens/>
              <w:snapToGrid w:val="0"/>
              <w:spacing w:after="120" w:line="240" w:lineRule="auto"/>
              <w:rPr>
                <w:rFonts w:ascii="Arial" w:hAnsi="Arial" w:cs="Arial"/>
                <w:sz w:val="24"/>
                <w:szCs w:val="24"/>
              </w:rPr>
            </w:pPr>
            <w:r>
              <w:rPr>
                <w:rFonts w:ascii="Arial" w:hAnsi="Arial" w:cs="Arial"/>
                <w:sz w:val="24"/>
                <w:szCs w:val="24"/>
              </w:rPr>
              <w:t>Neveřejné zdroje - předpoklad</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216961" w:rsidRDefault="004873C9" w:rsidP="004873C9">
            <w:pPr>
              <w:suppressAutoHyphens/>
              <w:snapToGrid w:val="0"/>
              <w:spacing w:after="120" w:line="240" w:lineRule="auto"/>
              <w:jc w:val="center"/>
              <w:rPr>
                <w:rFonts w:ascii="Arial" w:hAnsi="Arial" w:cs="Arial"/>
                <w:sz w:val="24"/>
                <w:szCs w:val="24"/>
              </w:rPr>
            </w:pPr>
            <w:r w:rsidRPr="00686C01">
              <w:rPr>
                <w:rFonts w:ascii="Arial" w:hAnsi="Arial" w:cs="Arial"/>
                <w:color w:val="000000" w:themeColor="text1"/>
                <w:sz w:val="24"/>
                <w:szCs w:val="24"/>
              </w:rPr>
              <w:t>798 000</w:t>
            </w:r>
          </w:p>
        </w:tc>
      </w:tr>
      <w:tr w:rsidR="004873C9" w:rsidRPr="00216961" w:rsidTr="004873C9">
        <w:tc>
          <w:tcPr>
            <w:tcW w:w="3969" w:type="dxa"/>
            <w:tcBorders>
              <w:top w:val="single" w:sz="4" w:space="0" w:color="000000"/>
              <w:left w:val="single" w:sz="4" w:space="0" w:color="000000"/>
              <w:bottom w:val="single" w:sz="4" w:space="0" w:color="000000"/>
              <w:right w:val="nil"/>
            </w:tcBorders>
            <w:vAlign w:val="center"/>
          </w:tcPr>
          <w:p w:rsidR="004873C9" w:rsidRDefault="004873C9" w:rsidP="004873C9">
            <w:pPr>
              <w:suppressAutoHyphens/>
              <w:snapToGrid w:val="0"/>
              <w:spacing w:after="120" w:line="240" w:lineRule="auto"/>
              <w:rPr>
                <w:rFonts w:ascii="Arial" w:hAnsi="Arial" w:cs="Arial"/>
                <w:sz w:val="24"/>
                <w:szCs w:val="24"/>
              </w:rPr>
            </w:pPr>
            <w:r>
              <w:rPr>
                <w:rFonts w:ascii="Arial" w:hAnsi="Arial" w:cs="Arial"/>
                <w:sz w:val="24"/>
                <w:szCs w:val="24"/>
              </w:rPr>
              <w:t>Neveřejné zdroje čerpané</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216961" w:rsidRDefault="004873C9" w:rsidP="004873C9">
            <w:pPr>
              <w:suppressAutoHyphens/>
              <w:snapToGrid w:val="0"/>
              <w:spacing w:after="120" w:line="240" w:lineRule="auto"/>
              <w:jc w:val="center"/>
              <w:rPr>
                <w:rFonts w:ascii="Arial" w:hAnsi="Arial" w:cs="Arial"/>
                <w:sz w:val="24"/>
                <w:szCs w:val="24"/>
              </w:rPr>
            </w:pPr>
            <w:r w:rsidRPr="00686C01">
              <w:rPr>
                <w:rFonts w:ascii="Arial" w:hAnsi="Arial" w:cs="Arial"/>
                <w:color w:val="000000" w:themeColor="text1"/>
                <w:sz w:val="24"/>
                <w:szCs w:val="24"/>
              </w:rPr>
              <w:t>224 830</w:t>
            </w:r>
          </w:p>
        </w:tc>
      </w:tr>
      <w:tr w:rsidR="004873C9" w:rsidRPr="00216961" w:rsidTr="004873C9">
        <w:tc>
          <w:tcPr>
            <w:tcW w:w="3969" w:type="dxa"/>
            <w:tcBorders>
              <w:top w:val="single" w:sz="4" w:space="0" w:color="000000"/>
              <w:left w:val="single" w:sz="4" w:space="0" w:color="000000"/>
              <w:bottom w:val="single" w:sz="4" w:space="0" w:color="000000"/>
              <w:right w:val="nil"/>
            </w:tcBorders>
            <w:vAlign w:val="center"/>
          </w:tcPr>
          <w:p w:rsidR="004873C9" w:rsidRDefault="004873C9" w:rsidP="004873C9">
            <w:pPr>
              <w:suppressAutoHyphens/>
              <w:snapToGrid w:val="0"/>
              <w:spacing w:after="120" w:line="240" w:lineRule="auto"/>
              <w:rPr>
                <w:rFonts w:ascii="Arial" w:hAnsi="Arial" w:cs="Arial"/>
                <w:sz w:val="24"/>
                <w:szCs w:val="24"/>
              </w:rPr>
            </w:pPr>
            <w:r>
              <w:rPr>
                <w:rFonts w:ascii="Arial" w:hAnsi="Arial" w:cs="Arial"/>
                <w:sz w:val="24"/>
                <w:szCs w:val="24"/>
              </w:rPr>
              <w:t>Podíl financí ze SR</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216961" w:rsidRDefault="004873C9" w:rsidP="004873C9">
            <w:pPr>
              <w:suppressAutoHyphens/>
              <w:snapToGrid w:val="0"/>
              <w:spacing w:after="120" w:line="240" w:lineRule="auto"/>
              <w:jc w:val="center"/>
              <w:rPr>
                <w:rFonts w:ascii="Arial" w:hAnsi="Arial" w:cs="Arial"/>
                <w:sz w:val="24"/>
                <w:szCs w:val="24"/>
              </w:rPr>
            </w:pPr>
            <w:r w:rsidRPr="00CE13CD">
              <w:rPr>
                <w:rFonts w:ascii="Arial" w:hAnsi="Arial" w:cs="Arial"/>
                <w:sz w:val="24"/>
                <w:szCs w:val="24"/>
              </w:rPr>
              <w:t>90,4 %</w:t>
            </w:r>
          </w:p>
        </w:tc>
      </w:tr>
    </w:tbl>
    <w:p w:rsidR="000030AC" w:rsidRDefault="004873C9" w:rsidP="007F26AE">
      <w:pPr>
        <w:spacing w:before="120" w:after="120" w:line="240" w:lineRule="auto"/>
        <w:jc w:val="both"/>
        <w:rPr>
          <w:rFonts w:ascii="Arial" w:hAnsi="Arial" w:cs="Arial"/>
          <w:sz w:val="24"/>
          <w:szCs w:val="24"/>
        </w:rPr>
      </w:pPr>
      <w:r w:rsidRPr="00995075">
        <w:rPr>
          <w:rFonts w:ascii="Arial" w:hAnsi="Arial" w:cs="Arial"/>
          <w:sz w:val="24"/>
          <w:szCs w:val="24"/>
        </w:rPr>
        <w:t>Reálné financování programu Bezpečnostní výzkum v porovnání s plánem činilo u celkových uznaných nákladů 66,6 % a u podpory ze státního rozpočtu 78,7</w:t>
      </w:r>
      <w:r>
        <w:rPr>
          <w:rFonts w:ascii="Arial" w:hAnsi="Arial" w:cs="Arial"/>
          <w:sz w:val="24"/>
          <w:szCs w:val="24"/>
        </w:rPr>
        <w:t> </w:t>
      </w:r>
      <w:r w:rsidRPr="00995075">
        <w:rPr>
          <w:rFonts w:ascii="Arial" w:hAnsi="Arial" w:cs="Arial"/>
          <w:sz w:val="24"/>
          <w:szCs w:val="24"/>
        </w:rPr>
        <w:t>%.</w:t>
      </w:r>
      <w:r>
        <w:rPr>
          <w:rFonts w:ascii="Arial" w:hAnsi="Arial" w:cs="Arial"/>
          <w:sz w:val="24"/>
          <w:szCs w:val="24"/>
        </w:rPr>
        <w:t xml:space="preserve"> K tomu poskytovatel v Závěrečném hodnocení</w:t>
      </w:r>
      <w:r w:rsidR="0066317E">
        <w:rPr>
          <w:rFonts w:ascii="Arial" w:hAnsi="Arial" w:cs="Arial"/>
          <w:sz w:val="24"/>
          <w:szCs w:val="24"/>
        </w:rPr>
        <w:t xml:space="preserve"> </w:t>
      </w:r>
      <w:r w:rsidR="007F26AE">
        <w:rPr>
          <w:rFonts w:ascii="Arial" w:hAnsi="Arial" w:cs="Arial"/>
          <w:sz w:val="24"/>
          <w:szCs w:val="24"/>
        </w:rPr>
        <w:t>MV</w:t>
      </w:r>
      <w:r>
        <w:rPr>
          <w:rFonts w:ascii="Arial" w:hAnsi="Arial" w:cs="Arial"/>
          <w:sz w:val="24"/>
          <w:szCs w:val="24"/>
        </w:rPr>
        <w:t xml:space="preserve"> uvádí, že r</w:t>
      </w:r>
      <w:r w:rsidRPr="00995075">
        <w:rPr>
          <w:rFonts w:ascii="Arial" w:hAnsi="Arial" w:cs="Arial"/>
          <w:sz w:val="24"/>
          <w:szCs w:val="24"/>
        </w:rPr>
        <w:t xml:space="preserve">ozdíl mezi plánovanými náklady a náklady reálnými byl způsoben </w:t>
      </w:r>
      <w:r>
        <w:rPr>
          <w:rFonts w:ascii="Arial" w:hAnsi="Arial" w:cs="Arial"/>
          <w:sz w:val="24"/>
          <w:szCs w:val="24"/>
        </w:rPr>
        <w:t xml:space="preserve">převážně </w:t>
      </w:r>
      <w:r w:rsidRPr="00995075">
        <w:rPr>
          <w:rFonts w:ascii="Arial" w:hAnsi="Arial" w:cs="Arial"/>
          <w:sz w:val="24"/>
          <w:szCs w:val="24"/>
        </w:rPr>
        <w:t xml:space="preserve">změnami ve výdajích na výzkum a vývoj ze státního rozpočtu a některými drobnými změnami ve financování při řešení konkrétních projektů. </w:t>
      </w:r>
    </w:p>
    <w:p w:rsidR="000030AC" w:rsidRDefault="000030AC" w:rsidP="004873C9">
      <w:pPr>
        <w:spacing w:after="120" w:line="240" w:lineRule="auto"/>
        <w:jc w:val="both"/>
        <w:rPr>
          <w:rFonts w:ascii="Arial" w:hAnsi="Arial" w:cs="Arial"/>
          <w:sz w:val="24"/>
          <w:szCs w:val="24"/>
        </w:rPr>
      </w:pPr>
      <w:r>
        <w:rPr>
          <w:rFonts w:ascii="Arial" w:hAnsi="Arial" w:cs="Arial"/>
          <w:sz w:val="24"/>
          <w:szCs w:val="24"/>
        </w:rPr>
        <w:t xml:space="preserve">Celkové čerpané náklady podle údajů MV činily 2 108 628 tis. Kč. Nahlédnutím do IS VaVaI bylo však zjištěno, že to bylo 2 108 495 tis. Kč. </w:t>
      </w:r>
      <w:r w:rsidR="0061100F">
        <w:rPr>
          <w:rFonts w:ascii="Arial" w:hAnsi="Arial" w:cs="Arial"/>
          <w:sz w:val="24"/>
          <w:szCs w:val="24"/>
        </w:rPr>
        <w:t xml:space="preserve">Rozdíl mezi těmito údaji lze považovat za marginální. Je pravděpodobně opět důsledkem, využití datových </w:t>
      </w:r>
      <w:r w:rsidR="0061100F">
        <w:rPr>
          <w:rFonts w:ascii="Arial" w:hAnsi="Arial" w:cs="Arial"/>
          <w:sz w:val="24"/>
          <w:szCs w:val="24"/>
        </w:rPr>
        <w:lastRenderedPageBreak/>
        <w:t>zdrojů, kde poskytovatel vychází z dat před konsolidací a definitivním vyřešením jednotlivých případů, vratek apod.</w:t>
      </w:r>
      <w:r>
        <w:rPr>
          <w:rFonts w:ascii="Arial" w:hAnsi="Arial" w:cs="Arial"/>
          <w:sz w:val="24"/>
          <w:szCs w:val="24"/>
        </w:rPr>
        <w:t xml:space="preserve"> </w:t>
      </w:r>
    </w:p>
    <w:p w:rsidR="004873C9" w:rsidRDefault="000030AC" w:rsidP="004873C9">
      <w:pPr>
        <w:spacing w:after="120" w:line="240" w:lineRule="auto"/>
        <w:jc w:val="both"/>
        <w:rPr>
          <w:rFonts w:ascii="Arial" w:hAnsi="Arial" w:cs="Arial"/>
          <w:i/>
          <w:sz w:val="24"/>
          <w:szCs w:val="24"/>
        </w:rPr>
      </w:pPr>
      <w:r>
        <w:rPr>
          <w:rFonts w:ascii="Arial" w:hAnsi="Arial" w:cs="Arial"/>
          <w:sz w:val="24"/>
          <w:szCs w:val="24"/>
        </w:rPr>
        <w:t>P</w:t>
      </w:r>
      <w:r w:rsidRPr="001924CA">
        <w:rPr>
          <w:rFonts w:ascii="Arial" w:hAnsi="Arial" w:cs="Arial"/>
          <w:sz w:val="24"/>
          <w:szCs w:val="24"/>
        </w:rPr>
        <w:t xml:space="preserve">odpora ze státního </w:t>
      </w:r>
      <w:r>
        <w:rPr>
          <w:rFonts w:ascii="Arial" w:hAnsi="Arial" w:cs="Arial"/>
          <w:sz w:val="24"/>
          <w:szCs w:val="24"/>
        </w:rPr>
        <w:t>rozpočtu</w:t>
      </w:r>
      <w:r w:rsidRPr="001924CA">
        <w:rPr>
          <w:rFonts w:ascii="Arial" w:hAnsi="Arial" w:cs="Arial"/>
          <w:sz w:val="24"/>
          <w:szCs w:val="24"/>
        </w:rPr>
        <w:t xml:space="preserve"> </w:t>
      </w:r>
      <w:r w:rsidR="0066317E">
        <w:rPr>
          <w:rFonts w:ascii="Arial" w:hAnsi="Arial" w:cs="Arial"/>
          <w:sz w:val="24"/>
          <w:szCs w:val="24"/>
        </w:rPr>
        <w:t xml:space="preserve">na </w:t>
      </w:r>
      <w:r>
        <w:rPr>
          <w:rFonts w:ascii="Arial" w:hAnsi="Arial" w:cs="Arial"/>
          <w:sz w:val="24"/>
          <w:szCs w:val="24"/>
        </w:rPr>
        <w:t>program Bezpečnostní výzkum</w:t>
      </w:r>
      <w:r w:rsidRPr="001924CA">
        <w:rPr>
          <w:rFonts w:ascii="Arial" w:hAnsi="Arial" w:cs="Arial"/>
          <w:sz w:val="24"/>
          <w:szCs w:val="24"/>
        </w:rPr>
        <w:t xml:space="preserve"> činila celkem 1 883 797</w:t>
      </w:r>
      <w:r>
        <w:rPr>
          <w:rFonts w:ascii="Arial" w:hAnsi="Arial" w:cs="Arial"/>
          <w:sz w:val="24"/>
          <w:szCs w:val="24"/>
        </w:rPr>
        <w:t> </w:t>
      </w:r>
      <w:r w:rsidRPr="001924CA">
        <w:rPr>
          <w:rFonts w:ascii="Arial" w:hAnsi="Arial" w:cs="Arial"/>
          <w:sz w:val="24"/>
          <w:szCs w:val="24"/>
        </w:rPr>
        <w:t>Kč</w:t>
      </w:r>
      <w:r>
        <w:rPr>
          <w:rFonts w:ascii="Arial" w:hAnsi="Arial" w:cs="Arial"/>
          <w:sz w:val="24"/>
          <w:szCs w:val="24"/>
        </w:rPr>
        <w:t xml:space="preserve">. </w:t>
      </w:r>
      <w:r w:rsidR="004873C9">
        <w:rPr>
          <w:rFonts w:ascii="Arial" w:hAnsi="Arial" w:cs="Arial"/>
          <w:sz w:val="24"/>
          <w:szCs w:val="24"/>
        </w:rPr>
        <w:t xml:space="preserve">Z tabulky č. </w:t>
      </w:r>
      <w:r w:rsidR="005D6144">
        <w:rPr>
          <w:rFonts w:ascii="Arial" w:hAnsi="Arial" w:cs="Arial"/>
          <w:sz w:val="24"/>
          <w:szCs w:val="24"/>
        </w:rPr>
        <w:t>3</w:t>
      </w:r>
      <w:r w:rsidR="004873C9">
        <w:rPr>
          <w:rFonts w:ascii="Arial" w:hAnsi="Arial" w:cs="Arial"/>
          <w:sz w:val="24"/>
          <w:szCs w:val="24"/>
        </w:rPr>
        <w:t xml:space="preserve"> je </w:t>
      </w:r>
      <w:r w:rsidR="003B36F8">
        <w:rPr>
          <w:rFonts w:ascii="Arial" w:hAnsi="Arial" w:cs="Arial"/>
          <w:sz w:val="24"/>
          <w:szCs w:val="24"/>
        </w:rPr>
        <w:t xml:space="preserve">také </w:t>
      </w:r>
      <w:r w:rsidR="004873C9">
        <w:rPr>
          <w:rFonts w:ascii="Arial" w:hAnsi="Arial" w:cs="Arial"/>
          <w:sz w:val="24"/>
          <w:szCs w:val="24"/>
        </w:rPr>
        <w:t>vidět</w:t>
      </w:r>
      <w:r w:rsidR="003B36F8">
        <w:rPr>
          <w:rFonts w:ascii="Arial" w:hAnsi="Arial" w:cs="Arial"/>
          <w:sz w:val="24"/>
          <w:szCs w:val="24"/>
        </w:rPr>
        <w:t xml:space="preserve"> poměrně velký</w:t>
      </w:r>
      <w:r w:rsidR="004873C9">
        <w:rPr>
          <w:rFonts w:ascii="Arial" w:hAnsi="Arial" w:cs="Arial"/>
          <w:sz w:val="24"/>
          <w:szCs w:val="24"/>
        </w:rPr>
        <w:t xml:space="preserve"> rozdíl mezi celkovými plánovanými náklady v době vzniku programu a celkovými přidělenými prostředky ze</w:t>
      </w:r>
      <w:r w:rsidR="007127C3">
        <w:rPr>
          <w:rFonts w:ascii="Arial" w:hAnsi="Arial" w:cs="Arial"/>
          <w:sz w:val="24"/>
          <w:szCs w:val="24"/>
        </w:rPr>
        <w:t> </w:t>
      </w:r>
      <w:r w:rsidR="004873C9">
        <w:rPr>
          <w:rFonts w:ascii="Arial" w:hAnsi="Arial" w:cs="Arial"/>
          <w:sz w:val="24"/>
          <w:szCs w:val="24"/>
        </w:rPr>
        <w:t xml:space="preserve">státního rozpočtu, který činil 1 308 202 </w:t>
      </w:r>
      <w:r w:rsidR="00C56227">
        <w:rPr>
          <w:rFonts w:ascii="Arial" w:hAnsi="Arial" w:cs="Arial"/>
          <w:sz w:val="24"/>
          <w:szCs w:val="24"/>
        </w:rPr>
        <w:t>tis. Kč</w:t>
      </w:r>
      <w:r w:rsidR="004873C9">
        <w:rPr>
          <w:rFonts w:ascii="Arial" w:hAnsi="Arial" w:cs="Arial"/>
          <w:sz w:val="24"/>
          <w:szCs w:val="24"/>
        </w:rPr>
        <w:t xml:space="preserve">. Ke snižování rozpočtu docházelo postupně, a to na základě usnesení vlády k návrhům výdajů státního rozpočtu České republiky na výzkum, vývoj a inovace. Alokované prostředky byly kráceny na začátku i v průběhu trvání programu. Poskytovatel k dopadům těchto opatření uvádí, že </w:t>
      </w:r>
      <w:r w:rsidR="004873C9" w:rsidRPr="009E52DF">
        <w:rPr>
          <w:rFonts w:ascii="Arial" w:hAnsi="Arial" w:cs="Arial"/>
          <w:i/>
          <w:sz w:val="24"/>
          <w:szCs w:val="24"/>
        </w:rPr>
        <w:t>„přesné dopady těchto opatření na program nelze nijak vymezit, je však zřejmé, že došlo k</w:t>
      </w:r>
      <w:r w:rsidR="00303D32">
        <w:rPr>
          <w:rFonts w:ascii="Arial" w:hAnsi="Arial" w:cs="Arial"/>
          <w:i/>
          <w:sz w:val="24"/>
          <w:szCs w:val="24"/>
        </w:rPr>
        <w:t> </w:t>
      </w:r>
      <w:r w:rsidR="004873C9" w:rsidRPr="009E52DF">
        <w:rPr>
          <w:rFonts w:ascii="Arial" w:hAnsi="Arial" w:cs="Arial"/>
          <w:i/>
          <w:sz w:val="24"/>
          <w:szCs w:val="24"/>
        </w:rPr>
        <w:t>celkovému omezení úspěšnosti přibližně o 5 %.</w:t>
      </w:r>
      <w:r w:rsidR="004873C9">
        <w:rPr>
          <w:rFonts w:ascii="Arial" w:hAnsi="Arial" w:cs="Arial"/>
          <w:i/>
          <w:sz w:val="24"/>
          <w:szCs w:val="24"/>
        </w:rPr>
        <w:t>“</w:t>
      </w:r>
      <w:r w:rsidR="004873C9" w:rsidRPr="009E52DF">
        <w:rPr>
          <w:rFonts w:ascii="Arial" w:hAnsi="Arial" w:cs="Arial"/>
          <w:i/>
          <w:sz w:val="24"/>
          <w:szCs w:val="24"/>
        </w:rPr>
        <w:t xml:space="preserve"> </w:t>
      </w:r>
    </w:p>
    <w:p w:rsidR="0061100F" w:rsidRPr="00C27CA9" w:rsidRDefault="0061100F" w:rsidP="004873C9">
      <w:pPr>
        <w:spacing w:after="120" w:line="240" w:lineRule="auto"/>
        <w:jc w:val="both"/>
        <w:rPr>
          <w:rFonts w:ascii="Arial" w:hAnsi="Arial" w:cs="Arial"/>
          <w:sz w:val="24"/>
          <w:szCs w:val="24"/>
        </w:rPr>
      </w:pPr>
      <w:r w:rsidRPr="00C27CA9">
        <w:rPr>
          <w:rFonts w:ascii="Arial" w:hAnsi="Arial" w:cs="Arial"/>
          <w:sz w:val="24"/>
          <w:szCs w:val="24"/>
        </w:rPr>
        <w:t xml:space="preserve">Poskytovatel v Závěrečném hodnocení </w:t>
      </w:r>
      <w:r w:rsidR="007F26AE">
        <w:rPr>
          <w:rFonts w:ascii="Arial" w:hAnsi="Arial" w:cs="Arial"/>
          <w:sz w:val="24"/>
          <w:szCs w:val="24"/>
        </w:rPr>
        <w:t>MV</w:t>
      </w:r>
      <w:r w:rsidRPr="00C27CA9">
        <w:rPr>
          <w:rFonts w:ascii="Arial" w:hAnsi="Arial" w:cs="Arial"/>
          <w:sz w:val="24"/>
          <w:szCs w:val="24"/>
        </w:rPr>
        <w:t xml:space="preserve"> uvedl, že objem požadovaných finančních prostředků na všechny způsobilé přihlášky ve třech veřejných soutěžích </w:t>
      </w:r>
      <w:r w:rsidR="00C27CA9" w:rsidRPr="00C27CA9">
        <w:rPr>
          <w:rFonts w:ascii="Arial" w:hAnsi="Arial" w:cs="Arial"/>
          <w:sz w:val="24"/>
          <w:szCs w:val="24"/>
        </w:rPr>
        <w:t>č</w:t>
      </w:r>
      <w:r w:rsidRPr="00C27CA9">
        <w:rPr>
          <w:rFonts w:ascii="Arial" w:hAnsi="Arial" w:cs="Arial"/>
          <w:sz w:val="24"/>
          <w:szCs w:val="24"/>
        </w:rPr>
        <w:t xml:space="preserve">inil </w:t>
      </w:r>
      <w:r w:rsidR="00C27CA9" w:rsidRPr="00C27CA9">
        <w:rPr>
          <w:rFonts w:ascii="Arial" w:hAnsi="Arial" w:cs="Arial"/>
          <w:sz w:val="24"/>
          <w:szCs w:val="24"/>
        </w:rPr>
        <w:t>8 942 680 tis. Kč. Existuje zde tedy zjevný převis poptávky nad možností podpory.</w:t>
      </w:r>
    </w:p>
    <w:p w:rsidR="004873C9" w:rsidRPr="00C27CA9" w:rsidRDefault="004873C9" w:rsidP="004873C9">
      <w:pPr>
        <w:spacing w:after="120" w:line="240" w:lineRule="auto"/>
        <w:jc w:val="both"/>
        <w:rPr>
          <w:rFonts w:ascii="Arial" w:hAnsi="Arial" w:cs="Arial"/>
          <w:sz w:val="24"/>
          <w:szCs w:val="24"/>
        </w:rPr>
      </w:pPr>
      <w:r>
        <w:rPr>
          <w:rFonts w:ascii="Arial" w:hAnsi="Arial" w:cs="Arial"/>
          <w:sz w:val="24"/>
          <w:szCs w:val="24"/>
        </w:rPr>
        <w:t xml:space="preserve">Nižší než plánovaná byla spoluúčast neveřejných zdrojů. </w:t>
      </w:r>
      <w:r w:rsidRPr="004973E5">
        <w:rPr>
          <w:rFonts w:ascii="Arial" w:hAnsi="Arial" w:cs="Arial"/>
          <w:sz w:val="24"/>
          <w:szCs w:val="24"/>
        </w:rPr>
        <w:t xml:space="preserve">Předpokládaná míra spolufinancování projektů ze strany příjemců byla </w:t>
      </w:r>
      <w:r w:rsidR="00C27CA9">
        <w:rPr>
          <w:rFonts w:ascii="Arial" w:hAnsi="Arial" w:cs="Arial"/>
          <w:sz w:val="24"/>
          <w:szCs w:val="24"/>
        </w:rPr>
        <w:t>předpokládána</w:t>
      </w:r>
      <w:r w:rsidRPr="004973E5">
        <w:rPr>
          <w:rFonts w:ascii="Arial" w:hAnsi="Arial" w:cs="Arial"/>
          <w:sz w:val="24"/>
          <w:szCs w:val="24"/>
        </w:rPr>
        <w:t xml:space="preserve"> ve výši 25 %, ve</w:t>
      </w:r>
      <w:r>
        <w:rPr>
          <w:rFonts w:ascii="Arial" w:hAnsi="Arial" w:cs="Arial"/>
          <w:sz w:val="24"/>
          <w:szCs w:val="24"/>
        </w:rPr>
        <w:t> </w:t>
      </w:r>
      <w:r w:rsidRPr="004973E5">
        <w:rPr>
          <w:rFonts w:ascii="Arial" w:hAnsi="Arial" w:cs="Arial"/>
          <w:sz w:val="24"/>
          <w:szCs w:val="24"/>
        </w:rPr>
        <w:t xml:space="preserve">skutečnosti však bylo dosaženo 10,97 % z celkových nákladů. Poskytovatel k tomuto faktu v Hodnocení uvádí, že </w:t>
      </w:r>
      <w:r w:rsidRPr="0000127F">
        <w:rPr>
          <w:rFonts w:ascii="Arial" w:hAnsi="Arial" w:cs="Arial"/>
          <w:i/>
          <w:sz w:val="24"/>
          <w:szCs w:val="24"/>
        </w:rPr>
        <w:t>„tento jev je přímo spojen s charakterem zapojených subjektů (</w:t>
      </w:r>
      <w:r w:rsidR="00E01C2C">
        <w:rPr>
          <w:rFonts w:ascii="Arial" w:hAnsi="Arial" w:cs="Arial"/>
          <w:i/>
          <w:sz w:val="24"/>
          <w:szCs w:val="24"/>
        </w:rPr>
        <w:t>většinou výzkumných organizací a malých podniků</w:t>
      </w:r>
      <w:r w:rsidRPr="00C27CA9">
        <w:rPr>
          <w:rFonts w:ascii="Arial" w:hAnsi="Arial" w:cs="Arial"/>
          <w:sz w:val="24"/>
          <w:szCs w:val="24"/>
        </w:rPr>
        <w:t>)</w:t>
      </w:r>
      <w:r w:rsidR="00C27CA9" w:rsidRPr="00C27CA9">
        <w:rPr>
          <w:rFonts w:ascii="Arial" w:hAnsi="Arial" w:cs="Arial"/>
          <w:sz w:val="24"/>
          <w:szCs w:val="24"/>
        </w:rPr>
        <w:t>, u kterých převládá vyšší intenzita podpory.</w:t>
      </w:r>
      <w:r w:rsidRPr="00C27CA9">
        <w:rPr>
          <w:rFonts w:ascii="Arial" w:hAnsi="Arial" w:cs="Arial"/>
          <w:sz w:val="24"/>
          <w:szCs w:val="24"/>
        </w:rPr>
        <w:t xml:space="preserve"> </w:t>
      </w:r>
    </w:p>
    <w:p w:rsidR="001D1BE6" w:rsidRDefault="00BF7E08" w:rsidP="00F76EC3">
      <w:pPr>
        <w:pStyle w:val="Nadpis3"/>
        <w:spacing w:before="0" w:after="120" w:line="240" w:lineRule="auto"/>
      </w:pPr>
      <w:r w:rsidRPr="007127C3">
        <w:t>7.</w:t>
      </w:r>
      <w:r w:rsidR="003F19AD">
        <w:t>9</w:t>
      </w:r>
      <w:r w:rsidRPr="007127C3">
        <w:t xml:space="preserve"> </w:t>
      </w:r>
      <w:r w:rsidR="001D1BE6" w:rsidRPr="007127C3">
        <w:t>Spolupráce s aplikační sférou</w:t>
      </w:r>
      <w:r w:rsidR="008E6DE1" w:rsidRPr="007127C3">
        <w:t xml:space="preserve"> </w:t>
      </w:r>
    </w:p>
    <w:p w:rsidR="001D1BE6" w:rsidRPr="001D1BE6" w:rsidRDefault="001D1BE6" w:rsidP="007E2CD3">
      <w:pPr>
        <w:spacing w:after="120" w:line="240" w:lineRule="auto"/>
        <w:jc w:val="both"/>
        <w:rPr>
          <w:lang w:eastAsia="cs-CZ"/>
        </w:rPr>
      </w:pPr>
      <w:r>
        <w:rPr>
          <w:rFonts w:ascii="Arial" w:hAnsi="Arial" w:cs="Arial"/>
          <w:sz w:val="24"/>
          <w:szCs w:val="24"/>
          <w:lang w:eastAsia="cs-CZ"/>
        </w:rPr>
        <w:t xml:space="preserve">K vyhodnocení zapojení uživatele </w:t>
      </w:r>
      <w:r w:rsidR="004138EA">
        <w:rPr>
          <w:rFonts w:ascii="Arial" w:hAnsi="Arial" w:cs="Arial"/>
          <w:sz w:val="24"/>
          <w:szCs w:val="24"/>
          <w:lang w:eastAsia="cs-CZ"/>
        </w:rPr>
        <w:t>použil</w:t>
      </w:r>
      <w:r w:rsidR="000D0A00">
        <w:rPr>
          <w:rFonts w:ascii="Arial" w:hAnsi="Arial" w:cs="Arial"/>
          <w:sz w:val="24"/>
          <w:szCs w:val="24"/>
          <w:lang w:eastAsia="cs-CZ"/>
        </w:rPr>
        <w:t>o MV</w:t>
      </w:r>
      <w:r>
        <w:rPr>
          <w:rFonts w:ascii="Arial" w:hAnsi="Arial" w:cs="Arial"/>
          <w:sz w:val="24"/>
          <w:szCs w:val="24"/>
          <w:lang w:eastAsia="cs-CZ"/>
        </w:rPr>
        <w:t xml:space="preserve"> dotazníkového šetření</w:t>
      </w:r>
      <w:r w:rsidR="004138EA">
        <w:rPr>
          <w:rFonts w:ascii="Arial" w:hAnsi="Arial" w:cs="Arial"/>
          <w:sz w:val="24"/>
          <w:szCs w:val="24"/>
          <w:lang w:eastAsia="cs-CZ"/>
        </w:rPr>
        <w:t>, které probíhalo</w:t>
      </w:r>
      <w:r>
        <w:rPr>
          <w:rFonts w:ascii="Arial" w:hAnsi="Arial" w:cs="Arial"/>
          <w:sz w:val="24"/>
          <w:szCs w:val="24"/>
          <w:lang w:eastAsia="cs-CZ"/>
        </w:rPr>
        <w:t xml:space="preserve"> na vzorku 57 projektů ukončovaných od poloviny roku 2015. </w:t>
      </w:r>
      <w:r w:rsidR="004138EA">
        <w:rPr>
          <w:rFonts w:ascii="Arial" w:hAnsi="Arial" w:cs="Arial"/>
          <w:sz w:val="24"/>
          <w:szCs w:val="24"/>
          <w:lang w:eastAsia="cs-CZ"/>
        </w:rPr>
        <w:t>Z výsledků šetření vyplynulo, že n</w:t>
      </w:r>
      <w:r>
        <w:rPr>
          <w:rFonts w:ascii="Arial" w:hAnsi="Arial" w:cs="Arial"/>
          <w:sz w:val="24"/>
          <w:szCs w:val="24"/>
          <w:lang w:eastAsia="cs-CZ"/>
        </w:rPr>
        <w:t>ejčastější formou zapojení byly pravidelné věcné konzultace, relativně vysoký byl aktivní podíl uživatelských organizací a jejich zástupců na</w:t>
      </w:r>
      <w:r w:rsidR="004138EA">
        <w:rPr>
          <w:rFonts w:ascii="Arial" w:hAnsi="Arial" w:cs="Arial"/>
          <w:sz w:val="24"/>
          <w:szCs w:val="24"/>
          <w:lang w:eastAsia="cs-CZ"/>
        </w:rPr>
        <w:t> </w:t>
      </w:r>
      <w:r>
        <w:rPr>
          <w:rFonts w:ascii="Arial" w:hAnsi="Arial" w:cs="Arial"/>
          <w:sz w:val="24"/>
          <w:szCs w:val="24"/>
          <w:lang w:eastAsia="cs-CZ"/>
        </w:rPr>
        <w:t>provádění výzkumné a vývojové činnosti</w:t>
      </w:r>
      <w:r w:rsidR="004138EA">
        <w:rPr>
          <w:rFonts w:ascii="Arial" w:hAnsi="Arial" w:cs="Arial"/>
          <w:sz w:val="24"/>
          <w:szCs w:val="24"/>
          <w:lang w:eastAsia="cs-CZ"/>
        </w:rPr>
        <w:t>,</w:t>
      </w:r>
      <w:r>
        <w:rPr>
          <w:rFonts w:ascii="Arial" w:hAnsi="Arial" w:cs="Arial"/>
          <w:sz w:val="24"/>
          <w:szCs w:val="24"/>
          <w:lang w:eastAsia="cs-CZ"/>
        </w:rPr>
        <w:t xml:space="preserve"> který tvořil 25 </w:t>
      </w:r>
      <w:r w:rsidR="004138EA">
        <w:rPr>
          <w:rFonts w:ascii="Arial" w:hAnsi="Arial" w:cs="Arial"/>
          <w:sz w:val="24"/>
          <w:szCs w:val="24"/>
          <w:lang w:eastAsia="cs-CZ"/>
        </w:rPr>
        <w:t>%</w:t>
      </w:r>
      <w:r>
        <w:rPr>
          <w:rFonts w:ascii="Arial" w:hAnsi="Arial" w:cs="Arial"/>
          <w:sz w:val="24"/>
          <w:szCs w:val="24"/>
          <w:lang w:eastAsia="cs-CZ"/>
        </w:rPr>
        <w:t>.</w:t>
      </w:r>
      <w:r w:rsidR="004138EA">
        <w:rPr>
          <w:rFonts w:ascii="Arial" w:hAnsi="Arial" w:cs="Arial"/>
          <w:sz w:val="24"/>
          <w:szCs w:val="24"/>
          <w:lang w:eastAsia="cs-CZ"/>
        </w:rPr>
        <w:t xml:space="preserve"> Pouze v 9 % projektů nebyl konečný uživatel do</w:t>
      </w:r>
      <w:r w:rsidR="000D0A00">
        <w:rPr>
          <w:rFonts w:ascii="Arial" w:hAnsi="Arial" w:cs="Arial"/>
          <w:sz w:val="24"/>
          <w:szCs w:val="24"/>
          <w:lang w:eastAsia="cs-CZ"/>
        </w:rPr>
        <w:t> </w:t>
      </w:r>
      <w:r w:rsidR="004138EA">
        <w:rPr>
          <w:rFonts w:ascii="Arial" w:hAnsi="Arial" w:cs="Arial"/>
          <w:sz w:val="24"/>
          <w:szCs w:val="24"/>
          <w:lang w:eastAsia="cs-CZ"/>
        </w:rPr>
        <w:t>řešení zapojen vůbec.</w:t>
      </w:r>
      <w:r w:rsidR="00ED5194">
        <w:rPr>
          <w:rFonts w:ascii="Arial" w:hAnsi="Arial" w:cs="Arial"/>
          <w:sz w:val="24"/>
          <w:szCs w:val="24"/>
          <w:lang w:eastAsia="cs-CZ"/>
        </w:rPr>
        <w:t xml:space="preserve"> Velkové zapojení konečných uživatelů, tj. 91 % projektů, lze označit za velmi úspěšné.</w:t>
      </w:r>
    </w:p>
    <w:p w:rsidR="00EB6728" w:rsidRPr="0075188B" w:rsidRDefault="009E2EE5" w:rsidP="00EB6728">
      <w:pPr>
        <w:spacing w:after="120" w:line="240" w:lineRule="auto"/>
        <w:jc w:val="both"/>
        <w:rPr>
          <w:rFonts w:ascii="Arial" w:hAnsi="Arial" w:cs="Arial"/>
          <w:sz w:val="24"/>
          <w:szCs w:val="24"/>
        </w:rPr>
      </w:pPr>
      <w:r w:rsidRPr="00997557">
        <w:rPr>
          <w:rFonts w:ascii="Arial" w:hAnsi="Arial" w:cs="Arial"/>
          <w:sz w:val="24"/>
          <w:szCs w:val="24"/>
          <w:lang w:eastAsia="cs-CZ"/>
        </w:rPr>
        <w:t>Podle schválených indikátorů poskytovatel předpokládal, že se do programu zapojí</w:t>
      </w:r>
      <w:r w:rsidR="006E6852">
        <w:rPr>
          <w:rFonts w:ascii="Arial" w:hAnsi="Arial" w:cs="Arial"/>
          <w:sz w:val="24"/>
          <w:szCs w:val="24"/>
          <w:lang w:eastAsia="cs-CZ"/>
        </w:rPr>
        <w:t xml:space="preserve"> a</w:t>
      </w:r>
      <w:r w:rsidR="005D6144">
        <w:rPr>
          <w:rFonts w:ascii="Arial" w:hAnsi="Arial" w:cs="Arial"/>
          <w:sz w:val="24"/>
          <w:szCs w:val="24"/>
          <w:lang w:eastAsia="cs-CZ"/>
        </w:rPr>
        <w:t> </w:t>
      </w:r>
      <w:r w:rsidR="006E6852">
        <w:rPr>
          <w:rFonts w:ascii="Arial" w:hAnsi="Arial" w:cs="Arial"/>
          <w:sz w:val="24"/>
          <w:szCs w:val="24"/>
          <w:lang w:eastAsia="cs-CZ"/>
        </w:rPr>
        <w:t>úspěšně své projekty</w:t>
      </w:r>
      <w:r w:rsidRPr="00997557">
        <w:rPr>
          <w:rFonts w:ascii="Arial" w:hAnsi="Arial" w:cs="Arial"/>
          <w:sz w:val="24"/>
          <w:szCs w:val="24"/>
          <w:lang w:eastAsia="cs-CZ"/>
        </w:rPr>
        <w:t xml:space="preserve"> </w:t>
      </w:r>
      <w:r w:rsidR="006E6852">
        <w:rPr>
          <w:rFonts w:ascii="Arial" w:hAnsi="Arial" w:cs="Arial"/>
          <w:sz w:val="24"/>
          <w:szCs w:val="24"/>
          <w:lang w:eastAsia="cs-CZ"/>
        </w:rPr>
        <w:t>zakončí</w:t>
      </w:r>
      <w:r w:rsidR="006E6852" w:rsidRPr="00997557">
        <w:rPr>
          <w:rFonts w:ascii="Arial" w:hAnsi="Arial" w:cs="Arial"/>
          <w:sz w:val="24"/>
          <w:szCs w:val="24"/>
          <w:lang w:eastAsia="cs-CZ"/>
        </w:rPr>
        <w:t xml:space="preserve"> </w:t>
      </w:r>
      <w:r w:rsidRPr="00997557">
        <w:rPr>
          <w:rFonts w:ascii="Arial" w:hAnsi="Arial" w:cs="Arial"/>
          <w:sz w:val="24"/>
          <w:szCs w:val="24"/>
          <w:lang w:eastAsia="cs-CZ"/>
        </w:rPr>
        <w:t>20 podniků</w:t>
      </w:r>
      <w:r w:rsidR="006E6852">
        <w:rPr>
          <w:rFonts w:ascii="Arial" w:hAnsi="Arial" w:cs="Arial"/>
          <w:sz w:val="24"/>
          <w:szCs w:val="24"/>
          <w:lang w:eastAsia="cs-CZ"/>
        </w:rPr>
        <w:t>, osm</w:t>
      </w:r>
      <w:r w:rsidRPr="00997557">
        <w:rPr>
          <w:rFonts w:ascii="Arial" w:hAnsi="Arial" w:cs="Arial"/>
          <w:sz w:val="24"/>
          <w:szCs w:val="24"/>
          <w:lang w:eastAsia="cs-CZ"/>
        </w:rPr>
        <w:t xml:space="preserve"> mimorezortních </w:t>
      </w:r>
      <w:r w:rsidR="006E6852">
        <w:rPr>
          <w:rFonts w:ascii="Arial" w:hAnsi="Arial" w:cs="Arial"/>
          <w:sz w:val="24"/>
          <w:szCs w:val="24"/>
          <w:lang w:eastAsia="cs-CZ"/>
        </w:rPr>
        <w:t xml:space="preserve">a čtyři resortní </w:t>
      </w:r>
      <w:r w:rsidRPr="00997557">
        <w:rPr>
          <w:rFonts w:ascii="Arial" w:hAnsi="Arial" w:cs="Arial"/>
          <w:sz w:val="24"/>
          <w:szCs w:val="24"/>
          <w:lang w:eastAsia="cs-CZ"/>
        </w:rPr>
        <w:t>výzkumn</w:t>
      </w:r>
      <w:r w:rsidR="006E6852">
        <w:rPr>
          <w:rFonts w:ascii="Arial" w:hAnsi="Arial" w:cs="Arial"/>
          <w:sz w:val="24"/>
          <w:szCs w:val="24"/>
          <w:lang w:eastAsia="cs-CZ"/>
        </w:rPr>
        <w:t>é</w:t>
      </w:r>
      <w:r w:rsidRPr="00997557">
        <w:rPr>
          <w:rFonts w:ascii="Arial" w:hAnsi="Arial" w:cs="Arial"/>
          <w:sz w:val="24"/>
          <w:szCs w:val="24"/>
          <w:lang w:eastAsia="cs-CZ"/>
        </w:rPr>
        <w:t xml:space="preserve"> organizac</w:t>
      </w:r>
      <w:r w:rsidR="006E6852">
        <w:rPr>
          <w:rFonts w:ascii="Arial" w:hAnsi="Arial" w:cs="Arial"/>
          <w:sz w:val="24"/>
          <w:szCs w:val="24"/>
          <w:lang w:eastAsia="cs-CZ"/>
        </w:rPr>
        <w:t>e</w:t>
      </w:r>
      <w:r w:rsidRPr="00997557">
        <w:rPr>
          <w:rFonts w:ascii="Arial" w:hAnsi="Arial" w:cs="Arial"/>
          <w:sz w:val="24"/>
          <w:szCs w:val="24"/>
          <w:lang w:eastAsia="cs-CZ"/>
        </w:rPr>
        <w:t xml:space="preserve">. </w:t>
      </w:r>
      <w:r w:rsidR="00EB6728">
        <w:rPr>
          <w:rFonts w:ascii="Arial" w:hAnsi="Arial" w:cs="Arial"/>
          <w:sz w:val="24"/>
          <w:szCs w:val="24"/>
        </w:rPr>
        <w:t>Počet zapojených výzkumných organizací byl však téměř sedmkrát vyšší proti očekávání a téměř třikrát vyšší byla účast podniků, zejména malých.</w:t>
      </w:r>
    </w:p>
    <w:p w:rsidR="0025586A" w:rsidRDefault="000D0A00" w:rsidP="007E2CD3">
      <w:pPr>
        <w:spacing w:after="120" w:line="240" w:lineRule="auto"/>
        <w:jc w:val="both"/>
        <w:rPr>
          <w:rFonts w:ascii="Arial" w:hAnsi="Arial" w:cs="Arial"/>
          <w:sz w:val="24"/>
          <w:szCs w:val="24"/>
          <w:lang w:eastAsia="cs-CZ"/>
        </w:rPr>
      </w:pPr>
      <w:r>
        <w:rPr>
          <w:rFonts w:ascii="Arial" w:hAnsi="Arial" w:cs="Arial"/>
          <w:sz w:val="24"/>
          <w:szCs w:val="24"/>
          <w:lang w:eastAsia="cs-CZ"/>
        </w:rPr>
        <w:t xml:space="preserve">V rámci programu bylo podpořeno 69 </w:t>
      </w:r>
      <w:r w:rsidRPr="0075188B">
        <w:rPr>
          <w:rFonts w:ascii="Arial" w:hAnsi="Arial" w:cs="Arial"/>
          <w:sz w:val="24"/>
          <w:szCs w:val="24"/>
        </w:rPr>
        <w:t>organizac</w:t>
      </w:r>
      <w:r>
        <w:rPr>
          <w:rFonts w:ascii="Arial" w:hAnsi="Arial" w:cs="Arial"/>
          <w:sz w:val="24"/>
          <w:szCs w:val="24"/>
        </w:rPr>
        <w:t>í</w:t>
      </w:r>
      <w:r w:rsidRPr="0075188B">
        <w:rPr>
          <w:rFonts w:ascii="Arial" w:hAnsi="Arial" w:cs="Arial"/>
          <w:sz w:val="24"/>
          <w:szCs w:val="24"/>
        </w:rPr>
        <w:t xml:space="preserve"> p</w:t>
      </w:r>
      <w:r>
        <w:rPr>
          <w:rFonts w:ascii="Arial" w:hAnsi="Arial" w:cs="Arial"/>
          <w:sz w:val="24"/>
          <w:szCs w:val="24"/>
        </w:rPr>
        <w:t>r</w:t>
      </w:r>
      <w:r w:rsidRPr="0075188B">
        <w:rPr>
          <w:rFonts w:ascii="Arial" w:hAnsi="Arial" w:cs="Arial"/>
          <w:sz w:val="24"/>
          <w:szCs w:val="24"/>
        </w:rPr>
        <w:t>o výzkum a šíření znalostí (d</w:t>
      </w:r>
      <w:r>
        <w:rPr>
          <w:rFonts w:ascii="Arial" w:hAnsi="Arial" w:cs="Arial"/>
          <w:sz w:val="24"/>
          <w:szCs w:val="24"/>
        </w:rPr>
        <w:t>á</w:t>
      </w:r>
      <w:r w:rsidRPr="0075188B">
        <w:rPr>
          <w:rFonts w:ascii="Arial" w:hAnsi="Arial" w:cs="Arial"/>
          <w:sz w:val="24"/>
          <w:szCs w:val="24"/>
        </w:rPr>
        <w:t>le jen „výzkumné organizace“)</w:t>
      </w:r>
      <w:r>
        <w:rPr>
          <w:rFonts w:ascii="Arial" w:hAnsi="Arial" w:cs="Arial"/>
          <w:sz w:val="24"/>
          <w:szCs w:val="24"/>
        </w:rPr>
        <w:t xml:space="preserve"> </w:t>
      </w:r>
      <w:r>
        <w:rPr>
          <w:rFonts w:ascii="Arial" w:hAnsi="Arial" w:cs="Arial"/>
          <w:sz w:val="24"/>
          <w:szCs w:val="24"/>
          <w:lang w:eastAsia="cs-CZ"/>
        </w:rPr>
        <w:t>a 58 podniků, což odpovídá podmínkám programu schváleného vládou.</w:t>
      </w:r>
      <w:r w:rsidRPr="00997557">
        <w:rPr>
          <w:rFonts w:ascii="Arial" w:hAnsi="Arial" w:cs="Arial"/>
          <w:sz w:val="24"/>
          <w:szCs w:val="24"/>
          <w:lang w:eastAsia="cs-CZ"/>
        </w:rPr>
        <w:t xml:space="preserve"> </w:t>
      </w:r>
    </w:p>
    <w:p w:rsidR="00A07A3D" w:rsidRDefault="00A07A3D" w:rsidP="007E2CD3">
      <w:pPr>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t xml:space="preserve">Na základě uvedených skutečností </w:t>
      </w:r>
      <w:r w:rsidRPr="00531EFB">
        <w:rPr>
          <w:rFonts w:ascii="Arial" w:hAnsi="Arial" w:cs="Arial"/>
          <w:color w:val="000000"/>
          <w:sz w:val="24"/>
          <w:szCs w:val="24"/>
        </w:rPr>
        <w:t xml:space="preserve">lze </w:t>
      </w:r>
      <w:r>
        <w:rPr>
          <w:rFonts w:ascii="Arial" w:hAnsi="Arial" w:cs="Arial"/>
          <w:color w:val="000000"/>
          <w:sz w:val="24"/>
          <w:szCs w:val="24"/>
        </w:rPr>
        <w:t>konstatovat</w:t>
      </w:r>
      <w:r w:rsidRPr="00531EFB">
        <w:rPr>
          <w:rFonts w:ascii="Arial" w:hAnsi="Arial" w:cs="Arial"/>
          <w:color w:val="000000"/>
          <w:sz w:val="24"/>
          <w:szCs w:val="24"/>
        </w:rPr>
        <w:t>, že program naplnil p</w:t>
      </w:r>
      <w:r w:rsidRPr="0075188B">
        <w:rPr>
          <w:rFonts w:ascii="Arial" w:hAnsi="Arial" w:cs="Arial"/>
          <w:color w:val="000000"/>
          <w:sz w:val="24"/>
          <w:szCs w:val="24"/>
        </w:rPr>
        <w:t xml:space="preserve">ředpoklady zapojení </w:t>
      </w:r>
      <w:r w:rsidRPr="00531EFB">
        <w:rPr>
          <w:rFonts w:ascii="Arial" w:hAnsi="Arial" w:cs="Arial"/>
          <w:color w:val="000000"/>
          <w:sz w:val="24"/>
          <w:szCs w:val="24"/>
        </w:rPr>
        <w:t>výzkumných organizací i</w:t>
      </w:r>
      <w:r w:rsidRPr="0075188B">
        <w:rPr>
          <w:rFonts w:ascii="Arial" w:hAnsi="Arial" w:cs="Arial"/>
          <w:color w:val="000000"/>
          <w:sz w:val="24"/>
          <w:szCs w:val="24"/>
        </w:rPr>
        <w:t xml:space="preserve"> podnikové sféry</w:t>
      </w:r>
      <w:r>
        <w:rPr>
          <w:rFonts w:ascii="Arial" w:hAnsi="Arial" w:cs="Arial"/>
          <w:color w:val="000000"/>
          <w:sz w:val="24"/>
          <w:szCs w:val="24"/>
        </w:rPr>
        <w:t>.</w:t>
      </w:r>
      <w:r w:rsidRPr="0075188B">
        <w:rPr>
          <w:rFonts w:ascii="Arial" w:hAnsi="Arial" w:cs="Arial"/>
          <w:color w:val="000000"/>
          <w:sz w:val="24"/>
          <w:szCs w:val="24"/>
        </w:rPr>
        <w:t xml:space="preserve"> </w:t>
      </w:r>
      <w:r>
        <w:rPr>
          <w:rFonts w:ascii="Arial" w:hAnsi="Arial" w:cs="Arial"/>
          <w:color w:val="000000"/>
          <w:sz w:val="24"/>
          <w:szCs w:val="24"/>
        </w:rPr>
        <w:t>Nižší,</w:t>
      </w:r>
      <w:r w:rsidR="00ED5194">
        <w:rPr>
          <w:rFonts w:ascii="Arial" w:hAnsi="Arial" w:cs="Arial"/>
          <w:color w:val="000000"/>
          <w:sz w:val="24"/>
          <w:szCs w:val="24"/>
        </w:rPr>
        <w:t xml:space="preserve"> ve srovnání s původními přespoklady,</w:t>
      </w:r>
      <w:r>
        <w:rPr>
          <w:rFonts w:ascii="Arial" w:hAnsi="Arial" w:cs="Arial"/>
          <w:color w:val="000000"/>
          <w:sz w:val="24"/>
          <w:szCs w:val="24"/>
        </w:rPr>
        <w:t xml:space="preserve"> byla účast resortních výzkumných organizací.</w:t>
      </w:r>
    </w:p>
    <w:p w:rsidR="0043520D" w:rsidRDefault="0043520D" w:rsidP="0043520D">
      <w:pPr>
        <w:pStyle w:val="Nadpis3"/>
        <w:spacing w:before="120" w:after="120"/>
      </w:pPr>
      <w:r w:rsidRPr="0043520D">
        <w:t>8. K</w:t>
      </w:r>
      <w:r w:rsidR="005E52C4">
        <w:t xml:space="preserve"> Zdravotnickému </w:t>
      </w:r>
      <w:r w:rsidRPr="0043520D">
        <w:t xml:space="preserve">výzkumu  </w:t>
      </w:r>
    </w:p>
    <w:p w:rsidR="00A84CAD" w:rsidRPr="00321969" w:rsidRDefault="00A84CAD" w:rsidP="00321969">
      <w:pPr>
        <w:autoSpaceDE w:val="0"/>
        <w:autoSpaceDN w:val="0"/>
        <w:adjustRightInd w:val="0"/>
        <w:spacing w:after="120" w:line="240" w:lineRule="auto"/>
        <w:jc w:val="both"/>
        <w:rPr>
          <w:rFonts w:ascii="Arial" w:hAnsi="Arial" w:cs="Arial"/>
          <w:sz w:val="24"/>
          <w:szCs w:val="24"/>
        </w:rPr>
      </w:pPr>
      <w:r w:rsidRPr="00321969">
        <w:rPr>
          <w:rFonts w:ascii="Arial" w:hAnsi="Arial" w:cs="Arial"/>
          <w:sz w:val="24"/>
          <w:szCs w:val="24"/>
        </w:rPr>
        <w:t xml:space="preserve">Základním cílem </w:t>
      </w:r>
      <w:r w:rsidR="005E52C4">
        <w:rPr>
          <w:rFonts w:ascii="Arial" w:hAnsi="Arial" w:cs="Arial"/>
          <w:sz w:val="24"/>
          <w:szCs w:val="24"/>
        </w:rPr>
        <w:t>hodnoceného programu Zdravotnického výzkumu</w:t>
      </w:r>
      <w:r w:rsidRPr="00321969">
        <w:rPr>
          <w:rFonts w:ascii="Arial" w:hAnsi="Arial" w:cs="Arial"/>
          <w:sz w:val="24"/>
          <w:szCs w:val="24"/>
        </w:rPr>
        <w:t xml:space="preserve"> bylo zvýšení efektivity užití veřejných prostředků v</w:t>
      </w:r>
      <w:r w:rsidR="00285A25">
        <w:rPr>
          <w:rFonts w:ascii="Arial" w:hAnsi="Arial" w:cs="Arial"/>
          <w:sz w:val="24"/>
          <w:szCs w:val="24"/>
        </w:rPr>
        <w:t> </w:t>
      </w:r>
      <w:r w:rsidRPr="00321969">
        <w:rPr>
          <w:rFonts w:ascii="Arial" w:hAnsi="Arial" w:cs="Arial"/>
          <w:sz w:val="24"/>
          <w:szCs w:val="24"/>
        </w:rPr>
        <w:t>aplikovaném zdravotnickém výzkumu</w:t>
      </w:r>
      <w:r w:rsidR="005E52C4">
        <w:rPr>
          <w:rFonts w:ascii="Arial" w:hAnsi="Arial" w:cs="Arial"/>
          <w:sz w:val="24"/>
          <w:szCs w:val="24"/>
        </w:rPr>
        <w:t xml:space="preserve"> a </w:t>
      </w:r>
      <w:r w:rsidRPr="00321969">
        <w:rPr>
          <w:rFonts w:ascii="Arial" w:hAnsi="Arial" w:cs="Arial"/>
          <w:sz w:val="24"/>
          <w:szCs w:val="24"/>
        </w:rPr>
        <w:t>prakticky využitelných výsledků výzkumu pro potřeby zdravotnictví (jak v</w:t>
      </w:r>
      <w:r w:rsidR="005E52C4">
        <w:rPr>
          <w:rFonts w:ascii="Arial" w:hAnsi="Arial" w:cs="Arial"/>
          <w:sz w:val="24"/>
          <w:szCs w:val="24"/>
        </w:rPr>
        <w:t> </w:t>
      </w:r>
      <w:r w:rsidRPr="00321969">
        <w:rPr>
          <w:rFonts w:ascii="Arial" w:hAnsi="Arial" w:cs="Arial"/>
          <w:sz w:val="24"/>
          <w:szCs w:val="24"/>
        </w:rPr>
        <w:t xml:space="preserve">diagnostice a terapii onemocnění, tak v oblastech prevence a zdravotních </w:t>
      </w:r>
      <w:r w:rsidRPr="00321969">
        <w:rPr>
          <w:rFonts w:ascii="Arial" w:hAnsi="Arial" w:cs="Arial"/>
          <w:sz w:val="24"/>
          <w:szCs w:val="24"/>
        </w:rPr>
        <w:lastRenderedPageBreak/>
        <w:t>systémů), rozvoj informatiky a</w:t>
      </w:r>
      <w:r w:rsidR="00285A25">
        <w:rPr>
          <w:rFonts w:ascii="Arial" w:hAnsi="Arial" w:cs="Arial"/>
          <w:sz w:val="24"/>
          <w:szCs w:val="24"/>
        </w:rPr>
        <w:t> </w:t>
      </w:r>
      <w:r w:rsidRPr="00321969">
        <w:rPr>
          <w:rFonts w:ascii="Arial" w:hAnsi="Arial" w:cs="Arial"/>
          <w:sz w:val="24"/>
          <w:szCs w:val="24"/>
        </w:rPr>
        <w:t xml:space="preserve">ošetřovatelství a </w:t>
      </w:r>
      <w:r w:rsidR="005E52C4">
        <w:rPr>
          <w:rFonts w:ascii="Arial" w:hAnsi="Arial" w:cs="Arial"/>
          <w:sz w:val="24"/>
          <w:szCs w:val="24"/>
        </w:rPr>
        <w:t>mimo jiné také</w:t>
      </w:r>
      <w:r w:rsidRPr="00321969">
        <w:rPr>
          <w:rFonts w:ascii="Arial" w:hAnsi="Arial" w:cs="Arial"/>
          <w:sz w:val="24"/>
          <w:szCs w:val="24"/>
        </w:rPr>
        <w:t xml:space="preserve"> zajištění mezinárodně srovnatelné úrovně výsledků výzkumu.</w:t>
      </w:r>
    </w:p>
    <w:p w:rsidR="00A84CAD" w:rsidRDefault="005E52C4" w:rsidP="009320FD">
      <w:pPr>
        <w:keepNext/>
        <w:autoSpaceDE w:val="0"/>
        <w:autoSpaceDN w:val="0"/>
        <w:adjustRightInd w:val="0"/>
        <w:spacing w:after="120" w:line="240" w:lineRule="auto"/>
        <w:jc w:val="both"/>
        <w:rPr>
          <w:rFonts w:ascii="Arial" w:hAnsi="Arial" w:cs="Arial"/>
          <w:sz w:val="24"/>
          <w:szCs w:val="24"/>
        </w:rPr>
      </w:pPr>
      <w:r>
        <w:rPr>
          <w:rFonts w:ascii="Arial" w:hAnsi="Arial" w:cs="Arial"/>
          <w:sz w:val="24"/>
          <w:szCs w:val="24"/>
        </w:rPr>
        <w:t>Program</w:t>
      </w:r>
      <w:r w:rsidR="00A84CAD" w:rsidRPr="00321969">
        <w:rPr>
          <w:rFonts w:ascii="Arial" w:hAnsi="Arial" w:cs="Arial"/>
          <w:sz w:val="24"/>
          <w:szCs w:val="24"/>
        </w:rPr>
        <w:t xml:space="preserve"> byl schválen usnesením vlády č. 1133 ze dne 31. srpna 2009 a</w:t>
      </w:r>
      <w:r w:rsidR="00321969">
        <w:rPr>
          <w:rFonts w:ascii="Arial" w:hAnsi="Arial" w:cs="Arial"/>
          <w:sz w:val="24"/>
          <w:szCs w:val="24"/>
        </w:rPr>
        <w:t> </w:t>
      </w:r>
      <w:r w:rsidR="00A84CAD" w:rsidRPr="00321969">
        <w:rPr>
          <w:rFonts w:ascii="Arial" w:hAnsi="Arial" w:cs="Arial"/>
          <w:sz w:val="24"/>
          <w:szCs w:val="24"/>
        </w:rPr>
        <w:t>nepodléhal oznámení (notifikaci) Evropské komisi.</w:t>
      </w:r>
      <w:r w:rsidR="00321969" w:rsidRPr="00321969">
        <w:rPr>
          <w:rStyle w:val="Znakapoznpodarou"/>
          <w:rFonts w:ascii="Arial" w:hAnsi="Arial"/>
          <w:sz w:val="24"/>
          <w:szCs w:val="24"/>
        </w:rPr>
        <w:footnoteReference w:id="3"/>
      </w:r>
      <w:r w:rsidR="00A84CAD" w:rsidRPr="00321969">
        <w:rPr>
          <w:rFonts w:ascii="Arial" w:hAnsi="Arial" w:cs="Arial"/>
          <w:sz w:val="24"/>
          <w:szCs w:val="24"/>
        </w:rPr>
        <w:t xml:space="preserve"> </w:t>
      </w:r>
    </w:p>
    <w:p w:rsidR="00443D43" w:rsidRPr="00FA4AF6" w:rsidRDefault="00443D43" w:rsidP="00443D43">
      <w:pPr>
        <w:spacing w:after="120" w:line="240" w:lineRule="auto"/>
        <w:jc w:val="both"/>
        <w:rPr>
          <w:rFonts w:ascii="Arial" w:hAnsi="Arial" w:cs="Arial"/>
          <w:sz w:val="24"/>
          <w:szCs w:val="24"/>
        </w:rPr>
      </w:pPr>
      <w:r>
        <w:rPr>
          <w:rFonts w:ascii="Arial" w:hAnsi="Arial" w:cs="Arial"/>
          <w:sz w:val="24"/>
          <w:szCs w:val="24"/>
        </w:rPr>
        <w:t>K hodnocení programu Zdravotnický výzkum</w:t>
      </w:r>
      <w:r w:rsidRPr="00FA4AF6">
        <w:rPr>
          <w:rFonts w:ascii="Arial" w:hAnsi="Arial" w:cs="Arial"/>
          <w:sz w:val="24"/>
          <w:szCs w:val="24"/>
        </w:rPr>
        <w:t xml:space="preserve"> bylo využito </w:t>
      </w:r>
      <w:r w:rsidR="00332290">
        <w:rPr>
          <w:rFonts w:ascii="Arial" w:hAnsi="Arial" w:cs="Arial"/>
          <w:sz w:val="24"/>
          <w:szCs w:val="24"/>
        </w:rPr>
        <w:t xml:space="preserve">dokumentu Zhodnocení Resortního programu výzkumu a vývoje Ministerstva zdravotnictví III. na léta 2010 – 2015 (dále jen „Závěrečné hodnocení </w:t>
      </w:r>
      <w:r w:rsidR="00664688">
        <w:rPr>
          <w:rFonts w:ascii="Arial" w:hAnsi="Arial" w:cs="Arial"/>
          <w:sz w:val="24"/>
          <w:szCs w:val="24"/>
        </w:rPr>
        <w:t>MZ</w:t>
      </w:r>
      <w:r w:rsidR="00332290">
        <w:rPr>
          <w:rFonts w:ascii="Arial" w:hAnsi="Arial" w:cs="Arial"/>
          <w:sz w:val="24"/>
          <w:szCs w:val="24"/>
        </w:rPr>
        <w:t>“), který Radě předložilo MZ ze dne 26.</w:t>
      </w:r>
      <w:r w:rsidR="00466AD1">
        <w:rPr>
          <w:rFonts w:ascii="Arial" w:hAnsi="Arial" w:cs="Arial"/>
          <w:sz w:val="24"/>
          <w:szCs w:val="24"/>
        </w:rPr>
        <w:t> </w:t>
      </w:r>
      <w:r w:rsidR="00332290">
        <w:rPr>
          <w:rFonts w:ascii="Arial" w:hAnsi="Arial" w:cs="Arial"/>
          <w:sz w:val="24"/>
          <w:szCs w:val="24"/>
        </w:rPr>
        <w:t>října 2016</w:t>
      </w:r>
      <w:r w:rsidR="00173392">
        <w:rPr>
          <w:rFonts w:ascii="Arial" w:hAnsi="Arial" w:cs="Arial"/>
          <w:sz w:val="24"/>
          <w:szCs w:val="24"/>
        </w:rPr>
        <w:t xml:space="preserve"> (Příloha č. 5)</w:t>
      </w:r>
      <w:r w:rsidR="00332290">
        <w:rPr>
          <w:rFonts w:ascii="Arial" w:hAnsi="Arial" w:cs="Arial"/>
          <w:sz w:val="24"/>
          <w:szCs w:val="24"/>
        </w:rPr>
        <w:t>.</w:t>
      </w:r>
      <w:r>
        <w:rPr>
          <w:rFonts w:ascii="Arial" w:hAnsi="Arial" w:cs="Arial"/>
          <w:sz w:val="24"/>
          <w:szCs w:val="24"/>
        </w:rPr>
        <w:t xml:space="preserve">  </w:t>
      </w:r>
    </w:p>
    <w:p w:rsidR="00A84CAD" w:rsidRDefault="00321969" w:rsidP="00321969">
      <w:pPr>
        <w:autoSpaceDE w:val="0"/>
        <w:autoSpaceDN w:val="0"/>
        <w:adjustRightInd w:val="0"/>
        <w:spacing w:after="120" w:line="240" w:lineRule="auto"/>
        <w:jc w:val="both"/>
        <w:rPr>
          <w:rFonts w:ascii="Arial" w:hAnsi="Arial" w:cs="Arial"/>
          <w:sz w:val="24"/>
          <w:szCs w:val="24"/>
        </w:rPr>
      </w:pPr>
      <w:r w:rsidRPr="00321969">
        <w:rPr>
          <w:rFonts w:ascii="Arial" w:hAnsi="Arial" w:cs="Arial"/>
          <w:sz w:val="24"/>
          <w:szCs w:val="24"/>
        </w:rPr>
        <w:t xml:space="preserve">V rámci programu byly vyhlášeny celkem čtyři </w:t>
      </w:r>
      <w:r w:rsidR="00DE6133">
        <w:rPr>
          <w:rFonts w:ascii="Arial" w:hAnsi="Arial" w:cs="Arial"/>
          <w:sz w:val="24"/>
          <w:szCs w:val="24"/>
        </w:rPr>
        <w:t xml:space="preserve">jednostupňové </w:t>
      </w:r>
      <w:r w:rsidRPr="00321969">
        <w:rPr>
          <w:rFonts w:ascii="Arial" w:hAnsi="Arial" w:cs="Arial"/>
          <w:sz w:val="24"/>
          <w:szCs w:val="24"/>
        </w:rPr>
        <w:t>veřejné soutěže (v</w:t>
      </w:r>
      <w:r w:rsidR="00DE6133">
        <w:rPr>
          <w:rFonts w:ascii="Arial" w:hAnsi="Arial" w:cs="Arial"/>
          <w:sz w:val="24"/>
          <w:szCs w:val="24"/>
        </w:rPr>
        <w:t> </w:t>
      </w:r>
      <w:r w:rsidRPr="00321969">
        <w:rPr>
          <w:rFonts w:ascii="Arial" w:hAnsi="Arial" w:cs="Arial"/>
          <w:sz w:val="24"/>
          <w:szCs w:val="24"/>
        </w:rPr>
        <w:t>letech 2010, 2011, 2012 a 2013).</w:t>
      </w:r>
      <w:r w:rsidR="00063305">
        <w:rPr>
          <w:rFonts w:ascii="Arial" w:hAnsi="Arial" w:cs="Arial"/>
          <w:sz w:val="24"/>
          <w:szCs w:val="24"/>
        </w:rPr>
        <w:t xml:space="preserve"> Doručeno bylo c</w:t>
      </w:r>
      <w:r w:rsidR="00740920">
        <w:rPr>
          <w:rFonts w:ascii="Arial" w:hAnsi="Arial" w:cs="Arial"/>
          <w:sz w:val="24"/>
          <w:szCs w:val="24"/>
        </w:rPr>
        <w:t>elkem 2327 žádostí o podporu (p</w:t>
      </w:r>
      <w:r>
        <w:rPr>
          <w:rFonts w:ascii="Arial" w:hAnsi="Arial" w:cs="Arial"/>
          <w:sz w:val="24"/>
          <w:szCs w:val="24"/>
        </w:rPr>
        <w:t xml:space="preserve">růměrně bylo 582 </w:t>
      </w:r>
      <w:r w:rsidRPr="00C870AA">
        <w:rPr>
          <w:rFonts w:ascii="Arial" w:hAnsi="Arial" w:cs="Arial"/>
          <w:sz w:val="24"/>
          <w:szCs w:val="24"/>
        </w:rPr>
        <w:t>návrhů</w:t>
      </w:r>
      <w:r>
        <w:rPr>
          <w:rFonts w:ascii="Arial" w:hAnsi="Arial" w:cs="Arial"/>
          <w:sz w:val="24"/>
          <w:szCs w:val="24"/>
        </w:rPr>
        <w:t xml:space="preserve"> projektů</w:t>
      </w:r>
      <w:r w:rsidR="00740920">
        <w:rPr>
          <w:rFonts w:ascii="Arial" w:hAnsi="Arial" w:cs="Arial"/>
          <w:sz w:val="24"/>
          <w:szCs w:val="24"/>
        </w:rPr>
        <w:t xml:space="preserve"> roč</w:t>
      </w:r>
      <w:r w:rsidR="00BD25E1">
        <w:rPr>
          <w:rFonts w:ascii="Arial" w:hAnsi="Arial" w:cs="Arial"/>
          <w:sz w:val="24"/>
          <w:szCs w:val="24"/>
        </w:rPr>
        <w:t>n</w:t>
      </w:r>
      <w:r w:rsidR="00740920">
        <w:rPr>
          <w:rFonts w:ascii="Arial" w:hAnsi="Arial" w:cs="Arial"/>
          <w:sz w:val="24"/>
          <w:szCs w:val="24"/>
        </w:rPr>
        <w:t>ě)</w:t>
      </w:r>
      <w:r>
        <w:rPr>
          <w:rFonts w:ascii="Arial" w:hAnsi="Arial" w:cs="Arial"/>
          <w:sz w:val="24"/>
          <w:szCs w:val="24"/>
        </w:rPr>
        <w:t>, celkově jich bylo doporučeno k realizaci 522.</w:t>
      </w:r>
    </w:p>
    <w:p w:rsidR="00500814" w:rsidRDefault="00500814" w:rsidP="00321969">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Program byl členěn podle tematického zaměření na 12 podprogramů.</w:t>
      </w:r>
    </w:p>
    <w:p w:rsidR="00237D25" w:rsidRDefault="00237D25" w:rsidP="00237D25">
      <w:pPr>
        <w:spacing w:line="240" w:lineRule="auto"/>
        <w:jc w:val="both"/>
        <w:rPr>
          <w:rFonts w:ascii="Arial" w:hAnsi="Arial" w:cs="Arial"/>
          <w:sz w:val="24"/>
          <w:szCs w:val="24"/>
        </w:rPr>
      </w:pPr>
      <w:r>
        <w:rPr>
          <w:rFonts w:ascii="Arial" w:hAnsi="Arial" w:cs="Arial"/>
          <w:sz w:val="24"/>
          <w:szCs w:val="24"/>
        </w:rPr>
        <w:t xml:space="preserve">Nejvíce finančních prostředků bylo čerpáno oborem </w:t>
      </w:r>
      <w:r w:rsidR="003F19AD">
        <w:rPr>
          <w:rFonts w:ascii="Arial" w:hAnsi="Arial" w:cs="Arial"/>
          <w:sz w:val="24"/>
          <w:szCs w:val="24"/>
        </w:rPr>
        <w:t>O</w:t>
      </w:r>
      <w:r>
        <w:rPr>
          <w:rFonts w:ascii="Arial" w:hAnsi="Arial" w:cs="Arial"/>
          <w:sz w:val="24"/>
          <w:szCs w:val="24"/>
        </w:rPr>
        <w:t>nkologie, dále Výživa,</w:t>
      </w:r>
      <w:r w:rsidR="00186067">
        <w:rPr>
          <w:rFonts w:ascii="Arial" w:hAnsi="Arial" w:cs="Arial"/>
          <w:sz w:val="24"/>
          <w:szCs w:val="24"/>
        </w:rPr>
        <w:t xml:space="preserve"> metabolické a endokrinní choroby a vnitřní prostředí</w:t>
      </w:r>
      <w:r>
        <w:rPr>
          <w:rFonts w:ascii="Arial" w:hAnsi="Arial" w:cs="Arial"/>
          <w:sz w:val="24"/>
          <w:szCs w:val="24"/>
        </w:rPr>
        <w:t xml:space="preserve"> a třetí v pořadí byly</w:t>
      </w:r>
      <w:r w:rsidR="00186067">
        <w:rPr>
          <w:rFonts w:ascii="Arial" w:hAnsi="Arial" w:cs="Arial"/>
          <w:sz w:val="24"/>
          <w:szCs w:val="24"/>
        </w:rPr>
        <w:t xml:space="preserve"> Kardiovaskulární a cerebrovaskulární choroby</w:t>
      </w:r>
      <w:r>
        <w:rPr>
          <w:rFonts w:ascii="Arial" w:hAnsi="Arial" w:cs="Arial"/>
          <w:sz w:val="24"/>
          <w:szCs w:val="24"/>
        </w:rPr>
        <w:t xml:space="preserve">. </w:t>
      </w:r>
    </w:p>
    <w:p w:rsidR="0043520D" w:rsidRPr="00285A25" w:rsidRDefault="00285A25" w:rsidP="0043520D">
      <w:pPr>
        <w:pStyle w:val="Nadpis3"/>
        <w:spacing w:before="0" w:after="120" w:line="240" w:lineRule="auto"/>
      </w:pPr>
      <w:r w:rsidRPr="00285A25">
        <w:t>8</w:t>
      </w:r>
      <w:r w:rsidR="0043520D" w:rsidRPr="00285A25">
        <w:t>.1</w:t>
      </w:r>
      <w:r w:rsidR="0043520D" w:rsidRPr="00285A25">
        <w:tab/>
        <w:t>Výsledky programu</w:t>
      </w:r>
    </w:p>
    <w:p w:rsidR="0043520D" w:rsidRDefault="0043520D" w:rsidP="00ED5194">
      <w:pPr>
        <w:pStyle w:val="Nadpis3"/>
        <w:keepNext w:val="0"/>
        <w:keepLines w:val="0"/>
        <w:spacing w:before="0" w:after="120" w:line="240" w:lineRule="auto"/>
        <w:rPr>
          <w:rFonts w:cs="Arial"/>
          <w:b w:val="0"/>
          <w:color w:val="000000"/>
          <w:szCs w:val="24"/>
        </w:rPr>
      </w:pPr>
      <w:r w:rsidRPr="005E52C4">
        <w:rPr>
          <w:rFonts w:cs="Arial"/>
          <w:b w:val="0"/>
          <w:color w:val="000000"/>
          <w:szCs w:val="24"/>
        </w:rPr>
        <w:t xml:space="preserve">Poskytovatel posoudil kvalitu výsledků v rámci závěrečného posuzování projektů. Skutečný stav výsledkových indikátorů je uveden v tabulce č. </w:t>
      </w:r>
      <w:r w:rsidR="00BD25E1">
        <w:rPr>
          <w:rFonts w:cs="Arial"/>
          <w:b w:val="0"/>
          <w:color w:val="000000"/>
          <w:szCs w:val="24"/>
        </w:rPr>
        <w:t>4.</w:t>
      </w:r>
    </w:p>
    <w:p w:rsidR="00BD25E1" w:rsidRPr="00147F17" w:rsidRDefault="00ED5194" w:rsidP="00BD25E1">
      <w:pPr>
        <w:keepNext/>
        <w:spacing w:after="120" w:line="240" w:lineRule="auto"/>
        <w:jc w:val="both"/>
        <w:rPr>
          <w:rFonts w:ascii="Arial" w:hAnsi="Arial" w:cs="Arial"/>
          <w:b/>
          <w:sz w:val="24"/>
          <w:szCs w:val="24"/>
        </w:rPr>
      </w:pPr>
      <w:r>
        <w:rPr>
          <w:rFonts w:ascii="Arial" w:hAnsi="Arial" w:cs="Arial"/>
          <w:b/>
          <w:sz w:val="24"/>
          <w:szCs w:val="24"/>
        </w:rPr>
        <w:t>T</w:t>
      </w:r>
      <w:r w:rsidR="00BD25E1" w:rsidRPr="00147F17">
        <w:rPr>
          <w:rFonts w:ascii="Arial" w:hAnsi="Arial" w:cs="Arial"/>
          <w:b/>
          <w:sz w:val="24"/>
          <w:szCs w:val="24"/>
        </w:rPr>
        <w:t xml:space="preserve">abulka </w:t>
      </w:r>
      <w:r w:rsidR="00BD25E1">
        <w:rPr>
          <w:rFonts w:ascii="Arial" w:hAnsi="Arial" w:cs="Arial"/>
          <w:b/>
          <w:sz w:val="24"/>
          <w:szCs w:val="24"/>
        </w:rPr>
        <w:t>4</w:t>
      </w:r>
      <w:r w:rsidR="00BD25E1" w:rsidRPr="00147F17">
        <w:rPr>
          <w:rFonts w:ascii="Arial" w:hAnsi="Arial" w:cs="Arial"/>
          <w:b/>
          <w:sz w:val="24"/>
          <w:szCs w:val="24"/>
        </w:rPr>
        <w:t xml:space="preserve">: </w:t>
      </w:r>
      <w:r w:rsidR="00BD25E1" w:rsidRPr="00147F17">
        <w:rPr>
          <w:rFonts w:ascii="Arial" w:hAnsi="Arial" w:cs="Arial"/>
          <w:sz w:val="24"/>
          <w:szCs w:val="24"/>
        </w:rPr>
        <w:t>Definované kódy a počty výsledků programu Zdravotnický výzkum</w:t>
      </w:r>
      <w:r w:rsidR="00BD25E1" w:rsidRPr="00147F17">
        <w:rPr>
          <w:rStyle w:val="Znakapoznpodarou"/>
          <w:rFonts w:ascii="Arial" w:hAnsi="Arial"/>
          <w:sz w:val="24"/>
          <w:szCs w:val="24"/>
        </w:rPr>
        <w:footnoteReference w:id="4"/>
      </w:r>
      <w:r w:rsidR="00BD25E1" w:rsidRPr="00147F17">
        <w:rPr>
          <w:rFonts w:ascii="Arial" w:hAnsi="Arial" w:cs="Arial"/>
          <w:b/>
          <w:sz w:val="24"/>
          <w:szCs w:val="24"/>
        </w:rPr>
        <w:t xml:space="preserve"> </w:t>
      </w:r>
    </w:p>
    <w:tbl>
      <w:tblPr>
        <w:tblStyle w:val="Mkatabulky"/>
        <w:tblW w:w="0" w:type="auto"/>
        <w:jc w:val="center"/>
        <w:tblLook w:val="04A0" w:firstRow="1" w:lastRow="0" w:firstColumn="1" w:lastColumn="0" w:noHBand="0" w:noVBand="1"/>
      </w:tblPr>
      <w:tblGrid>
        <w:gridCol w:w="2192"/>
        <w:gridCol w:w="1226"/>
        <w:gridCol w:w="1726"/>
        <w:gridCol w:w="1902"/>
        <w:gridCol w:w="1261"/>
        <w:gridCol w:w="732"/>
        <w:gridCol w:w="249"/>
      </w:tblGrid>
      <w:tr w:rsidR="00C24FFD" w:rsidRPr="00147F17" w:rsidTr="0093717C">
        <w:trPr>
          <w:jc w:val="center"/>
        </w:trPr>
        <w:tc>
          <w:tcPr>
            <w:tcW w:w="2192" w:type="dxa"/>
            <w:tcBorders>
              <w:top w:val="single" w:sz="12" w:space="0" w:color="auto"/>
              <w:left w:val="single" w:sz="12" w:space="0" w:color="auto"/>
              <w:bottom w:val="single" w:sz="12" w:space="0" w:color="auto"/>
              <w:right w:val="single" w:sz="12" w:space="0" w:color="auto"/>
            </w:tcBorders>
            <w:vAlign w:val="center"/>
          </w:tcPr>
          <w:p w:rsidR="00BD25E1" w:rsidRPr="00147F17" w:rsidRDefault="00BD25E1" w:rsidP="00713CD8">
            <w:pPr>
              <w:keepNext/>
              <w:jc w:val="center"/>
              <w:rPr>
                <w:rFonts w:ascii="Arial" w:hAnsi="Arial" w:cs="Arial"/>
                <w:color w:val="000000"/>
                <w:sz w:val="20"/>
                <w:szCs w:val="20"/>
                <w:lang w:eastAsia="cs-CZ"/>
              </w:rPr>
            </w:pPr>
            <w:r w:rsidRPr="00147F17">
              <w:rPr>
                <w:rFonts w:ascii="Arial" w:hAnsi="Arial" w:cs="Arial"/>
                <w:color w:val="000000"/>
                <w:sz w:val="20"/>
                <w:szCs w:val="20"/>
                <w:lang w:eastAsia="cs-CZ"/>
              </w:rPr>
              <w:t>Výsledky publikační</w:t>
            </w:r>
          </w:p>
          <w:p w:rsidR="00BD25E1" w:rsidRPr="00147F17" w:rsidRDefault="003F19AD" w:rsidP="00713CD8">
            <w:pPr>
              <w:keepNext/>
              <w:jc w:val="center"/>
              <w:rPr>
                <w:rFonts w:ascii="Arial" w:hAnsi="Arial" w:cs="Arial"/>
                <w:sz w:val="20"/>
                <w:szCs w:val="20"/>
              </w:rPr>
            </w:pPr>
            <w:r>
              <w:rPr>
                <w:rFonts w:ascii="Arial" w:hAnsi="Arial" w:cs="Arial"/>
                <w:color w:val="000000"/>
                <w:sz w:val="20"/>
                <w:szCs w:val="20"/>
                <w:lang w:eastAsia="cs-CZ"/>
              </w:rPr>
              <w:t>(</w:t>
            </w:r>
            <w:r w:rsidR="00BD25E1" w:rsidRPr="00147F17">
              <w:rPr>
                <w:rFonts w:ascii="Arial" w:hAnsi="Arial" w:cs="Arial"/>
                <w:color w:val="000000"/>
                <w:sz w:val="20"/>
                <w:szCs w:val="20"/>
                <w:lang w:eastAsia="cs-CZ"/>
              </w:rPr>
              <w:t>J, B, C, D)</w:t>
            </w:r>
          </w:p>
        </w:tc>
        <w:tc>
          <w:tcPr>
            <w:tcW w:w="7096" w:type="dxa"/>
            <w:gridSpan w:val="6"/>
            <w:tcBorders>
              <w:top w:val="single" w:sz="12" w:space="0" w:color="auto"/>
              <w:left w:val="single" w:sz="12" w:space="0" w:color="auto"/>
              <w:bottom w:val="single" w:sz="12" w:space="0" w:color="auto"/>
              <w:right w:val="single" w:sz="12" w:space="0" w:color="auto"/>
            </w:tcBorders>
            <w:vAlign w:val="center"/>
          </w:tcPr>
          <w:p w:rsidR="00BD25E1" w:rsidRPr="00147F17" w:rsidRDefault="00BD25E1" w:rsidP="00713CD8">
            <w:pPr>
              <w:keepNext/>
              <w:jc w:val="center"/>
              <w:rPr>
                <w:rFonts w:ascii="Arial" w:hAnsi="Arial" w:cs="Arial"/>
                <w:sz w:val="20"/>
                <w:szCs w:val="20"/>
              </w:rPr>
            </w:pPr>
            <w:r w:rsidRPr="00147F17">
              <w:rPr>
                <w:rFonts w:ascii="Arial" w:hAnsi="Arial" w:cs="Arial"/>
                <w:color w:val="000000"/>
                <w:sz w:val="20"/>
                <w:szCs w:val="20"/>
                <w:lang w:eastAsia="cs-CZ"/>
              </w:rPr>
              <w:t>Výsledky nepublikační</w:t>
            </w:r>
          </w:p>
        </w:tc>
      </w:tr>
      <w:tr w:rsidR="00C24FFD" w:rsidRPr="00147F17" w:rsidTr="0093717C">
        <w:trPr>
          <w:trHeight w:val="536"/>
          <w:jc w:val="center"/>
        </w:trPr>
        <w:tc>
          <w:tcPr>
            <w:tcW w:w="2192" w:type="dxa"/>
            <w:tcBorders>
              <w:top w:val="nil"/>
              <w:left w:val="single" w:sz="12" w:space="0" w:color="auto"/>
              <w:bottom w:val="nil"/>
              <w:right w:val="single" w:sz="12" w:space="0" w:color="auto"/>
            </w:tcBorders>
            <w:vAlign w:val="center"/>
          </w:tcPr>
          <w:p w:rsidR="00C24FFD" w:rsidRPr="00713CD8" w:rsidRDefault="00C24FFD" w:rsidP="003F19AD">
            <w:pPr>
              <w:jc w:val="center"/>
              <w:rPr>
                <w:rFonts w:ascii="Arial" w:hAnsi="Arial" w:cs="Arial"/>
                <w:i/>
                <w:sz w:val="20"/>
                <w:szCs w:val="20"/>
              </w:rPr>
            </w:pPr>
          </w:p>
        </w:tc>
        <w:tc>
          <w:tcPr>
            <w:tcW w:w="4854" w:type="dxa"/>
            <w:gridSpan w:val="3"/>
            <w:tcBorders>
              <w:top w:val="nil"/>
              <w:left w:val="single" w:sz="12" w:space="0" w:color="auto"/>
              <w:right w:val="single" w:sz="12" w:space="0" w:color="auto"/>
            </w:tcBorders>
            <w:vAlign w:val="center"/>
          </w:tcPr>
          <w:p w:rsidR="00C24FFD" w:rsidRPr="00147F17" w:rsidRDefault="00C24FFD" w:rsidP="003F19AD">
            <w:pPr>
              <w:jc w:val="center"/>
              <w:rPr>
                <w:rFonts w:ascii="Arial" w:hAnsi="Arial" w:cs="Arial"/>
                <w:sz w:val="20"/>
                <w:szCs w:val="20"/>
              </w:rPr>
            </w:pPr>
            <w:r w:rsidRPr="00147F17">
              <w:rPr>
                <w:rFonts w:ascii="Arial" w:hAnsi="Arial" w:cs="Arial"/>
                <w:color w:val="000000"/>
                <w:sz w:val="20"/>
                <w:szCs w:val="20"/>
                <w:lang w:eastAsia="cs-CZ"/>
              </w:rPr>
              <w:t>aplikované</w:t>
            </w:r>
          </w:p>
        </w:tc>
        <w:tc>
          <w:tcPr>
            <w:tcW w:w="1261" w:type="dxa"/>
            <w:tcBorders>
              <w:top w:val="nil"/>
              <w:left w:val="single" w:sz="12" w:space="0" w:color="auto"/>
              <w:right w:val="nil"/>
            </w:tcBorders>
            <w:vAlign w:val="center"/>
          </w:tcPr>
          <w:p w:rsidR="00C24FFD" w:rsidRPr="00147F17" w:rsidRDefault="0093717C" w:rsidP="0093717C">
            <w:pPr>
              <w:rPr>
                <w:rFonts w:ascii="Arial" w:hAnsi="Arial" w:cs="Arial"/>
                <w:sz w:val="20"/>
                <w:szCs w:val="20"/>
              </w:rPr>
            </w:pPr>
            <w:r>
              <w:rPr>
                <w:rFonts w:ascii="Arial" w:hAnsi="Arial" w:cs="Arial"/>
                <w:color w:val="000000"/>
                <w:sz w:val="20"/>
                <w:szCs w:val="20"/>
                <w:lang w:eastAsia="cs-CZ"/>
              </w:rPr>
              <w:t xml:space="preserve">        </w:t>
            </w:r>
            <w:r w:rsidR="00C24FFD" w:rsidRPr="00147F17">
              <w:rPr>
                <w:rFonts w:ascii="Arial" w:hAnsi="Arial" w:cs="Arial"/>
                <w:color w:val="000000"/>
                <w:sz w:val="20"/>
                <w:szCs w:val="20"/>
                <w:lang w:eastAsia="cs-CZ"/>
              </w:rPr>
              <w:t>ostatní</w:t>
            </w:r>
          </w:p>
        </w:tc>
        <w:tc>
          <w:tcPr>
            <w:tcW w:w="981" w:type="dxa"/>
            <w:gridSpan w:val="2"/>
            <w:tcBorders>
              <w:top w:val="nil"/>
              <w:left w:val="nil"/>
              <w:right w:val="single" w:sz="12" w:space="0" w:color="auto"/>
            </w:tcBorders>
            <w:vAlign w:val="center"/>
          </w:tcPr>
          <w:p w:rsidR="00C24FFD" w:rsidRPr="00147F17" w:rsidRDefault="00C24FFD" w:rsidP="0093717C">
            <w:pPr>
              <w:rPr>
                <w:rFonts w:ascii="Arial" w:hAnsi="Arial" w:cs="Arial"/>
                <w:sz w:val="20"/>
                <w:szCs w:val="20"/>
              </w:rPr>
            </w:pPr>
          </w:p>
        </w:tc>
      </w:tr>
      <w:tr w:rsidR="00C24FFD" w:rsidRPr="00147F17" w:rsidTr="0093717C">
        <w:trPr>
          <w:trHeight w:val="387"/>
          <w:jc w:val="center"/>
        </w:trPr>
        <w:tc>
          <w:tcPr>
            <w:tcW w:w="2192" w:type="dxa"/>
            <w:vMerge w:val="restart"/>
            <w:tcBorders>
              <w:top w:val="nil"/>
              <w:left w:val="single" w:sz="12" w:space="0" w:color="auto"/>
              <w:bottom w:val="single" w:sz="12" w:space="0" w:color="auto"/>
              <w:right w:val="single" w:sz="12" w:space="0" w:color="auto"/>
            </w:tcBorders>
            <w:vAlign w:val="center"/>
          </w:tcPr>
          <w:p w:rsidR="009F08D6" w:rsidRDefault="009F08D6">
            <w:pPr>
              <w:jc w:val="center"/>
              <w:rPr>
                <w:rFonts w:ascii="Arial" w:hAnsi="Arial" w:cs="Arial"/>
                <w:color w:val="000000"/>
                <w:sz w:val="20"/>
                <w:szCs w:val="20"/>
                <w:lang w:eastAsia="cs-CZ"/>
              </w:rPr>
            </w:pPr>
            <w:r w:rsidRPr="00147F17">
              <w:rPr>
                <w:rFonts w:ascii="Arial" w:hAnsi="Arial" w:cs="Arial"/>
                <w:color w:val="000000"/>
                <w:sz w:val="20"/>
                <w:szCs w:val="20"/>
                <w:lang w:eastAsia="cs-CZ"/>
              </w:rPr>
              <w:t xml:space="preserve">3 </w:t>
            </w:r>
            <w:r w:rsidR="000E3EE0">
              <w:rPr>
                <w:rFonts w:ascii="Arial" w:hAnsi="Arial" w:cs="Arial"/>
                <w:color w:val="000000"/>
                <w:sz w:val="20"/>
                <w:szCs w:val="20"/>
                <w:lang w:eastAsia="cs-CZ"/>
              </w:rPr>
              <w:t>1</w:t>
            </w:r>
            <w:r w:rsidR="003F19AD">
              <w:rPr>
                <w:rFonts w:ascii="Arial" w:hAnsi="Arial" w:cs="Arial"/>
                <w:color w:val="000000"/>
                <w:sz w:val="20"/>
                <w:szCs w:val="20"/>
                <w:lang w:eastAsia="cs-CZ"/>
              </w:rPr>
              <w:t>3</w:t>
            </w:r>
            <w:r w:rsidR="000E3EE0">
              <w:rPr>
                <w:rFonts w:ascii="Arial" w:hAnsi="Arial" w:cs="Arial"/>
                <w:color w:val="000000"/>
                <w:sz w:val="20"/>
                <w:szCs w:val="20"/>
                <w:lang w:eastAsia="cs-CZ"/>
              </w:rPr>
              <w:t>8</w:t>
            </w:r>
          </w:p>
          <w:p w:rsidR="00C24FFD" w:rsidRPr="00147F17" w:rsidRDefault="009F08D6" w:rsidP="00ED5194">
            <w:pPr>
              <w:keepNext/>
              <w:jc w:val="center"/>
              <w:rPr>
                <w:rFonts w:ascii="Arial" w:hAnsi="Arial" w:cs="Arial"/>
                <w:sz w:val="20"/>
                <w:szCs w:val="20"/>
              </w:rPr>
            </w:pPr>
            <w:r>
              <w:rPr>
                <w:rFonts w:ascii="Arial" w:hAnsi="Arial" w:cs="Arial"/>
                <w:i/>
                <w:color w:val="000000"/>
                <w:sz w:val="20"/>
                <w:szCs w:val="20"/>
                <w:lang w:eastAsia="cs-CZ"/>
              </w:rPr>
              <w:t>(</w:t>
            </w:r>
            <w:r w:rsidRPr="00E07E43">
              <w:rPr>
                <w:rFonts w:ascii="Arial" w:hAnsi="Arial" w:cs="Arial"/>
                <w:i/>
                <w:color w:val="000000"/>
                <w:sz w:val="20"/>
                <w:szCs w:val="20"/>
                <w:lang w:eastAsia="cs-CZ"/>
              </w:rPr>
              <w:t>3</w:t>
            </w:r>
            <w:r>
              <w:rPr>
                <w:rFonts w:ascii="Arial" w:hAnsi="Arial" w:cs="Arial"/>
                <w:i/>
                <w:color w:val="000000"/>
                <w:sz w:val="20"/>
                <w:szCs w:val="20"/>
                <w:lang w:eastAsia="cs-CZ"/>
              </w:rPr>
              <w:t> </w:t>
            </w:r>
            <w:r w:rsidRPr="00E07E43">
              <w:rPr>
                <w:rFonts w:ascii="Arial" w:hAnsi="Arial" w:cs="Arial"/>
                <w:i/>
                <w:color w:val="000000"/>
                <w:sz w:val="20"/>
                <w:szCs w:val="20"/>
                <w:lang w:eastAsia="cs-CZ"/>
              </w:rPr>
              <w:t>3</w:t>
            </w:r>
            <w:r w:rsidR="003F19AD">
              <w:rPr>
                <w:rFonts w:ascii="Arial" w:hAnsi="Arial" w:cs="Arial"/>
                <w:i/>
                <w:color w:val="000000"/>
                <w:sz w:val="20"/>
                <w:szCs w:val="20"/>
                <w:lang w:eastAsia="cs-CZ"/>
              </w:rPr>
              <w:t>3</w:t>
            </w:r>
            <w:r w:rsidRPr="00E07E43">
              <w:rPr>
                <w:rFonts w:ascii="Arial" w:hAnsi="Arial" w:cs="Arial"/>
                <w:i/>
                <w:color w:val="000000"/>
                <w:sz w:val="20"/>
                <w:szCs w:val="20"/>
                <w:lang w:eastAsia="cs-CZ"/>
              </w:rPr>
              <w:t>1</w:t>
            </w:r>
            <w:r>
              <w:rPr>
                <w:rFonts w:ascii="Arial" w:hAnsi="Arial" w:cs="Arial"/>
                <w:i/>
                <w:color w:val="000000"/>
                <w:sz w:val="20"/>
                <w:szCs w:val="20"/>
                <w:lang w:eastAsia="cs-CZ"/>
              </w:rPr>
              <w:t>)</w:t>
            </w:r>
          </w:p>
        </w:tc>
        <w:tc>
          <w:tcPr>
            <w:tcW w:w="1226" w:type="dxa"/>
            <w:tcBorders>
              <w:top w:val="nil"/>
              <w:left w:val="single" w:sz="12" w:space="0" w:color="auto"/>
            </w:tcBorders>
            <w:vAlign w:val="center"/>
          </w:tcPr>
          <w:p w:rsidR="00C24FFD" w:rsidRPr="00147F17" w:rsidRDefault="00C24FFD" w:rsidP="003F19AD">
            <w:pPr>
              <w:jc w:val="center"/>
              <w:rPr>
                <w:rFonts w:ascii="Arial" w:hAnsi="Arial" w:cs="Arial"/>
                <w:color w:val="000000"/>
                <w:sz w:val="16"/>
                <w:szCs w:val="16"/>
                <w:lang w:eastAsia="cs-CZ"/>
              </w:rPr>
            </w:pPr>
            <w:r w:rsidRPr="00147F17">
              <w:rPr>
                <w:rFonts w:ascii="Arial" w:hAnsi="Arial" w:cs="Arial"/>
                <w:color w:val="000000"/>
                <w:sz w:val="16"/>
                <w:szCs w:val="16"/>
                <w:lang w:eastAsia="cs-CZ"/>
              </w:rPr>
              <w:t>patenty</w:t>
            </w:r>
          </w:p>
          <w:p w:rsidR="00C24FFD" w:rsidRPr="00147F17" w:rsidRDefault="00C24FFD" w:rsidP="003F19AD">
            <w:pPr>
              <w:jc w:val="center"/>
              <w:rPr>
                <w:rFonts w:ascii="Arial" w:hAnsi="Arial" w:cs="Arial"/>
                <w:color w:val="000000"/>
                <w:sz w:val="16"/>
                <w:szCs w:val="16"/>
                <w:lang w:eastAsia="cs-CZ"/>
              </w:rPr>
            </w:pPr>
            <w:r w:rsidRPr="00147F17">
              <w:rPr>
                <w:rFonts w:ascii="Arial" w:hAnsi="Arial" w:cs="Arial"/>
                <w:color w:val="000000"/>
                <w:sz w:val="16"/>
                <w:szCs w:val="16"/>
                <w:lang w:eastAsia="cs-CZ"/>
              </w:rPr>
              <w:t>(P)</w:t>
            </w:r>
          </w:p>
        </w:tc>
        <w:tc>
          <w:tcPr>
            <w:tcW w:w="1726" w:type="dxa"/>
            <w:tcBorders>
              <w:top w:val="nil"/>
            </w:tcBorders>
            <w:vAlign w:val="center"/>
          </w:tcPr>
          <w:p w:rsidR="00C24FFD" w:rsidRPr="00147F17" w:rsidRDefault="00C24FFD" w:rsidP="003F19AD">
            <w:pPr>
              <w:jc w:val="center"/>
              <w:rPr>
                <w:rFonts w:ascii="Arial" w:hAnsi="Arial" w:cs="Arial"/>
                <w:color w:val="000000"/>
                <w:sz w:val="16"/>
                <w:szCs w:val="16"/>
                <w:lang w:eastAsia="cs-CZ"/>
              </w:rPr>
            </w:pPr>
            <w:r w:rsidRPr="00147F17">
              <w:rPr>
                <w:rFonts w:ascii="Arial" w:hAnsi="Arial" w:cs="Arial"/>
                <w:color w:val="000000"/>
                <w:sz w:val="16"/>
                <w:szCs w:val="16"/>
                <w:lang w:eastAsia="cs-CZ"/>
              </w:rPr>
              <w:t>užitné či průmyslové vzory (F)</w:t>
            </w:r>
          </w:p>
        </w:tc>
        <w:tc>
          <w:tcPr>
            <w:tcW w:w="1902" w:type="dxa"/>
            <w:tcBorders>
              <w:top w:val="nil"/>
              <w:right w:val="single" w:sz="12" w:space="0" w:color="auto"/>
            </w:tcBorders>
            <w:vAlign w:val="center"/>
          </w:tcPr>
          <w:p w:rsidR="00C24FFD" w:rsidRPr="00147F17" w:rsidRDefault="00C24FFD" w:rsidP="003F19AD">
            <w:pPr>
              <w:jc w:val="center"/>
              <w:rPr>
                <w:rFonts w:ascii="Arial" w:hAnsi="Arial" w:cs="Arial"/>
                <w:color w:val="000000"/>
                <w:sz w:val="16"/>
                <w:szCs w:val="16"/>
                <w:lang w:eastAsia="cs-CZ"/>
              </w:rPr>
            </w:pPr>
            <w:r w:rsidRPr="00147F17">
              <w:rPr>
                <w:rFonts w:ascii="Arial" w:hAnsi="Arial" w:cs="Arial"/>
                <w:color w:val="000000"/>
                <w:sz w:val="16"/>
                <w:szCs w:val="16"/>
                <w:lang w:eastAsia="cs-CZ"/>
              </w:rPr>
              <w:t xml:space="preserve">další aplikované výsledky </w:t>
            </w:r>
            <w:r w:rsidRPr="00147F17">
              <w:rPr>
                <w:rFonts w:ascii="Arial" w:hAnsi="Arial" w:cs="Arial"/>
                <w:color w:val="000000"/>
                <w:sz w:val="16"/>
                <w:szCs w:val="16"/>
                <w:lang w:eastAsia="cs-CZ"/>
              </w:rPr>
              <w:br/>
              <w:t>(G, N, R)</w:t>
            </w:r>
          </w:p>
          <w:p w:rsidR="00C24FFD" w:rsidRPr="00147F17" w:rsidRDefault="00C24FFD" w:rsidP="003F19AD">
            <w:pPr>
              <w:jc w:val="center"/>
              <w:rPr>
                <w:rFonts w:ascii="Arial" w:hAnsi="Arial" w:cs="Arial"/>
                <w:color w:val="000000"/>
                <w:sz w:val="16"/>
                <w:szCs w:val="16"/>
                <w:lang w:eastAsia="cs-CZ"/>
              </w:rPr>
            </w:pPr>
          </w:p>
        </w:tc>
        <w:tc>
          <w:tcPr>
            <w:tcW w:w="1261" w:type="dxa"/>
            <w:tcBorders>
              <w:top w:val="nil"/>
              <w:left w:val="single" w:sz="12" w:space="0" w:color="auto"/>
              <w:right w:val="single" w:sz="4" w:space="0" w:color="auto"/>
            </w:tcBorders>
            <w:vAlign w:val="center"/>
          </w:tcPr>
          <w:p w:rsidR="00C24FFD" w:rsidRPr="00713CD8" w:rsidRDefault="00292E58" w:rsidP="003F19AD">
            <w:pPr>
              <w:jc w:val="center"/>
              <w:rPr>
                <w:rFonts w:ascii="Arial" w:hAnsi="Arial" w:cs="Arial"/>
                <w:color w:val="000000"/>
                <w:sz w:val="16"/>
                <w:szCs w:val="16"/>
                <w:lang w:eastAsia="cs-CZ"/>
              </w:rPr>
            </w:pPr>
            <w:r>
              <w:rPr>
                <w:rFonts w:ascii="Arial" w:hAnsi="Arial" w:cs="Arial"/>
                <w:color w:val="000000"/>
                <w:sz w:val="16"/>
                <w:szCs w:val="16"/>
                <w:lang w:eastAsia="cs-CZ"/>
              </w:rPr>
              <w:t>k</w:t>
            </w:r>
            <w:r w:rsidR="00C24FFD" w:rsidRPr="00713CD8">
              <w:rPr>
                <w:rFonts w:ascii="Arial" w:hAnsi="Arial" w:cs="Arial"/>
                <w:color w:val="000000"/>
                <w:sz w:val="16"/>
                <w:szCs w:val="16"/>
                <w:lang w:eastAsia="cs-CZ"/>
              </w:rPr>
              <w:t xml:space="preserve">onference, </w:t>
            </w:r>
            <w:r w:rsidR="00C24FFD" w:rsidRPr="00C24FFD">
              <w:rPr>
                <w:rFonts w:ascii="Arial" w:hAnsi="Arial" w:cs="Arial"/>
                <w:color w:val="000000"/>
                <w:sz w:val="16"/>
                <w:szCs w:val="16"/>
                <w:lang w:eastAsia="cs-CZ"/>
              </w:rPr>
              <w:t>workshop</w:t>
            </w:r>
            <w:r w:rsidR="003F19AD">
              <w:rPr>
                <w:rFonts w:ascii="Arial" w:hAnsi="Arial" w:cs="Arial"/>
                <w:color w:val="000000"/>
                <w:sz w:val="16"/>
                <w:szCs w:val="16"/>
                <w:lang w:eastAsia="cs-CZ"/>
              </w:rPr>
              <w:t>, audiovizuál. tvorba</w:t>
            </w:r>
          </w:p>
          <w:p w:rsidR="00C24FFD" w:rsidRPr="00713CD8" w:rsidRDefault="00C24FFD">
            <w:pPr>
              <w:jc w:val="center"/>
              <w:rPr>
                <w:rFonts w:ascii="Arial" w:hAnsi="Arial" w:cs="Arial"/>
                <w:color w:val="000000"/>
                <w:sz w:val="16"/>
                <w:szCs w:val="16"/>
                <w:lang w:eastAsia="cs-CZ"/>
              </w:rPr>
            </w:pPr>
            <w:r w:rsidRPr="00713CD8">
              <w:rPr>
                <w:rFonts w:ascii="Arial" w:hAnsi="Arial" w:cs="Arial"/>
                <w:color w:val="000000"/>
                <w:sz w:val="16"/>
                <w:szCs w:val="16"/>
                <w:lang w:eastAsia="cs-CZ"/>
              </w:rPr>
              <w:t>(M, W</w:t>
            </w:r>
            <w:r w:rsidR="003F19AD">
              <w:rPr>
                <w:rFonts w:ascii="Arial" w:hAnsi="Arial" w:cs="Arial"/>
                <w:color w:val="000000"/>
                <w:sz w:val="16"/>
                <w:szCs w:val="16"/>
                <w:lang w:eastAsia="cs-CZ"/>
              </w:rPr>
              <w:t xml:space="preserve"> ,A</w:t>
            </w:r>
            <w:r w:rsidRPr="00713CD8">
              <w:rPr>
                <w:rFonts w:ascii="Arial" w:hAnsi="Arial" w:cs="Arial"/>
                <w:color w:val="000000"/>
                <w:sz w:val="16"/>
                <w:szCs w:val="16"/>
                <w:lang w:eastAsia="cs-CZ"/>
              </w:rPr>
              <w:t>)</w:t>
            </w:r>
          </w:p>
        </w:tc>
        <w:tc>
          <w:tcPr>
            <w:tcW w:w="732" w:type="dxa"/>
            <w:tcBorders>
              <w:top w:val="nil"/>
              <w:left w:val="single" w:sz="4" w:space="0" w:color="auto"/>
              <w:right w:val="nil"/>
            </w:tcBorders>
            <w:vAlign w:val="center"/>
          </w:tcPr>
          <w:p w:rsidR="00C24FFD" w:rsidRPr="00713CD8" w:rsidRDefault="00292E58" w:rsidP="00245B40">
            <w:pPr>
              <w:jc w:val="center"/>
              <w:rPr>
                <w:rFonts w:ascii="Arial" w:hAnsi="Arial" w:cs="Arial"/>
                <w:i/>
                <w:color w:val="000000"/>
                <w:sz w:val="16"/>
                <w:szCs w:val="16"/>
                <w:lang w:eastAsia="cs-CZ"/>
              </w:rPr>
            </w:pPr>
            <w:r>
              <w:rPr>
                <w:rFonts w:ascii="Arial" w:hAnsi="Arial" w:cs="Arial"/>
                <w:i/>
                <w:color w:val="000000"/>
                <w:sz w:val="16"/>
                <w:szCs w:val="16"/>
                <w:lang w:eastAsia="cs-CZ"/>
              </w:rPr>
              <w:t>o</w:t>
            </w:r>
            <w:r w:rsidR="00C24FFD" w:rsidRPr="00713CD8">
              <w:rPr>
                <w:rFonts w:ascii="Arial" w:hAnsi="Arial" w:cs="Arial"/>
                <w:i/>
                <w:color w:val="000000"/>
                <w:sz w:val="16"/>
                <w:szCs w:val="16"/>
                <w:lang w:eastAsia="cs-CZ"/>
              </w:rPr>
              <w:t>statní</w:t>
            </w:r>
          </w:p>
          <w:p w:rsidR="00C24FFD" w:rsidRPr="00245B40" w:rsidRDefault="00C24FFD">
            <w:pPr>
              <w:jc w:val="center"/>
              <w:rPr>
                <w:rFonts w:ascii="Arial" w:hAnsi="Arial" w:cs="Arial"/>
                <w:i/>
                <w:color w:val="000000"/>
                <w:sz w:val="24"/>
                <w:szCs w:val="24"/>
                <w:lang w:eastAsia="cs-CZ"/>
              </w:rPr>
            </w:pPr>
            <w:r w:rsidRPr="00713CD8">
              <w:rPr>
                <w:rFonts w:ascii="Arial" w:hAnsi="Arial" w:cs="Arial"/>
                <w:i/>
                <w:color w:val="000000"/>
                <w:sz w:val="16"/>
                <w:szCs w:val="16"/>
                <w:lang w:eastAsia="cs-CZ"/>
              </w:rPr>
              <w:t>(</w:t>
            </w:r>
            <w:r>
              <w:rPr>
                <w:rFonts w:ascii="Arial" w:hAnsi="Arial" w:cs="Arial"/>
                <w:i/>
                <w:color w:val="000000"/>
                <w:sz w:val="16"/>
                <w:szCs w:val="16"/>
                <w:lang w:eastAsia="cs-CZ"/>
              </w:rPr>
              <w:t>O</w:t>
            </w:r>
            <w:r w:rsidRPr="00713CD8">
              <w:rPr>
                <w:rFonts w:ascii="Arial" w:hAnsi="Arial" w:cs="Arial"/>
                <w:i/>
                <w:color w:val="000000"/>
                <w:sz w:val="16"/>
                <w:szCs w:val="16"/>
                <w:lang w:eastAsia="cs-CZ"/>
              </w:rPr>
              <w:t>)</w:t>
            </w:r>
          </w:p>
        </w:tc>
        <w:tc>
          <w:tcPr>
            <w:tcW w:w="249" w:type="dxa"/>
            <w:tcBorders>
              <w:top w:val="nil"/>
              <w:left w:val="nil"/>
              <w:right w:val="single" w:sz="12" w:space="0" w:color="auto"/>
            </w:tcBorders>
            <w:vAlign w:val="center"/>
          </w:tcPr>
          <w:p w:rsidR="00C24FFD" w:rsidRPr="00713CD8" w:rsidRDefault="00C24FFD">
            <w:pPr>
              <w:jc w:val="center"/>
              <w:rPr>
                <w:rFonts w:ascii="Arial" w:hAnsi="Arial" w:cs="Arial"/>
                <w:i/>
                <w:color w:val="000000"/>
                <w:sz w:val="24"/>
                <w:szCs w:val="24"/>
                <w:lang w:eastAsia="cs-CZ"/>
              </w:rPr>
            </w:pPr>
          </w:p>
        </w:tc>
      </w:tr>
      <w:tr w:rsidR="00C24FFD" w:rsidRPr="00147F17" w:rsidTr="0093717C">
        <w:trPr>
          <w:jc w:val="center"/>
        </w:trPr>
        <w:tc>
          <w:tcPr>
            <w:tcW w:w="2192" w:type="dxa"/>
            <w:vMerge/>
            <w:tcBorders>
              <w:top w:val="single" w:sz="12" w:space="0" w:color="auto"/>
              <w:left w:val="single" w:sz="12" w:space="0" w:color="auto"/>
              <w:bottom w:val="single" w:sz="12" w:space="0" w:color="auto"/>
              <w:right w:val="single" w:sz="12" w:space="0" w:color="auto"/>
            </w:tcBorders>
            <w:vAlign w:val="center"/>
          </w:tcPr>
          <w:p w:rsidR="00C24FFD" w:rsidRPr="00147F17" w:rsidRDefault="00C24FFD" w:rsidP="003F19AD">
            <w:pPr>
              <w:jc w:val="both"/>
              <w:rPr>
                <w:rFonts w:ascii="Arial" w:hAnsi="Arial" w:cs="Arial"/>
                <w:sz w:val="20"/>
                <w:szCs w:val="20"/>
              </w:rPr>
            </w:pPr>
          </w:p>
        </w:tc>
        <w:tc>
          <w:tcPr>
            <w:tcW w:w="1226" w:type="dxa"/>
            <w:tcBorders>
              <w:left w:val="single" w:sz="12" w:space="0" w:color="auto"/>
              <w:bottom w:val="single" w:sz="12" w:space="0" w:color="auto"/>
            </w:tcBorders>
            <w:vAlign w:val="center"/>
          </w:tcPr>
          <w:p w:rsidR="00C24FFD" w:rsidRDefault="00C24FFD" w:rsidP="003F19AD">
            <w:pPr>
              <w:jc w:val="center"/>
              <w:rPr>
                <w:rFonts w:ascii="Arial" w:hAnsi="Arial" w:cs="Arial"/>
                <w:sz w:val="20"/>
                <w:szCs w:val="20"/>
              </w:rPr>
            </w:pPr>
            <w:r w:rsidRPr="00147F17">
              <w:rPr>
                <w:rFonts w:ascii="Arial" w:hAnsi="Arial" w:cs="Arial"/>
                <w:sz w:val="20"/>
                <w:szCs w:val="20"/>
              </w:rPr>
              <w:t>4</w:t>
            </w:r>
          </w:p>
          <w:p w:rsidR="00C24FFD" w:rsidRPr="00713CD8" w:rsidRDefault="00C24FFD" w:rsidP="003F19AD">
            <w:pPr>
              <w:jc w:val="center"/>
              <w:rPr>
                <w:rFonts w:ascii="Arial" w:hAnsi="Arial" w:cs="Arial"/>
                <w:i/>
                <w:sz w:val="20"/>
                <w:szCs w:val="20"/>
              </w:rPr>
            </w:pPr>
            <w:r w:rsidRPr="00713CD8">
              <w:rPr>
                <w:rFonts w:ascii="Arial" w:hAnsi="Arial" w:cs="Arial"/>
                <w:i/>
                <w:sz w:val="20"/>
                <w:szCs w:val="20"/>
              </w:rPr>
              <w:t>(4)</w:t>
            </w:r>
          </w:p>
        </w:tc>
        <w:tc>
          <w:tcPr>
            <w:tcW w:w="1726" w:type="dxa"/>
            <w:tcBorders>
              <w:bottom w:val="single" w:sz="12" w:space="0" w:color="auto"/>
            </w:tcBorders>
            <w:vAlign w:val="center"/>
          </w:tcPr>
          <w:p w:rsidR="00C24FFD" w:rsidRDefault="00C24FFD" w:rsidP="003F19AD">
            <w:pPr>
              <w:jc w:val="center"/>
              <w:rPr>
                <w:rFonts w:ascii="Arial" w:hAnsi="Arial" w:cs="Arial"/>
                <w:color w:val="000000"/>
                <w:sz w:val="20"/>
                <w:szCs w:val="20"/>
                <w:lang w:eastAsia="cs-CZ"/>
              </w:rPr>
            </w:pPr>
            <w:r w:rsidRPr="00147F17">
              <w:rPr>
                <w:rFonts w:ascii="Arial" w:hAnsi="Arial" w:cs="Arial"/>
                <w:color w:val="000000"/>
                <w:sz w:val="20"/>
                <w:szCs w:val="20"/>
                <w:lang w:eastAsia="cs-CZ"/>
              </w:rPr>
              <w:t>7</w:t>
            </w:r>
          </w:p>
          <w:p w:rsidR="00C24FFD" w:rsidRPr="00147F17" w:rsidRDefault="00C24FFD" w:rsidP="003F19AD">
            <w:pPr>
              <w:jc w:val="center"/>
              <w:rPr>
                <w:rFonts w:ascii="Arial" w:hAnsi="Arial" w:cs="Arial"/>
                <w:sz w:val="20"/>
                <w:szCs w:val="20"/>
              </w:rPr>
            </w:pPr>
            <w:r>
              <w:rPr>
                <w:rFonts w:ascii="Arial" w:hAnsi="Arial" w:cs="Arial"/>
                <w:sz w:val="20"/>
                <w:szCs w:val="20"/>
              </w:rPr>
              <w:t>(7)</w:t>
            </w:r>
          </w:p>
        </w:tc>
        <w:tc>
          <w:tcPr>
            <w:tcW w:w="1902" w:type="dxa"/>
            <w:tcBorders>
              <w:bottom w:val="single" w:sz="12" w:space="0" w:color="auto"/>
              <w:right w:val="single" w:sz="12" w:space="0" w:color="auto"/>
            </w:tcBorders>
            <w:vAlign w:val="center"/>
          </w:tcPr>
          <w:p w:rsidR="00C24FFD" w:rsidRDefault="00C24FFD" w:rsidP="003F19AD">
            <w:pPr>
              <w:jc w:val="center"/>
              <w:rPr>
                <w:rFonts w:ascii="Arial" w:hAnsi="Arial" w:cs="Arial"/>
                <w:sz w:val="20"/>
                <w:szCs w:val="20"/>
              </w:rPr>
            </w:pPr>
            <w:r>
              <w:rPr>
                <w:rFonts w:ascii="Arial" w:hAnsi="Arial" w:cs="Arial"/>
                <w:sz w:val="20"/>
                <w:szCs w:val="20"/>
              </w:rPr>
              <w:t>28</w:t>
            </w:r>
          </w:p>
          <w:p w:rsidR="00C24FFD" w:rsidRPr="00713CD8" w:rsidRDefault="00C24FFD" w:rsidP="003F19AD">
            <w:pPr>
              <w:jc w:val="center"/>
              <w:rPr>
                <w:rFonts w:ascii="Arial" w:hAnsi="Arial" w:cs="Arial"/>
                <w:i/>
                <w:sz w:val="20"/>
                <w:szCs w:val="20"/>
              </w:rPr>
            </w:pPr>
            <w:r>
              <w:rPr>
                <w:rFonts w:ascii="Arial" w:hAnsi="Arial" w:cs="Arial"/>
                <w:i/>
                <w:sz w:val="20"/>
                <w:szCs w:val="20"/>
              </w:rPr>
              <w:t>(</w:t>
            </w:r>
            <w:r w:rsidRPr="00713CD8">
              <w:rPr>
                <w:rFonts w:ascii="Arial" w:hAnsi="Arial" w:cs="Arial"/>
                <w:i/>
                <w:sz w:val="20"/>
                <w:szCs w:val="20"/>
              </w:rPr>
              <w:t>29</w:t>
            </w:r>
            <w:r>
              <w:rPr>
                <w:rFonts w:ascii="Arial" w:hAnsi="Arial" w:cs="Arial"/>
                <w:i/>
                <w:sz w:val="20"/>
                <w:szCs w:val="20"/>
              </w:rPr>
              <w:t>)</w:t>
            </w:r>
          </w:p>
        </w:tc>
        <w:tc>
          <w:tcPr>
            <w:tcW w:w="1261" w:type="dxa"/>
            <w:tcBorders>
              <w:left w:val="single" w:sz="12" w:space="0" w:color="auto"/>
              <w:bottom w:val="single" w:sz="12" w:space="0" w:color="auto"/>
              <w:right w:val="single" w:sz="4" w:space="0" w:color="auto"/>
            </w:tcBorders>
            <w:vAlign w:val="center"/>
          </w:tcPr>
          <w:p w:rsidR="00C24FFD" w:rsidRDefault="003F19AD" w:rsidP="00713CD8">
            <w:pPr>
              <w:jc w:val="center"/>
              <w:rPr>
                <w:rFonts w:ascii="Arial" w:hAnsi="Arial" w:cs="Arial"/>
                <w:sz w:val="20"/>
                <w:szCs w:val="20"/>
              </w:rPr>
            </w:pPr>
            <w:r>
              <w:rPr>
                <w:rFonts w:ascii="Arial" w:hAnsi="Arial" w:cs="Arial"/>
                <w:sz w:val="20"/>
                <w:szCs w:val="20"/>
              </w:rPr>
              <w:t>5</w:t>
            </w:r>
            <w:r w:rsidR="00C24FFD">
              <w:rPr>
                <w:rFonts w:ascii="Arial" w:hAnsi="Arial" w:cs="Arial"/>
                <w:sz w:val="20"/>
                <w:szCs w:val="20"/>
              </w:rPr>
              <w:t>4</w:t>
            </w:r>
          </w:p>
          <w:p w:rsidR="00C24FFD" w:rsidRPr="00713CD8" w:rsidRDefault="00C24FFD" w:rsidP="00713CD8">
            <w:pPr>
              <w:jc w:val="center"/>
              <w:rPr>
                <w:rFonts w:ascii="Arial" w:hAnsi="Arial" w:cs="Arial"/>
                <w:i/>
                <w:sz w:val="20"/>
                <w:szCs w:val="20"/>
              </w:rPr>
            </w:pPr>
            <w:r w:rsidRPr="00713CD8">
              <w:rPr>
                <w:rFonts w:ascii="Arial" w:hAnsi="Arial" w:cs="Arial"/>
                <w:i/>
                <w:sz w:val="20"/>
                <w:szCs w:val="20"/>
              </w:rPr>
              <w:t>(</w:t>
            </w:r>
            <w:r w:rsidR="003F19AD">
              <w:rPr>
                <w:rFonts w:ascii="Arial" w:hAnsi="Arial" w:cs="Arial"/>
                <w:i/>
                <w:sz w:val="20"/>
                <w:szCs w:val="20"/>
              </w:rPr>
              <w:t>5</w:t>
            </w:r>
            <w:r w:rsidRPr="00713CD8">
              <w:rPr>
                <w:rFonts w:ascii="Arial" w:hAnsi="Arial" w:cs="Arial"/>
                <w:i/>
                <w:sz w:val="20"/>
                <w:szCs w:val="20"/>
              </w:rPr>
              <w:t>5)</w:t>
            </w:r>
          </w:p>
        </w:tc>
        <w:tc>
          <w:tcPr>
            <w:tcW w:w="732" w:type="dxa"/>
            <w:tcBorders>
              <w:left w:val="single" w:sz="4" w:space="0" w:color="auto"/>
              <w:bottom w:val="single" w:sz="12" w:space="0" w:color="auto"/>
              <w:right w:val="nil"/>
            </w:tcBorders>
            <w:vAlign w:val="center"/>
          </w:tcPr>
          <w:p w:rsidR="00C24FFD" w:rsidRPr="001A1857" w:rsidRDefault="00C24FFD">
            <w:pPr>
              <w:jc w:val="center"/>
              <w:rPr>
                <w:rFonts w:ascii="Arial" w:hAnsi="Arial" w:cs="Arial"/>
                <w:sz w:val="20"/>
                <w:szCs w:val="20"/>
              </w:rPr>
            </w:pPr>
            <w:r w:rsidRPr="001A1857">
              <w:rPr>
                <w:rFonts w:ascii="Arial" w:hAnsi="Arial" w:cs="Arial"/>
                <w:sz w:val="20"/>
                <w:szCs w:val="20"/>
              </w:rPr>
              <w:t>202</w:t>
            </w:r>
          </w:p>
          <w:p w:rsidR="00C24FFD" w:rsidRPr="00713CD8" w:rsidRDefault="00C24FFD" w:rsidP="00713CD8">
            <w:pPr>
              <w:jc w:val="center"/>
              <w:rPr>
                <w:rFonts w:ascii="Arial" w:hAnsi="Arial" w:cs="Arial"/>
                <w:i/>
                <w:sz w:val="24"/>
                <w:szCs w:val="24"/>
              </w:rPr>
            </w:pPr>
            <w:r w:rsidRPr="00713CD8">
              <w:rPr>
                <w:rFonts w:ascii="Arial" w:hAnsi="Arial" w:cs="Arial"/>
                <w:i/>
                <w:sz w:val="20"/>
                <w:szCs w:val="20"/>
              </w:rPr>
              <w:t>(205)</w:t>
            </w:r>
          </w:p>
        </w:tc>
        <w:tc>
          <w:tcPr>
            <w:tcW w:w="249" w:type="dxa"/>
            <w:tcBorders>
              <w:left w:val="nil"/>
              <w:bottom w:val="single" w:sz="12" w:space="0" w:color="auto"/>
              <w:right w:val="single" w:sz="12" w:space="0" w:color="auto"/>
            </w:tcBorders>
            <w:vAlign w:val="center"/>
          </w:tcPr>
          <w:p w:rsidR="00C24FFD" w:rsidRPr="00147F17" w:rsidRDefault="00C24FFD" w:rsidP="003F19AD">
            <w:pPr>
              <w:rPr>
                <w:rFonts w:ascii="Arial" w:hAnsi="Arial" w:cs="Arial"/>
                <w:sz w:val="24"/>
                <w:szCs w:val="24"/>
              </w:rPr>
            </w:pPr>
          </w:p>
        </w:tc>
      </w:tr>
    </w:tbl>
    <w:p w:rsidR="00BD25E1" w:rsidRPr="00147F17" w:rsidRDefault="00BD25E1" w:rsidP="00BD25E1">
      <w:pPr>
        <w:spacing w:after="120" w:line="240" w:lineRule="auto"/>
        <w:jc w:val="both"/>
        <w:rPr>
          <w:rFonts w:ascii="Arial" w:hAnsi="Arial" w:cs="Arial"/>
          <w:sz w:val="20"/>
          <w:szCs w:val="20"/>
        </w:rPr>
      </w:pPr>
    </w:p>
    <w:p w:rsidR="00BD25E1" w:rsidRPr="00713CD8" w:rsidRDefault="00BD25E1" w:rsidP="00BD25E1">
      <w:pPr>
        <w:spacing w:after="120" w:line="240" w:lineRule="auto"/>
        <w:jc w:val="both"/>
        <w:rPr>
          <w:rFonts w:ascii="Arial" w:hAnsi="Arial" w:cs="Arial"/>
          <w:sz w:val="18"/>
          <w:szCs w:val="18"/>
        </w:rPr>
      </w:pPr>
      <w:r w:rsidRPr="00713CD8">
        <w:rPr>
          <w:rFonts w:ascii="Arial" w:hAnsi="Arial" w:cs="Arial"/>
          <w:b/>
          <w:sz w:val="18"/>
          <w:szCs w:val="18"/>
        </w:rPr>
        <w:t>Poznámka:</w:t>
      </w:r>
      <w:r w:rsidRPr="00713CD8">
        <w:rPr>
          <w:rFonts w:ascii="Arial" w:hAnsi="Arial" w:cs="Arial"/>
          <w:sz w:val="18"/>
          <w:szCs w:val="18"/>
        </w:rPr>
        <w:t xml:space="preserve"> V závorkách jsou uvedeny kódy výsledků definovaných v příloze č. 2 Metodiky hodnocení, číslo značí počet dosažených výsledků v rámci programu Zdravotnický výzkum v uvedené skupině.</w:t>
      </w:r>
    </w:p>
    <w:p w:rsidR="00FE3E40" w:rsidRPr="00713CD8" w:rsidRDefault="00FE3E40" w:rsidP="00FE3E40">
      <w:pPr>
        <w:spacing w:after="120" w:line="240" w:lineRule="auto"/>
        <w:jc w:val="both"/>
        <w:rPr>
          <w:rFonts w:ascii="Arial" w:hAnsi="Arial" w:cs="Arial"/>
          <w:sz w:val="18"/>
          <w:szCs w:val="18"/>
        </w:rPr>
      </w:pPr>
      <w:r w:rsidRPr="00713CD8">
        <w:rPr>
          <w:rFonts w:ascii="Arial" w:hAnsi="Arial" w:cs="Arial"/>
          <w:sz w:val="18"/>
          <w:szCs w:val="18"/>
        </w:rPr>
        <w:t>Čísla uvedená kurzivou v závorkách představují počty výsledků, které MZ uvedlo v Závěrečné hodnotící zprávě k programu Zdravotnický výzkum.</w:t>
      </w:r>
    </w:p>
    <w:p w:rsidR="00CB2567" w:rsidRPr="009320FD" w:rsidRDefault="002A4136" w:rsidP="00CB2567">
      <w:pPr>
        <w:pStyle w:val="Text"/>
        <w:overflowPunct w:val="0"/>
        <w:autoSpaceDE w:val="0"/>
        <w:autoSpaceDN w:val="0"/>
        <w:adjustRightInd w:val="0"/>
        <w:spacing w:after="120" w:line="240" w:lineRule="auto"/>
        <w:ind w:firstLine="0"/>
        <w:textAlignment w:val="baseline"/>
        <w:rPr>
          <w:rFonts w:ascii="Arial" w:hAnsi="Arial" w:cs="Arial"/>
        </w:rPr>
      </w:pPr>
      <w:r>
        <w:rPr>
          <w:rFonts w:ascii="Arial" w:hAnsi="Arial" w:cs="Arial"/>
        </w:rPr>
        <w:t>V</w:t>
      </w:r>
      <w:r w:rsidR="00CB2567" w:rsidRPr="005B5F54">
        <w:rPr>
          <w:rFonts w:ascii="Arial" w:hAnsi="Arial" w:cs="Arial"/>
        </w:rPr>
        <w:t xml:space="preserve"> průběhu řešení jednotlivých projektů vzniklo </w:t>
      </w:r>
      <w:r w:rsidR="00CB2567" w:rsidRPr="00713CD8">
        <w:rPr>
          <w:rFonts w:ascii="Arial" w:hAnsi="Arial" w:cs="Arial"/>
        </w:rPr>
        <w:t>3621</w:t>
      </w:r>
      <w:r w:rsidR="00CB2567" w:rsidRPr="005B5F54">
        <w:rPr>
          <w:rFonts w:ascii="Arial" w:hAnsi="Arial" w:cs="Arial"/>
        </w:rPr>
        <w:t xml:space="preserve"> výsledků.</w:t>
      </w:r>
      <w:r w:rsidR="00ED5194">
        <w:rPr>
          <w:rStyle w:val="Znakapoznpodarou"/>
          <w:rFonts w:ascii="Arial" w:hAnsi="Arial"/>
        </w:rPr>
        <w:footnoteReference w:id="5"/>
      </w:r>
      <w:r w:rsidR="00CB2567" w:rsidRPr="005B5F54">
        <w:rPr>
          <w:rFonts w:ascii="Arial" w:hAnsi="Arial" w:cs="Arial"/>
        </w:rPr>
        <w:t xml:space="preserve"> </w:t>
      </w:r>
    </w:p>
    <w:p w:rsidR="005B5F54" w:rsidRPr="00417A51" w:rsidRDefault="00CB2567" w:rsidP="005B5F54">
      <w:pPr>
        <w:autoSpaceDE w:val="0"/>
        <w:autoSpaceDN w:val="0"/>
        <w:adjustRightInd w:val="0"/>
        <w:spacing w:after="120" w:line="240" w:lineRule="auto"/>
        <w:jc w:val="both"/>
        <w:rPr>
          <w:rFonts w:ascii="Arial" w:hAnsi="Arial" w:cs="Arial"/>
          <w:sz w:val="24"/>
          <w:szCs w:val="24"/>
        </w:rPr>
      </w:pPr>
      <w:r w:rsidRPr="005B5F54">
        <w:rPr>
          <w:rFonts w:ascii="Arial" w:hAnsi="Arial" w:cs="Arial"/>
          <w:color w:val="000000"/>
          <w:sz w:val="24"/>
          <w:szCs w:val="24"/>
        </w:rPr>
        <w:lastRenderedPageBreak/>
        <w:t xml:space="preserve">Jestliže srovnáme </w:t>
      </w:r>
      <w:r w:rsidRPr="005B5F54">
        <w:rPr>
          <w:rFonts w:ascii="Arial" w:hAnsi="Arial" w:cs="Arial"/>
          <w:sz w:val="24"/>
          <w:szCs w:val="24"/>
        </w:rPr>
        <w:t xml:space="preserve">plánované indikátory programu </w:t>
      </w:r>
      <w:r w:rsidR="005B5F54" w:rsidRPr="00713CD8">
        <w:rPr>
          <w:rFonts w:ascii="Arial" w:hAnsi="Arial" w:cs="Arial"/>
          <w:sz w:val="24"/>
          <w:szCs w:val="24"/>
        </w:rPr>
        <w:t>Zdravotnický výzkum v programu schváleném vládou</w:t>
      </w:r>
      <w:r w:rsidRPr="005B5F54">
        <w:rPr>
          <w:rFonts w:ascii="Arial" w:hAnsi="Arial" w:cs="Arial"/>
          <w:sz w:val="24"/>
          <w:szCs w:val="24"/>
        </w:rPr>
        <w:t xml:space="preserve">, zjistíme, že </w:t>
      </w:r>
      <w:r w:rsidR="009C72F6">
        <w:rPr>
          <w:rFonts w:ascii="Arial" w:hAnsi="Arial" w:cs="Arial"/>
          <w:sz w:val="24"/>
          <w:szCs w:val="24"/>
        </w:rPr>
        <w:t>byl</w:t>
      </w:r>
      <w:r w:rsidR="00AC306D">
        <w:rPr>
          <w:rFonts w:ascii="Arial" w:hAnsi="Arial" w:cs="Arial"/>
          <w:sz w:val="24"/>
          <w:szCs w:val="24"/>
        </w:rPr>
        <w:t xml:space="preserve"> splněn a překročen</w:t>
      </w:r>
      <w:r w:rsidR="009C72F6">
        <w:rPr>
          <w:rFonts w:ascii="Arial" w:hAnsi="Arial" w:cs="Arial"/>
          <w:sz w:val="24"/>
          <w:szCs w:val="24"/>
        </w:rPr>
        <w:t xml:space="preserve"> stanoven</w:t>
      </w:r>
      <w:r w:rsidR="00AC306D">
        <w:rPr>
          <w:rFonts w:ascii="Arial" w:hAnsi="Arial" w:cs="Arial"/>
          <w:sz w:val="24"/>
          <w:szCs w:val="24"/>
        </w:rPr>
        <w:t>ý</w:t>
      </w:r>
      <w:r w:rsidR="009C72F6">
        <w:rPr>
          <w:rFonts w:ascii="Arial" w:hAnsi="Arial" w:cs="Arial"/>
          <w:sz w:val="24"/>
          <w:szCs w:val="24"/>
        </w:rPr>
        <w:t xml:space="preserve"> poč</w:t>
      </w:r>
      <w:r w:rsidR="00AC306D">
        <w:rPr>
          <w:rFonts w:ascii="Arial" w:hAnsi="Arial" w:cs="Arial"/>
          <w:sz w:val="24"/>
          <w:szCs w:val="24"/>
        </w:rPr>
        <w:t>et vybraných, podpořených a úspěšně dokončených projektů</w:t>
      </w:r>
      <w:r w:rsidR="009C72F6">
        <w:rPr>
          <w:rFonts w:ascii="Arial" w:hAnsi="Arial" w:cs="Arial"/>
          <w:sz w:val="24"/>
          <w:szCs w:val="24"/>
        </w:rPr>
        <w:t>, nebyl však splněn</w:t>
      </w:r>
      <w:r w:rsidR="005B5F54" w:rsidRPr="00713CD8">
        <w:rPr>
          <w:rFonts w:ascii="Arial" w:hAnsi="Arial" w:cs="Arial"/>
          <w:sz w:val="24"/>
          <w:szCs w:val="24"/>
        </w:rPr>
        <w:t xml:space="preserve"> plánovan</w:t>
      </w:r>
      <w:r w:rsidR="009C72F6">
        <w:rPr>
          <w:rFonts w:ascii="Arial" w:hAnsi="Arial" w:cs="Arial"/>
          <w:sz w:val="24"/>
          <w:szCs w:val="24"/>
        </w:rPr>
        <w:t>ý</w:t>
      </w:r>
      <w:r w:rsidR="005B5F54" w:rsidRPr="00713CD8">
        <w:rPr>
          <w:rFonts w:ascii="Arial" w:hAnsi="Arial" w:cs="Arial"/>
          <w:sz w:val="24"/>
          <w:szCs w:val="24"/>
        </w:rPr>
        <w:t xml:space="preserve"> poč</w:t>
      </w:r>
      <w:r w:rsidR="009C72F6">
        <w:rPr>
          <w:rFonts w:ascii="Arial" w:hAnsi="Arial" w:cs="Arial"/>
          <w:sz w:val="24"/>
          <w:szCs w:val="24"/>
        </w:rPr>
        <w:t>et</w:t>
      </w:r>
      <w:r w:rsidR="005B5F54" w:rsidRPr="00713CD8">
        <w:rPr>
          <w:rFonts w:ascii="Arial" w:hAnsi="Arial" w:cs="Arial"/>
          <w:sz w:val="24"/>
          <w:szCs w:val="24"/>
        </w:rPr>
        <w:t xml:space="preserve"> certifikovaných metodik</w:t>
      </w:r>
      <w:r w:rsidR="005B5F54" w:rsidRPr="005B5F54">
        <w:rPr>
          <w:rFonts w:ascii="Arial" w:hAnsi="Arial" w:cs="Arial"/>
          <w:sz w:val="24"/>
          <w:szCs w:val="24"/>
        </w:rPr>
        <w:t xml:space="preserve"> a postupů, ověřených technologií</w:t>
      </w:r>
      <w:r w:rsidR="009C72F6">
        <w:rPr>
          <w:rFonts w:ascii="Arial" w:hAnsi="Arial" w:cs="Arial"/>
          <w:sz w:val="24"/>
          <w:szCs w:val="24"/>
        </w:rPr>
        <w:t>,</w:t>
      </w:r>
      <w:r w:rsidR="005B5F54" w:rsidRPr="005B5F54">
        <w:rPr>
          <w:rFonts w:ascii="Arial" w:hAnsi="Arial" w:cs="Arial"/>
          <w:sz w:val="24"/>
          <w:szCs w:val="24"/>
        </w:rPr>
        <w:t xml:space="preserve"> předpokládan</w:t>
      </w:r>
      <w:r w:rsidR="009C72F6">
        <w:rPr>
          <w:rFonts w:ascii="Arial" w:hAnsi="Arial" w:cs="Arial"/>
          <w:sz w:val="24"/>
          <w:szCs w:val="24"/>
        </w:rPr>
        <w:t>ý</w:t>
      </w:r>
      <w:r w:rsidR="005B5F54" w:rsidRPr="005B5F54">
        <w:rPr>
          <w:rFonts w:ascii="Arial" w:hAnsi="Arial" w:cs="Arial"/>
          <w:sz w:val="24"/>
          <w:szCs w:val="24"/>
        </w:rPr>
        <w:t xml:space="preserve"> poč</w:t>
      </w:r>
      <w:r w:rsidR="009C72F6">
        <w:rPr>
          <w:rFonts w:ascii="Arial" w:hAnsi="Arial" w:cs="Arial"/>
          <w:sz w:val="24"/>
          <w:szCs w:val="24"/>
        </w:rPr>
        <w:t>et</w:t>
      </w:r>
      <w:r w:rsidR="005B5F54" w:rsidRPr="005B5F54">
        <w:rPr>
          <w:rFonts w:ascii="Arial" w:hAnsi="Arial" w:cs="Arial"/>
          <w:sz w:val="24"/>
          <w:szCs w:val="24"/>
        </w:rPr>
        <w:t xml:space="preserve"> aplikovaných</w:t>
      </w:r>
      <w:r w:rsidR="005B5F54">
        <w:rPr>
          <w:rFonts w:ascii="Arial" w:hAnsi="Arial" w:cs="Arial"/>
          <w:sz w:val="24"/>
          <w:szCs w:val="24"/>
        </w:rPr>
        <w:t xml:space="preserve"> výsledků</w:t>
      </w:r>
      <w:r w:rsidR="009C72F6">
        <w:rPr>
          <w:rFonts w:ascii="Arial" w:hAnsi="Arial" w:cs="Arial"/>
          <w:sz w:val="24"/>
          <w:szCs w:val="24"/>
        </w:rPr>
        <w:t xml:space="preserve"> a minimální počet odborných knih</w:t>
      </w:r>
      <w:r w:rsidR="005B5F54">
        <w:rPr>
          <w:rFonts w:ascii="Arial" w:hAnsi="Arial" w:cs="Arial"/>
          <w:sz w:val="24"/>
          <w:szCs w:val="24"/>
        </w:rPr>
        <w:t>.</w:t>
      </w:r>
    </w:p>
    <w:p w:rsidR="00B21D5B" w:rsidRDefault="00B21D5B" w:rsidP="00417A51">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Poskytovatel k tomu v</w:t>
      </w:r>
      <w:r w:rsidR="00332290">
        <w:rPr>
          <w:rFonts w:ascii="Arial" w:hAnsi="Arial" w:cs="Arial"/>
          <w:sz w:val="24"/>
          <w:szCs w:val="24"/>
        </w:rPr>
        <w:t> Závěrečném hodnocení</w:t>
      </w:r>
      <w:r w:rsidR="009320FD">
        <w:rPr>
          <w:rFonts w:ascii="Arial" w:hAnsi="Arial" w:cs="Arial"/>
          <w:sz w:val="24"/>
          <w:szCs w:val="24"/>
        </w:rPr>
        <w:t xml:space="preserve"> </w:t>
      </w:r>
      <w:r w:rsidR="00664688">
        <w:rPr>
          <w:rFonts w:ascii="Arial" w:hAnsi="Arial" w:cs="Arial"/>
          <w:sz w:val="24"/>
          <w:szCs w:val="24"/>
        </w:rPr>
        <w:t>MZ</w:t>
      </w:r>
      <w:r>
        <w:rPr>
          <w:rFonts w:ascii="Arial" w:hAnsi="Arial" w:cs="Arial"/>
          <w:sz w:val="24"/>
          <w:szCs w:val="24"/>
        </w:rPr>
        <w:t xml:space="preserve"> uvádí, že v</w:t>
      </w:r>
      <w:r w:rsidR="00EA3A4D">
        <w:rPr>
          <w:rFonts w:ascii="Arial" w:hAnsi="Arial" w:cs="Arial"/>
          <w:sz w:val="24"/>
          <w:szCs w:val="24"/>
        </w:rPr>
        <w:t xml:space="preserve">ýsledku </w:t>
      </w:r>
      <w:r w:rsidR="009320FD">
        <w:rPr>
          <w:rFonts w:ascii="Arial" w:hAnsi="Arial" w:cs="Arial"/>
          <w:sz w:val="24"/>
          <w:szCs w:val="24"/>
        </w:rPr>
        <w:t xml:space="preserve">typu </w:t>
      </w:r>
      <w:r w:rsidR="003F19AD">
        <w:rPr>
          <w:rFonts w:ascii="Arial" w:hAnsi="Arial" w:cs="Arial"/>
          <w:sz w:val="24"/>
          <w:szCs w:val="24"/>
        </w:rPr>
        <w:t>o</w:t>
      </w:r>
      <w:r w:rsidR="00EA3A4D">
        <w:rPr>
          <w:rFonts w:ascii="Arial" w:hAnsi="Arial" w:cs="Arial"/>
          <w:sz w:val="24"/>
          <w:szCs w:val="24"/>
        </w:rPr>
        <w:t>věřená technologie lze v rámci zdravotnického výzkumu dosáhnout těžko</w:t>
      </w:r>
      <w:r>
        <w:rPr>
          <w:rFonts w:ascii="Arial" w:hAnsi="Arial" w:cs="Arial"/>
          <w:sz w:val="24"/>
          <w:szCs w:val="24"/>
        </w:rPr>
        <w:t xml:space="preserve"> a p</w:t>
      </w:r>
      <w:r w:rsidR="00EA3A4D">
        <w:rPr>
          <w:rFonts w:ascii="Arial" w:hAnsi="Arial" w:cs="Arial"/>
          <w:sz w:val="24"/>
          <w:szCs w:val="24"/>
        </w:rPr>
        <w:t>roblematik</w:t>
      </w:r>
      <w:r>
        <w:rPr>
          <w:rFonts w:ascii="Arial" w:hAnsi="Arial" w:cs="Arial"/>
          <w:sz w:val="24"/>
          <w:szCs w:val="24"/>
        </w:rPr>
        <w:t>u</w:t>
      </w:r>
      <w:r w:rsidR="00EA3A4D">
        <w:rPr>
          <w:rFonts w:ascii="Arial" w:hAnsi="Arial" w:cs="Arial"/>
          <w:sz w:val="24"/>
          <w:szCs w:val="24"/>
        </w:rPr>
        <w:t xml:space="preserve"> </w:t>
      </w:r>
      <w:r w:rsidR="00EA3A4D" w:rsidRPr="00417A51">
        <w:rPr>
          <w:rFonts w:ascii="Arial" w:hAnsi="Arial" w:cs="Arial"/>
          <w:sz w:val="24"/>
          <w:szCs w:val="24"/>
        </w:rPr>
        <w:t>certifikovaných metodik začalo MZ řešit až v roce 2016, kdy byl vypracován a</w:t>
      </w:r>
      <w:r w:rsidR="00417A51">
        <w:rPr>
          <w:rFonts w:ascii="Arial" w:hAnsi="Arial" w:cs="Arial"/>
          <w:sz w:val="24"/>
          <w:szCs w:val="24"/>
        </w:rPr>
        <w:t> </w:t>
      </w:r>
      <w:r w:rsidR="00EA3A4D" w:rsidRPr="00417A51">
        <w:rPr>
          <w:rFonts w:ascii="Arial" w:hAnsi="Arial" w:cs="Arial"/>
          <w:sz w:val="24"/>
          <w:szCs w:val="24"/>
        </w:rPr>
        <w:t>schválen postup certifikace</w:t>
      </w:r>
      <w:r>
        <w:rPr>
          <w:rFonts w:ascii="Arial" w:hAnsi="Arial" w:cs="Arial"/>
          <w:sz w:val="24"/>
          <w:szCs w:val="24"/>
        </w:rPr>
        <w:t>.</w:t>
      </w:r>
      <w:r w:rsidR="00EA3A4D" w:rsidRPr="00417A51">
        <w:rPr>
          <w:rFonts w:ascii="Arial" w:hAnsi="Arial" w:cs="Arial"/>
          <w:sz w:val="24"/>
          <w:szCs w:val="24"/>
        </w:rPr>
        <w:t xml:space="preserve"> </w:t>
      </w:r>
    </w:p>
    <w:p w:rsidR="00B21D5B" w:rsidRDefault="00EA3A4D" w:rsidP="00417A51">
      <w:pPr>
        <w:autoSpaceDE w:val="0"/>
        <w:autoSpaceDN w:val="0"/>
        <w:adjustRightInd w:val="0"/>
        <w:spacing w:after="120" w:line="240" w:lineRule="auto"/>
        <w:jc w:val="both"/>
        <w:rPr>
          <w:rFonts w:ascii="Arial" w:hAnsi="Arial" w:cs="Arial"/>
          <w:sz w:val="24"/>
          <w:szCs w:val="24"/>
        </w:rPr>
      </w:pPr>
      <w:r w:rsidRPr="00713CD8">
        <w:rPr>
          <w:rFonts w:ascii="Arial" w:hAnsi="Arial" w:cs="Arial"/>
          <w:sz w:val="24"/>
          <w:szCs w:val="24"/>
        </w:rPr>
        <w:t>I přes tyto skutečnosti byl</w:t>
      </w:r>
      <w:r w:rsidR="009320FD">
        <w:rPr>
          <w:rFonts w:ascii="Arial" w:hAnsi="Arial" w:cs="Arial"/>
          <w:sz w:val="24"/>
          <w:szCs w:val="24"/>
        </w:rPr>
        <w:t>y</w:t>
      </w:r>
      <w:r w:rsidRPr="00713CD8">
        <w:rPr>
          <w:rFonts w:ascii="Arial" w:hAnsi="Arial" w:cs="Arial"/>
          <w:sz w:val="24"/>
          <w:szCs w:val="24"/>
        </w:rPr>
        <w:t xml:space="preserve"> některé publik</w:t>
      </w:r>
      <w:r w:rsidR="005B5F54" w:rsidRPr="00713CD8">
        <w:rPr>
          <w:rFonts w:ascii="Arial" w:hAnsi="Arial" w:cs="Arial"/>
          <w:sz w:val="24"/>
          <w:szCs w:val="24"/>
        </w:rPr>
        <w:t>ační</w:t>
      </w:r>
      <w:r w:rsidRPr="00713CD8">
        <w:rPr>
          <w:rFonts w:ascii="Arial" w:hAnsi="Arial" w:cs="Arial"/>
          <w:sz w:val="24"/>
          <w:szCs w:val="24"/>
        </w:rPr>
        <w:t xml:space="preserve"> výsle</w:t>
      </w:r>
      <w:r w:rsidR="00417A51" w:rsidRPr="00713CD8">
        <w:rPr>
          <w:rFonts w:ascii="Arial" w:hAnsi="Arial" w:cs="Arial"/>
          <w:sz w:val="24"/>
          <w:szCs w:val="24"/>
        </w:rPr>
        <w:t>d</w:t>
      </w:r>
      <w:r w:rsidRPr="00713CD8">
        <w:rPr>
          <w:rFonts w:ascii="Arial" w:hAnsi="Arial" w:cs="Arial"/>
          <w:sz w:val="24"/>
          <w:szCs w:val="24"/>
        </w:rPr>
        <w:t>ky vyhodnoceny jako zvlášť významné</w:t>
      </w:r>
      <w:r w:rsidRPr="00417A51">
        <w:rPr>
          <w:rFonts w:ascii="Arial" w:hAnsi="Arial" w:cs="Arial"/>
          <w:sz w:val="24"/>
          <w:szCs w:val="24"/>
        </w:rPr>
        <w:t xml:space="preserve"> a řešitelům byla udělena Cena ministra zdravotnictví za zdravotnický výzkum a vývoj nebo Čestné uznání</w:t>
      </w:r>
      <w:r w:rsidR="00B21D5B">
        <w:rPr>
          <w:rFonts w:ascii="Arial" w:hAnsi="Arial" w:cs="Arial"/>
          <w:sz w:val="24"/>
          <w:szCs w:val="24"/>
        </w:rPr>
        <w:t>.</w:t>
      </w:r>
      <w:r w:rsidRPr="00417A51">
        <w:rPr>
          <w:rFonts w:ascii="Arial" w:hAnsi="Arial" w:cs="Arial"/>
          <w:sz w:val="24"/>
          <w:szCs w:val="24"/>
        </w:rPr>
        <w:t xml:space="preserve"> </w:t>
      </w:r>
    </w:p>
    <w:p w:rsidR="0043520D" w:rsidRPr="00687681" w:rsidRDefault="0043520D" w:rsidP="0043520D">
      <w:pPr>
        <w:autoSpaceDE w:val="0"/>
        <w:autoSpaceDN w:val="0"/>
        <w:adjustRightInd w:val="0"/>
        <w:spacing w:after="120" w:line="240" w:lineRule="auto"/>
        <w:jc w:val="both"/>
        <w:rPr>
          <w:rFonts w:ascii="Arial" w:hAnsi="Arial" w:cs="Arial"/>
          <w:sz w:val="24"/>
          <w:szCs w:val="24"/>
        </w:rPr>
      </w:pPr>
      <w:r w:rsidRPr="00687681">
        <w:rPr>
          <w:rFonts w:ascii="Arial" w:hAnsi="Arial" w:cs="Arial"/>
          <w:sz w:val="24"/>
          <w:szCs w:val="24"/>
        </w:rPr>
        <w:t>Tabulka hodnocení projektů podle stupně hodnocení poskytovatelem je obsahem </w:t>
      </w:r>
      <w:r w:rsidR="009320FD" w:rsidRPr="00687681">
        <w:rPr>
          <w:rFonts w:ascii="Arial" w:hAnsi="Arial" w:cs="Arial"/>
          <w:sz w:val="24"/>
          <w:szCs w:val="24"/>
        </w:rPr>
        <w:t>P</w:t>
      </w:r>
      <w:r w:rsidRPr="00687681">
        <w:rPr>
          <w:rFonts w:ascii="Arial" w:hAnsi="Arial" w:cs="Arial"/>
          <w:sz w:val="24"/>
          <w:szCs w:val="24"/>
        </w:rPr>
        <w:t xml:space="preserve">řílohy č. 4. </w:t>
      </w:r>
    </w:p>
    <w:p w:rsidR="0043520D" w:rsidRDefault="00B743D8" w:rsidP="00977A12">
      <w:pPr>
        <w:pStyle w:val="Nadpis3"/>
        <w:spacing w:before="0" w:after="120" w:line="240" w:lineRule="auto"/>
      </w:pPr>
      <w:r w:rsidRPr="00B743D8">
        <w:t>8</w:t>
      </w:r>
      <w:r w:rsidR="0043520D" w:rsidRPr="00B743D8">
        <w:t>.2</w:t>
      </w:r>
      <w:r w:rsidR="0043520D" w:rsidRPr="00B743D8">
        <w:tab/>
        <w:t xml:space="preserve">Splnění cílů programu </w:t>
      </w:r>
      <w:r w:rsidRPr="00B743D8">
        <w:t>Zdravotnický výzkum</w:t>
      </w:r>
    </w:p>
    <w:p w:rsidR="00FF0F2C" w:rsidRDefault="00642DB6">
      <w:pPr>
        <w:autoSpaceDE w:val="0"/>
        <w:autoSpaceDN w:val="0"/>
        <w:adjustRightInd w:val="0"/>
        <w:spacing w:after="120" w:line="240" w:lineRule="auto"/>
        <w:jc w:val="both"/>
        <w:rPr>
          <w:rFonts w:ascii="Arial" w:hAnsi="Arial" w:cs="Arial"/>
          <w:sz w:val="24"/>
          <w:szCs w:val="24"/>
        </w:rPr>
      </w:pPr>
      <w:r w:rsidRPr="00FF0F2C">
        <w:rPr>
          <w:rFonts w:ascii="Arial" w:hAnsi="Arial" w:cs="Arial"/>
          <w:sz w:val="24"/>
          <w:szCs w:val="24"/>
        </w:rPr>
        <w:t xml:space="preserve">Cíle a priority programu Zdravotnický výzkum vycházely především z </w:t>
      </w:r>
      <w:r w:rsidR="003A6319" w:rsidRPr="00713CD8">
        <w:rPr>
          <w:rFonts w:ascii="Arial" w:hAnsi="Arial" w:cs="Arial"/>
          <w:sz w:val="24"/>
          <w:szCs w:val="24"/>
        </w:rPr>
        <w:t>Koncepce zdravotnického aplikovaného výzkumu a vývoje</w:t>
      </w:r>
      <w:r w:rsidR="00FF0F2C" w:rsidRPr="00713CD8">
        <w:rPr>
          <w:rFonts w:ascii="Arial" w:hAnsi="Arial" w:cs="Arial"/>
          <w:sz w:val="24"/>
          <w:szCs w:val="24"/>
        </w:rPr>
        <w:t> </w:t>
      </w:r>
      <w:r w:rsidR="003A6319" w:rsidRPr="00713CD8">
        <w:rPr>
          <w:rFonts w:ascii="Arial" w:hAnsi="Arial" w:cs="Arial"/>
          <w:sz w:val="24"/>
          <w:szCs w:val="24"/>
        </w:rPr>
        <w:t>do roku 2015</w:t>
      </w:r>
      <w:r w:rsidR="00FF0F2C">
        <w:rPr>
          <w:rFonts w:ascii="Arial" w:hAnsi="Arial" w:cs="Arial"/>
          <w:sz w:val="24"/>
          <w:szCs w:val="24"/>
        </w:rPr>
        <w:t xml:space="preserve"> (dále jen „Koncepce“)</w:t>
      </w:r>
      <w:r w:rsidR="003A6319" w:rsidRPr="00713CD8">
        <w:rPr>
          <w:rFonts w:ascii="Arial" w:hAnsi="Arial" w:cs="Arial"/>
          <w:sz w:val="24"/>
          <w:szCs w:val="24"/>
        </w:rPr>
        <w:t xml:space="preserve"> a schválené </w:t>
      </w:r>
      <w:r w:rsidR="00FF0F2C">
        <w:rPr>
          <w:rFonts w:ascii="Arial" w:hAnsi="Arial" w:cs="Arial"/>
          <w:sz w:val="24"/>
          <w:szCs w:val="24"/>
        </w:rPr>
        <w:t>usnesením vlády ze</w:t>
      </w:r>
      <w:r w:rsidR="003A6319" w:rsidRPr="00713CD8">
        <w:rPr>
          <w:rFonts w:ascii="Arial" w:hAnsi="Arial" w:cs="Arial"/>
          <w:sz w:val="24"/>
          <w:szCs w:val="24"/>
        </w:rPr>
        <w:t xml:space="preserve"> dne 1. června 2009</w:t>
      </w:r>
      <w:r w:rsidR="00FF0F2C">
        <w:rPr>
          <w:rFonts w:ascii="Arial" w:hAnsi="Arial" w:cs="Arial"/>
          <w:sz w:val="24"/>
          <w:szCs w:val="24"/>
        </w:rPr>
        <w:t xml:space="preserve"> č. 685.</w:t>
      </w:r>
      <w:r w:rsidR="00FF0F2C" w:rsidRPr="00713CD8">
        <w:rPr>
          <w:rFonts w:ascii="Arial" w:hAnsi="Arial" w:cs="Arial"/>
          <w:sz w:val="24"/>
          <w:szCs w:val="24"/>
        </w:rPr>
        <w:t xml:space="preserve"> </w:t>
      </w:r>
    </w:p>
    <w:p w:rsidR="009D4236" w:rsidRDefault="009D4236">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 xml:space="preserve">Hlavním úkolem </w:t>
      </w:r>
      <w:r w:rsidR="00642DB6" w:rsidRPr="00FF0F2C">
        <w:rPr>
          <w:rFonts w:ascii="Arial" w:hAnsi="Arial" w:cs="Arial"/>
          <w:sz w:val="24"/>
          <w:szCs w:val="24"/>
        </w:rPr>
        <w:t xml:space="preserve">Koncepce bylo zajištění mezinárodně srovnatelné úrovně výsledků výzkumu a jeho aktuálních potřeb pro naše zdravotnictví. </w:t>
      </w:r>
      <w:r w:rsidR="00FF0F2C">
        <w:rPr>
          <w:rFonts w:ascii="Arial" w:hAnsi="Arial" w:cs="Arial"/>
          <w:sz w:val="24"/>
          <w:szCs w:val="24"/>
        </w:rPr>
        <w:t>Program Zdravotnický výzkum</w:t>
      </w:r>
      <w:r w:rsidR="00642DB6" w:rsidRPr="00FF0F2C">
        <w:rPr>
          <w:rFonts w:ascii="Arial" w:hAnsi="Arial" w:cs="Arial"/>
          <w:sz w:val="24"/>
          <w:szCs w:val="24"/>
        </w:rPr>
        <w:t xml:space="preserve"> rovněž zohledňoval</w:t>
      </w:r>
      <w:r w:rsidR="00642DB6" w:rsidRPr="00642DB6">
        <w:rPr>
          <w:rFonts w:ascii="Arial" w:hAnsi="Arial" w:cs="Arial"/>
          <w:sz w:val="24"/>
          <w:szCs w:val="24"/>
        </w:rPr>
        <w:t xml:space="preserve"> trendy výzkumu v evropském výzkumném prostoru</w:t>
      </w:r>
      <w:r>
        <w:rPr>
          <w:rFonts w:ascii="Arial" w:hAnsi="Arial" w:cs="Arial"/>
          <w:sz w:val="24"/>
          <w:szCs w:val="24"/>
        </w:rPr>
        <w:t xml:space="preserve"> a</w:t>
      </w:r>
      <w:r w:rsidR="00AC306D">
        <w:rPr>
          <w:rFonts w:ascii="Arial" w:hAnsi="Arial" w:cs="Arial"/>
          <w:sz w:val="24"/>
          <w:szCs w:val="24"/>
        </w:rPr>
        <w:t> </w:t>
      </w:r>
      <w:r>
        <w:rPr>
          <w:rFonts w:ascii="Arial" w:hAnsi="Arial" w:cs="Arial"/>
          <w:sz w:val="24"/>
          <w:szCs w:val="24"/>
        </w:rPr>
        <w:t>jeho priority</w:t>
      </w:r>
      <w:r w:rsidR="00642DB6" w:rsidRPr="00642DB6">
        <w:rPr>
          <w:rFonts w:ascii="Arial" w:hAnsi="Arial" w:cs="Arial"/>
          <w:sz w:val="24"/>
          <w:szCs w:val="24"/>
        </w:rPr>
        <w:t xml:space="preserve"> byly nastaveny tak, aby podpora výzkumu v daných oblastech nezakládala možnost zvýhodňování podnikání nebo podpory některých odvětví v</w:t>
      </w:r>
      <w:r w:rsidR="00FF0F2C">
        <w:rPr>
          <w:rFonts w:ascii="Arial" w:hAnsi="Arial" w:cs="Arial"/>
          <w:sz w:val="24"/>
          <w:szCs w:val="24"/>
        </w:rPr>
        <w:t> </w:t>
      </w:r>
      <w:r w:rsidR="00642DB6" w:rsidRPr="00642DB6">
        <w:rPr>
          <w:rFonts w:ascii="Arial" w:hAnsi="Arial" w:cs="Arial"/>
          <w:sz w:val="24"/>
          <w:szCs w:val="24"/>
        </w:rPr>
        <w:t>konkurenčním prostředí. </w:t>
      </w:r>
    </w:p>
    <w:p w:rsidR="00642DB6" w:rsidRDefault="00FF0F2C">
      <w:pPr>
        <w:autoSpaceDE w:val="0"/>
        <w:autoSpaceDN w:val="0"/>
        <w:adjustRightInd w:val="0"/>
        <w:spacing w:after="120" w:line="240" w:lineRule="auto"/>
        <w:jc w:val="both"/>
        <w:rPr>
          <w:rFonts w:ascii="Arial" w:hAnsi="Arial" w:cs="Arial"/>
        </w:rPr>
      </w:pPr>
      <w:r>
        <w:rPr>
          <w:rFonts w:ascii="Arial" w:hAnsi="Arial" w:cs="Arial"/>
          <w:sz w:val="24"/>
          <w:szCs w:val="24"/>
        </w:rPr>
        <w:t xml:space="preserve">Program </w:t>
      </w:r>
      <w:r w:rsidR="009D4236">
        <w:rPr>
          <w:rFonts w:ascii="Arial" w:hAnsi="Arial" w:cs="Arial"/>
          <w:sz w:val="24"/>
          <w:szCs w:val="24"/>
        </w:rPr>
        <w:t>neřešil problematiku</w:t>
      </w:r>
      <w:r w:rsidR="00642DB6" w:rsidRPr="00642DB6">
        <w:rPr>
          <w:rFonts w:ascii="Arial" w:hAnsi="Arial" w:cs="Arial"/>
          <w:sz w:val="24"/>
          <w:szCs w:val="24"/>
        </w:rPr>
        <w:t xml:space="preserve"> charakteru </w:t>
      </w:r>
      <w:r w:rsidR="00642DB6" w:rsidRPr="00FF0F2C">
        <w:rPr>
          <w:rFonts w:ascii="Arial" w:hAnsi="Arial" w:cs="Arial"/>
          <w:sz w:val="24"/>
          <w:szCs w:val="24"/>
        </w:rPr>
        <w:t>průmyslového výzkumu</w:t>
      </w:r>
      <w:r w:rsidR="009D4236">
        <w:rPr>
          <w:rFonts w:ascii="Arial" w:hAnsi="Arial" w:cs="Arial"/>
          <w:sz w:val="24"/>
          <w:szCs w:val="24"/>
        </w:rPr>
        <w:t xml:space="preserve"> s dopadem do</w:t>
      </w:r>
      <w:r w:rsidR="00AC306D">
        <w:rPr>
          <w:rFonts w:ascii="Arial" w:hAnsi="Arial" w:cs="Arial"/>
          <w:sz w:val="24"/>
          <w:szCs w:val="24"/>
        </w:rPr>
        <w:t> </w:t>
      </w:r>
      <w:r w:rsidR="009D4236">
        <w:rPr>
          <w:rFonts w:ascii="Arial" w:hAnsi="Arial" w:cs="Arial"/>
          <w:sz w:val="24"/>
          <w:szCs w:val="24"/>
        </w:rPr>
        <w:t>zdravotnictví</w:t>
      </w:r>
      <w:r w:rsidR="00642DB6" w:rsidRPr="00FF0F2C">
        <w:rPr>
          <w:rFonts w:ascii="Arial" w:hAnsi="Arial" w:cs="Arial"/>
          <w:sz w:val="24"/>
          <w:szCs w:val="24"/>
        </w:rPr>
        <w:t xml:space="preserve"> (např. vývoj léčiv a zdravotnických prostředků) spadající do</w:t>
      </w:r>
      <w:r w:rsidR="00A877DE">
        <w:rPr>
          <w:rFonts w:ascii="Arial" w:hAnsi="Arial" w:cs="Arial"/>
          <w:sz w:val="24"/>
          <w:szCs w:val="24"/>
        </w:rPr>
        <w:t> </w:t>
      </w:r>
      <w:r w:rsidR="00642DB6" w:rsidRPr="00FF0F2C">
        <w:rPr>
          <w:rFonts w:ascii="Arial" w:hAnsi="Arial" w:cs="Arial"/>
          <w:sz w:val="24"/>
          <w:szCs w:val="24"/>
        </w:rPr>
        <w:t>působnosti Ministerstva průmyslu a obchodu, dále zdravotnickou problematikou v</w:t>
      </w:r>
      <w:r w:rsidR="00A877DE">
        <w:rPr>
          <w:rFonts w:ascii="Arial" w:hAnsi="Arial" w:cs="Arial"/>
          <w:sz w:val="24"/>
          <w:szCs w:val="24"/>
        </w:rPr>
        <w:t> </w:t>
      </w:r>
      <w:r w:rsidR="00642DB6" w:rsidRPr="00FF0F2C">
        <w:rPr>
          <w:rFonts w:ascii="Arial" w:hAnsi="Arial" w:cs="Arial"/>
          <w:sz w:val="24"/>
          <w:szCs w:val="24"/>
        </w:rPr>
        <w:t xml:space="preserve">působnosti Ministerstva obrany a nezahrnoval rovněž zdravotnickou část problematiky, která je řešena v rámci Koncepce krizového managementu. Cíle nekolidovaly </w:t>
      </w:r>
      <w:r w:rsidR="009D4236">
        <w:rPr>
          <w:rFonts w:ascii="Arial" w:hAnsi="Arial" w:cs="Arial"/>
          <w:sz w:val="24"/>
          <w:szCs w:val="24"/>
        </w:rPr>
        <w:t xml:space="preserve">ani </w:t>
      </w:r>
      <w:r w:rsidR="00642DB6" w:rsidRPr="00FF0F2C">
        <w:rPr>
          <w:rFonts w:ascii="Arial" w:hAnsi="Arial" w:cs="Arial"/>
          <w:sz w:val="24"/>
          <w:szCs w:val="24"/>
        </w:rPr>
        <w:t>se záměry výzkumu v působnosti Ministerstva zemědělství, ale naopak se vzájemně doplňovaly. Vlivy výživy, životního prostředí, návyk</w:t>
      </w:r>
      <w:r w:rsidR="00A877DE">
        <w:rPr>
          <w:rFonts w:ascii="Arial" w:hAnsi="Arial" w:cs="Arial"/>
          <w:sz w:val="24"/>
          <w:szCs w:val="24"/>
        </w:rPr>
        <w:t>ů</w:t>
      </w:r>
      <w:r w:rsidR="00642DB6" w:rsidRPr="00FF0F2C">
        <w:rPr>
          <w:rFonts w:ascii="Arial" w:hAnsi="Arial" w:cs="Arial"/>
          <w:sz w:val="24"/>
          <w:szCs w:val="24"/>
        </w:rPr>
        <w:t xml:space="preserve"> a dalších významných faktorů ovlivňujících zdraví, jsou v rámci programu </w:t>
      </w:r>
      <w:r w:rsidR="00A877DE">
        <w:rPr>
          <w:rFonts w:ascii="Arial" w:hAnsi="Arial" w:cs="Arial"/>
          <w:sz w:val="24"/>
          <w:szCs w:val="24"/>
        </w:rPr>
        <w:t>řešeny</w:t>
      </w:r>
      <w:r w:rsidR="00642DB6" w:rsidRPr="00FF0F2C">
        <w:rPr>
          <w:rFonts w:ascii="Arial" w:hAnsi="Arial" w:cs="Arial"/>
          <w:sz w:val="24"/>
          <w:szCs w:val="24"/>
        </w:rPr>
        <w:t xml:space="preserve"> z</w:t>
      </w:r>
      <w:r w:rsidR="00A877DE">
        <w:rPr>
          <w:rFonts w:ascii="Arial" w:hAnsi="Arial" w:cs="Arial"/>
          <w:sz w:val="24"/>
          <w:szCs w:val="24"/>
        </w:rPr>
        <w:t> </w:t>
      </w:r>
      <w:r w:rsidR="00642DB6" w:rsidRPr="00713CD8">
        <w:rPr>
          <w:rFonts w:ascii="Arial" w:hAnsi="Arial" w:cs="Arial"/>
          <w:sz w:val="24"/>
          <w:szCs w:val="24"/>
        </w:rPr>
        <w:t xml:space="preserve">medicínského aspektu, i když </w:t>
      </w:r>
      <w:r w:rsidR="009D4236">
        <w:rPr>
          <w:rFonts w:ascii="Arial" w:hAnsi="Arial" w:cs="Arial"/>
          <w:sz w:val="24"/>
          <w:szCs w:val="24"/>
        </w:rPr>
        <w:t>se jedná</w:t>
      </w:r>
      <w:r w:rsidR="00642DB6" w:rsidRPr="00713CD8">
        <w:rPr>
          <w:rFonts w:ascii="Arial" w:hAnsi="Arial" w:cs="Arial"/>
          <w:sz w:val="24"/>
          <w:szCs w:val="24"/>
        </w:rPr>
        <w:t xml:space="preserve"> o</w:t>
      </w:r>
      <w:r w:rsidR="009D4236">
        <w:rPr>
          <w:rFonts w:ascii="Arial" w:hAnsi="Arial" w:cs="Arial"/>
          <w:sz w:val="24"/>
          <w:szCs w:val="24"/>
        </w:rPr>
        <w:t> </w:t>
      </w:r>
      <w:r w:rsidR="00642DB6" w:rsidRPr="00713CD8">
        <w:rPr>
          <w:rFonts w:ascii="Arial" w:hAnsi="Arial" w:cs="Arial"/>
          <w:sz w:val="24"/>
          <w:szCs w:val="24"/>
        </w:rPr>
        <w:t>problémy celospolečenského charakteru</w:t>
      </w:r>
      <w:r w:rsidR="009D4236">
        <w:rPr>
          <w:rFonts w:ascii="Arial" w:hAnsi="Arial" w:cs="Arial"/>
          <w:sz w:val="24"/>
          <w:szCs w:val="24"/>
        </w:rPr>
        <w:t>.</w:t>
      </w:r>
      <w:r w:rsidR="00642DB6">
        <w:rPr>
          <w:rFonts w:ascii="Arial" w:hAnsi="Arial" w:cs="Arial"/>
        </w:rPr>
        <w:t> </w:t>
      </w:r>
    </w:p>
    <w:p w:rsidR="00FB2A2D" w:rsidRPr="00500814" w:rsidRDefault="00FB2A2D" w:rsidP="00713CD8">
      <w:pPr>
        <w:autoSpaceDE w:val="0"/>
        <w:autoSpaceDN w:val="0"/>
        <w:adjustRightInd w:val="0"/>
        <w:spacing w:after="120" w:line="240" w:lineRule="auto"/>
        <w:jc w:val="both"/>
        <w:rPr>
          <w:rFonts w:ascii="Arial" w:hAnsi="Arial" w:cs="Arial"/>
          <w:sz w:val="24"/>
          <w:szCs w:val="24"/>
        </w:rPr>
      </w:pPr>
      <w:r w:rsidRPr="00500814">
        <w:rPr>
          <w:rFonts w:ascii="Arial" w:hAnsi="Arial" w:cs="Arial"/>
          <w:sz w:val="24"/>
          <w:szCs w:val="24"/>
        </w:rPr>
        <w:t>Při posouzení, zda byly naplněny cíle programu, musíme vycházet z údajů od</w:t>
      </w:r>
      <w:r>
        <w:rPr>
          <w:rFonts w:ascii="Arial" w:hAnsi="Arial" w:cs="Arial"/>
          <w:sz w:val="24"/>
          <w:szCs w:val="24"/>
        </w:rPr>
        <w:t> </w:t>
      </w:r>
      <w:r w:rsidRPr="00500814">
        <w:rPr>
          <w:rFonts w:ascii="Arial" w:hAnsi="Arial" w:cs="Arial"/>
          <w:sz w:val="24"/>
          <w:szCs w:val="24"/>
        </w:rPr>
        <w:t>poskytovatele, neboť hodnocení jednotlivých projektů je pouze v jeho kompetenci.</w:t>
      </w:r>
    </w:p>
    <w:p w:rsidR="00FB2A2D" w:rsidRPr="00881DF0" w:rsidRDefault="00FB2A2D">
      <w:pPr>
        <w:spacing w:after="120" w:line="240" w:lineRule="auto"/>
        <w:jc w:val="both"/>
        <w:rPr>
          <w:rFonts w:ascii="Arial" w:hAnsi="Arial" w:cs="Arial"/>
          <w:sz w:val="24"/>
          <w:szCs w:val="24"/>
        </w:rPr>
      </w:pPr>
      <w:r>
        <w:rPr>
          <w:rFonts w:ascii="Arial" w:hAnsi="Arial" w:cs="Arial"/>
          <w:sz w:val="24"/>
          <w:szCs w:val="24"/>
        </w:rPr>
        <w:t>Mezi z</w:t>
      </w:r>
      <w:r w:rsidRPr="00881DF0">
        <w:rPr>
          <w:rFonts w:ascii="Arial" w:hAnsi="Arial" w:cs="Arial"/>
          <w:sz w:val="24"/>
          <w:szCs w:val="24"/>
        </w:rPr>
        <w:t>ákladní cíl</w:t>
      </w:r>
      <w:r>
        <w:rPr>
          <w:rFonts w:ascii="Arial" w:hAnsi="Arial" w:cs="Arial"/>
          <w:sz w:val="24"/>
          <w:szCs w:val="24"/>
        </w:rPr>
        <w:t>e</w:t>
      </w:r>
      <w:r w:rsidRPr="00881DF0">
        <w:rPr>
          <w:rFonts w:ascii="Arial" w:hAnsi="Arial" w:cs="Arial"/>
          <w:sz w:val="24"/>
          <w:szCs w:val="24"/>
        </w:rPr>
        <w:t xml:space="preserve"> programu schváleného vládou </w:t>
      </w:r>
      <w:r>
        <w:rPr>
          <w:rFonts w:ascii="Arial" w:hAnsi="Arial" w:cs="Arial"/>
          <w:sz w:val="24"/>
          <w:szCs w:val="24"/>
        </w:rPr>
        <w:t>patřil</w:t>
      </w:r>
      <w:r w:rsidR="00FF0F2C">
        <w:rPr>
          <w:rFonts w:ascii="Arial" w:hAnsi="Arial" w:cs="Arial"/>
          <w:sz w:val="24"/>
          <w:szCs w:val="24"/>
        </w:rPr>
        <w:t>y</w:t>
      </w:r>
      <w:r>
        <w:rPr>
          <w:rFonts w:ascii="Arial" w:hAnsi="Arial" w:cs="Arial"/>
          <w:sz w:val="24"/>
          <w:szCs w:val="24"/>
        </w:rPr>
        <w:t xml:space="preserve"> např:</w:t>
      </w:r>
    </w:p>
    <w:p w:rsidR="00FB2A2D" w:rsidRPr="00FF0F2C" w:rsidRDefault="00FB2A2D" w:rsidP="00FB2A2D">
      <w:pPr>
        <w:numPr>
          <w:ilvl w:val="0"/>
          <w:numId w:val="25"/>
        </w:numPr>
        <w:tabs>
          <w:tab w:val="clear" w:pos="832"/>
          <w:tab w:val="left" w:pos="360"/>
        </w:tabs>
        <w:spacing w:after="120" w:line="240" w:lineRule="auto"/>
        <w:ind w:left="360"/>
        <w:jc w:val="both"/>
        <w:rPr>
          <w:rFonts w:ascii="Arial" w:hAnsi="Arial" w:cs="Arial"/>
          <w:sz w:val="24"/>
          <w:szCs w:val="24"/>
        </w:rPr>
      </w:pPr>
      <w:r w:rsidRPr="00713CD8">
        <w:rPr>
          <w:rFonts w:ascii="Arial" w:hAnsi="Arial" w:cs="Arial"/>
          <w:i/>
          <w:sz w:val="24"/>
          <w:szCs w:val="24"/>
        </w:rPr>
        <w:t>Podpora molekulárně-biologických přístupů v odpovídajících oblastech zdravotnického výzkumu a vývoje</w:t>
      </w:r>
      <w:r w:rsidR="00A877DE">
        <w:rPr>
          <w:rFonts w:ascii="Arial" w:hAnsi="Arial" w:cs="Arial"/>
          <w:i/>
          <w:sz w:val="24"/>
          <w:szCs w:val="24"/>
        </w:rPr>
        <w:t>,</w:t>
      </w:r>
      <w:r w:rsidRPr="00FF0F2C">
        <w:rPr>
          <w:rFonts w:ascii="Arial" w:hAnsi="Arial" w:cs="Arial"/>
          <w:sz w:val="24"/>
          <w:szCs w:val="24"/>
        </w:rPr>
        <w:t xml:space="preserve"> </w:t>
      </w:r>
    </w:p>
    <w:p w:rsidR="00FB2A2D" w:rsidRPr="00713CD8" w:rsidRDefault="00FB2A2D" w:rsidP="00FB2A2D">
      <w:pPr>
        <w:numPr>
          <w:ilvl w:val="0"/>
          <w:numId w:val="25"/>
        </w:numPr>
        <w:tabs>
          <w:tab w:val="clear" w:pos="832"/>
          <w:tab w:val="left" w:pos="360"/>
        </w:tabs>
        <w:spacing w:after="120" w:line="240" w:lineRule="auto"/>
        <w:ind w:left="360"/>
        <w:jc w:val="both"/>
        <w:rPr>
          <w:rFonts w:ascii="Arial" w:hAnsi="Arial" w:cs="Arial"/>
          <w:i/>
          <w:sz w:val="24"/>
          <w:szCs w:val="24"/>
        </w:rPr>
      </w:pPr>
      <w:r w:rsidRPr="00713CD8">
        <w:rPr>
          <w:rFonts w:ascii="Arial" w:hAnsi="Arial" w:cs="Arial"/>
          <w:i/>
          <w:sz w:val="24"/>
          <w:szCs w:val="24"/>
        </w:rPr>
        <w:t>podpora výzkumu v oblasti prevence nových infekčních chorob a chorob hromadného výskytu,</w:t>
      </w:r>
    </w:p>
    <w:p w:rsidR="00FB2A2D" w:rsidRPr="00713CD8" w:rsidRDefault="00FB2A2D" w:rsidP="00FB2A2D">
      <w:pPr>
        <w:numPr>
          <w:ilvl w:val="0"/>
          <w:numId w:val="25"/>
        </w:numPr>
        <w:tabs>
          <w:tab w:val="clear" w:pos="832"/>
          <w:tab w:val="left" w:pos="360"/>
        </w:tabs>
        <w:spacing w:after="120" w:line="240" w:lineRule="auto"/>
        <w:ind w:left="360"/>
        <w:jc w:val="both"/>
        <w:rPr>
          <w:rFonts w:ascii="Arial" w:hAnsi="Arial" w:cs="Arial"/>
          <w:i/>
          <w:sz w:val="24"/>
          <w:szCs w:val="24"/>
        </w:rPr>
      </w:pPr>
      <w:r w:rsidRPr="00713CD8">
        <w:rPr>
          <w:rFonts w:ascii="Arial" w:hAnsi="Arial" w:cs="Arial"/>
          <w:i/>
          <w:sz w:val="24"/>
          <w:szCs w:val="24"/>
        </w:rPr>
        <w:t>zlepšení léčebných výsledků využívajících nejnáročnějších moderních postupů,</w:t>
      </w:r>
    </w:p>
    <w:p w:rsidR="00687681" w:rsidRPr="00352EF1" w:rsidRDefault="00FB2A2D" w:rsidP="00687681">
      <w:pPr>
        <w:numPr>
          <w:ilvl w:val="0"/>
          <w:numId w:val="25"/>
        </w:numPr>
        <w:tabs>
          <w:tab w:val="clear" w:pos="832"/>
          <w:tab w:val="left" w:pos="360"/>
        </w:tabs>
        <w:spacing w:after="120" w:line="240" w:lineRule="auto"/>
        <w:ind w:left="360"/>
        <w:jc w:val="both"/>
        <w:rPr>
          <w:rFonts w:ascii="Arial" w:hAnsi="Arial" w:cs="Arial"/>
          <w:i/>
          <w:sz w:val="24"/>
          <w:szCs w:val="24"/>
        </w:rPr>
      </w:pPr>
      <w:r w:rsidRPr="00352EF1">
        <w:rPr>
          <w:rFonts w:ascii="Arial" w:hAnsi="Arial" w:cs="Arial"/>
          <w:i/>
          <w:sz w:val="24"/>
          <w:szCs w:val="24"/>
        </w:rPr>
        <w:t>zajištění kontinuit</w:t>
      </w:r>
      <w:r w:rsidR="00352EF1" w:rsidRPr="00352EF1">
        <w:rPr>
          <w:rFonts w:ascii="Arial" w:hAnsi="Arial" w:cs="Arial"/>
          <w:i/>
          <w:sz w:val="24"/>
          <w:szCs w:val="24"/>
        </w:rPr>
        <w:t>y</w:t>
      </w:r>
      <w:r w:rsidRPr="00352EF1">
        <w:rPr>
          <w:rFonts w:ascii="Arial" w:hAnsi="Arial" w:cs="Arial"/>
          <w:i/>
          <w:sz w:val="24"/>
          <w:szCs w:val="24"/>
        </w:rPr>
        <w:t xml:space="preserve"> našeho zdravotnického výzkumu s rozvojem světové vědy nejen v oblasti biomedicíny,</w:t>
      </w:r>
    </w:p>
    <w:p w:rsidR="00A877DE" w:rsidRPr="00687681" w:rsidRDefault="00FB2A2D" w:rsidP="00687681">
      <w:pPr>
        <w:numPr>
          <w:ilvl w:val="0"/>
          <w:numId w:val="25"/>
        </w:numPr>
        <w:tabs>
          <w:tab w:val="clear" w:pos="832"/>
          <w:tab w:val="left" w:pos="360"/>
        </w:tabs>
        <w:spacing w:after="120" w:line="240" w:lineRule="auto"/>
        <w:ind w:left="360"/>
        <w:jc w:val="both"/>
        <w:rPr>
          <w:rFonts w:ascii="Arial" w:hAnsi="Arial" w:cs="Arial"/>
          <w:sz w:val="24"/>
          <w:szCs w:val="24"/>
        </w:rPr>
      </w:pPr>
      <w:r w:rsidRPr="00687681">
        <w:rPr>
          <w:rFonts w:ascii="Arial" w:hAnsi="Arial" w:cs="Arial"/>
          <w:i/>
          <w:sz w:val="24"/>
          <w:szCs w:val="24"/>
        </w:rPr>
        <w:t>rozvoj špičkových výzkumných zdravotnických pracovišť</w:t>
      </w:r>
      <w:r w:rsidR="00A877DE" w:rsidRPr="00687681">
        <w:rPr>
          <w:rFonts w:ascii="Arial" w:hAnsi="Arial" w:cs="Arial"/>
          <w:sz w:val="24"/>
          <w:szCs w:val="24"/>
        </w:rPr>
        <w:t>.</w:t>
      </w:r>
    </w:p>
    <w:p w:rsidR="00FB2A2D" w:rsidRPr="00713CD8" w:rsidRDefault="00C870AA" w:rsidP="00713CD8">
      <w:pPr>
        <w:tabs>
          <w:tab w:val="left" w:pos="360"/>
        </w:tabs>
        <w:spacing w:after="120" w:line="240" w:lineRule="auto"/>
        <w:jc w:val="both"/>
        <w:rPr>
          <w:rFonts w:ascii="Arial" w:hAnsi="Arial" w:cs="Arial"/>
          <w:sz w:val="24"/>
          <w:szCs w:val="24"/>
        </w:rPr>
      </w:pPr>
      <w:r w:rsidRPr="00713CD8">
        <w:rPr>
          <w:rFonts w:ascii="Arial" w:hAnsi="Arial" w:cs="Arial"/>
          <w:sz w:val="24"/>
          <w:szCs w:val="24"/>
        </w:rPr>
        <w:lastRenderedPageBreak/>
        <w:t xml:space="preserve">Poskytovatel v rámci </w:t>
      </w:r>
      <w:r w:rsidR="00687681">
        <w:rPr>
          <w:rFonts w:ascii="Arial" w:hAnsi="Arial" w:cs="Arial"/>
          <w:sz w:val="24"/>
          <w:szCs w:val="24"/>
        </w:rPr>
        <w:t>Z</w:t>
      </w:r>
      <w:r w:rsidRPr="00713CD8">
        <w:rPr>
          <w:rFonts w:ascii="Arial" w:hAnsi="Arial" w:cs="Arial"/>
          <w:sz w:val="24"/>
          <w:szCs w:val="24"/>
        </w:rPr>
        <w:t xml:space="preserve">ávěrečného </w:t>
      </w:r>
      <w:r w:rsidR="00687681">
        <w:rPr>
          <w:rFonts w:ascii="Arial" w:hAnsi="Arial" w:cs="Arial"/>
          <w:sz w:val="24"/>
          <w:szCs w:val="24"/>
        </w:rPr>
        <w:t>h</w:t>
      </w:r>
      <w:r w:rsidRPr="00713CD8">
        <w:rPr>
          <w:rFonts w:ascii="Arial" w:hAnsi="Arial" w:cs="Arial"/>
          <w:sz w:val="24"/>
          <w:szCs w:val="24"/>
        </w:rPr>
        <w:t>odnocení</w:t>
      </w:r>
      <w:r w:rsidR="00687681">
        <w:rPr>
          <w:rFonts w:ascii="Arial" w:hAnsi="Arial" w:cs="Arial"/>
          <w:sz w:val="24"/>
          <w:szCs w:val="24"/>
        </w:rPr>
        <w:t xml:space="preserve"> </w:t>
      </w:r>
      <w:r w:rsidR="00664688">
        <w:rPr>
          <w:rFonts w:ascii="Arial" w:hAnsi="Arial" w:cs="Arial"/>
          <w:sz w:val="24"/>
          <w:szCs w:val="24"/>
        </w:rPr>
        <w:t>MZ</w:t>
      </w:r>
      <w:r w:rsidRPr="00713CD8">
        <w:rPr>
          <w:rFonts w:ascii="Arial" w:hAnsi="Arial" w:cs="Arial"/>
          <w:sz w:val="24"/>
          <w:szCs w:val="24"/>
        </w:rPr>
        <w:t xml:space="preserve"> uv</w:t>
      </w:r>
      <w:r w:rsidR="00352EF1">
        <w:rPr>
          <w:rFonts w:ascii="Arial" w:hAnsi="Arial" w:cs="Arial"/>
          <w:sz w:val="24"/>
          <w:szCs w:val="24"/>
        </w:rPr>
        <w:t>edl</w:t>
      </w:r>
      <w:r w:rsidRPr="00713CD8">
        <w:rPr>
          <w:rFonts w:ascii="Arial" w:hAnsi="Arial" w:cs="Arial"/>
          <w:sz w:val="24"/>
          <w:szCs w:val="24"/>
        </w:rPr>
        <w:t xml:space="preserve">, že vytyčené cíle byly </w:t>
      </w:r>
      <w:r w:rsidR="00352EF1">
        <w:rPr>
          <w:rFonts w:ascii="Arial" w:hAnsi="Arial" w:cs="Arial"/>
          <w:sz w:val="24"/>
          <w:szCs w:val="24"/>
        </w:rPr>
        <w:t xml:space="preserve">v souladu s </w:t>
      </w:r>
      <w:r w:rsidR="00352EF1" w:rsidRPr="00713CD8">
        <w:rPr>
          <w:rFonts w:ascii="Arial" w:hAnsi="Arial" w:cs="Arial"/>
          <w:sz w:val="24"/>
          <w:szCs w:val="24"/>
        </w:rPr>
        <w:t>podpo</w:t>
      </w:r>
      <w:r w:rsidR="00352EF1">
        <w:rPr>
          <w:rFonts w:ascii="Arial" w:hAnsi="Arial" w:cs="Arial"/>
          <w:sz w:val="24"/>
          <w:szCs w:val="24"/>
        </w:rPr>
        <w:t>rou</w:t>
      </w:r>
      <w:r w:rsidR="00352EF1" w:rsidRPr="00713CD8">
        <w:rPr>
          <w:rFonts w:ascii="Arial" w:hAnsi="Arial" w:cs="Arial"/>
          <w:sz w:val="24"/>
          <w:szCs w:val="24"/>
        </w:rPr>
        <w:t xml:space="preserve"> programových projektů přijatých ve veřejných soutěžích vyhlášených v</w:t>
      </w:r>
      <w:r w:rsidR="00352EF1">
        <w:rPr>
          <w:rFonts w:ascii="Arial" w:hAnsi="Arial" w:cs="Arial"/>
          <w:sz w:val="24"/>
          <w:szCs w:val="24"/>
        </w:rPr>
        <w:t>e</w:t>
      </w:r>
      <w:r w:rsidR="00352EF1" w:rsidRPr="00713CD8">
        <w:rPr>
          <w:rFonts w:ascii="Arial" w:hAnsi="Arial" w:cs="Arial"/>
          <w:sz w:val="24"/>
          <w:szCs w:val="24"/>
        </w:rPr>
        <w:t> shodě s cíli a pravidly Interní</w:t>
      </w:r>
      <w:r w:rsidR="00352EF1" w:rsidRPr="00713CD8">
        <w:rPr>
          <w:rStyle w:val="st1"/>
          <w:rFonts w:ascii="Arial" w:hAnsi="Arial" w:cs="Arial"/>
          <w:color w:val="545454"/>
          <w:sz w:val="24"/>
          <w:szCs w:val="24"/>
        </w:rPr>
        <w:t xml:space="preserve"> </w:t>
      </w:r>
      <w:r w:rsidR="00352EF1" w:rsidRPr="00713CD8">
        <w:rPr>
          <w:rStyle w:val="st1"/>
          <w:rFonts w:ascii="Arial" w:hAnsi="Arial" w:cs="Arial"/>
          <w:sz w:val="24"/>
          <w:szCs w:val="24"/>
        </w:rPr>
        <w:t>grantové agentury Ministerstva zdravotnictví České republiky</w:t>
      </w:r>
      <w:r w:rsidR="00352EF1">
        <w:rPr>
          <w:rStyle w:val="st1"/>
          <w:rFonts w:ascii="Arial" w:hAnsi="Arial" w:cs="Arial"/>
          <w:sz w:val="24"/>
          <w:szCs w:val="24"/>
        </w:rPr>
        <w:t xml:space="preserve"> </w:t>
      </w:r>
      <w:r w:rsidRPr="00713CD8">
        <w:rPr>
          <w:rFonts w:ascii="Arial" w:hAnsi="Arial" w:cs="Arial"/>
          <w:sz w:val="24"/>
          <w:szCs w:val="24"/>
        </w:rPr>
        <w:t>naplněny</w:t>
      </w:r>
      <w:r w:rsidR="00352EF1">
        <w:rPr>
          <w:rFonts w:ascii="Arial" w:hAnsi="Arial" w:cs="Arial"/>
          <w:sz w:val="24"/>
          <w:szCs w:val="24"/>
        </w:rPr>
        <w:t>.</w:t>
      </w:r>
      <w:r w:rsidRPr="00713CD8">
        <w:rPr>
          <w:rFonts w:ascii="Arial" w:hAnsi="Arial" w:cs="Arial"/>
          <w:sz w:val="24"/>
          <w:szCs w:val="24"/>
        </w:rPr>
        <w:t xml:space="preserve"> </w:t>
      </w:r>
    </w:p>
    <w:p w:rsidR="0043520D" w:rsidRPr="00713CD8" w:rsidRDefault="00832F43">
      <w:pPr>
        <w:pStyle w:val="Nadpis3"/>
        <w:spacing w:before="0" w:after="120" w:line="240" w:lineRule="auto"/>
      </w:pPr>
      <w:r w:rsidRPr="004C0E36">
        <w:rPr>
          <w:rFonts w:cs="Arial"/>
          <w:szCs w:val="24"/>
        </w:rPr>
        <w:t>8</w:t>
      </w:r>
      <w:r w:rsidR="0043520D" w:rsidRPr="00713CD8">
        <w:t>.3</w:t>
      </w:r>
      <w:r w:rsidR="0043520D" w:rsidRPr="00713CD8">
        <w:tab/>
      </w:r>
      <w:r w:rsidR="00ED1DA2">
        <w:t>P</w:t>
      </w:r>
      <w:r w:rsidR="0043520D" w:rsidRPr="00713CD8">
        <w:t>lnění cílů Priorit orientovaného výzkumu, vývoje a inovací</w:t>
      </w:r>
    </w:p>
    <w:p w:rsidR="004D1C01" w:rsidRPr="00713CD8" w:rsidRDefault="00687681" w:rsidP="00713CD8">
      <w:pPr>
        <w:pStyle w:val="Textpoznpodarou"/>
        <w:spacing w:after="120"/>
        <w:jc w:val="both"/>
        <w:rPr>
          <w:rFonts w:ascii="Arial" w:hAnsi="Arial" w:cs="Arial"/>
          <w:i/>
          <w:color w:val="000000"/>
          <w:sz w:val="24"/>
          <w:szCs w:val="24"/>
        </w:rPr>
      </w:pPr>
      <w:r>
        <w:rPr>
          <w:rFonts w:ascii="Arial" w:hAnsi="Arial" w:cs="Arial"/>
          <w:color w:val="000000"/>
          <w:sz w:val="24"/>
          <w:szCs w:val="24"/>
        </w:rPr>
        <w:t>Program</w:t>
      </w:r>
      <w:r w:rsidR="004D1C01" w:rsidRPr="00713CD8">
        <w:rPr>
          <w:rFonts w:ascii="Arial" w:hAnsi="Arial" w:cs="Arial"/>
          <w:color w:val="000000"/>
          <w:sz w:val="24"/>
          <w:szCs w:val="24"/>
        </w:rPr>
        <w:t xml:space="preserve"> Zdravotnický výzkum </w:t>
      </w:r>
      <w:r>
        <w:rPr>
          <w:rFonts w:ascii="Arial" w:hAnsi="Arial" w:cs="Arial"/>
          <w:color w:val="000000"/>
          <w:sz w:val="24"/>
          <w:szCs w:val="24"/>
        </w:rPr>
        <w:t>NT byl stejně, jako program Bezpečnostní výzkum VG</w:t>
      </w:r>
      <w:r w:rsidR="004D1C01" w:rsidRPr="00713CD8">
        <w:rPr>
          <w:rFonts w:ascii="Arial" w:hAnsi="Arial" w:cs="Arial"/>
          <w:color w:val="000000"/>
          <w:sz w:val="24"/>
          <w:szCs w:val="24"/>
        </w:rPr>
        <w:t xml:space="preserve"> schválen před Prioritami a nebyl s ohledem na ně připravován</w:t>
      </w:r>
      <w:r>
        <w:rPr>
          <w:rFonts w:ascii="Arial" w:hAnsi="Arial" w:cs="Arial"/>
          <w:color w:val="000000"/>
          <w:sz w:val="24"/>
          <w:szCs w:val="24"/>
        </w:rPr>
        <w:t>. Jednotlivé řešené projekty však lze</w:t>
      </w:r>
      <w:r w:rsidR="004D1C01" w:rsidRPr="00713CD8">
        <w:rPr>
          <w:rFonts w:ascii="Arial" w:hAnsi="Arial" w:cs="Arial"/>
          <w:color w:val="000000"/>
          <w:sz w:val="24"/>
          <w:szCs w:val="24"/>
        </w:rPr>
        <w:t xml:space="preserve"> k Prioritám </w:t>
      </w:r>
      <w:r w:rsidR="003802F8" w:rsidRPr="00713CD8">
        <w:rPr>
          <w:rFonts w:ascii="Arial" w:hAnsi="Arial" w:cs="Arial"/>
          <w:color w:val="000000"/>
          <w:sz w:val="24"/>
          <w:szCs w:val="24"/>
        </w:rPr>
        <w:t>přiřadit.</w:t>
      </w:r>
    </w:p>
    <w:p w:rsidR="004C0E36" w:rsidRPr="00713CD8" w:rsidRDefault="004C0E36" w:rsidP="00713CD8">
      <w:pPr>
        <w:autoSpaceDE w:val="0"/>
        <w:autoSpaceDN w:val="0"/>
        <w:adjustRightInd w:val="0"/>
        <w:spacing w:after="120" w:line="240" w:lineRule="auto"/>
        <w:jc w:val="both"/>
        <w:rPr>
          <w:rFonts w:ascii="Arial" w:hAnsi="Arial" w:cs="Arial"/>
          <w:color w:val="000000"/>
          <w:sz w:val="24"/>
          <w:szCs w:val="24"/>
        </w:rPr>
      </w:pPr>
      <w:r w:rsidRPr="004D1C01">
        <w:rPr>
          <w:rFonts w:ascii="Arial" w:hAnsi="Arial" w:cs="Arial"/>
          <w:color w:val="000000"/>
          <w:sz w:val="24"/>
          <w:szCs w:val="24"/>
        </w:rPr>
        <w:t xml:space="preserve">Zdravotnický výzkum </w:t>
      </w:r>
      <w:r w:rsidR="00687681">
        <w:rPr>
          <w:rFonts w:ascii="Arial" w:hAnsi="Arial" w:cs="Arial"/>
          <w:color w:val="000000"/>
          <w:sz w:val="24"/>
          <w:szCs w:val="24"/>
        </w:rPr>
        <w:t xml:space="preserve">NT </w:t>
      </w:r>
      <w:r w:rsidR="00ED1DA2">
        <w:rPr>
          <w:rFonts w:ascii="Arial" w:hAnsi="Arial" w:cs="Arial"/>
          <w:color w:val="000000"/>
          <w:sz w:val="24"/>
          <w:szCs w:val="24"/>
        </w:rPr>
        <w:t>lze</w:t>
      </w:r>
      <w:r w:rsidRPr="004D1C01">
        <w:rPr>
          <w:rFonts w:ascii="Arial" w:hAnsi="Arial" w:cs="Arial"/>
          <w:color w:val="000000"/>
          <w:sz w:val="24"/>
          <w:szCs w:val="24"/>
        </w:rPr>
        <w:t xml:space="preserve"> </w:t>
      </w:r>
      <w:r w:rsidR="003802F8" w:rsidRPr="004D1C01">
        <w:rPr>
          <w:rFonts w:ascii="Arial" w:hAnsi="Arial" w:cs="Arial"/>
          <w:color w:val="000000"/>
          <w:sz w:val="24"/>
          <w:szCs w:val="24"/>
        </w:rPr>
        <w:t>přidružit</w:t>
      </w:r>
      <w:r w:rsidRPr="004D1C01">
        <w:rPr>
          <w:rFonts w:ascii="Arial" w:hAnsi="Arial" w:cs="Arial"/>
          <w:color w:val="000000"/>
          <w:sz w:val="24"/>
          <w:szCs w:val="24"/>
        </w:rPr>
        <w:t xml:space="preserve"> k prioritní oblasti</w:t>
      </w:r>
      <w:r w:rsidRPr="00713CD8">
        <w:rPr>
          <w:rFonts w:ascii="Arial" w:hAnsi="Arial" w:cs="Arial"/>
          <w:color w:val="000000"/>
          <w:sz w:val="24"/>
          <w:szCs w:val="24"/>
        </w:rPr>
        <w:t xml:space="preserve"> 5 </w:t>
      </w:r>
      <w:r w:rsidR="004D1C01" w:rsidRPr="00713CD8">
        <w:rPr>
          <w:rFonts w:ascii="Arial" w:hAnsi="Arial" w:cs="Arial"/>
          <w:color w:val="000000"/>
          <w:sz w:val="24"/>
          <w:szCs w:val="24"/>
        </w:rPr>
        <w:t xml:space="preserve">– </w:t>
      </w:r>
      <w:r w:rsidR="00ED1DA2">
        <w:rPr>
          <w:rFonts w:ascii="Arial" w:hAnsi="Arial" w:cs="Arial"/>
          <w:color w:val="000000"/>
          <w:sz w:val="24"/>
          <w:szCs w:val="24"/>
        </w:rPr>
        <w:t>Z</w:t>
      </w:r>
      <w:r w:rsidR="004D1C01" w:rsidRPr="00713CD8">
        <w:rPr>
          <w:rFonts w:ascii="Arial" w:hAnsi="Arial" w:cs="Arial"/>
          <w:color w:val="000000"/>
          <w:sz w:val="24"/>
          <w:szCs w:val="24"/>
        </w:rPr>
        <w:t>dravá populace. V této prioritní oblasti se však nejedná</w:t>
      </w:r>
      <w:r w:rsidRPr="00713CD8">
        <w:rPr>
          <w:rFonts w:ascii="Arial" w:hAnsi="Arial" w:cs="Arial"/>
          <w:color w:val="000000"/>
          <w:sz w:val="24"/>
          <w:szCs w:val="24"/>
        </w:rPr>
        <w:t xml:space="preserve"> pouze o medicínský výzkum, </w:t>
      </w:r>
      <w:r w:rsidR="004D1C01" w:rsidRPr="00713CD8">
        <w:rPr>
          <w:rFonts w:ascii="Arial" w:hAnsi="Arial" w:cs="Arial"/>
          <w:color w:val="000000"/>
          <w:sz w:val="24"/>
          <w:szCs w:val="24"/>
        </w:rPr>
        <w:t>ale patří sem</w:t>
      </w:r>
      <w:r w:rsidR="00ED1DA2">
        <w:rPr>
          <w:rFonts w:ascii="Arial" w:hAnsi="Arial" w:cs="Arial"/>
          <w:color w:val="000000"/>
          <w:sz w:val="24"/>
          <w:szCs w:val="24"/>
        </w:rPr>
        <w:t xml:space="preserve"> i další obory, zejména</w:t>
      </w:r>
      <w:r w:rsidR="003802F8">
        <w:rPr>
          <w:rFonts w:ascii="Arial" w:hAnsi="Arial" w:cs="Arial"/>
          <w:color w:val="000000"/>
          <w:sz w:val="24"/>
          <w:szCs w:val="24"/>
        </w:rPr>
        <w:t> </w:t>
      </w:r>
      <w:r w:rsidRPr="00713CD8">
        <w:rPr>
          <w:rFonts w:ascii="Arial" w:hAnsi="Arial" w:cs="Arial"/>
          <w:color w:val="000000"/>
          <w:sz w:val="24"/>
          <w:szCs w:val="24"/>
        </w:rPr>
        <w:t xml:space="preserve">sociologie, populační psychologie, demografie, atd. </w:t>
      </w:r>
    </w:p>
    <w:p w:rsidR="004C0E36" w:rsidRDefault="004D1C01" w:rsidP="00713CD8">
      <w:pPr>
        <w:autoSpaceDE w:val="0"/>
        <w:autoSpaceDN w:val="0"/>
        <w:adjustRightInd w:val="0"/>
        <w:spacing w:after="120" w:line="240" w:lineRule="auto"/>
        <w:jc w:val="both"/>
        <w:rPr>
          <w:rFonts w:ascii="Arial" w:hAnsi="Arial" w:cs="Arial"/>
          <w:color w:val="000000"/>
          <w:sz w:val="24"/>
          <w:szCs w:val="24"/>
        </w:rPr>
      </w:pPr>
      <w:r w:rsidRPr="00713CD8">
        <w:rPr>
          <w:rFonts w:ascii="Arial" w:hAnsi="Arial" w:cs="Arial"/>
          <w:color w:val="000000"/>
          <w:sz w:val="24"/>
          <w:szCs w:val="24"/>
        </w:rPr>
        <w:t xml:space="preserve">Program Zdravotnický výzkum </w:t>
      </w:r>
      <w:r w:rsidR="00687681">
        <w:rPr>
          <w:rFonts w:ascii="Arial" w:hAnsi="Arial" w:cs="Arial"/>
          <w:color w:val="000000"/>
          <w:sz w:val="24"/>
          <w:szCs w:val="24"/>
        </w:rPr>
        <w:t xml:space="preserve">NT </w:t>
      </w:r>
      <w:r w:rsidRPr="00713CD8">
        <w:rPr>
          <w:rFonts w:ascii="Arial" w:hAnsi="Arial" w:cs="Arial"/>
          <w:color w:val="000000"/>
          <w:sz w:val="24"/>
          <w:szCs w:val="24"/>
        </w:rPr>
        <w:t xml:space="preserve">je </w:t>
      </w:r>
      <w:r w:rsidR="00ED1DA2">
        <w:rPr>
          <w:rFonts w:ascii="Arial" w:hAnsi="Arial" w:cs="Arial"/>
          <w:color w:val="000000"/>
          <w:sz w:val="24"/>
          <w:szCs w:val="24"/>
        </w:rPr>
        <w:t xml:space="preserve">dále </w:t>
      </w:r>
      <w:r w:rsidRPr="00713CD8">
        <w:rPr>
          <w:rFonts w:ascii="Arial" w:hAnsi="Arial" w:cs="Arial"/>
          <w:color w:val="000000"/>
          <w:sz w:val="24"/>
          <w:szCs w:val="24"/>
        </w:rPr>
        <w:t>v souladu s </w:t>
      </w:r>
      <w:r w:rsidR="00ED1DA2">
        <w:rPr>
          <w:rFonts w:ascii="Arial" w:hAnsi="Arial" w:cs="Arial"/>
          <w:color w:val="000000"/>
          <w:sz w:val="24"/>
          <w:szCs w:val="24"/>
        </w:rPr>
        <w:t>prioritami</w:t>
      </w:r>
      <w:r w:rsidRPr="00713CD8">
        <w:rPr>
          <w:rFonts w:ascii="Arial" w:hAnsi="Arial" w:cs="Arial"/>
          <w:color w:val="000000"/>
          <w:sz w:val="24"/>
          <w:szCs w:val="24"/>
        </w:rPr>
        <w:t xml:space="preserve"> </w:t>
      </w:r>
      <w:r w:rsidR="004C0E36" w:rsidRPr="00713CD8">
        <w:rPr>
          <w:rFonts w:ascii="Arial" w:hAnsi="Arial" w:cs="Arial"/>
          <w:color w:val="000000"/>
          <w:sz w:val="24"/>
          <w:szCs w:val="24"/>
        </w:rPr>
        <w:t>Vznik a rozvoj chorob, Nové diagnostické a terapeutické metody a Epidemiologie a prevence nejzávažnějších chorob</w:t>
      </w:r>
      <w:r>
        <w:rPr>
          <w:rFonts w:ascii="Arial" w:hAnsi="Arial" w:cs="Arial"/>
          <w:color w:val="000000"/>
          <w:sz w:val="24"/>
          <w:szCs w:val="24"/>
        </w:rPr>
        <w:t xml:space="preserve"> i podoblastmi a prioritními dílčími cíli Priorit.</w:t>
      </w:r>
      <w:r w:rsidR="004C0E36" w:rsidRPr="00713CD8">
        <w:rPr>
          <w:rFonts w:ascii="Arial" w:hAnsi="Arial" w:cs="Arial"/>
          <w:color w:val="000000"/>
          <w:sz w:val="24"/>
          <w:szCs w:val="24"/>
        </w:rPr>
        <w:t xml:space="preserve"> </w:t>
      </w:r>
    </w:p>
    <w:p w:rsidR="0043520D" w:rsidRPr="00C35B43" w:rsidRDefault="003802F8">
      <w:pPr>
        <w:pStyle w:val="Nadpis3"/>
        <w:spacing w:before="0" w:after="120" w:line="240" w:lineRule="auto"/>
      </w:pPr>
      <w:r>
        <w:t>8</w:t>
      </w:r>
      <w:r w:rsidR="0043520D" w:rsidRPr="00C35B43">
        <w:t>.4</w:t>
      </w:r>
      <w:r w:rsidR="0043520D" w:rsidRPr="00C35B43">
        <w:tab/>
        <w:t>Využití výsledků včetně již známých přínosů</w:t>
      </w:r>
    </w:p>
    <w:p w:rsidR="00C96FCC" w:rsidRDefault="0043520D" w:rsidP="00713CD8">
      <w:pPr>
        <w:autoSpaceDE w:val="0"/>
        <w:autoSpaceDN w:val="0"/>
        <w:adjustRightInd w:val="0"/>
        <w:spacing w:after="120" w:line="240" w:lineRule="auto"/>
        <w:jc w:val="both"/>
        <w:rPr>
          <w:rFonts w:ascii="Arial" w:hAnsi="Arial" w:cs="Arial"/>
          <w:color w:val="000000"/>
          <w:sz w:val="24"/>
          <w:szCs w:val="24"/>
        </w:rPr>
      </w:pPr>
      <w:r w:rsidRPr="00B13EEB">
        <w:rPr>
          <w:rFonts w:ascii="Arial" w:hAnsi="Arial" w:cs="Arial"/>
          <w:color w:val="000000"/>
          <w:sz w:val="24"/>
          <w:szCs w:val="24"/>
        </w:rPr>
        <w:t xml:space="preserve">K hodnocení přínosů programu </w:t>
      </w:r>
      <w:r w:rsidR="00C35B43" w:rsidRPr="00B13EEB">
        <w:rPr>
          <w:rFonts w:ascii="Arial" w:hAnsi="Arial" w:cs="Arial"/>
          <w:color w:val="000000"/>
          <w:sz w:val="24"/>
          <w:szCs w:val="24"/>
        </w:rPr>
        <w:t>Zdravotnický výzkum</w:t>
      </w:r>
      <w:r w:rsidRPr="00B13EEB">
        <w:rPr>
          <w:rFonts w:ascii="Arial" w:hAnsi="Arial" w:cs="Arial"/>
          <w:color w:val="000000"/>
          <w:sz w:val="24"/>
          <w:szCs w:val="24"/>
        </w:rPr>
        <w:t xml:space="preserve"> by bylo nutné </w:t>
      </w:r>
      <w:r w:rsidR="009D4236">
        <w:rPr>
          <w:rFonts w:ascii="Arial" w:hAnsi="Arial" w:cs="Arial"/>
          <w:color w:val="000000"/>
          <w:sz w:val="24"/>
          <w:szCs w:val="24"/>
        </w:rPr>
        <w:t>se zabývat</w:t>
      </w:r>
      <w:r w:rsidRPr="00B13EEB">
        <w:rPr>
          <w:rFonts w:ascii="Arial" w:hAnsi="Arial" w:cs="Arial"/>
          <w:color w:val="000000"/>
          <w:sz w:val="24"/>
          <w:szCs w:val="24"/>
        </w:rPr>
        <w:t xml:space="preserve"> jednotliv</w:t>
      </w:r>
      <w:r w:rsidR="009D4236">
        <w:rPr>
          <w:rFonts w:ascii="Arial" w:hAnsi="Arial" w:cs="Arial"/>
          <w:color w:val="000000"/>
          <w:sz w:val="24"/>
          <w:szCs w:val="24"/>
        </w:rPr>
        <w:t>ými</w:t>
      </w:r>
      <w:r w:rsidRPr="00B13EEB">
        <w:rPr>
          <w:rFonts w:ascii="Arial" w:hAnsi="Arial" w:cs="Arial"/>
          <w:color w:val="000000"/>
          <w:sz w:val="24"/>
          <w:szCs w:val="24"/>
        </w:rPr>
        <w:t xml:space="preserve"> projekty a sledovat jejich dopady z hlediska kvality a rozsahu, což není úkolem Rady, ale </w:t>
      </w:r>
      <w:r w:rsidR="0000059D">
        <w:rPr>
          <w:rFonts w:ascii="Arial" w:hAnsi="Arial" w:cs="Arial"/>
          <w:color w:val="000000"/>
          <w:sz w:val="24"/>
          <w:szCs w:val="24"/>
        </w:rPr>
        <w:t xml:space="preserve">MZ jako </w:t>
      </w:r>
      <w:r w:rsidRPr="00B13EEB">
        <w:rPr>
          <w:rFonts w:ascii="Arial" w:hAnsi="Arial" w:cs="Arial"/>
          <w:color w:val="000000"/>
          <w:sz w:val="24"/>
          <w:szCs w:val="24"/>
        </w:rPr>
        <w:t xml:space="preserve">poskytovatele. </w:t>
      </w:r>
      <w:r w:rsidR="00352EF1">
        <w:rPr>
          <w:rFonts w:ascii="Arial" w:hAnsi="Arial" w:cs="Arial"/>
          <w:color w:val="000000"/>
          <w:sz w:val="24"/>
          <w:szCs w:val="24"/>
        </w:rPr>
        <w:t>V</w:t>
      </w:r>
      <w:r w:rsidR="0000059D">
        <w:rPr>
          <w:rFonts w:ascii="Arial" w:hAnsi="Arial" w:cs="Arial"/>
          <w:color w:val="000000"/>
          <w:sz w:val="24"/>
          <w:szCs w:val="24"/>
        </w:rPr>
        <w:t> </w:t>
      </w:r>
      <w:r w:rsidRPr="00B13EEB">
        <w:rPr>
          <w:rFonts w:ascii="Arial" w:hAnsi="Arial" w:cs="Arial"/>
          <w:color w:val="000000"/>
          <w:sz w:val="24"/>
          <w:szCs w:val="24"/>
        </w:rPr>
        <w:t>Závěrečné</w:t>
      </w:r>
      <w:r w:rsidR="0000059D">
        <w:rPr>
          <w:rFonts w:ascii="Arial" w:hAnsi="Arial" w:cs="Arial"/>
          <w:color w:val="000000"/>
          <w:sz w:val="24"/>
          <w:szCs w:val="24"/>
        </w:rPr>
        <w:t>m hodnocení</w:t>
      </w:r>
      <w:r w:rsidR="00664688">
        <w:rPr>
          <w:rFonts w:ascii="Arial" w:hAnsi="Arial" w:cs="Arial"/>
          <w:color w:val="000000"/>
          <w:sz w:val="24"/>
          <w:szCs w:val="24"/>
        </w:rPr>
        <w:t xml:space="preserve"> MZ</w:t>
      </w:r>
      <w:r w:rsidRPr="00B13EEB">
        <w:rPr>
          <w:rFonts w:ascii="Arial" w:hAnsi="Arial" w:cs="Arial"/>
          <w:color w:val="000000"/>
          <w:sz w:val="24"/>
          <w:szCs w:val="24"/>
        </w:rPr>
        <w:t xml:space="preserve"> </w:t>
      </w:r>
      <w:r w:rsidR="00352EF1">
        <w:rPr>
          <w:rFonts w:ascii="Arial" w:hAnsi="Arial" w:cs="Arial"/>
          <w:color w:val="000000"/>
          <w:sz w:val="24"/>
          <w:szCs w:val="24"/>
        </w:rPr>
        <w:t>je popsáno</w:t>
      </w:r>
      <w:r w:rsidR="00B13EEB" w:rsidRPr="00B13EEB">
        <w:rPr>
          <w:rFonts w:ascii="Arial" w:hAnsi="Arial" w:cs="Arial"/>
          <w:color w:val="000000"/>
          <w:sz w:val="24"/>
          <w:szCs w:val="24"/>
        </w:rPr>
        <w:t>,</w:t>
      </w:r>
      <w:r w:rsidR="00C35B43" w:rsidRPr="00B13EEB">
        <w:rPr>
          <w:rFonts w:ascii="Arial" w:hAnsi="Arial" w:cs="Arial"/>
          <w:color w:val="000000"/>
          <w:sz w:val="24"/>
          <w:szCs w:val="24"/>
        </w:rPr>
        <w:t xml:space="preserve"> které projekty dosáhly</w:t>
      </w:r>
      <w:r w:rsidRPr="00B13EEB">
        <w:rPr>
          <w:rFonts w:ascii="Arial" w:hAnsi="Arial" w:cs="Arial"/>
          <w:color w:val="000000"/>
          <w:sz w:val="24"/>
          <w:szCs w:val="24"/>
        </w:rPr>
        <w:t xml:space="preserve"> </w:t>
      </w:r>
      <w:r w:rsidR="00C35B43" w:rsidRPr="00B13EEB">
        <w:rPr>
          <w:rFonts w:ascii="Arial" w:hAnsi="Arial" w:cs="Arial"/>
          <w:color w:val="000000"/>
          <w:sz w:val="24"/>
          <w:szCs w:val="24"/>
        </w:rPr>
        <w:t>zvlášť významných výsledků</w:t>
      </w:r>
      <w:r w:rsidR="00D03E2D">
        <w:rPr>
          <w:rFonts w:ascii="Arial" w:hAnsi="Arial" w:cs="Arial"/>
          <w:color w:val="000000"/>
          <w:sz w:val="24"/>
          <w:szCs w:val="24"/>
        </w:rPr>
        <w:t xml:space="preserve"> a </w:t>
      </w:r>
      <w:r w:rsidR="0000059D">
        <w:rPr>
          <w:rFonts w:ascii="Arial" w:hAnsi="Arial" w:cs="Arial"/>
          <w:color w:val="000000"/>
          <w:sz w:val="24"/>
          <w:szCs w:val="24"/>
        </w:rPr>
        <w:t xml:space="preserve">získaly </w:t>
      </w:r>
      <w:r w:rsidR="00B13EEB">
        <w:rPr>
          <w:rFonts w:ascii="Arial" w:hAnsi="Arial" w:cs="Arial"/>
          <w:color w:val="000000"/>
          <w:sz w:val="24"/>
          <w:szCs w:val="24"/>
        </w:rPr>
        <w:t xml:space="preserve">Cenu ministra zdravotnictví za zdravotnický výzkum nebo Čestné uznání. </w:t>
      </w:r>
    </w:p>
    <w:p w:rsidR="00652E15" w:rsidRDefault="00B13EEB" w:rsidP="006E5573">
      <w:pPr>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t>Cenu ministra zdravotnictví získaly projekty</w:t>
      </w:r>
      <w:r w:rsidR="00652E15">
        <w:rPr>
          <w:rFonts w:ascii="Arial" w:hAnsi="Arial" w:cs="Arial"/>
          <w:color w:val="000000"/>
          <w:sz w:val="24"/>
          <w:szCs w:val="24"/>
        </w:rPr>
        <w:t>:</w:t>
      </w:r>
    </w:p>
    <w:p w:rsidR="00FD6DEA" w:rsidRPr="00FD6DEA" w:rsidRDefault="00B13EEB" w:rsidP="006E5573">
      <w:pPr>
        <w:pStyle w:val="Odstavecseseznamem"/>
        <w:numPr>
          <w:ilvl w:val="0"/>
          <w:numId w:val="33"/>
        </w:numPr>
        <w:autoSpaceDE w:val="0"/>
        <w:autoSpaceDN w:val="0"/>
        <w:adjustRightInd w:val="0"/>
        <w:spacing w:after="120" w:line="240" w:lineRule="auto"/>
        <w:jc w:val="both"/>
        <w:rPr>
          <w:rFonts w:ascii="Arial" w:hAnsi="Arial" w:cs="Arial"/>
          <w:bCs/>
          <w:sz w:val="24"/>
          <w:szCs w:val="24"/>
        </w:rPr>
      </w:pPr>
      <w:r w:rsidRPr="00652E15">
        <w:rPr>
          <w:rFonts w:ascii="Arial" w:hAnsi="Arial" w:cs="Arial"/>
          <w:color w:val="000000"/>
          <w:sz w:val="24"/>
          <w:szCs w:val="24"/>
        </w:rPr>
        <w:t>Identifikace a funkční charakterizace mikro</w:t>
      </w:r>
      <w:r w:rsidR="003802F8" w:rsidRPr="00652E15">
        <w:rPr>
          <w:rFonts w:ascii="Arial" w:hAnsi="Arial" w:cs="Arial"/>
          <w:color w:val="000000"/>
          <w:sz w:val="24"/>
          <w:szCs w:val="24"/>
        </w:rPr>
        <w:t>RNA</w:t>
      </w:r>
      <w:r w:rsidRPr="00652E15">
        <w:rPr>
          <w:rFonts w:ascii="Arial" w:hAnsi="Arial" w:cs="Arial"/>
          <w:color w:val="000000"/>
          <w:sz w:val="24"/>
          <w:szCs w:val="24"/>
        </w:rPr>
        <w:t xml:space="preserve"> s prediktivním významem u</w:t>
      </w:r>
      <w:r w:rsidR="00652E15">
        <w:rPr>
          <w:rFonts w:ascii="Arial" w:hAnsi="Arial" w:cs="Arial"/>
          <w:color w:val="000000"/>
          <w:sz w:val="24"/>
          <w:szCs w:val="24"/>
        </w:rPr>
        <w:t> </w:t>
      </w:r>
      <w:r w:rsidRPr="00652E15">
        <w:rPr>
          <w:rFonts w:ascii="Arial" w:hAnsi="Arial" w:cs="Arial"/>
          <w:color w:val="000000"/>
          <w:sz w:val="24"/>
          <w:szCs w:val="24"/>
        </w:rPr>
        <w:t>pacientů s glioblastomem,</w:t>
      </w:r>
      <w:r w:rsidR="00FD6DEA">
        <w:rPr>
          <w:rFonts w:ascii="Arial" w:hAnsi="Arial" w:cs="Arial"/>
          <w:color w:val="000000"/>
          <w:sz w:val="24"/>
          <w:szCs w:val="24"/>
        </w:rPr>
        <w:t xml:space="preserve"> </w:t>
      </w:r>
    </w:p>
    <w:p w:rsidR="00352EF1" w:rsidRDefault="00B13EEB" w:rsidP="006E5573">
      <w:pPr>
        <w:pStyle w:val="Odstavecseseznamem"/>
        <w:numPr>
          <w:ilvl w:val="0"/>
          <w:numId w:val="33"/>
        </w:numPr>
        <w:autoSpaceDE w:val="0"/>
        <w:autoSpaceDN w:val="0"/>
        <w:adjustRightInd w:val="0"/>
        <w:spacing w:after="120" w:line="240" w:lineRule="auto"/>
        <w:rPr>
          <w:rFonts w:ascii="Arial" w:hAnsi="Arial" w:cs="Arial"/>
          <w:bCs/>
          <w:sz w:val="24"/>
          <w:szCs w:val="24"/>
        </w:rPr>
      </w:pPr>
      <w:r w:rsidRPr="00FD6DEA">
        <w:rPr>
          <w:rFonts w:ascii="Arial" w:hAnsi="Arial" w:cs="Arial"/>
          <w:bCs/>
          <w:sz w:val="24"/>
          <w:szCs w:val="24"/>
        </w:rPr>
        <w:t>Analýza</w:t>
      </w:r>
      <w:r w:rsidR="00C96FCC" w:rsidRPr="00FD6DEA">
        <w:rPr>
          <w:rFonts w:ascii="Arial" w:hAnsi="Arial" w:cs="Arial"/>
          <w:bCs/>
          <w:sz w:val="24"/>
          <w:szCs w:val="24"/>
        </w:rPr>
        <w:t> </w:t>
      </w:r>
      <w:r w:rsidR="00FD6DEA">
        <w:rPr>
          <w:rFonts w:ascii="Arial" w:hAnsi="Arial" w:cs="Arial"/>
          <w:bCs/>
          <w:sz w:val="24"/>
          <w:szCs w:val="24"/>
        </w:rPr>
        <w:t xml:space="preserve"> </w:t>
      </w:r>
      <w:r w:rsidRPr="00FD6DEA">
        <w:rPr>
          <w:rFonts w:ascii="Arial" w:hAnsi="Arial" w:cs="Arial"/>
          <w:bCs/>
          <w:sz w:val="24"/>
          <w:szCs w:val="24"/>
        </w:rPr>
        <w:t>a</w:t>
      </w:r>
      <w:r w:rsidR="00C96FCC" w:rsidRPr="00FD6DEA">
        <w:rPr>
          <w:rFonts w:ascii="Arial" w:hAnsi="Arial" w:cs="Arial"/>
          <w:bCs/>
          <w:sz w:val="24"/>
          <w:szCs w:val="24"/>
        </w:rPr>
        <w:t> </w:t>
      </w:r>
      <w:r w:rsidR="00FD6DEA">
        <w:rPr>
          <w:rFonts w:ascii="Arial" w:hAnsi="Arial" w:cs="Arial"/>
          <w:bCs/>
          <w:sz w:val="24"/>
          <w:szCs w:val="24"/>
        </w:rPr>
        <w:t xml:space="preserve"> </w:t>
      </w:r>
      <w:r w:rsidRPr="00FD6DEA">
        <w:rPr>
          <w:rFonts w:ascii="Arial" w:hAnsi="Arial" w:cs="Arial"/>
          <w:bCs/>
          <w:sz w:val="24"/>
          <w:szCs w:val="24"/>
        </w:rPr>
        <w:t>cílená</w:t>
      </w:r>
      <w:r w:rsidR="00C96FCC" w:rsidRPr="00FD6DEA">
        <w:rPr>
          <w:rFonts w:ascii="Arial" w:hAnsi="Arial" w:cs="Arial"/>
          <w:bCs/>
          <w:sz w:val="24"/>
          <w:szCs w:val="24"/>
        </w:rPr>
        <w:t> </w:t>
      </w:r>
      <w:r w:rsidR="00FD6DEA">
        <w:rPr>
          <w:rFonts w:ascii="Arial" w:hAnsi="Arial" w:cs="Arial"/>
          <w:bCs/>
          <w:sz w:val="24"/>
          <w:szCs w:val="24"/>
        </w:rPr>
        <w:t xml:space="preserve"> </w:t>
      </w:r>
      <w:r w:rsidRPr="00FD6DEA">
        <w:rPr>
          <w:rFonts w:ascii="Arial" w:hAnsi="Arial" w:cs="Arial"/>
          <w:bCs/>
          <w:sz w:val="24"/>
          <w:szCs w:val="24"/>
        </w:rPr>
        <w:t>modulace </w:t>
      </w:r>
      <w:r w:rsidR="00FD6DEA">
        <w:rPr>
          <w:rFonts w:ascii="Arial" w:hAnsi="Arial" w:cs="Arial"/>
          <w:bCs/>
          <w:sz w:val="24"/>
          <w:szCs w:val="24"/>
        </w:rPr>
        <w:t xml:space="preserve"> </w:t>
      </w:r>
      <w:r w:rsidRPr="00FD6DEA">
        <w:rPr>
          <w:rFonts w:ascii="Arial" w:hAnsi="Arial" w:cs="Arial"/>
          <w:bCs/>
          <w:sz w:val="24"/>
          <w:szCs w:val="24"/>
        </w:rPr>
        <w:t>mechanismů</w:t>
      </w:r>
      <w:r w:rsidR="00C96FCC" w:rsidRPr="00FD6DEA">
        <w:rPr>
          <w:rFonts w:ascii="Arial" w:hAnsi="Arial" w:cs="Arial"/>
          <w:bCs/>
          <w:sz w:val="24"/>
          <w:szCs w:val="24"/>
        </w:rPr>
        <w:t> </w:t>
      </w:r>
      <w:r w:rsidR="00FD6DEA">
        <w:rPr>
          <w:rFonts w:ascii="Arial" w:hAnsi="Arial" w:cs="Arial"/>
          <w:bCs/>
          <w:sz w:val="24"/>
          <w:szCs w:val="24"/>
        </w:rPr>
        <w:t xml:space="preserve"> </w:t>
      </w:r>
      <w:r w:rsidRPr="00FD6DEA">
        <w:rPr>
          <w:rFonts w:ascii="Arial" w:hAnsi="Arial" w:cs="Arial"/>
          <w:bCs/>
          <w:sz w:val="24"/>
          <w:szCs w:val="24"/>
        </w:rPr>
        <w:t>přenosu</w:t>
      </w:r>
      <w:r w:rsidR="00C96FCC" w:rsidRPr="00FD6DEA">
        <w:rPr>
          <w:rFonts w:ascii="Arial" w:hAnsi="Arial" w:cs="Arial"/>
          <w:bCs/>
          <w:sz w:val="24"/>
          <w:szCs w:val="24"/>
        </w:rPr>
        <w:t> </w:t>
      </w:r>
      <w:r w:rsidR="00FD6DEA">
        <w:rPr>
          <w:rFonts w:ascii="Arial" w:hAnsi="Arial" w:cs="Arial"/>
          <w:bCs/>
          <w:sz w:val="24"/>
          <w:szCs w:val="24"/>
        </w:rPr>
        <w:t xml:space="preserve"> </w:t>
      </w:r>
      <w:r w:rsidRPr="00FD6DEA">
        <w:rPr>
          <w:rFonts w:ascii="Arial" w:hAnsi="Arial" w:cs="Arial"/>
          <w:bCs/>
          <w:sz w:val="24"/>
          <w:szCs w:val="24"/>
        </w:rPr>
        <w:t>signálu</w:t>
      </w:r>
      <w:r w:rsidR="00C96FCC" w:rsidRPr="00FD6DEA">
        <w:rPr>
          <w:rFonts w:ascii="Arial" w:hAnsi="Arial" w:cs="Arial"/>
          <w:bCs/>
          <w:sz w:val="24"/>
          <w:szCs w:val="24"/>
        </w:rPr>
        <w:t> </w:t>
      </w:r>
      <w:r w:rsidR="00FD6DEA">
        <w:rPr>
          <w:rFonts w:ascii="Arial" w:hAnsi="Arial" w:cs="Arial"/>
          <w:bCs/>
          <w:sz w:val="24"/>
          <w:szCs w:val="24"/>
        </w:rPr>
        <w:t xml:space="preserve"> </w:t>
      </w:r>
      <w:r w:rsidRPr="00FD6DEA">
        <w:rPr>
          <w:rFonts w:ascii="Arial" w:hAnsi="Arial" w:cs="Arial"/>
          <w:bCs/>
          <w:sz w:val="24"/>
          <w:szCs w:val="24"/>
        </w:rPr>
        <w:t>a</w:t>
      </w:r>
      <w:r w:rsidR="00C96FCC" w:rsidRPr="00FD6DEA">
        <w:rPr>
          <w:rFonts w:ascii="Arial" w:hAnsi="Arial" w:cs="Arial"/>
          <w:bCs/>
          <w:sz w:val="24"/>
          <w:szCs w:val="24"/>
        </w:rPr>
        <w:t> </w:t>
      </w:r>
      <w:r w:rsidRPr="00FD6DEA">
        <w:rPr>
          <w:rFonts w:ascii="Arial" w:hAnsi="Arial" w:cs="Arial"/>
          <w:bCs/>
          <w:sz w:val="24"/>
          <w:szCs w:val="24"/>
        </w:rPr>
        <w:t>opravy</w:t>
      </w:r>
      <w:r w:rsidR="00352EF1">
        <w:rPr>
          <w:rFonts w:ascii="Arial" w:hAnsi="Arial" w:cs="Arial"/>
          <w:bCs/>
          <w:sz w:val="24"/>
          <w:szCs w:val="24"/>
        </w:rPr>
        <w:t xml:space="preserve"> </w:t>
      </w:r>
    </w:p>
    <w:p w:rsidR="00352EF1" w:rsidRDefault="00B13EEB" w:rsidP="006E5573">
      <w:pPr>
        <w:pStyle w:val="Odstavecseseznamem"/>
        <w:autoSpaceDE w:val="0"/>
        <w:autoSpaceDN w:val="0"/>
        <w:adjustRightInd w:val="0"/>
        <w:spacing w:after="120" w:line="240" w:lineRule="auto"/>
        <w:ind w:left="790"/>
        <w:rPr>
          <w:rFonts w:ascii="Arial" w:hAnsi="Arial" w:cs="Arial"/>
          <w:bCs/>
          <w:sz w:val="24"/>
          <w:szCs w:val="24"/>
        </w:rPr>
      </w:pPr>
      <w:r w:rsidRPr="00FD6DEA">
        <w:rPr>
          <w:rFonts w:ascii="Arial" w:hAnsi="Arial" w:cs="Arial"/>
          <w:bCs/>
          <w:sz w:val="24"/>
          <w:szCs w:val="24"/>
        </w:rPr>
        <w:t>poškození</w:t>
      </w:r>
      <w:r w:rsidR="00FD6DEA">
        <w:rPr>
          <w:rFonts w:ascii="Arial" w:hAnsi="Arial" w:cs="Arial"/>
          <w:bCs/>
          <w:sz w:val="24"/>
          <w:szCs w:val="24"/>
        </w:rPr>
        <w:t xml:space="preserve"> </w:t>
      </w:r>
      <w:r w:rsidR="00C96FCC" w:rsidRPr="00FD6DEA">
        <w:rPr>
          <w:rFonts w:ascii="Arial" w:hAnsi="Arial" w:cs="Arial"/>
          <w:bCs/>
          <w:sz w:val="24"/>
          <w:szCs w:val="24"/>
        </w:rPr>
        <w:t> </w:t>
      </w:r>
      <w:r w:rsidRPr="00FD6DEA">
        <w:rPr>
          <w:rFonts w:ascii="Arial" w:hAnsi="Arial" w:cs="Arial"/>
          <w:bCs/>
          <w:sz w:val="24"/>
          <w:szCs w:val="24"/>
        </w:rPr>
        <w:t>DNA</w:t>
      </w:r>
      <w:r w:rsidR="00C96FCC" w:rsidRPr="00FD6DEA">
        <w:rPr>
          <w:rFonts w:ascii="Arial" w:hAnsi="Arial" w:cs="Arial"/>
          <w:bCs/>
          <w:sz w:val="24"/>
          <w:szCs w:val="24"/>
        </w:rPr>
        <w:t> </w:t>
      </w:r>
      <w:r w:rsidR="00FD6DEA">
        <w:rPr>
          <w:rFonts w:ascii="Arial" w:hAnsi="Arial" w:cs="Arial"/>
          <w:bCs/>
          <w:sz w:val="24"/>
          <w:szCs w:val="24"/>
        </w:rPr>
        <w:t xml:space="preserve"> </w:t>
      </w:r>
      <w:r w:rsidRPr="00FD6DEA">
        <w:rPr>
          <w:rFonts w:ascii="Arial" w:hAnsi="Arial" w:cs="Arial"/>
          <w:bCs/>
          <w:sz w:val="24"/>
          <w:szCs w:val="24"/>
        </w:rPr>
        <w:t>u</w:t>
      </w:r>
      <w:r w:rsidR="00352EF1">
        <w:rPr>
          <w:rFonts w:ascii="Arial" w:hAnsi="Arial" w:cs="Arial"/>
          <w:bCs/>
          <w:sz w:val="24"/>
          <w:szCs w:val="24"/>
        </w:rPr>
        <w:t> </w:t>
      </w:r>
      <w:r w:rsidRPr="00FD6DEA">
        <w:rPr>
          <w:rFonts w:ascii="Arial" w:hAnsi="Arial" w:cs="Arial"/>
          <w:bCs/>
          <w:sz w:val="24"/>
          <w:szCs w:val="24"/>
        </w:rPr>
        <w:t>glioblastomu</w:t>
      </w:r>
      <w:r w:rsidR="00352EF1">
        <w:rPr>
          <w:rFonts w:ascii="Arial" w:hAnsi="Arial" w:cs="Arial"/>
          <w:bCs/>
          <w:sz w:val="24"/>
          <w:szCs w:val="24"/>
        </w:rPr>
        <w:t xml:space="preserve"> </w:t>
      </w:r>
      <w:r w:rsidRPr="00FD6DEA">
        <w:rPr>
          <w:rFonts w:ascii="Arial" w:hAnsi="Arial" w:cs="Arial"/>
          <w:bCs/>
          <w:sz w:val="24"/>
          <w:szCs w:val="24"/>
        </w:rPr>
        <w:t> a</w:t>
      </w:r>
      <w:r w:rsidR="003802F8" w:rsidRPr="00FD6DEA">
        <w:rPr>
          <w:rFonts w:ascii="Arial" w:hAnsi="Arial" w:cs="Arial"/>
          <w:bCs/>
          <w:sz w:val="24"/>
          <w:szCs w:val="24"/>
        </w:rPr>
        <w:t> </w:t>
      </w:r>
      <w:r w:rsidR="00352EF1">
        <w:rPr>
          <w:rFonts w:ascii="Arial" w:hAnsi="Arial" w:cs="Arial"/>
          <w:bCs/>
          <w:sz w:val="24"/>
          <w:szCs w:val="24"/>
        </w:rPr>
        <w:t xml:space="preserve"> </w:t>
      </w:r>
      <w:r w:rsidRPr="00FD6DEA">
        <w:rPr>
          <w:rFonts w:ascii="Arial" w:hAnsi="Arial" w:cs="Arial"/>
          <w:bCs/>
          <w:sz w:val="24"/>
          <w:szCs w:val="24"/>
        </w:rPr>
        <w:t>kmenových</w:t>
      </w:r>
      <w:r w:rsidR="00352EF1">
        <w:rPr>
          <w:rFonts w:ascii="Arial" w:hAnsi="Arial" w:cs="Arial"/>
          <w:bCs/>
          <w:sz w:val="24"/>
          <w:szCs w:val="24"/>
        </w:rPr>
        <w:t> b</w:t>
      </w:r>
      <w:r w:rsidRPr="00FD6DEA">
        <w:rPr>
          <w:rFonts w:ascii="Arial" w:hAnsi="Arial" w:cs="Arial"/>
          <w:bCs/>
          <w:sz w:val="24"/>
          <w:szCs w:val="24"/>
        </w:rPr>
        <w:t>uněk</w:t>
      </w:r>
      <w:r w:rsidR="00352EF1">
        <w:rPr>
          <w:rFonts w:ascii="Arial" w:hAnsi="Arial" w:cs="Arial"/>
          <w:bCs/>
          <w:sz w:val="24"/>
          <w:szCs w:val="24"/>
        </w:rPr>
        <w:t> </w:t>
      </w:r>
      <w:r w:rsidRPr="00FD6DEA">
        <w:rPr>
          <w:rFonts w:ascii="Arial" w:hAnsi="Arial" w:cs="Arial"/>
          <w:bCs/>
          <w:sz w:val="24"/>
          <w:szCs w:val="24"/>
        </w:rPr>
        <w:t>glioblastomu</w:t>
      </w:r>
      <w:r w:rsidR="00352EF1">
        <w:rPr>
          <w:rFonts w:ascii="Arial" w:hAnsi="Arial" w:cs="Arial"/>
          <w:bCs/>
          <w:sz w:val="24"/>
          <w:szCs w:val="24"/>
        </w:rPr>
        <w:t xml:space="preserve"> </w:t>
      </w:r>
      <w:r w:rsidRPr="00FD6DEA">
        <w:rPr>
          <w:rFonts w:ascii="Arial" w:hAnsi="Arial" w:cs="Arial"/>
          <w:bCs/>
          <w:sz w:val="24"/>
          <w:szCs w:val="24"/>
        </w:rPr>
        <w:t> jako</w:t>
      </w:r>
    </w:p>
    <w:p w:rsidR="00FD6DEA" w:rsidRPr="00FD6DEA" w:rsidRDefault="00B13EEB" w:rsidP="006E5573">
      <w:pPr>
        <w:pStyle w:val="Odstavecseseznamem"/>
        <w:autoSpaceDE w:val="0"/>
        <w:autoSpaceDN w:val="0"/>
        <w:adjustRightInd w:val="0"/>
        <w:spacing w:after="120" w:line="240" w:lineRule="auto"/>
        <w:ind w:left="790"/>
        <w:rPr>
          <w:rFonts w:ascii="Arial" w:hAnsi="Arial" w:cs="Arial"/>
          <w:bCs/>
          <w:sz w:val="24"/>
          <w:szCs w:val="24"/>
        </w:rPr>
      </w:pPr>
      <w:r w:rsidRPr="00FD6DEA">
        <w:rPr>
          <w:rFonts w:ascii="Arial" w:hAnsi="Arial" w:cs="Arial"/>
          <w:bCs/>
          <w:sz w:val="24"/>
          <w:szCs w:val="24"/>
        </w:rPr>
        <w:t>strategie</w:t>
      </w:r>
      <w:r w:rsidR="00C96FCC" w:rsidRPr="00FD6DEA">
        <w:rPr>
          <w:rFonts w:ascii="Arial" w:hAnsi="Arial" w:cs="Arial"/>
          <w:bCs/>
          <w:sz w:val="24"/>
          <w:szCs w:val="24"/>
        </w:rPr>
        <w:t> pr</w:t>
      </w:r>
      <w:r w:rsidR="00FD6DEA" w:rsidRPr="00FD6DEA">
        <w:rPr>
          <w:rFonts w:ascii="Arial" w:hAnsi="Arial" w:cs="Arial"/>
          <w:bCs/>
          <w:sz w:val="24"/>
          <w:szCs w:val="24"/>
        </w:rPr>
        <w:t>o</w:t>
      </w:r>
      <w:r w:rsidR="006E5573">
        <w:rPr>
          <w:rFonts w:ascii="Arial" w:hAnsi="Arial" w:cs="Arial"/>
          <w:bCs/>
          <w:sz w:val="24"/>
          <w:szCs w:val="24"/>
        </w:rPr>
        <w:t> o</w:t>
      </w:r>
      <w:r w:rsidR="00FD6DEA" w:rsidRPr="00FD6DEA">
        <w:rPr>
          <w:rFonts w:ascii="Arial" w:hAnsi="Arial" w:cs="Arial"/>
          <w:bCs/>
          <w:sz w:val="24"/>
          <w:szCs w:val="24"/>
        </w:rPr>
        <w:t>bjas</w:t>
      </w:r>
      <w:r w:rsidR="00652E15" w:rsidRPr="00FD6DEA">
        <w:rPr>
          <w:rFonts w:ascii="Arial" w:hAnsi="Arial" w:cs="Arial"/>
          <w:bCs/>
          <w:sz w:val="24"/>
          <w:szCs w:val="24"/>
        </w:rPr>
        <w:t>nění</w:t>
      </w:r>
      <w:r w:rsidRPr="00FD6DEA">
        <w:rPr>
          <w:rFonts w:ascii="Arial" w:hAnsi="Arial" w:cs="Arial"/>
          <w:bCs/>
          <w:sz w:val="24"/>
          <w:szCs w:val="24"/>
        </w:rPr>
        <w:t> patoge</w:t>
      </w:r>
      <w:r w:rsidR="00A877DE" w:rsidRPr="00FD6DEA">
        <w:rPr>
          <w:rFonts w:ascii="Arial" w:hAnsi="Arial" w:cs="Arial"/>
          <w:bCs/>
          <w:sz w:val="24"/>
          <w:szCs w:val="24"/>
        </w:rPr>
        <w:t>ne</w:t>
      </w:r>
      <w:r w:rsidR="00652E15" w:rsidRPr="00FD6DEA">
        <w:rPr>
          <w:rFonts w:ascii="Arial" w:hAnsi="Arial" w:cs="Arial"/>
          <w:bCs/>
          <w:sz w:val="24"/>
          <w:szCs w:val="24"/>
        </w:rPr>
        <w:t>ze</w:t>
      </w:r>
      <w:r w:rsidR="00C96FCC" w:rsidRPr="00FD6DEA">
        <w:rPr>
          <w:rFonts w:ascii="Arial" w:hAnsi="Arial" w:cs="Arial"/>
          <w:bCs/>
          <w:sz w:val="24"/>
          <w:szCs w:val="24"/>
        </w:rPr>
        <w:t> </w:t>
      </w:r>
      <w:r w:rsidRPr="00FD6DEA">
        <w:rPr>
          <w:rFonts w:ascii="Arial" w:hAnsi="Arial" w:cs="Arial"/>
          <w:bCs/>
          <w:sz w:val="24"/>
          <w:szCs w:val="24"/>
        </w:rPr>
        <w:t>a</w:t>
      </w:r>
      <w:r w:rsidR="00C96FCC" w:rsidRPr="00FD6DEA">
        <w:rPr>
          <w:rFonts w:ascii="Arial" w:hAnsi="Arial" w:cs="Arial"/>
          <w:bCs/>
          <w:sz w:val="24"/>
          <w:szCs w:val="24"/>
        </w:rPr>
        <w:t> </w:t>
      </w:r>
      <w:r w:rsidRPr="00FD6DEA">
        <w:rPr>
          <w:rFonts w:ascii="Arial" w:hAnsi="Arial" w:cs="Arial"/>
          <w:bCs/>
          <w:sz w:val="24"/>
          <w:szCs w:val="24"/>
        </w:rPr>
        <w:t>hledání</w:t>
      </w:r>
      <w:r w:rsidR="00652E15" w:rsidRPr="00FD6DEA">
        <w:rPr>
          <w:rFonts w:ascii="Arial" w:hAnsi="Arial" w:cs="Arial"/>
          <w:bCs/>
          <w:sz w:val="24"/>
          <w:szCs w:val="24"/>
        </w:rPr>
        <w:t> </w:t>
      </w:r>
      <w:r w:rsidRPr="00FD6DEA">
        <w:rPr>
          <w:rFonts w:ascii="Arial" w:hAnsi="Arial" w:cs="Arial"/>
          <w:bCs/>
          <w:sz w:val="24"/>
          <w:szCs w:val="24"/>
        </w:rPr>
        <w:t>individualizované,</w:t>
      </w:r>
      <w:r w:rsidR="00652E15" w:rsidRPr="00FD6DEA">
        <w:rPr>
          <w:rFonts w:ascii="Arial" w:hAnsi="Arial" w:cs="Arial"/>
          <w:bCs/>
          <w:sz w:val="24"/>
          <w:szCs w:val="24"/>
        </w:rPr>
        <w:t> </w:t>
      </w:r>
      <w:r w:rsidRPr="00FD6DEA">
        <w:rPr>
          <w:rFonts w:ascii="Arial" w:hAnsi="Arial" w:cs="Arial"/>
          <w:bCs/>
          <w:sz w:val="24"/>
          <w:szCs w:val="24"/>
        </w:rPr>
        <w:t>molekulárně</w:t>
      </w:r>
      <w:r w:rsidR="00652E15" w:rsidRPr="00FD6DEA">
        <w:rPr>
          <w:rFonts w:ascii="Arial" w:hAnsi="Arial" w:cs="Arial"/>
          <w:bCs/>
          <w:sz w:val="24"/>
          <w:szCs w:val="24"/>
        </w:rPr>
        <w:t> c</w:t>
      </w:r>
      <w:r w:rsidRPr="00FD6DEA">
        <w:rPr>
          <w:rFonts w:ascii="Arial" w:hAnsi="Arial" w:cs="Arial"/>
          <w:bCs/>
          <w:sz w:val="24"/>
          <w:szCs w:val="24"/>
        </w:rPr>
        <w:t>ílené léčby</w:t>
      </w:r>
      <w:r w:rsidR="00652E15" w:rsidRPr="00FD6DEA">
        <w:rPr>
          <w:rFonts w:ascii="Arial" w:hAnsi="Arial" w:cs="Arial"/>
          <w:bCs/>
          <w:sz w:val="24"/>
          <w:szCs w:val="24"/>
        </w:rPr>
        <w:t> </w:t>
      </w:r>
      <w:r w:rsidR="00FD6DEA">
        <w:rPr>
          <w:rFonts w:ascii="Arial" w:hAnsi="Arial" w:cs="Arial"/>
          <w:bCs/>
          <w:sz w:val="24"/>
          <w:szCs w:val="24"/>
        </w:rPr>
        <w:t xml:space="preserve"> </w:t>
      </w:r>
      <w:r w:rsidRPr="00FD6DEA">
        <w:rPr>
          <w:rFonts w:ascii="Arial" w:hAnsi="Arial" w:cs="Arial"/>
          <w:bCs/>
          <w:sz w:val="24"/>
          <w:szCs w:val="24"/>
        </w:rPr>
        <w:t>v</w:t>
      </w:r>
      <w:r w:rsidR="003802F8" w:rsidRPr="00FD6DEA">
        <w:rPr>
          <w:rFonts w:ascii="Arial" w:hAnsi="Arial" w:cs="Arial"/>
          <w:bCs/>
          <w:sz w:val="24"/>
          <w:szCs w:val="24"/>
        </w:rPr>
        <w:t> </w:t>
      </w:r>
      <w:r w:rsidRPr="00FD6DEA">
        <w:rPr>
          <w:rFonts w:ascii="Arial" w:hAnsi="Arial" w:cs="Arial"/>
          <w:bCs/>
          <w:sz w:val="24"/>
          <w:szCs w:val="24"/>
        </w:rPr>
        <w:t>kombinaci s léčbou klasickou,</w:t>
      </w:r>
      <w:r w:rsidR="00D02D8B" w:rsidRPr="00FD6DEA">
        <w:rPr>
          <w:rFonts w:ascii="Arial" w:hAnsi="Arial" w:cs="Arial"/>
          <w:bCs/>
          <w:sz w:val="24"/>
          <w:szCs w:val="24"/>
        </w:rPr>
        <w:t> </w:t>
      </w:r>
    </w:p>
    <w:p w:rsidR="00652E15" w:rsidRPr="00FD6DEA" w:rsidRDefault="00B13EEB" w:rsidP="006E5573">
      <w:pPr>
        <w:pStyle w:val="Odstavecseseznamem"/>
        <w:numPr>
          <w:ilvl w:val="0"/>
          <w:numId w:val="33"/>
        </w:numPr>
        <w:autoSpaceDE w:val="0"/>
        <w:autoSpaceDN w:val="0"/>
        <w:adjustRightInd w:val="0"/>
        <w:spacing w:after="120" w:line="240" w:lineRule="auto"/>
        <w:jc w:val="both"/>
        <w:rPr>
          <w:rFonts w:ascii="Arial" w:hAnsi="Arial" w:cs="Arial"/>
          <w:bCs/>
          <w:sz w:val="24"/>
          <w:szCs w:val="24"/>
        </w:rPr>
      </w:pPr>
      <w:r w:rsidRPr="00FD6DEA">
        <w:rPr>
          <w:rFonts w:ascii="Arial" w:hAnsi="Arial" w:cs="Arial"/>
          <w:bCs/>
          <w:sz w:val="24"/>
          <w:szCs w:val="24"/>
        </w:rPr>
        <w:t>Molekulární fenotypizace minimálního</w:t>
      </w:r>
      <w:r w:rsidR="00D02D8B" w:rsidRPr="00FD6DEA">
        <w:rPr>
          <w:rFonts w:ascii="Arial" w:hAnsi="Arial" w:cs="Arial"/>
          <w:bCs/>
          <w:sz w:val="24"/>
          <w:szCs w:val="24"/>
        </w:rPr>
        <w:t> </w:t>
      </w:r>
      <w:r w:rsidRPr="00FD6DEA">
        <w:rPr>
          <w:rFonts w:ascii="Arial" w:hAnsi="Arial" w:cs="Arial"/>
          <w:bCs/>
          <w:sz w:val="24"/>
          <w:szCs w:val="24"/>
        </w:rPr>
        <w:t>poškození transplantované ledviny a</w:t>
      </w:r>
      <w:r w:rsidR="00D02D8B" w:rsidRPr="00FD6DEA">
        <w:rPr>
          <w:rFonts w:ascii="Arial" w:hAnsi="Arial" w:cs="Arial"/>
          <w:bCs/>
          <w:sz w:val="24"/>
          <w:szCs w:val="24"/>
        </w:rPr>
        <w:t> </w:t>
      </w:r>
      <w:r w:rsidRPr="00FD6DEA">
        <w:rPr>
          <w:rFonts w:ascii="Arial" w:hAnsi="Arial" w:cs="Arial"/>
          <w:bCs/>
          <w:sz w:val="24"/>
          <w:szCs w:val="24"/>
        </w:rPr>
        <w:t>její prognostický význam</w:t>
      </w:r>
      <w:r w:rsidR="00652E15" w:rsidRPr="00FD6DEA">
        <w:rPr>
          <w:rFonts w:ascii="Arial" w:hAnsi="Arial" w:cs="Arial"/>
          <w:bCs/>
          <w:sz w:val="24"/>
          <w:szCs w:val="24"/>
        </w:rPr>
        <w:t>,</w:t>
      </w:r>
    </w:p>
    <w:p w:rsidR="006E5573" w:rsidRDefault="00D02D8B" w:rsidP="006E5573">
      <w:pPr>
        <w:pStyle w:val="Odstavecseseznamem"/>
        <w:numPr>
          <w:ilvl w:val="0"/>
          <w:numId w:val="33"/>
        </w:numPr>
        <w:autoSpaceDE w:val="0"/>
        <w:autoSpaceDN w:val="0"/>
        <w:adjustRightInd w:val="0"/>
        <w:spacing w:after="120" w:line="240" w:lineRule="auto"/>
        <w:jc w:val="both"/>
        <w:rPr>
          <w:rFonts w:ascii="Arial" w:hAnsi="Arial" w:cs="Arial"/>
          <w:bCs/>
          <w:sz w:val="24"/>
          <w:szCs w:val="24"/>
        </w:rPr>
      </w:pPr>
      <w:r w:rsidRPr="00652E15">
        <w:rPr>
          <w:rFonts w:ascii="Arial" w:hAnsi="Arial" w:cs="Arial"/>
          <w:bCs/>
          <w:sz w:val="24"/>
          <w:szCs w:val="24"/>
        </w:rPr>
        <w:t>Sekundární</w:t>
      </w:r>
      <w:r w:rsidR="006E5573">
        <w:rPr>
          <w:rFonts w:ascii="Arial" w:hAnsi="Arial" w:cs="Arial"/>
          <w:bCs/>
          <w:sz w:val="24"/>
          <w:szCs w:val="24"/>
        </w:rPr>
        <w:t> </w:t>
      </w:r>
      <w:r w:rsidRPr="00652E15">
        <w:rPr>
          <w:rFonts w:ascii="Arial" w:hAnsi="Arial" w:cs="Arial"/>
          <w:bCs/>
          <w:sz w:val="24"/>
          <w:szCs w:val="24"/>
        </w:rPr>
        <w:t>prevence</w:t>
      </w:r>
      <w:r w:rsidR="006E5573">
        <w:rPr>
          <w:rFonts w:ascii="Arial" w:hAnsi="Arial" w:cs="Arial"/>
          <w:bCs/>
          <w:sz w:val="24"/>
          <w:szCs w:val="24"/>
        </w:rPr>
        <w:t> </w:t>
      </w:r>
      <w:r w:rsidRPr="00652E15">
        <w:rPr>
          <w:rFonts w:ascii="Arial" w:hAnsi="Arial" w:cs="Arial"/>
          <w:bCs/>
          <w:sz w:val="24"/>
          <w:szCs w:val="24"/>
        </w:rPr>
        <w:t>a</w:t>
      </w:r>
      <w:r w:rsidR="003802F8" w:rsidRPr="00652E15">
        <w:rPr>
          <w:rFonts w:ascii="Arial" w:hAnsi="Arial" w:cs="Arial"/>
          <w:bCs/>
          <w:sz w:val="24"/>
          <w:szCs w:val="24"/>
        </w:rPr>
        <w:t> </w:t>
      </w:r>
      <w:r w:rsidRPr="00652E15">
        <w:rPr>
          <w:rFonts w:ascii="Arial" w:hAnsi="Arial" w:cs="Arial"/>
          <w:bCs/>
          <w:sz w:val="24"/>
          <w:szCs w:val="24"/>
        </w:rPr>
        <w:t>prognóza nemocných</w:t>
      </w:r>
      <w:r w:rsidR="006E5573">
        <w:rPr>
          <w:rFonts w:ascii="Arial" w:hAnsi="Arial" w:cs="Arial"/>
          <w:bCs/>
          <w:sz w:val="24"/>
          <w:szCs w:val="24"/>
        </w:rPr>
        <w:t> </w:t>
      </w:r>
      <w:r w:rsidRPr="00652E15">
        <w:rPr>
          <w:rFonts w:ascii="Arial" w:hAnsi="Arial" w:cs="Arial"/>
          <w:bCs/>
          <w:sz w:val="24"/>
          <w:szCs w:val="24"/>
        </w:rPr>
        <w:t>po</w:t>
      </w:r>
      <w:r w:rsidR="0036357B" w:rsidRPr="00652E15">
        <w:rPr>
          <w:rFonts w:ascii="Arial" w:hAnsi="Arial" w:cs="Arial"/>
          <w:bCs/>
          <w:sz w:val="24"/>
          <w:szCs w:val="24"/>
        </w:rPr>
        <w:t> </w:t>
      </w:r>
      <w:r w:rsidR="00FD6DEA">
        <w:rPr>
          <w:rFonts w:ascii="Arial" w:hAnsi="Arial" w:cs="Arial"/>
          <w:bCs/>
          <w:sz w:val="24"/>
          <w:szCs w:val="24"/>
        </w:rPr>
        <w:t>cévních</w:t>
      </w:r>
      <w:r w:rsidR="006E5573">
        <w:rPr>
          <w:rFonts w:ascii="Arial" w:hAnsi="Arial" w:cs="Arial"/>
          <w:bCs/>
          <w:sz w:val="24"/>
          <w:szCs w:val="24"/>
        </w:rPr>
        <w:t> </w:t>
      </w:r>
      <w:r w:rsidRPr="00652E15">
        <w:rPr>
          <w:rFonts w:ascii="Arial" w:hAnsi="Arial" w:cs="Arial"/>
          <w:bCs/>
          <w:sz w:val="24"/>
          <w:szCs w:val="24"/>
        </w:rPr>
        <w:t>mozkových </w:t>
      </w:r>
    </w:p>
    <w:p w:rsidR="00652E15" w:rsidRPr="00652E15" w:rsidRDefault="00D02D8B" w:rsidP="006E5573">
      <w:pPr>
        <w:pStyle w:val="Odstavecseseznamem"/>
        <w:autoSpaceDE w:val="0"/>
        <w:autoSpaceDN w:val="0"/>
        <w:adjustRightInd w:val="0"/>
        <w:spacing w:after="120" w:line="240" w:lineRule="auto"/>
        <w:ind w:left="790"/>
        <w:jc w:val="both"/>
        <w:rPr>
          <w:rFonts w:ascii="Arial" w:hAnsi="Arial" w:cs="Arial"/>
          <w:bCs/>
          <w:sz w:val="24"/>
          <w:szCs w:val="24"/>
        </w:rPr>
      </w:pPr>
      <w:r w:rsidRPr="00652E15">
        <w:rPr>
          <w:rFonts w:ascii="Arial" w:hAnsi="Arial" w:cs="Arial"/>
          <w:bCs/>
          <w:sz w:val="24"/>
          <w:szCs w:val="24"/>
        </w:rPr>
        <w:t>příhodách.</w:t>
      </w:r>
    </w:p>
    <w:p w:rsidR="00B13EEB" w:rsidRPr="00652E15" w:rsidRDefault="00D02D8B" w:rsidP="00652E15">
      <w:pPr>
        <w:autoSpaceDE w:val="0"/>
        <w:autoSpaceDN w:val="0"/>
        <w:adjustRightInd w:val="0"/>
        <w:spacing w:after="120" w:line="240" w:lineRule="auto"/>
        <w:jc w:val="both"/>
        <w:rPr>
          <w:rFonts w:ascii="Arial" w:hAnsi="Arial" w:cs="Arial"/>
          <w:bCs/>
          <w:sz w:val="24"/>
          <w:szCs w:val="24"/>
        </w:rPr>
      </w:pPr>
      <w:r w:rsidRPr="00652E15">
        <w:rPr>
          <w:rFonts w:ascii="Arial" w:hAnsi="Arial" w:cs="Arial"/>
          <w:color w:val="000000"/>
          <w:sz w:val="24"/>
          <w:szCs w:val="24"/>
        </w:rPr>
        <w:t>Výsledky těchto projektů byly např. publikovány či oponovány v zahraničních impaktovaných časopisech.</w:t>
      </w:r>
    </w:p>
    <w:p w:rsidR="00D02D8B" w:rsidRDefault="00D02D8B" w:rsidP="00713CD8">
      <w:pPr>
        <w:autoSpaceDE w:val="0"/>
        <w:autoSpaceDN w:val="0"/>
        <w:adjustRightInd w:val="0"/>
        <w:spacing w:after="120" w:line="240" w:lineRule="auto"/>
        <w:jc w:val="both"/>
        <w:rPr>
          <w:rFonts w:ascii="Arial" w:hAnsi="Arial" w:cs="Arial"/>
          <w:bCs/>
          <w:sz w:val="24"/>
          <w:szCs w:val="24"/>
        </w:rPr>
      </w:pPr>
      <w:r>
        <w:rPr>
          <w:rFonts w:ascii="Arial" w:hAnsi="Arial" w:cs="Arial"/>
          <w:bCs/>
          <w:sz w:val="24"/>
          <w:szCs w:val="24"/>
        </w:rPr>
        <w:t>Mezi projekty oceněné Čestným uznáním se zařadili např</w:t>
      </w:r>
      <w:r w:rsidRPr="00D02D8B">
        <w:rPr>
          <w:rFonts w:ascii="Arial" w:hAnsi="Arial" w:cs="Arial"/>
          <w:bCs/>
          <w:sz w:val="24"/>
          <w:szCs w:val="24"/>
        </w:rPr>
        <w:t>.: Exprese genů klíčových molekul</w:t>
      </w:r>
      <w:r>
        <w:rPr>
          <w:rFonts w:ascii="Arial" w:hAnsi="Arial" w:cs="Arial"/>
          <w:bCs/>
          <w:sz w:val="24"/>
          <w:szCs w:val="24"/>
        </w:rPr>
        <w:t> </w:t>
      </w:r>
      <w:r w:rsidRPr="00D02D8B">
        <w:rPr>
          <w:rFonts w:ascii="Arial" w:hAnsi="Arial" w:cs="Arial"/>
          <w:bCs/>
          <w:sz w:val="24"/>
          <w:szCs w:val="24"/>
        </w:rPr>
        <w:t>zánětu v periprotetických tkáních:</w:t>
      </w:r>
      <w:r>
        <w:rPr>
          <w:rFonts w:ascii="Arial" w:hAnsi="Arial" w:cs="Arial"/>
          <w:bCs/>
          <w:sz w:val="24"/>
          <w:szCs w:val="24"/>
        </w:rPr>
        <w:t> </w:t>
      </w:r>
      <w:r w:rsidRPr="00D02D8B">
        <w:rPr>
          <w:rFonts w:ascii="Arial" w:hAnsi="Arial" w:cs="Arial"/>
          <w:bCs/>
          <w:sz w:val="24"/>
          <w:szCs w:val="24"/>
        </w:rPr>
        <w:t xml:space="preserve"> první krok k časově podmíněné</w:t>
      </w:r>
      <w:r>
        <w:rPr>
          <w:rFonts w:ascii="Arial" w:hAnsi="Arial" w:cs="Arial"/>
          <w:bCs/>
          <w:sz w:val="24"/>
          <w:szCs w:val="24"/>
        </w:rPr>
        <w:t> </w:t>
      </w:r>
      <w:r w:rsidRPr="00D02D8B">
        <w:rPr>
          <w:rFonts w:ascii="Arial" w:hAnsi="Arial" w:cs="Arial"/>
          <w:bCs/>
          <w:sz w:val="24"/>
          <w:szCs w:val="24"/>
        </w:rPr>
        <w:t>analýze periprotetické osteolýzy</w:t>
      </w:r>
      <w:r>
        <w:rPr>
          <w:rFonts w:ascii="Arial" w:hAnsi="Arial" w:cs="Arial"/>
          <w:bCs/>
          <w:sz w:val="24"/>
          <w:szCs w:val="24"/>
        </w:rPr>
        <w:t xml:space="preserve"> či</w:t>
      </w:r>
      <w:r w:rsidRPr="00D02D8B">
        <w:rPr>
          <w:rFonts w:ascii="Arial" w:hAnsi="Arial" w:cs="Arial"/>
          <w:bCs/>
          <w:sz w:val="24"/>
          <w:szCs w:val="24"/>
        </w:rPr>
        <w:t xml:space="preserve"> Mapování přírodních ohnisek zoonóz</w:t>
      </w:r>
      <w:r>
        <w:rPr>
          <w:rFonts w:ascii="Arial" w:hAnsi="Arial" w:cs="Arial"/>
          <w:bCs/>
          <w:sz w:val="24"/>
          <w:szCs w:val="24"/>
        </w:rPr>
        <w:t> </w:t>
      </w:r>
      <w:r w:rsidRPr="00D02D8B">
        <w:rPr>
          <w:rFonts w:ascii="Arial" w:hAnsi="Arial" w:cs="Arial"/>
          <w:bCs/>
          <w:sz w:val="24"/>
          <w:szCs w:val="24"/>
        </w:rPr>
        <w:t>přenosných na</w:t>
      </w:r>
      <w:r w:rsidR="003802F8">
        <w:rPr>
          <w:rFonts w:ascii="Arial" w:hAnsi="Arial" w:cs="Arial"/>
          <w:bCs/>
          <w:sz w:val="24"/>
          <w:szCs w:val="24"/>
        </w:rPr>
        <w:t> </w:t>
      </w:r>
      <w:r w:rsidRPr="00D02D8B">
        <w:rPr>
          <w:rFonts w:ascii="Arial" w:hAnsi="Arial" w:cs="Arial"/>
          <w:bCs/>
          <w:sz w:val="24"/>
          <w:szCs w:val="24"/>
        </w:rPr>
        <w:t>člověka v ČR a jejich</w:t>
      </w:r>
      <w:r>
        <w:rPr>
          <w:rFonts w:ascii="Arial" w:hAnsi="Arial" w:cs="Arial"/>
          <w:bCs/>
          <w:sz w:val="24"/>
          <w:szCs w:val="24"/>
        </w:rPr>
        <w:t> </w:t>
      </w:r>
      <w:r w:rsidRPr="00D02D8B">
        <w:rPr>
          <w:rFonts w:ascii="Arial" w:hAnsi="Arial" w:cs="Arial"/>
          <w:bCs/>
          <w:sz w:val="24"/>
          <w:szCs w:val="24"/>
        </w:rPr>
        <w:t>změny ovlivněné modifikacemi</w:t>
      </w:r>
      <w:r>
        <w:rPr>
          <w:rFonts w:ascii="Arial" w:hAnsi="Arial" w:cs="Arial"/>
          <w:bCs/>
          <w:sz w:val="24"/>
          <w:szCs w:val="24"/>
        </w:rPr>
        <w:t> </w:t>
      </w:r>
      <w:r w:rsidRPr="00D02D8B">
        <w:rPr>
          <w:rFonts w:ascii="Arial" w:hAnsi="Arial" w:cs="Arial"/>
          <w:bCs/>
          <w:sz w:val="24"/>
          <w:szCs w:val="24"/>
        </w:rPr>
        <w:t>klimatu</w:t>
      </w:r>
      <w:r>
        <w:rPr>
          <w:rFonts w:ascii="Arial" w:hAnsi="Arial" w:cs="Arial"/>
          <w:bCs/>
          <w:sz w:val="24"/>
          <w:szCs w:val="24"/>
        </w:rPr>
        <w:t>.</w:t>
      </w:r>
    </w:p>
    <w:p w:rsidR="0036357B" w:rsidRDefault="00574B9F" w:rsidP="00574B9F">
      <w:pPr>
        <w:autoSpaceDE w:val="0"/>
        <w:autoSpaceDN w:val="0"/>
        <w:adjustRightInd w:val="0"/>
        <w:spacing w:after="120" w:line="240" w:lineRule="auto"/>
        <w:jc w:val="both"/>
        <w:rPr>
          <w:rFonts w:ascii="Arial" w:hAnsi="Arial" w:cs="Arial"/>
          <w:sz w:val="24"/>
          <w:szCs w:val="24"/>
        </w:rPr>
      </w:pPr>
      <w:r w:rsidRPr="00154726">
        <w:rPr>
          <w:rFonts w:ascii="Arial" w:hAnsi="Arial" w:cs="Arial"/>
          <w:sz w:val="24"/>
          <w:szCs w:val="24"/>
        </w:rPr>
        <w:t xml:space="preserve">Uživateli výsledků dosažených v rámci </w:t>
      </w:r>
      <w:r>
        <w:rPr>
          <w:rFonts w:ascii="Arial" w:hAnsi="Arial" w:cs="Arial"/>
          <w:sz w:val="24"/>
          <w:szCs w:val="24"/>
        </w:rPr>
        <w:t>Zdravotnického výzkumu</w:t>
      </w:r>
      <w:r w:rsidRPr="00154726">
        <w:rPr>
          <w:rFonts w:ascii="Arial" w:hAnsi="Arial" w:cs="Arial"/>
          <w:sz w:val="24"/>
          <w:szCs w:val="24"/>
        </w:rPr>
        <w:t xml:space="preserve"> jsou všechny </w:t>
      </w:r>
      <w:r>
        <w:rPr>
          <w:rFonts w:ascii="Arial" w:hAnsi="Arial" w:cs="Arial"/>
          <w:sz w:val="24"/>
          <w:szCs w:val="24"/>
        </w:rPr>
        <w:t> s</w:t>
      </w:r>
      <w:r w:rsidRPr="00154726">
        <w:rPr>
          <w:rFonts w:ascii="Arial" w:hAnsi="Arial" w:cs="Arial"/>
          <w:sz w:val="24"/>
          <w:szCs w:val="24"/>
        </w:rPr>
        <w:t>ubjekty podílející se</w:t>
      </w:r>
      <w:r>
        <w:rPr>
          <w:rFonts w:ascii="Arial" w:hAnsi="Arial" w:cs="Arial"/>
          <w:sz w:val="24"/>
          <w:szCs w:val="24"/>
        </w:rPr>
        <w:t> </w:t>
      </w:r>
      <w:r w:rsidRPr="00154726">
        <w:rPr>
          <w:rFonts w:ascii="Arial" w:hAnsi="Arial" w:cs="Arial"/>
          <w:sz w:val="24"/>
          <w:szCs w:val="24"/>
        </w:rPr>
        <w:t>na zajištění zdravotní péče, zejména lékaři a další nejen zdravotničtí pracovníci, kteří je</w:t>
      </w:r>
      <w:r>
        <w:rPr>
          <w:rFonts w:ascii="Arial" w:hAnsi="Arial" w:cs="Arial"/>
          <w:sz w:val="24"/>
          <w:szCs w:val="24"/>
        </w:rPr>
        <w:t> </w:t>
      </w:r>
      <w:r w:rsidRPr="00154726">
        <w:rPr>
          <w:rFonts w:ascii="Arial" w:hAnsi="Arial" w:cs="Arial"/>
          <w:sz w:val="24"/>
          <w:szCs w:val="24"/>
        </w:rPr>
        <w:t>využívají při poskytování zdravotních služeb, jak při diagnostice, tak při terapii nejrůznějších</w:t>
      </w:r>
      <w:r>
        <w:rPr>
          <w:rFonts w:ascii="Arial" w:hAnsi="Arial" w:cs="Arial"/>
          <w:sz w:val="24"/>
          <w:szCs w:val="24"/>
        </w:rPr>
        <w:t> </w:t>
      </w:r>
      <w:r w:rsidRPr="00154726">
        <w:rPr>
          <w:rFonts w:ascii="Arial" w:hAnsi="Arial" w:cs="Arial"/>
          <w:sz w:val="24"/>
          <w:szCs w:val="24"/>
        </w:rPr>
        <w:t>onemocnění a samozřejmě také v</w:t>
      </w:r>
      <w:r>
        <w:rPr>
          <w:rFonts w:ascii="Arial" w:hAnsi="Arial" w:cs="Arial"/>
          <w:sz w:val="24"/>
          <w:szCs w:val="24"/>
        </w:rPr>
        <w:t> </w:t>
      </w:r>
      <w:r w:rsidRPr="00154726">
        <w:rPr>
          <w:rFonts w:ascii="Arial" w:hAnsi="Arial" w:cs="Arial"/>
          <w:sz w:val="24"/>
          <w:szCs w:val="24"/>
        </w:rPr>
        <w:t xml:space="preserve">oblasti zdravotnické epidemiologie a prevence. </w:t>
      </w:r>
    </w:p>
    <w:p w:rsidR="00F245F3" w:rsidRPr="00D02D8B" w:rsidRDefault="00F245F3" w:rsidP="00713CD8">
      <w:pPr>
        <w:autoSpaceDE w:val="0"/>
        <w:autoSpaceDN w:val="0"/>
        <w:adjustRightInd w:val="0"/>
        <w:spacing w:after="120" w:line="240" w:lineRule="auto"/>
        <w:jc w:val="both"/>
        <w:rPr>
          <w:rFonts w:ascii="Arial" w:hAnsi="Arial" w:cs="Arial"/>
          <w:color w:val="000000"/>
          <w:sz w:val="24"/>
          <w:szCs w:val="24"/>
        </w:rPr>
      </w:pPr>
      <w:r>
        <w:rPr>
          <w:rFonts w:ascii="Arial" w:hAnsi="Arial" w:cs="Arial"/>
          <w:sz w:val="24"/>
          <w:szCs w:val="24"/>
        </w:rPr>
        <w:t xml:space="preserve">MZ v Závěrečném zhodnocení </w:t>
      </w:r>
      <w:r w:rsidR="00B50362">
        <w:rPr>
          <w:rFonts w:ascii="Arial" w:hAnsi="Arial" w:cs="Arial"/>
          <w:sz w:val="24"/>
          <w:szCs w:val="24"/>
        </w:rPr>
        <w:t xml:space="preserve">podrobně </w:t>
      </w:r>
      <w:r>
        <w:rPr>
          <w:rFonts w:ascii="Arial" w:hAnsi="Arial" w:cs="Arial"/>
          <w:sz w:val="24"/>
          <w:szCs w:val="24"/>
        </w:rPr>
        <w:t>uvádí bližší informace k zvlášť významným výsledkům projektů, jejich využití a porovnání se stavem v zahraničí.</w:t>
      </w:r>
    </w:p>
    <w:p w:rsidR="0043520D" w:rsidRPr="00713CD8" w:rsidRDefault="00DA6F06" w:rsidP="00713CD8">
      <w:pPr>
        <w:pStyle w:val="Nadpis3"/>
        <w:spacing w:before="0" w:after="120" w:line="240" w:lineRule="auto"/>
      </w:pPr>
      <w:r>
        <w:lastRenderedPageBreak/>
        <w:t>8</w:t>
      </w:r>
      <w:r w:rsidR="0043520D" w:rsidRPr="00713CD8">
        <w:t>.5</w:t>
      </w:r>
      <w:r w:rsidR="0043520D" w:rsidRPr="00713CD8">
        <w:tab/>
        <w:t>Lidské zdroje</w:t>
      </w:r>
    </w:p>
    <w:p w:rsidR="008D130F" w:rsidRDefault="008D130F" w:rsidP="00713CD8">
      <w:pPr>
        <w:autoSpaceDE w:val="0"/>
        <w:autoSpaceDN w:val="0"/>
        <w:adjustRightInd w:val="0"/>
        <w:spacing w:after="120" w:line="240" w:lineRule="auto"/>
        <w:jc w:val="both"/>
        <w:rPr>
          <w:rFonts w:ascii="Arial" w:hAnsi="Arial" w:cs="Arial"/>
          <w:sz w:val="24"/>
          <w:szCs w:val="24"/>
        </w:rPr>
      </w:pPr>
      <w:r w:rsidRPr="00417A51">
        <w:rPr>
          <w:rFonts w:ascii="Arial" w:hAnsi="Arial" w:cs="Arial"/>
          <w:sz w:val="24"/>
          <w:szCs w:val="24"/>
        </w:rPr>
        <w:t xml:space="preserve">V rámci indikátorů </w:t>
      </w:r>
      <w:r>
        <w:rPr>
          <w:rFonts w:ascii="Arial" w:hAnsi="Arial" w:cs="Arial"/>
          <w:sz w:val="24"/>
          <w:szCs w:val="24"/>
        </w:rPr>
        <w:t>MZ také sledovalo</w:t>
      </w:r>
      <w:r w:rsidRPr="00417A51">
        <w:rPr>
          <w:rFonts w:ascii="Arial" w:hAnsi="Arial" w:cs="Arial"/>
          <w:sz w:val="24"/>
          <w:szCs w:val="24"/>
        </w:rPr>
        <w:t xml:space="preserve"> zapojení mladých vědců</w:t>
      </w:r>
      <w:r>
        <w:rPr>
          <w:rFonts w:ascii="Arial" w:hAnsi="Arial" w:cs="Arial"/>
          <w:sz w:val="24"/>
          <w:szCs w:val="24"/>
        </w:rPr>
        <w:t xml:space="preserve"> do 35 let </w:t>
      </w:r>
      <w:r w:rsidRPr="00417A51">
        <w:rPr>
          <w:rFonts w:ascii="Arial" w:hAnsi="Arial" w:cs="Arial"/>
          <w:sz w:val="24"/>
          <w:szCs w:val="24"/>
        </w:rPr>
        <w:t>do</w:t>
      </w:r>
      <w:r>
        <w:rPr>
          <w:rFonts w:ascii="Arial" w:hAnsi="Arial" w:cs="Arial"/>
          <w:sz w:val="24"/>
          <w:szCs w:val="24"/>
        </w:rPr>
        <w:t> </w:t>
      </w:r>
      <w:r w:rsidRPr="00417A51">
        <w:rPr>
          <w:rFonts w:ascii="Arial" w:hAnsi="Arial" w:cs="Arial"/>
          <w:sz w:val="24"/>
          <w:szCs w:val="24"/>
        </w:rPr>
        <w:t>řešení projektů. Z dostupných údajů poskytovatele bylo zjištěno, že v době zahájení</w:t>
      </w:r>
      <w:r>
        <w:rPr>
          <w:rFonts w:ascii="Arial" w:hAnsi="Arial" w:cs="Arial"/>
          <w:sz w:val="24"/>
          <w:szCs w:val="24"/>
        </w:rPr>
        <w:t> </w:t>
      </w:r>
      <w:r w:rsidRPr="00417A51">
        <w:rPr>
          <w:rFonts w:ascii="Arial" w:hAnsi="Arial" w:cs="Arial"/>
          <w:sz w:val="24"/>
          <w:szCs w:val="24"/>
        </w:rPr>
        <w:t xml:space="preserve">řešení projektů se na </w:t>
      </w:r>
      <w:r>
        <w:rPr>
          <w:rFonts w:ascii="Arial" w:hAnsi="Arial" w:cs="Arial"/>
          <w:sz w:val="24"/>
          <w:szCs w:val="24"/>
        </w:rPr>
        <w:t>nich</w:t>
      </w:r>
      <w:r w:rsidRPr="00417A51">
        <w:rPr>
          <w:rFonts w:ascii="Arial" w:hAnsi="Arial" w:cs="Arial"/>
          <w:sz w:val="24"/>
          <w:szCs w:val="24"/>
        </w:rPr>
        <w:t xml:space="preserve"> v roli řešitel</w:t>
      </w:r>
      <w:r>
        <w:rPr>
          <w:rFonts w:ascii="Arial" w:hAnsi="Arial" w:cs="Arial"/>
          <w:sz w:val="24"/>
          <w:szCs w:val="24"/>
        </w:rPr>
        <w:t>ů</w:t>
      </w:r>
      <w:r w:rsidRPr="00417A51">
        <w:rPr>
          <w:rFonts w:ascii="Arial" w:hAnsi="Arial" w:cs="Arial"/>
          <w:sz w:val="24"/>
          <w:szCs w:val="24"/>
        </w:rPr>
        <w:t xml:space="preserve"> nebo spoluřeš</w:t>
      </w:r>
      <w:r>
        <w:rPr>
          <w:rFonts w:ascii="Arial" w:hAnsi="Arial" w:cs="Arial"/>
          <w:sz w:val="24"/>
          <w:szCs w:val="24"/>
        </w:rPr>
        <w:t>itelů podílelo za dobu trvání </w:t>
      </w:r>
      <w:r w:rsidRPr="00417A51">
        <w:rPr>
          <w:rFonts w:ascii="Arial" w:hAnsi="Arial" w:cs="Arial"/>
          <w:sz w:val="24"/>
          <w:szCs w:val="24"/>
        </w:rPr>
        <w:t xml:space="preserve">RPV III. celkem 12,9 % výzkumných pracovníků </w:t>
      </w:r>
      <w:r>
        <w:rPr>
          <w:rFonts w:ascii="Arial" w:hAnsi="Arial" w:cs="Arial"/>
          <w:sz w:val="24"/>
          <w:szCs w:val="24"/>
        </w:rPr>
        <w:t xml:space="preserve">ve věku </w:t>
      </w:r>
      <w:r w:rsidRPr="00417A51">
        <w:rPr>
          <w:rFonts w:ascii="Arial" w:hAnsi="Arial" w:cs="Arial"/>
          <w:sz w:val="24"/>
          <w:szCs w:val="24"/>
        </w:rPr>
        <w:t>do 35 let (včetně). Z</w:t>
      </w:r>
      <w:r>
        <w:rPr>
          <w:rFonts w:ascii="Arial" w:hAnsi="Arial" w:cs="Arial"/>
          <w:sz w:val="24"/>
          <w:szCs w:val="24"/>
        </w:rPr>
        <w:t> </w:t>
      </w:r>
      <w:r w:rsidRPr="00417A51">
        <w:rPr>
          <w:rFonts w:ascii="Arial" w:hAnsi="Arial" w:cs="Arial"/>
          <w:sz w:val="24"/>
          <w:szCs w:val="24"/>
        </w:rPr>
        <w:t>celkového počtu</w:t>
      </w:r>
      <w:r>
        <w:rPr>
          <w:rFonts w:ascii="Arial" w:hAnsi="Arial" w:cs="Arial"/>
          <w:sz w:val="24"/>
          <w:szCs w:val="24"/>
        </w:rPr>
        <w:t> </w:t>
      </w:r>
      <w:r w:rsidRPr="00417A51">
        <w:rPr>
          <w:rFonts w:ascii="Arial" w:hAnsi="Arial" w:cs="Arial"/>
          <w:sz w:val="24"/>
          <w:szCs w:val="24"/>
        </w:rPr>
        <w:t>odborných pracovníků podílejících se na řešení podpořených projektů tvořil poměr mladých</w:t>
      </w:r>
      <w:r>
        <w:rPr>
          <w:rFonts w:ascii="Arial" w:hAnsi="Arial" w:cs="Arial"/>
          <w:sz w:val="24"/>
          <w:szCs w:val="24"/>
        </w:rPr>
        <w:t> </w:t>
      </w:r>
      <w:r w:rsidRPr="00417A51">
        <w:rPr>
          <w:rFonts w:ascii="Arial" w:hAnsi="Arial" w:cs="Arial"/>
          <w:sz w:val="24"/>
          <w:szCs w:val="24"/>
        </w:rPr>
        <w:t>vědců celkem 33,7 % (viz Tab</w:t>
      </w:r>
      <w:r>
        <w:rPr>
          <w:rFonts w:ascii="Arial" w:hAnsi="Arial" w:cs="Arial"/>
          <w:sz w:val="24"/>
          <w:szCs w:val="24"/>
        </w:rPr>
        <w:t>ulka</w:t>
      </w:r>
      <w:r w:rsidRPr="00417A51">
        <w:rPr>
          <w:rFonts w:ascii="Arial" w:hAnsi="Arial" w:cs="Arial"/>
          <w:sz w:val="24"/>
          <w:szCs w:val="24"/>
        </w:rPr>
        <w:t xml:space="preserve"> č. 1</w:t>
      </w:r>
      <w:r>
        <w:rPr>
          <w:rFonts w:ascii="Arial" w:hAnsi="Arial" w:cs="Arial"/>
          <w:sz w:val="24"/>
          <w:szCs w:val="24"/>
        </w:rPr>
        <w:t xml:space="preserve">6 – Přehled indikátorů plnění cílů RPV III v příloze č. </w:t>
      </w:r>
      <w:r w:rsidR="006E5573">
        <w:rPr>
          <w:rFonts w:ascii="Arial" w:hAnsi="Arial" w:cs="Arial"/>
          <w:sz w:val="24"/>
          <w:szCs w:val="24"/>
        </w:rPr>
        <w:t xml:space="preserve">5 </w:t>
      </w:r>
      <w:r w:rsidR="00173392">
        <w:rPr>
          <w:rFonts w:ascii="Arial" w:hAnsi="Arial" w:cs="Arial"/>
          <w:sz w:val="24"/>
          <w:szCs w:val="24"/>
        </w:rPr>
        <w:t xml:space="preserve">Závěrečné hodnocení </w:t>
      </w:r>
      <w:r w:rsidR="00664688">
        <w:rPr>
          <w:rFonts w:ascii="Arial" w:hAnsi="Arial" w:cs="Arial"/>
          <w:sz w:val="24"/>
          <w:szCs w:val="24"/>
        </w:rPr>
        <w:t>MZ</w:t>
      </w:r>
      <w:r w:rsidR="00E434BC">
        <w:rPr>
          <w:rFonts w:ascii="Arial" w:hAnsi="Arial" w:cs="Arial"/>
          <w:sz w:val="24"/>
          <w:szCs w:val="24"/>
        </w:rPr>
        <w:t>).</w:t>
      </w:r>
      <w:r w:rsidRPr="00417A51">
        <w:rPr>
          <w:rFonts w:ascii="Arial" w:hAnsi="Arial" w:cs="Arial"/>
          <w:sz w:val="24"/>
          <w:szCs w:val="24"/>
        </w:rPr>
        <w:t xml:space="preserve"> Stanovený indikátor zapojení mladých vědců</w:t>
      </w:r>
      <w:r>
        <w:rPr>
          <w:rFonts w:ascii="Arial" w:hAnsi="Arial" w:cs="Arial"/>
          <w:sz w:val="24"/>
          <w:szCs w:val="24"/>
        </w:rPr>
        <w:t> </w:t>
      </w:r>
      <w:r w:rsidRPr="00417A51">
        <w:rPr>
          <w:rFonts w:ascii="Arial" w:hAnsi="Arial" w:cs="Arial"/>
          <w:sz w:val="24"/>
          <w:szCs w:val="24"/>
        </w:rPr>
        <w:t>byl splněn.</w:t>
      </w:r>
    </w:p>
    <w:p w:rsidR="0043520D" w:rsidRDefault="00A143E7" w:rsidP="00713CD8">
      <w:pPr>
        <w:pStyle w:val="Nadpis3"/>
        <w:spacing w:before="0" w:after="120" w:line="240" w:lineRule="auto"/>
      </w:pPr>
      <w:r>
        <w:t>8</w:t>
      </w:r>
      <w:r w:rsidR="0043520D" w:rsidRPr="00A143E7">
        <w:t>.6</w:t>
      </w:r>
      <w:r w:rsidR="0043520D" w:rsidRPr="00A143E7">
        <w:tab/>
        <w:t>Zapojení institucí</w:t>
      </w:r>
    </w:p>
    <w:p w:rsidR="00A143E7" w:rsidRPr="00A143E7" w:rsidRDefault="002F35D0" w:rsidP="00713CD8">
      <w:pPr>
        <w:spacing w:after="120" w:line="240" w:lineRule="auto"/>
        <w:jc w:val="both"/>
        <w:rPr>
          <w:lang w:eastAsia="cs-CZ"/>
        </w:rPr>
      </w:pPr>
      <w:r>
        <w:rPr>
          <w:rFonts w:ascii="Arial" w:hAnsi="Arial" w:cs="Arial"/>
          <w:sz w:val="24"/>
          <w:szCs w:val="24"/>
          <w:lang w:eastAsia="cs-CZ"/>
        </w:rPr>
        <w:t>V souladu se zněním</w:t>
      </w:r>
      <w:r w:rsidR="007D35F6">
        <w:rPr>
          <w:rFonts w:ascii="Arial" w:hAnsi="Arial" w:cs="Arial"/>
          <w:sz w:val="24"/>
          <w:szCs w:val="24"/>
          <w:lang w:eastAsia="cs-CZ"/>
        </w:rPr>
        <w:t xml:space="preserve"> programu Zdravotnický výzkum schváleného vládou zaslaly n</w:t>
      </w:r>
      <w:r w:rsidR="00A143E7">
        <w:rPr>
          <w:rFonts w:ascii="Arial" w:hAnsi="Arial" w:cs="Arial"/>
          <w:sz w:val="24"/>
          <w:szCs w:val="24"/>
          <w:lang w:eastAsia="cs-CZ"/>
        </w:rPr>
        <w:t xml:space="preserve">ejvíce návrhů projektů do veřejných soutěží </w:t>
      </w:r>
      <w:r w:rsidR="007D35F6">
        <w:rPr>
          <w:rFonts w:ascii="Arial" w:hAnsi="Arial" w:cs="Arial"/>
          <w:sz w:val="24"/>
          <w:szCs w:val="24"/>
          <w:lang w:eastAsia="cs-CZ"/>
        </w:rPr>
        <w:t>p</w:t>
      </w:r>
      <w:r w:rsidR="00A143E7">
        <w:rPr>
          <w:rFonts w:ascii="Arial" w:hAnsi="Arial" w:cs="Arial"/>
          <w:sz w:val="24"/>
          <w:szCs w:val="24"/>
          <w:lang w:eastAsia="cs-CZ"/>
        </w:rPr>
        <w:t>říspěvkové organizace Ministerstva zdravotnictví, které zároveň nejvíce projektů zrealizovaly. Následovaly veřejné vysoké školy a</w:t>
      </w:r>
      <w:r w:rsidR="007D35F6">
        <w:rPr>
          <w:rFonts w:ascii="Arial" w:hAnsi="Arial" w:cs="Arial"/>
          <w:sz w:val="24"/>
          <w:szCs w:val="24"/>
          <w:lang w:eastAsia="cs-CZ"/>
        </w:rPr>
        <w:t> </w:t>
      </w:r>
      <w:r w:rsidR="00A143E7">
        <w:rPr>
          <w:rFonts w:ascii="Arial" w:hAnsi="Arial" w:cs="Arial"/>
          <w:sz w:val="24"/>
          <w:szCs w:val="24"/>
          <w:lang w:eastAsia="cs-CZ"/>
        </w:rPr>
        <w:t>veřejné výzkumné instituce</w:t>
      </w:r>
      <w:r>
        <w:rPr>
          <w:rFonts w:ascii="Arial" w:hAnsi="Arial" w:cs="Arial"/>
          <w:sz w:val="24"/>
          <w:szCs w:val="24"/>
          <w:lang w:eastAsia="cs-CZ"/>
        </w:rPr>
        <w:t>, nižší byl podíl ostatních příspěvkových organizací a organizačních složek státu.</w:t>
      </w:r>
      <w:r w:rsidR="00A143E7">
        <w:rPr>
          <w:rFonts w:ascii="Arial" w:hAnsi="Arial" w:cs="Arial"/>
          <w:sz w:val="24"/>
          <w:szCs w:val="24"/>
          <w:lang w:eastAsia="cs-CZ"/>
        </w:rPr>
        <w:t xml:space="preserve"> Z řad fyzických osob a občanských sdružení poskytovatel nezaznamenal žádnou žádost.</w:t>
      </w:r>
    </w:p>
    <w:p w:rsidR="0043520D" w:rsidRDefault="00F314D8" w:rsidP="0043520D">
      <w:pPr>
        <w:pStyle w:val="Nadpis3"/>
      </w:pPr>
      <w:r>
        <w:rPr>
          <w:rFonts w:cs="Arial"/>
          <w:szCs w:val="24"/>
        </w:rPr>
        <w:t>8.</w:t>
      </w:r>
      <w:r w:rsidR="0043520D" w:rsidRPr="00713CD8">
        <w:t>7</w:t>
      </w:r>
      <w:r w:rsidR="0043520D" w:rsidRPr="00713CD8">
        <w:tab/>
        <w:t>Spolupráce s aplikační sférou</w:t>
      </w:r>
    </w:p>
    <w:p w:rsidR="001E51F0" w:rsidRDefault="00E63FC2" w:rsidP="00B50362">
      <w:pPr>
        <w:spacing w:after="120" w:line="240" w:lineRule="auto"/>
        <w:jc w:val="both"/>
        <w:rPr>
          <w:rFonts w:ascii="Arial" w:hAnsi="Arial" w:cs="Arial"/>
          <w:sz w:val="24"/>
          <w:szCs w:val="24"/>
        </w:rPr>
      </w:pPr>
      <w:r>
        <w:rPr>
          <w:rFonts w:ascii="Arial" w:hAnsi="Arial" w:cs="Arial"/>
          <w:sz w:val="24"/>
          <w:szCs w:val="24"/>
          <w:lang w:eastAsia="cs-CZ"/>
        </w:rPr>
        <w:t xml:space="preserve">V rámci programu docházelo nejčastěji ke spolupráci příspěvkových organizací Ministerstva zdravotnictví a veřejných vysokých škol. Zapojení podniků do řešení programových projektů bylo spíše jen okrajové, právnické osoby se do veřejných soutěží hlásily jen minimálně (řádově jednotky). </w:t>
      </w:r>
      <w:r w:rsidR="001E51F0">
        <w:rPr>
          <w:rFonts w:ascii="Arial" w:hAnsi="Arial" w:cs="Arial"/>
          <w:sz w:val="24"/>
          <w:szCs w:val="24"/>
        </w:rPr>
        <w:t>Největší zastoupenou skupinou subjektů byly tedy výzkumné organizace.</w:t>
      </w:r>
    </w:p>
    <w:p w:rsidR="00B50362" w:rsidRDefault="00E63FC2" w:rsidP="00B50362">
      <w:pPr>
        <w:spacing w:after="120" w:line="240" w:lineRule="auto"/>
        <w:jc w:val="both"/>
        <w:rPr>
          <w:rFonts w:ascii="Arial" w:hAnsi="Arial" w:cs="Arial"/>
          <w:color w:val="000000"/>
          <w:sz w:val="24"/>
          <w:szCs w:val="24"/>
        </w:rPr>
      </w:pPr>
      <w:r>
        <w:rPr>
          <w:rFonts w:ascii="Arial" w:hAnsi="Arial" w:cs="Arial"/>
          <w:sz w:val="24"/>
          <w:szCs w:val="24"/>
          <w:lang w:eastAsia="cs-CZ"/>
        </w:rPr>
        <w:t>Mezi nejčastější příjemce účelové podpory patřily příspěvkové organizace Ministerstva zdravotnictví</w:t>
      </w:r>
      <w:r w:rsidR="001E51F0">
        <w:rPr>
          <w:rFonts w:ascii="Arial" w:hAnsi="Arial" w:cs="Arial"/>
          <w:sz w:val="24"/>
          <w:szCs w:val="24"/>
          <w:lang w:eastAsia="cs-CZ"/>
        </w:rPr>
        <w:t xml:space="preserve"> (více než 50 % ze všech příjemců)</w:t>
      </w:r>
      <w:r>
        <w:rPr>
          <w:rFonts w:ascii="Arial" w:hAnsi="Arial" w:cs="Arial"/>
          <w:sz w:val="24"/>
          <w:szCs w:val="24"/>
          <w:lang w:eastAsia="cs-CZ"/>
        </w:rPr>
        <w:t xml:space="preserve">, kterými jsou fakultní nemocnice a odborné zdravotní ústavy. Již jen z podstaty těchto výzkumných organizací </w:t>
      </w:r>
      <w:r w:rsidR="002B5C91">
        <w:rPr>
          <w:rFonts w:ascii="Arial" w:hAnsi="Arial" w:cs="Arial"/>
          <w:sz w:val="24"/>
          <w:szCs w:val="24"/>
          <w:lang w:eastAsia="cs-CZ"/>
        </w:rPr>
        <w:t xml:space="preserve">(jedná se o poskytovatele zdravotních služeb) </w:t>
      </w:r>
      <w:r w:rsidR="006B14E3">
        <w:rPr>
          <w:rFonts w:ascii="Arial" w:hAnsi="Arial" w:cs="Arial"/>
          <w:sz w:val="24"/>
          <w:szCs w:val="24"/>
          <w:lang w:eastAsia="cs-CZ"/>
        </w:rPr>
        <w:t>je zřejmá</w:t>
      </w:r>
      <w:r>
        <w:rPr>
          <w:rFonts w:ascii="Arial" w:hAnsi="Arial" w:cs="Arial"/>
          <w:sz w:val="24"/>
          <w:szCs w:val="24"/>
          <w:lang w:eastAsia="cs-CZ"/>
        </w:rPr>
        <w:t xml:space="preserve"> </w:t>
      </w:r>
      <w:r w:rsidR="001E51F0">
        <w:rPr>
          <w:rFonts w:ascii="Arial" w:hAnsi="Arial" w:cs="Arial"/>
          <w:sz w:val="24"/>
          <w:szCs w:val="24"/>
          <w:lang w:eastAsia="cs-CZ"/>
        </w:rPr>
        <w:t>snadnější návaznost na aplikační sféru, tj. přímé využití výsledků ve zdravotnickém sektoru.</w:t>
      </w:r>
    </w:p>
    <w:p w:rsidR="009E2D72" w:rsidRPr="009E2D72" w:rsidRDefault="009E2D72" w:rsidP="009E2D72">
      <w:pPr>
        <w:pStyle w:val="Nadpis3"/>
      </w:pPr>
      <w:r w:rsidRPr="009E2D72">
        <w:t>8.8</w:t>
      </w:r>
      <w:r w:rsidRPr="009E2D72">
        <w:tab/>
        <w:t>Čerpání finančních prostředků</w:t>
      </w:r>
    </w:p>
    <w:p w:rsidR="00265BA4" w:rsidRPr="000A668A" w:rsidRDefault="00265BA4" w:rsidP="000A668A">
      <w:pPr>
        <w:spacing w:after="120" w:line="240" w:lineRule="auto"/>
        <w:jc w:val="both"/>
        <w:rPr>
          <w:rFonts w:ascii="Arial" w:hAnsi="Arial" w:cs="Arial"/>
          <w:sz w:val="24"/>
          <w:szCs w:val="24"/>
        </w:rPr>
      </w:pPr>
      <w:r w:rsidRPr="000A668A">
        <w:rPr>
          <w:rFonts w:ascii="Arial" w:hAnsi="Arial" w:cs="Arial"/>
          <w:sz w:val="24"/>
          <w:szCs w:val="24"/>
          <w:lang w:eastAsia="cs-CZ"/>
        </w:rPr>
        <w:t xml:space="preserve">V programu Zdravotnický výzkum schváleném vládou </w:t>
      </w:r>
      <w:r w:rsidR="000A668A" w:rsidRPr="000A668A">
        <w:rPr>
          <w:rFonts w:ascii="Arial" w:hAnsi="Arial" w:cs="Arial"/>
          <w:sz w:val="24"/>
          <w:szCs w:val="24"/>
          <w:lang w:eastAsia="cs-CZ"/>
        </w:rPr>
        <w:t>byly</w:t>
      </w:r>
      <w:r w:rsidRPr="000A668A">
        <w:rPr>
          <w:rFonts w:ascii="Arial" w:hAnsi="Arial" w:cs="Arial"/>
          <w:sz w:val="24"/>
          <w:szCs w:val="24"/>
          <w:lang w:eastAsia="cs-CZ"/>
        </w:rPr>
        <w:t xml:space="preserve"> </w:t>
      </w:r>
      <w:r w:rsidRPr="000A668A">
        <w:rPr>
          <w:rFonts w:ascii="Arial" w:hAnsi="Arial" w:cs="Arial"/>
          <w:sz w:val="24"/>
          <w:szCs w:val="24"/>
        </w:rPr>
        <w:t xml:space="preserve"> přepoklád</w:t>
      </w:r>
      <w:r w:rsidR="000A668A" w:rsidRPr="000A668A">
        <w:rPr>
          <w:rFonts w:ascii="Arial" w:hAnsi="Arial" w:cs="Arial"/>
          <w:sz w:val="24"/>
          <w:szCs w:val="24"/>
        </w:rPr>
        <w:t>ány</w:t>
      </w:r>
      <w:r w:rsidRPr="000A668A">
        <w:rPr>
          <w:rFonts w:ascii="Arial" w:hAnsi="Arial" w:cs="Arial"/>
          <w:sz w:val="24"/>
          <w:szCs w:val="24"/>
        </w:rPr>
        <w:t xml:space="preserve"> výdaje ze</w:t>
      </w:r>
      <w:r w:rsidR="000A668A" w:rsidRPr="000A668A">
        <w:rPr>
          <w:rFonts w:ascii="Arial" w:hAnsi="Arial" w:cs="Arial"/>
          <w:sz w:val="24"/>
          <w:szCs w:val="24"/>
        </w:rPr>
        <w:t> </w:t>
      </w:r>
      <w:r w:rsidRPr="000A668A">
        <w:rPr>
          <w:rFonts w:ascii="Arial" w:hAnsi="Arial" w:cs="Arial"/>
          <w:sz w:val="24"/>
          <w:szCs w:val="24"/>
        </w:rPr>
        <w:t>státního rozpočtu na roky 2010 až 2015 celkem 4 358</w:t>
      </w:r>
      <w:r w:rsidR="00CC1B7E">
        <w:rPr>
          <w:rFonts w:ascii="Arial" w:hAnsi="Arial" w:cs="Arial"/>
          <w:sz w:val="24"/>
          <w:szCs w:val="24"/>
        </w:rPr>
        <w:t xml:space="preserve"> 000 tis. </w:t>
      </w:r>
      <w:r w:rsidRPr="000A668A">
        <w:rPr>
          <w:rFonts w:ascii="Arial" w:hAnsi="Arial" w:cs="Arial"/>
          <w:sz w:val="24"/>
          <w:szCs w:val="24"/>
        </w:rPr>
        <w:t>Kč. Celková podpora měla činit 4 447</w:t>
      </w:r>
      <w:r w:rsidR="00CC1B7E">
        <w:rPr>
          <w:rFonts w:ascii="Arial" w:hAnsi="Arial" w:cs="Arial"/>
          <w:sz w:val="24"/>
          <w:szCs w:val="24"/>
        </w:rPr>
        <w:t> 000 tis.</w:t>
      </w:r>
      <w:r w:rsidRPr="000A668A">
        <w:rPr>
          <w:rFonts w:ascii="Arial" w:hAnsi="Arial" w:cs="Arial"/>
          <w:sz w:val="24"/>
          <w:szCs w:val="24"/>
        </w:rPr>
        <w:t xml:space="preserve"> Kč</w:t>
      </w:r>
      <w:r w:rsidR="00A740AE" w:rsidRPr="000A668A">
        <w:rPr>
          <w:rFonts w:ascii="Arial" w:hAnsi="Arial" w:cs="Arial"/>
          <w:sz w:val="24"/>
          <w:szCs w:val="24"/>
        </w:rPr>
        <w:t>,</w:t>
      </w:r>
      <w:r w:rsidRPr="000A668A">
        <w:rPr>
          <w:rFonts w:ascii="Arial" w:hAnsi="Arial" w:cs="Arial"/>
          <w:sz w:val="24"/>
          <w:szCs w:val="24"/>
        </w:rPr>
        <w:t xml:space="preserve"> 89</w:t>
      </w:r>
      <w:r w:rsidR="00CC1B7E">
        <w:rPr>
          <w:rFonts w:ascii="Arial" w:hAnsi="Arial" w:cs="Arial"/>
          <w:sz w:val="24"/>
          <w:szCs w:val="24"/>
        </w:rPr>
        <w:t> 000 tis.</w:t>
      </w:r>
      <w:r w:rsidRPr="000A668A">
        <w:rPr>
          <w:rFonts w:ascii="Arial" w:hAnsi="Arial" w:cs="Arial"/>
          <w:sz w:val="24"/>
          <w:szCs w:val="24"/>
        </w:rPr>
        <w:t xml:space="preserve"> Kč mělo být hrazeno z vlastních zdrojů poskytovatele.</w:t>
      </w:r>
    </w:p>
    <w:p w:rsidR="000A668A" w:rsidRPr="000A668A" w:rsidRDefault="00543871" w:rsidP="000A668A">
      <w:pPr>
        <w:spacing w:after="120" w:line="240" w:lineRule="auto"/>
        <w:jc w:val="both"/>
        <w:rPr>
          <w:rFonts w:ascii="Arial" w:hAnsi="Arial" w:cs="Arial"/>
          <w:b/>
          <w:sz w:val="24"/>
          <w:szCs w:val="24"/>
        </w:rPr>
      </w:pPr>
      <w:r w:rsidRPr="000A668A">
        <w:rPr>
          <w:rFonts w:ascii="Arial" w:hAnsi="Arial" w:cs="Arial"/>
          <w:b/>
          <w:sz w:val="24"/>
          <w:szCs w:val="24"/>
        </w:rPr>
        <w:t>Skutečné náklady na realizaci programu</w:t>
      </w:r>
      <w:r w:rsidR="000A668A" w:rsidRPr="000A668A">
        <w:rPr>
          <w:rFonts w:ascii="Arial" w:hAnsi="Arial" w:cs="Arial"/>
          <w:b/>
          <w:sz w:val="24"/>
          <w:szCs w:val="24"/>
        </w:rPr>
        <w:t>:</w:t>
      </w:r>
    </w:p>
    <w:p w:rsidR="00543871" w:rsidRPr="000A668A" w:rsidRDefault="00543871" w:rsidP="000A668A">
      <w:pPr>
        <w:spacing w:after="120" w:line="240" w:lineRule="auto"/>
        <w:jc w:val="both"/>
        <w:rPr>
          <w:rFonts w:ascii="Arial" w:hAnsi="Arial" w:cs="Arial"/>
          <w:sz w:val="24"/>
          <w:szCs w:val="24"/>
        </w:rPr>
      </w:pPr>
      <w:r w:rsidRPr="000A668A">
        <w:rPr>
          <w:rFonts w:ascii="Arial" w:hAnsi="Arial" w:cs="Arial"/>
          <w:sz w:val="24"/>
          <w:szCs w:val="24"/>
        </w:rPr>
        <w:t>Ze státního rozpočtu byl</w:t>
      </w:r>
      <w:r w:rsidR="00857726">
        <w:rPr>
          <w:rFonts w:ascii="Arial" w:hAnsi="Arial" w:cs="Arial"/>
          <w:sz w:val="24"/>
          <w:szCs w:val="24"/>
        </w:rPr>
        <w:t>o</w:t>
      </w:r>
      <w:r w:rsidRPr="000A668A">
        <w:rPr>
          <w:rFonts w:ascii="Arial" w:hAnsi="Arial" w:cs="Arial"/>
          <w:sz w:val="24"/>
          <w:szCs w:val="24"/>
        </w:rPr>
        <w:t xml:space="preserve"> na dobu trvání programu v letech 2010 – 2015 přiděleno 3 167 652 </w:t>
      </w:r>
      <w:r w:rsidR="00CC1B7E">
        <w:rPr>
          <w:rFonts w:ascii="Arial" w:hAnsi="Arial" w:cs="Arial"/>
          <w:sz w:val="24"/>
          <w:szCs w:val="24"/>
        </w:rPr>
        <w:t>tis.</w:t>
      </w:r>
      <w:r w:rsidRPr="000A668A">
        <w:rPr>
          <w:rFonts w:ascii="Arial" w:hAnsi="Arial" w:cs="Arial"/>
          <w:sz w:val="24"/>
          <w:szCs w:val="24"/>
        </w:rPr>
        <w:t xml:space="preserve"> Kč, při čemž ve skutečnosti bylo </w:t>
      </w:r>
      <w:r w:rsidR="00CC1B7E">
        <w:rPr>
          <w:rFonts w:ascii="Arial" w:hAnsi="Arial" w:cs="Arial"/>
          <w:sz w:val="24"/>
          <w:szCs w:val="24"/>
        </w:rPr>
        <w:t xml:space="preserve">dle </w:t>
      </w:r>
      <w:r w:rsidR="00F314D8">
        <w:rPr>
          <w:rFonts w:ascii="Arial" w:hAnsi="Arial" w:cs="Arial"/>
          <w:sz w:val="24"/>
          <w:szCs w:val="24"/>
        </w:rPr>
        <w:t>MZ</w:t>
      </w:r>
      <w:r w:rsidR="00CC1B7E">
        <w:rPr>
          <w:rFonts w:ascii="Arial" w:hAnsi="Arial" w:cs="Arial"/>
          <w:sz w:val="24"/>
          <w:szCs w:val="24"/>
        </w:rPr>
        <w:t xml:space="preserve"> </w:t>
      </w:r>
      <w:r w:rsidRPr="000A668A">
        <w:rPr>
          <w:rFonts w:ascii="Arial" w:hAnsi="Arial" w:cs="Arial"/>
          <w:sz w:val="24"/>
          <w:szCs w:val="24"/>
        </w:rPr>
        <w:t>čerpáno 3 089 21</w:t>
      </w:r>
      <w:r w:rsidR="00CC1B7E">
        <w:rPr>
          <w:rFonts w:ascii="Arial" w:hAnsi="Arial" w:cs="Arial"/>
          <w:sz w:val="24"/>
          <w:szCs w:val="24"/>
        </w:rPr>
        <w:t>4 tis.</w:t>
      </w:r>
      <w:r w:rsidRPr="000A668A">
        <w:rPr>
          <w:rFonts w:ascii="Arial" w:hAnsi="Arial" w:cs="Arial"/>
          <w:sz w:val="24"/>
          <w:szCs w:val="24"/>
        </w:rPr>
        <w:t xml:space="preserve"> Kč</w:t>
      </w:r>
      <w:r w:rsidR="00CC1B7E">
        <w:rPr>
          <w:rFonts w:ascii="Arial" w:hAnsi="Arial" w:cs="Arial"/>
          <w:sz w:val="24"/>
          <w:szCs w:val="24"/>
        </w:rPr>
        <w:t xml:space="preserve"> (dle IS VaVaI činily celkové výdaje ze státního rozpočtu</w:t>
      </w:r>
      <w:r w:rsidR="00857726">
        <w:rPr>
          <w:rFonts w:ascii="Arial" w:hAnsi="Arial" w:cs="Arial"/>
          <w:sz w:val="24"/>
          <w:szCs w:val="24"/>
        </w:rPr>
        <w:t xml:space="preserve"> </w:t>
      </w:r>
      <w:r w:rsidR="00177A6B">
        <w:rPr>
          <w:rFonts w:ascii="Arial" w:hAnsi="Arial" w:cs="Arial"/>
          <w:sz w:val="24"/>
          <w:szCs w:val="24"/>
        </w:rPr>
        <w:t>3 168 301</w:t>
      </w:r>
      <w:r w:rsidR="00857726">
        <w:rPr>
          <w:rFonts w:ascii="Arial" w:hAnsi="Arial" w:cs="Arial"/>
          <w:sz w:val="24"/>
          <w:szCs w:val="24"/>
        </w:rPr>
        <w:t>tis. Kč.</w:t>
      </w:r>
      <w:r w:rsidR="00F314D8">
        <w:rPr>
          <w:rFonts w:ascii="Arial" w:hAnsi="Arial" w:cs="Arial"/>
          <w:sz w:val="24"/>
          <w:szCs w:val="24"/>
        </w:rPr>
        <w:t>)</w:t>
      </w:r>
      <w:r w:rsidRPr="000A668A">
        <w:rPr>
          <w:rFonts w:ascii="Arial" w:hAnsi="Arial" w:cs="Arial"/>
          <w:sz w:val="24"/>
          <w:szCs w:val="24"/>
        </w:rPr>
        <w:t xml:space="preserve"> </w:t>
      </w:r>
    </w:p>
    <w:p w:rsidR="0043520D" w:rsidRPr="00595535" w:rsidRDefault="0043520D" w:rsidP="0043520D">
      <w:pPr>
        <w:keepNext/>
        <w:jc w:val="both"/>
        <w:rPr>
          <w:rFonts w:ascii="Arial" w:hAnsi="Arial" w:cs="Arial"/>
          <w:sz w:val="24"/>
          <w:szCs w:val="24"/>
        </w:rPr>
      </w:pPr>
      <w:r w:rsidRPr="000A668A">
        <w:rPr>
          <w:rFonts w:ascii="Arial" w:hAnsi="Arial" w:cs="Arial"/>
          <w:sz w:val="24"/>
          <w:szCs w:val="24"/>
        </w:rPr>
        <w:t xml:space="preserve">Tabulka </w:t>
      </w:r>
      <w:r w:rsidR="00CC1B7E">
        <w:rPr>
          <w:rFonts w:ascii="Arial" w:hAnsi="Arial" w:cs="Arial"/>
          <w:sz w:val="24"/>
          <w:szCs w:val="24"/>
        </w:rPr>
        <w:t>5:</w:t>
      </w:r>
      <w:r w:rsidRPr="000A668A">
        <w:rPr>
          <w:rFonts w:ascii="Arial" w:hAnsi="Arial" w:cs="Arial"/>
          <w:sz w:val="24"/>
          <w:szCs w:val="24"/>
        </w:rPr>
        <w:t xml:space="preserve"> Finanční náklady na progra</w:t>
      </w:r>
      <w:r w:rsidRPr="00595535">
        <w:rPr>
          <w:rFonts w:ascii="Arial" w:hAnsi="Arial" w:cs="Arial"/>
          <w:sz w:val="24"/>
          <w:szCs w:val="24"/>
        </w:rPr>
        <w:t xml:space="preserve">m </w:t>
      </w:r>
      <w:r w:rsidR="00595535" w:rsidRPr="00595535">
        <w:rPr>
          <w:rFonts w:ascii="Arial" w:hAnsi="Arial" w:cs="Arial"/>
          <w:sz w:val="24"/>
          <w:szCs w:val="24"/>
        </w:rPr>
        <w:t>Zdravotnický výzkum</w:t>
      </w:r>
      <w:r w:rsidR="00F314D8">
        <w:rPr>
          <w:rFonts w:ascii="Arial" w:hAnsi="Arial" w:cs="Arial"/>
          <w:sz w:val="24"/>
          <w:szCs w:val="24"/>
        </w:rPr>
        <w:t xml:space="preserve"> (v tis. Kč)</w:t>
      </w:r>
    </w:p>
    <w:tbl>
      <w:tblPr>
        <w:tblW w:w="9072" w:type="dxa"/>
        <w:tblInd w:w="70" w:type="dxa"/>
        <w:tblLayout w:type="fixed"/>
        <w:tblCellMar>
          <w:left w:w="70" w:type="dxa"/>
          <w:right w:w="70" w:type="dxa"/>
        </w:tblCellMar>
        <w:tblLook w:val="04A0" w:firstRow="1" w:lastRow="0" w:firstColumn="1" w:lastColumn="0" w:noHBand="0" w:noVBand="1"/>
      </w:tblPr>
      <w:tblGrid>
        <w:gridCol w:w="3969"/>
        <w:gridCol w:w="5103"/>
      </w:tblGrid>
      <w:tr w:rsidR="0043520D" w:rsidRPr="00595535" w:rsidTr="005E52C4">
        <w:trPr>
          <w:cantSplit/>
        </w:trPr>
        <w:tc>
          <w:tcPr>
            <w:tcW w:w="9072" w:type="dxa"/>
            <w:gridSpan w:val="2"/>
            <w:tcBorders>
              <w:top w:val="single" w:sz="4" w:space="0" w:color="000000"/>
              <w:left w:val="single" w:sz="4" w:space="0" w:color="000000"/>
              <w:bottom w:val="double" w:sz="2" w:space="0" w:color="000000"/>
              <w:right w:val="single" w:sz="4" w:space="0" w:color="000000"/>
            </w:tcBorders>
            <w:shd w:val="clear" w:color="auto" w:fill="EEECE1" w:themeFill="background2"/>
            <w:vAlign w:val="center"/>
            <w:hideMark/>
          </w:tcPr>
          <w:p w:rsidR="0043520D" w:rsidRPr="00595535" w:rsidRDefault="0043520D" w:rsidP="00595535">
            <w:pPr>
              <w:keepNext/>
              <w:suppressAutoHyphens/>
              <w:snapToGrid w:val="0"/>
              <w:spacing w:after="120" w:line="240" w:lineRule="auto"/>
              <w:jc w:val="center"/>
              <w:rPr>
                <w:rFonts w:ascii="Arial" w:hAnsi="Arial" w:cs="Arial"/>
                <w:b/>
                <w:sz w:val="24"/>
                <w:szCs w:val="24"/>
                <w:lang w:eastAsia="zh-CN"/>
              </w:rPr>
            </w:pPr>
            <w:r w:rsidRPr="00595535">
              <w:rPr>
                <w:rFonts w:ascii="Arial" w:hAnsi="Arial" w:cs="Arial"/>
                <w:b/>
                <w:sz w:val="24"/>
                <w:szCs w:val="24"/>
              </w:rPr>
              <w:t xml:space="preserve">Náklady a výdaje na program </w:t>
            </w:r>
            <w:r w:rsidR="00595535" w:rsidRPr="00595535">
              <w:rPr>
                <w:rFonts w:ascii="Arial" w:hAnsi="Arial" w:cs="Arial"/>
                <w:b/>
                <w:sz w:val="24"/>
                <w:szCs w:val="24"/>
              </w:rPr>
              <w:t>Zdravotnický výzkum</w:t>
            </w:r>
            <w:r w:rsidR="00F314D8">
              <w:rPr>
                <w:rFonts w:ascii="Arial" w:hAnsi="Arial" w:cs="Arial"/>
                <w:b/>
                <w:sz w:val="24"/>
                <w:szCs w:val="24"/>
              </w:rPr>
              <w:t xml:space="preserve"> v tis. Kč dle MZ</w:t>
            </w:r>
          </w:p>
        </w:tc>
      </w:tr>
      <w:tr w:rsidR="0043520D" w:rsidRPr="00595535" w:rsidTr="005E52C4">
        <w:tc>
          <w:tcPr>
            <w:tcW w:w="3969" w:type="dxa"/>
            <w:tcBorders>
              <w:top w:val="single" w:sz="4" w:space="0" w:color="000000"/>
              <w:left w:val="single" w:sz="4" w:space="0" w:color="000000"/>
              <w:bottom w:val="single" w:sz="4" w:space="0" w:color="000000"/>
              <w:right w:val="nil"/>
            </w:tcBorders>
            <w:vAlign w:val="center"/>
            <w:hideMark/>
          </w:tcPr>
          <w:p w:rsidR="0043520D" w:rsidRPr="00595535" w:rsidRDefault="0043520D" w:rsidP="005E52C4">
            <w:pPr>
              <w:suppressAutoHyphens/>
              <w:snapToGrid w:val="0"/>
              <w:spacing w:after="120" w:line="240" w:lineRule="auto"/>
              <w:rPr>
                <w:rFonts w:ascii="Arial" w:hAnsi="Arial" w:cs="Arial"/>
                <w:sz w:val="24"/>
                <w:szCs w:val="24"/>
                <w:lang w:eastAsia="zh-CN"/>
              </w:rPr>
            </w:pPr>
            <w:r w:rsidRPr="00595535">
              <w:rPr>
                <w:rFonts w:ascii="Arial" w:hAnsi="Arial" w:cs="Arial"/>
                <w:sz w:val="24"/>
                <w:szCs w:val="24"/>
              </w:rPr>
              <w:t>Celkové plánované náklady</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43520D" w:rsidRPr="00595535" w:rsidRDefault="00595535" w:rsidP="00F314D8">
            <w:pPr>
              <w:suppressAutoHyphens/>
              <w:snapToGrid w:val="0"/>
              <w:spacing w:after="120" w:line="240" w:lineRule="auto"/>
              <w:jc w:val="center"/>
              <w:rPr>
                <w:rFonts w:ascii="Arial" w:hAnsi="Arial" w:cs="Arial"/>
                <w:sz w:val="24"/>
                <w:szCs w:val="24"/>
                <w:lang w:eastAsia="zh-CN"/>
              </w:rPr>
            </w:pPr>
            <w:r w:rsidRPr="00595535">
              <w:rPr>
                <w:rFonts w:ascii="Arial" w:hAnsi="Arial" w:cs="Arial"/>
                <w:color w:val="000000" w:themeColor="text1"/>
                <w:sz w:val="24"/>
                <w:szCs w:val="24"/>
              </w:rPr>
              <w:t>4 447 </w:t>
            </w:r>
            <w:r w:rsidR="0043520D" w:rsidRPr="00595535">
              <w:rPr>
                <w:rFonts w:ascii="Arial" w:hAnsi="Arial" w:cs="Arial"/>
                <w:color w:val="000000" w:themeColor="text1"/>
                <w:sz w:val="24"/>
                <w:szCs w:val="24"/>
              </w:rPr>
              <w:t>000</w:t>
            </w:r>
            <w:r w:rsidRPr="00595535">
              <w:rPr>
                <w:rFonts w:ascii="Arial" w:hAnsi="Arial" w:cs="Arial"/>
                <w:color w:val="000000" w:themeColor="text1"/>
                <w:sz w:val="24"/>
                <w:szCs w:val="24"/>
              </w:rPr>
              <w:t xml:space="preserve"> </w:t>
            </w:r>
          </w:p>
        </w:tc>
      </w:tr>
      <w:tr w:rsidR="0043520D" w:rsidRPr="00595535" w:rsidTr="005E52C4">
        <w:tc>
          <w:tcPr>
            <w:tcW w:w="3969" w:type="dxa"/>
            <w:tcBorders>
              <w:top w:val="single" w:sz="4" w:space="0" w:color="000000"/>
              <w:left w:val="single" w:sz="4" w:space="0" w:color="000000"/>
              <w:bottom w:val="single" w:sz="4" w:space="0" w:color="000000"/>
              <w:right w:val="nil"/>
            </w:tcBorders>
            <w:vAlign w:val="center"/>
          </w:tcPr>
          <w:p w:rsidR="0043520D" w:rsidRPr="00595535" w:rsidRDefault="0043520D" w:rsidP="005E52C4">
            <w:pPr>
              <w:suppressAutoHyphens/>
              <w:snapToGrid w:val="0"/>
              <w:spacing w:after="120" w:line="240" w:lineRule="auto"/>
              <w:rPr>
                <w:rFonts w:ascii="Arial" w:hAnsi="Arial" w:cs="Arial"/>
                <w:sz w:val="24"/>
                <w:szCs w:val="24"/>
              </w:rPr>
            </w:pPr>
            <w:r w:rsidRPr="00595535">
              <w:rPr>
                <w:rFonts w:ascii="Arial" w:hAnsi="Arial" w:cs="Arial"/>
                <w:sz w:val="24"/>
                <w:szCs w:val="24"/>
              </w:rPr>
              <w:t>Celkové náklady čerpané</w:t>
            </w:r>
          </w:p>
        </w:tc>
        <w:tc>
          <w:tcPr>
            <w:tcW w:w="5103" w:type="dxa"/>
            <w:tcBorders>
              <w:top w:val="single" w:sz="4" w:space="0" w:color="000000"/>
              <w:left w:val="single" w:sz="4" w:space="0" w:color="000000"/>
              <w:bottom w:val="single" w:sz="4" w:space="0" w:color="000000"/>
              <w:right w:val="single" w:sz="4" w:space="0" w:color="000000"/>
            </w:tcBorders>
            <w:vAlign w:val="center"/>
          </w:tcPr>
          <w:p w:rsidR="0043520D" w:rsidRPr="00595535" w:rsidRDefault="00595535" w:rsidP="00B33A13">
            <w:pPr>
              <w:suppressAutoHyphens/>
              <w:snapToGrid w:val="0"/>
              <w:spacing w:after="120" w:line="240" w:lineRule="auto"/>
              <w:jc w:val="center"/>
              <w:rPr>
                <w:rFonts w:ascii="Arial" w:hAnsi="Arial" w:cs="Arial"/>
                <w:sz w:val="24"/>
                <w:szCs w:val="24"/>
              </w:rPr>
            </w:pPr>
            <w:r w:rsidRPr="00595535">
              <w:rPr>
                <w:rFonts w:ascii="Arial" w:hAnsi="Arial" w:cs="Arial"/>
                <w:color w:val="000000" w:themeColor="text1"/>
                <w:sz w:val="24"/>
                <w:szCs w:val="24"/>
              </w:rPr>
              <w:t>3</w:t>
            </w:r>
            <w:r w:rsidR="00B33A13">
              <w:rPr>
                <w:rFonts w:ascii="Arial" w:hAnsi="Arial" w:cs="Arial"/>
                <w:color w:val="000000" w:themeColor="text1"/>
                <w:sz w:val="24"/>
                <w:szCs w:val="24"/>
              </w:rPr>
              <w:t xml:space="preserve"> 200 261 </w:t>
            </w:r>
          </w:p>
        </w:tc>
      </w:tr>
      <w:tr w:rsidR="0043520D" w:rsidRPr="00595535" w:rsidTr="005E52C4">
        <w:tc>
          <w:tcPr>
            <w:tcW w:w="3969" w:type="dxa"/>
            <w:tcBorders>
              <w:top w:val="single" w:sz="4" w:space="0" w:color="000000"/>
              <w:left w:val="single" w:sz="4" w:space="0" w:color="000000"/>
              <w:bottom w:val="single" w:sz="4" w:space="0" w:color="000000"/>
              <w:right w:val="nil"/>
            </w:tcBorders>
            <w:vAlign w:val="center"/>
          </w:tcPr>
          <w:p w:rsidR="0043520D" w:rsidRPr="00595535" w:rsidRDefault="0043520D" w:rsidP="005E52C4">
            <w:pPr>
              <w:suppressAutoHyphens/>
              <w:snapToGrid w:val="0"/>
              <w:spacing w:after="120" w:line="240" w:lineRule="auto"/>
              <w:rPr>
                <w:rFonts w:ascii="Arial" w:hAnsi="Arial" w:cs="Arial"/>
                <w:sz w:val="24"/>
                <w:szCs w:val="24"/>
              </w:rPr>
            </w:pPr>
            <w:r w:rsidRPr="00595535">
              <w:rPr>
                <w:rFonts w:ascii="Arial" w:hAnsi="Arial" w:cs="Arial"/>
                <w:sz w:val="24"/>
                <w:szCs w:val="24"/>
              </w:rPr>
              <w:t>Plánované náklady ze SR</w:t>
            </w:r>
          </w:p>
        </w:tc>
        <w:tc>
          <w:tcPr>
            <w:tcW w:w="5103" w:type="dxa"/>
            <w:tcBorders>
              <w:top w:val="single" w:sz="4" w:space="0" w:color="000000"/>
              <w:left w:val="single" w:sz="4" w:space="0" w:color="000000"/>
              <w:bottom w:val="single" w:sz="4" w:space="0" w:color="000000"/>
              <w:right w:val="single" w:sz="4" w:space="0" w:color="000000"/>
            </w:tcBorders>
            <w:vAlign w:val="center"/>
          </w:tcPr>
          <w:p w:rsidR="0043520D" w:rsidRPr="00595535" w:rsidRDefault="00595535" w:rsidP="00F314D8">
            <w:pPr>
              <w:suppressAutoHyphens/>
              <w:snapToGrid w:val="0"/>
              <w:spacing w:after="120" w:line="240" w:lineRule="auto"/>
              <w:jc w:val="center"/>
              <w:rPr>
                <w:rFonts w:ascii="Arial" w:hAnsi="Arial" w:cs="Arial"/>
                <w:sz w:val="24"/>
                <w:szCs w:val="24"/>
              </w:rPr>
            </w:pPr>
            <w:r w:rsidRPr="00595535">
              <w:rPr>
                <w:rFonts w:ascii="Arial" w:hAnsi="Arial" w:cs="Arial"/>
                <w:color w:val="000000" w:themeColor="text1"/>
                <w:sz w:val="24"/>
                <w:szCs w:val="24"/>
              </w:rPr>
              <w:t>4 358 000</w:t>
            </w:r>
            <w:r w:rsidR="0043520D" w:rsidRPr="00595535">
              <w:rPr>
                <w:rFonts w:ascii="Arial" w:hAnsi="Arial" w:cs="Arial"/>
                <w:color w:val="000000" w:themeColor="text1"/>
                <w:sz w:val="24"/>
                <w:szCs w:val="24"/>
              </w:rPr>
              <w:t xml:space="preserve"> </w:t>
            </w:r>
          </w:p>
        </w:tc>
      </w:tr>
      <w:tr w:rsidR="00CE7AA1" w:rsidRPr="00595535" w:rsidTr="005E52C4">
        <w:tc>
          <w:tcPr>
            <w:tcW w:w="3969" w:type="dxa"/>
            <w:tcBorders>
              <w:top w:val="single" w:sz="4" w:space="0" w:color="000000"/>
              <w:left w:val="single" w:sz="4" w:space="0" w:color="000000"/>
              <w:bottom w:val="single" w:sz="4" w:space="0" w:color="000000"/>
              <w:right w:val="nil"/>
            </w:tcBorders>
            <w:vAlign w:val="center"/>
          </w:tcPr>
          <w:p w:rsidR="00CE7AA1" w:rsidRPr="00595535" w:rsidRDefault="00B33A13" w:rsidP="00B33A13">
            <w:pPr>
              <w:suppressAutoHyphens/>
              <w:snapToGrid w:val="0"/>
              <w:spacing w:after="120" w:line="240" w:lineRule="auto"/>
              <w:rPr>
                <w:rFonts w:ascii="Arial" w:hAnsi="Arial" w:cs="Arial"/>
                <w:sz w:val="24"/>
                <w:szCs w:val="24"/>
              </w:rPr>
            </w:pPr>
            <w:r>
              <w:rPr>
                <w:rFonts w:ascii="Arial" w:hAnsi="Arial" w:cs="Arial"/>
                <w:sz w:val="24"/>
                <w:szCs w:val="24"/>
              </w:rPr>
              <w:lastRenderedPageBreak/>
              <w:t>Skutečně č</w:t>
            </w:r>
            <w:r w:rsidR="00CE7AA1">
              <w:rPr>
                <w:rFonts w:ascii="Arial" w:hAnsi="Arial" w:cs="Arial"/>
                <w:sz w:val="24"/>
                <w:szCs w:val="24"/>
              </w:rPr>
              <w:t>erpané prostředky ze SR</w:t>
            </w:r>
          </w:p>
        </w:tc>
        <w:tc>
          <w:tcPr>
            <w:tcW w:w="5103" w:type="dxa"/>
            <w:tcBorders>
              <w:top w:val="single" w:sz="4" w:space="0" w:color="000000"/>
              <w:left w:val="single" w:sz="4" w:space="0" w:color="000000"/>
              <w:bottom w:val="single" w:sz="4" w:space="0" w:color="000000"/>
              <w:right w:val="single" w:sz="4" w:space="0" w:color="000000"/>
            </w:tcBorders>
            <w:vAlign w:val="center"/>
          </w:tcPr>
          <w:p w:rsidR="00CE7AA1" w:rsidRPr="00595535" w:rsidRDefault="00CE7AA1" w:rsidP="00F314D8">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3 089 21</w:t>
            </w:r>
            <w:r w:rsidR="00F314D8">
              <w:rPr>
                <w:rFonts w:ascii="Arial" w:hAnsi="Arial" w:cs="Arial"/>
                <w:color w:val="000000" w:themeColor="text1"/>
                <w:sz w:val="24"/>
                <w:szCs w:val="24"/>
              </w:rPr>
              <w:t>4</w:t>
            </w:r>
            <w:r w:rsidR="00154726">
              <w:rPr>
                <w:rStyle w:val="Znakapoznpodarou"/>
                <w:rFonts w:ascii="Arial" w:hAnsi="Arial"/>
                <w:color w:val="000000" w:themeColor="text1"/>
                <w:sz w:val="24"/>
                <w:szCs w:val="24"/>
              </w:rPr>
              <w:footnoteReference w:id="6"/>
            </w:r>
          </w:p>
        </w:tc>
      </w:tr>
      <w:tr w:rsidR="0043520D" w:rsidRPr="00595535" w:rsidTr="005E52C4">
        <w:tc>
          <w:tcPr>
            <w:tcW w:w="3969" w:type="dxa"/>
            <w:tcBorders>
              <w:top w:val="single" w:sz="4" w:space="0" w:color="000000"/>
              <w:left w:val="single" w:sz="4" w:space="0" w:color="000000"/>
              <w:bottom w:val="single" w:sz="4" w:space="0" w:color="000000"/>
              <w:right w:val="nil"/>
            </w:tcBorders>
            <w:vAlign w:val="center"/>
          </w:tcPr>
          <w:p w:rsidR="0043520D" w:rsidRPr="00595535" w:rsidRDefault="0043520D" w:rsidP="005E52C4">
            <w:pPr>
              <w:suppressAutoHyphens/>
              <w:snapToGrid w:val="0"/>
              <w:spacing w:after="120" w:line="240" w:lineRule="auto"/>
              <w:rPr>
                <w:rFonts w:ascii="Arial" w:hAnsi="Arial" w:cs="Arial"/>
                <w:sz w:val="24"/>
                <w:szCs w:val="24"/>
              </w:rPr>
            </w:pPr>
            <w:r w:rsidRPr="00595535">
              <w:rPr>
                <w:rFonts w:ascii="Arial" w:hAnsi="Arial" w:cs="Arial"/>
                <w:sz w:val="24"/>
                <w:szCs w:val="24"/>
              </w:rPr>
              <w:t xml:space="preserve">Celkové přidělené prostředky ze SR </w:t>
            </w:r>
          </w:p>
        </w:tc>
        <w:tc>
          <w:tcPr>
            <w:tcW w:w="5103" w:type="dxa"/>
            <w:tcBorders>
              <w:top w:val="single" w:sz="4" w:space="0" w:color="000000"/>
              <w:left w:val="single" w:sz="4" w:space="0" w:color="000000"/>
              <w:bottom w:val="single" w:sz="4" w:space="0" w:color="000000"/>
              <w:right w:val="single" w:sz="4" w:space="0" w:color="000000"/>
            </w:tcBorders>
            <w:vAlign w:val="center"/>
          </w:tcPr>
          <w:p w:rsidR="0043520D" w:rsidRPr="00595535" w:rsidRDefault="00595535" w:rsidP="00F314D8">
            <w:pPr>
              <w:suppressAutoHyphens/>
              <w:snapToGrid w:val="0"/>
              <w:spacing w:after="120" w:line="240" w:lineRule="auto"/>
              <w:jc w:val="center"/>
              <w:rPr>
                <w:rFonts w:ascii="Arial" w:hAnsi="Arial" w:cs="Arial"/>
                <w:sz w:val="24"/>
                <w:szCs w:val="24"/>
              </w:rPr>
            </w:pPr>
            <w:r w:rsidRPr="00595535">
              <w:rPr>
                <w:rFonts w:ascii="Arial" w:hAnsi="Arial" w:cs="Arial"/>
                <w:color w:val="000000" w:themeColor="text1"/>
                <w:sz w:val="24"/>
                <w:szCs w:val="24"/>
              </w:rPr>
              <w:t>3 167 652</w:t>
            </w:r>
            <w:r w:rsidR="00B33A13">
              <w:rPr>
                <w:rStyle w:val="Znakapoznpodarou"/>
                <w:rFonts w:ascii="Arial" w:hAnsi="Arial"/>
                <w:color w:val="000000" w:themeColor="text1"/>
                <w:sz w:val="24"/>
                <w:szCs w:val="24"/>
              </w:rPr>
              <w:footnoteReference w:id="7"/>
            </w:r>
            <w:r w:rsidRPr="00595535">
              <w:rPr>
                <w:rFonts w:ascii="Arial" w:hAnsi="Arial" w:cs="Arial"/>
                <w:color w:val="000000" w:themeColor="text1"/>
                <w:sz w:val="24"/>
                <w:szCs w:val="24"/>
              </w:rPr>
              <w:t xml:space="preserve"> </w:t>
            </w:r>
          </w:p>
        </w:tc>
      </w:tr>
      <w:tr w:rsidR="0043520D" w:rsidRPr="00595535" w:rsidTr="005E52C4">
        <w:tc>
          <w:tcPr>
            <w:tcW w:w="3969" w:type="dxa"/>
            <w:tcBorders>
              <w:top w:val="single" w:sz="4" w:space="0" w:color="000000"/>
              <w:left w:val="single" w:sz="4" w:space="0" w:color="000000"/>
              <w:bottom w:val="single" w:sz="4" w:space="0" w:color="000000"/>
              <w:right w:val="nil"/>
            </w:tcBorders>
            <w:vAlign w:val="center"/>
          </w:tcPr>
          <w:p w:rsidR="0043520D" w:rsidRPr="00595535" w:rsidRDefault="00B50362" w:rsidP="00713CD8">
            <w:pPr>
              <w:suppressAutoHyphens/>
              <w:snapToGrid w:val="0"/>
              <w:spacing w:after="120" w:line="240" w:lineRule="auto"/>
              <w:rPr>
                <w:rFonts w:ascii="Arial" w:hAnsi="Arial" w:cs="Arial"/>
                <w:sz w:val="24"/>
                <w:szCs w:val="24"/>
              </w:rPr>
            </w:pPr>
            <w:r>
              <w:rPr>
                <w:rFonts w:ascii="Arial" w:hAnsi="Arial" w:cs="Arial"/>
                <w:sz w:val="24"/>
                <w:szCs w:val="24"/>
              </w:rPr>
              <w:t>Vlastní zdroje</w:t>
            </w:r>
            <w:r w:rsidR="0043520D" w:rsidRPr="00595535">
              <w:rPr>
                <w:rFonts w:ascii="Arial" w:hAnsi="Arial" w:cs="Arial"/>
                <w:sz w:val="24"/>
                <w:szCs w:val="24"/>
              </w:rPr>
              <w:t xml:space="preserve"> - předpoklad</w:t>
            </w:r>
          </w:p>
        </w:tc>
        <w:tc>
          <w:tcPr>
            <w:tcW w:w="5103" w:type="dxa"/>
            <w:tcBorders>
              <w:top w:val="single" w:sz="4" w:space="0" w:color="000000"/>
              <w:left w:val="single" w:sz="4" w:space="0" w:color="000000"/>
              <w:bottom w:val="single" w:sz="4" w:space="0" w:color="000000"/>
              <w:right w:val="single" w:sz="4" w:space="0" w:color="000000"/>
            </w:tcBorders>
            <w:vAlign w:val="center"/>
          </w:tcPr>
          <w:p w:rsidR="0043520D" w:rsidRPr="00595535" w:rsidRDefault="00595535" w:rsidP="00F314D8">
            <w:pPr>
              <w:suppressAutoHyphens/>
              <w:snapToGrid w:val="0"/>
              <w:spacing w:after="120" w:line="240" w:lineRule="auto"/>
              <w:jc w:val="center"/>
              <w:rPr>
                <w:rFonts w:ascii="Arial" w:hAnsi="Arial" w:cs="Arial"/>
                <w:sz w:val="24"/>
                <w:szCs w:val="24"/>
              </w:rPr>
            </w:pPr>
            <w:r w:rsidRPr="00595535">
              <w:rPr>
                <w:rFonts w:ascii="Arial" w:hAnsi="Arial" w:cs="Arial"/>
                <w:color w:val="000000" w:themeColor="text1"/>
                <w:sz w:val="24"/>
                <w:szCs w:val="24"/>
              </w:rPr>
              <w:t>89 000</w:t>
            </w:r>
            <w:r w:rsidR="0043520D" w:rsidRPr="00595535">
              <w:rPr>
                <w:rFonts w:ascii="Arial" w:hAnsi="Arial" w:cs="Arial"/>
                <w:color w:val="000000" w:themeColor="text1"/>
                <w:sz w:val="24"/>
                <w:szCs w:val="24"/>
              </w:rPr>
              <w:t xml:space="preserve"> </w:t>
            </w:r>
          </w:p>
        </w:tc>
      </w:tr>
      <w:tr w:rsidR="0043520D" w:rsidRPr="0043520D" w:rsidTr="005E52C4">
        <w:tc>
          <w:tcPr>
            <w:tcW w:w="3969" w:type="dxa"/>
            <w:tcBorders>
              <w:top w:val="single" w:sz="4" w:space="0" w:color="000000"/>
              <w:left w:val="single" w:sz="4" w:space="0" w:color="000000"/>
              <w:bottom w:val="single" w:sz="4" w:space="0" w:color="000000"/>
              <w:right w:val="nil"/>
            </w:tcBorders>
            <w:vAlign w:val="center"/>
          </w:tcPr>
          <w:p w:rsidR="0043520D" w:rsidRPr="00595535" w:rsidRDefault="00B50362" w:rsidP="00713CD8">
            <w:pPr>
              <w:suppressAutoHyphens/>
              <w:snapToGrid w:val="0"/>
              <w:spacing w:after="120" w:line="240" w:lineRule="auto"/>
              <w:rPr>
                <w:rFonts w:ascii="Arial" w:hAnsi="Arial" w:cs="Arial"/>
                <w:sz w:val="24"/>
                <w:szCs w:val="24"/>
              </w:rPr>
            </w:pPr>
            <w:r>
              <w:rPr>
                <w:rFonts w:ascii="Arial" w:hAnsi="Arial" w:cs="Arial"/>
                <w:sz w:val="24"/>
                <w:szCs w:val="24"/>
              </w:rPr>
              <w:t>Vlastní zdroje</w:t>
            </w:r>
            <w:r w:rsidR="0043520D" w:rsidRPr="00595535">
              <w:rPr>
                <w:rFonts w:ascii="Arial" w:hAnsi="Arial" w:cs="Arial"/>
                <w:sz w:val="24"/>
                <w:szCs w:val="24"/>
              </w:rPr>
              <w:t xml:space="preserve"> čerpané</w:t>
            </w:r>
          </w:p>
        </w:tc>
        <w:tc>
          <w:tcPr>
            <w:tcW w:w="5103" w:type="dxa"/>
            <w:tcBorders>
              <w:top w:val="single" w:sz="4" w:space="0" w:color="000000"/>
              <w:left w:val="single" w:sz="4" w:space="0" w:color="000000"/>
              <w:bottom w:val="single" w:sz="4" w:space="0" w:color="000000"/>
              <w:right w:val="single" w:sz="4" w:space="0" w:color="000000"/>
            </w:tcBorders>
            <w:vAlign w:val="center"/>
          </w:tcPr>
          <w:p w:rsidR="0043520D" w:rsidRPr="00595535" w:rsidRDefault="00595535" w:rsidP="00F314D8">
            <w:pPr>
              <w:suppressAutoHyphens/>
              <w:snapToGrid w:val="0"/>
              <w:spacing w:after="120" w:line="240" w:lineRule="auto"/>
              <w:jc w:val="center"/>
              <w:rPr>
                <w:rFonts w:ascii="Arial" w:hAnsi="Arial" w:cs="Arial"/>
                <w:sz w:val="24"/>
                <w:szCs w:val="24"/>
              </w:rPr>
            </w:pPr>
            <w:r w:rsidRPr="00595535">
              <w:rPr>
                <w:rFonts w:ascii="Arial" w:hAnsi="Arial" w:cs="Arial"/>
                <w:color w:val="000000" w:themeColor="text1"/>
                <w:sz w:val="24"/>
                <w:szCs w:val="24"/>
              </w:rPr>
              <w:t xml:space="preserve">32 609 </w:t>
            </w:r>
          </w:p>
        </w:tc>
      </w:tr>
    </w:tbl>
    <w:p w:rsidR="003F6B2A" w:rsidRPr="003F6B2A" w:rsidRDefault="0043520D" w:rsidP="00713CD8">
      <w:pPr>
        <w:spacing w:before="120" w:after="120" w:line="240" w:lineRule="auto"/>
        <w:jc w:val="both"/>
        <w:rPr>
          <w:rFonts w:ascii="Arial" w:hAnsi="Arial" w:cs="Arial"/>
          <w:sz w:val="24"/>
          <w:szCs w:val="24"/>
        </w:rPr>
      </w:pPr>
      <w:r w:rsidRPr="003F6B2A">
        <w:rPr>
          <w:rFonts w:ascii="Arial" w:hAnsi="Arial" w:cs="Arial"/>
          <w:sz w:val="24"/>
          <w:szCs w:val="24"/>
        </w:rPr>
        <w:t xml:space="preserve">Reálné financování programu </w:t>
      </w:r>
      <w:r w:rsidR="001F60C4" w:rsidRPr="003F6B2A">
        <w:rPr>
          <w:rFonts w:ascii="Arial" w:hAnsi="Arial" w:cs="Arial"/>
          <w:sz w:val="24"/>
          <w:szCs w:val="24"/>
        </w:rPr>
        <w:t>Zdravotnický výzkum</w:t>
      </w:r>
      <w:r w:rsidRPr="003F6B2A">
        <w:rPr>
          <w:rFonts w:ascii="Arial" w:hAnsi="Arial" w:cs="Arial"/>
          <w:sz w:val="24"/>
          <w:szCs w:val="24"/>
        </w:rPr>
        <w:t xml:space="preserve"> v porovnání s plánem činilo u celkových </w:t>
      </w:r>
      <w:r w:rsidR="003F6B2A" w:rsidRPr="003F6B2A">
        <w:rPr>
          <w:rFonts w:ascii="Arial" w:hAnsi="Arial" w:cs="Arial"/>
          <w:sz w:val="24"/>
          <w:szCs w:val="24"/>
        </w:rPr>
        <w:t xml:space="preserve">nákladů </w:t>
      </w:r>
      <w:r w:rsidR="00F314D8">
        <w:rPr>
          <w:rFonts w:ascii="Arial" w:hAnsi="Arial" w:cs="Arial"/>
          <w:sz w:val="24"/>
          <w:szCs w:val="24"/>
        </w:rPr>
        <w:t xml:space="preserve">přibližně </w:t>
      </w:r>
      <w:r w:rsidR="003F6B2A" w:rsidRPr="003F6B2A">
        <w:rPr>
          <w:rFonts w:ascii="Arial" w:hAnsi="Arial" w:cs="Arial"/>
          <w:sz w:val="24"/>
          <w:szCs w:val="24"/>
        </w:rPr>
        <w:t>70</w:t>
      </w:r>
      <w:r w:rsidRPr="003F6B2A">
        <w:rPr>
          <w:rFonts w:ascii="Arial" w:hAnsi="Arial" w:cs="Arial"/>
          <w:sz w:val="24"/>
          <w:szCs w:val="24"/>
        </w:rPr>
        <w:t xml:space="preserve"> % a u podpory ze státního rozpočtu 7</w:t>
      </w:r>
      <w:r w:rsidR="00F314D8">
        <w:rPr>
          <w:rFonts w:ascii="Arial" w:hAnsi="Arial" w:cs="Arial"/>
          <w:sz w:val="24"/>
          <w:szCs w:val="24"/>
        </w:rPr>
        <w:t>3</w:t>
      </w:r>
      <w:r w:rsidRPr="003F6B2A">
        <w:rPr>
          <w:rFonts w:ascii="Arial" w:hAnsi="Arial" w:cs="Arial"/>
          <w:sz w:val="24"/>
          <w:szCs w:val="24"/>
        </w:rPr>
        <w:t xml:space="preserve"> %. </w:t>
      </w:r>
    </w:p>
    <w:p w:rsidR="0043520D" w:rsidRDefault="003F6B2A" w:rsidP="0043520D">
      <w:pPr>
        <w:spacing w:after="120" w:line="240" w:lineRule="auto"/>
        <w:jc w:val="both"/>
        <w:rPr>
          <w:rFonts w:ascii="Arial" w:hAnsi="Arial" w:cs="Arial"/>
          <w:sz w:val="24"/>
          <w:szCs w:val="24"/>
        </w:rPr>
      </w:pPr>
      <w:r w:rsidRPr="003F6B2A">
        <w:rPr>
          <w:rFonts w:ascii="Arial" w:hAnsi="Arial" w:cs="Arial"/>
          <w:sz w:val="24"/>
          <w:szCs w:val="24"/>
        </w:rPr>
        <w:t xml:space="preserve">Rozdíly </w:t>
      </w:r>
      <w:r w:rsidR="000A668A">
        <w:rPr>
          <w:rFonts w:ascii="Arial" w:hAnsi="Arial" w:cs="Arial"/>
          <w:sz w:val="24"/>
          <w:szCs w:val="24"/>
        </w:rPr>
        <w:t>byly</w:t>
      </w:r>
      <w:r w:rsidRPr="003F6B2A">
        <w:rPr>
          <w:rFonts w:ascii="Arial" w:hAnsi="Arial" w:cs="Arial"/>
          <w:sz w:val="24"/>
          <w:szCs w:val="24"/>
        </w:rPr>
        <w:t xml:space="preserve"> </w:t>
      </w:r>
      <w:r w:rsidR="0043520D" w:rsidRPr="003F6B2A">
        <w:rPr>
          <w:rFonts w:ascii="Arial" w:hAnsi="Arial" w:cs="Arial"/>
          <w:sz w:val="24"/>
          <w:szCs w:val="24"/>
        </w:rPr>
        <w:t>způsoben</w:t>
      </w:r>
      <w:r w:rsidRPr="003F6B2A">
        <w:rPr>
          <w:rFonts w:ascii="Arial" w:hAnsi="Arial" w:cs="Arial"/>
          <w:sz w:val="24"/>
          <w:szCs w:val="24"/>
        </w:rPr>
        <w:t>y</w:t>
      </w:r>
      <w:r w:rsidR="0043520D" w:rsidRPr="003F6B2A">
        <w:rPr>
          <w:rFonts w:ascii="Arial" w:hAnsi="Arial" w:cs="Arial"/>
          <w:sz w:val="24"/>
          <w:szCs w:val="24"/>
        </w:rPr>
        <w:t xml:space="preserve"> změnami ve výdajích</w:t>
      </w:r>
      <w:r w:rsidR="000A668A">
        <w:rPr>
          <w:rFonts w:ascii="Arial" w:hAnsi="Arial" w:cs="Arial"/>
          <w:sz w:val="24"/>
          <w:szCs w:val="24"/>
        </w:rPr>
        <w:t xml:space="preserve"> </w:t>
      </w:r>
      <w:r w:rsidR="0043520D" w:rsidRPr="003F6B2A">
        <w:rPr>
          <w:rFonts w:ascii="Arial" w:hAnsi="Arial" w:cs="Arial"/>
          <w:sz w:val="24"/>
          <w:szCs w:val="24"/>
        </w:rPr>
        <w:t>na výzkum a vývoj ze státního rozpočtu</w:t>
      </w:r>
      <w:r w:rsidRPr="003F6B2A">
        <w:rPr>
          <w:rFonts w:ascii="Arial" w:hAnsi="Arial" w:cs="Arial"/>
          <w:sz w:val="24"/>
          <w:szCs w:val="24"/>
        </w:rPr>
        <w:t>.</w:t>
      </w:r>
      <w:r w:rsidR="0043520D" w:rsidRPr="003F6B2A">
        <w:rPr>
          <w:rFonts w:ascii="Arial" w:hAnsi="Arial" w:cs="Arial"/>
          <w:sz w:val="24"/>
          <w:szCs w:val="24"/>
        </w:rPr>
        <w:t xml:space="preserve"> </w:t>
      </w:r>
      <w:r w:rsidR="009C72F6">
        <w:rPr>
          <w:rFonts w:ascii="Arial" w:hAnsi="Arial" w:cs="Arial"/>
          <w:sz w:val="24"/>
          <w:szCs w:val="24"/>
        </w:rPr>
        <w:t>U</w:t>
      </w:r>
      <w:r>
        <w:rPr>
          <w:rFonts w:ascii="Arial" w:hAnsi="Arial" w:cs="Arial"/>
          <w:sz w:val="24"/>
          <w:szCs w:val="24"/>
        </w:rPr>
        <w:t xml:space="preserve"> Zdravotnického výzkumu nelze dopady rozpočtových opatření na</w:t>
      </w:r>
      <w:r w:rsidR="009C72F6">
        <w:rPr>
          <w:rFonts w:ascii="Arial" w:hAnsi="Arial" w:cs="Arial"/>
          <w:sz w:val="24"/>
          <w:szCs w:val="24"/>
        </w:rPr>
        <w:t> </w:t>
      </w:r>
      <w:r>
        <w:rPr>
          <w:rFonts w:ascii="Arial" w:hAnsi="Arial" w:cs="Arial"/>
          <w:sz w:val="24"/>
          <w:szCs w:val="24"/>
        </w:rPr>
        <w:t>program vyčíslit, je</w:t>
      </w:r>
      <w:r w:rsidR="009C72F6">
        <w:rPr>
          <w:rFonts w:ascii="Arial" w:hAnsi="Arial" w:cs="Arial"/>
          <w:sz w:val="24"/>
          <w:szCs w:val="24"/>
        </w:rPr>
        <w:t xml:space="preserve"> však zcela pochopitelné, že při snížení výdajů ze státního rozpočtu muselo</w:t>
      </w:r>
      <w:r>
        <w:rPr>
          <w:rFonts w:ascii="Arial" w:hAnsi="Arial" w:cs="Arial"/>
          <w:sz w:val="24"/>
          <w:szCs w:val="24"/>
        </w:rPr>
        <w:t xml:space="preserve"> dojít ke snížení celkové </w:t>
      </w:r>
      <w:r w:rsidR="000A668A">
        <w:rPr>
          <w:rFonts w:ascii="Arial" w:hAnsi="Arial" w:cs="Arial"/>
          <w:sz w:val="24"/>
          <w:szCs w:val="24"/>
        </w:rPr>
        <w:t>úspěšnosti</w:t>
      </w:r>
      <w:r w:rsidR="009C72F6">
        <w:rPr>
          <w:rFonts w:ascii="Arial" w:hAnsi="Arial" w:cs="Arial"/>
          <w:sz w:val="24"/>
          <w:szCs w:val="24"/>
        </w:rPr>
        <w:t xml:space="preserve"> hodnoceného programu</w:t>
      </w:r>
      <w:r w:rsidR="000A668A">
        <w:rPr>
          <w:rFonts w:ascii="Arial" w:hAnsi="Arial" w:cs="Arial"/>
          <w:sz w:val="24"/>
          <w:szCs w:val="24"/>
        </w:rPr>
        <w:t>.</w:t>
      </w:r>
    </w:p>
    <w:p w:rsidR="007D35F6" w:rsidRPr="007D35F6" w:rsidRDefault="007D35F6" w:rsidP="00FB6252">
      <w:pPr>
        <w:autoSpaceDE w:val="0"/>
        <w:autoSpaceDN w:val="0"/>
        <w:adjustRightInd w:val="0"/>
        <w:spacing w:after="120" w:line="240" w:lineRule="auto"/>
        <w:jc w:val="both"/>
        <w:rPr>
          <w:rFonts w:ascii="Arial" w:hAnsi="Arial" w:cs="Arial"/>
          <w:sz w:val="24"/>
          <w:szCs w:val="24"/>
        </w:rPr>
      </w:pPr>
      <w:r w:rsidRPr="007D35F6">
        <w:rPr>
          <w:rFonts w:ascii="Arial" w:hAnsi="Arial" w:cs="Arial"/>
          <w:sz w:val="24"/>
          <w:szCs w:val="24"/>
        </w:rPr>
        <w:t>Náklady na řešení projektů byly v případě výzkumných organizací hrazeny</w:t>
      </w:r>
      <w:r>
        <w:rPr>
          <w:rFonts w:ascii="Arial" w:hAnsi="Arial" w:cs="Arial"/>
          <w:sz w:val="24"/>
          <w:szCs w:val="24"/>
        </w:rPr>
        <w:t> </w:t>
      </w:r>
      <w:r w:rsidRPr="007D35F6">
        <w:rPr>
          <w:rFonts w:ascii="Arial" w:hAnsi="Arial" w:cs="Arial"/>
          <w:sz w:val="24"/>
          <w:szCs w:val="24"/>
        </w:rPr>
        <w:t>z</w:t>
      </w:r>
      <w:r w:rsidR="00E434BC">
        <w:rPr>
          <w:rFonts w:ascii="Arial" w:hAnsi="Arial" w:cs="Arial"/>
          <w:sz w:val="24"/>
          <w:szCs w:val="24"/>
        </w:rPr>
        <w:t> </w:t>
      </w:r>
      <w:r w:rsidRPr="007D35F6">
        <w:rPr>
          <w:rFonts w:ascii="Arial" w:hAnsi="Arial" w:cs="Arial"/>
          <w:sz w:val="24"/>
          <w:szCs w:val="24"/>
        </w:rPr>
        <w:t>veřejných prostředků až do výše 100 % uznatelných nákladů. V ostatních případech byly</w:t>
      </w:r>
      <w:r>
        <w:rPr>
          <w:rFonts w:ascii="Arial" w:hAnsi="Arial" w:cs="Arial"/>
          <w:sz w:val="24"/>
          <w:szCs w:val="24"/>
        </w:rPr>
        <w:t> </w:t>
      </w:r>
      <w:r w:rsidRPr="007D35F6">
        <w:rPr>
          <w:rFonts w:ascii="Arial" w:hAnsi="Arial" w:cs="Arial"/>
          <w:sz w:val="24"/>
          <w:szCs w:val="24"/>
        </w:rPr>
        <w:t>náklady na řešení projektů hrazeny podle podmínek stanovených Nařízením č. 800/2008,</w:t>
      </w:r>
      <w:r>
        <w:rPr>
          <w:rFonts w:ascii="Arial" w:hAnsi="Arial" w:cs="Arial"/>
          <w:sz w:val="24"/>
          <w:szCs w:val="24"/>
        </w:rPr>
        <w:t> </w:t>
      </w:r>
      <w:r w:rsidRPr="007D35F6">
        <w:rPr>
          <w:rFonts w:ascii="Arial" w:hAnsi="Arial" w:cs="Arial"/>
          <w:sz w:val="24"/>
          <w:szCs w:val="24"/>
        </w:rPr>
        <w:t>přičemž pro aplikovaný zdravotnický výzkum platí základní míra podpory ve výši 50 %,</w:t>
      </w:r>
      <w:r>
        <w:rPr>
          <w:rFonts w:ascii="Arial" w:hAnsi="Arial" w:cs="Arial"/>
          <w:sz w:val="24"/>
          <w:szCs w:val="24"/>
        </w:rPr>
        <w:t> </w:t>
      </w:r>
      <w:r w:rsidRPr="007D35F6">
        <w:rPr>
          <w:rFonts w:ascii="Arial" w:hAnsi="Arial" w:cs="Arial"/>
          <w:sz w:val="24"/>
          <w:szCs w:val="24"/>
        </w:rPr>
        <w:t>max. 80 % v závislosti na použitých příplatcích.</w:t>
      </w:r>
    </w:p>
    <w:p w:rsidR="007D35F6" w:rsidRPr="007D35F6" w:rsidRDefault="007D35F6" w:rsidP="00FB6252">
      <w:pPr>
        <w:autoSpaceDE w:val="0"/>
        <w:autoSpaceDN w:val="0"/>
        <w:adjustRightInd w:val="0"/>
        <w:spacing w:after="120" w:line="240" w:lineRule="auto"/>
        <w:jc w:val="both"/>
        <w:rPr>
          <w:rFonts w:ascii="Arial" w:hAnsi="Arial" w:cs="Arial"/>
          <w:i/>
          <w:sz w:val="24"/>
          <w:szCs w:val="24"/>
        </w:rPr>
      </w:pPr>
      <w:r w:rsidRPr="007D35F6">
        <w:rPr>
          <w:rFonts w:ascii="Arial" w:hAnsi="Arial" w:cs="Arial"/>
          <w:sz w:val="24"/>
          <w:szCs w:val="24"/>
        </w:rPr>
        <w:t>Vzhledem k tomu, že MZ v letech 2010 a 2011 financovalo ještě dvě veřejné soutěže</w:t>
      </w:r>
      <w:r w:rsidR="00FB6252">
        <w:rPr>
          <w:rFonts w:ascii="Arial" w:hAnsi="Arial" w:cs="Arial"/>
          <w:sz w:val="24"/>
          <w:szCs w:val="24"/>
        </w:rPr>
        <w:t> </w:t>
      </w:r>
      <w:r w:rsidRPr="007D35F6">
        <w:rPr>
          <w:rFonts w:ascii="Arial" w:hAnsi="Arial" w:cs="Arial"/>
          <w:sz w:val="24"/>
          <w:szCs w:val="24"/>
        </w:rPr>
        <w:t>z</w:t>
      </w:r>
      <w:r w:rsidR="002D3448">
        <w:rPr>
          <w:rFonts w:ascii="Arial" w:hAnsi="Arial" w:cs="Arial"/>
          <w:sz w:val="24"/>
          <w:szCs w:val="24"/>
        </w:rPr>
        <w:t> předcházejícího Resortního programu výzkumu a vývoje Ministerstva zdravotnictví II na léta 2005 – 2010, který dobíhal</w:t>
      </w:r>
      <w:r w:rsidRPr="007D35F6">
        <w:rPr>
          <w:rFonts w:ascii="Arial" w:hAnsi="Arial" w:cs="Arial"/>
          <w:sz w:val="24"/>
          <w:szCs w:val="24"/>
        </w:rPr>
        <w:t xml:space="preserve">, byly veřejné soutěže v rámci </w:t>
      </w:r>
      <w:r w:rsidR="002D3448">
        <w:rPr>
          <w:rFonts w:ascii="Arial" w:hAnsi="Arial" w:cs="Arial"/>
          <w:sz w:val="24"/>
          <w:szCs w:val="24"/>
        </w:rPr>
        <w:t>programu Zdravotnický výzkum v</w:t>
      </w:r>
      <w:r w:rsidRPr="007D35F6">
        <w:rPr>
          <w:rFonts w:ascii="Arial" w:hAnsi="Arial" w:cs="Arial"/>
          <w:sz w:val="24"/>
          <w:szCs w:val="24"/>
        </w:rPr>
        <w:t>yhlašovány</w:t>
      </w:r>
      <w:r w:rsidR="00FB6252">
        <w:rPr>
          <w:rFonts w:ascii="Arial" w:hAnsi="Arial" w:cs="Arial"/>
          <w:sz w:val="24"/>
          <w:szCs w:val="24"/>
        </w:rPr>
        <w:t> </w:t>
      </w:r>
      <w:r w:rsidRPr="007D35F6">
        <w:rPr>
          <w:rFonts w:ascii="Arial" w:hAnsi="Arial" w:cs="Arial"/>
          <w:sz w:val="24"/>
          <w:szCs w:val="24"/>
        </w:rPr>
        <w:t>postupně, vždy jednou ročně, aby byla zachována kontinuita zdravotnického aplikovaného</w:t>
      </w:r>
      <w:r>
        <w:rPr>
          <w:rFonts w:ascii="Arial" w:hAnsi="Arial" w:cs="Arial"/>
          <w:sz w:val="24"/>
          <w:szCs w:val="24"/>
        </w:rPr>
        <w:t> </w:t>
      </w:r>
      <w:r w:rsidRPr="007D35F6">
        <w:rPr>
          <w:rFonts w:ascii="Arial" w:hAnsi="Arial" w:cs="Arial"/>
          <w:sz w:val="24"/>
          <w:szCs w:val="24"/>
        </w:rPr>
        <w:t xml:space="preserve">výzkumu a provázanost některých dlouhodobých studií. </w:t>
      </w:r>
      <w:r w:rsidR="002D3448">
        <w:rPr>
          <w:rFonts w:ascii="Arial" w:hAnsi="Arial" w:cs="Arial"/>
          <w:sz w:val="24"/>
          <w:szCs w:val="24"/>
        </w:rPr>
        <w:t>MZ dbalo</w:t>
      </w:r>
      <w:r w:rsidRPr="007D35F6">
        <w:rPr>
          <w:rFonts w:ascii="Arial" w:hAnsi="Arial" w:cs="Arial"/>
          <w:sz w:val="24"/>
          <w:szCs w:val="24"/>
        </w:rPr>
        <w:t xml:space="preserve"> na to, aby byly nejprve</w:t>
      </w:r>
      <w:r>
        <w:rPr>
          <w:rFonts w:ascii="Arial" w:hAnsi="Arial" w:cs="Arial"/>
          <w:sz w:val="24"/>
          <w:szCs w:val="24"/>
        </w:rPr>
        <w:t xml:space="preserve"> </w:t>
      </w:r>
      <w:r w:rsidRPr="007D35F6">
        <w:rPr>
          <w:rFonts w:ascii="Arial" w:hAnsi="Arial" w:cs="Arial"/>
          <w:sz w:val="24"/>
          <w:szCs w:val="24"/>
        </w:rPr>
        <w:t>čerpány prostředky z běžících soutěží na základě schváleného průběžného hodnocení</w:t>
      </w:r>
      <w:r>
        <w:rPr>
          <w:rFonts w:ascii="Arial" w:hAnsi="Arial" w:cs="Arial"/>
          <w:sz w:val="24"/>
          <w:szCs w:val="24"/>
        </w:rPr>
        <w:t> </w:t>
      </w:r>
      <w:r w:rsidRPr="007D35F6">
        <w:rPr>
          <w:rFonts w:ascii="Arial" w:hAnsi="Arial" w:cs="Arial"/>
          <w:sz w:val="24"/>
          <w:szCs w:val="24"/>
        </w:rPr>
        <w:t>jednotlivých projektů. Teprve následně přistupovalo MZ k hodnocení nových projektů. Tímto</w:t>
      </w:r>
      <w:r>
        <w:rPr>
          <w:rFonts w:ascii="Arial" w:hAnsi="Arial" w:cs="Arial"/>
          <w:sz w:val="24"/>
          <w:szCs w:val="24"/>
        </w:rPr>
        <w:t> </w:t>
      </w:r>
      <w:r w:rsidRPr="007D35F6">
        <w:rPr>
          <w:rFonts w:ascii="Arial" w:hAnsi="Arial" w:cs="Arial"/>
          <w:sz w:val="24"/>
          <w:szCs w:val="24"/>
        </w:rPr>
        <w:t>způsobem se předešlo tomu, že by v době přijímání nových žádostí o</w:t>
      </w:r>
      <w:r w:rsidR="002D3448">
        <w:rPr>
          <w:rFonts w:ascii="Arial" w:hAnsi="Arial" w:cs="Arial"/>
          <w:sz w:val="24"/>
          <w:szCs w:val="24"/>
        </w:rPr>
        <w:t> </w:t>
      </w:r>
      <w:r w:rsidRPr="007D35F6">
        <w:rPr>
          <w:rFonts w:ascii="Arial" w:hAnsi="Arial" w:cs="Arial"/>
          <w:sz w:val="24"/>
          <w:szCs w:val="24"/>
        </w:rPr>
        <w:t>poskytnutí podpory</w:t>
      </w:r>
      <w:r>
        <w:rPr>
          <w:rFonts w:ascii="Arial" w:hAnsi="Arial" w:cs="Arial"/>
          <w:sz w:val="24"/>
          <w:szCs w:val="24"/>
        </w:rPr>
        <w:t> </w:t>
      </w:r>
      <w:r w:rsidRPr="007D35F6">
        <w:rPr>
          <w:rFonts w:ascii="Arial" w:hAnsi="Arial" w:cs="Arial"/>
          <w:sz w:val="24"/>
          <w:szCs w:val="24"/>
        </w:rPr>
        <w:t>nebyly vyhodnoceny výsledky předchozích soutěží. V letech 2010 a 2011 tak byl v</w:t>
      </w:r>
      <w:r>
        <w:rPr>
          <w:rFonts w:ascii="Arial" w:hAnsi="Arial" w:cs="Arial"/>
          <w:sz w:val="24"/>
          <w:szCs w:val="24"/>
        </w:rPr>
        <w:t> </w:t>
      </w:r>
      <w:r w:rsidRPr="007D35F6">
        <w:rPr>
          <w:rFonts w:ascii="Arial" w:hAnsi="Arial" w:cs="Arial"/>
          <w:sz w:val="24"/>
          <w:szCs w:val="24"/>
        </w:rPr>
        <w:t>rámci</w:t>
      </w:r>
      <w:r>
        <w:rPr>
          <w:rFonts w:ascii="Arial" w:hAnsi="Arial" w:cs="Arial"/>
          <w:sz w:val="24"/>
          <w:szCs w:val="24"/>
        </w:rPr>
        <w:t> </w:t>
      </w:r>
      <w:r w:rsidRPr="007D35F6">
        <w:rPr>
          <w:rFonts w:ascii="Arial" w:hAnsi="Arial" w:cs="Arial"/>
          <w:sz w:val="24"/>
          <w:szCs w:val="24"/>
        </w:rPr>
        <w:t>RPV III. nárokován podstatně menší objem finančních prostředků na nové veřejné soutěže,</w:t>
      </w:r>
      <w:r w:rsidR="00FB6252">
        <w:rPr>
          <w:rFonts w:ascii="Arial" w:hAnsi="Arial" w:cs="Arial"/>
          <w:sz w:val="24"/>
          <w:szCs w:val="24"/>
        </w:rPr>
        <w:t> </w:t>
      </w:r>
      <w:r w:rsidRPr="007D35F6">
        <w:rPr>
          <w:rFonts w:ascii="Arial" w:hAnsi="Arial" w:cs="Arial"/>
          <w:sz w:val="24"/>
          <w:szCs w:val="24"/>
        </w:rPr>
        <w:t>než v následujících letech.</w:t>
      </w:r>
    </w:p>
    <w:p w:rsidR="004873C9" w:rsidRDefault="002E2A49" w:rsidP="00713CD8">
      <w:pPr>
        <w:pStyle w:val="Nadpis3"/>
        <w:rPr>
          <w:rFonts w:cs="Arial"/>
          <w:szCs w:val="24"/>
        </w:rPr>
      </w:pPr>
      <w:r w:rsidRPr="00713CD8">
        <w:t xml:space="preserve">9. </w:t>
      </w:r>
      <w:r w:rsidR="00507103">
        <w:t>Shrnutí a</w:t>
      </w:r>
      <w:r w:rsidR="004873C9" w:rsidRPr="00713CD8">
        <w:rPr>
          <w:rFonts w:cs="Arial"/>
          <w:szCs w:val="24"/>
        </w:rPr>
        <w:t xml:space="preserve"> doporučení</w:t>
      </w:r>
    </w:p>
    <w:p w:rsidR="000F56E4" w:rsidRDefault="000F56E4" w:rsidP="00713CD8">
      <w:pPr>
        <w:spacing w:after="120" w:line="240" w:lineRule="auto"/>
        <w:jc w:val="both"/>
        <w:rPr>
          <w:rFonts w:ascii="Arial" w:hAnsi="Arial" w:cs="Arial"/>
          <w:sz w:val="24"/>
          <w:szCs w:val="24"/>
        </w:rPr>
      </w:pPr>
      <w:r w:rsidRPr="00713CD8">
        <w:rPr>
          <w:rFonts w:ascii="Arial" w:hAnsi="Arial" w:cs="Arial"/>
          <w:sz w:val="24"/>
          <w:szCs w:val="24"/>
        </w:rPr>
        <w:t>V rámci předloženého dokumentu byly hodnoceny dva programy účelové podpory ukončen</w:t>
      </w:r>
      <w:r w:rsidR="002E2A49">
        <w:rPr>
          <w:rFonts w:ascii="Arial" w:hAnsi="Arial" w:cs="Arial"/>
          <w:sz w:val="24"/>
          <w:szCs w:val="24"/>
        </w:rPr>
        <w:t>é</w:t>
      </w:r>
      <w:r w:rsidRPr="00713CD8">
        <w:rPr>
          <w:rFonts w:ascii="Arial" w:hAnsi="Arial" w:cs="Arial"/>
          <w:sz w:val="24"/>
          <w:szCs w:val="24"/>
        </w:rPr>
        <w:t xml:space="preserve"> v roce 2015. Jednotlivé projekty byly zadávány prostřednictvím veřejných soutěží ve výzkumu, vývoji a inovacích.</w:t>
      </w:r>
    </w:p>
    <w:p w:rsidR="000F56E4" w:rsidRPr="00713CD8" w:rsidRDefault="000F56E4" w:rsidP="00713CD8">
      <w:pPr>
        <w:spacing w:after="120" w:line="240" w:lineRule="auto"/>
        <w:jc w:val="both"/>
        <w:rPr>
          <w:rFonts w:ascii="Arial" w:hAnsi="Arial" w:cs="Arial"/>
          <w:sz w:val="24"/>
          <w:szCs w:val="24"/>
        </w:rPr>
      </w:pPr>
      <w:r w:rsidRPr="001850B4">
        <w:rPr>
          <w:rFonts w:ascii="Arial" w:hAnsi="Arial" w:cs="Arial"/>
          <w:sz w:val="24"/>
          <w:szCs w:val="24"/>
        </w:rPr>
        <w:t>Na řešení 656 projektů bylo vynaloženo celkem 5 358 172 tis. Kč, po</w:t>
      </w:r>
      <w:r w:rsidR="001850B4">
        <w:rPr>
          <w:rFonts w:ascii="Arial" w:hAnsi="Arial" w:cs="Arial"/>
          <w:sz w:val="24"/>
          <w:szCs w:val="24"/>
        </w:rPr>
        <w:t>dpora </w:t>
      </w:r>
      <w:r w:rsidRPr="001850B4">
        <w:rPr>
          <w:rFonts w:ascii="Arial" w:hAnsi="Arial" w:cs="Arial"/>
          <w:sz w:val="24"/>
          <w:szCs w:val="24"/>
        </w:rPr>
        <w:t>ze</w:t>
      </w:r>
      <w:r w:rsidR="00015944" w:rsidRPr="001850B4">
        <w:rPr>
          <w:rFonts w:ascii="Arial" w:hAnsi="Arial" w:cs="Arial"/>
          <w:sz w:val="24"/>
          <w:szCs w:val="24"/>
        </w:rPr>
        <w:t> </w:t>
      </w:r>
      <w:r w:rsidRPr="001850B4">
        <w:rPr>
          <w:rFonts w:ascii="Arial" w:hAnsi="Arial" w:cs="Arial"/>
          <w:sz w:val="24"/>
          <w:szCs w:val="24"/>
        </w:rPr>
        <w:t>státního rozpočtu na VaVaI (dále jen „SR“) činila celkem 5</w:t>
      </w:r>
      <w:r w:rsidR="00177A6B" w:rsidRPr="001850B4">
        <w:rPr>
          <w:rFonts w:ascii="Arial" w:hAnsi="Arial" w:cs="Arial"/>
          <w:sz w:val="24"/>
          <w:szCs w:val="24"/>
        </w:rPr>
        <w:t> </w:t>
      </w:r>
      <w:r w:rsidRPr="001850B4">
        <w:rPr>
          <w:rFonts w:ascii="Arial" w:hAnsi="Arial" w:cs="Arial"/>
          <w:sz w:val="24"/>
          <w:szCs w:val="24"/>
        </w:rPr>
        <w:t>0</w:t>
      </w:r>
      <w:r w:rsidR="00177A6B" w:rsidRPr="001850B4">
        <w:rPr>
          <w:rFonts w:ascii="Arial" w:hAnsi="Arial" w:cs="Arial"/>
          <w:sz w:val="24"/>
          <w:szCs w:val="24"/>
        </w:rPr>
        <w:t>52 099</w:t>
      </w:r>
      <w:r w:rsidR="001850B4">
        <w:rPr>
          <w:rFonts w:ascii="Arial" w:hAnsi="Arial" w:cs="Arial"/>
          <w:sz w:val="24"/>
          <w:szCs w:val="24"/>
        </w:rPr>
        <w:t xml:space="preserve"> tis., </w:t>
      </w:r>
      <w:r w:rsidRPr="001850B4">
        <w:rPr>
          <w:rFonts w:ascii="Arial" w:hAnsi="Arial" w:cs="Arial"/>
          <w:sz w:val="24"/>
          <w:szCs w:val="24"/>
        </w:rPr>
        <w:t>tj.</w:t>
      </w:r>
      <w:r w:rsidR="00015944" w:rsidRPr="001850B4">
        <w:rPr>
          <w:rFonts w:ascii="Arial" w:hAnsi="Arial" w:cs="Arial"/>
          <w:sz w:val="24"/>
          <w:szCs w:val="24"/>
        </w:rPr>
        <w:t> </w:t>
      </w:r>
      <w:r w:rsidRPr="001850B4">
        <w:rPr>
          <w:rFonts w:ascii="Arial" w:hAnsi="Arial" w:cs="Arial"/>
          <w:sz w:val="24"/>
          <w:szCs w:val="24"/>
        </w:rPr>
        <w:t>9</w:t>
      </w:r>
      <w:r w:rsidR="00177A6B" w:rsidRPr="001850B4">
        <w:rPr>
          <w:rFonts w:ascii="Arial" w:hAnsi="Arial" w:cs="Arial"/>
          <w:sz w:val="24"/>
          <w:szCs w:val="24"/>
        </w:rPr>
        <w:t>4</w:t>
      </w:r>
      <w:r w:rsidR="001850B4" w:rsidRPr="001850B4">
        <w:rPr>
          <w:rFonts w:ascii="Arial" w:hAnsi="Arial" w:cs="Arial"/>
          <w:sz w:val="24"/>
          <w:szCs w:val="24"/>
        </w:rPr>
        <w:t>, 28</w:t>
      </w:r>
      <w:r w:rsidRPr="001850B4">
        <w:rPr>
          <w:rFonts w:ascii="Arial" w:hAnsi="Arial" w:cs="Arial"/>
          <w:sz w:val="24"/>
          <w:szCs w:val="24"/>
        </w:rPr>
        <w:t> %.</w:t>
      </w:r>
      <w:r w:rsidRPr="00713CD8">
        <w:rPr>
          <w:rFonts w:ascii="Arial" w:hAnsi="Arial" w:cs="Arial"/>
          <w:sz w:val="24"/>
          <w:szCs w:val="24"/>
        </w:rPr>
        <w:t xml:space="preserve"> </w:t>
      </w:r>
    </w:p>
    <w:p w:rsidR="000F56E4" w:rsidRPr="00713CD8" w:rsidRDefault="000F56E4" w:rsidP="00713CD8">
      <w:pPr>
        <w:spacing w:after="120" w:line="240" w:lineRule="auto"/>
        <w:jc w:val="both"/>
        <w:rPr>
          <w:rFonts w:ascii="Arial" w:hAnsi="Arial" w:cs="Arial"/>
          <w:sz w:val="24"/>
          <w:szCs w:val="24"/>
        </w:rPr>
      </w:pPr>
      <w:r w:rsidRPr="007C18A1">
        <w:rPr>
          <w:rFonts w:ascii="Arial" w:hAnsi="Arial" w:cs="Arial"/>
          <w:sz w:val="24"/>
          <w:szCs w:val="24"/>
        </w:rPr>
        <w:t>Dosaženo bylo</w:t>
      </w:r>
      <w:r w:rsidR="00E434BC" w:rsidRPr="007C18A1">
        <w:rPr>
          <w:rFonts w:ascii="Arial" w:hAnsi="Arial" w:cs="Arial"/>
          <w:sz w:val="24"/>
          <w:szCs w:val="24"/>
        </w:rPr>
        <w:t xml:space="preserve"> podle údajů v IS VaVaI</w:t>
      </w:r>
      <w:r w:rsidRPr="007C18A1">
        <w:rPr>
          <w:rFonts w:ascii="Arial" w:hAnsi="Arial" w:cs="Arial"/>
          <w:sz w:val="24"/>
          <w:szCs w:val="24"/>
        </w:rPr>
        <w:t xml:space="preserve"> celkem </w:t>
      </w:r>
      <w:r w:rsidR="007C18A1" w:rsidRPr="007C18A1">
        <w:rPr>
          <w:rFonts w:ascii="Arial" w:hAnsi="Arial" w:cs="Arial"/>
          <w:sz w:val="24"/>
          <w:szCs w:val="24"/>
        </w:rPr>
        <w:t>6073</w:t>
      </w:r>
      <w:r w:rsidRPr="007C18A1">
        <w:rPr>
          <w:rFonts w:ascii="Arial" w:hAnsi="Arial" w:cs="Arial"/>
          <w:sz w:val="24"/>
          <w:szCs w:val="24"/>
        </w:rPr>
        <w:t xml:space="preserve"> výsledků</w:t>
      </w:r>
      <w:r w:rsidR="007C18A1" w:rsidRPr="007C18A1">
        <w:rPr>
          <w:rFonts w:ascii="Arial" w:hAnsi="Arial" w:cs="Arial"/>
          <w:sz w:val="24"/>
          <w:szCs w:val="24"/>
        </w:rPr>
        <w:t>.</w:t>
      </w:r>
      <w:r w:rsidRPr="007C18A1">
        <w:rPr>
          <w:rFonts w:ascii="Arial" w:hAnsi="Arial" w:cs="Arial"/>
          <w:sz w:val="24"/>
          <w:szCs w:val="24"/>
        </w:rPr>
        <w:t xml:space="preserve"> </w:t>
      </w:r>
    </w:p>
    <w:p w:rsidR="00D95BFA" w:rsidRDefault="004873C9" w:rsidP="007C18A1">
      <w:pPr>
        <w:pStyle w:val="Styl1"/>
        <w:ind w:firstLine="0"/>
        <w:rPr>
          <w:rFonts w:ascii="Arial" w:hAnsi="Arial" w:cs="Arial"/>
        </w:rPr>
      </w:pPr>
      <w:r w:rsidRPr="00713CD8">
        <w:rPr>
          <w:rFonts w:ascii="Arial" w:hAnsi="Arial" w:cs="Arial"/>
          <w:lang w:val="cs-CZ"/>
        </w:rPr>
        <w:t>Informace uvedené v</w:t>
      </w:r>
      <w:r w:rsidR="007C18A1">
        <w:rPr>
          <w:rFonts w:ascii="Arial" w:hAnsi="Arial" w:cs="Arial"/>
          <w:lang w:val="cs-CZ"/>
        </w:rPr>
        <w:t xml:space="preserve"> Hodnocení obou programů </w:t>
      </w:r>
      <w:r w:rsidRPr="00713CD8">
        <w:rPr>
          <w:rFonts w:ascii="Arial" w:hAnsi="Arial" w:cs="Arial"/>
          <w:lang w:val="cs-CZ"/>
        </w:rPr>
        <w:t xml:space="preserve">vypovídají o tom, že </w:t>
      </w:r>
      <w:r w:rsidR="009C1A14" w:rsidRPr="00713CD8">
        <w:rPr>
          <w:rFonts w:ascii="Arial" w:hAnsi="Arial" w:cs="Arial"/>
          <w:lang w:val="cs-CZ"/>
        </w:rPr>
        <w:t xml:space="preserve">oba programy </w:t>
      </w:r>
      <w:r w:rsidRPr="00713CD8">
        <w:rPr>
          <w:rFonts w:ascii="Arial" w:hAnsi="Arial" w:cs="Arial"/>
          <w:lang w:val="cs-CZ"/>
        </w:rPr>
        <w:t>naplnil</w:t>
      </w:r>
      <w:r w:rsidR="009C1A14" w:rsidRPr="00713CD8">
        <w:rPr>
          <w:rFonts w:ascii="Arial" w:hAnsi="Arial" w:cs="Arial"/>
          <w:lang w:val="cs-CZ"/>
        </w:rPr>
        <w:t>y</w:t>
      </w:r>
      <w:r w:rsidRPr="00713CD8">
        <w:rPr>
          <w:rFonts w:ascii="Arial" w:hAnsi="Arial" w:cs="Arial"/>
          <w:lang w:val="cs-CZ"/>
        </w:rPr>
        <w:t xml:space="preserve"> </w:t>
      </w:r>
      <w:r w:rsidR="009C1A14" w:rsidRPr="00713CD8">
        <w:rPr>
          <w:rFonts w:ascii="Arial" w:hAnsi="Arial" w:cs="Arial"/>
          <w:lang w:val="cs-CZ"/>
        </w:rPr>
        <w:t xml:space="preserve">rámcově </w:t>
      </w:r>
      <w:r w:rsidRPr="00713CD8">
        <w:rPr>
          <w:rFonts w:ascii="Arial" w:hAnsi="Arial" w:cs="Arial"/>
          <w:lang w:val="cs-CZ"/>
        </w:rPr>
        <w:t>předpokládané cíle</w:t>
      </w:r>
      <w:r w:rsidR="007C18A1">
        <w:rPr>
          <w:rFonts w:ascii="Arial" w:hAnsi="Arial" w:cs="Arial"/>
          <w:lang w:val="cs-CZ"/>
        </w:rPr>
        <w:t>, přesto, že jejich průběh byl výrazně ovlivněn snižováním výdajů ze státního rozpočtu v době realizace. Jednalo</w:t>
      </w:r>
      <w:r w:rsidR="007C18A1">
        <w:rPr>
          <w:rFonts w:ascii="Arial" w:hAnsi="Arial" w:cs="Arial"/>
        </w:rPr>
        <w:t xml:space="preserve"> se o</w:t>
      </w:r>
      <w:r w:rsidR="007C18A1" w:rsidRPr="007C18A1">
        <w:rPr>
          <w:rFonts w:ascii="Arial" w:hAnsi="Arial" w:cs="Arial"/>
          <w:lang w:val="cs-CZ"/>
        </w:rPr>
        <w:t xml:space="preserve"> opatření</w:t>
      </w:r>
      <w:r w:rsidR="007C18A1">
        <w:rPr>
          <w:rFonts w:ascii="Arial" w:hAnsi="Arial" w:cs="Arial"/>
        </w:rPr>
        <w:t>,</w:t>
      </w:r>
      <w:r w:rsidR="007C18A1" w:rsidRPr="007C18A1">
        <w:rPr>
          <w:rFonts w:ascii="Arial" w:hAnsi="Arial" w:cs="Arial"/>
          <w:lang w:val="cs-CZ"/>
        </w:rPr>
        <w:t xml:space="preserve"> která byla učiněna na úrovni vlády</w:t>
      </w:r>
      <w:r w:rsidR="007C18A1">
        <w:rPr>
          <w:rFonts w:ascii="Arial" w:hAnsi="Arial" w:cs="Arial"/>
        </w:rPr>
        <w:t>,</w:t>
      </w:r>
      <w:r w:rsidR="007C18A1" w:rsidRPr="007C18A1">
        <w:rPr>
          <w:rFonts w:ascii="Arial" w:hAnsi="Arial" w:cs="Arial"/>
          <w:lang w:val="cs-CZ"/>
        </w:rPr>
        <w:t xml:space="preserve"> nikoli</w:t>
      </w:r>
      <w:r w:rsidR="007C18A1">
        <w:rPr>
          <w:rFonts w:ascii="Arial" w:hAnsi="Arial" w:cs="Arial"/>
        </w:rPr>
        <w:t xml:space="preserve"> o</w:t>
      </w:r>
      <w:r w:rsidR="007C18A1" w:rsidRPr="007C18A1">
        <w:rPr>
          <w:rFonts w:ascii="Arial" w:hAnsi="Arial" w:cs="Arial"/>
          <w:lang w:val="cs-CZ"/>
        </w:rPr>
        <w:t xml:space="preserve"> změny</w:t>
      </w:r>
      <w:r w:rsidR="007C18A1">
        <w:rPr>
          <w:rFonts w:ascii="Arial" w:hAnsi="Arial" w:cs="Arial"/>
        </w:rPr>
        <w:t xml:space="preserve"> z</w:t>
      </w:r>
      <w:r w:rsidR="007C18A1" w:rsidRPr="007C18A1">
        <w:rPr>
          <w:rFonts w:ascii="Arial" w:hAnsi="Arial" w:cs="Arial"/>
          <w:lang w:val="cs-CZ"/>
        </w:rPr>
        <w:t xml:space="preserve"> vůle poskytovatelů</w:t>
      </w:r>
      <w:r w:rsidR="007C18A1">
        <w:rPr>
          <w:rFonts w:ascii="Arial" w:hAnsi="Arial" w:cs="Arial"/>
        </w:rPr>
        <w:t>.</w:t>
      </w:r>
    </w:p>
    <w:p w:rsidR="009C1A14" w:rsidRDefault="009C1A14" w:rsidP="00713CD8">
      <w:pPr>
        <w:spacing w:after="120" w:line="240" w:lineRule="auto"/>
        <w:jc w:val="both"/>
        <w:rPr>
          <w:rFonts w:ascii="Arial" w:hAnsi="Arial" w:cs="Arial"/>
          <w:sz w:val="24"/>
          <w:szCs w:val="24"/>
        </w:rPr>
      </w:pPr>
      <w:r w:rsidRPr="00995075">
        <w:rPr>
          <w:rFonts w:ascii="Arial" w:hAnsi="Arial" w:cs="Arial"/>
          <w:sz w:val="24"/>
          <w:szCs w:val="24"/>
        </w:rPr>
        <w:lastRenderedPageBreak/>
        <w:t>Reálné financování programu Bezpečnostní výzkum v porovnání s plánem činilo u celkových uznaných nákladů 66,6 % a u podpory ze státního rozpočtu 78,7</w:t>
      </w:r>
      <w:r>
        <w:rPr>
          <w:rFonts w:ascii="Arial" w:hAnsi="Arial" w:cs="Arial"/>
          <w:sz w:val="24"/>
          <w:szCs w:val="24"/>
        </w:rPr>
        <w:t> </w:t>
      </w:r>
      <w:r w:rsidRPr="00995075">
        <w:rPr>
          <w:rFonts w:ascii="Arial" w:hAnsi="Arial" w:cs="Arial"/>
          <w:sz w:val="24"/>
          <w:szCs w:val="24"/>
        </w:rPr>
        <w:t>%.</w:t>
      </w:r>
      <w:r>
        <w:rPr>
          <w:rFonts w:ascii="Arial" w:hAnsi="Arial" w:cs="Arial"/>
          <w:sz w:val="24"/>
          <w:szCs w:val="24"/>
        </w:rPr>
        <w:t xml:space="preserve"> </w:t>
      </w:r>
    </w:p>
    <w:p w:rsidR="009C1A14" w:rsidRDefault="009C1A14" w:rsidP="00713CD8">
      <w:pPr>
        <w:spacing w:after="120" w:line="240" w:lineRule="auto"/>
        <w:jc w:val="both"/>
        <w:rPr>
          <w:rFonts w:ascii="Arial" w:hAnsi="Arial" w:cs="Arial"/>
          <w:sz w:val="24"/>
          <w:szCs w:val="24"/>
        </w:rPr>
      </w:pPr>
      <w:r>
        <w:rPr>
          <w:rFonts w:ascii="Arial" w:hAnsi="Arial" w:cs="Arial"/>
          <w:sz w:val="24"/>
          <w:szCs w:val="24"/>
        </w:rPr>
        <w:t>U programu Z</w:t>
      </w:r>
      <w:r w:rsidRPr="003F6B2A">
        <w:rPr>
          <w:rFonts w:ascii="Arial" w:hAnsi="Arial" w:cs="Arial"/>
          <w:sz w:val="24"/>
          <w:szCs w:val="24"/>
        </w:rPr>
        <w:t xml:space="preserve">dravotnický výzkum v porovnání s plánem </w:t>
      </w:r>
      <w:r>
        <w:rPr>
          <w:rFonts w:ascii="Arial" w:hAnsi="Arial" w:cs="Arial"/>
          <w:sz w:val="24"/>
          <w:szCs w:val="24"/>
        </w:rPr>
        <w:t>to bylo</w:t>
      </w:r>
      <w:r w:rsidRPr="003F6B2A">
        <w:rPr>
          <w:rFonts w:ascii="Arial" w:hAnsi="Arial" w:cs="Arial"/>
          <w:sz w:val="24"/>
          <w:szCs w:val="24"/>
        </w:rPr>
        <w:t xml:space="preserve"> u celkových nákladů </w:t>
      </w:r>
      <w:r>
        <w:rPr>
          <w:rFonts w:ascii="Arial" w:hAnsi="Arial" w:cs="Arial"/>
          <w:sz w:val="24"/>
          <w:szCs w:val="24"/>
        </w:rPr>
        <w:t xml:space="preserve">přibližně </w:t>
      </w:r>
      <w:r w:rsidRPr="003F6B2A">
        <w:rPr>
          <w:rFonts w:ascii="Arial" w:hAnsi="Arial" w:cs="Arial"/>
          <w:sz w:val="24"/>
          <w:szCs w:val="24"/>
        </w:rPr>
        <w:t>70 % a u podpory ze státního rozpočtu 7</w:t>
      </w:r>
      <w:r>
        <w:rPr>
          <w:rFonts w:ascii="Arial" w:hAnsi="Arial" w:cs="Arial"/>
          <w:sz w:val="24"/>
          <w:szCs w:val="24"/>
        </w:rPr>
        <w:t>3</w:t>
      </w:r>
      <w:r w:rsidRPr="003F6B2A">
        <w:rPr>
          <w:rFonts w:ascii="Arial" w:hAnsi="Arial" w:cs="Arial"/>
          <w:sz w:val="24"/>
          <w:szCs w:val="24"/>
        </w:rPr>
        <w:t xml:space="preserve"> %. </w:t>
      </w:r>
    </w:p>
    <w:p w:rsidR="00B71833" w:rsidRPr="006E766E" w:rsidRDefault="00B91A76" w:rsidP="00B91A76">
      <w:pPr>
        <w:spacing w:after="120" w:line="240" w:lineRule="auto"/>
        <w:jc w:val="both"/>
        <w:rPr>
          <w:rFonts w:ascii="Arial" w:hAnsi="Arial" w:cs="Arial"/>
          <w:color w:val="000000"/>
          <w:sz w:val="24"/>
          <w:szCs w:val="24"/>
        </w:rPr>
      </w:pPr>
      <w:r w:rsidRPr="00B91A76">
        <w:rPr>
          <w:rFonts w:ascii="Arial" w:hAnsi="Arial" w:cs="Arial"/>
          <w:bCs/>
          <w:sz w:val="24"/>
          <w:szCs w:val="24"/>
        </w:rPr>
        <w:t>Lze konstatovat,</w:t>
      </w:r>
      <w:r w:rsidR="00253865" w:rsidRPr="00B91A76">
        <w:rPr>
          <w:rFonts w:ascii="Arial" w:hAnsi="Arial" w:cs="Arial"/>
          <w:bCs/>
          <w:sz w:val="24"/>
          <w:szCs w:val="24"/>
        </w:rPr>
        <w:t xml:space="preserve"> že dosažené výsledky </w:t>
      </w:r>
      <w:r w:rsidRPr="00B91A76">
        <w:rPr>
          <w:rFonts w:ascii="Arial" w:hAnsi="Arial" w:cs="Arial"/>
          <w:bCs/>
          <w:sz w:val="24"/>
          <w:szCs w:val="24"/>
        </w:rPr>
        <w:t xml:space="preserve">obou programů rámcově </w:t>
      </w:r>
      <w:r w:rsidR="00253865" w:rsidRPr="00B91A76">
        <w:rPr>
          <w:rFonts w:ascii="Arial" w:hAnsi="Arial" w:cs="Arial"/>
          <w:bCs/>
          <w:sz w:val="24"/>
          <w:szCs w:val="24"/>
        </w:rPr>
        <w:t xml:space="preserve">naplnily </w:t>
      </w:r>
      <w:r w:rsidRPr="00B91A76">
        <w:rPr>
          <w:rFonts w:ascii="Arial" w:hAnsi="Arial" w:cs="Arial"/>
          <w:bCs/>
          <w:sz w:val="24"/>
          <w:szCs w:val="24"/>
        </w:rPr>
        <w:t>cíle, a to zejména s ohledem na možnosti a omezení financování ze státního</w:t>
      </w:r>
      <w:r w:rsidRPr="00B91A76">
        <w:rPr>
          <w:rFonts w:ascii="Arial" w:hAnsi="Arial" w:cs="Arial"/>
          <w:sz w:val="24"/>
          <w:szCs w:val="24"/>
        </w:rPr>
        <w:t xml:space="preserve"> rozpočtu v době jejich průběhu.</w:t>
      </w:r>
      <w:r>
        <w:rPr>
          <w:rFonts w:ascii="Arial" w:hAnsi="Arial" w:cs="Arial"/>
          <w:sz w:val="24"/>
          <w:szCs w:val="24"/>
        </w:rPr>
        <w:t xml:space="preserve"> Oba programy rovněž přispěly k plnění Priorit.</w:t>
      </w:r>
    </w:p>
    <w:p w:rsidR="001850B4" w:rsidRDefault="00CC0B9A" w:rsidP="00713CD8">
      <w:pPr>
        <w:pStyle w:val="Styl1"/>
        <w:ind w:firstLine="0"/>
        <w:rPr>
          <w:rFonts w:ascii="Arial" w:hAnsi="Arial" w:cs="Arial"/>
          <w:lang w:val="cs-CZ"/>
        </w:rPr>
      </w:pPr>
      <w:r>
        <w:rPr>
          <w:rFonts w:ascii="Arial" w:hAnsi="Arial" w:cs="Arial"/>
          <w:lang w:val="cs-CZ"/>
        </w:rPr>
        <w:t>Nahlédnutím do IS VaVaI bylo zjištěno, že v rámci 134 projektů programu Bezpečnostní</w:t>
      </w:r>
      <w:r w:rsidR="001850B4">
        <w:rPr>
          <w:rFonts w:ascii="Arial" w:hAnsi="Arial" w:cs="Arial"/>
          <w:lang w:val="cs-CZ"/>
        </w:rPr>
        <w:t>ho</w:t>
      </w:r>
      <w:r>
        <w:rPr>
          <w:rFonts w:ascii="Arial" w:hAnsi="Arial" w:cs="Arial"/>
          <w:lang w:val="cs-CZ"/>
        </w:rPr>
        <w:t xml:space="preserve"> </w:t>
      </w:r>
      <w:r w:rsidR="001850B4">
        <w:rPr>
          <w:rFonts w:ascii="Arial" w:hAnsi="Arial" w:cs="Arial"/>
          <w:lang w:val="cs-CZ"/>
        </w:rPr>
        <w:t>výzkumu mělo</w:t>
      </w:r>
      <w:r w:rsidR="00E21586">
        <w:rPr>
          <w:rFonts w:ascii="Arial" w:hAnsi="Arial" w:cs="Arial"/>
          <w:lang w:val="cs-CZ"/>
        </w:rPr>
        <w:t xml:space="preserve"> </w:t>
      </w:r>
      <w:r w:rsidR="001850B4">
        <w:rPr>
          <w:rFonts w:ascii="Arial" w:hAnsi="Arial" w:cs="Arial"/>
          <w:lang w:val="cs-CZ"/>
        </w:rPr>
        <w:t>28</w:t>
      </w:r>
      <w:r w:rsidR="00E21586">
        <w:rPr>
          <w:rFonts w:ascii="Arial" w:hAnsi="Arial" w:cs="Arial"/>
          <w:lang w:val="cs-CZ"/>
        </w:rPr>
        <w:t xml:space="preserve"> projektů</w:t>
      </w:r>
      <w:r>
        <w:rPr>
          <w:rFonts w:ascii="Arial" w:hAnsi="Arial" w:cs="Arial"/>
          <w:lang w:val="cs-CZ"/>
        </w:rPr>
        <w:t xml:space="preserve"> vynikající výsledk</w:t>
      </w:r>
      <w:r w:rsidR="00E21586">
        <w:rPr>
          <w:rFonts w:ascii="Arial" w:hAnsi="Arial" w:cs="Arial"/>
          <w:lang w:val="cs-CZ"/>
        </w:rPr>
        <w:t>y</w:t>
      </w:r>
      <w:r>
        <w:rPr>
          <w:rFonts w:ascii="Arial" w:hAnsi="Arial" w:cs="Arial"/>
          <w:lang w:val="cs-CZ"/>
        </w:rPr>
        <w:t xml:space="preserve">, </w:t>
      </w:r>
      <w:r w:rsidR="001850B4">
        <w:rPr>
          <w:rFonts w:ascii="Arial" w:hAnsi="Arial" w:cs="Arial"/>
          <w:lang w:val="cs-CZ"/>
        </w:rPr>
        <w:t>103</w:t>
      </w:r>
      <w:r>
        <w:rPr>
          <w:rFonts w:ascii="Arial" w:hAnsi="Arial" w:cs="Arial"/>
          <w:lang w:val="cs-CZ"/>
        </w:rPr>
        <w:t xml:space="preserve"> </w:t>
      </w:r>
      <w:r w:rsidR="00263E64">
        <w:rPr>
          <w:rFonts w:ascii="Arial" w:hAnsi="Arial" w:cs="Arial"/>
          <w:lang w:val="cs-CZ"/>
        </w:rPr>
        <w:t xml:space="preserve">bylo </w:t>
      </w:r>
      <w:r w:rsidR="00E21586">
        <w:rPr>
          <w:rFonts w:ascii="Arial" w:hAnsi="Arial" w:cs="Arial"/>
          <w:lang w:val="cs-CZ"/>
        </w:rPr>
        <w:t xml:space="preserve">úspěšných dle zadání a </w:t>
      </w:r>
      <w:r w:rsidR="001850B4">
        <w:rPr>
          <w:rFonts w:ascii="Arial" w:hAnsi="Arial" w:cs="Arial"/>
          <w:lang w:val="cs-CZ"/>
        </w:rPr>
        <w:t>tři</w:t>
      </w:r>
      <w:r>
        <w:rPr>
          <w:rFonts w:ascii="Arial" w:hAnsi="Arial" w:cs="Arial"/>
          <w:lang w:val="cs-CZ"/>
        </w:rPr>
        <w:t xml:space="preserve">  projekt</w:t>
      </w:r>
      <w:r w:rsidR="001850B4">
        <w:rPr>
          <w:rFonts w:ascii="Arial" w:hAnsi="Arial" w:cs="Arial"/>
          <w:lang w:val="cs-CZ"/>
        </w:rPr>
        <w:t>y</w:t>
      </w:r>
      <w:r>
        <w:rPr>
          <w:rFonts w:ascii="Arial" w:hAnsi="Arial" w:cs="Arial"/>
          <w:lang w:val="cs-CZ"/>
        </w:rPr>
        <w:t xml:space="preserve"> byl</w:t>
      </w:r>
      <w:r w:rsidR="001850B4">
        <w:rPr>
          <w:rFonts w:ascii="Arial" w:hAnsi="Arial" w:cs="Arial"/>
          <w:lang w:val="cs-CZ"/>
        </w:rPr>
        <w:t>y</w:t>
      </w:r>
      <w:r>
        <w:rPr>
          <w:rFonts w:ascii="Arial" w:hAnsi="Arial" w:cs="Arial"/>
          <w:lang w:val="cs-CZ"/>
        </w:rPr>
        <w:t xml:space="preserve"> vykázán</w:t>
      </w:r>
      <w:r w:rsidR="001850B4">
        <w:rPr>
          <w:rFonts w:ascii="Arial" w:hAnsi="Arial" w:cs="Arial"/>
          <w:lang w:val="cs-CZ"/>
        </w:rPr>
        <w:t>y</w:t>
      </w:r>
      <w:r>
        <w:rPr>
          <w:rFonts w:ascii="Arial" w:hAnsi="Arial" w:cs="Arial"/>
          <w:lang w:val="cs-CZ"/>
        </w:rPr>
        <w:t xml:space="preserve"> jako neúspěšn</w:t>
      </w:r>
      <w:r w:rsidR="001850B4">
        <w:rPr>
          <w:rFonts w:ascii="Arial" w:hAnsi="Arial" w:cs="Arial"/>
          <w:lang w:val="cs-CZ"/>
        </w:rPr>
        <w:t>é</w:t>
      </w:r>
      <w:r>
        <w:rPr>
          <w:rFonts w:ascii="Arial" w:hAnsi="Arial" w:cs="Arial"/>
          <w:lang w:val="cs-CZ"/>
        </w:rPr>
        <w:t>.</w:t>
      </w:r>
      <w:r w:rsidR="00E21586">
        <w:rPr>
          <w:rFonts w:ascii="Arial" w:hAnsi="Arial" w:cs="Arial"/>
          <w:lang w:val="cs-CZ"/>
        </w:rPr>
        <w:t xml:space="preserve"> </w:t>
      </w:r>
    </w:p>
    <w:p w:rsidR="00263E64" w:rsidRDefault="00CC0B9A" w:rsidP="00713CD8">
      <w:pPr>
        <w:pStyle w:val="Styl1"/>
        <w:ind w:firstLine="0"/>
        <w:rPr>
          <w:rFonts w:ascii="Arial" w:hAnsi="Arial" w:cs="Arial"/>
          <w:lang w:val="cs-CZ"/>
        </w:rPr>
      </w:pPr>
      <w:r>
        <w:rPr>
          <w:rFonts w:ascii="Arial" w:hAnsi="Arial" w:cs="Arial"/>
          <w:lang w:val="cs-CZ"/>
        </w:rPr>
        <w:t>V programu Zdravotnický výzkum</w:t>
      </w:r>
      <w:r w:rsidR="00263E64">
        <w:rPr>
          <w:rFonts w:ascii="Arial" w:hAnsi="Arial" w:cs="Arial"/>
          <w:lang w:val="cs-CZ"/>
        </w:rPr>
        <w:t xml:space="preserve"> z celkových 522 projektů dosáhlo 408 vynikajících výsledků, 94 jich uspělo dle zadání a 16 projektů bylo v IS VaVaI vykázáno jako projekty neúspěšné.</w:t>
      </w:r>
    </w:p>
    <w:p w:rsidR="00315A92" w:rsidRDefault="002E2A49" w:rsidP="00713CD8">
      <w:pPr>
        <w:spacing w:after="120" w:line="240" w:lineRule="auto"/>
        <w:jc w:val="both"/>
        <w:rPr>
          <w:rFonts w:ascii="Arial" w:hAnsi="Arial" w:cs="Arial"/>
          <w:sz w:val="24"/>
          <w:szCs w:val="24"/>
        </w:rPr>
      </w:pPr>
      <w:r w:rsidRPr="00263E64">
        <w:rPr>
          <w:rFonts w:ascii="Arial" w:hAnsi="Arial" w:cs="Arial"/>
          <w:sz w:val="24"/>
          <w:szCs w:val="24"/>
        </w:rPr>
        <w:t>Během h</w:t>
      </w:r>
      <w:r w:rsidR="00315A92" w:rsidRPr="00263E64">
        <w:rPr>
          <w:rFonts w:ascii="Arial" w:hAnsi="Arial" w:cs="Arial"/>
          <w:sz w:val="24"/>
          <w:szCs w:val="24"/>
        </w:rPr>
        <w:t>odnocení bylo zjištěno, že programů ukončených v roce 201</w:t>
      </w:r>
      <w:r w:rsidRPr="00263E64">
        <w:rPr>
          <w:rFonts w:ascii="Arial" w:hAnsi="Arial" w:cs="Arial"/>
          <w:sz w:val="24"/>
          <w:szCs w:val="24"/>
        </w:rPr>
        <w:t>5</w:t>
      </w:r>
      <w:r w:rsidR="00315A92" w:rsidRPr="00263E64">
        <w:rPr>
          <w:rFonts w:ascii="Arial" w:hAnsi="Arial" w:cs="Arial"/>
          <w:sz w:val="24"/>
          <w:szCs w:val="24"/>
        </w:rPr>
        <w:t xml:space="preserve"> rozpočtové údaje obsažené v IS VaVaI (celkové uznané náklady na řešení projektů v rámci programu a celková výše podpory z veřejných prostředků) neodpovídají údajům obsaženým ve zprávách poskytovatelů o jimi provedeném hodnocení ukončených programů, a to přesto, že údaje do IS VaVaI předávají sami poskytovatelé.</w:t>
      </w:r>
      <w:r w:rsidR="00315A92" w:rsidRPr="00713CD8">
        <w:rPr>
          <w:rFonts w:ascii="Arial" w:hAnsi="Arial" w:cs="Arial"/>
          <w:sz w:val="24"/>
          <w:szCs w:val="24"/>
        </w:rPr>
        <w:t xml:space="preserve"> </w:t>
      </w:r>
    </w:p>
    <w:p w:rsidR="00AC13F4" w:rsidRDefault="00AC13F4" w:rsidP="001850B4">
      <w:pPr>
        <w:pStyle w:val="Nadpis3"/>
        <w:keepLines w:val="0"/>
      </w:pPr>
      <w:r w:rsidRPr="003A5B33">
        <w:t>9.</w:t>
      </w:r>
      <w:r>
        <w:t>1 K Bezpečnostnímu výzkumu</w:t>
      </w:r>
    </w:p>
    <w:p w:rsidR="00F31A64" w:rsidRPr="00713CD8" w:rsidRDefault="00F31A64" w:rsidP="001850B4">
      <w:pPr>
        <w:keepNext/>
        <w:spacing w:after="120" w:line="240" w:lineRule="auto"/>
        <w:rPr>
          <w:rFonts w:ascii="Arial" w:hAnsi="Arial" w:cs="Arial"/>
          <w:sz w:val="24"/>
          <w:szCs w:val="24"/>
          <w:lang w:eastAsia="cs-CZ"/>
        </w:rPr>
      </w:pPr>
      <w:r w:rsidRPr="00713CD8">
        <w:rPr>
          <w:rFonts w:ascii="Arial" w:hAnsi="Arial" w:cs="Arial"/>
          <w:sz w:val="24"/>
          <w:szCs w:val="24"/>
          <w:lang w:eastAsia="cs-CZ"/>
        </w:rPr>
        <w:t>Rada</w:t>
      </w:r>
    </w:p>
    <w:p w:rsidR="00AC13F4" w:rsidRPr="00713CD8" w:rsidRDefault="00AC13F4" w:rsidP="00FC2D32">
      <w:pPr>
        <w:spacing w:after="120" w:line="240" w:lineRule="auto"/>
        <w:ind w:left="993" w:hanging="285"/>
        <w:rPr>
          <w:rFonts w:ascii="Arial" w:hAnsi="Arial" w:cs="Arial"/>
          <w:sz w:val="24"/>
          <w:szCs w:val="24"/>
          <w:lang w:eastAsia="cs-CZ"/>
        </w:rPr>
      </w:pPr>
      <w:r w:rsidRPr="00713CD8">
        <w:rPr>
          <w:rFonts w:ascii="Arial" w:hAnsi="Arial" w:cs="Arial"/>
          <w:sz w:val="24"/>
          <w:szCs w:val="24"/>
          <w:lang w:eastAsia="cs-CZ"/>
        </w:rPr>
        <w:t>a)</w:t>
      </w:r>
      <w:r w:rsidR="00261485" w:rsidRPr="00713CD8">
        <w:rPr>
          <w:rFonts w:ascii="Arial" w:hAnsi="Arial" w:cs="Arial"/>
          <w:sz w:val="24"/>
          <w:szCs w:val="24"/>
          <w:lang w:eastAsia="cs-CZ"/>
        </w:rPr>
        <w:t xml:space="preserve"> oceňuje </w:t>
      </w:r>
      <w:r w:rsidR="00F31A64" w:rsidRPr="00713CD8">
        <w:rPr>
          <w:rFonts w:ascii="Arial" w:hAnsi="Arial" w:cs="Arial"/>
          <w:sz w:val="24"/>
          <w:szCs w:val="24"/>
          <w:lang w:eastAsia="cs-CZ"/>
        </w:rPr>
        <w:t>kvalitu zpracování Zhodnocení Programu,</w:t>
      </w:r>
    </w:p>
    <w:p w:rsidR="00904081" w:rsidRPr="00713CD8" w:rsidRDefault="00904081" w:rsidP="00FC2D32">
      <w:pPr>
        <w:spacing w:after="120" w:line="240" w:lineRule="auto"/>
        <w:ind w:left="993" w:hanging="285"/>
        <w:rPr>
          <w:rFonts w:ascii="Arial" w:hAnsi="Arial" w:cs="Arial"/>
          <w:sz w:val="24"/>
          <w:szCs w:val="24"/>
        </w:rPr>
      </w:pPr>
      <w:r w:rsidRPr="00713CD8">
        <w:rPr>
          <w:rFonts w:ascii="Arial" w:hAnsi="Arial" w:cs="Arial"/>
          <w:sz w:val="24"/>
          <w:szCs w:val="24"/>
          <w:lang w:eastAsia="cs-CZ"/>
        </w:rPr>
        <w:t xml:space="preserve">b) </w:t>
      </w:r>
      <w:r w:rsidR="00F31A64" w:rsidRPr="00713CD8">
        <w:rPr>
          <w:rFonts w:ascii="Arial" w:hAnsi="Arial" w:cs="Arial"/>
          <w:sz w:val="24"/>
          <w:szCs w:val="24"/>
          <w:lang w:eastAsia="cs-CZ"/>
        </w:rPr>
        <w:t xml:space="preserve">konstatuje, že </w:t>
      </w:r>
      <w:r w:rsidR="00261485" w:rsidRPr="00713CD8">
        <w:rPr>
          <w:rFonts w:ascii="Arial" w:hAnsi="Arial" w:cs="Arial"/>
          <w:sz w:val="24"/>
          <w:szCs w:val="24"/>
          <w:lang w:eastAsia="cs-CZ"/>
        </w:rPr>
        <w:t>Program Bezpečnostní výzkum byl i přes snížení výdajů ze státního rozpočtu v době jeho realizace efektivní,</w:t>
      </w:r>
    </w:p>
    <w:p w:rsidR="00261485" w:rsidRPr="00713CD8" w:rsidRDefault="00261485" w:rsidP="00FC2D32">
      <w:pPr>
        <w:spacing w:after="120" w:line="240" w:lineRule="auto"/>
        <w:ind w:left="993" w:hanging="285"/>
        <w:rPr>
          <w:rFonts w:ascii="Arial" w:hAnsi="Arial" w:cs="Arial"/>
          <w:sz w:val="24"/>
          <w:szCs w:val="24"/>
        </w:rPr>
      </w:pPr>
      <w:r w:rsidRPr="00713CD8">
        <w:rPr>
          <w:rFonts w:ascii="Arial" w:hAnsi="Arial" w:cs="Arial"/>
          <w:sz w:val="24"/>
          <w:szCs w:val="24"/>
        </w:rPr>
        <w:t>c)</w:t>
      </w:r>
      <w:r w:rsidRPr="00713CD8">
        <w:rPr>
          <w:rFonts w:ascii="Arial" w:hAnsi="Arial" w:cs="Arial"/>
          <w:sz w:val="24"/>
          <w:szCs w:val="24"/>
          <w:lang w:eastAsia="cs-CZ"/>
        </w:rPr>
        <w:t xml:space="preserve"> </w:t>
      </w:r>
      <w:r w:rsidRPr="00713CD8">
        <w:rPr>
          <w:rFonts w:ascii="Arial" w:hAnsi="Arial" w:cs="Arial"/>
          <w:sz w:val="24"/>
          <w:szCs w:val="24"/>
        </w:rPr>
        <w:t>doporučuje MV jako poskytovateli účelových prostředků pokračovat při zapojování konečných uživatelů do projektů.</w:t>
      </w:r>
    </w:p>
    <w:p w:rsidR="00904081" w:rsidRDefault="00904081" w:rsidP="00904081">
      <w:pPr>
        <w:pStyle w:val="Nadpis3"/>
      </w:pPr>
      <w:r w:rsidRPr="003A5B33">
        <w:t>9.</w:t>
      </w:r>
      <w:r>
        <w:t>2 Ke Zdravotnickému výzkumu</w:t>
      </w:r>
    </w:p>
    <w:p w:rsidR="00F31A64" w:rsidRDefault="00F31A64" w:rsidP="00FC2D32">
      <w:pPr>
        <w:spacing w:after="120" w:line="240" w:lineRule="auto"/>
        <w:ind w:left="993" w:hanging="284"/>
        <w:rPr>
          <w:rFonts w:ascii="Arial" w:hAnsi="Arial" w:cs="Arial"/>
          <w:sz w:val="24"/>
          <w:szCs w:val="24"/>
          <w:lang w:eastAsia="cs-CZ"/>
        </w:rPr>
      </w:pPr>
      <w:r>
        <w:rPr>
          <w:rFonts w:ascii="Arial" w:hAnsi="Arial" w:cs="Arial"/>
          <w:sz w:val="24"/>
          <w:szCs w:val="24"/>
          <w:lang w:eastAsia="cs-CZ"/>
        </w:rPr>
        <w:t>a</w:t>
      </w:r>
      <w:r w:rsidRPr="00713CD8">
        <w:rPr>
          <w:rFonts w:ascii="Arial" w:hAnsi="Arial" w:cs="Arial"/>
          <w:sz w:val="24"/>
          <w:szCs w:val="24"/>
          <w:lang w:eastAsia="cs-CZ"/>
        </w:rPr>
        <w:t>) konstatuje,</w:t>
      </w:r>
      <w:r w:rsidRPr="003A5B33">
        <w:rPr>
          <w:rFonts w:ascii="Arial" w:hAnsi="Arial" w:cs="Arial"/>
          <w:sz w:val="24"/>
          <w:szCs w:val="24"/>
          <w:lang w:eastAsia="cs-CZ"/>
        </w:rPr>
        <w:t xml:space="preserve"> že </w:t>
      </w:r>
      <w:r>
        <w:rPr>
          <w:rFonts w:ascii="Arial" w:hAnsi="Arial" w:cs="Arial"/>
          <w:sz w:val="24"/>
          <w:szCs w:val="24"/>
          <w:lang w:eastAsia="cs-CZ"/>
        </w:rPr>
        <w:t>Zdravotnický program</w:t>
      </w:r>
      <w:r w:rsidRPr="003A5B33">
        <w:rPr>
          <w:rFonts w:ascii="Arial" w:hAnsi="Arial" w:cs="Arial"/>
          <w:sz w:val="24"/>
          <w:szCs w:val="24"/>
          <w:lang w:eastAsia="cs-CZ"/>
        </w:rPr>
        <w:t xml:space="preserve"> byl i přes snížení výdajů ze státního rozpočtu v době jeho realizace efektivní</w:t>
      </w:r>
      <w:r>
        <w:rPr>
          <w:rFonts w:ascii="Arial" w:hAnsi="Arial" w:cs="Arial"/>
          <w:sz w:val="24"/>
          <w:szCs w:val="24"/>
          <w:lang w:eastAsia="cs-CZ"/>
        </w:rPr>
        <w:t xml:space="preserve"> a jeho výsledky dosáhly mezinárodně srovnatelné úrovně</w:t>
      </w:r>
      <w:r w:rsidRPr="003A5B33">
        <w:rPr>
          <w:rFonts w:ascii="Arial" w:hAnsi="Arial" w:cs="Arial"/>
          <w:sz w:val="24"/>
          <w:szCs w:val="24"/>
          <w:lang w:eastAsia="cs-CZ"/>
        </w:rPr>
        <w:t>,</w:t>
      </w:r>
    </w:p>
    <w:p w:rsidR="00F31A64" w:rsidRDefault="00F31A64" w:rsidP="00FC2D32">
      <w:pPr>
        <w:spacing w:after="120" w:line="240" w:lineRule="auto"/>
        <w:ind w:left="993" w:hanging="284"/>
        <w:jc w:val="both"/>
        <w:rPr>
          <w:rFonts w:ascii="Arial" w:hAnsi="Arial" w:cs="Arial"/>
          <w:sz w:val="24"/>
          <w:szCs w:val="24"/>
          <w:lang w:eastAsia="cs-CZ"/>
        </w:rPr>
      </w:pPr>
      <w:r w:rsidRPr="00713CD8">
        <w:rPr>
          <w:rFonts w:ascii="Arial" w:hAnsi="Arial" w:cs="Arial"/>
          <w:sz w:val="24"/>
          <w:szCs w:val="24"/>
          <w:lang w:eastAsia="cs-CZ"/>
        </w:rPr>
        <w:t xml:space="preserve">b) doporučuje MZ </w:t>
      </w:r>
      <w:r w:rsidRPr="00713CD8">
        <w:rPr>
          <w:rFonts w:ascii="Arial" w:hAnsi="Arial" w:cs="Arial"/>
          <w:sz w:val="24"/>
          <w:szCs w:val="24"/>
        </w:rPr>
        <w:t>jako poskytovateli účelových prostředků na VaVaI  věnova</w:t>
      </w:r>
      <w:r w:rsidR="003018C4">
        <w:rPr>
          <w:rFonts w:ascii="Arial" w:hAnsi="Arial" w:cs="Arial"/>
          <w:sz w:val="24"/>
          <w:szCs w:val="24"/>
        </w:rPr>
        <w:t>t</w:t>
      </w:r>
      <w:r w:rsidRPr="00713CD8">
        <w:rPr>
          <w:rFonts w:ascii="Arial" w:hAnsi="Arial" w:cs="Arial"/>
          <w:sz w:val="24"/>
          <w:szCs w:val="24"/>
        </w:rPr>
        <w:t xml:space="preserve"> pozornost </w:t>
      </w:r>
      <w:r w:rsidRPr="00713CD8">
        <w:rPr>
          <w:rFonts w:ascii="Arial" w:hAnsi="Arial" w:cs="Arial"/>
          <w:sz w:val="24"/>
          <w:szCs w:val="24"/>
          <w:lang w:eastAsia="cs-CZ"/>
        </w:rPr>
        <w:t>zapojení subjektů aplikační sféry</w:t>
      </w:r>
      <w:r w:rsidR="00507103" w:rsidRPr="00713CD8">
        <w:rPr>
          <w:rFonts w:ascii="Arial" w:hAnsi="Arial" w:cs="Arial"/>
          <w:sz w:val="24"/>
          <w:szCs w:val="24"/>
          <w:lang w:eastAsia="cs-CZ"/>
        </w:rPr>
        <w:t>.</w:t>
      </w:r>
    </w:p>
    <w:p w:rsidR="00507103" w:rsidRDefault="00507103" w:rsidP="00507103">
      <w:pPr>
        <w:pStyle w:val="Nadpis3"/>
      </w:pPr>
      <w:r>
        <w:t>10.  Závěr</w:t>
      </w:r>
    </w:p>
    <w:p w:rsidR="00001F92" w:rsidRDefault="00001F92" w:rsidP="00001F92">
      <w:pPr>
        <w:spacing w:after="120" w:line="240" w:lineRule="auto"/>
        <w:jc w:val="both"/>
        <w:rPr>
          <w:rFonts w:ascii="Arial" w:hAnsi="Arial" w:cs="Arial"/>
          <w:sz w:val="24"/>
          <w:szCs w:val="24"/>
        </w:rPr>
      </w:pPr>
      <w:r>
        <w:rPr>
          <w:rFonts w:ascii="Arial" w:hAnsi="Arial" w:cs="Arial"/>
          <w:sz w:val="24"/>
          <w:szCs w:val="24"/>
        </w:rPr>
        <w:t>Jak bylo řečeno, p</w:t>
      </w:r>
      <w:r w:rsidRPr="00713CD8">
        <w:rPr>
          <w:rFonts w:ascii="Arial" w:hAnsi="Arial" w:cs="Arial"/>
          <w:sz w:val="24"/>
          <w:szCs w:val="24"/>
        </w:rPr>
        <w:t xml:space="preserve">rogramy </w:t>
      </w:r>
      <w:r>
        <w:rPr>
          <w:rFonts w:ascii="Arial" w:hAnsi="Arial" w:cs="Arial"/>
          <w:sz w:val="24"/>
          <w:szCs w:val="24"/>
        </w:rPr>
        <w:t xml:space="preserve">výzkumu, vývoje a inovací </w:t>
      </w:r>
      <w:r w:rsidRPr="00713CD8">
        <w:rPr>
          <w:rFonts w:ascii="Arial" w:hAnsi="Arial" w:cs="Arial"/>
          <w:sz w:val="24"/>
          <w:szCs w:val="24"/>
        </w:rPr>
        <w:t>jsou v současné době hodnoceny Radou v</w:t>
      </w:r>
      <w:r>
        <w:rPr>
          <w:rFonts w:ascii="Arial" w:hAnsi="Arial" w:cs="Arial"/>
          <w:sz w:val="24"/>
          <w:szCs w:val="24"/>
        </w:rPr>
        <w:t> </w:t>
      </w:r>
      <w:r w:rsidRPr="00713CD8">
        <w:rPr>
          <w:rFonts w:ascii="Arial" w:hAnsi="Arial" w:cs="Arial"/>
          <w:sz w:val="24"/>
          <w:szCs w:val="24"/>
        </w:rPr>
        <w:t>souladu s § 35 odst. 2 písm. d) zákona č. 130/2002 Sb., a</w:t>
      </w:r>
      <w:r>
        <w:rPr>
          <w:rFonts w:ascii="Arial" w:hAnsi="Arial" w:cs="Arial"/>
          <w:sz w:val="24"/>
          <w:szCs w:val="24"/>
        </w:rPr>
        <w:t> </w:t>
      </w:r>
      <w:r w:rsidRPr="00713CD8">
        <w:rPr>
          <w:rFonts w:ascii="Arial" w:hAnsi="Arial" w:cs="Arial"/>
          <w:sz w:val="24"/>
          <w:szCs w:val="24"/>
        </w:rPr>
        <w:t>přiměřeně jsou aplikovány Základní principy přípravy a hodnocení programů a</w:t>
      </w:r>
      <w:r>
        <w:rPr>
          <w:rFonts w:ascii="Arial" w:hAnsi="Arial" w:cs="Arial"/>
          <w:sz w:val="24"/>
          <w:szCs w:val="24"/>
        </w:rPr>
        <w:t> </w:t>
      </w:r>
      <w:r w:rsidRPr="00713CD8">
        <w:rPr>
          <w:rFonts w:ascii="Arial" w:hAnsi="Arial" w:cs="Arial"/>
          <w:sz w:val="24"/>
          <w:szCs w:val="24"/>
        </w:rPr>
        <w:t xml:space="preserve"> skupin grantových projektů výzkumu, vývoje a inovací schválené usnesením </w:t>
      </w:r>
      <w:r>
        <w:rPr>
          <w:rFonts w:ascii="Arial" w:hAnsi="Arial" w:cs="Arial"/>
          <w:sz w:val="24"/>
          <w:szCs w:val="24"/>
        </w:rPr>
        <w:t xml:space="preserve">vlády </w:t>
      </w:r>
      <w:r w:rsidRPr="00713CD8">
        <w:rPr>
          <w:rFonts w:ascii="Arial" w:hAnsi="Arial" w:cs="Arial"/>
          <w:sz w:val="24"/>
          <w:szCs w:val="24"/>
        </w:rPr>
        <w:t>ze</w:t>
      </w:r>
      <w:r>
        <w:rPr>
          <w:rFonts w:ascii="Arial" w:hAnsi="Arial" w:cs="Arial"/>
          <w:sz w:val="24"/>
          <w:szCs w:val="24"/>
        </w:rPr>
        <w:t> </w:t>
      </w:r>
      <w:r w:rsidRPr="00713CD8">
        <w:rPr>
          <w:rFonts w:ascii="Arial" w:hAnsi="Arial" w:cs="Arial"/>
          <w:sz w:val="24"/>
          <w:szCs w:val="24"/>
        </w:rPr>
        <w:t>dne 13. května 2015 č.</w:t>
      </w:r>
      <w:r>
        <w:rPr>
          <w:rFonts w:ascii="Arial" w:hAnsi="Arial" w:cs="Arial"/>
          <w:sz w:val="24"/>
          <w:szCs w:val="24"/>
        </w:rPr>
        <w:t> </w:t>
      </w:r>
      <w:r w:rsidRPr="00713CD8">
        <w:rPr>
          <w:rFonts w:ascii="Arial" w:hAnsi="Arial" w:cs="Arial"/>
          <w:sz w:val="24"/>
          <w:szCs w:val="24"/>
        </w:rPr>
        <w:t xml:space="preserve">351, podle kterých budou připravovány a hodnoceny programy schválené vládou od roku 2020. </w:t>
      </w:r>
    </w:p>
    <w:p w:rsidR="00001F92" w:rsidRDefault="00001F92" w:rsidP="00001F92">
      <w:pPr>
        <w:spacing w:after="120" w:line="240" w:lineRule="auto"/>
        <w:jc w:val="both"/>
        <w:rPr>
          <w:rFonts w:ascii="Arial" w:hAnsi="Arial" w:cs="Arial"/>
          <w:sz w:val="24"/>
          <w:szCs w:val="24"/>
        </w:rPr>
      </w:pPr>
      <w:r>
        <w:rPr>
          <w:rFonts w:ascii="Arial" w:hAnsi="Arial" w:cs="Arial"/>
          <w:sz w:val="24"/>
          <w:szCs w:val="24"/>
        </w:rPr>
        <w:t>Po roce 2020 se budou t</w:t>
      </w:r>
      <w:r w:rsidRPr="00713CD8">
        <w:rPr>
          <w:rFonts w:ascii="Arial" w:hAnsi="Arial" w:cs="Arial"/>
          <w:sz w:val="24"/>
          <w:szCs w:val="24"/>
        </w:rPr>
        <w:t xml:space="preserve">yto </w:t>
      </w:r>
      <w:r>
        <w:rPr>
          <w:rFonts w:ascii="Arial" w:hAnsi="Arial" w:cs="Arial"/>
          <w:sz w:val="24"/>
          <w:szCs w:val="24"/>
        </w:rPr>
        <w:t xml:space="preserve">detailně rozpracované </w:t>
      </w:r>
      <w:r w:rsidRPr="00713CD8">
        <w:rPr>
          <w:rFonts w:ascii="Arial" w:hAnsi="Arial" w:cs="Arial"/>
          <w:sz w:val="24"/>
          <w:szCs w:val="24"/>
        </w:rPr>
        <w:t xml:space="preserve">Principy </w:t>
      </w:r>
      <w:r w:rsidRPr="00174083">
        <w:rPr>
          <w:rFonts w:ascii="Arial" w:hAnsi="Arial" w:cs="Arial"/>
          <w:sz w:val="24"/>
          <w:szCs w:val="24"/>
        </w:rPr>
        <w:t xml:space="preserve">součástí každého nově připravovaného programu </w:t>
      </w:r>
      <w:r>
        <w:rPr>
          <w:rFonts w:ascii="Arial" w:hAnsi="Arial" w:cs="Arial"/>
          <w:sz w:val="24"/>
          <w:szCs w:val="24"/>
        </w:rPr>
        <w:t xml:space="preserve">VaVaI </w:t>
      </w:r>
      <w:r w:rsidRPr="00174083">
        <w:rPr>
          <w:rFonts w:ascii="Arial" w:hAnsi="Arial" w:cs="Arial"/>
          <w:sz w:val="24"/>
          <w:szCs w:val="24"/>
        </w:rPr>
        <w:t>schvalovaného vládou</w:t>
      </w:r>
      <w:r>
        <w:rPr>
          <w:rFonts w:ascii="Arial" w:hAnsi="Arial" w:cs="Arial"/>
          <w:sz w:val="24"/>
          <w:szCs w:val="24"/>
        </w:rPr>
        <w:t xml:space="preserve">. Principy </w:t>
      </w:r>
      <w:r w:rsidRPr="00713CD8">
        <w:rPr>
          <w:rFonts w:ascii="Arial" w:hAnsi="Arial" w:cs="Arial"/>
          <w:sz w:val="24"/>
          <w:szCs w:val="24"/>
        </w:rPr>
        <w:t xml:space="preserve">mají být promítnuty do zákona o podpoře výzkumu, vývoje a inovací formou změny povinného obsahu návrhu programů účelové podpory. </w:t>
      </w:r>
    </w:p>
    <w:p w:rsidR="00001F92" w:rsidRDefault="00001F92" w:rsidP="00001F92">
      <w:pPr>
        <w:spacing w:after="120" w:line="240" w:lineRule="auto"/>
        <w:jc w:val="both"/>
        <w:rPr>
          <w:rFonts w:ascii="Arial" w:hAnsi="Arial" w:cs="Arial"/>
          <w:sz w:val="24"/>
          <w:szCs w:val="24"/>
        </w:rPr>
      </w:pPr>
      <w:r>
        <w:rPr>
          <w:rFonts w:ascii="Arial" w:hAnsi="Arial" w:cs="Arial"/>
          <w:sz w:val="24"/>
          <w:szCs w:val="24"/>
        </w:rPr>
        <w:lastRenderedPageBreak/>
        <w:t>Stávající Metodika i vlastní způsob hodnocení programů výzkumu, vývoje a inovací nejsou v České republice dostačující, což je dáno především současně platnou Metodikou hodnocení.</w:t>
      </w:r>
    </w:p>
    <w:p w:rsidR="008D6360" w:rsidRPr="008D6360" w:rsidRDefault="008D6360" w:rsidP="008D6360">
      <w:pPr>
        <w:spacing w:after="120" w:line="240" w:lineRule="auto"/>
        <w:jc w:val="both"/>
        <w:rPr>
          <w:rFonts w:ascii="Arial" w:hAnsi="Arial" w:cs="Arial"/>
          <w:sz w:val="24"/>
          <w:szCs w:val="24"/>
        </w:rPr>
      </w:pPr>
      <w:r>
        <w:rPr>
          <w:rFonts w:ascii="Arial" w:hAnsi="Arial" w:cs="Arial"/>
          <w:sz w:val="24"/>
          <w:szCs w:val="24"/>
        </w:rPr>
        <w:t>Podle zjištěných informací od poskytovatelů, jejichž programy byly hodnoceny, obsahuje Harmonogram hodnocení, který je součástí Metodiky nevhodné termíny</w:t>
      </w:r>
      <w:r w:rsidR="002B0341">
        <w:rPr>
          <w:rFonts w:ascii="Arial" w:hAnsi="Arial" w:cs="Arial"/>
          <w:sz w:val="24"/>
          <w:szCs w:val="24"/>
        </w:rPr>
        <w:t>, čímž vznikají</w:t>
      </w:r>
      <w:r>
        <w:rPr>
          <w:rFonts w:ascii="Arial" w:hAnsi="Arial" w:cs="Arial"/>
          <w:sz w:val="24"/>
          <w:szCs w:val="24"/>
        </w:rPr>
        <w:t xml:space="preserve"> rozpory mezi </w:t>
      </w:r>
      <w:r w:rsidR="002B0341">
        <w:rPr>
          <w:rFonts w:ascii="Arial" w:hAnsi="Arial" w:cs="Arial"/>
          <w:sz w:val="24"/>
          <w:szCs w:val="24"/>
        </w:rPr>
        <w:t xml:space="preserve">daty ve </w:t>
      </w:r>
      <w:r>
        <w:rPr>
          <w:rFonts w:ascii="Arial" w:hAnsi="Arial" w:cs="Arial"/>
          <w:sz w:val="24"/>
          <w:szCs w:val="24"/>
        </w:rPr>
        <w:t>zpráv</w:t>
      </w:r>
      <w:r w:rsidR="002B0341">
        <w:rPr>
          <w:rFonts w:ascii="Arial" w:hAnsi="Arial" w:cs="Arial"/>
          <w:sz w:val="24"/>
          <w:szCs w:val="24"/>
        </w:rPr>
        <w:t>ách</w:t>
      </w:r>
      <w:r>
        <w:rPr>
          <w:rFonts w:ascii="Arial" w:hAnsi="Arial" w:cs="Arial"/>
          <w:sz w:val="24"/>
          <w:szCs w:val="24"/>
        </w:rPr>
        <w:t xml:space="preserve"> poskytovatelů</w:t>
      </w:r>
      <w:r w:rsidR="002B0341">
        <w:rPr>
          <w:rFonts w:ascii="Arial" w:hAnsi="Arial" w:cs="Arial"/>
          <w:sz w:val="24"/>
          <w:szCs w:val="24"/>
        </w:rPr>
        <w:t xml:space="preserve"> a IS VaVaI.</w:t>
      </w:r>
    </w:p>
    <w:p w:rsidR="00DD526A" w:rsidRDefault="00FC2D32" w:rsidP="00D77026">
      <w:pPr>
        <w:spacing w:after="120" w:line="240" w:lineRule="auto"/>
        <w:jc w:val="both"/>
        <w:rPr>
          <w:rFonts w:ascii="Arial" w:hAnsi="Arial" w:cs="Arial"/>
          <w:sz w:val="24"/>
          <w:szCs w:val="24"/>
        </w:rPr>
      </w:pPr>
      <w:r>
        <w:rPr>
          <w:rFonts w:ascii="Arial" w:hAnsi="Arial" w:cs="Arial"/>
          <w:sz w:val="24"/>
          <w:szCs w:val="24"/>
        </w:rPr>
        <w:t>Rada konstatuje, že v</w:t>
      </w:r>
      <w:r w:rsidR="004760BC" w:rsidRPr="00713CD8">
        <w:rPr>
          <w:rFonts w:ascii="Arial" w:hAnsi="Arial" w:cs="Arial"/>
          <w:sz w:val="24"/>
          <w:szCs w:val="24"/>
        </w:rPr>
        <w:t>ýznam hodnocení programů výzkumu, vývoje a inovací se neustále zvyšuje, protože do výzkumu jsou vkládány nemalé státní finanční prostředky</w:t>
      </w:r>
      <w:r w:rsidR="00DD526A">
        <w:rPr>
          <w:rFonts w:ascii="Arial" w:hAnsi="Arial" w:cs="Arial"/>
          <w:sz w:val="24"/>
          <w:szCs w:val="24"/>
        </w:rPr>
        <w:t>.</w:t>
      </w:r>
    </w:p>
    <w:p w:rsidR="00C4445E" w:rsidRDefault="00001F92" w:rsidP="00C4445E">
      <w:pPr>
        <w:spacing w:after="120" w:line="240" w:lineRule="auto"/>
        <w:jc w:val="both"/>
        <w:rPr>
          <w:rFonts w:ascii="Arial" w:hAnsi="Arial" w:cs="Arial"/>
          <w:sz w:val="24"/>
          <w:szCs w:val="24"/>
        </w:rPr>
      </w:pPr>
      <w:r>
        <w:rPr>
          <w:rFonts w:ascii="Arial" w:hAnsi="Arial" w:cs="Arial"/>
          <w:sz w:val="24"/>
          <w:szCs w:val="24"/>
        </w:rPr>
        <w:t>Hodnocení programů je třeba přiblížit vyspělým zemím, kde představuje strategický nástroj systému řízení VaVaI na všech úrovních, zejména pro nakládání s veřejnými prostředky, což v konečné fázi povede k úspoře a další efektivitě veřejných prostředků</w:t>
      </w:r>
      <w:r w:rsidR="00C94610">
        <w:rPr>
          <w:rFonts w:ascii="Arial" w:hAnsi="Arial" w:cs="Arial"/>
          <w:sz w:val="24"/>
          <w:szCs w:val="24"/>
        </w:rPr>
        <w:t>.</w:t>
      </w:r>
      <w:r w:rsidR="00C4445E" w:rsidRPr="00C4445E">
        <w:rPr>
          <w:rFonts w:ascii="Arial" w:hAnsi="Arial" w:cs="Arial"/>
          <w:sz w:val="24"/>
          <w:szCs w:val="24"/>
        </w:rPr>
        <w:t xml:space="preserve"> </w:t>
      </w:r>
    </w:p>
    <w:p w:rsidR="00263E64" w:rsidRDefault="00C4445E" w:rsidP="00263E64">
      <w:pPr>
        <w:spacing w:after="120" w:line="240" w:lineRule="auto"/>
        <w:jc w:val="both"/>
        <w:rPr>
          <w:rFonts w:ascii="Arial" w:hAnsi="Arial" w:cs="Arial"/>
          <w:sz w:val="24"/>
          <w:szCs w:val="24"/>
        </w:rPr>
      </w:pPr>
      <w:r w:rsidRPr="00C94610">
        <w:rPr>
          <w:rFonts w:ascii="Arial" w:hAnsi="Arial" w:cs="Arial"/>
          <w:sz w:val="24"/>
          <w:szCs w:val="24"/>
        </w:rPr>
        <w:t>Rada upozorňuje, že přes vešker</w:t>
      </w:r>
      <w:r w:rsidR="00A321D1">
        <w:rPr>
          <w:rFonts w:ascii="Arial" w:hAnsi="Arial" w:cs="Arial"/>
          <w:sz w:val="24"/>
          <w:szCs w:val="24"/>
        </w:rPr>
        <w:t>á slabá místa daná platnou Metodikou hodnocení existuje v</w:t>
      </w:r>
      <w:r w:rsidR="00001F92" w:rsidRPr="00C94610">
        <w:rPr>
          <w:rFonts w:ascii="Arial" w:hAnsi="Arial" w:cs="Arial"/>
          <w:sz w:val="24"/>
          <w:szCs w:val="24"/>
        </w:rPr>
        <w:t xml:space="preserve"> ČR </w:t>
      </w:r>
      <w:r w:rsidR="00432EDB" w:rsidRPr="00C94610">
        <w:rPr>
          <w:rFonts w:ascii="Arial" w:hAnsi="Arial" w:cs="Arial"/>
          <w:sz w:val="24"/>
          <w:szCs w:val="24"/>
        </w:rPr>
        <w:t>prostor pro zlepšení</w:t>
      </w:r>
      <w:r w:rsidR="00A321D1">
        <w:rPr>
          <w:rFonts w:ascii="Arial" w:hAnsi="Arial" w:cs="Arial"/>
          <w:sz w:val="24"/>
          <w:szCs w:val="24"/>
        </w:rPr>
        <w:t xml:space="preserve"> hodnocení programů ze strany poskytovatelů podpory ve VaVaI</w:t>
      </w:r>
      <w:r w:rsidR="001B168A">
        <w:rPr>
          <w:rFonts w:ascii="Arial" w:hAnsi="Arial" w:cs="Arial"/>
          <w:sz w:val="24"/>
          <w:szCs w:val="24"/>
        </w:rPr>
        <w:t>.</w:t>
      </w:r>
      <w:r w:rsidR="00432EDB" w:rsidRPr="00C94610">
        <w:rPr>
          <w:rFonts w:ascii="Arial" w:hAnsi="Arial" w:cs="Arial"/>
          <w:sz w:val="24"/>
          <w:szCs w:val="24"/>
        </w:rPr>
        <w:t xml:space="preserve"> </w:t>
      </w:r>
      <w:r w:rsidR="00A321D1" w:rsidRPr="00C94610">
        <w:rPr>
          <w:rFonts w:ascii="Arial" w:hAnsi="Arial" w:cs="Arial"/>
          <w:sz w:val="24"/>
          <w:szCs w:val="24"/>
        </w:rPr>
        <w:t>Kladem</w:t>
      </w:r>
      <w:r w:rsidR="00432EDB" w:rsidRPr="00C94610">
        <w:rPr>
          <w:rFonts w:ascii="Arial" w:hAnsi="Arial" w:cs="Arial"/>
          <w:sz w:val="24"/>
          <w:szCs w:val="24"/>
        </w:rPr>
        <w:t xml:space="preserve"> by </w:t>
      </w:r>
      <w:r w:rsidR="00C94610" w:rsidRPr="00C94610">
        <w:rPr>
          <w:rFonts w:ascii="Arial" w:hAnsi="Arial" w:cs="Arial"/>
          <w:sz w:val="24"/>
          <w:szCs w:val="24"/>
        </w:rPr>
        <w:t>mělo být</w:t>
      </w:r>
      <w:r w:rsidR="00432EDB" w:rsidRPr="00C94610">
        <w:rPr>
          <w:rFonts w:ascii="Arial" w:hAnsi="Arial" w:cs="Arial"/>
          <w:sz w:val="24"/>
          <w:szCs w:val="24"/>
        </w:rPr>
        <w:t xml:space="preserve"> </w:t>
      </w:r>
      <w:r w:rsidR="00A321D1">
        <w:rPr>
          <w:rFonts w:ascii="Arial" w:hAnsi="Arial" w:cs="Arial"/>
          <w:sz w:val="24"/>
          <w:szCs w:val="24"/>
        </w:rPr>
        <w:t xml:space="preserve">zejména </w:t>
      </w:r>
      <w:r w:rsidR="001B168A" w:rsidRPr="00C94610">
        <w:rPr>
          <w:rFonts w:ascii="Arial" w:hAnsi="Arial" w:cs="Arial"/>
          <w:sz w:val="24"/>
          <w:szCs w:val="24"/>
        </w:rPr>
        <w:t>preciznější</w:t>
      </w:r>
      <w:r w:rsidR="00432EDB" w:rsidRPr="00C94610">
        <w:rPr>
          <w:rFonts w:ascii="Arial" w:hAnsi="Arial" w:cs="Arial"/>
          <w:sz w:val="24"/>
          <w:szCs w:val="24"/>
        </w:rPr>
        <w:t xml:space="preserve"> nastavení indikátorů programů již v době jejich vzniku</w:t>
      </w:r>
      <w:r w:rsidR="00C94610" w:rsidRPr="00C94610">
        <w:rPr>
          <w:rFonts w:ascii="Arial" w:hAnsi="Arial" w:cs="Arial"/>
          <w:sz w:val="24"/>
          <w:szCs w:val="24"/>
        </w:rPr>
        <w:t xml:space="preserve"> i to, že obsahem každého nového programu VaVaI, který schválí vláda v roce 2020 a</w:t>
      </w:r>
      <w:r w:rsidR="00C94610">
        <w:rPr>
          <w:rFonts w:ascii="Arial" w:hAnsi="Arial" w:cs="Arial"/>
          <w:sz w:val="24"/>
          <w:szCs w:val="24"/>
        </w:rPr>
        <w:t xml:space="preserve"> v </w:t>
      </w:r>
      <w:r w:rsidR="00C94610" w:rsidRPr="00C94610">
        <w:rPr>
          <w:rFonts w:ascii="Arial" w:hAnsi="Arial" w:cs="Arial"/>
          <w:sz w:val="24"/>
          <w:szCs w:val="24"/>
        </w:rPr>
        <w:t>letech následujících budou už v jeho návrhu stanoveny konkrétní podmínky a metody hodnocení.</w:t>
      </w:r>
    </w:p>
    <w:sectPr w:rsidR="00263E64" w:rsidSect="004873C9">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BF2" w:rsidRDefault="00FA2BF2" w:rsidP="004873C9">
      <w:pPr>
        <w:spacing w:after="0" w:line="240" w:lineRule="auto"/>
      </w:pPr>
      <w:r>
        <w:separator/>
      </w:r>
    </w:p>
  </w:endnote>
  <w:endnote w:type="continuationSeparator" w:id="0">
    <w:p w:rsidR="00FA2BF2" w:rsidRDefault="00FA2BF2"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000759">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00759">
              <w:rPr>
                <w:b/>
                <w:bCs/>
                <w:noProof/>
              </w:rPr>
              <w:t>15</w:t>
            </w:r>
            <w:r>
              <w:rPr>
                <w:b/>
                <w:bCs/>
                <w:sz w:val="24"/>
                <w:szCs w:val="24"/>
              </w:rPr>
              <w:fldChar w:fldCharType="end"/>
            </w:r>
          </w:p>
        </w:sdtContent>
      </w:sdt>
    </w:sdtContent>
  </w:sdt>
  <w:p w:rsidR="00FC2D32" w:rsidRPr="00426AEB" w:rsidRDefault="00FC2D32">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000759">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00759">
              <w:rPr>
                <w:b/>
                <w:bCs/>
                <w:noProof/>
              </w:rPr>
              <w:t>15</w:t>
            </w:r>
            <w:r>
              <w:rPr>
                <w:b/>
                <w:bCs/>
                <w:sz w:val="24"/>
                <w:szCs w:val="24"/>
              </w:rPr>
              <w:fldChar w:fldCharType="end"/>
            </w:r>
          </w:p>
        </w:sdtContent>
      </w:sdt>
    </w:sdtContent>
  </w:sdt>
  <w:p w:rsidR="00FC2D32" w:rsidRDefault="00FC2D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BF2" w:rsidRDefault="00FA2BF2" w:rsidP="004873C9">
      <w:pPr>
        <w:spacing w:after="0" w:line="240" w:lineRule="auto"/>
      </w:pPr>
      <w:r>
        <w:separator/>
      </w:r>
    </w:p>
  </w:footnote>
  <w:footnote w:type="continuationSeparator" w:id="0">
    <w:p w:rsidR="00FA2BF2" w:rsidRDefault="00FA2BF2" w:rsidP="004873C9">
      <w:pPr>
        <w:spacing w:after="0" w:line="240" w:lineRule="auto"/>
      </w:pPr>
      <w:r>
        <w:continuationSeparator/>
      </w:r>
    </w:p>
  </w:footnote>
  <w:footnote w:id="1">
    <w:p w:rsidR="00FC2D32" w:rsidRPr="00C741F8" w:rsidRDefault="00FC2D32" w:rsidP="00A0489A">
      <w:pPr>
        <w:pStyle w:val="Textpoznpodarou"/>
        <w:rPr>
          <w:rFonts w:ascii="Arial" w:hAnsi="Arial" w:cs="Arial"/>
        </w:rPr>
      </w:pPr>
      <w:r w:rsidRPr="00C741F8">
        <w:rPr>
          <w:rStyle w:val="Znakapoznpodarou"/>
          <w:rFonts w:ascii="Arial" w:hAnsi="Arial" w:cs="Arial"/>
        </w:rPr>
        <w:footnoteRef/>
      </w:r>
      <w:r w:rsidRPr="00C741F8">
        <w:rPr>
          <w:rFonts w:ascii="Arial" w:hAnsi="Arial" w:cs="Arial"/>
        </w:rPr>
        <w:t xml:space="preserve"> „V“ – vynikající výsledky projektu, „U“ – uspěl podle zadání, „O“ – nesplněno zadání, smlouva však byla dodržena, „S“ – nesplněno zadání</w:t>
      </w:r>
    </w:p>
  </w:footnote>
  <w:footnote w:id="2">
    <w:p w:rsidR="00FC2D32" w:rsidRPr="00551E0B" w:rsidRDefault="00FC2D32" w:rsidP="00CB3F3A">
      <w:pPr>
        <w:pStyle w:val="Textpoznpodarou"/>
        <w:rPr>
          <w:rFonts w:ascii="Arial" w:hAnsi="Arial" w:cs="Arial"/>
          <w:sz w:val="16"/>
          <w:szCs w:val="16"/>
        </w:rPr>
      </w:pPr>
      <w:r w:rsidRPr="00551E0B">
        <w:rPr>
          <w:rStyle w:val="Znakapoznpodarou"/>
          <w:rFonts w:ascii="Arial" w:hAnsi="Arial" w:cs="Arial"/>
          <w:sz w:val="16"/>
          <w:szCs w:val="16"/>
        </w:rPr>
        <w:footnoteRef/>
      </w:r>
      <w:r w:rsidRPr="00551E0B">
        <w:rPr>
          <w:rFonts w:ascii="Arial" w:hAnsi="Arial" w:cs="Arial"/>
          <w:sz w:val="16"/>
          <w:szCs w:val="16"/>
        </w:rPr>
        <w:t xml:space="preserve"> V kategorii publikačních výsledků jsou zařazeny výsledky typu J – recenzovaný odborný článek, B – odborná kniha, C – kapitola v odborné knize a D – článek ve sborníku. V kategorii „ostatní“ jsou uvedeny ostatní nepublikační výsledky, tj. výsledky typu A – audiovizuální tvorba, M – konference, W – workshop, E - výstava, O – jinam nezařaditelný výsledek.  </w:t>
      </w:r>
    </w:p>
  </w:footnote>
  <w:footnote w:id="3">
    <w:p w:rsidR="00FC2D32" w:rsidRPr="00147F17" w:rsidRDefault="00FC2D32" w:rsidP="00147F17">
      <w:pPr>
        <w:autoSpaceDE w:val="0"/>
        <w:autoSpaceDN w:val="0"/>
        <w:adjustRightInd w:val="0"/>
        <w:spacing w:after="0" w:line="240" w:lineRule="auto"/>
        <w:jc w:val="both"/>
        <w:rPr>
          <w:rFonts w:ascii="Arial" w:hAnsi="Arial" w:cs="Arial"/>
          <w:sz w:val="16"/>
          <w:szCs w:val="16"/>
        </w:rPr>
      </w:pPr>
      <w:r w:rsidRPr="00147F17">
        <w:rPr>
          <w:rStyle w:val="Znakapoznpodarou"/>
          <w:rFonts w:ascii="Arial" w:hAnsi="Arial" w:cs="Arial"/>
          <w:sz w:val="16"/>
          <w:szCs w:val="16"/>
        </w:rPr>
        <w:footnoteRef/>
      </w:r>
      <w:r w:rsidRPr="00147F17">
        <w:rPr>
          <w:rFonts w:ascii="Arial" w:hAnsi="Arial" w:cs="Arial"/>
          <w:sz w:val="16"/>
          <w:szCs w:val="16"/>
        </w:rPr>
        <w:t xml:space="preserve"> Ministerstvo zdravotnictví uplat</w:t>
      </w:r>
      <w:r>
        <w:rPr>
          <w:rFonts w:ascii="Arial" w:hAnsi="Arial" w:cs="Arial"/>
          <w:sz w:val="16"/>
          <w:szCs w:val="16"/>
        </w:rPr>
        <w:t>ni</w:t>
      </w:r>
      <w:r w:rsidRPr="00147F17">
        <w:rPr>
          <w:rFonts w:ascii="Arial" w:hAnsi="Arial" w:cs="Arial"/>
          <w:sz w:val="16"/>
          <w:szCs w:val="16"/>
        </w:rPr>
        <w:t>lo na tento program blokovou výjimku podle čl. 31 Nařízení Komise (ES) č. 800/2008 ze dne 6. srpna 2008 (dále jen „Nařízení č. 800/2008“), kterým se v souladu s články 87 a 88 Smlouvy o založení Evropského společenství prohlašují určité kategorie podpory za slučitelné se společným trhem (obecné nařízení o blokových výjimkách</w:t>
      </w:r>
      <w:r>
        <w:rPr>
          <w:rFonts w:ascii="Arial" w:hAnsi="Arial" w:cs="Arial"/>
          <w:sz w:val="16"/>
          <w:szCs w:val="16"/>
        </w:rPr>
        <w:t>). Toto nařízení o blokových výjimkách bylo nahrazeno Nařízením komise (EU) č. 651/2014 ze dne 17. června 2014, kterým se v souladu s články 107 a 108 Smlouvy prohlašují určité kategorie podpory za slučitelné s vnitřním trhem (GBER).</w:t>
      </w:r>
    </w:p>
    <w:p w:rsidR="00FC2D32" w:rsidRDefault="00FC2D32">
      <w:pPr>
        <w:pStyle w:val="Textpoznpodarou"/>
      </w:pPr>
    </w:p>
  </w:footnote>
  <w:footnote w:id="4">
    <w:p w:rsidR="00FC2D32" w:rsidRPr="0093717C" w:rsidRDefault="00FC2D32" w:rsidP="0093717C">
      <w:pPr>
        <w:pStyle w:val="Textpoznpodarou"/>
        <w:spacing w:after="120"/>
        <w:jc w:val="both"/>
        <w:rPr>
          <w:rFonts w:ascii="Arial" w:hAnsi="Arial" w:cs="Arial"/>
          <w:sz w:val="16"/>
          <w:szCs w:val="16"/>
        </w:rPr>
      </w:pPr>
      <w:r w:rsidRPr="0093717C">
        <w:rPr>
          <w:rStyle w:val="Znakapoznpodarou"/>
          <w:rFonts w:ascii="Arial" w:hAnsi="Arial" w:cs="Arial"/>
          <w:sz w:val="16"/>
          <w:szCs w:val="16"/>
        </w:rPr>
        <w:footnoteRef/>
      </w:r>
      <w:r w:rsidRPr="0093717C">
        <w:rPr>
          <w:rFonts w:ascii="Arial" w:hAnsi="Arial" w:cs="Arial"/>
          <w:sz w:val="16"/>
          <w:szCs w:val="16"/>
        </w:rPr>
        <w:t xml:space="preserve"> V kategorii publikačních výsledků jsou zařazeny výsledky typu J – recenzovaný odborný článek, B – odborná kniha, C – kapitola v odborné knize a D – článek ve sborníku. V kategorii „ostatní“ jsou uvedeny ostatní nepublikační výsledky, tj. výsledky typu A – audiovizuální tvorba, M – konference, W – workshop, O – jinam nezařaditelný výsledek.  </w:t>
      </w:r>
    </w:p>
  </w:footnote>
  <w:footnote w:id="5">
    <w:p w:rsidR="00ED5194" w:rsidRPr="0093717C" w:rsidRDefault="00ED5194" w:rsidP="0093717C">
      <w:pPr>
        <w:pStyle w:val="Textpoznpodarou"/>
        <w:spacing w:after="120"/>
        <w:jc w:val="both"/>
        <w:rPr>
          <w:rFonts w:ascii="Arial" w:hAnsi="Arial" w:cs="Arial"/>
          <w:sz w:val="16"/>
          <w:szCs w:val="16"/>
        </w:rPr>
      </w:pPr>
      <w:r w:rsidRPr="0093717C">
        <w:rPr>
          <w:rStyle w:val="Znakapoznpodarou"/>
          <w:rFonts w:ascii="Arial" w:hAnsi="Arial" w:cs="Arial"/>
          <w:sz w:val="16"/>
          <w:szCs w:val="16"/>
        </w:rPr>
        <w:footnoteRef/>
      </w:r>
      <w:r w:rsidRPr="0093717C">
        <w:rPr>
          <w:rFonts w:ascii="Arial" w:hAnsi="Arial" w:cs="Arial"/>
          <w:sz w:val="16"/>
          <w:szCs w:val="16"/>
        </w:rPr>
        <w:t xml:space="preserve"> Jednalo se o počet zjištěný v rejstříku informací o výsledcích (RIV) IS VaVaI ke dni </w:t>
      </w:r>
      <w:r w:rsidR="0093717C" w:rsidRPr="0093717C">
        <w:rPr>
          <w:rFonts w:ascii="Arial" w:hAnsi="Arial" w:cs="Arial"/>
          <w:sz w:val="16"/>
          <w:szCs w:val="16"/>
        </w:rPr>
        <w:t xml:space="preserve">26. 9. 2016. podle Metodiky předložil poskytovatel v termínu do 30. 9. 2016 Závěrečné hodnocení </w:t>
      </w:r>
      <w:r w:rsidR="00664688">
        <w:rPr>
          <w:rFonts w:ascii="Arial" w:hAnsi="Arial" w:cs="Arial"/>
          <w:sz w:val="16"/>
          <w:szCs w:val="16"/>
        </w:rPr>
        <w:t>MZ</w:t>
      </w:r>
      <w:r w:rsidR="0093717C" w:rsidRPr="0093717C">
        <w:rPr>
          <w:rFonts w:ascii="Arial" w:hAnsi="Arial" w:cs="Arial"/>
          <w:sz w:val="16"/>
          <w:szCs w:val="16"/>
        </w:rPr>
        <w:t>.</w:t>
      </w:r>
      <w:r w:rsidRPr="0093717C">
        <w:rPr>
          <w:rFonts w:ascii="Arial" w:hAnsi="Arial" w:cs="Arial"/>
          <w:sz w:val="16"/>
          <w:szCs w:val="16"/>
        </w:rPr>
        <w:t xml:space="preserve"> V té době IS VaVaI nebyl plně funkční, v RIV mohly být některé výsledky duplicitně. </w:t>
      </w:r>
      <w:r w:rsidR="0093717C">
        <w:rPr>
          <w:rFonts w:ascii="Arial" w:hAnsi="Arial" w:cs="Arial"/>
          <w:sz w:val="16"/>
          <w:szCs w:val="16"/>
        </w:rPr>
        <w:t xml:space="preserve">K dispozici nejsou jiné </w:t>
      </w:r>
      <w:r w:rsidRPr="0093717C">
        <w:rPr>
          <w:rFonts w:ascii="Arial" w:hAnsi="Arial" w:cs="Arial"/>
          <w:sz w:val="16"/>
          <w:szCs w:val="16"/>
        </w:rPr>
        <w:t>zdroje výsledků</w:t>
      </w:r>
      <w:r w:rsidR="0093717C">
        <w:rPr>
          <w:rFonts w:ascii="Arial" w:hAnsi="Arial" w:cs="Arial"/>
          <w:sz w:val="16"/>
          <w:szCs w:val="16"/>
        </w:rPr>
        <w:t>.</w:t>
      </w:r>
    </w:p>
  </w:footnote>
  <w:footnote w:id="6">
    <w:p w:rsidR="00FC2D32" w:rsidRPr="00713CD8" w:rsidRDefault="00FC2D32">
      <w:pPr>
        <w:pStyle w:val="Textpoznpodarou"/>
        <w:rPr>
          <w:rFonts w:ascii="Arial" w:hAnsi="Arial" w:cs="Arial"/>
        </w:rPr>
      </w:pPr>
      <w:r w:rsidRPr="00713CD8">
        <w:rPr>
          <w:rStyle w:val="Znakapoznpodarou"/>
          <w:rFonts w:ascii="Arial" w:hAnsi="Arial" w:cs="Arial"/>
        </w:rPr>
        <w:footnoteRef/>
      </w:r>
      <w:r w:rsidRPr="00713CD8">
        <w:rPr>
          <w:rFonts w:ascii="Arial" w:hAnsi="Arial" w:cs="Arial"/>
        </w:rPr>
        <w:t xml:space="preserve"> </w:t>
      </w:r>
      <w:r w:rsidR="00B33A13">
        <w:rPr>
          <w:rFonts w:ascii="Arial" w:hAnsi="Arial" w:cs="Arial"/>
        </w:rPr>
        <w:t>Jedná se o skutečně čerpanou účelovou podporu po odečtu vratek vzniklých při finančním vypořádání ze SR</w:t>
      </w:r>
    </w:p>
  </w:footnote>
  <w:footnote w:id="7">
    <w:p w:rsidR="00B33A13" w:rsidRDefault="00B33A13">
      <w:pPr>
        <w:pStyle w:val="Textpoznpodarou"/>
      </w:pPr>
      <w:r>
        <w:rPr>
          <w:rStyle w:val="Znakapoznpodarou"/>
        </w:rPr>
        <w:footnoteRef/>
      </w:r>
      <w:r>
        <w:t xml:space="preserve"> Nevyčerpané prostředky </w:t>
      </w:r>
      <w:r w:rsidR="005E416F">
        <w:t>účelové podpory</w:t>
      </w:r>
      <w:r>
        <w:t xml:space="preserve"> z roku 2015 </w:t>
      </w:r>
      <w:r w:rsidR="005E416F">
        <w:t>b</w:t>
      </w:r>
      <w:r>
        <w:t>yly převedeny k čerpání na projekty podporované v rámci navazujícího Programu</w:t>
      </w:r>
      <w:r w:rsidR="005E416F">
        <w:t xml:space="preserve"> na podporu zdravotnického aplikovaného výzkumu na léta 2015 - 2022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048D"/>
    <w:multiLevelType w:val="hybridMultilevel"/>
    <w:tmpl w:val="D75221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F5758B"/>
    <w:multiLevelType w:val="hybridMultilevel"/>
    <w:tmpl w:val="3738C8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0B7C50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BF55BB"/>
    <w:multiLevelType w:val="hybridMultilevel"/>
    <w:tmpl w:val="7A161032"/>
    <w:lvl w:ilvl="0" w:tplc="60CE3A2E">
      <w:start w:val="1"/>
      <w:numFmt w:val="bullet"/>
      <w:lvlText w:val="─"/>
      <w:lvlJc w:val="left"/>
      <w:pPr>
        <w:ind w:left="720" w:hanging="360"/>
      </w:pPr>
      <w:rPr>
        <w:rFonts w:ascii="Calibri" w:hAnsi="Calibri"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0A13BB"/>
    <w:multiLevelType w:val="multilevel"/>
    <w:tmpl w:val="36604CB2"/>
    <w:lvl w:ilvl="0">
      <w:start w:val="5"/>
      <w:numFmt w:val="decimal"/>
      <w:lvlText w:val="%1"/>
      <w:lvlJc w:val="left"/>
      <w:pPr>
        <w:ind w:left="405" w:hanging="40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2D06404"/>
    <w:multiLevelType w:val="hybridMultilevel"/>
    <w:tmpl w:val="01B27CBA"/>
    <w:lvl w:ilvl="0" w:tplc="6A80499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4E2301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9AF65E7"/>
    <w:multiLevelType w:val="hybridMultilevel"/>
    <w:tmpl w:val="4C2830A4"/>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0">
    <w:nsid w:val="2B1578E4"/>
    <w:multiLevelType w:val="multilevel"/>
    <w:tmpl w:val="2962F2C8"/>
    <w:lvl w:ilvl="0">
      <w:start w:val="1"/>
      <w:numFmt w:val="decimal"/>
      <w:lvlText w:val="%1."/>
      <w:lvlJc w:val="left"/>
      <w:pPr>
        <w:ind w:left="1353" w:hanging="360"/>
      </w:pPr>
      <w:rPr>
        <w:rFonts w:cs="Times New Roman" w:hint="default"/>
      </w:rPr>
    </w:lvl>
    <w:lvl w:ilvl="1">
      <w:start w:val="1"/>
      <w:numFmt w:val="decimal"/>
      <w:isLgl/>
      <w:lvlText w:val="%1.%2"/>
      <w:lvlJc w:val="left"/>
      <w:pPr>
        <w:ind w:left="1353" w:hanging="360"/>
      </w:pPr>
      <w:rPr>
        <w:rFonts w:cs="Times New Roman" w:hint="default"/>
        <w:b/>
      </w:rPr>
    </w:lvl>
    <w:lvl w:ilvl="2">
      <w:start w:val="1"/>
      <w:numFmt w:val="decimal"/>
      <w:isLgl/>
      <w:lvlText w:val="%1.%2.%3"/>
      <w:lvlJc w:val="left"/>
      <w:pPr>
        <w:ind w:left="1713" w:hanging="720"/>
      </w:pPr>
      <w:rPr>
        <w:rFonts w:cs="Times New Roman" w:hint="default"/>
        <w:b/>
      </w:rPr>
    </w:lvl>
    <w:lvl w:ilvl="3">
      <w:start w:val="1"/>
      <w:numFmt w:val="decimal"/>
      <w:isLgl/>
      <w:lvlText w:val="%1.%2.%3.%4"/>
      <w:lvlJc w:val="left"/>
      <w:pPr>
        <w:ind w:left="2422" w:hanging="720"/>
      </w:pPr>
      <w:rPr>
        <w:rFonts w:cs="Times New Roman" w:hint="default"/>
        <w:b/>
      </w:rPr>
    </w:lvl>
    <w:lvl w:ilvl="4">
      <w:start w:val="1"/>
      <w:numFmt w:val="decimal"/>
      <w:isLgl/>
      <w:lvlText w:val="%1.%2.%3.%4.%5"/>
      <w:lvlJc w:val="left"/>
      <w:pPr>
        <w:ind w:left="2073" w:hanging="1080"/>
      </w:pPr>
      <w:rPr>
        <w:rFonts w:cs="Times New Roman" w:hint="default"/>
        <w:b/>
      </w:rPr>
    </w:lvl>
    <w:lvl w:ilvl="5">
      <w:start w:val="1"/>
      <w:numFmt w:val="decimal"/>
      <w:isLgl/>
      <w:lvlText w:val="%1.%2.%3.%4.%5.%6"/>
      <w:lvlJc w:val="left"/>
      <w:pPr>
        <w:ind w:left="2073" w:hanging="1080"/>
      </w:pPr>
      <w:rPr>
        <w:rFonts w:cs="Times New Roman" w:hint="default"/>
        <w:b/>
      </w:rPr>
    </w:lvl>
    <w:lvl w:ilvl="6">
      <w:start w:val="1"/>
      <w:numFmt w:val="decimal"/>
      <w:isLgl/>
      <w:lvlText w:val="%1.%2.%3.%4.%5.%6.%7"/>
      <w:lvlJc w:val="left"/>
      <w:pPr>
        <w:ind w:left="2433" w:hanging="1440"/>
      </w:pPr>
      <w:rPr>
        <w:rFonts w:cs="Times New Roman" w:hint="default"/>
        <w:b/>
      </w:rPr>
    </w:lvl>
    <w:lvl w:ilvl="7">
      <w:start w:val="1"/>
      <w:numFmt w:val="decimal"/>
      <w:isLgl/>
      <w:lvlText w:val="%1.%2.%3.%4.%5.%6.%7.%8"/>
      <w:lvlJc w:val="left"/>
      <w:pPr>
        <w:ind w:left="2433" w:hanging="1440"/>
      </w:pPr>
      <w:rPr>
        <w:rFonts w:cs="Times New Roman" w:hint="default"/>
        <w:b/>
      </w:rPr>
    </w:lvl>
    <w:lvl w:ilvl="8">
      <w:start w:val="1"/>
      <w:numFmt w:val="decimal"/>
      <w:isLgl/>
      <w:lvlText w:val="%1.%2.%3.%4.%5.%6.%7.%8.%9"/>
      <w:lvlJc w:val="left"/>
      <w:pPr>
        <w:ind w:left="2793" w:hanging="1800"/>
      </w:pPr>
      <w:rPr>
        <w:rFonts w:cs="Times New Roman" w:hint="default"/>
        <w:b/>
      </w:rPr>
    </w:lvl>
  </w:abstractNum>
  <w:abstractNum w:abstractNumId="11">
    <w:nsid w:val="2DD2119C"/>
    <w:multiLevelType w:val="hybridMultilevel"/>
    <w:tmpl w:val="A8A8A8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760F61"/>
    <w:multiLevelType w:val="hybridMultilevel"/>
    <w:tmpl w:val="53E046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7BB4FFB"/>
    <w:multiLevelType w:val="multilevel"/>
    <w:tmpl w:val="41863308"/>
    <w:lvl w:ilvl="0">
      <w:start w:val="1"/>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3BA024A4"/>
    <w:multiLevelType w:val="multilevel"/>
    <w:tmpl w:val="A44A30F8"/>
    <w:numStyleLink w:val="Styl3"/>
  </w:abstractNum>
  <w:abstractNum w:abstractNumId="15">
    <w:nsid w:val="3C041D58"/>
    <w:multiLevelType w:val="multilevel"/>
    <w:tmpl w:val="A44A30F8"/>
    <w:numStyleLink w:val="Styl3"/>
  </w:abstractNum>
  <w:abstractNum w:abstractNumId="16">
    <w:nsid w:val="41BE688A"/>
    <w:multiLevelType w:val="hybridMultilevel"/>
    <w:tmpl w:val="1B749996"/>
    <w:lvl w:ilvl="0" w:tplc="13004CD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4246995"/>
    <w:multiLevelType w:val="hybridMultilevel"/>
    <w:tmpl w:val="6A7A4B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4D01586F"/>
    <w:multiLevelType w:val="hybridMultilevel"/>
    <w:tmpl w:val="D804A7E4"/>
    <w:lvl w:ilvl="0" w:tplc="04050003">
      <w:start w:val="1"/>
      <w:numFmt w:val="bullet"/>
      <w:lvlText w:val="o"/>
      <w:lvlJc w:val="left"/>
      <w:pPr>
        <w:ind w:left="790" w:hanging="360"/>
      </w:pPr>
      <w:rPr>
        <w:rFonts w:ascii="Courier New" w:hAnsi="Courier New" w:cs="Courier New"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hint="default"/>
      </w:rPr>
    </w:lvl>
    <w:lvl w:ilvl="3" w:tplc="04050001" w:tentative="1">
      <w:start w:val="1"/>
      <w:numFmt w:val="bullet"/>
      <w:lvlText w:val=""/>
      <w:lvlJc w:val="left"/>
      <w:pPr>
        <w:ind w:left="2950" w:hanging="360"/>
      </w:pPr>
      <w:rPr>
        <w:rFonts w:ascii="Symbol" w:hAnsi="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hint="default"/>
      </w:rPr>
    </w:lvl>
    <w:lvl w:ilvl="6" w:tplc="04050001" w:tentative="1">
      <w:start w:val="1"/>
      <w:numFmt w:val="bullet"/>
      <w:lvlText w:val=""/>
      <w:lvlJc w:val="left"/>
      <w:pPr>
        <w:ind w:left="5110" w:hanging="360"/>
      </w:pPr>
      <w:rPr>
        <w:rFonts w:ascii="Symbol" w:hAnsi="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hint="default"/>
      </w:rPr>
    </w:lvl>
  </w:abstractNum>
  <w:abstractNum w:abstractNumId="19">
    <w:nsid w:val="5BB577D7"/>
    <w:multiLevelType w:val="multilevel"/>
    <w:tmpl w:val="41863308"/>
    <w:lvl w:ilvl="0">
      <w:start w:val="1"/>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5D247D68"/>
    <w:multiLevelType w:val="hybridMultilevel"/>
    <w:tmpl w:val="C4C69104"/>
    <w:lvl w:ilvl="0" w:tplc="BA942F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FD002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08A54FF"/>
    <w:multiLevelType w:val="hybridMultilevel"/>
    <w:tmpl w:val="19FAE686"/>
    <w:lvl w:ilvl="0" w:tplc="2214B00A">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61067D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3341740"/>
    <w:multiLevelType w:val="multilevel"/>
    <w:tmpl w:val="1A28EA0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7.1"/>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68763209"/>
    <w:multiLevelType w:val="multilevel"/>
    <w:tmpl w:val="A6D83FCC"/>
    <w:lvl w:ilvl="0">
      <w:start w:val="5"/>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6B2F3895"/>
    <w:multiLevelType w:val="multilevel"/>
    <w:tmpl w:val="DD7EDDA2"/>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F4209E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F5137CA"/>
    <w:multiLevelType w:val="multilevel"/>
    <w:tmpl w:val="A44A30F8"/>
    <w:numStyleLink w:val="Styl3"/>
  </w:abstractNum>
  <w:abstractNum w:abstractNumId="30">
    <w:nsid w:val="72FAEF94"/>
    <w:multiLevelType w:val="hybridMultilevel"/>
    <w:tmpl w:val="78BC91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6FE502E"/>
    <w:multiLevelType w:val="hybridMultilevel"/>
    <w:tmpl w:val="812292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0F07AC"/>
    <w:multiLevelType w:val="hybridMultilevel"/>
    <w:tmpl w:val="FDB23C74"/>
    <w:lvl w:ilvl="0" w:tplc="04050001">
      <w:start w:val="1"/>
      <w:numFmt w:val="bullet"/>
      <w:lvlText w:val=""/>
      <w:lvlJc w:val="left"/>
      <w:pPr>
        <w:tabs>
          <w:tab w:val="num" w:pos="832"/>
        </w:tabs>
        <w:ind w:left="832" w:hanging="360"/>
      </w:pPr>
      <w:rPr>
        <w:rFonts w:ascii="Symbol" w:hAnsi="Symbol" w:hint="default"/>
      </w:rPr>
    </w:lvl>
    <w:lvl w:ilvl="1" w:tplc="04050003" w:tentative="1">
      <w:start w:val="1"/>
      <w:numFmt w:val="bullet"/>
      <w:lvlText w:val="o"/>
      <w:lvlJc w:val="left"/>
      <w:pPr>
        <w:tabs>
          <w:tab w:val="num" w:pos="1552"/>
        </w:tabs>
        <w:ind w:left="1552" w:hanging="360"/>
      </w:pPr>
      <w:rPr>
        <w:rFonts w:ascii="Courier New" w:hAnsi="Courier New" w:hint="default"/>
      </w:rPr>
    </w:lvl>
    <w:lvl w:ilvl="2" w:tplc="04050005" w:tentative="1">
      <w:start w:val="1"/>
      <w:numFmt w:val="bullet"/>
      <w:lvlText w:val=""/>
      <w:lvlJc w:val="left"/>
      <w:pPr>
        <w:tabs>
          <w:tab w:val="num" w:pos="2272"/>
        </w:tabs>
        <w:ind w:left="2272" w:hanging="360"/>
      </w:pPr>
      <w:rPr>
        <w:rFonts w:ascii="Wingdings" w:hAnsi="Wingdings" w:hint="default"/>
      </w:rPr>
    </w:lvl>
    <w:lvl w:ilvl="3" w:tplc="04050001" w:tentative="1">
      <w:start w:val="1"/>
      <w:numFmt w:val="bullet"/>
      <w:lvlText w:val=""/>
      <w:lvlJc w:val="left"/>
      <w:pPr>
        <w:tabs>
          <w:tab w:val="num" w:pos="2992"/>
        </w:tabs>
        <w:ind w:left="2992" w:hanging="360"/>
      </w:pPr>
      <w:rPr>
        <w:rFonts w:ascii="Symbol" w:hAnsi="Symbol" w:hint="default"/>
      </w:rPr>
    </w:lvl>
    <w:lvl w:ilvl="4" w:tplc="04050003" w:tentative="1">
      <w:start w:val="1"/>
      <w:numFmt w:val="bullet"/>
      <w:lvlText w:val="o"/>
      <w:lvlJc w:val="left"/>
      <w:pPr>
        <w:tabs>
          <w:tab w:val="num" w:pos="3712"/>
        </w:tabs>
        <w:ind w:left="3712" w:hanging="360"/>
      </w:pPr>
      <w:rPr>
        <w:rFonts w:ascii="Courier New" w:hAnsi="Courier New" w:hint="default"/>
      </w:rPr>
    </w:lvl>
    <w:lvl w:ilvl="5" w:tplc="04050005" w:tentative="1">
      <w:start w:val="1"/>
      <w:numFmt w:val="bullet"/>
      <w:lvlText w:val=""/>
      <w:lvlJc w:val="left"/>
      <w:pPr>
        <w:tabs>
          <w:tab w:val="num" w:pos="4432"/>
        </w:tabs>
        <w:ind w:left="4432" w:hanging="360"/>
      </w:pPr>
      <w:rPr>
        <w:rFonts w:ascii="Wingdings" w:hAnsi="Wingdings" w:hint="default"/>
      </w:rPr>
    </w:lvl>
    <w:lvl w:ilvl="6" w:tplc="04050001" w:tentative="1">
      <w:start w:val="1"/>
      <w:numFmt w:val="bullet"/>
      <w:lvlText w:val=""/>
      <w:lvlJc w:val="left"/>
      <w:pPr>
        <w:tabs>
          <w:tab w:val="num" w:pos="5152"/>
        </w:tabs>
        <w:ind w:left="5152" w:hanging="360"/>
      </w:pPr>
      <w:rPr>
        <w:rFonts w:ascii="Symbol" w:hAnsi="Symbol" w:hint="default"/>
      </w:rPr>
    </w:lvl>
    <w:lvl w:ilvl="7" w:tplc="04050003" w:tentative="1">
      <w:start w:val="1"/>
      <w:numFmt w:val="bullet"/>
      <w:lvlText w:val="o"/>
      <w:lvlJc w:val="left"/>
      <w:pPr>
        <w:tabs>
          <w:tab w:val="num" w:pos="5872"/>
        </w:tabs>
        <w:ind w:left="5872" w:hanging="360"/>
      </w:pPr>
      <w:rPr>
        <w:rFonts w:ascii="Courier New" w:hAnsi="Courier New" w:hint="default"/>
      </w:rPr>
    </w:lvl>
    <w:lvl w:ilvl="8" w:tplc="04050005" w:tentative="1">
      <w:start w:val="1"/>
      <w:numFmt w:val="bullet"/>
      <w:lvlText w:val=""/>
      <w:lvlJc w:val="left"/>
      <w:pPr>
        <w:tabs>
          <w:tab w:val="num" w:pos="6592"/>
        </w:tabs>
        <w:ind w:left="6592" w:hanging="360"/>
      </w:pPr>
      <w:rPr>
        <w:rFonts w:ascii="Wingdings" w:hAnsi="Wingdings" w:hint="default"/>
      </w:rPr>
    </w:lvl>
  </w:abstractNum>
  <w:abstractNum w:abstractNumId="33">
    <w:nsid w:val="7E217F0B"/>
    <w:multiLevelType w:val="hybridMultilevel"/>
    <w:tmpl w:val="285C999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7"/>
  </w:num>
  <w:num w:numId="3">
    <w:abstractNumId w:val="23"/>
  </w:num>
  <w:num w:numId="4">
    <w:abstractNumId w:val="5"/>
  </w:num>
  <w:num w:numId="5">
    <w:abstractNumId w:val="17"/>
  </w:num>
  <w:num w:numId="6">
    <w:abstractNumId w:val="1"/>
  </w:num>
  <w:num w:numId="7">
    <w:abstractNumId w:val="2"/>
  </w:num>
  <w:num w:numId="8">
    <w:abstractNumId w:val="6"/>
  </w:num>
  <w:num w:numId="9">
    <w:abstractNumId w:val="14"/>
  </w:num>
  <w:num w:numId="10">
    <w:abstractNumId w:val="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3"/>
  </w:num>
  <w:num w:numId="15">
    <w:abstractNumId w:val="19"/>
  </w:num>
  <w:num w:numId="16">
    <w:abstractNumId w:val="31"/>
  </w:num>
  <w:num w:numId="17">
    <w:abstractNumId w:val="12"/>
  </w:num>
  <w:num w:numId="18">
    <w:abstractNumId w:val="25"/>
  </w:num>
  <w:num w:numId="19">
    <w:abstractNumId w:val="22"/>
  </w:num>
  <w:num w:numId="20">
    <w:abstractNumId w:val="8"/>
  </w:num>
  <w:num w:numId="21">
    <w:abstractNumId w:val="20"/>
  </w:num>
  <w:num w:numId="22">
    <w:abstractNumId w:val="29"/>
  </w:num>
  <w:num w:numId="23">
    <w:abstractNumId w:val="15"/>
  </w:num>
  <w:num w:numId="24">
    <w:abstractNumId w:val="30"/>
  </w:num>
  <w:num w:numId="25">
    <w:abstractNumId w:val="32"/>
  </w:num>
  <w:num w:numId="26">
    <w:abstractNumId w:val="9"/>
  </w:num>
  <w:num w:numId="27">
    <w:abstractNumId w:val="16"/>
  </w:num>
  <w:num w:numId="28">
    <w:abstractNumId w:val="26"/>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1"/>
  </w:num>
  <w:num w:numId="32">
    <w:abstractNumId w:val="21"/>
  </w:num>
  <w:num w:numId="33">
    <w:abstractNumId w:val="18"/>
  </w:num>
  <w:num w:numId="34">
    <w:abstractNumId w:val="24"/>
  </w:num>
  <w:num w:numId="35">
    <w:abstractNumId w:val="3"/>
  </w:num>
  <w:num w:numId="36">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59D"/>
    <w:rsid w:val="00000759"/>
    <w:rsid w:val="00001F92"/>
    <w:rsid w:val="000030AC"/>
    <w:rsid w:val="00015944"/>
    <w:rsid w:val="000351D7"/>
    <w:rsid w:val="000554E8"/>
    <w:rsid w:val="00063305"/>
    <w:rsid w:val="0007270B"/>
    <w:rsid w:val="000823DF"/>
    <w:rsid w:val="000A3883"/>
    <w:rsid w:val="000A668A"/>
    <w:rsid w:val="000B4674"/>
    <w:rsid w:val="000B4B69"/>
    <w:rsid w:val="000C3000"/>
    <w:rsid w:val="000D0A00"/>
    <w:rsid w:val="000E3EE0"/>
    <w:rsid w:val="000F2A7E"/>
    <w:rsid w:val="000F56E4"/>
    <w:rsid w:val="00101151"/>
    <w:rsid w:val="001273EC"/>
    <w:rsid w:val="00127D7D"/>
    <w:rsid w:val="00147F17"/>
    <w:rsid w:val="00154726"/>
    <w:rsid w:val="00173392"/>
    <w:rsid w:val="00177A6B"/>
    <w:rsid w:val="001850B4"/>
    <w:rsid w:val="00186067"/>
    <w:rsid w:val="001A4423"/>
    <w:rsid w:val="001B168A"/>
    <w:rsid w:val="001B5691"/>
    <w:rsid w:val="001B7EE7"/>
    <w:rsid w:val="001D1BE6"/>
    <w:rsid w:val="001D639C"/>
    <w:rsid w:val="001D7B3F"/>
    <w:rsid w:val="001E51F0"/>
    <w:rsid w:val="001F024D"/>
    <w:rsid w:val="001F13CD"/>
    <w:rsid w:val="001F60C4"/>
    <w:rsid w:val="001F6320"/>
    <w:rsid w:val="00202CD6"/>
    <w:rsid w:val="002038E2"/>
    <w:rsid w:val="00204EA2"/>
    <w:rsid w:val="00214C22"/>
    <w:rsid w:val="00220BFC"/>
    <w:rsid w:val="00237C9D"/>
    <w:rsid w:val="00237D25"/>
    <w:rsid w:val="00245B40"/>
    <w:rsid w:val="00253865"/>
    <w:rsid w:val="0025586A"/>
    <w:rsid w:val="00261485"/>
    <w:rsid w:val="00263E64"/>
    <w:rsid w:val="00265BA4"/>
    <w:rsid w:val="0027387B"/>
    <w:rsid w:val="00285A25"/>
    <w:rsid w:val="00290272"/>
    <w:rsid w:val="00292E58"/>
    <w:rsid w:val="002A142B"/>
    <w:rsid w:val="002A4136"/>
    <w:rsid w:val="002A6F43"/>
    <w:rsid w:val="002B0025"/>
    <w:rsid w:val="002B0341"/>
    <w:rsid w:val="002B5C91"/>
    <w:rsid w:val="002C03BE"/>
    <w:rsid w:val="002D3448"/>
    <w:rsid w:val="002D6520"/>
    <w:rsid w:val="002E2A49"/>
    <w:rsid w:val="002F0DE8"/>
    <w:rsid w:val="002F35D0"/>
    <w:rsid w:val="0030091F"/>
    <w:rsid w:val="003018C4"/>
    <w:rsid w:val="00303D32"/>
    <w:rsid w:val="00305512"/>
    <w:rsid w:val="00315A92"/>
    <w:rsid w:val="0031619E"/>
    <w:rsid w:val="00316B44"/>
    <w:rsid w:val="00321969"/>
    <w:rsid w:val="00332290"/>
    <w:rsid w:val="00335000"/>
    <w:rsid w:val="0034189D"/>
    <w:rsid w:val="0034221B"/>
    <w:rsid w:val="00350A80"/>
    <w:rsid w:val="00352EF1"/>
    <w:rsid w:val="0035428D"/>
    <w:rsid w:val="0035545F"/>
    <w:rsid w:val="0035637D"/>
    <w:rsid w:val="0036357B"/>
    <w:rsid w:val="003802F8"/>
    <w:rsid w:val="003A6319"/>
    <w:rsid w:val="003B36F8"/>
    <w:rsid w:val="003C7BA7"/>
    <w:rsid w:val="003E57F2"/>
    <w:rsid w:val="003F0329"/>
    <w:rsid w:val="003F19AD"/>
    <w:rsid w:val="003F6B2A"/>
    <w:rsid w:val="00400FED"/>
    <w:rsid w:val="00403923"/>
    <w:rsid w:val="004138EA"/>
    <w:rsid w:val="00417A51"/>
    <w:rsid w:val="00432EDB"/>
    <w:rsid w:val="0043520D"/>
    <w:rsid w:val="0043543D"/>
    <w:rsid w:val="00443D43"/>
    <w:rsid w:val="00446CEB"/>
    <w:rsid w:val="00453101"/>
    <w:rsid w:val="004562E4"/>
    <w:rsid w:val="00466AD1"/>
    <w:rsid w:val="004760BC"/>
    <w:rsid w:val="00483F3D"/>
    <w:rsid w:val="004873C9"/>
    <w:rsid w:val="00487C81"/>
    <w:rsid w:val="004A4002"/>
    <w:rsid w:val="004A4392"/>
    <w:rsid w:val="004B0CEB"/>
    <w:rsid w:val="004B0FC2"/>
    <w:rsid w:val="004C0E36"/>
    <w:rsid w:val="004C3B8E"/>
    <w:rsid w:val="004C5CA3"/>
    <w:rsid w:val="004D1C01"/>
    <w:rsid w:val="004E214F"/>
    <w:rsid w:val="004F0285"/>
    <w:rsid w:val="00500654"/>
    <w:rsid w:val="00500814"/>
    <w:rsid w:val="005027F2"/>
    <w:rsid w:val="00507103"/>
    <w:rsid w:val="00511D27"/>
    <w:rsid w:val="00517FBA"/>
    <w:rsid w:val="00531673"/>
    <w:rsid w:val="00541BC4"/>
    <w:rsid w:val="00543871"/>
    <w:rsid w:val="0054479E"/>
    <w:rsid w:val="00546B42"/>
    <w:rsid w:val="00551E0B"/>
    <w:rsid w:val="00571660"/>
    <w:rsid w:val="00574B9F"/>
    <w:rsid w:val="005862B9"/>
    <w:rsid w:val="00591A46"/>
    <w:rsid w:val="00593A39"/>
    <w:rsid w:val="00595535"/>
    <w:rsid w:val="005978C0"/>
    <w:rsid w:val="005A0B03"/>
    <w:rsid w:val="005A5CB5"/>
    <w:rsid w:val="005A6000"/>
    <w:rsid w:val="005B5F54"/>
    <w:rsid w:val="005B617F"/>
    <w:rsid w:val="005D6144"/>
    <w:rsid w:val="005E1A77"/>
    <w:rsid w:val="005E36B4"/>
    <w:rsid w:val="005E416F"/>
    <w:rsid w:val="005E52C4"/>
    <w:rsid w:val="005E6588"/>
    <w:rsid w:val="0061100F"/>
    <w:rsid w:val="00611E5F"/>
    <w:rsid w:val="006212AE"/>
    <w:rsid w:val="00622D46"/>
    <w:rsid w:val="00642DB6"/>
    <w:rsid w:val="00644F04"/>
    <w:rsid w:val="00652E15"/>
    <w:rsid w:val="00661920"/>
    <w:rsid w:val="0066317E"/>
    <w:rsid w:val="006633CB"/>
    <w:rsid w:val="00664688"/>
    <w:rsid w:val="00670AF1"/>
    <w:rsid w:val="00670E47"/>
    <w:rsid w:val="00687681"/>
    <w:rsid w:val="006B14E3"/>
    <w:rsid w:val="006E2D77"/>
    <w:rsid w:val="006E5573"/>
    <w:rsid w:val="006E6852"/>
    <w:rsid w:val="006E766E"/>
    <w:rsid w:val="007127C3"/>
    <w:rsid w:val="00713CD8"/>
    <w:rsid w:val="00740920"/>
    <w:rsid w:val="007452F6"/>
    <w:rsid w:val="00754210"/>
    <w:rsid w:val="007730CD"/>
    <w:rsid w:val="007B2ADB"/>
    <w:rsid w:val="007C18A1"/>
    <w:rsid w:val="007D0434"/>
    <w:rsid w:val="007D23AA"/>
    <w:rsid w:val="007D2BC9"/>
    <w:rsid w:val="007D35F6"/>
    <w:rsid w:val="007E2CD3"/>
    <w:rsid w:val="007F26AE"/>
    <w:rsid w:val="00802BF6"/>
    <w:rsid w:val="00806A62"/>
    <w:rsid w:val="00807A48"/>
    <w:rsid w:val="00813C6F"/>
    <w:rsid w:val="00823C39"/>
    <w:rsid w:val="00825082"/>
    <w:rsid w:val="00825345"/>
    <w:rsid w:val="00832F43"/>
    <w:rsid w:val="008506B5"/>
    <w:rsid w:val="00851BB1"/>
    <w:rsid w:val="00856EFB"/>
    <w:rsid w:val="00857726"/>
    <w:rsid w:val="008633C1"/>
    <w:rsid w:val="00881DF0"/>
    <w:rsid w:val="008A0487"/>
    <w:rsid w:val="008A4C98"/>
    <w:rsid w:val="008B1FBA"/>
    <w:rsid w:val="008B27BA"/>
    <w:rsid w:val="008C7784"/>
    <w:rsid w:val="008D130F"/>
    <w:rsid w:val="008D6360"/>
    <w:rsid w:val="008E01F0"/>
    <w:rsid w:val="008E6DE1"/>
    <w:rsid w:val="008F5F03"/>
    <w:rsid w:val="00904081"/>
    <w:rsid w:val="009261B7"/>
    <w:rsid w:val="00927C8B"/>
    <w:rsid w:val="009320FD"/>
    <w:rsid w:val="00936314"/>
    <w:rsid w:val="0093717C"/>
    <w:rsid w:val="009468B0"/>
    <w:rsid w:val="009566B3"/>
    <w:rsid w:val="0096710F"/>
    <w:rsid w:val="00977A12"/>
    <w:rsid w:val="00977B0A"/>
    <w:rsid w:val="00982C75"/>
    <w:rsid w:val="00985B22"/>
    <w:rsid w:val="00997557"/>
    <w:rsid w:val="009B1DC4"/>
    <w:rsid w:val="009B2B01"/>
    <w:rsid w:val="009B3B25"/>
    <w:rsid w:val="009C1A14"/>
    <w:rsid w:val="009C72F6"/>
    <w:rsid w:val="009D4236"/>
    <w:rsid w:val="009E2D72"/>
    <w:rsid w:val="009E2EE5"/>
    <w:rsid w:val="009E4DD8"/>
    <w:rsid w:val="009F08D6"/>
    <w:rsid w:val="009F5DFB"/>
    <w:rsid w:val="00A0489A"/>
    <w:rsid w:val="00A07A3D"/>
    <w:rsid w:val="00A143E7"/>
    <w:rsid w:val="00A14C41"/>
    <w:rsid w:val="00A227AF"/>
    <w:rsid w:val="00A240DD"/>
    <w:rsid w:val="00A31E9F"/>
    <w:rsid w:val="00A321D1"/>
    <w:rsid w:val="00A3738B"/>
    <w:rsid w:val="00A47C49"/>
    <w:rsid w:val="00A5014B"/>
    <w:rsid w:val="00A62812"/>
    <w:rsid w:val="00A648F3"/>
    <w:rsid w:val="00A65712"/>
    <w:rsid w:val="00A73839"/>
    <w:rsid w:val="00A740AE"/>
    <w:rsid w:val="00A8139F"/>
    <w:rsid w:val="00A84CAD"/>
    <w:rsid w:val="00A86F4B"/>
    <w:rsid w:val="00A877DE"/>
    <w:rsid w:val="00AA1A8B"/>
    <w:rsid w:val="00AC13F4"/>
    <w:rsid w:val="00AC306D"/>
    <w:rsid w:val="00AC3C7B"/>
    <w:rsid w:val="00AC6D84"/>
    <w:rsid w:val="00AD5814"/>
    <w:rsid w:val="00AE5701"/>
    <w:rsid w:val="00AF27DF"/>
    <w:rsid w:val="00B03B42"/>
    <w:rsid w:val="00B13EEB"/>
    <w:rsid w:val="00B21D5B"/>
    <w:rsid w:val="00B33A13"/>
    <w:rsid w:val="00B50362"/>
    <w:rsid w:val="00B529DC"/>
    <w:rsid w:val="00B538E5"/>
    <w:rsid w:val="00B57A37"/>
    <w:rsid w:val="00B71833"/>
    <w:rsid w:val="00B743D8"/>
    <w:rsid w:val="00B839F0"/>
    <w:rsid w:val="00B915F7"/>
    <w:rsid w:val="00B91A76"/>
    <w:rsid w:val="00BC7156"/>
    <w:rsid w:val="00BD25E1"/>
    <w:rsid w:val="00BD2796"/>
    <w:rsid w:val="00BF1DC1"/>
    <w:rsid w:val="00BF3C41"/>
    <w:rsid w:val="00BF4DBD"/>
    <w:rsid w:val="00BF7E08"/>
    <w:rsid w:val="00C04996"/>
    <w:rsid w:val="00C1666A"/>
    <w:rsid w:val="00C17788"/>
    <w:rsid w:val="00C24981"/>
    <w:rsid w:val="00C24FFD"/>
    <w:rsid w:val="00C2667C"/>
    <w:rsid w:val="00C27CA9"/>
    <w:rsid w:val="00C3114E"/>
    <w:rsid w:val="00C35B43"/>
    <w:rsid w:val="00C36F88"/>
    <w:rsid w:val="00C37409"/>
    <w:rsid w:val="00C400A0"/>
    <w:rsid w:val="00C4445E"/>
    <w:rsid w:val="00C53D78"/>
    <w:rsid w:val="00C56227"/>
    <w:rsid w:val="00C741F8"/>
    <w:rsid w:val="00C82565"/>
    <w:rsid w:val="00C870AA"/>
    <w:rsid w:val="00C877C6"/>
    <w:rsid w:val="00C94610"/>
    <w:rsid w:val="00C96FCC"/>
    <w:rsid w:val="00CA062F"/>
    <w:rsid w:val="00CA2003"/>
    <w:rsid w:val="00CB2567"/>
    <w:rsid w:val="00CB3DA4"/>
    <w:rsid w:val="00CB3F3A"/>
    <w:rsid w:val="00CB4B94"/>
    <w:rsid w:val="00CB7085"/>
    <w:rsid w:val="00CB7736"/>
    <w:rsid w:val="00CC0B9A"/>
    <w:rsid w:val="00CC1B7E"/>
    <w:rsid w:val="00CC5AF5"/>
    <w:rsid w:val="00CD63DD"/>
    <w:rsid w:val="00CD711E"/>
    <w:rsid w:val="00CE7AA1"/>
    <w:rsid w:val="00D02D8B"/>
    <w:rsid w:val="00D03E2D"/>
    <w:rsid w:val="00D074FE"/>
    <w:rsid w:val="00D175D4"/>
    <w:rsid w:val="00D17BB4"/>
    <w:rsid w:val="00D305FB"/>
    <w:rsid w:val="00D31827"/>
    <w:rsid w:val="00D43ECC"/>
    <w:rsid w:val="00D56947"/>
    <w:rsid w:val="00D60333"/>
    <w:rsid w:val="00D72F52"/>
    <w:rsid w:val="00D74CA6"/>
    <w:rsid w:val="00D77026"/>
    <w:rsid w:val="00D8104E"/>
    <w:rsid w:val="00D93A7F"/>
    <w:rsid w:val="00D95BFA"/>
    <w:rsid w:val="00DA2B9F"/>
    <w:rsid w:val="00DA6F06"/>
    <w:rsid w:val="00DB3FBE"/>
    <w:rsid w:val="00DB4F0D"/>
    <w:rsid w:val="00DC091E"/>
    <w:rsid w:val="00DD526A"/>
    <w:rsid w:val="00DE6133"/>
    <w:rsid w:val="00DE7AAA"/>
    <w:rsid w:val="00E01C2C"/>
    <w:rsid w:val="00E21586"/>
    <w:rsid w:val="00E21D32"/>
    <w:rsid w:val="00E2557F"/>
    <w:rsid w:val="00E434BC"/>
    <w:rsid w:val="00E63FC2"/>
    <w:rsid w:val="00E71BF5"/>
    <w:rsid w:val="00EA1B9E"/>
    <w:rsid w:val="00EA3A4D"/>
    <w:rsid w:val="00EA40F3"/>
    <w:rsid w:val="00EB6728"/>
    <w:rsid w:val="00ED1DA2"/>
    <w:rsid w:val="00ED5194"/>
    <w:rsid w:val="00EE000C"/>
    <w:rsid w:val="00EE22FB"/>
    <w:rsid w:val="00EE7720"/>
    <w:rsid w:val="00F0486A"/>
    <w:rsid w:val="00F245F3"/>
    <w:rsid w:val="00F30440"/>
    <w:rsid w:val="00F314D8"/>
    <w:rsid w:val="00F31A64"/>
    <w:rsid w:val="00F324A4"/>
    <w:rsid w:val="00F45F7F"/>
    <w:rsid w:val="00F61EB6"/>
    <w:rsid w:val="00F76EC3"/>
    <w:rsid w:val="00F83316"/>
    <w:rsid w:val="00F84F3D"/>
    <w:rsid w:val="00F8590F"/>
    <w:rsid w:val="00F93762"/>
    <w:rsid w:val="00F96999"/>
    <w:rsid w:val="00FA00AB"/>
    <w:rsid w:val="00FA2BF2"/>
    <w:rsid w:val="00FA4AF6"/>
    <w:rsid w:val="00FB2A2D"/>
    <w:rsid w:val="00FB4919"/>
    <w:rsid w:val="00FB6252"/>
    <w:rsid w:val="00FC2D32"/>
    <w:rsid w:val="00FD23A9"/>
    <w:rsid w:val="00FD6DEA"/>
    <w:rsid w:val="00FE3E40"/>
    <w:rsid w:val="00FF0F2C"/>
    <w:rsid w:val="00FF2C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7"/>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7"/>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7"/>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7"/>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7"/>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7"/>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7"/>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8"/>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21"/>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7"/>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7"/>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7"/>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7"/>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7"/>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7"/>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7"/>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8"/>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21"/>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339D6-E778-4478-9F0C-4D6A8A89E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5746</Words>
  <Characters>33906</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Nováková Marta</cp:lastModifiedBy>
  <cp:revision>2</cp:revision>
  <cp:lastPrinted>2017-03-22T08:50:00Z</cp:lastPrinted>
  <dcterms:created xsi:type="dcterms:W3CDTF">2017-03-22T14:01:00Z</dcterms:created>
  <dcterms:modified xsi:type="dcterms:W3CDTF">2017-03-22T14:01:00Z</dcterms:modified>
</cp:coreProperties>
</file>