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3527A" w14:textId="77777777" w:rsidR="009C59C3" w:rsidRPr="009C59C3" w:rsidRDefault="002903A6" w:rsidP="00DB27E0">
      <w:pPr>
        <w:pStyle w:val="Nadpis1"/>
        <w:spacing w:before="0" w:line="240" w:lineRule="auto"/>
        <w:jc w:val="both"/>
        <w:rPr>
          <w:rFonts w:eastAsia="Times New Roman"/>
          <w:b/>
        </w:rPr>
      </w:pPr>
      <w:bookmarkStart w:id="0" w:name="_GoBack"/>
      <w:bookmarkEnd w:id="0"/>
      <w:r w:rsidRPr="009C59C3">
        <w:rPr>
          <w:rFonts w:eastAsia="Times New Roman"/>
          <w:b/>
        </w:rPr>
        <w:t xml:space="preserve">Pracovní pokladový materiál </w:t>
      </w:r>
    </w:p>
    <w:p w14:paraId="74E89FC1" w14:textId="77777777" w:rsidR="009C59C3" w:rsidRDefault="009C59C3" w:rsidP="00DB27E0">
      <w:pPr>
        <w:pStyle w:val="Nadpis1"/>
        <w:spacing w:before="0" w:line="240" w:lineRule="auto"/>
        <w:jc w:val="both"/>
        <w:rPr>
          <w:rFonts w:eastAsia="Times New Roman"/>
          <w:sz w:val="28"/>
        </w:rPr>
      </w:pPr>
    </w:p>
    <w:p w14:paraId="103E8E79" w14:textId="23059C7C" w:rsidR="00396C1E" w:rsidRPr="009C59C3" w:rsidRDefault="002903A6" w:rsidP="00DB27E0">
      <w:pPr>
        <w:pStyle w:val="Nadpis1"/>
        <w:spacing w:before="0" w:line="240" w:lineRule="auto"/>
        <w:jc w:val="both"/>
        <w:rPr>
          <w:rFonts w:eastAsia="Times New Roman"/>
          <w:sz w:val="28"/>
        </w:rPr>
      </w:pPr>
      <w:r w:rsidRPr="009C59C3">
        <w:rPr>
          <w:rFonts w:eastAsia="Times New Roman"/>
          <w:sz w:val="28"/>
        </w:rPr>
        <w:t>k</w:t>
      </w:r>
      <w:r w:rsidR="009C59C3" w:rsidRPr="009C59C3">
        <w:rPr>
          <w:rFonts w:eastAsia="Times New Roman"/>
          <w:sz w:val="28"/>
        </w:rPr>
        <w:t xml:space="preserve"> investičním </w:t>
      </w:r>
      <w:r w:rsidR="00DB27E0" w:rsidRPr="009C59C3">
        <w:rPr>
          <w:rFonts w:eastAsia="Times New Roman"/>
          <w:sz w:val="28"/>
        </w:rPr>
        <w:t>projektům</w:t>
      </w:r>
      <w:r w:rsidR="007C3D2F" w:rsidRPr="009C59C3">
        <w:rPr>
          <w:rFonts w:eastAsia="Times New Roman"/>
          <w:sz w:val="28"/>
        </w:rPr>
        <w:t xml:space="preserve"> Operačního programu Výzkum a vývoj pro inovace</w:t>
      </w:r>
      <w:r w:rsidR="00DB27E0" w:rsidRPr="009C59C3">
        <w:rPr>
          <w:rFonts w:eastAsia="Times New Roman"/>
          <w:sz w:val="28"/>
        </w:rPr>
        <w:t xml:space="preserve"> </w:t>
      </w:r>
      <w:r w:rsidR="009C59C3" w:rsidRPr="009C59C3">
        <w:rPr>
          <w:rFonts w:eastAsia="Times New Roman"/>
          <w:sz w:val="28"/>
        </w:rPr>
        <w:t>(</w:t>
      </w:r>
      <w:r w:rsidR="00DB27E0" w:rsidRPr="009C59C3">
        <w:rPr>
          <w:rFonts w:eastAsia="Times New Roman"/>
          <w:sz w:val="28"/>
        </w:rPr>
        <w:t>Evropská centra excelence</w:t>
      </w:r>
      <w:r w:rsidR="00786308">
        <w:rPr>
          <w:rFonts w:eastAsia="Times New Roman"/>
          <w:sz w:val="28"/>
        </w:rPr>
        <w:t xml:space="preserve"> a</w:t>
      </w:r>
      <w:r w:rsidR="009C59C3" w:rsidRPr="009C59C3">
        <w:rPr>
          <w:rFonts w:eastAsia="Times New Roman"/>
          <w:sz w:val="28"/>
        </w:rPr>
        <w:t xml:space="preserve"> </w:t>
      </w:r>
      <w:r w:rsidR="00DB27E0" w:rsidRPr="009C59C3">
        <w:rPr>
          <w:rFonts w:eastAsia="Times New Roman"/>
          <w:sz w:val="28"/>
        </w:rPr>
        <w:t>Reg</w:t>
      </w:r>
      <w:r w:rsidR="009C59C3" w:rsidRPr="009C59C3">
        <w:rPr>
          <w:rFonts w:eastAsia="Times New Roman"/>
          <w:sz w:val="28"/>
        </w:rPr>
        <w:t>ionální centra výzkumu a vývoje</w:t>
      </w:r>
      <w:r w:rsidR="00DB27E0" w:rsidRPr="009C59C3">
        <w:rPr>
          <w:rFonts w:eastAsia="Times New Roman"/>
          <w:sz w:val="28"/>
        </w:rPr>
        <w:t xml:space="preserve">)  </w:t>
      </w:r>
    </w:p>
    <w:p w14:paraId="698682A4" w14:textId="77777777" w:rsidR="00396C1E" w:rsidRPr="00DB27E0" w:rsidRDefault="00396C1E" w:rsidP="00DB27E0">
      <w:pPr>
        <w:spacing w:after="0" w:line="240" w:lineRule="auto"/>
        <w:jc w:val="both"/>
        <w:rPr>
          <w:rFonts w:eastAsia="Times New Roman" w:cs="Times New Roman"/>
        </w:rPr>
      </w:pPr>
    </w:p>
    <w:p w14:paraId="651F45BF" w14:textId="77777777" w:rsidR="008463C5" w:rsidRPr="00DB27E0" w:rsidRDefault="008463C5" w:rsidP="00DB27E0">
      <w:pPr>
        <w:spacing w:after="0" w:line="240" w:lineRule="auto"/>
        <w:jc w:val="both"/>
        <w:rPr>
          <w:rFonts w:eastAsia="Times New Roman" w:cs="Times New Roman"/>
        </w:rPr>
      </w:pPr>
    </w:p>
    <w:p w14:paraId="3519AFD6" w14:textId="70961DF8" w:rsidR="00CC21CA" w:rsidRPr="004B0509" w:rsidRDefault="00CC21CA" w:rsidP="00DB27E0">
      <w:p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 xml:space="preserve">V rámci </w:t>
      </w:r>
      <w:r w:rsidR="007C3D2F" w:rsidRPr="007C3D2F">
        <w:rPr>
          <w:rFonts w:eastAsia="Times New Roman" w:cs="Times New Roman"/>
        </w:rPr>
        <w:t>Operační</w:t>
      </w:r>
      <w:r w:rsidR="007C3D2F">
        <w:rPr>
          <w:rFonts w:eastAsia="Times New Roman" w:cs="Times New Roman"/>
        </w:rPr>
        <w:t>ho programu</w:t>
      </w:r>
      <w:r w:rsidR="007C3D2F" w:rsidRPr="007C3D2F">
        <w:rPr>
          <w:rFonts w:eastAsia="Times New Roman" w:cs="Times New Roman"/>
        </w:rPr>
        <w:t xml:space="preserve"> Výzkum a vývoj pro inovace</w:t>
      </w:r>
      <w:r w:rsidR="007C3D2F">
        <w:rPr>
          <w:rFonts w:eastAsia="Times New Roman" w:cs="Times New Roman"/>
        </w:rPr>
        <w:t xml:space="preserve"> (</w:t>
      </w:r>
      <w:r w:rsidR="00DB27E0">
        <w:rPr>
          <w:rFonts w:eastAsia="Times New Roman" w:cs="Times New Roman"/>
        </w:rPr>
        <w:t>dále jen „</w:t>
      </w:r>
      <w:r w:rsidR="007C3D2F">
        <w:rPr>
          <w:rFonts w:eastAsia="Times New Roman" w:cs="Times New Roman"/>
        </w:rPr>
        <w:t>OP VaVpI</w:t>
      </w:r>
      <w:r w:rsidR="00DB27E0">
        <w:rPr>
          <w:rFonts w:eastAsia="Times New Roman" w:cs="Times New Roman"/>
        </w:rPr>
        <w:t>“</w:t>
      </w:r>
      <w:r w:rsidR="007C3D2F">
        <w:rPr>
          <w:rFonts w:eastAsia="Times New Roman" w:cs="Times New Roman"/>
        </w:rPr>
        <w:t>) byly</w:t>
      </w:r>
      <w:r w:rsidRPr="004B0509">
        <w:rPr>
          <w:rFonts w:eastAsia="Times New Roman" w:cs="Times New Roman"/>
        </w:rPr>
        <w:t xml:space="preserve"> v ČR za využití prostředků </w:t>
      </w:r>
      <w:r w:rsidR="00DB27E0">
        <w:rPr>
          <w:rFonts w:eastAsia="Times New Roman" w:cs="Times New Roman"/>
        </w:rPr>
        <w:t>Evropského fondu regionálního rozvoje (dále jen „</w:t>
      </w:r>
      <w:r w:rsidRPr="004B0509">
        <w:rPr>
          <w:rFonts w:eastAsia="Times New Roman" w:cs="Times New Roman"/>
        </w:rPr>
        <w:t>ERDF</w:t>
      </w:r>
      <w:r w:rsidR="00DB27E0">
        <w:rPr>
          <w:rFonts w:eastAsia="Times New Roman" w:cs="Times New Roman"/>
        </w:rPr>
        <w:t>“)</w:t>
      </w:r>
      <w:r w:rsidRPr="004B0509">
        <w:rPr>
          <w:rFonts w:eastAsia="Times New Roman" w:cs="Times New Roman"/>
        </w:rPr>
        <w:t xml:space="preserve"> v letech 2007</w:t>
      </w:r>
      <w:r w:rsidR="00DB27E0">
        <w:rPr>
          <w:rFonts w:eastAsia="Times New Roman" w:cs="Times New Roman"/>
        </w:rPr>
        <w:t xml:space="preserve"> až</w:t>
      </w:r>
      <w:r w:rsidRPr="004B0509">
        <w:rPr>
          <w:rFonts w:eastAsia="Times New Roman" w:cs="Times New Roman"/>
        </w:rPr>
        <w:t xml:space="preserve"> 2015 významně modernizovány kapacity výzkumných organizací. V prioritních </w:t>
      </w:r>
      <w:r w:rsidR="007C3D2F" w:rsidRPr="004B0509">
        <w:rPr>
          <w:rFonts w:eastAsia="Times New Roman" w:cs="Times New Roman"/>
        </w:rPr>
        <w:t xml:space="preserve">osách </w:t>
      </w:r>
      <w:r w:rsidR="007C3D2F">
        <w:rPr>
          <w:rFonts w:eastAsia="Times New Roman" w:cs="Times New Roman"/>
        </w:rPr>
        <w:t xml:space="preserve">1 </w:t>
      </w:r>
      <w:r w:rsidR="007C3D2F" w:rsidRPr="004B0509">
        <w:rPr>
          <w:rFonts w:eastAsia="Times New Roman" w:cs="Times New Roman"/>
        </w:rPr>
        <w:t>a 2 OP</w:t>
      </w:r>
      <w:r w:rsidRPr="004B0509">
        <w:rPr>
          <w:rFonts w:eastAsia="Times New Roman" w:cs="Times New Roman"/>
        </w:rPr>
        <w:t xml:space="preserve"> VaVpI </w:t>
      </w:r>
      <w:r w:rsidR="007C3D2F">
        <w:rPr>
          <w:rFonts w:eastAsia="Times New Roman" w:cs="Times New Roman"/>
        </w:rPr>
        <w:t>bylo</w:t>
      </w:r>
      <w:r w:rsidRPr="004B0509">
        <w:rPr>
          <w:rFonts w:eastAsia="Times New Roman" w:cs="Times New Roman"/>
        </w:rPr>
        <w:t xml:space="preserve"> financováno celkem 48 projektů modernizace či vybudování nových kapacit výzkumných organizací pro provádění </w:t>
      </w:r>
      <w:r w:rsidR="00DB27E0">
        <w:rPr>
          <w:rFonts w:eastAsia="Times New Roman" w:cs="Times New Roman"/>
        </w:rPr>
        <w:t>výzkumu, vývoje a inovací (dále jen „</w:t>
      </w:r>
      <w:r w:rsidRPr="004B0509">
        <w:rPr>
          <w:rFonts w:eastAsia="Times New Roman" w:cs="Times New Roman"/>
        </w:rPr>
        <w:t>VaVaI</w:t>
      </w:r>
      <w:r w:rsidR="00DB27E0">
        <w:rPr>
          <w:rFonts w:eastAsia="Times New Roman" w:cs="Times New Roman"/>
        </w:rPr>
        <w:t>“)</w:t>
      </w:r>
      <w:r w:rsidRPr="004B0509">
        <w:rPr>
          <w:rFonts w:eastAsia="Times New Roman" w:cs="Times New Roman"/>
        </w:rPr>
        <w:t>:</w:t>
      </w:r>
    </w:p>
    <w:p w14:paraId="357B6F4C" w14:textId="77777777" w:rsidR="00CC21CA" w:rsidRPr="004B0509" w:rsidRDefault="00CC21CA" w:rsidP="00DB27E0">
      <w:pPr>
        <w:spacing w:after="0" w:line="240" w:lineRule="auto"/>
        <w:jc w:val="both"/>
        <w:rPr>
          <w:rFonts w:eastAsia="Times New Roman" w:cs="Times New Roman"/>
        </w:rPr>
      </w:pPr>
    </w:p>
    <w:p w14:paraId="5B69862F" w14:textId="0BC2E5D4" w:rsidR="00CC21CA" w:rsidRPr="000D7E77" w:rsidRDefault="00CC21CA" w:rsidP="00DB27E0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</w:rPr>
      </w:pPr>
      <w:r w:rsidRPr="007C3D2F">
        <w:rPr>
          <w:rFonts w:eastAsia="Times New Roman" w:cs="Times New Roman"/>
          <w:b/>
        </w:rPr>
        <w:t>6 velkých projektů OP VaVpI</w:t>
      </w:r>
      <w:r w:rsidRPr="007C3D2F">
        <w:rPr>
          <w:rFonts w:eastAsia="Times New Roman" w:cs="Times New Roman"/>
        </w:rPr>
        <w:t xml:space="preserve"> s investičními náklady </w:t>
      </w:r>
      <w:r w:rsidR="00DB27E0">
        <w:rPr>
          <w:rFonts w:eastAsia="Times New Roman" w:cs="Times New Roman"/>
        </w:rPr>
        <w:t xml:space="preserve">vždy </w:t>
      </w:r>
      <w:r w:rsidRPr="007C3D2F">
        <w:rPr>
          <w:rFonts w:eastAsia="Times New Roman" w:cs="Times New Roman"/>
        </w:rPr>
        <w:t xml:space="preserve">nad 50 mil. EUR jednotlivě schválených </w:t>
      </w:r>
      <w:r w:rsidRPr="000D7E77">
        <w:rPr>
          <w:rFonts w:eastAsia="Times New Roman" w:cs="Times New Roman"/>
        </w:rPr>
        <w:t>Evropskou komisí (BIOCEV, CEITEC, ELI, ICRC, IT4I</w:t>
      </w:r>
      <w:r w:rsidR="00DB27E0" w:rsidRPr="000D7E77">
        <w:rPr>
          <w:rFonts w:eastAsia="Times New Roman" w:cs="Times New Roman"/>
        </w:rPr>
        <w:t xml:space="preserve"> a</w:t>
      </w:r>
      <w:r w:rsidRPr="000D7E77">
        <w:rPr>
          <w:rFonts w:eastAsia="Times New Roman" w:cs="Times New Roman"/>
        </w:rPr>
        <w:t xml:space="preserve"> SUSEN)</w:t>
      </w:r>
      <w:r w:rsidR="00DB27E0" w:rsidRPr="000D7E77">
        <w:rPr>
          <w:rFonts w:eastAsia="Times New Roman" w:cs="Times New Roman"/>
        </w:rPr>
        <w:t>;</w:t>
      </w:r>
      <w:r w:rsidR="007C3D2F" w:rsidRPr="000D7E77">
        <w:rPr>
          <w:rFonts w:eastAsia="Times New Roman" w:cs="Times New Roman"/>
        </w:rPr>
        <w:t xml:space="preserve"> celkové investiční náklady </w:t>
      </w:r>
      <w:r w:rsidR="00DB27E0" w:rsidRPr="000D7E77">
        <w:rPr>
          <w:rFonts w:eastAsia="Times New Roman" w:cs="Times New Roman"/>
        </w:rPr>
        <w:t xml:space="preserve">dosáhly výše </w:t>
      </w:r>
      <w:r w:rsidR="00C40339" w:rsidRPr="000D7E77">
        <w:rPr>
          <w:rFonts w:eastAsia="Times New Roman"/>
        </w:rPr>
        <w:t xml:space="preserve">15 002 153 </w:t>
      </w:r>
      <w:r w:rsidR="007C3D2F" w:rsidRPr="000D7E77">
        <w:rPr>
          <w:rFonts w:eastAsia="Times New Roman" w:cs="Times New Roman"/>
        </w:rPr>
        <w:t xml:space="preserve">tis. Kč (z toho tvořil podíl EU 85 %, tj. </w:t>
      </w:r>
      <w:r w:rsidR="00C40339" w:rsidRPr="000D7E77">
        <w:rPr>
          <w:rFonts w:eastAsia="Times New Roman"/>
        </w:rPr>
        <w:t xml:space="preserve">12 751 830 </w:t>
      </w:r>
      <w:r w:rsidR="007C3D2F" w:rsidRPr="000D7E77">
        <w:rPr>
          <w:rFonts w:eastAsia="Times New Roman" w:cs="Times New Roman"/>
        </w:rPr>
        <w:t>tis. Kč)</w:t>
      </w:r>
      <w:r w:rsidRPr="000D7E77">
        <w:rPr>
          <w:rFonts w:eastAsia="Times New Roman" w:cs="Times New Roman"/>
        </w:rPr>
        <w:t>;</w:t>
      </w:r>
    </w:p>
    <w:p w14:paraId="4A0899D2" w14:textId="77777777" w:rsidR="00DB27E0" w:rsidRPr="000D7E77" w:rsidRDefault="00DB27E0" w:rsidP="00DB27E0">
      <w:pPr>
        <w:pStyle w:val="Odstavecseseznamem"/>
        <w:spacing w:after="0" w:line="240" w:lineRule="auto"/>
        <w:ind w:left="360"/>
        <w:jc w:val="both"/>
        <w:rPr>
          <w:rFonts w:eastAsia="Times New Roman" w:cs="Times New Roman"/>
        </w:rPr>
      </w:pPr>
    </w:p>
    <w:p w14:paraId="0C7A3326" w14:textId="053FE34F" w:rsidR="00CC21CA" w:rsidRPr="000D7E77" w:rsidRDefault="00CC21CA" w:rsidP="00DB27E0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</w:rPr>
      </w:pPr>
      <w:r w:rsidRPr="000D7E77">
        <w:rPr>
          <w:rFonts w:eastAsia="Times New Roman" w:cs="Times New Roman"/>
          <w:b/>
        </w:rPr>
        <w:t>42 běžných projektů OP VaVpI</w:t>
      </w:r>
      <w:r w:rsidRPr="000D7E77">
        <w:rPr>
          <w:rFonts w:eastAsia="Times New Roman" w:cs="Times New Roman"/>
        </w:rPr>
        <w:t xml:space="preserve"> s investičními náklady </w:t>
      </w:r>
      <w:r w:rsidR="00DB27E0" w:rsidRPr="000D7E77">
        <w:rPr>
          <w:rFonts w:eastAsia="Times New Roman" w:cs="Times New Roman"/>
        </w:rPr>
        <w:t xml:space="preserve">body do 50 mil. EUR; </w:t>
      </w:r>
      <w:r w:rsidR="007C3D2F" w:rsidRPr="000D7E77">
        <w:rPr>
          <w:rFonts w:eastAsia="Times New Roman" w:cs="Times New Roman"/>
        </w:rPr>
        <w:t xml:space="preserve">celkové investiční náklady </w:t>
      </w:r>
      <w:r w:rsidR="00DB27E0" w:rsidRPr="000D7E77">
        <w:rPr>
          <w:rFonts w:eastAsia="Times New Roman" w:cs="Times New Roman"/>
        </w:rPr>
        <w:t xml:space="preserve">dosáhly výše </w:t>
      </w:r>
      <w:r w:rsidR="00C40339" w:rsidRPr="000D7E77">
        <w:rPr>
          <w:rFonts w:eastAsia="Times New Roman"/>
        </w:rPr>
        <w:t xml:space="preserve">15 089 915 </w:t>
      </w:r>
      <w:r w:rsidR="007C3D2F" w:rsidRPr="000D7E77">
        <w:rPr>
          <w:rFonts w:eastAsia="Times New Roman" w:cs="Times New Roman"/>
        </w:rPr>
        <w:t xml:space="preserve">tis. Kč (z toho tvořil podíl EU 85 %, tj. </w:t>
      </w:r>
      <w:r w:rsidR="00C40339" w:rsidRPr="000D7E77">
        <w:rPr>
          <w:rFonts w:eastAsia="Times New Roman"/>
        </w:rPr>
        <w:t xml:space="preserve">12 826 428 </w:t>
      </w:r>
      <w:r w:rsidR="007C3D2F" w:rsidRPr="000D7E77">
        <w:rPr>
          <w:rFonts w:eastAsia="Times New Roman" w:cs="Times New Roman"/>
        </w:rPr>
        <w:t>tis. Kč).</w:t>
      </w:r>
    </w:p>
    <w:p w14:paraId="4708FA11" w14:textId="77777777" w:rsidR="00CC21CA" w:rsidRPr="004B0509" w:rsidRDefault="00CC21CA" w:rsidP="00DB27E0">
      <w:pPr>
        <w:spacing w:after="0" w:line="240" w:lineRule="auto"/>
        <w:jc w:val="both"/>
        <w:rPr>
          <w:rFonts w:eastAsia="Times New Roman" w:cs="Times New Roman"/>
        </w:rPr>
      </w:pPr>
    </w:p>
    <w:p w14:paraId="2EFAB39D" w14:textId="37589009" w:rsidR="00CC21CA" w:rsidRPr="004B0509" w:rsidRDefault="00CC21CA" w:rsidP="00DB27E0">
      <w:p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>Žádný z projektů OP VaVpI nevedl ke vzniku nové právnické osoby. Všechny modernizované nebo nově vybudované kapacity představují vždy integrální součást již etablovaných výzkumných organizací ČR (např. ústavů Akademie věd ČR</w:t>
      </w:r>
      <w:r w:rsidR="009C59C3">
        <w:rPr>
          <w:rFonts w:eastAsia="Times New Roman" w:cs="Times New Roman"/>
        </w:rPr>
        <w:t xml:space="preserve"> či</w:t>
      </w:r>
      <w:r w:rsidRPr="004B0509">
        <w:rPr>
          <w:rFonts w:eastAsia="Times New Roman" w:cs="Times New Roman"/>
        </w:rPr>
        <w:t xml:space="preserve"> veřejných vysokých škol), jejichž kapacity podstatným způsobem rozšiřují.</w:t>
      </w:r>
    </w:p>
    <w:p w14:paraId="62C952BE" w14:textId="77777777" w:rsidR="00CC21CA" w:rsidRPr="004B0509" w:rsidRDefault="00CC21CA" w:rsidP="00DB27E0">
      <w:pPr>
        <w:spacing w:after="0" w:line="240" w:lineRule="auto"/>
        <w:jc w:val="both"/>
        <w:rPr>
          <w:rFonts w:eastAsia="Times New Roman" w:cs="Times New Roman"/>
        </w:rPr>
      </w:pPr>
    </w:p>
    <w:p w14:paraId="72B348E8" w14:textId="03F8A543" w:rsidR="003966D9" w:rsidRPr="004B0509" w:rsidRDefault="00823460" w:rsidP="00DB27E0">
      <w:p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81CB8" wp14:editId="5084C79F">
                <wp:simplePos x="0" y="0"/>
                <wp:positionH relativeFrom="column">
                  <wp:posOffset>231775</wp:posOffset>
                </wp:positionH>
                <wp:positionV relativeFrom="paragraph">
                  <wp:posOffset>6243320</wp:posOffset>
                </wp:positionV>
                <wp:extent cx="9926955" cy="395605"/>
                <wp:effectExtent l="0" t="0" r="0" b="444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955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308AB" w14:textId="68BDED3E" w:rsidR="001F598C" w:rsidRPr="00E706B4" w:rsidRDefault="001F598C" w:rsidP="004665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706B4"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abulka 1</w:t>
                            </w:r>
                            <w:r w:rsidRPr="00E706B4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Přehled 42 velkých infrastruktur ČR pro VaVaI, které budou přeloženy ke schválení vládou ČR.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81CB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8.25pt;margin-top:491.6pt;width:781.6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" stroked="f">
                <v:textbox>
                  <w:txbxContent>
                    <w:p w14:paraId="4D7308AB" w14:textId="68BDED3E" w:rsidR="001F598C" w:rsidRPr="00E706B4" w:rsidRDefault="001F598C" w:rsidP="004665BC">
                      <w:pPr>
                        <w:rPr>
                          <w:sz w:val="24"/>
                          <w:szCs w:val="24"/>
                        </w:rPr>
                      </w:pPr>
                      <w:r w:rsidRPr="00E706B4">
                        <w:rPr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sz w:val="24"/>
                          <w:szCs w:val="24"/>
                        </w:rPr>
                        <w:t>abulka 1</w:t>
                      </w:r>
                      <w:r w:rsidRPr="00E706B4">
                        <w:rPr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sz w:val="24"/>
                          <w:szCs w:val="24"/>
                        </w:rPr>
                        <w:t xml:space="preserve"> Přehled 42 velkých infrastruktur ČR pro VaVaI, které budou přeloženy ke schválení vládou ČR.</w:t>
                      </w:r>
                    </w:p>
                  </w:txbxContent>
                </v:textbox>
              </v:shape>
            </w:pict>
          </mc:Fallback>
        </mc:AlternateContent>
      </w:r>
      <w:r w:rsidR="003966D9" w:rsidRPr="004B0509">
        <w:rPr>
          <w:rFonts w:eastAsia="Times New Roman" w:cs="Times New Roman"/>
        </w:rPr>
        <w:t>ČR je vůči Evropské komisi povinn</w:t>
      </w:r>
      <w:r w:rsidR="00E00264" w:rsidRPr="004B0509">
        <w:rPr>
          <w:rFonts w:eastAsia="Times New Roman" w:cs="Times New Roman"/>
        </w:rPr>
        <w:t>a</w:t>
      </w:r>
      <w:r w:rsidR="003966D9" w:rsidRPr="004B0509">
        <w:rPr>
          <w:rFonts w:eastAsia="Times New Roman" w:cs="Times New Roman"/>
        </w:rPr>
        <w:t xml:space="preserve"> zabezpečit udržitelnost kapacit, jejich</w:t>
      </w:r>
      <w:r w:rsidR="00F66634" w:rsidRPr="004B0509">
        <w:rPr>
          <w:rFonts w:eastAsia="Times New Roman" w:cs="Times New Roman"/>
        </w:rPr>
        <w:t>ž</w:t>
      </w:r>
      <w:r w:rsidR="003966D9" w:rsidRPr="004B0509">
        <w:rPr>
          <w:rFonts w:eastAsia="Times New Roman" w:cs="Times New Roman"/>
        </w:rPr>
        <w:t xml:space="preserve"> vybudování bylo </w:t>
      </w:r>
      <w:r w:rsidR="00DB27E0">
        <w:rPr>
          <w:rFonts w:eastAsia="Times New Roman" w:cs="Times New Roman"/>
        </w:rPr>
        <w:t>finančně podpořeno</w:t>
      </w:r>
      <w:r w:rsidR="003966D9" w:rsidRPr="004B0509">
        <w:rPr>
          <w:rFonts w:eastAsia="Times New Roman" w:cs="Times New Roman"/>
        </w:rPr>
        <w:t xml:space="preserve"> za využití prostředků ERDF v rámci OP VaVpI, a to v období 5 let po ukončení realizace věcně příslušných projektů OP VaVpI</w:t>
      </w:r>
      <w:r w:rsidR="009C59C3">
        <w:rPr>
          <w:rFonts w:eastAsia="Times New Roman" w:cs="Times New Roman"/>
        </w:rPr>
        <w:t>, tj. většinou do roku 2020</w:t>
      </w:r>
      <w:r w:rsidR="003966D9" w:rsidRPr="004B0509">
        <w:rPr>
          <w:rFonts w:eastAsia="Times New Roman" w:cs="Times New Roman"/>
        </w:rPr>
        <w:t xml:space="preserve">. </w:t>
      </w:r>
    </w:p>
    <w:p w14:paraId="03DB384B" w14:textId="77777777" w:rsidR="00E10224" w:rsidRPr="004B0509" w:rsidRDefault="00E10224" w:rsidP="00DB27E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/>
        </w:rPr>
      </w:pPr>
    </w:p>
    <w:p w14:paraId="55ECDDF8" w14:textId="275C32DA" w:rsidR="00DF0F1B" w:rsidRPr="004B0509" w:rsidRDefault="00E00264" w:rsidP="00DB27E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  <w:b/>
        </w:rPr>
        <w:t>Podpora udržitelnosti nově vybudovaných kapacit je výrazně nadresortní agendou.</w:t>
      </w:r>
      <w:r w:rsidRPr="004B0509">
        <w:rPr>
          <w:rFonts w:eastAsia="Times New Roman" w:cs="Times New Roman"/>
        </w:rPr>
        <w:t xml:space="preserve"> </w:t>
      </w:r>
      <w:r w:rsidR="00ED0377" w:rsidRPr="004B0509">
        <w:rPr>
          <w:rFonts w:eastAsia="Times New Roman" w:cs="Times New Roman"/>
        </w:rPr>
        <w:t>Ačkoliv byly investice do kapacit pro provádění VaVaI realizovány za využití prostředků ERDF v rámci OP</w:t>
      </w:r>
      <w:r w:rsidR="00DB27E0">
        <w:rPr>
          <w:rFonts w:eastAsia="Times New Roman" w:cs="Times New Roman"/>
        </w:rPr>
        <w:t xml:space="preserve"> VaVpI, jehož implementace spadala</w:t>
      </w:r>
      <w:r w:rsidR="00ED0377" w:rsidRPr="004B0509">
        <w:rPr>
          <w:rFonts w:eastAsia="Times New Roman" w:cs="Times New Roman"/>
        </w:rPr>
        <w:t xml:space="preserve"> do gesce MŠMT, cílovými skupinami,</w:t>
      </w:r>
      <w:r w:rsidR="00DB27E0">
        <w:rPr>
          <w:rFonts w:eastAsia="Times New Roman" w:cs="Times New Roman"/>
        </w:rPr>
        <w:t xml:space="preserve"> </w:t>
      </w:r>
      <w:r w:rsidR="00E4720C" w:rsidRPr="004B0509">
        <w:rPr>
          <w:rFonts w:eastAsia="Times New Roman" w:cs="Times New Roman"/>
        </w:rPr>
        <w:t>tj.</w:t>
      </w:r>
      <w:r w:rsidR="00ED0377" w:rsidRPr="004B0509">
        <w:rPr>
          <w:rFonts w:eastAsia="Times New Roman" w:cs="Times New Roman"/>
        </w:rPr>
        <w:t xml:space="preserve"> </w:t>
      </w:r>
      <w:r w:rsidR="00ED0377" w:rsidRPr="004B0509">
        <w:rPr>
          <w:rFonts w:eastAsia="Times New Roman" w:cs="Times New Roman"/>
          <w:b/>
        </w:rPr>
        <w:t xml:space="preserve">příjemci finančních prostředků </w:t>
      </w:r>
      <w:r w:rsidR="00E4720C" w:rsidRPr="004B0509">
        <w:rPr>
          <w:rFonts w:eastAsia="Times New Roman" w:cs="Times New Roman"/>
          <w:b/>
        </w:rPr>
        <w:t xml:space="preserve">podpory </w:t>
      </w:r>
      <w:r w:rsidR="00ED0377" w:rsidRPr="004B0509">
        <w:rPr>
          <w:rFonts w:eastAsia="Times New Roman" w:cs="Times New Roman"/>
          <w:b/>
        </w:rPr>
        <w:t>v rámci OP VaVpI</w:t>
      </w:r>
      <w:r w:rsidR="00F825E3" w:rsidRPr="004B0509">
        <w:rPr>
          <w:rFonts w:eastAsia="Times New Roman" w:cs="Times New Roman"/>
          <w:b/>
        </w:rPr>
        <w:t>,</w:t>
      </w:r>
      <w:r w:rsidR="00ED0377" w:rsidRPr="004B0509">
        <w:rPr>
          <w:rFonts w:eastAsia="Times New Roman" w:cs="Times New Roman"/>
          <w:b/>
        </w:rPr>
        <w:t xml:space="preserve"> jsou významnou měrou rovněž výzkumné organizace náležící do věcn</w:t>
      </w:r>
      <w:r w:rsidR="001825EE" w:rsidRPr="004B0509">
        <w:rPr>
          <w:rFonts w:eastAsia="Times New Roman" w:cs="Times New Roman"/>
          <w:b/>
        </w:rPr>
        <w:t>é</w:t>
      </w:r>
      <w:r w:rsidR="00ED0377" w:rsidRPr="004B0509">
        <w:rPr>
          <w:rFonts w:eastAsia="Times New Roman" w:cs="Times New Roman"/>
          <w:b/>
        </w:rPr>
        <w:t xml:space="preserve"> příslušnosti jiných zřizovatelů, než je MŠMT</w:t>
      </w:r>
      <w:r w:rsidR="00ED0377" w:rsidRPr="004B0509">
        <w:rPr>
          <w:rFonts w:eastAsia="Times New Roman" w:cs="Times New Roman"/>
        </w:rPr>
        <w:t xml:space="preserve">. </w:t>
      </w:r>
    </w:p>
    <w:p w14:paraId="25EF9075" w14:textId="77777777" w:rsidR="00DF0F1B" w:rsidRPr="004B0509" w:rsidRDefault="00DF0F1B" w:rsidP="00DB27E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</w:rPr>
      </w:pPr>
    </w:p>
    <w:p w14:paraId="6EE10030" w14:textId="77777777" w:rsidR="00613C39" w:rsidRDefault="00ED0377" w:rsidP="00613C3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 xml:space="preserve">V tomto ohledu je </w:t>
      </w:r>
      <w:r w:rsidR="00DF0F1B" w:rsidRPr="004B0509">
        <w:rPr>
          <w:rFonts w:eastAsia="Times New Roman" w:cs="Times New Roman"/>
        </w:rPr>
        <w:t>nutné</w:t>
      </w:r>
      <w:r w:rsidRPr="004B0509">
        <w:rPr>
          <w:rFonts w:eastAsia="Times New Roman" w:cs="Times New Roman"/>
        </w:rPr>
        <w:t xml:space="preserve"> vnímat, že MŠMT v rámci OP VaVpI zabezpečilo investiční výstavbu kapacit nejen u</w:t>
      </w:r>
      <w:r w:rsidR="00E4720C" w:rsidRPr="004B0509">
        <w:rPr>
          <w:rFonts w:eastAsia="Times New Roman" w:cs="Times New Roman"/>
        </w:rPr>
        <w:t> </w:t>
      </w:r>
      <w:r w:rsidRPr="004B0509">
        <w:rPr>
          <w:rFonts w:eastAsia="Times New Roman" w:cs="Times New Roman"/>
        </w:rPr>
        <w:t xml:space="preserve">výzkumných organizací, které spadají do věcné příslušnosti </w:t>
      </w:r>
      <w:r w:rsidR="00E4720C" w:rsidRPr="004B0509">
        <w:rPr>
          <w:rFonts w:eastAsia="Times New Roman" w:cs="Times New Roman"/>
        </w:rPr>
        <w:t xml:space="preserve">MŠMT </w:t>
      </w:r>
      <w:r w:rsidRPr="004B0509">
        <w:rPr>
          <w:rFonts w:eastAsia="Times New Roman" w:cs="Times New Roman"/>
        </w:rPr>
        <w:t xml:space="preserve">(zejména veřejné vysoké školy), ale i u výzkumných organizací spadajících do </w:t>
      </w:r>
      <w:r w:rsidR="00D377BA" w:rsidRPr="004B0509">
        <w:rPr>
          <w:rFonts w:eastAsia="Times New Roman" w:cs="Times New Roman"/>
        </w:rPr>
        <w:t>věcné příslušnosti:</w:t>
      </w:r>
    </w:p>
    <w:p w14:paraId="17E0E693" w14:textId="77777777" w:rsidR="00613C39" w:rsidRDefault="00613C39" w:rsidP="00613C3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</w:rPr>
      </w:pPr>
    </w:p>
    <w:p w14:paraId="61D02E32" w14:textId="77777777" w:rsidR="00613C39" w:rsidRPr="00613C39" w:rsidRDefault="00D377BA" w:rsidP="00613C39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  <w:b/>
        </w:rPr>
        <w:t>Akademie věd ČR</w:t>
      </w:r>
      <w:r w:rsidR="00613C39">
        <w:rPr>
          <w:rFonts w:eastAsia="Times New Roman" w:cs="Times New Roman"/>
          <w:b/>
        </w:rPr>
        <w:t>;</w:t>
      </w:r>
    </w:p>
    <w:p w14:paraId="60F0F590" w14:textId="77777777" w:rsidR="00613C39" w:rsidRDefault="00E4720C" w:rsidP="00613C39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</w:rPr>
      </w:pPr>
      <w:r w:rsidRPr="00613C39">
        <w:rPr>
          <w:rFonts w:eastAsia="Times New Roman" w:cs="Times New Roman"/>
          <w:b/>
        </w:rPr>
        <w:t>Ministerstva</w:t>
      </w:r>
      <w:r w:rsidR="00D377BA" w:rsidRPr="00613C39">
        <w:rPr>
          <w:rFonts w:eastAsia="Times New Roman" w:cs="Times New Roman"/>
          <w:b/>
        </w:rPr>
        <w:t xml:space="preserve"> průmyslu a obchodu</w:t>
      </w:r>
      <w:r w:rsidRPr="00613C39">
        <w:rPr>
          <w:rFonts w:eastAsia="Times New Roman" w:cs="Times New Roman"/>
          <w:b/>
        </w:rPr>
        <w:t>;</w:t>
      </w:r>
    </w:p>
    <w:p w14:paraId="789678CA" w14:textId="77777777" w:rsidR="00613C39" w:rsidRDefault="00135A64" w:rsidP="00613C39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</w:rPr>
      </w:pPr>
      <w:r w:rsidRPr="00613C39">
        <w:rPr>
          <w:rFonts w:eastAsia="Times New Roman" w:cs="Times New Roman"/>
          <w:b/>
        </w:rPr>
        <w:t>Ministerstva zemědělství;</w:t>
      </w:r>
    </w:p>
    <w:p w14:paraId="15DC9EB6" w14:textId="77777777" w:rsidR="00613C39" w:rsidRDefault="00E4720C" w:rsidP="00613C39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</w:rPr>
      </w:pPr>
      <w:r w:rsidRPr="00613C39">
        <w:rPr>
          <w:rFonts w:eastAsia="Times New Roman" w:cs="Times New Roman"/>
          <w:b/>
        </w:rPr>
        <w:t>Ministerstva</w:t>
      </w:r>
      <w:r w:rsidR="00D377BA" w:rsidRPr="00613C39">
        <w:rPr>
          <w:rFonts w:eastAsia="Times New Roman" w:cs="Times New Roman"/>
          <w:b/>
        </w:rPr>
        <w:t xml:space="preserve"> zdravotnictví</w:t>
      </w:r>
      <w:r w:rsidRPr="00613C39">
        <w:rPr>
          <w:rFonts w:eastAsia="Times New Roman" w:cs="Times New Roman"/>
          <w:b/>
        </w:rPr>
        <w:t>;</w:t>
      </w:r>
    </w:p>
    <w:p w14:paraId="1ACD1F66" w14:textId="4BC17ACB" w:rsidR="00D377BA" w:rsidRPr="00613C39" w:rsidRDefault="00135A64" w:rsidP="00613C39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</w:rPr>
      </w:pPr>
      <w:r w:rsidRPr="00613C39">
        <w:rPr>
          <w:rFonts w:eastAsia="Times New Roman" w:cs="Times New Roman"/>
          <w:b/>
        </w:rPr>
        <w:t>M</w:t>
      </w:r>
      <w:r w:rsidR="00E4720C" w:rsidRPr="00613C39">
        <w:rPr>
          <w:rFonts w:eastAsia="Times New Roman" w:cs="Times New Roman"/>
          <w:b/>
        </w:rPr>
        <w:t>inisterstva</w:t>
      </w:r>
      <w:r w:rsidR="00D377BA" w:rsidRPr="00613C39">
        <w:rPr>
          <w:rFonts w:eastAsia="Times New Roman" w:cs="Times New Roman"/>
          <w:b/>
        </w:rPr>
        <w:t xml:space="preserve"> </w:t>
      </w:r>
      <w:r w:rsidRPr="00613C39">
        <w:rPr>
          <w:rFonts w:eastAsia="Times New Roman" w:cs="Times New Roman"/>
          <w:b/>
        </w:rPr>
        <w:t>dopravy</w:t>
      </w:r>
      <w:r w:rsidR="00E4720C" w:rsidRPr="00613C39">
        <w:rPr>
          <w:rFonts w:eastAsia="Times New Roman" w:cs="Times New Roman"/>
          <w:b/>
        </w:rPr>
        <w:t>.</w:t>
      </w:r>
    </w:p>
    <w:p w14:paraId="09C15A36" w14:textId="77777777" w:rsidR="00B17956" w:rsidRPr="004B0509" w:rsidRDefault="00B17956" w:rsidP="00DB27E0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  <w:b/>
        </w:rPr>
      </w:pPr>
    </w:p>
    <w:p w14:paraId="3903064E" w14:textId="2DE3C92A" w:rsidR="001825EE" w:rsidRDefault="001825EE" w:rsidP="00DB27E0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>Níže uvedená tabulka ilustruje souhrnnou výši investovaných prostředků kapacit VaV</w:t>
      </w:r>
      <w:r w:rsidR="00A96273" w:rsidRPr="004B0509">
        <w:rPr>
          <w:rFonts w:eastAsia="Times New Roman" w:cs="Times New Roman"/>
        </w:rPr>
        <w:t>aI</w:t>
      </w:r>
      <w:r w:rsidRPr="004B0509">
        <w:rPr>
          <w:rFonts w:eastAsia="Times New Roman" w:cs="Times New Roman"/>
        </w:rPr>
        <w:t xml:space="preserve"> vybudovaných v</w:t>
      </w:r>
      <w:r w:rsidR="00DB27E0">
        <w:rPr>
          <w:rFonts w:eastAsia="Times New Roman" w:cs="Times New Roman"/>
        </w:rPr>
        <w:t xml:space="preserve"> rámci </w:t>
      </w:r>
      <w:r w:rsidRPr="004B0509">
        <w:rPr>
          <w:rFonts w:eastAsia="Times New Roman" w:cs="Times New Roman"/>
        </w:rPr>
        <w:t xml:space="preserve">OP VaVpI s přiřazením k věcně </w:t>
      </w:r>
      <w:r w:rsidR="00936E6E" w:rsidRPr="004B0509">
        <w:rPr>
          <w:rFonts w:eastAsia="Times New Roman" w:cs="Times New Roman"/>
        </w:rPr>
        <w:t>příslušným</w:t>
      </w:r>
      <w:r w:rsidRPr="004B0509">
        <w:rPr>
          <w:rFonts w:eastAsia="Times New Roman" w:cs="Times New Roman"/>
        </w:rPr>
        <w:t xml:space="preserve"> zřizovatelům/poskytovatelům institucionální podpory na dlouhodobý koncepční rozvoj (u výzkumných organizací </w:t>
      </w:r>
      <w:r w:rsidR="00DB27E0">
        <w:rPr>
          <w:rFonts w:eastAsia="Times New Roman" w:cs="Times New Roman"/>
        </w:rPr>
        <w:t>ustavených</w:t>
      </w:r>
      <w:r w:rsidRPr="004B0509">
        <w:rPr>
          <w:rFonts w:eastAsia="Times New Roman" w:cs="Times New Roman"/>
        </w:rPr>
        <w:t xml:space="preserve"> </w:t>
      </w:r>
      <w:r w:rsidR="00DB27E0">
        <w:rPr>
          <w:rFonts w:eastAsia="Times New Roman" w:cs="Times New Roman"/>
        </w:rPr>
        <w:t>na základě</w:t>
      </w:r>
      <w:r w:rsidRPr="004B0509">
        <w:rPr>
          <w:rFonts w:eastAsia="Times New Roman" w:cs="Times New Roman"/>
        </w:rPr>
        <w:t xml:space="preserve"> soukromého práva není zřizovatel</w:t>
      </w:r>
      <w:r w:rsidR="00DB27E0">
        <w:rPr>
          <w:rFonts w:eastAsia="Times New Roman" w:cs="Times New Roman"/>
        </w:rPr>
        <w:t>em veřejný orgán</w:t>
      </w:r>
      <w:r w:rsidRPr="004B0509">
        <w:rPr>
          <w:rFonts w:eastAsia="Times New Roman" w:cs="Times New Roman"/>
        </w:rPr>
        <w:t>).</w:t>
      </w:r>
    </w:p>
    <w:p w14:paraId="3F5FE8BA" w14:textId="77777777" w:rsidR="008463C5" w:rsidRDefault="008463C5" w:rsidP="00DB27E0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</w:rPr>
      </w:pPr>
    </w:p>
    <w:p w14:paraId="5D6FF6EB" w14:textId="77777777" w:rsidR="008463C5" w:rsidRDefault="008463C5" w:rsidP="00E00264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</w:rPr>
      </w:pPr>
    </w:p>
    <w:p w14:paraId="2B607CEC" w14:textId="77777777" w:rsidR="008463C5" w:rsidRDefault="008463C5" w:rsidP="00E00264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3663"/>
        <w:gridCol w:w="3671"/>
      </w:tblGrid>
      <w:tr w:rsidR="00ED7195" w:rsidRPr="004B0509" w14:paraId="3DE6CA9C" w14:textId="77777777" w:rsidTr="00DB27E0">
        <w:trPr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31FCB015" w14:textId="16A90CCD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4B0509">
              <w:rPr>
                <w:rFonts w:cs="Times New Roman"/>
                <w:b/>
                <w:caps/>
              </w:rPr>
              <w:t>investované prostředky</w:t>
            </w:r>
          </w:p>
        </w:tc>
      </w:tr>
      <w:tr w:rsidR="00ED7195" w:rsidRPr="004B0509" w14:paraId="3DC6EB68" w14:textId="77777777" w:rsidTr="00DB27E0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59F79B9C" w14:textId="77777777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3663" w:type="dxa"/>
            <w:vAlign w:val="center"/>
          </w:tcPr>
          <w:p w14:paraId="13EE6DA9" w14:textId="77777777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4B0509">
              <w:rPr>
                <w:rFonts w:cs="Times New Roman"/>
                <w:b/>
              </w:rPr>
              <w:t>zřizovatel/</w:t>
            </w:r>
          </w:p>
          <w:p w14:paraId="0B19A0D1" w14:textId="3C323ED4" w:rsidR="00ED7195" w:rsidRPr="004B0509" w:rsidRDefault="00A96273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4B0509">
              <w:rPr>
                <w:rFonts w:cs="Times New Roman"/>
                <w:b/>
              </w:rPr>
              <w:t>poskytovatel institucionální</w:t>
            </w:r>
            <w:r w:rsidR="00ED7195" w:rsidRPr="004B0509">
              <w:rPr>
                <w:rFonts w:cs="Times New Roman"/>
                <w:b/>
              </w:rPr>
              <w:t xml:space="preserve"> podpory</w:t>
            </w:r>
          </w:p>
        </w:tc>
        <w:tc>
          <w:tcPr>
            <w:tcW w:w="3671" w:type="dxa"/>
            <w:vAlign w:val="center"/>
          </w:tcPr>
          <w:p w14:paraId="2BC10F11" w14:textId="7CD65440" w:rsidR="00ED7195" w:rsidRPr="004B0509" w:rsidRDefault="00DB27E0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výše </w:t>
            </w:r>
            <w:r w:rsidR="00ED7195" w:rsidRPr="004B0509">
              <w:rPr>
                <w:rFonts w:cs="Times New Roman"/>
                <w:b/>
              </w:rPr>
              <w:t>investovaných prostředků</w:t>
            </w:r>
          </w:p>
          <w:p w14:paraId="713B300A" w14:textId="7EB44222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4B0509">
              <w:rPr>
                <w:rFonts w:cs="Times New Roman"/>
                <w:b/>
              </w:rPr>
              <w:t>(v tis. Kč)</w:t>
            </w:r>
          </w:p>
        </w:tc>
      </w:tr>
      <w:tr w:rsidR="00762739" w:rsidRPr="004B0509" w14:paraId="7D334643" w14:textId="77777777" w:rsidTr="00DB27E0">
        <w:trPr>
          <w:jc w:val="center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1341BF57" w14:textId="053D95C7" w:rsidR="00762739" w:rsidRPr="004B0509" w:rsidRDefault="00762739" w:rsidP="00A96273">
            <w:pPr>
              <w:pStyle w:val="Odstavecseseznamem"/>
              <w:spacing w:before="60" w:after="0" w:line="240" w:lineRule="auto"/>
              <w:ind w:left="0"/>
              <w:contextualSpacing w:val="0"/>
              <w:rPr>
                <w:rFonts w:cs="Times New Roman"/>
                <w:b/>
              </w:rPr>
            </w:pPr>
            <w:r w:rsidRPr="004B0509">
              <w:rPr>
                <w:rFonts w:cs="Times New Roman"/>
                <w:b/>
              </w:rPr>
              <w:t xml:space="preserve">Velké projekty </w:t>
            </w:r>
          </w:p>
          <w:p w14:paraId="5C5615D1" w14:textId="77777777" w:rsidR="00762739" w:rsidRPr="004B0509" w:rsidRDefault="00762739" w:rsidP="00A96273">
            <w:pPr>
              <w:pStyle w:val="Odstavecseseznamem"/>
              <w:spacing w:after="60" w:line="240" w:lineRule="auto"/>
              <w:ind w:left="0"/>
              <w:contextualSpacing w:val="0"/>
              <w:rPr>
                <w:rFonts w:cs="Times New Roman"/>
                <w:b/>
              </w:rPr>
            </w:pPr>
            <w:r w:rsidRPr="004B0509">
              <w:rPr>
                <w:rFonts w:cs="Times New Roman"/>
                <w:b/>
              </w:rPr>
              <w:t>OP VaVpI</w:t>
            </w:r>
          </w:p>
        </w:tc>
        <w:tc>
          <w:tcPr>
            <w:tcW w:w="3663" w:type="dxa"/>
            <w:vAlign w:val="center"/>
          </w:tcPr>
          <w:p w14:paraId="6D8FC904" w14:textId="0306BA75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MŠMT</w:t>
            </w:r>
          </w:p>
        </w:tc>
        <w:tc>
          <w:tcPr>
            <w:tcW w:w="3671" w:type="dxa"/>
            <w:vAlign w:val="center"/>
          </w:tcPr>
          <w:p w14:paraId="401F9357" w14:textId="779E7B2C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5 376 529</w:t>
            </w:r>
          </w:p>
        </w:tc>
      </w:tr>
      <w:tr w:rsidR="00762739" w:rsidRPr="004B0509" w14:paraId="5454F0EB" w14:textId="77777777" w:rsidTr="00DB27E0">
        <w:trPr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331B6523" w14:textId="77777777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3663" w:type="dxa"/>
            <w:vAlign w:val="center"/>
          </w:tcPr>
          <w:p w14:paraId="3D03BFAA" w14:textId="36BA477B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AV ČR</w:t>
            </w:r>
          </w:p>
        </w:tc>
        <w:tc>
          <w:tcPr>
            <w:tcW w:w="3671" w:type="dxa"/>
            <w:vAlign w:val="center"/>
          </w:tcPr>
          <w:p w14:paraId="53DCAF54" w14:textId="777FCB88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3 874 268</w:t>
            </w:r>
          </w:p>
        </w:tc>
      </w:tr>
      <w:tr w:rsidR="00762739" w:rsidRPr="004B0509" w14:paraId="7358DB44" w14:textId="77777777" w:rsidTr="00DB27E0">
        <w:trPr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59AB55D0" w14:textId="77777777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3663" w:type="dxa"/>
            <w:vAlign w:val="center"/>
          </w:tcPr>
          <w:p w14:paraId="1D0802BA" w14:textId="398E370E" w:rsidR="00762739" w:rsidRPr="004B0509" w:rsidRDefault="00762739" w:rsidP="00ED71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MPO</w:t>
            </w:r>
          </w:p>
        </w:tc>
        <w:tc>
          <w:tcPr>
            <w:tcW w:w="3671" w:type="dxa"/>
            <w:vAlign w:val="center"/>
          </w:tcPr>
          <w:p w14:paraId="575D5E34" w14:textId="0A0587D6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900 029</w:t>
            </w:r>
          </w:p>
        </w:tc>
      </w:tr>
      <w:tr w:rsidR="00762739" w:rsidRPr="004B0509" w14:paraId="50DD8781" w14:textId="77777777" w:rsidTr="00DB27E0">
        <w:trPr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0115D4DB" w14:textId="77777777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3663" w:type="dxa"/>
            <w:vAlign w:val="center"/>
          </w:tcPr>
          <w:p w14:paraId="3D9375C7" w14:textId="5DA438E0" w:rsidR="00762739" w:rsidRPr="004B0509" w:rsidRDefault="00762739" w:rsidP="00ED71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MZd</w:t>
            </w:r>
          </w:p>
        </w:tc>
        <w:tc>
          <w:tcPr>
            <w:tcW w:w="3671" w:type="dxa"/>
            <w:vAlign w:val="center"/>
          </w:tcPr>
          <w:p w14:paraId="5D1A312E" w14:textId="5E88820C" w:rsidR="00762739" w:rsidRPr="004B0509" w:rsidRDefault="00762739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1 294 077</w:t>
            </w:r>
          </w:p>
        </w:tc>
      </w:tr>
      <w:tr w:rsidR="00ED7195" w:rsidRPr="004B0509" w14:paraId="711AD02F" w14:textId="77777777" w:rsidTr="00DB27E0">
        <w:trPr>
          <w:jc w:val="center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32E0B0FF" w14:textId="77777777" w:rsidR="00ED7195" w:rsidRPr="004B0509" w:rsidRDefault="00ED7195" w:rsidP="00A96273">
            <w:pPr>
              <w:spacing w:after="0" w:line="240" w:lineRule="auto"/>
              <w:rPr>
                <w:rFonts w:cs="Times New Roman"/>
                <w:b/>
              </w:rPr>
            </w:pPr>
            <w:r w:rsidRPr="004B0509">
              <w:rPr>
                <w:rFonts w:cs="Times New Roman"/>
                <w:b/>
              </w:rPr>
              <w:t xml:space="preserve">Běžné projekty </w:t>
            </w:r>
            <w:r w:rsidRPr="004B0509">
              <w:rPr>
                <w:rFonts w:cs="Times New Roman"/>
                <w:b/>
              </w:rPr>
              <w:br/>
              <w:t>OP VaVpI</w:t>
            </w:r>
          </w:p>
        </w:tc>
        <w:tc>
          <w:tcPr>
            <w:tcW w:w="3663" w:type="dxa"/>
            <w:vAlign w:val="center"/>
          </w:tcPr>
          <w:p w14:paraId="70F2F2B0" w14:textId="75CFD870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MŠMT</w:t>
            </w:r>
          </w:p>
        </w:tc>
        <w:tc>
          <w:tcPr>
            <w:tcW w:w="3671" w:type="dxa"/>
            <w:vAlign w:val="center"/>
          </w:tcPr>
          <w:p w14:paraId="335531CA" w14:textId="07D5D372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10 500 579</w:t>
            </w:r>
          </w:p>
        </w:tc>
      </w:tr>
      <w:tr w:rsidR="00ED7195" w:rsidRPr="004B0509" w14:paraId="5C06FD36" w14:textId="77777777" w:rsidTr="00DB27E0">
        <w:trPr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2CB18792" w14:textId="77777777" w:rsidR="00ED7195" w:rsidRPr="004B0509" w:rsidRDefault="00ED7195" w:rsidP="00C26995">
            <w:pPr>
              <w:spacing w:before="60" w:after="60" w:line="240" w:lineRule="auto"/>
              <w:jc w:val="center"/>
              <w:rPr>
                <w:rFonts w:cs="Times New Roman"/>
                <w:b/>
                <w:color w:val="FFFFFF" w:themeColor="background1"/>
              </w:rPr>
            </w:pPr>
          </w:p>
        </w:tc>
        <w:tc>
          <w:tcPr>
            <w:tcW w:w="3663" w:type="dxa"/>
            <w:vAlign w:val="center"/>
          </w:tcPr>
          <w:p w14:paraId="31AAC67B" w14:textId="6E752822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AV ČR</w:t>
            </w:r>
          </w:p>
        </w:tc>
        <w:tc>
          <w:tcPr>
            <w:tcW w:w="3671" w:type="dxa"/>
            <w:vAlign w:val="center"/>
          </w:tcPr>
          <w:p w14:paraId="7F8D195F" w14:textId="2F6B7C45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2 237 731</w:t>
            </w:r>
          </w:p>
        </w:tc>
      </w:tr>
      <w:tr w:rsidR="00ED7195" w:rsidRPr="004B0509" w14:paraId="2EC57C18" w14:textId="77777777" w:rsidTr="00DB27E0">
        <w:trPr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132CE373" w14:textId="77777777" w:rsidR="00ED7195" w:rsidRPr="004B0509" w:rsidRDefault="00ED7195" w:rsidP="00C26995">
            <w:pPr>
              <w:spacing w:before="60" w:after="60" w:line="240" w:lineRule="auto"/>
              <w:jc w:val="center"/>
              <w:rPr>
                <w:rFonts w:cs="Times New Roman"/>
                <w:b/>
                <w:color w:val="FFFFFF" w:themeColor="background1"/>
              </w:rPr>
            </w:pPr>
          </w:p>
        </w:tc>
        <w:tc>
          <w:tcPr>
            <w:tcW w:w="3663" w:type="dxa"/>
            <w:vAlign w:val="center"/>
          </w:tcPr>
          <w:p w14:paraId="3C1E7CA8" w14:textId="2C346E19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MPO</w:t>
            </w:r>
          </w:p>
        </w:tc>
        <w:tc>
          <w:tcPr>
            <w:tcW w:w="3671" w:type="dxa"/>
            <w:vAlign w:val="center"/>
          </w:tcPr>
          <w:p w14:paraId="78A1169D" w14:textId="5006ECC8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1 888 786</w:t>
            </w:r>
          </w:p>
        </w:tc>
      </w:tr>
      <w:tr w:rsidR="00ED7195" w:rsidRPr="004B0509" w14:paraId="21B3A0B6" w14:textId="77777777" w:rsidTr="00DB27E0">
        <w:trPr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7A82E81E" w14:textId="77777777" w:rsidR="00ED7195" w:rsidRPr="004B0509" w:rsidRDefault="00ED7195" w:rsidP="00C26995">
            <w:pPr>
              <w:pStyle w:val="Odstavecseseznamem"/>
              <w:spacing w:before="60" w:after="60" w:line="240" w:lineRule="auto"/>
              <w:contextualSpacing w:val="0"/>
              <w:jc w:val="both"/>
              <w:rPr>
                <w:rFonts w:cs="Times New Roman"/>
                <w:b/>
                <w:color w:val="FFFFFF" w:themeColor="background1"/>
              </w:rPr>
            </w:pPr>
          </w:p>
        </w:tc>
        <w:tc>
          <w:tcPr>
            <w:tcW w:w="3663" w:type="dxa"/>
            <w:vAlign w:val="center"/>
          </w:tcPr>
          <w:p w14:paraId="0B0FBDAA" w14:textId="6324E589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MZd</w:t>
            </w:r>
          </w:p>
        </w:tc>
        <w:tc>
          <w:tcPr>
            <w:tcW w:w="3671" w:type="dxa"/>
            <w:vAlign w:val="center"/>
          </w:tcPr>
          <w:p w14:paraId="75EBD27C" w14:textId="5E3CE500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671 600</w:t>
            </w:r>
          </w:p>
        </w:tc>
      </w:tr>
      <w:tr w:rsidR="00ED7195" w:rsidRPr="004B0509" w14:paraId="3287A313" w14:textId="77777777" w:rsidTr="00DB27E0">
        <w:trPr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0329291C" w14:textId="77777777" w:rsidR="00ED7195" w:rsidRPr="004B0509" w:rsidRDefault="00ED7195" w:rsidP="00C26995">
            <w:pPr>
              <w:pStyle w:val="Odstavecseseznamem"/>
              <w:spacing w:before="60" w:after="60" w:line="240" w:lineRule="auto"/>
              <w:contextualSpacing w:val="0"/>
              <w:jc w:val="both"/>
              <w:rPr>
                <w:rFonts w:cs="Times New Roman"/>
                <w:b/>
                <w:color w:val="FFFFFF" w:themeColor="background1"/>
              </w:rPr>
            </w:pPr>
          </w:p>
        </w:tc>
        <w:tc>
          <w:tcPr>
            <w:tcW w:w="3663" w:type="dxa"/>
            <w:vAlign w:val="center"/>
          </w:tcPr>
          <w:p w14:paraId="5D1ACA1F" w14:textId="5B42F5E0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MZe</w:t>
            </w:r>
          </w:p>
        </w:tc>
        <w:tc>
          <w:tcPr>
            <w:tcW w:w="3671" w:type="dxa"/>
            <w:vAlign w:val="center"/>
          </w:tcPr>
          <w:p w14:paraId="67C8F4E2" w14:textId="2769EF33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795 457</w:t>
            </w:r>
          </w:p>
        </w:tc>
      </w:tr>
      <w:tr w:rsidR="00ED7195" w:rsidRPr="004B0509" w14:paraId="4655108A" w14:textId="77777777" w:rsidTr="00DB27E0">
        <w:trPr>
          <w:trHeight w:val="111"/>
          <w:jc w:val="center"/>
        </w:trPr>
        <w:tc>
          <w:tcPr>
            <w:tcW w:w="1728" w:type="dxa"/>
            <w:vMerge/>
            <w:shd w:val="clear" w:color="auto" w:fill="auto"/>
            <w:vAlign w:val="center"/>
          </w:tcPr>
          <w:p w14:paraId="6C481E5B" w14:textId="77777777" w:rsidR="00ED7195" w:rsidRPr="004B0509" w:rsidRDefault="00ED7195" w:rsidP="00C26995">
            <w:pPr>
              <w:pStyle w:val="Odstavecseseznamem"/>
              <w:spacing w:before="60" w:after="60" w:line="240" w:lineRule="auto"/>
              <w:contextualSpacing w:val="0"/>
              <w:jc w:val="both"/>
              <w:rPr>
                <w:rFonts w:cs="Times New Roman"/>
                <w:b/>
                <w:color w:val="FFFFFF" w:themeColor="background1"/>
              </w:rPr>
            </w:pPr>
          </w:p>
        </w:tc>
        <w:tc>
          <w:tcPr>
            <w:tcW w:w="3663" w:type="dxa"/>
            <w:vAlign w:val="center"/>
          </w:tcPr>
          <w:p w14:paraId="25C17A6D" w14:textId="48685413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MD</w:t>
            </w:r>
          </w:p>
        </w:tc>
        <w:tc>
          <w:tcPr>
            <w:tcW w:w="3671" w:type="dxa"/>
            <w:vAlign w:val="center"/>
          </w:tcPr>
          <w:p w14:paraId="0A827AB2" w14:textId="260A3485" w:rsidR="00ED7195" w:rsidRPr="004B0509" w:rsidRDefault="00ED7195" w:rsidP="00C26995">
            <w:pPr>
              <w:pStyle w:val="Odstavecseseznamem"/>
              <w:spacing w:before="60" w:after="60" w:line="240" w:lineRule="auto"/>
              <w:ind w:left="0"/>
              <w:contextualSpacing w:val="0"/>
              <w:jc w:val="center"/>
              <w:rPr>
                <w:rFonts w:cs="Times New Roman"/>
              </w:rPr>
            </w:pPr>
            <w:r w:rsidRPr="004B0509">
              <w:rPr>
                <w:rFonts w:cs="Times New Roman"/>
              </w:rPr>
              <w:t>417 281</w:t>
            </w:r>
          </w:p>
        </w:tc>
      </w:tr>
    </w:tbl>
    <w:p w14:paraId="2D322D99" w14:textId="77777777" w:rsidR="00ED7195" w:rsidRDefault="00ED7195" w:rsidP="00E00264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  <w:sz w:val="24"/>
          <w:szCs w:val="24"/>
        </w:rPr>
      </w:pPr>
    </w:p>
    <w:p w14:paraId="68906A8A" w14:textId="3EA57D75" w:rsidR="005A72A1" w:rsidRDefault="005A72A1" w:rsidP="009C59C3">
      <w:pPr>
        <w:pStyle w:val="Odstavecseseznamem"/>
        <w:spacing w:after="0" w:line="240" w:lineRule="auto"/>
        <w:ind w:left="0" w:right="-142"/>
        <w:contextualSpacing w:val="0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 wp14:anchorId="6DCACC64" wp14:editId="2B5B984D">
            <wp:extent cx="4930140" cy="2727658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8962" cy="27380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541E5B" w14:textId="77777777" w:rsidR="005A72A1" w:rsidRDefault="005A72A1" w:rsidP="00E00264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  <w:sz w:val="24"/>
          <w:szCs w:val="24"/>
        </w:rPr>
      </w:pPr>
    </w:p>
    <w:p w14:paraId="1AC4B8A4" w14:textId="77777777" w:rsidR="005A72A1" w:rsidRDefault="005A72A1" w:rsidP="00E00264">
      <w:pPr>
        <w:pStyle w:val="Odstavecseseznamem"/>
        <w:spacing w:after="0" w:line="240" w:lineRule="auto"/>
        <w:ind w:left="0" w:right="-142"/>
        <w:contextualSpacing w:val="0"/>
        <w:jc w:val="both"/>
        <w:rPr>
          <w:rFonts w:eastAsia="Times New Roman" w:cs="Times New Roman"/>
          <w:sz w:val="24"/>
          <w:szCs w:val="24"/>
        </w:rPr>
      </w:pPr>
    </w:p>
    <w:p w14:paraId="43CD48FC" w14:textId="60F8748D" w:rsidR="00FF15F4" w:rsidRPr="005A72A1" w:rsidRDefault="007C3D2F" w:rsidP="00BA3178">
      <w:pPr>
        <w:pStyle w:val="Nadpis1"/>
        <w:rPr>
          <w:rFonts w:eastAsia="Times New Roman"/>
        </w:rPr>
      </w:pPr>
      <w:r>
        <w:rPr>
          <w:rFonts w:eastAsia="Times New Roman"/>
        </w:rPr>
        <w:t>Zdroje</w:t>
      </w:r>
      <w:r w:rsidR="00400C90" w:rsidRPr="005A72A1">
        <w:rPr>
          <w:rFonts w:eastAsia="Times New Roman"/>
        </w:rPr>
        <w:t xml:space="preserve"> </w:t>
      </w:r>
      <w:r w:rsidR="00210580" w:rsidRPr="005A72A1">
        <w:rPr>
          <w:rFonts w:eastAsia="Times New Roman"/>
        </w:rPr>
        <w:t>podpory</w:t>
      </w:r>
      <w:r w:rsidR="00400C90" w:rsidRPr="005A72A1">
        <w:rPr>
          <w:rFonts w:eastAsia="Times New Roman"/>
        </w:rPr>
        <w:t xml:space="preserve"> </w:t>
      </w:r>
      <w:r w:rsidR="00CC21CA" w:rsidRPr="005A72A1">
        <w:rPr>
          <w:rFonts w:eastAsia="Times New Roman"/>
        </w:rPr>
        <w:t xml:space="preserve">v době tzv. </w:t>
      </w:r>
      <w:r w:rsidR="00400C90" w:rsidRPr="005A72A1">
        <w:rPr>
          <w:rFonts w:eastAsia="Times New Roman"/>
        </w:rPr>
        <w:t>udržitelnosti</w:t>
      </w:r>
    </w:p>
    <w:p w14:paraId="33AC0FD3" w14:textId="0F7E75A3" w:rsidR="00BA3178" w:rsidRPr="004B0509" w:rsidRDefault="00274072" w:rsidP="003454E1">
      <w:p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 xml:space="preserve">Hlavními nástroji financování udržitelnosti nově vybudovaných </w:t>
      </w:r>
      <w:r w:rsidR="00D61495" w:rsidRPr="004B0509">
        <w:rPr>
          <w:rFonts w:eastAsia="Times New Roman" w:cs="Times New Roman"/>
        </w:rPr>
        <w:t xml:space="preserve">kapacit výzkumných organizací ČR, jejichž investiční náklady byly hrazeny </w:t>
      </w:r>
      <w:r w:rsidRPr="004B0509">
        <w:rPr>
          <w:rFonts w:eastAsia="Times New Roman" w:cs="Times New Roman"/>
        </w:rPr>
        <w:t xml:space="preserve">za využití prostředků </w:t>
      </w:r>
      <w:r w:rsidR="00D61495" w:rsidRPr="004B0509">
        <w:rPr>
          <w:rFonts w:eastAsia="Times New Roman" w:cs="Times New Roman"/>
        </w:rPr>
        <w:t>ERDF v</w:t>
      </w:r>
      <w:r w:rsidR="00613C39">
        <w:rPr>
          <w:rFonts w:eastAsia="Times New Roman" w:cs="Times New Roman"/>
        </w:rPr>
        <w:t> </w:t>
      </w:r>
      <w:r w:rsidR="00D61495" w:rsidRPr="004B0509">
        <w:rPr>
          <w:rFonts w:eastAsia="Times New Roman" w:cs="Times New Roman"/>
        </w:rPr>
        <w:t>rámci</w:t>
      </w:r>
      <w:r w:rsidR="00613C39">
        <w:rPr>
          <w:rFonts w:eastAsia="Times New Roman" w:cs="Times New Roman"/>
        </w:rPr>
        <w:t xml:space="preserve"> </w:t>
      </w:r>
      <w:r w:rsidRPr="004B0509">
        <w:rPr>
          <w:rFonts w:eastAsia="Times New Roman" w:cs="Times New Roman"/>
        </w:rPr>
        <w:t>OP VaVpI</w:t>
      </w:r>
      <w:r w:rsidR="00D61495" w:rsidRPr="004B0509">
        <w:rPr>
          <w:rFonts w:eastAsia="Times New Roman" w:cs="Times New Roman"/>
        </w:rPr>
        <w:t>,</w:t>
      </w:r>
      <w:r w:rsidRPr="004B0509">
        <w:rPr>
          <w:rFonts w:eastAsia="Times New Roman" w:cs="Times New Roman"/>
        </w:rPr>
        <w:t xml:space="preserve"> jsou:</w:t>
      </w:r>
    </w:p>
    <w:p w14:paraId="5C64E7E9" w14:textId="77777777" w:rsidR="00BA3178" w:rsidRPr="004B0509" w:rsidRDefault="00BA3178" w:rsidP="003454E1">
      <w:pPr>
        <w:spacing w:after="0" w:line="240" w:lineRule="auto"/>
        <w:jc w:val="both"/>
        <w:rPr>
          <w:rFonts w:eastAsia="Times New Roman" w:cs="Times New Roman"/>
        </w:rPr>
      </w:pPr>
    </w:p>
    <w:p w14:paraId="580320BF" w14:textId="77777777" w:rsidR="00D377BA" w:rsidRPr="004B0509" w:rsidRDefault="00E4720C" w:rsidP="00BA3178">
      <w:pPr>
        <w:pStyle w:val="Odstavecseseznamem"/>
        <w:numPr>
          <w:ilvl w:val="0"/>
          <w:numId w:val="23"/>
        </w:numPr>
        <w:spacing w:after="0" w:line="240" w:lineRule="auto"/>
        <w:contextualSpacing w:val="0"/>
        <w:jc w:val="both"/>
        <w:rPr>
          <w:rFonts w:eastAsia="Times New Roman" w:cs="Times New Roman"/>
          <w:b/>
        </w:rPr>
      </w:pPr>
      <w:r w:rsidRPr="004B0509">
        <w:rPr>
          <w:rFonts w:eastAsia="Times New Roman" w:cs="Times New Roman"/>
          <w:b/>
        </w:rPr>
        <w:t>Národní program</w:t>
      </w:r>
      <w:r w:rsidR="00274072" w:rsidRPr="004B0509">
        <w:rPr>
          <w:rFonts w:eastAsia="Times New Roman" w:cs="Times New Roman"/>
          <w:b/>
        </w:rPr>
        <w:t xml:space="preserve"> udržitelnosti I</w:t>
      </w:r>
      <w:r w:rsidRPr="004B0509">
        <w:rPr>
          <w:rFonts w:eastAsia="Times New Roman" w:cs="Times New Roman"/>
          <w:b/>
        </w:rPr>
        <w:t>;</w:t>
      </w:r>
    </w:p>
    <w:p w14:paraId="6B31DC34" w14:textId="77777777" w:rsidR="00D377BA" w:rsidRPr="004B0509" w:rsidRDefault="00274072" w:rsidP="00BA3178">
      <w:pPr>
        <w:pStyle w:val="Odstavecseseznamem"/>
        <w:numPr>
          <w:ilvl w:val="0"/>
          <w:numId w:val="23"/>
        </w:numPr>
        <w:spacing w:after="0" w:line="240" w:lineRule="auto"/>
        <w:contextualSpacing w:val="0"/>
        <w:jc w:val="both"/>
        <w:rPr>
          <w:rFonts w:eastAsia="Times New Roman" w:cs="Times New Roman"/>
          <w:b/>
        </w:rPr>
      </w:pPr>
      <w:r w:rsidRPr="004B0509">
        <w:rPr>
          <w:rFonts w:eastAsia="Times New Roman" w:cs="Times New Roman"/>
          <w:b/>
        </w:rPr>
        <w:t>N</w:t>
      </w:r>
      <w:r w:rsidR="00E4720C" w:rsidRPr="004B0509">
        <w:rPr>
          <w:rFonts w:eastAsia="Times New Roman" w:cs="Times New Roman"/>
          <w:b/>
        </w:rPr>
        <w:t>árodní program udržitelnosti II;</w:t>
      </w:r>
    </w:p>
    <w:p w14:paraId="656A4B7F" w14:textId="329BF73E" w:rsidR="005A72A1" w:rsidRPr="004B0509" w:rsidRDefault="00274072" w:rsidP="00613C39">
      <w:pPr>
        <w:pStyle w:val="Odstavecseseznamem"/>
        <w:numPr>
          <w:ilvl w:val="0"/>
          <w:numId w:val="23"/>
        </w:numPr>
        <w:spacing w:line="240" w:lineRule="auto"/>
        <w:ind w:left="357" w:hanging="357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 xml:space="preserve">aktivita na podporu </w:t>
      </w:r>
      <w:r w:rsidRPr="004B0509">
        <w:rPr>
          <w:rFonts w:eastAsia="Times New Roman" w:cs="Times New Roman"/>
          <w:b/>
        </w:rPr>
        <w:t>velkých</w:t>
      </w:r>
      <w:r w:rsidR="00613C39">
        <w:rPr>
          <w:rFonts w:eastAsia="Times New Roman" w:cs="Times New Roman"/>
          <w:b/>
        </w:rPr>
        <w:t xml:space="preserve"> výzkumných</w:t>
      </w:r>
      <w:r w:rsidRPr="004B0509">
        <w:rPr>
          <w:rFonts w:eastAsia="Times New Roman" w:cs="Times New Roman"/>
          <w:b/>
        </w:rPr>
        <w:t xml:space="preserve"> infrastruktur</w:t>
      </w:r>
      <w:r w:rsidR="00E4720C" w:rsidRPr="004B0509">
        <w:rPr>
          <w:rFonts w:eastAsia="Times New Roman" w:cs="Times New Roman"/>
        </w:rPr>
        <w:t>.</w:t>
      </w:r>
      <w:r w:rsidR="005A72A1" w:rsidRPr="004B0509">
        <w:rPr>
          <w:rFonts w:eastAsia="Times New Roman" w:cs="Times New Roman"/>
        </w:rPr>
        <w:t xml:space="preserve"> Kapacity vybudované v rámci jednoho a</w:t>
      </w:r>
      <w:r w:rsidR="00613C39">
        <w:rPr>
          <w:rFonts w:eastAsia="Times New Roman" w:cs="Times New Roman"/>
        </w:rPr>
        <w:t> </w:t>
      </w:r>
      <w:r w:rsidR="005A72A1" w:rsidRPr="004B0509">
        <w:rPr>
          <w:rFonts w:eastAsia="Times New Roman" w:cs="Times New Roman"/>
        </w:rPr>
        <w:t xml:space="preserve">téhož projektu OP VaVpI tedy mohou být souběžně financovány jako „centra výzkumu a vývoje“ </w:t>
      </w:r>
      <w:r w:rsidR="004B0509">
        <w:rPr>
          <w:rFonts w:eastAsia="Times New Roman" w:cs="Times New Roman"/>
        </w:rPr>
        <w:br/>
      </w:r>
      <w:r w:rsidR="005A72A1" w:rsidRPr="004B0509">
        <w:rPr>
          <w:rFonts w:eastAsia="Times New Roman" w:cs="Times New Roman"/>
        </w:rPr>
        <w:t xml:space="preserve">z Národního programu udržitelnosti I nebo Národního programu udržitelnosti II a zároveň mohou být </w:t>
      </w:r>
      <w:r w:rsidR="00BA3178" w:rsidRPr="004B0509">
        <w:rPr>
          <w:rFonts w:eastAsia="Times New Roman" w:cs="Times New Roman"/>
        </w:rPr>
        <w:t>nositeli „velké</w:t>
      </w:r>
      <w:r w:rsidR="005A72A1" w:rsidRPr="004B0509">
        <w:rPr>
          <w:rFonts w:eastAsia="Times New Roman" w:cs="Times New Roman"/>
        </w:rPr>
        <w:t xml:space="preserve"> </w:t>
      </w:r>
      <w:r w:rsidR="00613C39">
        <w:rPr>
          <w:rFonts w:eastAsia="Times New Roman" w:cs="Times New Roman"/>
        </w:rPr>
        <w:t xml:space="preserve">výzkumné </w:t>
      </w:r>
      <w:r w:rsidR="005A72A1" w:rsidRPr="004B0509">
        <w:rPr>
          <w:rFonts w:eastAsia="Times New Roman" w:cs="Times New Roman"/>
        </w:rPr>
        <w:t xml:space="preserve">infrastruktury“ v rámci </w:t>
      </w:r>
      <w:r w:rsidR="00613C39">
        <w:rPr>
          <w:rFonts w:eastAsia="Times New Roman" w:cs="Times New Roman"/>
        </w:rPr>
        <w:t xml:space="preserve">věcně příslušné </w:t>
      </w:r>
      <w:r w:rsidR="005A72A1" w:rsidRPr="004B0509">
        <w:rPr>
          <w:rFonts w:eastAsia="Times New Roman" w:cs="Times New Roman"/>
        </w:rPr>
        <w:t xml:space="preserve">aktivity MŠMT, přičemž jsou </w:t>
      </w:r>
      <w:r w:rsidR="005A72A1" w:rsidRPr="004B0509">
        <w:rPr>
          <w:rFonts w:eastAsia="Times New Roman" w:cs="Times New Roman"/>
          <w:b/>
        </w:rPr>
        <w:t>striktně oddělované</w:t>
      </w:r>
      <w:r w:rsidR="005A72A1" w:rsidRPr="004B0509">
        <w:rPr>
          <w:rFonts w:eastAsia="Times New Roman" w:cs="Times New Roman"/>
        </w:rPr>
        <w:t xml:space="preserve"> evidence výdajů pro zabránění duplicitního financování.</w:t>
      </w:r>
    </w:p>
    <w:p w14:paraId="223E48E7" w14:textId="261D7F30" w:rsidR="00274072" w:rsidRPr="004B0509" w:rsidRDefault="00274072" w:rsidP="005A72A1">
      <w:pPr>
        <w:pStyle w:val="Odstavecseseznamem"/>
        <w:spacing w:after="0" w:line="240" w:lineRule="auto"/>
        <w:ind w:left="714"/>
        <w:contextualSpacing w:val="0"/>
        <w:jc w:val="both"/>
        <w:rPr>
          <w:rFonts w:eastAsia="Times New Roman" w:cs="Times New Roman"/>
        </w:rPr>
      </w:pPr>
    </w:p>
    <w:p w14:paraId="1ADC0146" w14:textId="47A5A9B6" w:rsidR="00274072" w:rsidRPr="004B0509" w:rsidRDefault="00274072" w:rsidP="005A72A1">
      <w:p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 xml:space="preserve">Všechny tyto </w:t>
      </w:r>
      <w:r w:rsidR="00E10224" w:rsidRPr="004B0509">
        <w:rPr>
          <w:rFonts w:eastAsia="Times New Roman" w:cs="Times New Roman"/>
        </w:rPr>
        <w:t xml:space="preserve">stěžejní </w:t>
      </w:r>
      <w:r w:rsidRPr="004B0509">
        <w:rPr>
          <w:rFonts w:eastAsia="Times New Roman" w:cs="Times New Roman"/>
        </w:rPr>
        <w:t xml:space="preserve">nástroje </w:t>
      </w:r>
      <w:r w:rsidR="000A4514" w:rsidRPr="004B0509">
        <w:rPr>
          <w:rFonts w:eastAsia="Times New Roman" w:cs="Times New Roman"/>
        </w:rPr>
        <w:t xml:space="preserve">podpory </w:t>
      </w:r>
      <w:r w:rsidR="00E10224" w:rsidRPr="004B0509">
        <w:rPr>
          <w:rFonts w:eastAsia="Times New Roman" w:cs="Times New Roman"/>
        </w:rPr>
        <w:t xml:space="preserve">udržitelnosti </w:t>
      </w:r>
      <w:r w:rsidRPr="004B0509">
        <w:rPr>
          <w:rFonts w:eastAsia="Times New Roman" w:cs="Times New Roman"/>
        </w:rPr>
        <w:t xml:space="preserve">jsou implementovány v gesci MŠMT. </w:t>
      </w:r>
    </w:p>
    <w:p w14:paraId="0529A849" w14:textId="77777777" w:rsidR="00274072" w:rsidRPr="004B0509" w:rsidRDefault="00274072" w:rsidP="003454E1">
      <w:pPr>
        <w:spacing w:after="0" w:line="240" w:lineRule="auto"/>
        <w:jc w:val="both"/>
        <w:rPr>
          <w:rFonts w:eastAsia="Times New Roman" w:cs="Times New Roman"/>
        </w:rPr>
      </w:pPr>
    </w:p>
    <w:p w14:paraId="00F85CC9" w14:textId="77777777" w:rsidR="007C3D2F" w:rsidRDefault="00397683" w:rsidP="000A4514">
      <w:p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 xml:space="preserve">Kromě toho </w:t>
      </w:r>
      <w:r w:rsidR="00D61495" w:rsidRPr="004B0509">
        <w:rPr>
          <w:rFonts w:eastAsia="Times New Roman" w:cs="Times New Roman"/>
        </w:rPr>
        <w:t xml:space="preserve">lze na financování </w:t>
      </w:r>
      <w:r w:rsidR="00E10224" w:rsidRPr="004B0509">
        <w:rPr>
          <w:rFonts w:eastAsia="Times New Roman" w:cs="Times New Roman"/>
        </w:rPr>
        <w:t>kapacit</w:t>
      </w:r>
      <w:r w:rsidR="00D61495" w:rsidRPr="004B0509">
        <w:rPr>
          <w:rFonts w:eastAsia="Times New Roman" w:cs="Times New Roman"/>
        </w:rPr>
        <w:t xml:space="preserve"> využít rovněž</w:t>
      </w:r>
      <w:r w:rsidR="007C3D2F">
        <w:rPr>
          <w:rFonts w:eastAsia="Times New Roman" w:cs="Times New Roman"/>
        </w:rPr>
        <w:t>:</w:t>
      </w:r>
    </w:p>
    <w:p w14:paraId="2E4F1DA8" w14:textId="57190F00" w:rsidR="007C3D2F" w:rsidRPr="007C3D2F" w:rsidRDefault="00D61495" w:rsidP="007C3D2F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7C3D2F">
        <w:rPr>
          <w:rFonts w:eastAsia="Times New Roman" w:cs="Times New Roman"/>
          <w:b/>
        </w:rPr>
        <w:t>prostředky institucionální podpory na dlouhodobý koncepč</w:t>
      </w:r>
      <w:r w:rsidR="00613C39">
        <w:rPr>
          <w:rFonts w:eastAsia="Times New Roman" w:cs="Times New Roman"/>
          <w:b/>
        </w:rPr>
        <w:t>ní rozvoj výzkumných organizací;</w:t>
      </w:r>
    </w:p>
    <w:p w14:paraId="7E0173F8" w14:textId="6986F8EC" w:rsidR="007C3D2F" w:rsidRPr="007C3D2F" w:rsidRDefault="006A74C7" w:rsidP="007C3D2F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7C3D2F">
        <w:rPr>
          <w:rFonts w:eastAsia="Times New Roman" w:cs="Times New Roman"/>
          <w:b/>
        </w:rPr>
        <w:t>prostředky účelové podpory z</w:t>
      </w:r>
      <w:r w:rsidR="00613C39">
        <w:rPr>
          <w:rFonts w:eastAsia="Times New Roman" w:cs="Times New Roman"/>
          <w:b/>
        </w:rPr>
        <w:t xml:space="preserve"> výdajů</w:t>
      </w:r>
      <w:r w:rsidRPr="007C3D2F">
        <w:rPr>
          <w:rFonts w:eastAsia="Times New Roman" w:cs="Times New Roman"/>
          <w:b/>
        </w:rPr>
        <w:t xml:space="preserve"> státního rozpočtu</w:t>
      </w:r>
      <w:r w:rsidR="000A4514" w:rsidRPr="007C3D2F">
        <w:rPr>
          <w:rFonts w:eastAsia="Times New Roman" w:cs="Times New Roman"/>
          <w:b/>
        </w:rPr>
        <w:t xml:space="preserve"> ČR</w:t>
      </w:r>
      <w:r w:rsidRPr="007C3D2F">
        <w:rPr>
          <w:rFonts w:eastAsia="Times New Roman" w:cs="Times New Roman"/>
          <w:b/>
        </w:rPr>
        <w:t xml:space="preserve"> na VaV</w:t>
      </w:r>
      <w:r w:rsidR="000A4514" w:rsidRPr="007C3D2F">
        <w:rPr>
          <w:rFonts w:eastAsia="Times New Roman" w:cs="Times New Roman"/>
          <w:b/>
        </w:rPr>
        <w:t>aI</w:t>
      </w:r>
      <w:r w:rsidR="00613C39">
        <w:rPr>
          <w:rFonts w:eastAsia="Times New Roman" w:cs="Times New Roman"/>
          <w:b/>
        </w:rPr>
        <w:t>;</w:t>
      </w:r>
    </w:p>
    <w:p w14:paraId="57D08EDF" w14:textId="2E207236" w:rsidR="007C3D2F" w:rsidRPr="007C3D2F" w:rsidRDefault="006A74C7" w:rsidP="007C3D2F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7C3D2F">
        <w:rPr>
          <w:rFonts w:eastAsia="Times New Roman" w:cs="Times New Roman"/>
          <w:b/>
        </w:rPr>
        <w:t>další veřejné prostředky ČR</w:t>
      </w:r>
      <w:r w:rsidR="00613C39">
        <w:rPr>
          <w:rFonts w:eastAsia="Times New Roman" w:cs="Times New Roman"/>
          <w:b/>
        </w:rPr>
        <w:t>;</w:t>
      </w:r>
    </w:p>
    <w:p w14:paraId="1D160DD8" w14:textId="2736804B" w:rsidR="007C3D2F" w:rsidRPr="007C3D2F" w:rsidRDefault="006A74C7" w:rsidP="007C3D2F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7C3D2F">
        <w:rPr>
          <w:rFonts w:eastAsia="Times New Roman" w:cs="Times New Roman"/>
          <w:b/>
        </w:rPr>
        <w:t>zahraniční prostředky</w:t>
      </w:r>
      <w:r w:rsidR="00613C39">
        <w:rPr>
          <w:rFonts w:eastAsia="Times New Roman" w:cs="Times New Roman"/>
          <w:b/>
        </w:rPr>
        <w:t>;</w:t>
      </w:r>
    </w:p>
    <w:p w14:paraId="2A29A16F" w14:textId="721DC998" w:rsidR="00D61495" w:rsidRPr="007C3D2F" w:rsidRDefault="00D61495" w:rsidP="007C3D2F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7C3D2F">
        <w:rPr>
          <w:rFonts w:eastAsia="Times New Roman" w:cs="Times New Roman"/>
          <w:b/>
        </w:rPr>
        <w:t>prostředky neveřejné povahy</w:t>
      </w:r>
      <w:r w:rsidRPr="007C3D2F">
        <w:rPr>
          <w:rFonts w:eastAsia="Times New Roman" w:cs="Times New Roman"/>
        </w:rPr>
        <w:t xml:space="preserve"> (tj. prostředky mající povahu hospodářské činnosti výzkumné org</w:t>
      </w:r>
      <w:r w:rsidR="00E10224" w:rsidRPr="007C3D2F">
        <w:rPr>
          <w:rFonts w:eastAsia="Times New Roman" w:cs="Times New Roman"/>
        </w:rPr>
        <w:t>anizace, např. smluvní výzkum).</w:t>
      </w:r>
    </w:p>
    <w:p w14:paraId="0EB5017E" w14:textId="77777777" w:rsidR="00CC21CA" w:rsidRPr="005A72A1" w:rsidRDefault="00CC21CA" w:rsidP="000A4514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5106F1A6" w14:textId="20B37FB7" w:rsidR="00CC21CA" w:rsidRPr="005A72A1" w:rsidRDefault="007C3D2F" w:rsidP="00BA3178">
      <w:pPr>
        <w:pStyle w:val="Nadpis1"/>
        <w:rPr>
          <w:rFonts w:eastAsia="Times New Roman"/>
        </w:rPr>
      </w:pPr>
      <w:r>
        <w:rPr>
          <w:rFonts w:eastAsia="Times New Roman"/>
        </w:rPr>
        <w:t>Zdroje</w:t>
      </w:r>
      <w:r w:rsidR="005A72A1" w:rsidRPr="005A72A1">
        <w:rPr>
          <w:rFonts w:eastAsia="Times New Roman"/>
        </w:rPr>
        <w:t xml:space="preserve"> podpory</w:t>
      </w:r>
      <w:r w:rsidR="00CC21CA" w:rsidRPr="005A72A1">
        <w:rPr>
          <w:rFonts w:eastAsia="Times New Roman"/>
        </w:rPr>
        <w:t xml:space="preserve"> po roce 2020</w:t>
      </w:r>
    </w:p>
    <w:p w14:paraId="0D452005" w14:textId="1C22C75A" w:rsidR="00BA3178" w:rsidRPr="004B0509" w:rsidRDefault="00BA3178" w:rsidP="000A4514">
      <w:pPr>
        <w:spacing w:after="0" w:line="240" w:lineRule="auto"/>
        <w:jc w:val="both"/>
        <w:rPr>
          <w:rFonts w:eastAsia="Times New Roman" w:cs="Times New Roman"/>
          <w:b/>
        </w:rPr>
      </w:pPr>
      <w:r w:rsidRPr="004B0509">
        <w:rPr>
          <w:rFonts w:eastAsia="Times New Roman" w:cs="Times New Roman"/>
          <w:b/>
        </w:rPr>
        <w:t xml:space="preserve">MŠMT bylo národním zprostředkovatelem </w:t>
      </w:r>
      <w:r w:rsidR="00613C39">
        <w:rPr>
          <w:rFonts w:eastAsia="Times New Roman" w:cs="Times New Roman"/>
          <w:b/>
        </w:rPr>
        <w:t>OP VaVpI a je národním zprostředkovatelem</w:t>
      </w:r>
      <w:r w:rsidRPr="004B0509">
        <w:rPr>
          <w:rFonts w:eastAsia="Times New Roman" w:cs="Times New Roman"/>
          <w:b/>
        </w:rPr>
        <w:t xml:space="preserve"> NPU I a II. Tuto roli po roce 2020 již MŠMT </w:t>
      </w:r>
      <w:r w:rsidR="00613C39">
        <w:rPr>
          <w:rFonts w:eastAsia="Times New Roman" w:cs="Times New Roman"/>
          <w:b/>
        </w:rPr>
        <w:t>vykonávat</w:t>
      </w:r>
      <w:r w:rsidRPr="004B0509">
        <w:rPr>
          <w:rFonts w:eastAsia="Times New Roman" w:cs="Times New Roman"/>
          <w:b/>
        </w:rPr>
        <w:t xml:space="preserve"> nebude. Po skončení NPU</w:t>
      </w:r>
      <w:r w:rsidR="004B0509" w:rsidRPr="004B0509">
        <w:rPr>
          <w:rFonts w:eastAsia="Times New Roman" w:cs="Times New Roman"/>
          <w:b/>
        </w:rPr>
        <w:t xml:space="preserve"> </w:t>
      </w:r>
      <w:r w:rsidR="00613C39">
        <w:rPr>
          <w:rFonts w:eastAsia="Times New Roman" w:cs="Times New Roman"/>
          <w:b/>
        </w:rPr>
        <w:t xml:space="preserve">I a II </w:t>
      </w:r>
      <w:r w:rsidR="004B0509" w:rsidRPr="004B0509">
        <w:rPr>
          <w:rFonts w:eastAsia="Times New Roman" w:cs="Times New Roman"/>
          <w:b/>
        </w:rPr>
        <w:t>po roce 2020</w:t>
      </w:r>
      <w:r w:rsidR="00613C39">
        <w:rPr>
          <w:rFonts w:eastAsia="Times New Roman" w:cs="Times New Roman"/>
          <w:b/>
        </w:rPr>
        <w:t xml:space="preserve"> jsou nástroje</w:t>
      </w:r>
      <w:r w:rsidRPr="004B0509">
        <w:rPr>
          <w:rFonts w:eastAsia="Times New Roman" w:cs="Times New Roman"/>
          <w:b/>
        </w:rPr>
        <w:t xml:space="preserve"> financování dlouhodobě udržitelného rozvoje kapacit pro provádění VaVaI, které byly vybudovány v letech 2007 </w:t>
      </w:r>
      <w:r w:rsidR="00613C39">
        <w:rPr>
          <w:rFonts w:eastAsia="Times New Roman" w:cs="Times New Roman"/>
          <w:b/>
        </w:rPr>
        <w:t>až</w:t>
      </w:r>
      <w:r w:rsidRPr="004B0509">
        <w:rPr>
          <w:rFonts w:eastAsia="Times New Roman" w:cs="Times New Roman"/>
          <w:b/>
        </w:rPr>
        <w:t xml:space="preserve"> 2015 za využití prostředků ERDF v rámci OP VaVpI, plně v souladu s původním záměrem </w:t>
      </w:r>
      <w:r w:rsidR="004B0509" w:rsidRPr="004B0509">
        <w:rPr>
          <w:rFonts w:eastAsia="Times New Roman" w:cs="Times New Roman"/>
          <w:b/>
        </w:rPr>
        <w:t xml:space="preserve">v gesci </w:t>
      </w:r>
      <w:r w:rsidR="00613C39">
        <w:rPr>
          <w:rFonts w:eastAsia="Times New Roman" w:cs="Times New Roman"/>
          <w:b/>
        </w:rPr>
        <w:t xml:space="preserve">jejich </w:t>
      </w:r>
      <w:r w:rsidR="004B0509" w:rsidRPr="004B0509">
        <w:rPr>
          <w:rFonts w:eastAsia="Times New Roman" w:cs="Times New Roman"/>
          <w:b/>
        </w:rPr>
        <w:t>jednotlivých zřizovatelů/poskytovatelů. Z hlediska MŠMT</w:t>
      </w:r>
      <w:r w:rsidRPr="004B0509">
        <w:rPr>
          <w:rFonts w:eastAsia="Times New Roman" w:cs="Times New Roman"/>
          <w:b/>
        </w:rPr>
        <w:t xml:space="preserve">, tj. v případě, kdy je hostitelskou institucí </w:t>
      </w:r>
      <w:r w:rsidR="00613C39">
        <w:rPr>
          <w:rFonts w:eastAsia="Times New Roman" w:cs="Times New Roman"/>
          <w:b/>
        </w:rPr>
        <w:t xml:space="preserve">projektu OP VaVpI </w:t>
      </w:r>
      <w:r w:rsidRPr="004B0509">
        <w:rPr>
          <w:rFonts w:eastAsia="Times New Roman" w:cs="Times New Roman"/>
          <w:b/>
        </w:rPr>
        <w:t xml:space="preserve">veřejná vysoká škola, </w:t>
      </w:r>
      <w:r w:rsidR="004B0509" w:rsidRPr="004B0509">
        <w:rPr>
          <w:rFonts w:eastAsia="Times New Roman" w:cs="Times New Roman"/>
          <w:b/>
        </w:rPr>
        <w:t xml:space="preserve">bude </w:t>
      </w:r>
      <w:r w:rsidRPr="004B0509">
        <w:rPr>
          <w:rFonts w:eastAsia="Times New Roman" w:cs="Times New Roman"/>
          <w:b/>
        </w:rPr>
        <w:t xml:space="preserve">řešena skrze nárůsty ukazatele </w:t>
      </w:r>
      <w:r w:rsidR="00613C39">
        <w:rPr>
          <w:rFonts w:eastAsia="Times New Roman" w:cs="Times New Roman"/>
          <w:b/>
        </w:rPr>
        <w:t xml:space="preserve">„institucionální podpora na </w:t>
      </w:r>
      <w:r w:rsidRPr="004B0509">
        <w:rPr>
          <w:rFonts w:eastAsia="Times New Roman" w:cs="Times New Roman"/>
          <w:b/>
        </w:rPr>
        <w:t>dlouhodobý koncepční rozvoj výzkumné organizace</w:t>
      </w:r>
      <w:r w:rsidR="00613C39">
        <w:rPr>
          <w:rFonts w:eastAsia="Times New Roman" w:cs="Times New Roman"/>
          <w:b/>
        </w:rPr>
        <w:t>“</w:t>
      </w:r>
      <w:r w:rsidRPr="004B0509">
        <w:rPr>
          <w:rFonts w:eastAsia="Times New Roman" w:cs="Times New Roman"/>
          <w:b/>
        </w:rPr>
        <w:t>.</w:t>
      </w:r>
      <w:r w:rsidR="004B0509">
        <w:rPr>
          <w:rFonts w:eastAsia="Times New Roman" w:cs="Times New Roman"/>
          <w:b/>
        </w:rPr>
        <w:t xml:space="preserve"> </w:t>
      </w:r>
      <w:r w:rsidR="00645A3D">
        <w:rPr>
          <w:rFonts w:eastAsia="Times New Roman" w:cs="Times New Roman"/>
          <w:b/>
        </w:rPr>
        <w:t>Zdrojem</w:t>
      </w:r>
      <w:r w:rsidR="00613C39">
        <w:rPr>
          <w:rFonts w:eastAsia="Times New Roman" w:cs="Times New Roman"/>
          <w:b/>
        </w:rPr>
        <w:t>,</w:t>
      </w:r>
      <w:r w:rsidR="00645A3D">
        <w:rPr>
          <w:rFonts w:eastAsia="Times New Roman" w:cs="Times New Roman"/>
          <w:b/>
        </w:rPr>
        <w:t xml:space="preserve"> u </w:t>
      </w:r>
      <w:r w:rsidR="00613C39">
        <w:rPr>
          <w:rFonts w:eastAsia="Times New Roman" w:cs="Times New Roman"/>
          <w:b/>
        </w:rPr>
        <w:t>něhož</w:t>
      </w:r>
      <w:r w:rsidR="00645A3D">
        <w:rPr>
          <w:rFonts w:eastAsia="Times New Roman" w:cs="Times New Roman"/>
          <w:b/>
        </w:rPr>
        <w:t xml:space="preserve"> bude MŠMT též poskytovatel podpory</w:t>
      </w:r>
      <w:r w:rsidR="00FE1DAD">
        <w:rPr>
          <w:rFonts w:eastAsia="Times New Roman" w:cs="Times New Roman"/>
          <w:b/>
        </w:rPr>
        <w:t>,</w:t>
      </w:r>
      <w:r w:rsidR="00645A3D">
        <w:rPr>
          <w:rFonts w:eastAsia="Times New Roman" w:cs="Times New Roman"/>
          <w:b/>
        </w:rPr>
        <w:t xml:space="preserve"> je podpora velkých výzkumných infrastruktur.</w:t>
      </w:r>
    </w:p>
    <w:p w14:paraId="2FEA15C4" w14:textId="77777777" w:rsidR="00BA3178" w:rsidRPr="004B0509" w:rsidRDefault="00BA3178" w:rsidP="000A4514">
      <w:pPr>
        <w:spacing w:after="0" w:line="240" w:lineRule="auto"/>
        <w:jc w:val="both"/>
        <w:rPr>
          <w:rFonts w:eastAsia="Times New Roman" w:cs="Times New Roman"/>
        </w:rPr>
      </w:pPr>
    </w:p>
    <w:p w14:paraId="46008881" w14:textId="0DF51214" w:rsidR="00FA06A9" w:rsidRPr="00613C39" w:rsidRDefault="00FA06A9" w:rsidP="00613C39">
      <w:pPr>
        <w:pStyle w:val="Odstavecseseznamem"/>
        <w:numPr>
          <w:ilvl w:val="0"/>
          <w:numId w:val="27"/>
        </w:numPr>
        <w:spacing w:after="120" w:line="240" w:lineRule="auto"/>
        <w:ind w:left="357" w:hanging="357"/>
        <w:contextualSpacing w:val="0"/>
        <w:jc w:val="both"/>
        <w:rPr>
          <w:rFonts w:eastAsia="Times New Roman" w:cs="Times New Roman"/>
          <w:b/>
        </w:rPr>
      </w:pPr>
      <w:r w:rsidRPr="00613C39">
        <w:rPr>
          <w:rFonts w:eastAsia="Times New Roman" w:cs="Times New Roman"/>
          <w:b/>
        </w:rPr>
        <w:t>Institucionální podpora na dlouhodobý koncepční rozvoj výzkumných organizací</w:t>
      </w:r>
    </w:p>
    <w:p w14:paraId="1156B3DB" w14:textId="2D2719A7" w:rsidR="00FA06A9" w:rsidRPr="004B0509" w:rsidRDefault="00D61495" w:rsidP="003454E1">
      <w:pPr>
        <w:spacing w:after="0" w:line="240" w:lineRule="auto"/>
        <w:jc w:val="both"/>
        <w:rPr>
          <w:rFonts w:eastAsia="Times New Roman" w:cs="Times New Roman"/>
        </w:rPr>
      </w:pPr>
      <w:r w:rsidRPr="004B0509">
        <w:rPr>
          <w:rFonts w:eastAsia="Times New Roman" w:cs="Times New Roman"/>
        </w:rPr>
        <w:t>Institucionální podporu na dlouhodobý koncepční rozvoj výzkumných organizací poskytuje výzkumným organizacím jejich věcně příslušný poskytovatel, a to na základě zhodnocení jimi dosažených výsledků</w:t>
      </w:r>
      <w:r w:rsidR="00BA3178" w:rsidRPr="004B0509">
        <w:rPr>
          <w:rFonts w:eastAsia="Times New Roman" w:cs="Times New Roman"/>
        </w:rPr>
        <w:t xml:space="preserve"> </w:t>
      </w:r>
      <w:r w:rsidR="00613C39">
        <w:rPr>
          <w:rFonts w:eastAsia="Times New Roman" w:cs="Times New Roman"/>
        </w:rPr>
        <w:t>ze strany Rady pro výzkum, vývoj a inovace (dále jen „RVVI“)</w:t>
      </w:r>
      <w:r w:rsidRPr="004B0509">
        <w:rPr>
          <w:rFonts w:eastAsia="Times New Roman" w:cs="Times New Roman"/>
        </w:rPr>
        <w:t xml:space="preserve">. </w:t>
      </w:r>
      <w:r w:rsidR="008475A9" w:rsidRPr="004B0509">
        <w:rPr>
          <w:rFonts w:eastAsia="Times New Roman" w:cs="Times New Roman"/>
        </w:rPr>
        <w:t>T</w:t>
      </w:r>
      <w:r w:rsidR="008475A9" w:rsidRPr="004B0509">
        <w:rPr>
          <w:rFonts w:cs="Times New Roman"/>
        </w:rPr>
        <w:t>ato podpora má výrazně stabilizační charakter. Její výše se meziročně mění vždy podle výstupů aktuálního hodnocení výsledků výzkumných organizací provedeného RVVI podle platné metodiky.</w:t>
      </w:r>
    </w:p>
    <w:p w14:paraId="191AE462" w14:textId="77777777" w:rsidR="007916ED" w:rsidRPr="004B0509" w:rsidRDefault="007916ED" w:rsidP="007916ED">
      <w:pPr>
        <w:spacing w:after="0" w:line="240" w:lineRule="auto"/>
        <w:jc w:val="both"/>
        <w:rPr>
          <w:rFonts w:cs="Times New Roman"/>
        </w:rPr>
      </w:pPr>
    </w:p>
    <w:p w14:paraId="75148C56" w14:textId="4F27A5B9" w:rsidR="00DD111D" w:rsidRPr="004B0509" w:rsidRDefault="00DD111D" w:rsidP="00613C39">
      <w:pPr>
        <w:pStyle w:val="Odstavecseseznamem"/>
        <w:numPr>
          <w:ilvl w:val="0"/>
          <w:numId w:val="27"/>
        </w:numPr>
        <w:spacing w:after="120" w:line="240" w:lineRule="auto"/>
        <w:ind w:left="357" w:hanging="357"/>
        <w:contextualSpacing w:val="0"/>
        <w:jc w:val="both"/>
        <w:rPr>
          <w:rFonts w:cs="Times New Roman"/>
          <w:b/>
        </w:rPr>
      </w:pPr>
      <w:r w:rsidRPr="004B0509">
        <w:rPr>
          <w:rFonts w:cs="Times New Roman"/>
          <w:b/>
        </w:rPr>
        <w:t xml:space="preserve">Aktivita </w:t>
      </w:r>
      <w:r w:rsidR="00613C39">
        <w:rPr>
          <w:rFonts w:cs="Times New Roman"/>
          <w:b/>
        </w:rPr>
        <w:t xml:space="preserve">na </w:t>
      </w:r>
      <w:r w:rsidR="00A41689" w:rsidRPr="004B0509">
        <w:rPr>
          <w:rFonts w:cs="Times New Roman"/>
          <w:b/>
        </w:rPr>
        <w:t>podpor</w:t>
      </w:r>
      <w:r w:rsidR="00613C39">
        <w:rPr>
          <w:rFonts w:cs="Times New Roman"/>
          <w:b/>
        </w:rPr>
        <w:t>u</w:t>
      </w:r>
      <w:r w:rsidRPr="004B0509">
        <w:rPr>
          <w:rFonts w:cs="Times New Roman"/>
          <w:b/>
        </w:rPr>
        <w:t xml:space="preserve"> </w:t>
      </w:r>
      <w:r w:rsidR="00A41689" w:rsidRPr="004B0509">
        <w:rPr>
          <w:rFonts w:cs="Times New Roman"/>
          <w:b/>
        </w:rPr>
        <w:t>v</w:t>
      </w:r>
      <w:r w:rsidR="00A41689" w:rsidRPr="004B0509">
        <w:rPr>
          <w:rFonts w:eastAsia="Times New Roman" w:cs="Times New Roman"/>
          <w:b/>
        </w:rPr>
        <w:t xml:space="preserve">elkých </w:t>
      </w:r>
      <w:r w:rsidR="00613C39">
        <w:rPr>
          <w:rFonts w:eastAsia="Times New Roman" w:cs="Times New Roman"/>
          <w:b/>
        </w:rPr>
        <w:t>výzkumných infrastruktur</w:t>
      </w:r>
    </w:p>
    <w:p w14:paraId="5875E192" w14:textId="7A18BD7A" w:rsidR="00DB24BE" w:rsidRPr="004B0509" w:rsidRDefault="00FC0D53" w:rsidP="000415C7">
      <w:pPr>
        <w:spacing w:after="0" w:line="240" w:lineRule="auto"/>
        <w:jc w:val="both"/>
        <w:rPr>
          <w:rFonts w:cs="Times New Roman"/>
        </w:rPr>
      </w:pPr>
      <w:r w:rsidRPr="004B0509">
        <w:rPr>
          <w:rFonts w:cs="Times New Roman"/>
        </w:rPr>
        <w:t>Aktivita na podporu</w:t>
      </w:r>
      <w:r w:rsidR="00DB24BE" w:rsidRPr="004B0509">
        <w:rPr>
          <w:rFonts w:cs="Times New Roman"/>
        </w:rPr>
        <w:t xml:space="preserve"> velkých </w:t>
      </w:r>
      <w:r w:rsidR="00613C39">
        <w:rPr>
          <w:rFonts w:cs="Times New Roman"/>
        </w:rPr>
        <w:t xml:space="preserve">výzkumných </w:t>
      </w:r>
      <w:r w:rsidR="00DB24BE" w:rsidRPr="004B0509">
        <w:rPr>
          <w:rFonts w:cs="Times New Roman"/>
        </w:rPr>
        <w:t xml:space="preserve">infrastruktur představuje pro kapacity vybudované za využití prostředků </w:t>
      </w:r>
      <w:r w:rsidR="007A7DAA" w:rsidRPr="004B0509">
        <w:rPr>
          <w:rFonts w:cs="Times New Roman"/>
        </w:rPr>
        <w:t xml:space="preserve">OP VaVpI </w:t>
      </w:r>
      <w:r w:rsidR="00DB24BE" w:rsidRPr="004B0509">
        <w:rPr>
          <w:rFonts w:cs="Times New Roman"/>
        </w:rPr>
        <w:t xml:space="preserve">a </w:t>
      </w:r>
      <w:r w:rsidR="00DB24BE" w:rsidRPr="009C59C3">
        <w:rPr>
          <w:rFonts w:cs="Times New Roman"/>
        </w:rPr>
        <w:t xml:space="preserve">naplňující </w:t>
      </w:r>
      <w:r w:rsidR="0073003F" w:rsidRPr="009C59C3">
        <w:rPr>
          <w:rFonts w:cs="Times New Roman"/>
        </w:rPr>
        <w:t>typologická</w:t>
      </w:r>
      <w:r w:rsidR="00DB24BE" w:rsidRPr="009C59C3">
        <w:rPr>
          <w:rFonts w:cs="Times New Roman"/>
        </w:rPr>
        <w:t xml:space="preserve"> kritéria </w:t>
      </w:r>
      <w:r w:rsidR="00CA6449" w:rsidRPr="009C59C3">
        <w:rPr>
          <w:rFonts w:cs="Times New Roman"/>
        </w:rPr>
        <w:t xml:space="preserve">velké </w:t>
      </w:r>
      <w:r w:rsidR="00613C39" w:rsidRPr="009C59C3">
        <w:rPr>
          <w:rFonts w:cs="Times New Roman"/>
        </w:rPr>
        <w:t xml:space="preserve">výzkumné </w:t>
      </w:r>
      <w:r w:rsidR="00CA6449" w:rsidRPr="009C59C3">
        <w:rPr>
          <w:rFonts w:cs="Times New Roman"/>
        </w:rPr>
        <w:t>infrastruktury</w:t>
      </w:r>
      <w:r w:rsidR="00CA6449" w:rsidRPr="004B0509">
        <w:rPr>
          <w:rFonts w:cs="Times New Roman"/>
          <w:i/>
        </w:rPr>
        <w:t xml:space="preserve"> </w:t>
      </w:r>
      <w:r w:rsidRPr="004B0509">
        <w:rPr>
          <w:rFonts w:cs="Times New Roman"/>
        </w:rPr>
        <w:t xml:space="preserve">systémový </w:t>
      </w:r>
      <w:r w:rsidR="00DB24BE" w:rsidRPr="004B0509">
        <w:rPr>
          <w:rFonts w:cs="Times New Roman"/>
        </w:rPr>
        <w:t xml:space="preserve">nástroj financování </w:t>
      </w:r>
      <w:r w:rsidRPr="004B0509">
        <w:rPr>
          <w:rFonts w:cs="Times New Roman"/>
        </w:rPr>
        <w:t xml:space="preserve">udržitelnosti </w:t>
      </w:r>
      <w:r w:rsidR="00440EA5" w:rsidRPr="004B0509">
        <w:rPr>
          <w:rFonts w:cs="Times New Roman"/>
        </w:rPr>
        <w:t>do roku 2020 i </w:t>
      </w:r>
      <w:r w:rsidR="00DB24BE" w:rsidRPr="004B0509">
        <w:rPr>
          <w:rFonts w:cs="Times New Roman"/>
        </w:rPr>
        <w:t xml:space="preserve">dlouhodobě udržitelného rozvoje </w:t>
      </w:r>
      <w:r w:rsidR="00CA6449" w:rsidRPr="004B0509">
        <w:rPr>
          <w:rFonts w:cs="Times New Roman"/>
        </w:rPr>
        <w:t>po roce 2020</w:t>
      </w:r>
      <w:r w:rsidR="00613C39">
        <w:rPr>
          <w:rFonts w:cs="Times New Roman"/>
        </w:rPr>
        <w:t>.</w:t>
      </w:r>
    </w:p>
    <w:p w14:paraId="3D5B7DCC" w14:textId="77777777" w:rsidR="00DB24BE" w:rsidRPr="005D46D9" w:rsidRDefault="00DB24BE" w:rsidP="000415C7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FC5CECA" w14:textId="627020BE" w:rsidR="00D84E9D" w:rsidRDefault="00D84E9D" w:rsidP="00DB24B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7CD3ADC7" w14:textId="77777777" w:rsidR="00BA3178" w:rsidRDefault="00BA3178" w:rsidP="00DB24B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sectPr w:rsidR="00BA3178" w:rsidSect="00D2393F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21CCC" w14:textId="77777777" w:rsidR="00C03CB6" w:rsidRDefault="00C03CB6" w:rsidP="005A7108">
      <w:pPr>
        <w:spacing w:after="0" w:line="240" w:lineRule="auto"/>
      </w:pPr>
      <w:r>
        <w:separator/>
      </w:r>
    </w:p>
  </w:endnote>
  <w:endnote w:type="continuationSeparator" w:id="0">
    <w:p w14:paraId="0D5B720E" w14:textId="77777777" w:rsidR="00C03CB6" w:rsidRDefault="00C03CB6" w:rsidP="005A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2385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CB83026" w14:textId="77777777" w:rsidR="001F598C" w:rsidRPr="000758D2" w:rsidRDefault="001F598C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3C39">
          <w:rPr>
            <w:rFonts w:cs="Times New Roman"/>
          </w:rPr>
          <w:fldChar w:fldCharType="begin"/>
        </w:r>
        <w:r w:rsidRPr="00613C39">
          <w:rPr>
            <w:rFonts w:cs="Times New Roman"/>
          </w:rPr>
          <w:instrText>PAGE   \* MERGEFORMAT</w:instrText>
        </w:r>
        <w:r w:rsidRPr="00613C39">
          <w:rPr>
            <w:rFonts w:cs="Times New Roman"/>
          </w:rPr>
          <w:fldChar w:fldCharType="separate"/>
        </w:r>
        <w:r w:rsidR="00A50224">
          <w:rPr>
            <w:rFonts w:cs="Times New Roman"/>
            <w:noProof/>
          </w:rPr>
          <w:t>3</w:t>
        </w:r>
        <w:r w:rsidRPr="00613C39">
          <w:rPr>
            <w:rFonts w:cs="Times New Roman"/>
          </w:rPr>
          <w:fldChar w:fldCharType="end"/>
        </w:r>
      </w:p>
    </w:sdtContent>
  </w:sdt>
  <w:p w14:paraId="711C1438" w14:textId="77777777" w:rsidR="001F598C" w:rsidRDefault="001F59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75011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D29F9A4" w14:textId="77777777" w:rsidR="001F598C" w:rsidRPr="00D87E9C" w:rsidRDefault="001F598C">
        <w:pPr>
          <w:pStyle w:val="Zpat"/>
          <w:jc w:val="center"/>
          <w:rPr>
            <w:sz w:val="24"/>
            <w:szCs w:val="24"/>
          </w:rPr>
        </w:pPr>
        <w:r w:rsidRPr="00D87E9C">
          <w:rPr>
            <w:sz w:val="24"/>
            <w:szCs w:val="24"/>
          </w:rPr>
          <w:fldChar w:fldCharType="begin"/>
        </w:r>
        <w:r w:rsidRPr="00D87E9C">
          <w:rPr>
            <w:sz w:val="24"/>
            <w:szCs w:val="24"/>
          </w:rPr>
          <w:instrText>PAGE   \* MERGEFORMAT</w:instrText>
        </w:r>
        <w:r w:rsidRPr="00D87E9C">
          <w:rPr>
            <w:sz w:val="24"/>
            <w:szCs w:val="24"/>
          </w:rPr>
          <w:fldChar w:fldCharType="separate"/>
        </w:r>
        <w:r w:rsidR="00A50224">
          <w:rPr>
            <w:noProof/>
            <w:sz w:val="24"/>
            <w:szCs w:val="24"/>
          </w:rPr>
          <w:t>1</w:t>
        </w:r>
        <w:r w:rsidRPr="00D87E9C">
          <w:rPr>
            <w:sz w:val="24"/>
            <w:szCs w:val="24"/>
          </w:rPr>
          <w:fldChar w:fldCharType="end"/>
        </w:r>
      </w:p>
    </w:sdtContent>
  </w:sdt>
  <w:p w14:paraId="2E5AF84C" w14:textId="77777777" w:rsidR="001F598C" w:rsidRDefault="001F59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B98A6" w14:textId="77777777" w:rsidR="00C03CB6" w:rsidRDefault="00C03CB6" w:rsidP="005A7108">
      <w:pPr>
        <w:spacing w:after="0" w:line="240" w:lineRule="auto"/>
      </w:pPr>
      <w:r>
        <w:separator/>
      </w:r>
    </w:p>
  </w:footnote>
  <w:footnote w:type="continuationSeparator" w:id="0">
    <w:p w14:paraId="2E0DB511" w14:textId="77777777" w:rsidR="00C03CB6" w:rsidRDefault="00C03CB6" w:rsidP="005A7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B7E83" w14:textId="3BF2A202" w:rsidR="001F598C" w:rsidRPr="007B4499" w:rsidRDefault="001F598C" w:rsidP="00D2393F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9AD2EB"/>
    <w:multiLevelType w:val="hybridMultilevel"/>
    <w:tmpl w:val="7B6B3A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A7A3A"/>
    <w:multiLevelType w:val="hybridMultilevel"/>
    <w:tmpl w:val="981CE1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B237FE"/>
    <w:multiLevelType w:val="hybridMultilevel"/>
    <w:tmpl w:val="03A66C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69202E"/>
    <w:multiLevelType w:val="hybridMultilevel"/>
    <w:tmpl w:val="55FC188C"/>
    <w:lvl w:ilvl="0" w:tplc="25DCDE0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A726DC"/>
    <w:multiLevelType w:val="hybridMultilevel"/>
    <w:tmpl w:val="4906F6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803C9C"/>
    <w:multiLevelType w:val="hybridMultilevel"/>
    <w:tmpl w:val="B5D40DEE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">
    <w:nsid w:val="1A986001"/>
    <w:multiLevelType w:val="hybridMultilevel"/>
    <w:tmpl w:val="8702B9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DE5545"/>
    <w:multiLevelType w:val="hybridMultilevel"/>
    <w:tmpl w:val="E1EE27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813968"/>
    <w:multiLevelType w:val="hybridMultilevel"/>
    <w:tmpl w:val="345AE2FC"/>
    <w:lvl w:ilvl="0" w:tplc="25DCDE0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FA050F"/>
    <w:multiLevelType w:val="hybridMultilevel"/>
    <w:tmpl w:val="641C1C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AC6F1C"/>
    <w:multiLevelType w:val="hybridMultilevel"/>
    <w:tmpl w:val="FC68E9EE"/>
    <w:lvl w:ilvl="0" w:tplc="5BFC24B8">
      <w:numFmt w:val="bullet"/>
      <w:lvlText w:val="•"/>
      <w:lvlJc w:val="left"/>
      <w:pPr>
        <w:ind w:left="1068" w:hanging="708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E6F7E"/>
    <w:multiLevelType w:val="hybridMultilevel"/>
    <w:tmpl w:val="0194FF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D567CA"/>
    <w:multiLevelType w:val="hybridMultilevel"/>
    <w:tmpl w:val="F80210C4"/>
    <w:lvl w:ilvl="0" w:tplc="E90652C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97EB5"/>
    <w:multiLevelType w:val="hybridMultilevel"/>
    <w:tmpl w:val="7EB8C84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C96F29"/>
    <w:multiLevelType w:val="hybridMultilevel"/>
    <w:tmpl w:val="FA3441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1144CA"/>
    <w:multiLevelType w:val="hybridMultilevel"/>
    <w:tmpl w:val="56545AB8"/>
    <w:lvl w:ilvl="0" w:tplc="25DCDE0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6942CE"/>
    <w:multiLevelType w:val="hybridMultilevel"/>
    <w:tmpl w:val="A01E14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B936F6"/>
    <w:multiLevelType w:val="hybridMultilevel"/>
    <w:tmpl w:val="58041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22BB8"/>
    <w:multiLevelType w:val="hybridMultilevel"/>
    <w:tmpl w:val="E780D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EA2E1A"/>
    <w:multiLevelType w:val="hybridMultilevel"/>
    <w:tmpl w:val="B00679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C203EB"/>
    <w:multiLevelType w:val="hybridMultilevel"/>
    <w:tmpl w:val="D7021D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983090A"/>
    <w:multiLevelType w:val="hybridMultilevel"/>
    <w:tmpl w:val="DF903386"/>
    <w:lvl w:ilvl="0" w:tplc="0EB6DA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BC28BD"/>
    <w:multiLevelType w:val="hybridMultilevel"/>
    <w:tmpl w:val="77CAF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79A1955"/>
    <w:multiLevelType w:val="hybridMultilevel"/>
    <w:tmpl w:val="778A65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5A53F4"/>
    <w:multiLevelType w:val="hybridMultilevel"/>
    <w:tmpl w:val="F9A82B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86419E"/>
    <w:multiLevelType w:val="hybridMultilevel"/>
    <w:tmpl w:val="8B363E02"/>
    <w:lvl w:ilvl="0" w:tplc="04050001">
      <w:start w:val="1"/>
      <w:numFmt w:val="bullet"/>
      <w:lvlText w:val=""/>
      <w:lvlJc w:val="left"/>
      <w:pPr>
        <w:ind w:left="-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</w:abstractNum>
  <w:abstractNum w:abstractNumId="26">
    <w:nsid w:val="7A961422"/>
    <w:multiLevelType w:val="hybridMultilevel"/>
    <w:tmpl w:val="091264CE"/>
    <w:lvl w:ilvl="0" w:tplc="25DCDE0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23"/>
  </w:num>
  <w:num w:numId="5">
    <w:abstractNumId w:val="26"/>
  </w:num>
  <w:num w:numId="6">
    <w:abstractNumId w:val="0"/>
  </w:num>
  <w:num w:numId="7">
    <w:abstractNumId w:val="7"/>
  </w:num>
  <w:num w:numId="8">
    <w:abstractNumId w:val="13"/>
  </w:num>
  <w:num w:numId="9">
    <w:abstractNumId w:val="19"/>
  </w:num>
  <w:num w:numId="10">
    <w:abstractNumId w:val="5"/>
  </w:num>
  <w:num w:numId="11">
    <w:abstractNumId w:val="25"/>
  </w:num>
  <w:num w:numId="12">
    <w:abstractNumId w:val="17"/>
  </w:num>
  <w:num w:numId="13">
    <w:abstractNumId w:val="24"/>
  </w:num>
  <w:num w:numId="14">
    <w:abstractNumId w:val="6"/>
  </w:num>
  <w:num w:numId="15">
    <w:abstractNumId w:val="20"/>
  </w:num>
  <w:num w:numId="16">
    <w:abstractNumId w:val="4"/>
  </w:num>
  <w:num w:numId="17">
    <w:abstractNumId w:val="1"/>
  </w:num>
  <w:num w:numId="18">
    <w:abstractNumId w:val="18"/>
  </w:num>
  <w:num w:numId="19">
    <w:abstractNumId w:val="12"/>
  </w:num>
  <w:num w:numId="20">
    <w:abstractNumId w:val="3"/>
  </w:num>
  <w:num w:numId="21">
    <w:abstractNumId w:val="14"/>
  </w:num>
  <w:num w:numId="22">
    <w:abstractNumId w:val="10"/>
  </w:num>
  <w:num w:numId="23">
    <w:abstractNumId w:val="22"/>
  </w:num>
  <w:num w:numId="24">
    <w:abstractNumId w:val="15"/>
  </w:num>
  <w:num w:numId="25">
    <w:abstractNumId w:val="8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C1E"/>
    <w:rsid w:val="00000AFC"/>
    <w:rsid w:val="000027FF"/>
    <w:rsid w:val="000034FE"/>
    <w:rsid w:val="00027877"/>
    <w:rsid w:val="000301EE"/>
    <w:rsid w:val="000415C7"/>
    <w:rsid w:val="00042B99"/>
    <w:rsid w:val="000470FC"/>
    <w:rsid w:val="000573AE"/>
    <w:rsid w:val="0006128F"/>
    <w:rsid w:val="00067D94"/>
    <w:rsid w:val="000725C0"/>
    <w:rsid w:val="00073147"/>
    <w:rsid w:val="00073883"/>
    <w:rsid w:val="00074479"/>
    <w:rsid w:val="000758D2"/>
    <w:rsid w:val="00092C59"/>
    <w:rsid w:val="000A2EEC"/>
    <w:rsid w:val="000A4514"/>
    <w:rsid w:val="000A6439"/>
    <w:rsid w:val="000A6CC0"/>
    <w:rsid w:val="000B38E5"/>
    <w:rsid w:val="000C383B"/>
    <w:rsid w:val="000C47EC"/>
    <w:rsid w:val="000D219F"/>
    <w:rsid w:val="000D2B9F"/>
    <w:rsid w:val="000D3304"/>
    <w:rsid w:val="000D7E77"/>
    <w:rsid w:val="000E2681"/>
    <w:rsid w:val="000E343C"/>
    <w:rsid w:val="000E3749"/>
    <w:rsid w:val="000E6799"/>
    <w:rsid w:val="000E7E66"/>
    <w:rsid w:val="000F5F4F"/>
    <w:rsid w:val="000F69A3"/>
    <w:rsid w:val="00105475"/>
    <w:rsid w:val="001215AD"/>
    <w:rsid w:val="00135A64"/>
    <w:rsid w:val="00136361"/>
    <w:rsid w:val="00136992"/>
    <w:rsid w:val="001440BA"/>
    <w:rsid w:val="001464B4"/>
    <w:rsid w:val="001475A2"/>
    <w:rsid w:val="00155FB0"/>
    <w:rsid w:val="001638B3"/>
    <w:rsid w:val="001650CC"/>
    <w:rsid w:val="00166C21"/>
    <w:rsid w:val="00171469"/>
    <w:rsid w:val="001714C1"/>
    <w:rsid w:val="001825EE"/>
    <w:rsid w:val="00186585"/>
    <w:rsid w:val="0019016D"/>
    <w:rsid w:val="001942BD"/>
    <w:rsid w:val="001950B8"/>
    <w:rsid w:val="00197EEB"/>
    <w:rsid w:val="001A02CF"/>
    <w:rsid w:val="001A52EC"/>
    <w:rsid w:val="001B39EF"/>
    <w:rsid w:val="001B5D7B"/>
    <w:rsid w:val="001D7026"/>
    <w:rsid w:val="001D7CB8"/>
    <w:rsid w:val="001E725A"/>
    <w:rsid w:val="001F598C"/>
    <w:rsid w:val="001F7903"/>
    <w:rsid w:val="0020256B"/>
    <w:rsid w:val="00206C07"/>
    <w:rsid w:val="00210580"/>
    <w:rsid w:val="002149B8"/>
    <w:rsid w:val="00224EBD"/>
    <w:rsid w:val="00232396"/>
    <w:rsid w:val="00236469"/>
    <w:rsid w:val="002536F2"/>
    <w:rsid w:val="0025459C"/>
    <w:rsid w:val="0026216A"/>
    <w:rsid w:val="0026410D"/>
    <w:rsid w:val="00266C0F"/>
    <w:rsid w:val="00274072"/>
    <w:rsid w:val="0028395F"/>
    <w:rsid w:val="002860C6"/>
    <w:rsid w:val="0028627A"/>
    <w:rsid w:val="00286F58"/>
    <w:rsid w:val="002903A6"/>
    <w:rsid w:val="00292FA0"/>
    <w:rsid w:val="00293460"/>
    <w:rsid w:val="00297664"/>
    <w:rsid w:val="002A5CC5"/>
    <w:rsid w:val="002A6E46"/>
    <w:rsid w:val="002A7605"/>
    <w:rsid w:val="002C3815"/>
    <w:rsid w:val="002C4775"/>
    <w:rsid w:val="002D3D2F"/>
    <w:rsid w:val="002D7062"/>
    <w:rsid w:val="002E5A0F"/>
    <w:rsid w:val="002E73C3"/>
    <w:rsid w:val="002F2E74"/>
    <w:rsid w:val="002F4FB3"/>
    <w:rsid w:val="00300E63"/>
    <w:rsid w:val="00303D5B"/>
    <w:rsid w:val="00321194"/>
    <w:rsid w:val="003252AC"/>
    <w:rsid w:val="00327EFC"/>
    <w:rsid w:val="003348B8"/>
    <w:rsid w:val="00335713"/>
    <w:rsid w:val="003454E1"/>
    <w:rsid w:val="00347DDE"/>
    <w:rsid w:val="0035281F"/>
    <w:rsid w:val="00361761"/>
    <w:rsid w:val="0036645B"/>
    <w:rsid w:val="0036651B"/>
    <w:rsid w:val="00377E4D"/>
    <w:rsid w:val="003865A0"/>
    <w:rsid w:val="00387337"/>
    <w:rsid w:val="00394034"/>
    <w:rsid w:val="0039499F"/>
    <w:rsid w:val="003954F7"/>
    <w:rsid w:val="003966D9"/>
    <w:rsid w:val="00396C1E"/>
    <w:rsid w:val="00397683"/>
    <w:rsid w:val="003A4880"/>
    <w:rsid w:val="003B396D"/>
    <w:rsid w:val="003D5B7A"/>
    <w:rsid w:val="003D7B8B"/>
    <w:rsid w:val="003E296C"/>
    <w:rsid w:val="003E743C"/>
    <w:rsid w:val="003E7546"/>
    <w:rsid w:val="003F6F26"/>
    <w:rsid w:val="00400C90"/>
    <w:rsid w:val="004027C2"/>
    <w:rsid w:val="00405C84"/>
    <w:rsid w:val="004139C8"/>
    <w:rsid w:val="004201FA"/>
    <w:rsid w:val="004203FF"/>
    <w:rsid w:val="00420DB2"/>
    <w:rsid w:val="00424AD3"/>
    <w:rsid w:val="004324FC"/>
    <w:rsid w:val="00432691"/>
    <w:rsid w:val="00434AF2"/>
    <w:rsid w:val="0043728C"/>
    <w:rsid w:val="00440EA5"/>
    <w:rsid w:val="0045445E"/>
    <w:rsid w:val="0046569C"/>
    <w:rsid w:val="004657C8"/>
    <w:rsid w:val="004665BC"/>
    <w:rsid w:val="004705B0"/>
    <w:rsid w:val="00474061"/>
    <w:rsid w:val="00491FF5"/>
    <w:rsid w:val="00492D09"/>
    <w:rsid w:val="00495F8D"/>
    <w:rsid w:val="004A27A1"/>
    <w:rsid w:val="004A2F21"/>
    <w:rsid w:val="004B0509"/>
    <w:rsid w:val="004B7303"/>
    <w:rsid w:val="004D27E4"/>
    <w:rsid w:val="004D6E7A"/>
    <w:rsid w:val="004E0FDE"/>
    <w:rsid w:val="004E469E"/>
    <w:rsid w:val="004E480A"/>
    <w:rsid w:val="004E5A0E"/>
    <w:rsid w:val="004E7B9C"/>
    <w:rsid w:val="004F10A0"/>
    <w:rsid w:val="004F5603"/>
    <w:rsid w:val="004F5F9D"/>
    <w:rsid w:val="00505981"/>
    <w:rsid w:val="00505C0F"/>
    <w:rsid w:val="005079D8"/>
    <w:rsid w:val="00511007"/>
    <w:rsid w:val="0051301C"/>
    <w:rsid w:val="00516752"/>
    <w:rsid w:val="0052770D"/>
    <w:rsid w:val="00527F94"/>
    <w:rsid w:val="005318BC"/>
    <w:rsid w:val="005363D3"/>
    <w:rsid w:val="00536411"/>
    <w:rsid w:val="00546657"/>
    <w:rsid w:val="005520A0"/>
    <w:rsid w:val="005548AF"/>
    <w:rsid w:val="00555C9C"/>
    <w:rsid w:val="00555D34"/>
    <w:rsid w:val="00561A34"/>
    <w:rsid w:val="00575E02"/>
    <w:rsid w:val="005807A9"/>
    <w:rsid w:val="005879C3"/>
    <w:rsid w:val="00593F8B"/>
    <w:rsid w:val="005946E3"/>
    <w:rsid w:val="005A00F0"/>
    <w:rsid w:val="005A7108"/>
    <w:rsid w:val="005A72A1"/>
    <w:rsid w:val="005B0176"/>
    <w:rsid w:val="005B1080"/>
    <w:rsid w:val="005B23F5"/>
    <w:rsid w:val="005B5679"/>
    <w:rsid w:val="005C21A7"/>
    <w:rsid w:val="005C2DCF"/>
    <w:rsid w:val="005C562F"/>
    <w:rsid w:val="005D1C8D"/>
    <w:rsid w:val="005D46D9"/>
    <w:rsid w:val="005D7015"/>
    <w:rsid w:val="005E17E2"/>
    <w:rsid w:val="005F4324"/>
    <w:rsid w:val="005F6FED"/>
    <w:rsid w:val="0060719C"/>
    <w:rsid w:val="00613C39"/>
    <w:rsid w:val="00624D23"/>
    <w:rsid w:val="006266A8"/>
    <w:rsid w:val="0064052A"/>
    <w:rsid w:val="00644CF3"/>
    <w:rsid w:val="00644FAF"/>
    <w:rsid w:val="00645A3D"/>
    <w:rsid w:val="00652264"/>
    <w:rsid w:val="006601CD"/>
    <w:rsid w:val="00660BB9"/>
    <w:rsid w:val="00675266"/>
    <w:rsid w:val="00675478"/>
    <w:rsid w:val="00676105"/>
    <w:rsid w:val="00677EDE"/>
    <w:rsid w:val="00680442"/>
    <w:rsid w:val="00681287"/>
    <w:rsid w:val="0068716C"/>
    <w:rsid w:val="006934E6"/>
    <w:rsid w:val="006935C8"/>
    <w:rsid w:val="0069693A"/>
    <w:rsid w:val="006A37F1"/>
    <w:rsid w:val="006A74C7"/>
    <w:rsid w:val="006B16E2"/>
    <w:rsid w:val="006C709B"/>
    <w:rsid w:val="006D46D1"/>
    <w:rsid w:val="006E033E"/>
    <w:rsid w:val="006E1DE0"/>
    <w:rsid w:val="006E3733"/>
    <w:rsid w:val="006E70F5"/>
    <w:rsid w:val="006F0F0D"/>
    <w:rsid w:val="006F7829"/>
    <w:rsid w:val="007121A0"/>
    <w:rsid w:val="00714737"/>
    <w:rsid w:val="00716F44"/>
    <w:rsid w:val="00717477"/>
    <w:rsid w:val="007177FD"/>
    <w:rsid w:val="00722B9F"/>
    <w:rsid w:val="0073003F"/>
    <w:rsid w:val="00730672"/>
    <w:rsid w:val="007336E3"/>
    <w:rsid w:val="00746920"/>
    <w:rsid w:val="00762739"/>
    <w:rsid w:val="0076431F"/>
    <w:rsid w:val="00767258"/>
    <w:rsid w:val="00767F6C"/>
    <w:rsid w:val="00774462"/>
    <w:rsid w:val="00782A5F"/>
    <w:rsid w:val="007860A4"/>
    <w:rsid w:val="00786308"/>
    <w:rsid w:val="007916ED"/>
    <w:rsid w:val="00793FA1"/>
    <w:rsid w:val="007943C8"/>
    <w:rsid w:val="007A1DA3"/>
    <w:rsid w:val="007A349D"/>
    <w:rsid w:val="007A705B"/>
    <w:rsid w:val="007A7DAA"/>
    <w:rsid w:val="007B4499"/>
    <w:rsid w:val="007B5E1E"/>
    <w:rsid w:val="007C2CC5"/>
    <w:rsid w:val="007C3D2F"/>
    <w:rsid w:val="007D66A6"/>
    <w:rsid w:val="007E0EF4"/>
    <w:rsid w:val="007E2561"/>
    <w:rsid w:val="007E47BA"/>
    <w:rsid w:val="007F5A16"/>
    <w:rsid w:val="00804361"/>
    <w:rsid w:val="0081076B"/>
    <w:rsid w:val="00812F07"/>
    <w:rsid w:val="00814BE3"/>
    <w:rsid w:val="00820129"/>
    <w:rsid w:val="00823460"/>
    <w:rsid w:val="0083239F"/>
    <w:rsid w:val="00832D1F"/>
    <w:rsid w:val="00843567"/>
    <w:rsid w:val="008463C5"/>
    <w:rsid w:val="0084647B"/>
    <w:rsid w:val="008475A9"/>
    <w:rsid w:val="00852D34"/>
    <w:rsid w:val="0085746E"/>
    <w:rsid w:val="00863F3A"/>
    <w:rsid w:val="0086724A"/>
    <w:rsid w:val="008752C6"/>
    <w:rsid w:val="00884EC5"/>
    <w:rsid w:val="00893C91"/>
    <w:rsid w:val="008A5B8F"/>
    <w:rsid w:val="008C5138"/>
    <w:rsid w:val="008C7CDE"/>
    <w:rsid w:val="008F00D4"/>
    <w:rsid w:val="008F1DD8"/>
    <w:rsid w:val="00905695"/>
    <w:rsid w:val="00914C7B"/>
    <w:rsid w:val="009177DC"/>
    <w:rsid w:val="009234B4"/>
    <w:rsid w:val="009268E8"/>
    <w:rsid w:val="009355ED"/>
    <w:rsid w:val="00936E6E"/>
    <w:rsid w:val="009429EB"/>
    <w:rsid w:val="00952BE7"/>
    <w:rsid w:val="009547FE"/>
    <w:rsid w:val="009628E4"/>
    <w:rsid w:val="0096390E"/>
    <w:rsid w:val="00965FC5"/>
    <w:rsid w:val="00967484"/>
    <w:rsid w:val="009675ED"/>
    <w:rsid w:val="00971D80"/>
    <w:rsid w:val="00977322"/>
    <w:rsid w:val="009942E4"/>
    <w:rsid w:val="009A30CD"/>
    <w:rsid w:val="009B31AA"/>
    <w:rsid w:val="009B50B4"/>
    <w:rsid w:val="009B5BA4"/>
    <w:rsid w:val="009C07E9"/>
    <w:rsid w:val="009C247D"/>
    <w:rsid w:val="009C59C3"/>
    <w:rsid w:val="009C7EF9"/>
    <w:rsid w:val="009E1854"/>
    <w:rsid w:val="009E24B7"/>
    <w:rsid w:val="009E5353"/>
    <w:rsid w:val="009E6A24"/>
    <w:rsid w:val="009F250C"/>
    <w:rsid w:val="00A02486"/>
    <w:rsid w:val="00A03634"/>
    <w:rsid w:val="00A11916"/>
    <w:rsid w:val="00A11943"/>
    <w:rsid w:val="00A169D3"/>
    <w:rsid w:val="00A25426"/>
    <w:rsid w:val="00A336E8"/>
    <w:rsid w:val="00A35454"/>
    <w:rsid w:val="00A41689"/>
    <w:rsid w:val="00A50224"/>
    <w:rsid w:val="00A60F07"/>
    <w:rsid w:val="00A65129"/>
    <w:rsid w:val="00A665A1"/>
    <w:rsid w:val="00A70765"/>
    <w:rsid w:val="00A77779"/>
    <w:rsid w:val="00A9113C"/>
    <w:rsid w:val="00A96273"/>
    <w:rsid w:val="00A97FCE"/>
    <w:rsid w:val="00AA4390"/>
    <w:rsid w:val="00AA650E"/>
    <w:rsid w:val="00AA69AD"/>
    <w:rsid w:val="00AB368E"/>
    <w:rsid w:val="00AB3BD3"/>
    <w:rsid w:val="00AC5FC9"/>
    <w:rsid w:val="00AD0807"/>
    <w:rsid w:val="00AD0CD4"/>
    <w:rsid w:val="00AD0DE3"/>
    <w:rsid w:val="00AE5404"/>
    <w:rsid w:val="00AE7414"/>
    <w:rsid w:val="00AF7CF8"/>
    <w:rsid w:val="00B04842"/>
    <w:rsid w:val="00B123D8"/>
    <w:rsid w:val="00B17956"/>
    <w:rsid w:val="00B2111D"/>
    <w:rsid w:val="00B27D32"/>
    <w:rsid w:val="00B37E12"/>
    <w:rsid w:val="00B414D0"/>
    <w:rsid w:val="00B504E0"/>
    <w:rsid w:val="00B50C5B"/>
    <w:rsid w:val="00B615B4"/>
    <w:rsid w:val="00B62AC4"/>
    <w:rsid w:val="00B64236"/>
    <w:rsid w:val="00B6492E"/>
    <w:rsid w:val="00B6567E"/>
    <w:rsid w:val="00B73140"/>
    <w:rsid w:val="00B827F2"/>
    <w:rsid w:val="00B94C61"/>
    <w:rsid w:val="00BA3178"/>
    <w:rsid w:val="00BA64F0"/>
    <w:rsid w:val="00BB00E0"/>
    <w:rsid w:val="00BB0185"/>
    <w:rsid w:val="00BB3642"/>
    <w:rsid w:val="00BB3670"/>
    <w:rsid w:val="00BB4EC6"/>
    <w:rsid w:val="00BC37BE"/>
    <w:rsid w:val="00BD5427"/>
    <w:rsid w:val="00BD560D"/>
    <w:rsid w:val="00BD6F83"/>
    <w:rsid w:val="00BE76EB"/>
    <w:rsid w:val="00BF58C6"/>
    <w:rsid w:val="00C00A21"/>
    <w:rsid w:val="00C01DD1"/>
    <w:rsid w:val="00C028CE"/>
    <w:rsid w:val="00C03CB6"/>
    <w:rsid w:val="00C073E6"/>
    <w:rsid w:val="00C10E0D"/>
    <w:rsid w:val="00C12F56"/>
    <w:rsid w:val="00C1367B"/>
    <w:rsid w:val="00C14C64"/>
    <w:rsid w:val="00C1625C"/>
    <w:rsid w:val="00C21A57"/>
    <w:rsid w:val="00C234CD"/>
    <w:rsid w:val="00C26995"/>
    <w:rsid w:val="00C3275C"/>
    <w:rsid w:val="00C34598"/>
    <w:rsid w:val="00C37203"/>
    <w:rsid w:val="00C37868"/>
    <w:rsid w:val="00C40339"/>
    <w:rsid w:val="00C503A5"/>
    <w:rsid w:val="00C52D7A"/>
    <w:rsid w:val="00C5338E"/>
    <w:rsid w:val="00C55FA5"/>
    <w:rsid w:val="00C6702B"/>
    <w:rsid w:val="00C73C84"/>
    <w:rsid w:val="00C82AA0"/>
    <w:rsid w:val="00C940A9"/>
    <w:rsid w:val="00CA1FE8"/>
    <w:rsid w:val="00CA6022"/>
    <w:rsid w:val="00CA6449"/>
    <w:rsid w:val="00CB7208"/>
    <w:rsid w:val="00CC0670"/>
    <w:rsid w:val="00CC21CA"/>
    <w:rsid w:val="00CC3D68"/>
    <w:rsid w:val="00CC4F61"/>
    <w:rsid w:val="00CD5581"/>
    <w:rsid w:val="00CE3B1A"/>
    <w:rsid w:val="00CE7379"/>
    <w:rsid w:val="00CF4B99"/>
    <w:rsid w:val="00D03A8D"/>
    <w:rsid w:val="00D056CA"/>
    <w:rsid w:val="00D1257C"/>
    <w:rsid w:val="00D17501"/>
    <w:rsid w:val="00D2393F"/>
    <w:rsid w:val="00D27F80"/>
    <w:rsid w:val="00D338AB"/>
    <w:rsid w:val="00D373FF"/>
    <w:rsid w:val="00D377BA"/>
    <w:rsid w:val="00D414FD"/>
    <w:rsid w:val="00D44222"/>
    <w:rsid w:val="00D55467"/>
    <w:rsid w:val="00D565F5"/>
    <w:rsid w:val="00D567D8"/>
    <w:rsid w:val="00D61495"/>
    <w:rsid w:val="00D64492"/>
    <w:rsid w:val="00D75BA4"/>
    <w:rsid w:val="00D77C96"/>
    <w:rsid w:val="00D80B9C"/>
    <w:rsid w:val="00D847AF"/>
    <w:rsid w:val="00D84E9D"/>
    <w:rsid w:val="00D87E03"/>
    <w:rsid w:val="00D87E9C"/>
    <w:rsid w:val="00D96B29"/>
    <w:rsid w:val="00DB09E9"/>
    <w:rsid w:val="00DB24BE"/>
    <w:rsid w:val="00DB27E0"/>
    <w:rsid w:val="00DC3A06"/>
    <w:rsid w:val="00DD0956"/>
    <w:rsid w:val="00DD111D"/>
    <w:rsid w:val="00DD1B97"/>
    <w:rsid w:val="00DD28EC"/>
    <w:rsid w:val="00DD44C4"/>
    <w:rsid w:val="00DD65EB"/>
    <w:rsid w:val="00DE3692"/>
    <w:rsid w:val="00DE3E97"/>
    <w:rsid w:val="00DE48A9"/>
    <w:rsid w:val="00DF0F1B"/>
    <w:rsid w:val="00DF65A2"/>
    <w:rsid w:val="00DF6A37"/>
    <w:rsid w:val="00E00264"/>
    <w:rsid w:val="00E01C5B"/>
    <w:rsid w:val="00E02142"/>
    <w:rsid w:val="00E10224"/>
    <w:rsid w:val="00E1080C"/>
    <w:rsid w:val="00E11696"/>
    <w:rsid w:val="00E11C7B"/>
    <w:rsid w:val="00E13488"/>
    <w:rsid w:val="00E1395F"/>
    <w:rsid w:val="00E1574B"/>
    <w:rsid w:val="00E232AE"/>
    <w:rsid w:val="00E374AA"/>
    <w:rsid w:val="00E4720C"/>
    <w:rsid w:val="00E5449D"/>
    <w:rsid w:val="00E653FC"/>
    <w:rsid w:val="00E67E4B"/>
    <w:rsid w:val="00E706B4"/>
    <w:rsid w:val="00E746D5"/>
    <w:rsid w:val="00E81C0C"/>
    <w:rsid w:val="00E869D3"/>
    <w:rsid w:val="00E91F22"/>
    <w:rsid w:val="00E92DA7"/>
    <w:rsid w:val="00EB5218"/>
    <w:rsid w:val="00EC4C69"/>
    <w:rsid w:val="00EC7721"/>
    <w:rsid w:val="00EC7834"/>
    <w:rsid w:val="00ED0377"/>
    <w:rsid w:val="00ED5707"/>
    <w:rsid w:val="00ED7195"/>
    <w:rsid w:val="00ED756F"/>
    <w:rsid w:val="00ED7AC1"/>
    <w:rsid w:val="00ED7C47"/>
    <w:rsid w:val="00EF3EBD"/>
    <w:rsid w:val="00EF4A26"/>
    <w:rsid w:val="00F00286"/>
    <w:rsid w:val="00F00F1C"/>
    <w:rsid w:val="00F014E5"/>
    <w:rsid w:val="00F015A9"/>
    <w:rsid w:val="00F0460A"/>
    <w:rsid w:val="00F0741E"/>
    <w:rsid w:val="00F15CAF"/>
    <w:rsid w:val="00F27384"/>
    <w:rsid w:val="00F419A5"/>
    <w:rsid w:val="00F47303"/>
    <w:rsid w:val="00F50D61"/>
    <w:rsid w:val="00F60DBC"/>
    <w:rsid w:val="00F66291"/>
    <w:rsid w:val="00F66634"/>
    <w:rsid w:val="00F7051F"/>
    <w:rsid w:val="00F80A59"/>
    <w:rsid w:val="00F825E3"/>
    <w:rsid w:val="00F838F7"/>
    <w:rsid w:val="00F87F5C"/>
    <w:rsid w:val="00F922B1"/>
    <w:rsid w:val="00F9587C"/>
    <w:rsid w:val="00FA06A9"/>
    <w:rsid w:val="00FA12DB"/>
    <w:rsid w:val="00FB6BF6"/>
    <w:rsid w:val="00FB7200"/>
    <w:rsid w:val="00FB7229"/>
    <w:rsid w:val="00FC0D53"/>
    <w:rsid w:val="00FC2945"/>
    <w:rsid w:val="00FC4C89"/>
    <w:rsid w:val="00FD0385"/>
    <w:rsid w:val="00FD7AAE"/>
    <w:rsid w:val="00FE1DAD"/>
    <w:rsid w:val="00FE2B62"/>
    <w:rsid w:val="00FF1241"/>
    <w:rsid w:val="00FF15F4"/>
    <w:rsid w:val="00FF2223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ED05A"/>
  <w15:docId w15:val="{126405EB-935C-43BF-B789-F1466A36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FB3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BA31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6C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A7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7108"/>
  </w:style>
  <w:style w:type="paragraph" w:styleId="Zpat">
    <w:name w:val="footer"/>
    <w:basedOn w:val="Normln"/>
    <w:link w:val="ZpatChar"/>
    <w:uiPriority w:val="99"/>
    <w:unhideWhenUsed/>
    <w:rsid w:val="005A7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7108"/>
  </w:style>
  <w:style w:type="table" w:styleId="Mkatabulky">
    <w:name w:val="Table Grid"/>
    <w:basedOn w:val="Normlntabulka"/>
    <w:uiPriority w:val="59"/>
    <w:rsid w:val="00345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6A2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6A2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6A24"/>
    <w:rPr>
      <w:vertAlign w:val="superscript"/>
    </w:rPr>
  </w:style>
  <w:style w:type="paragraph" w:customStyle="1" w:styleId="Default">
    <w:name w:val="Default"/>
    <w:rsid w:val="005D46D9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F43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3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32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3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32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324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CC3D68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st">
    <w:name w:val="st"/>
    <w:rsid w:val="002D7062"/>
  </w:style>
  <w:style w:type="character" w:customStyle="1" w:styleId="Nadpis1Char">
    <w:name w:val="Nadpis 1 Char"/>
    <w:basedOn w:val="Standardnpsmoodstavce"/>
    <w:link w:val="Nadpis1"/>
    <w:uiPriority w:val="9"/>
    <w:rsid w:val="00BA31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EDF62-14FA-47D6-865E-EF582C28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Levák Lukáš</dc:creator>
  <cp:lastModifiedBy>Macháček Michal</cp:lastModifiedBy>
  <cp:revision>2</cp:revision>
  <cp:lastPrinted>2015-08-25T14:56:00Z</cp:lastPrinted>
  <dcterms:created xsi:type="dcterms:W3CDTF">2018-02-16T09:20:00Z</dcterms:created>
  <dcterms:modified xsi:type="dcterms:W3CDTF">2018-02-16T09:20:00Z</dcterms:modified>
  <cp:contentStatus/>
</cp:coreProperties>
</file>