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6DF3" w:rsidRPr="00AF6DF3" w:rsidRDefault="00AF6DF3" w:rsidP="00AF6DF3">
      <w:pPr>
        <w:spacing w:before="240" w:after="120"/>
        <w:jc w:val="right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III.</w:t>
      </w:r>
    </w:p>
    <w:p w:rsidR="00AF6DF3" w:rsidRPr="00AF6DF3" w:rsidRDefault="00AF6DF3" w:rsidP="00AF6DF3">
      <w:pPr>
        <w:spacing w:before="240" w:after="480"/>
        <w:jc w:val="center"/>
        <w:rPr>
          <w:color w:val="auto"/>
        </w:rPr>
      </w:pPr>
      <w:r w:rsidRPr="00AF6DF3">
        <w:rPr>
          <w:rFonts w:ascii="Arial" w:hAnsi="Arial" w:cs="Arial"/>
          <w:b/>
          <w:bCs/>
        </w:rPr>
        <w:t>Program na podporu aplikovaného společenskovědního a humanitního výzkumu, experimentálního vývoje a inovací ÉTA</w:t>
      </w:r>
    </w:p>
    <w:p w:rsidR="00AF6DF3" w:rsidRPr="00AF6DF3" w:rsidRDefault="00AF6DF3" w:rsidP="00C83496">
      <w:pPr>
        <w:numPr>
          <w:ilvl w:val="0"/>
          <w:numId w:val="1"/>
        </w:numPr>
        <w:spacing w:before="240"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NÁZEV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na podporu aplikovaného společenskovědního a humanitního výzkumu, experimentálního vývoje a inovací ÉTA (dále jen „program“).</w:t>
      </w:r>
    </w:p>
    <w:p w:rsidR="00AF6DF3" w:rsidRPr="00AF6DF3" w:rsidRDefault="00AF6DF3" w:rsidP="00C83496">
      <w:pPr>
        <w:numPr>
          <w:ilvl w:val="0"/>
          <w:numId w:val="2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PRÁVNÍ RÁMEC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bude realizován podle:</w:t>
      </w:r>
    </w:p>
    <w:p w:rsidR="00AF6DF3" w:rsidRPr="00AF6DF3" w:rsidRDefault="00AF6DF3" w:rsidP="00C83496">
      <w:pPr>
        <w:pStyle w:val="Odstavecseseznamem"/>
        <w:numPr>
          <w:ilvl w:val="0"/>
          <w:numId w:val="18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Zákona č. 130/2002 Sb., o podpoře výzkumu, experimentálního vývoje a inovací z veřejných prostředků a o změně některých souvisejících zákonů (dále jen “zákon </w:t>
      </w:r>
      <w:r w:rsidRPr="00AF6DF3">
        <w:rPr>
          <w:rFonts w:ascii="Arial" w:hAnsi="Arial" w:cs="Arial"/>
          <w:sz w:val="22"/>
          <w:szCs w:val="22"/>
        </w:rPr>
        <w:br/>
        <w:t>o podpoře výzkumu, experimentálního vývoje a inovací”), ve znění pozdějších předpisů;</w:t>
      </w:r>
    </w:p>
    <w:p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Smlouvy o fungování Evropské unie 2012/C 326/01, (zejména 107, případně také články 93 a 106);</w:t>
      </w:r>
    </w:p>
    <w:p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Nařízení Komise (EU) č. 651/2014 ze dne 17. června 2014, kterým se v souladu s články 107 a 108 Smlouvy prohlašují určité kategorie podpory za</w:t>
      </w:r>
      <w:r w:rsidR="00740920">
        <w:rPr>
          <w:rFonts w:ascii="Arial" w:hAnsi="Arial" w:cs="Arial"/>
          <w:sz w:val="22"/>
          <w:szCs w:val="22"/>
        </w:rPr>
        <w:t xml:space="preserve"> slučitelné s vnitřním trhem - </w:t>
      </w:r>
      <w:r w:rsidRPr="00AF6DF3">
        <w:rPr>
          <w:rFonts w:ascii="Arial" w:hAnsi="Arial" w:cs="Arial"/>
          <w:sz w:val="22"/>
          <w:szCs w:val="22"/>
        </w:rPr>
        <w:t>Úřední věstník Evropské unie L 187, 26. června 2014 (dále jen „Nařízení“), zejm. čl. 25, 28 a 29;</w:t>
      </w:r>
    </w:p>
    <w:p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Rámce pro státní podporu výzkumu, vývoje a inovací – Úřední věstník Evropské unie </w:t>
      </w:r>
      <w:r w:rsidRPr="00AF6DF3">
        <w:rPr>
          <w:rFonts w:ascii="Arial" w:hAnsi="Arial" w:cs="Arial"/>
          <w:sz w:val="22"/>
          <w:szCs w:val="22"/>
        </w:rPr>
        <w:br/>
        <w:t>C 198, 27. června 2014 (dále jen „Rámec“);</w:t>
      </w:r>
    </w:p>
    <w:p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a podle ostatních souvisejících předpisů.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Příjemcům, kteří budou podniky, bude poskytována podpora zpravidla dle Nařízení a příjemcům výzkumným organizacím, bude podpora poskytována dle Rámce.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Pokud příjemce nebude splňovat ani jednu z definic podniku či výzkumné organizace a případná podpora poskytnut</w:t>
      </w:r>
      <w:r w:rsidR="005D58F9">
        <w:rPr>
          <w:rFonts w:ascii="Arial" w:hAnsi="Arial" w:cs="Arial"/>
          <w:sz w:val="22"/>
          <w:szCs w:val="22"/>
        </w:rPr>
        <w:t>á</w:t>
      </w:r>
      <w:r w:rsidRPr="00AF6DF3">
        <w:rPr>
          <w:rFonts w:ascii="Arial" w:hAnsi="Arial" w:cs="Arial"/>
          <w:sz w:val="22"/>
          <w:szCs w:val="22"/>
        </w:rPr>
        <w:t xml:space="preserve"> v jeho prospěch bude v souladu s cíli tohoto programu, je možné mu poskytnout podporu mimo režim veřejné podpory, tj. mimo režim článku 107 Smlouvy o fungování Evropské unie, v případě, že nebude naplněn některý z jejích definičních znaků, zejména podpora nebude směřovat na hospodářské činnosti daného příjemce (např. nestátní neziskové organizace).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je vyňat z oznamovací povinnosti podle čl. 108 odst. 3 Smlouvy o fungování Evropské unie, neboť splňuje podmínky Nařízení.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 rámci tohoto programu je vyloučeno vyplacení jednotlivé podpory ve prospěch podniku:</w:t>
      </w:r>
    </w:p>
    <w:p w:rsidR="00AF6DF3" w:rsidRPr="00AF6DF3" w:rsidRDefault="00AF6DF3" w:rsidP="00C83496">
      <w:pPr>
        <w:numPr>
          <w:ilvl w:val="0"/>
          <w:numId w:val="19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vůči němuž byl v návaznosti na rozhodnutí Komise, jímž je podpora prohlášena za protiprávní a neslučitelnou s vnitřním trhem, vystaven inkasní příkaz, který je nesplacený.</w:t>
      </w:r>
    </w:p>
    <w:p w:rsidR="00AF6DF3" w:rsidRPr="00AF6DF3" w:rsidRDefault="00AF6DF3" w:rsidP="00C83496">
      <w:pPr>
        <w:numPr>
          <w:ilvl w:val="0"/>
          <w:numId w:val="19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splňujícímu definici podniku v obtížích uvedenou v čl. 2, odst. 18) Nařízení </w:t>
      </w:r>
    </w:p>
    <w:p w:rsidR="00AF6DF3" w:rsidRPr="00AF6DF3" w:rsidRDefault="00AF6DF3" w:rsidP="00C83496">
      <w:pPr>
        <w:pStyle w:val="Odstavecseseznamem"/>
        <w:numPr>
          <w:ilvl w:val="0"/>
          <w:numId w:val="19"/>
        </w:numPr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Pokud jeden podnik obdrží v rámci programu </w:t>
      </w:r>
      <w:r w:rsidRPr="00144871">
        <w:rPr>
          <w:rFonts w:ascii="Arial" w:hAnsi="Arial" w:cs="Arial"/>
          <w:color w:val="auto"/>
          <w:sz w:val="22"/>
          <w:szCs w:val="22"/>
        </w:rPr>
        <w:t xml:space="preserve">veřejnou podporu </w:t>
      </w:r>
      <w:r w:rsidRPr="00AF6DF3">
        <w:rPr>
          <w:rFonts w:ascii="Arial" w:hAnsi="Arial" w:cs="Arial"/>
          <w:sz w:val="22"/>
          <w:szCs w:val="22"/>
        </w:rPr>
        <w:t>vyšší než 500 tis. EUR, budou informace o příjemci a jemu poskytnuté podpoře (v rozsahu dle přílohy III Nařízení) zveřejněny na centrální webové stránce ve smyslu čl. 9 Nařízení.</w:t>
      </w:r>
    </w:p>
    <w:p w:rsidR="00AF6DF3" w:rsidRPr="00AF6DF3" w:rsidRDefault="00AF6DF3" w:rsidP="00144871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</w:t>
      </w:r>
      <w:r w:rsidR="005D58F9">
        <w:rPr>
          <w:rFonts w:ascii="Arial" w:hAnsi="Arial" w:cs="Arial"/>
          <w:sz w:val="22"/>
          <w:szCs w:val="22"/>
        </w:rPr>
        <w:t>bude</w:t>
      </w:r>
      <w:r w:rsidRPr="00AF6DF3">
        <w:rPr>
          <w:rFonts w:ascii="Arial" w:hAnsi="Arial" w:cs="Arial"/>
          <w:sz w:val="22"/>
          <w:szCs w:val="22"/>
        </w:rPr>
        <w:t xml:space="preserve"> realizován v souladu s</w:t>
      </w:r>
      <w:r w:rsidR="005D58F9">
        <w:rPr>
          <w:rFonts w:ascii="Arial" w:hAnsi="Arial" w:cs="Arial"/>
          <w:sz w:val="22"/>
          <w:szCs w:val="22"/>
        </w:rPr>
        <w:t> principy Národní iniciativy</w:t>
      </w:r>
      <w:r w:rsidRPr="00AF6DF3">
        <w:rPr>
          <w:rFonts w:ascii="Arial" w:hAnsi="Arial" w:cs="Arial"/>
          <w:sz w:val="22"/>
          <w:szCs w:val="22"/>
        </w:rPr>
        <w:t xml:space="preserve"> Průmysl 4.0</w:t>
      </w:r>
      <w:r w:rsidR="005D58F9">
        <w:rPr>
          <w:rFonts w:ascii="Arial" w:hAnsi="Arial" w:cs="Arial"/>
          <w:sz w:val="22"/>
          <w:szCs w:val="22"/>
        </w:rPr>
        <w:t xml:space="preserve"> (</w:t>
      </w:r>
      <w:r w:rsidR="00613066">
        <w:rPr>
          <w:rFonts w:ascii="Arial" w:hAnsi="Arial" w:cs="Arial"/>
          <w:sz w:val="22"/>
          <w:szCs w:val="22"/>
        </w:rPr>
        <w:t xml:space="preserve">dále </w:t>
      </w:r>
      <w:r w:rsidR="00180EAF">
        <w:rPr>
          <w:rFonts w:ascii="Arial" w:hAnsi="Arial" w:cs="Arial"/>
          <w:sz w:val="22"/>
          <w:szCs w:val="22"/>
        </w:rPr>
        <w:t xml:space="preserve">jen </w:t>
      </w:r>
      <w:r w:rsidR="00613066">
        <w:rPr>
          <w:rFonts w:ascii="Arial" w:hAnsi="Arial" w:cs="Arial"/>
          <w:sz w:val="22"/>
          <w:szCs w:val="22"/>
        </w:rPr>
        <w:t>„</w:t>
      </w:r>
      <w:r w:rsidR="005D58F9">
        <w:rPr>
          <w:rFonts w:ascii="Arial" w:hAnsi="Arial" w:cs="Arial"/>
          <w:sz w:val="22"/>
          <w:szCs w:val="22"/>
        </w:rPr>
        <w:t>NIP 4.0</w:t>
      </w:r>
      <w:r w:rsidR="00613066">
        <w:rPr>
          <w:rFonts w:ascii="Arial" w:hAnsi="Arial" w:cs="Arial"/>
          <w:sz w:val="22"/>
          <w:szCs w:val="22"/>
        </w:rPr>
        <w:t>“</w:t>
      </w:r>
      <w:r w:rsidR="005D58F9">
        <w:rPr>
          <w:rFonts w:ascii="Arial" w:hAnsi="Arial" w:cs="Arial"/>
          <w:sz w:val="22"/>
          <w:szCs w:val="22"/>
        </w:rPr>
        <w:t>)</w:t>
      </w:r>
      <w:r w:rsidRPr="00AF6DF3">
        <w:rPr>
          <w:rFonts w:ascii="Arial" w:hAnsi="Arial" w:cs="Arial"/>
          <w:sz w:val="22"/>
          <w:szCs w:val="22"/>
        </w:rPr>
        <w:t xml:space="preserve">, </w:t>
      </w:r>
      <w:r w:rsidR="006353AE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s Národní politikou výzkumu, vývoje a inovací České republiky na léta 2016 až 2020 s výhledem do roku 2025, schválenou usnesením vlády České republiky ze dne 17. února 2016 č. 135, Národními prioritami orientovaného výzkumu, experimentálního vývoje a inovací, které byly přijaty </w:t>
      </w:r>
      <w:r w:rsidRPr="00AF6DF3">
        <w:rPr>
          <w:rFonts w:ascii="Arial" w:hAnsi="Arial" w:cs="Arial"/>
          <w:sz w:val="22"/>
          <w:szCs w:val="22"/>
        </w:rPr>
        <w:lastRenderedPageBreak/>
        <w:t xml:space="preserve">usnesením vlády ze dne 19. července 2012 č. 552 (dále jen „NPOV“), Národní výzkumnou </w:t>
      </w:r>
      <w:r w:rsidR="006353AE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a inovační strategií pro inteligentní specializaci České republiky schválenou usnesením vlády České republiky ze dne 17. února 2016 č. 135 08.12.2014 č. 1028  a dalšími národními </w:t>
      </w:r>
      <w:r w:rsidR="006353AE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>a rezortními strategiemi.</w:t>
      </w:r>
    </w:p>
    <w:p w:rsidR="00AF6DF3" w:rsidRPr="00AF6DF3" w:rsidRDefault="00AF6DF3" w:rsidP="00C83496">
      <w:pPr>
        <w:numPr>
          <w:ilvl w:val="0"/>
          <w:numId w:val="3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POSKYTOVATEL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Poskytovatelem podpory je Technologická agentura České republiky (dále jen „TA ČR“).</w:t>
      </w:r>
    </w:p>
    <w:p w:rsidR="00AF6DF3" w:rsidRPr="00AF6DF3" w:rsidRDefault="00AF6DF3" w:rsidP="00C83496">
      <w:pPr>
        <w:numPr>
          <w:ilvl w:val="0"/>
          <w:numId w:val="4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IDENTIFIKAČNÍ KÓD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účely evidence v informačním systému výzkumu, experimentálního vývoje a inovací byl programu přidělen </w:t>
      </w:r>
      <w:proofErr w:type="gramStart"/>
      <w:r w:rsidRPr="00AF6DF3">
        <w:rPr>
          <w:rFonts w:ascii="Arial" w:hAnsi="Arial" w:cs="Arial"/>
          <w:sz w:val="22"/>
          <w:szCs w:val="22"/>
        </w:rPr>
        <w:t>kód „...“.</w:t>
      </w:r>
      <w:proofErr w:type="gramEnd"/>
    </w:p>
    <w:p w:rsidR="00AF6DF3" w:rsidRPr="00AF6DF3" w:rsidRDefault="00AF6DF3" w:rsidP="00C83496">
      <w:pPr>
        <w:numPr>
          <w:ilvl w:val="0"/>
          <w:numId w:val="5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DOBA TRVÁNÍ A TERMÍNY VYHLÁŠENÍ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Doba trvání programu se předpokládá v letech 2018 až 2027, tj. 10 let.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Veřejnou soutěž ve výzkumu, experimentálním vývoji a inovacích (dále jen „veřejná soutěž“) na výběr projektů do programu se předpokládá vyhlásit poprvé v roce 2017 se zahájením poskytování podpory od roku 2018. Následně budou veřejné soutěže vyhlašovány každoročně v letech 2018 až 2023 se zahajováním poskytování podpory v letech 2019 až 2024. V letech 2026 – 2027 budou probíhat aktivity související s vyhodnocením programu po ukončení všech projektů včetně období implementace dosažených výstupů programu do praxe. Z tohoto důvodu není pro roky 2026 - 2027 uveden požadavek na finanční prostředky ze státního rozpočtu. Minimální délka řešení projektů </w:t>
      </w:r>
      <w:r w:rsidR="006353AE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>v tomto programu je stanovena na 12 měsíců. Doba realizace projektů výzkumu, vývoje a inovací nepřesáhne dobu trvání programu.</w:t>
      </w:r>
    </w:p>
    <w:p w:rsidR="00AF6DF3" w:rsidRPr="00AF6DF3" w:rsidRDefault="00AF6DF3" w:rsidP="00C83496">
      <w:pPr>
        <w:numPr>
          <w:ilvl w:val="0"/>
          <w:numId w:val="6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ZAMĚŘENÍ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je zaměřen na podporu projektů, které spadají dle čl. 25 odst. 2 písm. b), c) Nařízení a čl. </w:t>
      </w:r>
      <w:proofErr w:type="gramStart"/>
      <w:r w:rsidRPr="00AF6DF3">
        <w:rPr>
          <w:rFonts w:ascii="Arial" w:hAnsi="Arial" w:cs="Arial"/>
          <w:sz w:val="22"/>
          <w:szCs w:val="22"/>
        </w:rPr>
        <w:t>1.3. písm.</w:t>
      </w:r>
      <w:proofErr w:type="gramEnd"/>
      <w:r w:rsidRPr="00AF6DF3">
        <w:rPr>
          <w:rFonts w:ascii="Arial" w:hAnsi="Arial" w:cs="Arial"/>
          <w:sz w:val="22"/>
          <w:szCs w:val="22"/>
        </w:rPr>
        <w:t xml:space="preserve"> e) Rámce do kategorie aplikovaného výzkumu (zahrnuje průmyslový výzkum, experimentální vývoj nebo jejich kombinaci), dále inovace dle čl. 28 a 29 Nařízení a čl. 1.3. písm. y) a </w:t>
      </w:r>
      <w:proofErr w:type="spellStart"/>
      <w:r w:rsidRPr="00AF6DF3">
        <w:rPr>
          <w:rFonts w:ascii="Arial" w:hAnsi="Arial" w:cs="Arial"/>
          <w:sz w:val="22"/>
          <w:szCs w:val="22"/>
        </w:rPr>
        <w:t>bb</w:t>
      </w:r>
      <w:proofErr w:type="spellEnd"/>
      <w:r w:rsidRPr="00AF6DF3">
        <w:rPr>
          <w:rFonts w:ascii="Arial" w:hAnsi="Arial" w:cs="Arial"/>
          <w:sz w:val="22"/>
          <w:szCs w:val="22"/>
        </w:rPr>
        <w:t>) Rámce, jejichž výsledky mají vysoký potenciál pro uplatnění v řadě oblastí celospolečenského života obyvatel České republiky.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podpoří zapojení společenských a humanitních věd do projektů aplikovaného výzkumu, experimentálního vývoje a inovací, které jsou přínosné pro udržení a zvyšování kvality života člověka v reakci na dynamické společenské, ekonomické, globalizační, kulturní nebo technologické proměny. </w:t>
      </w:r>
    </w:p>
    <w:p w:rsidR="00AF6DF3" w:rsidRPr="00AF6DF3" w:rsidRDefault="005D58F9" w:rsidP="00AF6DF3">
      <w:pPr>
        <w:spacing w:before="240" w:after="120"/>
        <w:jc w:val="both"/>
        <w:rPr>
          <w:color w:val="auto"/>
        </w:rPr>
      </w:pPr>
      <w:r>
        <w:rPr>
          <w:rFonts w:ascii="Arial" w:hAnsi="Arial" w:cs="Arial"/>
          <w:sz w:val="22"/>
          <w:szCs w:val="22"/>
        </w:rPr>
        <w:t xml:space="preserve">V rámci programu budou podpořeny </w:t>
      </w:r>
      <w:r w:rsidR="00AF6DF3" w:rsidRPr="00AF6DF3">
        <w:rPr>
          <w:rFonts w:ascii="Arial" w:hAnsi="Arial" w:cs="Arial"/>
          <w:sz w:val="22"/>
          <w:szCs w:val="22"/>
        </w:rPr>
        <w:t>projekty, které jsou zaměřeny na jeden nebo více níže uvedených aspektů:</w:t>
      </w:r>
    </w:p>
    <w:p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využívají přínosů multidisciplinárních přístupů, </w:t>
      </w:r>
    </w:p>
    <w:p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propojují výzkum technického a netechnického charakteru,  </w:t>
      </w:r>
    </w:p>
    <w:p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vytěžují potenciál výstupů základního výzkumu k aplikacím.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Jedná se především o projekty aplikovaného výzkumu, experimentálního vývoje a inovací, jejichž cílem je zmírňování hrozeb a využívání příležitostí v kontextu současných i budoucích výzev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>21. století. Takovými výzvami jsou míněny oblasti, které mají vliv na dynamické proměny současné spole</w:t>
      </w:r>
      <w:r w:rsidR="00613066">
        <w:rPr>
          <w:rFonts w:ascii="Arial" w:hAnsi="Arial" w:cs="Arial"/>
          <w:sz w:val="22"/>
          <w:szCs w:val="22"/>
        </w:rPr>
        <w:t>čnosti, jako</w:t>
      </w:r>
      <w:r w:rsidR="0019612D">
        <w:rPr>
          <w:rFonts w:ascii="Arial" w:hAnsi="Arial" w:cs="Arial"/>
          <w:sz w:val="22"/>
          <w:szCs w:val="22"/>
        </w:rPr>
        <w:t xml:space="preserve"> (1) realizace</w:t>
      </w:r>
      <w:r w:rsidR="00613066">
        <w:rPr>
          <w:rFonts w:ascii="Arial" w:hAnsi="Arial" w:cs="Arial"/>
          <w:sz w:val="22"/>
          <w:szCs w:val="22"/>
        </w:rPr>
        <w:t xml:space="preserve"> NIP</w:t>
      </w:r>
      <w:r w:rsidRPr="00AF6DF3">
        <w:rPr>
          <w:rFonts w:ascii="Arial" w:hAnsi="Arial" w:cs="Arial"/>
          <w:sz w:val="22"/>
          <w:szCs w:val="22"/>
        </w:rPr>
        <w:t xml:space="preserve"> 4.0; (2) digitalizace, virtuální realita a umělá inteligence; (3) média a sociální sítě; (4) demografické proměny - stárnutí a fragmentace společnosti; (5) migrace </w:t>
      </w:r>
      <w:r w:rsidR="006353AE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a integrace; (6) rovné příležitosti a nediskriminace; (7) zdraví, psychosociální rozvoj a spiritualita; (8) globalizace a regionalizace; (9) architektura, urbanismus a životní prostor; (10) udržitelnost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a životní prostředí; (11) propojení fyzické a virtuální; (12) sociální, kulturní a vzdělávací výzvy; (13) </w:t>
      </w:r>
      <w:r w:rsidRPr="00AF6DF3">
        <w:rPr>
          <w:rFonts w:ascii="Arial" w:hAnsi="Arial" w:cs="Arial"/>
          <w:sz w:val="22"/>
          <w:szCs w:val="22"/>
        </w:rPr>
        <w:lastRenderedPageBreak/>
        <w:t xml:space="preserve">udržitelný růst a nové konkurenční výhody; (14) inovační kultura, kreativní ekosystém; (15) design, designové myšlení a inovace; (16) nové strategické nemateriální zdroje; (17) digitální a kreativní ekonomika; (18) umění a technologie; (19) zakládání podniků, kultura a etika podnikání; (20) klastrování a strategické síťování; (21) participace občanů na státní správě a komunálním životě; (22) ochrana práv duševního vlastnictví, otevřené inovace, velká data; (23) strategická podpora výzkumu, vývoje a inovací; (24) odpovědný výzkum, vývoj a inovace a společenská odpovědnost organizací; (25) tvorba a hodnocení veřejných politik a intervencí; (26) veřejné služby orientované na občana.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je zaměřen na podporu propojování  výzkumných organizací s odběrateli výstupů aplikovaného výzkumu, experimentálního vývoje a inovací. Tedy především s podniky, ústředními a jinými orgány státní správy a institucemi jimi zřizovanými, územně samosprávnými celky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>a institucemi jimi zřizovanými, nevládními neziskovými organizacemi, organizacemi, které zastřešují různé segmenty společnosti a s dalšími subjekty působícími v různých společenských oblastech.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 důvodu </w:t>
      </w:r>
      <w:r w:rsidR="005D58F9" w:rsidRPr="00AF6DF3">
        <w:rPr>
          <w:rFonts w:ascii="Arial" w:hAnsi="Arial" w:cs="Arial"/>
          <w:sz w:val="22"/>
          <w:szCs w:val="22"/>
        </w:rPr>
        <w:t xml:space="preserve">světových trendů majících vliv na společenskou realitu </w:t>
      </w:r>
      <w:r w:rsidR="005D58F9">
        <w:rPr>
          <w:rFonts w:ascii="Arial" w:hAnsi="Arial" w:cs="Arial"/>
          <w:sz w:val="22"/>
          <w:szCs w:val="22"/>
        </w:rPr>
        <w:t>a rychle se měnících podmínek</w:t>
      </w:r>
      <w:r w:rsidRPr="00AF6DF3">
        <w:rPr>
          <w:rFonts w:ascii="Arial" w:hAnsi="Arial" w:cs="Arial"/>
          <w:sz w:val="22"/>
          <w:szCs w:val="22"/>
        </w:rPr>
        <w:t xml:space="preserve"> se mohou výzvy pro aplikovaný společenskovědní a humanitní výzkum během trvání programu měnit, resp. může docházet k jejich upřesnění. Z tohoto důvodu umožní program v rámci stanovených cílů tematicky zaměřené veřejné soutěže a definování výzkumných témat řešitelskými týmy</w:t>
      </w:r>
      <w:r w:rsidR="005D58F9">
        <w:rPr>
          <w:rFonts w:ascii="Arial" w:hAnsi="Arial" w:cs="Arial"/>
          <w:sz w:val="22"/>
          <w:szCs w:val="22"/>
        </w:rPr>
        <w:t>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Realizace projektů podpořených v programu jednoznačně přispěje k naplňování NPOV, a to zejména priority č. 4 Sociální a kulturní výzvy s výjimkou podoblasti 3.2. Národní, regionální </w:t>
      </w:r>
      <w:r w:rsidRPr="00AF6DF3">
        <w:rPr>
          <w:rFonts w:ascii="Arial" w:hAnsi="Arial" w:cs="Arial"/>
          <w:sz w:val="22"/>
          <w:szCs w:val="22"/>
        </w:rPr>
        <w:br/>
        <w:t xml:space="preserve">a lokální identita a tradice a 3.3. Hmotné a nehmotné kulturní dědictví, neboť cíle </w:t>
      </w:r>
      <w:proofErr w:type="spellStart"/>
      <w:r w:rsidRPr="00AF6DF3">
        <w:rPr>
          <w:rFonts w:ascii="Arial" w:hAnsi="Arial" w:cs="Arial"/>
          <w:sz w:val="22"/>
          <w:szCs w:val="22"/>
        </w:rPr>
        <w:t>VaVaI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těchto podoblastí jsou podporovány prostřednictvím Programu na podporu aplikovaného výzkumu </w:t>
      </w:r>
      <w:r w:rsidRPr="00AF6DF3">
        <w:rPr>
          <w:rFonts w:ascii="Arial" w:hAnsi="Arial" w:cs="Arial"/>
          <w:sz w:val="22"/>
          <w:szCs w:val="22"/>
        </w:rPr>
        <w:br/>
        <w:t xml:space="preserve">a experimentálního vývoje národní a kulturní identity na léta 2016 až 2022 (NAKI II) vyhlašovaného Ministerstvem kultury. Cíle programu tak budou zcela komplementární k programu NAKI II a oba tyto programy budou společně pokrývat celou oblast aplikovaného společenskovědního výzkumu reagujícího na sociální a kulturní výzvy české společnosti.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Vzhledem k průřezovému charakteru současných i budoucích výzev a příležitostí 21. století umožní program naplňovat společenskovědní a humanitní dimenzi obsaženou v prioritě č. 1, podoblast 4.1 Identifikace nových příležitostí konkurenční výhody; prioritu č. 3 Prostředí pro kvalitní život; prioritu č. 5 Zdravá populace, podoblast 1.4 Nervová a psychická onemocnění; 3.4 Nervová a psychická onemocnění a 3.6. Závislosti. V případě poptávky ze strany ústředních orgánů státní správy a dalších správních úřadů po aplikovaném společenskovědním výzkumu v prioritní oblasti č. 5 Bezpečná společnost je možno tento výzkum v rámci programu realizovat nastavením konkrétních podmínek veřejné soutěže.</w:t>
      </w:r>
    </w:p>
    <w:p w:rsidR="00AF6DF3" w:rsidRPr="00AF6DF3" w:rsidRDefault="00AF6DF3" w:rsidP="00C83496">
      <w:pPr>
        <w:numPr>
          <w:ilvl w:val="0"/>
          <w:numId w:val="7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CÍL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Cílem programu je posílení společenské a humanitní dimenze v aktivitách aplikovaného výzkumu, experimentálního vývoje a inovací a uplatnění výstupů těchto aktivit v podobě nových nebo podstatně zdokonalených stávajících výrobků, postupů, procesů nebo služeb v oblastech:</w:t>
      </w:r>
    </w:p>
    <w:p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společnost</w:t>
      </w:r>
      <w:r w:rsidRPr="00AF6DF3">
        <w:rPr>
          <w:rFonts w:ascii="Arial" w:hAnsi="Arial" w:cs="Arial"/>
          <w:sz w:val="22"/>
          <w:szCs w:val="22"/>
        </w:rPr>
        <w:t xml:space="preserve"> v kontextu dynamických společenských a technologických proměn </w:t>
      </w:r>
      <w:r w:rsidRPr="00AF6DF3">
        <w:rPr>
          <w:rFonts w:ascii="Arial" w:hAnsi="Arial" w:cs="Arial"/>
          <w:sz w:val="22"/>
          <w:szCs w:val="22"/>
        </w:rPr>
        <w:br/>
        <w:t>a výzev 21. století;</w:t>
      </w:r>
    </w:p>
    <w:p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prostředí pro jeho život</w:t>
      </w:r>
      <w:r w:rsidRPr="00AF6DF3">
        <w:rPr>
          <w:rFonts w:ascii="Arial" w:hAnsi="Arial" w:cs="Arial"/>
          <w:sz w:val="22"/>
          <w:szCs w:val="22"/>
        </w:rPr>
        <w:t xml:space="preserve"> v kontextu udržitelného rozvoje krajiny, regionů, měst </w:t>
      </w:r>
      <w:r w:rsidRPr="00AF6DF3">
        <w:rPr>
          <w:rFonts w:ascii="Arial" w:hAnsi="Arial" w:cs="Arial"/>
          <w:sz w:val="22"/>
          <w:szCs w:val="22"/>
        </w:rPr>
        <w:br/>
        <w:t>a obcí a stavební kultury;</w:t>
      </w:r>
    </w:p>
    <w:p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ekonomika</w:t>
      </w:r>
      <w:r w:rsidRPr="00AF6DF3">
        <w:rPr>
          <w:rFonts w:ascii="Arial" w:hAnsi="Arial" w:cs="Arial"/>
          <w:sz w:val="22"/>
          <w:szCs w:val="22"/>
        </w:rPr>
        <w:t xml:space="preserve"> v kontextu objevení nových konkurenčních výhod </w:t>
      </w:r>
      <w:r w:rsidRPr="00AF6DF3">
        <w:rPr>
          <w:rFonts w:ascii="Arial" w:hAnsi="Arial" w:cs="Arial"/>
          <w:sz w:val="22"/>
          <w:szCs w:val="22"/>
        </w:rPr>
        <w:br/>
        <w:t>a rozvoje kompetencí pro 21. století;</w:t>
      </w:r>
    </w:p>
    <w:p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společenský systém</w:t>
      </w:r>
      <w:r w:rsidRPr="00AF6DF3">
        <w:rPr>
          <w:rFonts w:ascii="Arial" w:hAnsi="Arial" w:cs="Arial"/>
          <w:sz w:val="22"/>
          <w:szCs w:val="22"/>
        </w:rPr>
        <w:t xml:space="preserve"> v kontextu interakce mezi občanem a státem, veřejných politik, správy a veřejných služeb orientovaných na občana.</w:t>
      </w:r>
    </w:p>
    <w:p w:rsidR="00AF6DF3" w:rsidRPr="00AF6DF3" w:rsidRDefault="00AF6DF3" w:rsidP="00C83496">
      <w:pPr>
        <w:numPr>
          <w:ilvl w:val="0"/>
          <w:numId w:val="8"/>
        </w:numPr>
        <w:spacing w:before="36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ODŮVODNĚNÍ CÍLE PROGRAMU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a</w:t>
      </w:r>
      <w:r w:rsidRPr="00AF6DF3">
        <w:rPr>
          <w:rFonts w:ascii="Arial" w:hAnsi="Arial" w:cs="Arial"/>
          <w:sz w:val="22"/>
          <w:szCs w:val="22"/>
        </w:rPr>
        <w:t xml:space="preserve">.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společnost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Mění se společenské trendy a životní styl. Na významu získává psychosociální rozvoj člověka, rozvoj jeho “měkkých” dovedností. Do popředí vstupují etické základy společenské koexistence založené na toleranci, vzájemném respektu,</w:t>
      </w:r>
      <w:r w:rsidR="005D58F9">
        <w:rPr>
          <w:rFonts w:ascii="Arial" w:hAnsi="Arial" w:cs="Arial"/>
          <w:sz w:val="22"/>
          <w:szCs w:val="22"/>
        </w:rPr>
        <w:t xml:space="preserve"> odpovědnosti a nediskriminace </w:t>
      </w:r>
      <w:r w:rsidRPr="00AF6DF3">
        <w:rPr>
          <w:rFonts w:ascii="Arial" w:hAnsi="Arial" w:cs="Arial"/>
          <w:sz w:val="22"/>
          <w:szCs w:val="22"/>
        </w:rPr>
        <w:t>s ohledem na rasu, etnický původ, národnost, pohlaví, sexuální orientaci, věk, zdravotní postižení, náboženské vyznání, víru či světový názor. Výzvy a příležitosti, které s sebou nese 21. století, mají dopad na fyzické i duševní zdraví člověka.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Dynamické</w:t>
      </w:r>
      <w:r w:rsidR="005D58F9">
        <w:rPr>
          <w:rFonts w:ascii="Arial" w:hAnsi="Arial" w:cs="Arial"/>
          <w:sz w:val="22"/>
          <w:szCs w:val="22"/>
        </w:rPr>
        <w:t xml:space="preserve"> společenské změny jsou poháněny</w:t>
      </w:r>
      <w:r w:rsidRPr="00AF6DF3">
        <w:rPr>
          <w:rFonts w:ascii="Arial" w:hAnsi="Arial" w:cs="Arial"/>
          <w:sz w:val="22"/>
          <w:szCs w:val="22"/>
        </w:rPr>
        <w:t xml:space="preserve"> mj. i rozvojem digitalizace, internetu věcí, internetu služeb, virtuální reality, robotizace, kybernetiky nebo umělé inteligence a dalších nových technologií. Ty mají - kromě ekonomických dopadů - i dopady na pracovní, sociální a kulturní život člověka.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Potřebná je reflexe a adaptace společnosti na výzvy spojené s její atomizací a se stárnutím populace v České republice. Migrační a integrační procesy jsou spojeny s novými nároky jak na „domácí“ sociální mobilitu, tak na problémy migrace spojené s adaptačními nároky a s kreativní reflexí v oblastech filosofické a historické. Cílená migrační politika bude muset být vedena </w:t>
      </w:r>
      <w:r w:rsidRPr="00AF6DF3">
        <w:rPr>
          <w:rFonts w:ascii="Arial" w:hAnsi="Arial" w:cs="Arial"/>
          <w:sz w:val="22"/>
          <w:szCs w:val="22"/>
        </w:rPr>
        <w:br/>
        <w:t>i v kontextu zajištění dostatku kvalifikovaných lidí v souvislosti s využíváním no</w:t>
      </w:r>
      <w:r w:rsidR="00180EAF">
        <w:rPr>
          <w:rFonts w:ascii="Arial" w:hAnsi="Arial" w:cs="Arial"/>
          <w:sz w:val="22"/>
          <w:szCs w:val="22"/>
        </w:rPr>
        <w:t xml:space="preserve">vých ekonomických příležitostí, vycházejících </w:t>
      </w:r>
      <w:r w:rsidRPr="00AF6DF3">
        <w:rPr>
          <w:rFonts w:ascii="Arial" w:hAnsi="Arial" w:cs="Arial"/>
          <w:sz w:val="22"/>
          <w:szCs w:val="22"/>
        </w:rPr>
        <w:t xml:space="preserve">např. </w:t>
      </w:r>
      <w:r w:rsidR="0019612D">
        <w:rPr>
          <w:rFonts w:ascii="Arial" w:hAnsi="Arial" w:cs="Arial"/>
          <w:sz w:val="22"/>
          <w:szCs w:val="22"/>
        </w:rPr>
        <w:t>z</w:t>
      </w:r>
      <w:r w:rsidR="00613066">
        <w:rPr>
          <w:rFonts w:ascii="Arial" w:hAnsi="Arial" w:cs="Arial"/>
          <w:sz w:val="22"/>
          <w:szCs w:val="22"/>
        </w:rPr>
        <w:t xml:space="preserve"> NIP</w:t>
      </w:r>
      <w:r w:rsidRPr="00AF6DF3">
        <w:rPr>
          <w:rFonts w:ascii="Arial" w:hAnsi="Arial" w:cs="Arial"/>
          <w:sz w:val="22"/>
          <w:szCs w:val="22"/>
        </w:rPr>
        <w:t xml:space="preserve"> 4.0., a to ruku v ruce s reformou vzdělávacího systému.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 tím souvisí rozvoj komunikačních kompetencí a cizích jazyků, stejně jako inteligentní komunikace v interakci člověk-stroj a průmyslové komunikace stroj-stroj. Na proměnu lidského života, formování společnosti a vnímání světa mají rovněž nemalý vliv média včetně sociálních sítí a mobilních platforem. Tvoří se tak prostor pro nové formy osobního vyjadřování, podnikání </w:t>
      </w:r>
      <w:r w:rsidRPr="00AF6DF3">
        <w:rPr>
          <w:rFonts w:ascii="Arial" w:hAnsi="Arial" w:cs="Arial"/>
          <w:sz w:val="22"/>
          <w:szCs w:val="22"/>
        </w:rPr>
        <w:br/>
        <w:t>a komunikace mezi jednotlivci nebo subjekty.  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b.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prostředí pro jeho život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Kvalitně, smysluplně a odpovědně uspořádané a propojené místo je předpoklad rozvoje kvality života a základem pro vzdělávací a ekonomické činnosti společnosti 21. století. Životním prostorem procházejí inovační a technologické procesy s mnoha důsledky pro kulturně-civilizační, sociálně-ekonomickou a environmentální sféru. Člověk svou činností významně zasahuje do fungování krajiny a ekosystémů na globální a místní úrovni. Zapojení společenských </w:t>
      </w:r>
      <w:r w:rsidRPr="00AF6DF3">
        <w:rPr>
          <w:rFonts w:ascii="Arial" w:hAnsi="Arial" w:cs="Arial"/>
          <w:sz w:val="22"/>
          <w:szCs w:val="22"/>
        </w:rPr>
        <w:br/>
        <w:t xml:space="preserve">a humanitních věd do projektů výzkumu, vývoje a inovací může napomoci dosažení souladu mezi hospodářskými, environmentálními a sociálními zájmy a kulturními hodnotami společnosti.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Snížení energetické a surovinové náročnosti výroby, nárůst produktivity ve výrobě, optimalizace logistických tras, technologická řešení pro decentralizované systémy výroby a distribuce energie nebo inteligentní městskou infrastrukturu např. v rámci konceptu </w:t>
      </w:r>
      <w:proofErr w:type="spellStart"/>
      <w:r w:rsidRPr="00AF6DF3">
        <w:rPr>
          <w:rFonts w:ascii="Arial" w:hAnsi="Arial" w:cs="Arial"/>
          <w:sz w:val="22"/>
          <w:szCs w:val="22"/>
        </w:rPr>
        <w:t>smart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cities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- to mohou být hlavní přínosy souvisejícího výzkumu pro efektivnější využívání zdrojů, zejména v kontextu podpory </w:t>
      </w:r>
      <w:r w:rsidR="00613066">
        <w:rPr>
          <w:rFonts w:ascii="Arial" w:hAnsi="Arial" w:cs="Arial"/>
          <w:sz w:val="22"/>
          <w:szCs w:val="22"/>
        </w:rPr>
        <w:t>NIP</w:t>
      </w:r>
      <w:r w:rsidRPr="00AF6DF3">
        <w:rPr>
          <w:rFonts w:ascii="Arial" w:hAnsi="Arial" w:cs="Arial"/>
          <w:sz w:val="22"/>
          <w:szCs w:val="22"/>
        </w:rPr>
        <w:t xml:space="preserve"> 4.0.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Na významu získává rozvoj bezpečné dopravy šetrné k životnímu prostředí. Fyzická dostupnost, bezbariérovost, virtuální propojování v regionech a obcích ČR - často v přeshraničním nebo meziregionálním kontextu - může mít pozitivní vliv nejen na zvyšování konkurenceschopnosti, </w:t>
      </w:r>
      <w:r w:rsidRPr="00AF6DF3">
        <w:rPr>
          <w:rFonts w:ascii="Arial" w:hAnsi="Arial" w:cs="Arial"/>
          <w:sz w:val="22"/>
          <w:szCs w:val="22"/>
        </w:rPr>
        <w:br/>
        <w:t xml:space="preserve">ale i kvality života </w:t>
      </w:r>
      <w:r w:rsidR="005D58F9">
        <w:rPr>
          <w:rFonts w:ascii="Arial" w:hAnsi="Arial" w:cs="Arial"/>
          <w:sz w:val="22"/>
          <w:szCs w:val="22"/>
        </w:rPr>
        <w:t xml:space="preserve">ve </w:t>
      </w:r>
      <w:r w:rsidRPr="00AF6DF3">
        <w:rPr>
          <w:rFonts w:ascii="Arial" w:hAnsi="Arial" w:cs="Arial"/>
          <w:sz w:val="22"/>
          <w:szCs w:val="22"/>
        </w:rPr>
        <w:t xml:space="preserve">společnosti. Tím lze přispět k vyrovnání regionálních disparit mezi rostoucími </w:t>
      </w:r>
      <w:r w:rsidRPr="00AF6DF3">
        <w:rPr>
          <w:rFonts w:ascii="Arial" w:hAnsi="Arial" w:cs="Arial"/>
          <w:sz w:val="22"/>
          <w:szCs w:val="22"/>
        </w:rPr>
        <w:br/>
        <w:t>a prosperujícími oblastmi s vysokou a rozmanitou nabídkou na trzích práce a upadajícími strukturálně postiženými periferními regiony. Pro udrž</w:t>
      </w:r>
      <w:r w:rsidR="005D58F9">
        <w:rPr>
          <w:rFonts w:ascii="Arial" w:hAnsi="Arial" w:cs="Arial"/>
          <w:sz w:val="22"/>
          <w:szCs w:val="22"/>
        </w:rPr>
        <w:t>itelný rozvoj regionů, založený</w:t>
      </w:r>
      <w:r w:rsidRPr="00AF6DF3">
        <w:rPr>
          <w:rFonts w:ascii="Arial" w:hAnsi="Arial" w:cs="Arial"/>
          <w:sz w:val="22"/>
          <w:szCs w:val="22"/>
        </w:rPr>
        <w:t xml:space="preserve"> na vyšší přidané hodnotě, je stěžejní využívání partnerství mezi veřejným, podnikatelským a akademickým sektorem včetně environmentální sféry a společností (v odborné terminologii označováno jako </w:t>
      </w:r>
      <w:proofErr w:type="spellStart"/>
      <w:r w:rsidRPr="00AF6DF3">
        <w:rPr>
          <w:rFonts w:ascii="Arial" w:hAnsi="Arial" w:cs="Arial"/>
          <w:sz w:val="22"/>
          <w:szCs w:val="22"/>
        </w:rPr>
        <w:t>pětišroubovice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AF6DF3">
        <w:rPr>
          <w:rFonts w:ascii="Arial" w:hAnsi="Arial" w:cs="Arial"/>
          <w:sz w:val="22"/>
          <w:szCs w:val="22"/>
        </w:rPr>
        <w:t>quintuplehelix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lastRenderedPageBreak/>
        <w:t xml:space="preserve">Důležitou úlohu v kvalitě života člověka a společnosti sehrávají oblasti ochrany a plánování krajiny, územního plánování, urbanismu, architektury, veřejného prostoru nebo stavební a bytové kultury, mnohdy za využití moderních informačních, komunikačních a jiných technologií. Udržitelné prostředí pro život vyžaduje řešení komunální soudržnosti a přirozených vazeb s okolní krajinou.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c.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ekonomika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Zapojení společenských a humanitních věd do projektů výzkumu, vývoje a inovací je zásadní pro nalézání nových konkurenčních výhod národní ekonomiky a jejich udržitelné a odpovědné využívání. V globální ekonomice dochází soustavně k dynamickým změnám, což se odráží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v požadavku na flexibilní reagování veřejných i soukromých subjektů na měnící se podmínky pro udržitelnou konkurenční výhodu ČR.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Člověk svými znalostmi, dovednostmi, zkušenostmi, kreativitou, talentem a duševním vlastnictvím může vytvářet nové konkurenční výhody lokální i národní ekonomiky. Do ekonomického prostředí stále častěji vstupuje inovační potenciál v kombinaci s uměním, novými technologiemi a designem. Strategické využívání designového myšlení zaměřené na uživatele může vést k inovacím výrobků, obchodních modelů, organizačním inovacím a jiným formám netechnologických inovací.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 souvislosti s digitalizací, využíváním nových technologií, virtuální reality, internetu a médií vedou tvůrčí činnosti k vytváření nové nabídky a poptávky, novým obchodním modelům a tvorbě přidané hodnoty národního hospodářství. Abychom obstáli nárokům na kvalifikace plynoucím z nových výzev a příležitostí 21. století, zejména z</w:t>
      </w:r>
      <w:r w:rsidR="00180EAF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potřeb</w:t>
      </w:r>
      <w:r w:rsidR="00180EAF">
        <w:rPr>
          <w:rFonts w:ascii="Arial" w:hAnsi="Arial" w:cs="Arial"/>
          <w:sz w:val="22"/>
          <w:szCs w:val="22"/>
        </w:rPr>
        <w:t xml:space="preserve"> vyplývajících z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="00613066">
        <w:rPr>
          <w:rFonts w:ascii="Arial" w:hAnsi="Arial" w:cs="Arial"/>
          <w:sz w:val="22"/>
          <w:szCs w:val="22"/>
        </w:rPr>
        <w:t>NIP</w:t>
      </w:r>
      <w:r w:rsidRPr="00AF6DF3">
        <w:rPr>
          <w:rFonts w:ascii="Arial" w:hAnsi="Arial" w:cs="Arial"/>
          <w:sz w:val="22"/>
          <w:szCs w:val="22"/>
        </w:rPr>
        <w:t xml:space="preserve"> 4.0, bude nezbytné zásadně zkvalitnit celý vzdělávací systém na všech úrovních včetně odborné přípravy pedagogů. K tomu je nutný rozvoj odpovídajících kompetencí z oblasti technického a kreativního vzdělávání, měkkých dovedností, a souvisejících didaktických metod, a to včetně zajištění rovného přístupu ke vzdělání.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Tyto a další výzvy jsou spjaty s generováním velkých dat. Jedná se především o obrazová data, ale i o textová data z internetu, obchodní, telekomunikační, lékařská a bezpečnostní data, různé zdroje signálů a měření ale i kombinovaná multimodální data, která jsou typická například pro systémy autonomního řízení aut, zábavní průmysl a média, finanční sektor, dopravu nebo prodej výrobků. To klade nové nároky nejen na kvalitu a kapacitu elektronické komunikační infrastruktury, ale i na kompetence ohledně způsobu identifikace velkých dat, jejich uchovávání, vyhodnocování </w:t>
      </w:r>
      <w:r w:rsidRPr="00AF6DF3">
        <w:rPr>
          <w:rFonts w:ascii="Arial" w:hAnsi="Arial" w:cs="Arial"/>
          <w:sz w:val="22"/>
          <w:szCs w:val="22"/>
        </w:rPr>
        <w:br/>
        <w:t>a bezpečného využívání, a to včetně principů ochrany soukromí.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 udržitelným </w:t>
      </w:r>
      <w:proofErr w:type="spellStart"/>
      <w:r w:rsidRPr="00AF6DF3">
        <w:rPr>
          <w:rFonts w:ascii="Arial" w:hAnsi="Arial" w:cs="Arial"/>
          <w:sz w:val="22"/>
          <w:szCs w:val="22"/>
        </w:rPr>
        <w:t>socio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-ekonomickým rozvojem a úspěšným podnikáním souvisí i problematika využití potenciálu diverzity pracovních týmu nebo komunity stejně jako rozvoj etických principů </w:t>
      </w:r>
      <w:r w:rsidRPr="00AF6DF3">
        <w:rPr>
          <w:rFonts w:ascii="Arial" w:hAnsi="Arial" w:cs="Arial"/>
          <w:sz w:val="22"/>
          <w:szCs w:val="22"/>
        </w:rPr>
        <w:br/>
        <w:t xml:space="preserve">a společenské odpovědnosti organizací.  Do popředí tak vystupují principy odpovědnosti, rovnosti a posílení role žen a znevýhodněných skupin obyvatelstva v ekonomickém, společenském </w:t>
      </w:r>
      <w:r w:rsidRPr="00AF6DF3">
        <w:rPr>
          <w:rFonts w:ascii="Arial" w:hAnsi="Arial" w:cs="Arial"/>
          <w:sz w:val="22"/>
          <w:szCs w:val="22"/>
        </w:rPr>
        <w:br/>
        <w:t>a politickém životě.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d.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společenský systém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Zapojení společenských a humanitních věd do projektů výzkumu, vývoje a inovací přispívá legitimnímu rozvoji interakce mezi občanem, státem, společností a mezinárodním prostředím daným evropskou integrací a globalizací, a k odpovědné tvorbě veřejných politik a služeb orientovaných na občana. Potřebná je i reakce na výzvy spojené s participací občanů na státní či lokální správě, a to nejen aktivní či pasivní politickou, ale i dobrovolnickou či komunitní, které pomáhají vytvářet soudržnost celého společenského systému.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Veřejná správa vyžaduje podmínky a mechanismy pro tvorbu nových nebo inovaci stávajících účinných politik. Na významu získávají uživatelsky přívětivých veřejných služeb orientovaných na občana. Zavádění experimentálních a behaviorálních metod do tvorby a hodnocení politik </w:t>
      </w:r>
      <w:r w:rsidRPr="00AF6DF3">
        <w:rPr>
          <w:rFonts w:ascii="Arial" w:hAnsi="Arial" w:cs="Arial"/>
          <w:sz w:val="22"/>
          <w:szCs w:val="22"/>
        </w:rPr>
        <w:br/>
        <w:t xml:space="preserve">a veřejných služeb, využívání antropologických, etnografických metod nebo metod založených na designu mohou být nápomocné při řešení složitých a systémových problémů. Důležitou součástí je </w:t>
      </w:r>
      <w:r w:rsidRPr="00AF6DF3">
        <w:rPr>
          <w:rFonts w:ascii="Arial" w:hAnsi="Arial" w:cs="Arial"/>
          <w:sz w:val="22"/>
          <w:szCs w:val="22"/>
        </w:rPr>
        <w:lastRenderedPageBreak/>
        <w:t xml:space="preserve">empirické hodnocení a vnímání veřejných politik (např. v oblasti hospodářství </w:t>
      </w:r>
      <w:r w:rsidRPr="00AF6DF3">
        <w:rPr>
          <w:rFonts w:ascii="Arial" w:hAnsi="Arial" w:cs="Arial"/>
          <w:sz w:val="22"/>
          <w:szCs w:val="22"/>
        </w:rPr>
        <w:br/>
        <w:t xml:space="preserve">a konkurenceschopnosti, integrace, sociálního a důchodového systému, predikce ekonomického vývoje, zdraví obyvatel, vzdělávání aj.) a dalších podpůrných nástrojů, a to na celostátní i lokální úrovni a ve všech fázích životního cyklu.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Nové ekonomické příle</w:t>
      </w:r>
      <w:r w:rsidR="0019612D">
        <w:rPr>
          <w:rFonts w:ascii="Arial" w:hAnsi="Arial" w:cs="Arial"/>
          <w:sz w:val="22"/>
          <w:szCs w:val="22"/>
        </w:rPr>
        <w:t>žitosti, které s sebou přináší</w:t>
      </w:r>
      <w:r w:rsidRPr="00AF6DF3">
        <w:rPr>
          <w:rFonts w:ascii="Arial" w:hAnsi="Arial" w:cs="Arial"/>
          <w:sz w:val="22"/>
          <w:szCs w:val="22"/>
        </w:rPr>
        <w:t xml:space="preserve"> zejména</w:t>
      </w:r>
      <w:r w:rsidR="006353AE">
        <w:rPr>
          <w:rFonts w:ascii="Arial" w:hAnsi="Arial" w:cs="Arial"/>
          <w:sz w:val="22"/>
          <w:szCs w:val="22"/>
        </w:rPr>
        <w:t xml:space="preserve"> </w:t>
      </w:r>
      <w:r w:rsidR="00613066">
        <w:rPr>
          <w:rFonts w:ascii="Arial" w:hAnsi="Arial" w:cs="Arial"/>
          <w:sz w:val="22"/>
          <w:szCs w:val="22"/>
        </w:rPr>
        <w:t>NIP</w:t>
      </w:r>
      <w:r w:rsidRPr="00AF6DF3">
        <w:rPr>
          <w:rFonts w:ascii="Arial" w:hAnsi="Arial" w:cs="Arial"/>
          <w:sz w:val="22"/>
          <w:szCs w:val="22"/>
        </w:rPr>
        <w:t xml:space="preserve"> 4.0, digitální a kreativní ekonomika nebo principy otevřených inovací a dat apod. vyžadují vytvoření legislativy, která bude aplikovatelná v digitální praxi a současně bude reflektovat budoucí sociální, kulturní a ekonomické změny. Je také nutné nalézat synergie mezi různými mechanismy veřejného a soukromého financování a mezi různými místními a regionálními portfolii, např. v rozvojovém principu </w:t>
      </w:r>
      <w:proofErr w:type="spellStart"/>
      <w:r w:rsidRPr="00AF6DF3">
        <w:rPr>
          <w:rFonts w:ascii="Arial" w:hAnsi="Arial" w:cs="Arial"/>
          <w:sz w:val="22"/>
          <w:szCs w:val="22"/>
        </w:rPr>
        <w:t>entrepreneurial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discovery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process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(EDP).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rozvoj těchto nových příležitostí je zásadní propojování společenskovědního a technického výzkumu. Výsledky výzkumu a vývoje ve společnosti, resp. inovace, nové technologie a změny </w:t>
      </w:r>
      <w:r w:rsidRPr="00AF6DF3">
        <w:rPr>
          <w:rFonts w:ascii="Arial" w:hAnsi="Arial" w:cs="Arial"/>
          <w:sz w:val="22"/>
          <w:szCs w:val="22"/>
        </w:rPr>
        <w:br/>
        <w:t xml:space="preserve">s nimi spojené, vykazují rychlejší tempo, než je schopnost společnosti tyto změny absorbovat. Systém podpory výzkumu, vývoje a inovací by proto měl obsahovat - vedle podpory inovačního procesu jako celku -  i principy odpovědného výzkumu a inovací včetně jeho genderové dimenze. Interdisciplinarita a diverzita jsou důležitým aspektem správně cílené podpory výzkumu, vývoje </w:t>
      </w:r>
      <w:r w:rsidRPr="00AF6DF3">
        <w:rPr>
          <w:rFonts w:ascii="Arial" w:hAnsi="Arial" w:cs="Arial"/>
          <w:sz w:val="22"/>
          <w:szCs w:val="22"/>
        </w:rPr>
        <w:br/>
        <w:t xml:space="preserve">a inovací včetně optimalizace podpůrných nástrojů a hodnocení souvisejících politik. </w:t>
      </w:r>
    </w:p>
    <w:p w:rsidR="00AF6DF3" w:rsidRPr="00AF6DF3" w:rsidRDefault="00AF6DF3" w:rsidP="00C83496">
      <w:pPr>
        <w:numPr>
          <w:ilvl w:val="0"/>
          <w:numId w:val="9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KRITÉRIA SPLNĚNÍ CÍLE PROGRAMU</w:t>
      </w:r>
    </w:p>
    <w:p w:rsidR="00AF6DF3" w:rsidRPr="00AF6DF3" w:rsidRDefault="00AF6DF3" w:rsidP="00AF6DF3">
      <w:pPr>
        <w:spacing w:before="240" w:after="24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Dosažení cíle programu bude vyhodnocováno v souladu s Metodikou hodnocení výsledků výzkumu, experimentálního vývoje a inovací platné v době hodnocení programu a dalších podmínek stanovených poskytovatelem v rámci průběžného a závěrečného hodnocení programu. Dosažení cílů programu bude vyhodnocováno na základě souboru indikátorů vstupů, výstupů, výsledků a dopadů určených pro monitorování průběhu plnění programu (interim evaluace) </w:t>
      </w:r>
      <w:r w:rsidRPr="00AF6DF3">
        <w:rPr>
          <w:rFonts w:ascii="Arial" w:hAnsi="Arial" w:cs="Arial"/>
          <w:sz w:val="22"/>
          <w:szCs w:val="22"/>
        </w:rPr>
        <w:br/>
        <w:t xml:space="preserve">a hodnocení jeho celkové výkonnosti a úspěšnosti (ex post evaluace), které vycházejí </w:t>
      </w:r>
      <w:r w:rsidRPr="00AF6DF3">
        <w:rPr>
          <w:rFonts w:ascii="Arial" w:hAnsi="Arial" w:cs="Arial"/>
          <w:sz w:val="22"/>
          <w:szCs w:val="22"/>
        </w:rPr>
        <w:br/>
        <w:t xml:space="preserve">z následujících indikátorů: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9.1: Indikátory</w:t>
      </w:r>
    </w:p>
    <w:tbl>
      <w:tblPr>
        <w:tblW w:w="0" w:type="auto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6237"/>
        <w:gridCol w:w="1559"/>
      </w:tblGrid>
      <w:tr w:rsidR="00AF6DF3" w:rsidRPr="00AF6DF3" w:rsidTr="00144871">
        <w:trPr>
          <w:trHeight w:val="465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Pořadové číslo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Indikátory programu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Hodnota</w:t>
            </w:r>
          </w:p>
        </w:tc>
      </w:tr>
      <w:tr w:rsidR="00AF6DF3" w:rsidRPr="00AF6DF3" w:rsidTr="00144871">
        <w:trPr>
          <w:trHeight w:val="255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Průměrná míra podpory za program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</w:tr>
      <w:tr w:rsidR="00AF6DF3" w:rsidRPr="00AF6DF3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podpořených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AF6DF3" w:rsidRPr="00AF6DF3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úspěšně dokončených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  <w:tr w:rsidR="00AF6DF3" w:rsidRPr="00AF6DF3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AF6DF3" w:rsidRPr="00AF6DF3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aplikovaných výsledků RIV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AF6DF3" w:rsidRPr="00AF6DF3" w:rsidTr="00144871">
        <w:trPr>
          <w:trHeight w:val="30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aplikovaných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</w:tbl>
    <w:p w:rsidR="00AF6DF3" w:rsidRPr="00AF6DF3" w:rsidRDefault="00AF6DF3" w:rsidP="00C83496">
      <w:pPr>
        <w:numPr>
          <w:ilvl w:val="0"/>
          <w:numId w:val="10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PŘÍNOSY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tomto programu mohou být podporovány projekty, u kterých se odůvodněně předpokládá dosažení využitelných výstupů, jejichž aplikace přispěje k plnění stanovených cílů programu </w:t>
      </w:r>
      <w:r w:rsidRPr="00AF6DF3">
        <w:rPr>
          <w:rFonts w:ascii="Arial" w:hAnsi="Arial" w:cs="Arial"/>
          <w:sz w:val="22"/>
          <w:szCs w:val="22"/>
        </w:rPr>
        <w:br/>
        <w:t xml:space="preserve">a k pozitivním společenským dopadům. Program umožní dosažení výstupů ve formě výsledků Metodiky a Rejstříku informací o výsledcích (RIV) platné v době jejich uplatňování. Dle aktuálně platné Metodiky podpoří program následující výstupy ve formě výsledků dle RIV: P, F, G, H, N, R,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AF6DF3">
        <w:rPr>
          <w:rFonts w:ascii="Arial" w:hAnsi="Arial" w:cs="Arial"/>
          <w:sz w:val="13"/>
          <w:szCs w:val="13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, a studii proveditelnosti (uznána jako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AF6DF3">
        <w:rPr>
          <w:rFonts w:ascii="Arial" w:hAnsi="Arial" w:cs="Arial"/>
          <w:sz w:val="13"/>
          <w:szCs w:val="13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>).  Program umožní dosažení dalších výsledků RIV vztahující se na publikační a diseminační aktivity projektu: A, M, W, E a J, B, C, D.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lastRenderedPageBreak/>
        <w:t xml:space="preserve">Vzhledem ke specifickému zaměření programu však dále existuje celá řada dalších poznatků </w:t>
      </w:r>
      <w:r w:rsidRPr="00AF6DF3">
        <w:rPr>
          <w:rFonts w:ascii="Arial" w:hAnsi="Arial" w:cs="Arial"/>
          <w:sz w:val="22"/>
          <w:szCs w:val="22"/>
        </w:rPr>
        <w:br/>
        <w:t>a dovedností  v souladu s § 2 odst. 2, písmeno k) zákona o podpoře výzkumu, experimentálního vývoje a inovací, které se očekávají jako výsledky aplikovaného výzkumu, experimentálního vývoje a inovací. Z tohoto důvodu bude program hodnocen nejen na základě výstupů ve formě výsledků dle aktuálně platné Metodiky hodnocení výsledků výzkumných organizací a hodnocení výsledků ukončených programů, ale také podle dosažených poznatků, dovedností a dopadů v rámci hodnocení programu.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Výsledky programu (resp. výstupy) jsou určeny pro využívání fyzickými i právnickými osobami ve všech oblastech celospolečenského života. Mezi ně patří především tvůrci politik, státních intervencí a legislativy, zaměstnanci krajských, městských a obecních úřadů, podnikatelé, zaměstnavatelé, zaměstnanci zdravotnických, vzdělávacích nebo kulturních zařízení, zaměstnanci výzkumných organizací nebo organizací pro šíření výstupů výzkumu, organizace neziskového sektoru zastřešující určitý segment společnosti aj.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Přínosem programu je podpora výstupů s vysokým potenciálem pro uplatnění v praxi </w:t>
      </w:r>
      <w:r w:rsidRPr="00AF6DF3">
        <w:rPr>
          <w:rFonts w:ascii="Arial" w:hAnsi="Arial" w:cs="Arial"/>
          <w:sz w:val="22"/>
          <w:szCs w:val="22"/>
        </w:rPr>
        <w:br/>
        <w:t>v podobě nových nebo podstatně zdokonalených stávajících výrobků, postupů, procesů nebo služeb v oblastech:</w:t>
      </w:r>
    </w:p>
    <w:p w:rsidR="00AF6DF3" w:rsidRPr="00AF6DF3" w:rsidRDefault="00AF6DF3" w:rsidP="00C83496">
      <w:pPr>
        <w:pStyle w:val="Odstavecseseznamem"/>
        <w:numPr>
          <w:ilvl w:val="0"/>
          <w:numId w:val="22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zvyšování kvality života člověka; </w:t>
      </w:r>
    </w:p>
    <w:p w:rsidR="00AF6DF3" w:rsidRP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podpory udržitelného prostředí pro život; </w:t>
      </w:r>
    </w:p>
    <w:p w:rsidR="00AF6DF3" w:rsidRP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posílení konkurenceschopnosti České republiky a </w:t>
      </w:r>
    </w:p>
    <w:p w:rsidR="00AF6DF3" w:rsidRP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zvýšení efektivity a kvality veřejných politik, veřejné správy a veřejných služeb.</w:t>
      </w:r>
    </w:p>
    <w:p w:rsidR="00AF6DF3" w:rsidRPr="00AF6DF3" w:rsidRDefault="00AF6DF3" w:rsidP="00C83496">
      <w:pPr>
        <w:numPr>
          <w:ilvl w:val="0"/>
          <w:numId w:val="11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UCHAZEČI A PROKÁZÁNÍ JEJICH ZPŮSOBILOSTI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Uchazeči o podporu na projekt podle zákona o podpoře výzkumu, experimentálního vývoje </w:t>
      </w:r>
      <w:r w:rsidRPr="00AF6DF3">
        <w:rPr>
          <w:rFonts w:ascii="Arial" w:hAnsi="Arial" w:cs="Arial"/>
          <w:sz w:val="22"/>
          <w:szCs w:val="22"/>
        </w:rPr>
        <w:br/>
        <w:t>a inovací, Rámce a Nařízení mohou být:</w:t>
      </w:r>
    </w:p>
    <w:p w:rsidR="00AF6DF3" w:rsidRPr="00AF6DF3" w:rsidRDefault="00AF6DF3" w:rsidP="00C83496">
      <w:pPr>
        <w:pStyle w:val="Odstavecseseznamem"/>
        <w:numPr>
          <w:ilvl w:val="0"/>
          <w:numId w:val="23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Organizace pro výzkum a šíření znalostí</w:t>
      </w:r>
      <w:r w:rsidRPr="00AF6DF3">
        <w:rPr>
          <w:rFonts w:ascii="Arial" w:hAnsi="Arial" w:cs="Arial"/>
          <w:sz w:val="22"/>
          <w:szCs w:val="22"/>
        </w:rPr>
        <w:t xml:space="preserve"> – jakákoliv entita splňující podmínky podle </w:t>
      </w:r>
      <w:r w:rsidRPr="00AF6DF3">
        <w:rPr>
          <w:rFonts w:ascii="Arial" w:hAnsi="Arial" w:cs="Arial"/>
          <w:sz w:val="22"/>
          <w:szCs w:val="22"/>
        </w:rPr>
        <w:br/>
        <w:t xml:space="preserve">čl. 2 odst. 83 Nařízení (dále jen “výzkumné organizace”). </w:t>
      </w:r>
    </w:p>
    <w:p w:rsidR="00AF6DF3" w:rsidRPr="00AF6DF3" w:rsidRDefault="00AF6DF3" w:rsidP="00C83496">
      <w:pPr>
        <w:pStyle w:val="Odstavecseseznamem"/>
        <w:numPr>
          <w:ilvl w:val="0"/>
          <w:numId w:val="23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 xml:space="preserve">Podniky - </w:t>
      </w:r>
      <w:r w:rsidRPr="00AF6DF3">
        <w:rPr>
          <w:rFonts w:ascii="Arial" w:hAnsi="Arial" w:cs="Arial"/>
          <w:sz w:val="22"/>
          <w:szCs w:val="22"/>
        </w:rPr>
        <w:t xml:space="preserve">jakákoliv entita splňující podmínky podle článku 2 odst. 2 a 24 Nařízení. Podniky, které řeší projekt samostatně nebo ve spolupráci s dalšími účastníky, musí prokázat schopnost projekt spolufinancovat z neveřejných prostředků. </w:t>
      </w:r>
    </w:p>
    <w:p w:rsidR="00AF6DF3" w:rsidRPr="00AF6DF3" w:rsidRDefault="00AF6DF3" w:rsidP="00C83496">
      <w:pPr>
        <w:pStyle w:val="Odstavecseseznamem"/>
        <w:numPr>
          <w:ilvl w:val="0"/>
          <w:numId w:val="23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Další fyzické osoby a právnické osoby veřejného i soukromého práva</w:t>
      </w:r>
      <w:r w:rsidRPr="00AF6DF3">
        <w:rPr>
          <w:rFonts w:ascii="Arial" w:hAnsi="Arial" w:cs="Arial"/>
          <w:sz w:val="22"/>
          <w:szCs w:val="22"/>
        </w:rPr>
        <w:t xml:space="preserve"> bez ohledu na právn</w:t>
      </w:r>
      <w:r w:rsidR="005D58F9">
        <w:rPr>
          <w:rFonts w:ascii="Arial" w:hAnsi="Arial" w:cs="Arial"/>
          <w:sz w:val="22"/>
          <w:szCs w:val="22"/>
        </w:rPr>
        <w:t>í formu či způsob financování,</w:t>
      </w:r>
      <w:r w:rsidRPr="00AF6DF3">
        <w:rPr>
          <w:rFonts w:ascii="Arial" w:hAnsi="Arial" w:cs="Arial"/>
          <w:sz w:val="22"/>
          <w:szCs w:val="22"/>
        </w:rPr>
        <w:t xml:space="preserve"> které budou vykonávat činnosti, na něž je podpora poskytována mimo režim veřejné podpory, tj. </w:t>
      </w:r>
      <w:r w:rsidR="005D58F9">
        <w:rPr>
          <w:rFonts w:ascii="Arial" w:hAnsi="Arial" w:cs="Arial"/>
          <w:sz w:val="22"/>
          <w:szCs w:val="22"/>
        </w:rPr>
        <w:t xml:space="preserve">nebude se jednat </w:t>
      </w:r>
      <w:r w:rsidRPr="00AF6DF3">
        <w:rPr>
          <w:rFonts w:ascii="Arial" w:hAnsi="Arial" w:cs="Arial"/>
          <w:sz w:val="22"/>
          <w:szCs w:val="22"/>
        </w:rPr>
        <w:t>o podniky, a zároveň nebudou splňovat ani definici výzkumné organizace.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Podporu na projekt realizovaný v programu mohou získat pouze ti uchazeči, kteří splňují podmínky způsobilosti dané § 18 zákona o podpoře výzkumu, experimentálního vývoje a inovací </w:t>
      </w:r>
      <w:r w:rsidRPr="00AF6DF3">
        <w:rPr>
          <w:rFonts w:ascii="Arial" w:hAnsi="Arial" w:cs="Arial"/>
          <w:sz w:val="22"/>
          <w:szCs w:val="22"/>
        </w:rPr>
        <w:br/>
        <w:t xml:space="preserve">a Nařízením. Uchází-li se o řešení jednoho projektu společně více uchazečů, vztahuje se povinnost prokázat svoji způsobilost na všechny tyto uchazeče. </w:t>
      </w:r>
    </w:p>
    <w:p w:rsidR="00AF6DF3" w:rsidRPr="00AF6DF3" w:rsidRDefault="00AF6DF3" w:rsidP="00C83496">
      <w:pPr>
        <w:numPr>
          <w:ilvl w:val="0"/>
          <w:numId w:val="12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VÝDAJE NA PROGRAM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Celkové výdaje na program jsou na období trvání programu rozvrženy v souladu </w:t>
      </w:r>
      <w:r w:rsidRPr="00AF6DF3">
        <w:rPr>
          <w:rFonts w:ascii="Arial" w:hAnsi="Arial" w:cs="Arial"/>
          <w:sz w:val="22"/>
          <w:szCs w:val="22"/>
        </w:rPr>
        <w:br/>
        <w:t>s postupným vyhlašováním jednotlivých veřejných soutěží. Předpokládaná průměrná míra podpory na program je 80%.</w:t>
      </w:r>
    </w:p>
    <w:p w:rsidR="00AF6DF3" w:rsidRPr="00AF6DF3" w:rsidRDefault="00AF6DF3" w:rsidP="00AF6DF3">
      <w:pPr>
        <w:spacing w:before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Celkové výdaje programu jsou 3 900 mil. Kč</w:t>
      </w:r>
      <w:r w:rsidR="00506CC6">
        <w:rPr>
          <w:rFonts w:ascii="Arial" w:hAnsi="Arial" w:cs="Arial"/>
          <w:sz w:val="22"/>
          <w:szCs w:val="22"/>
        </w:rPr>
        <w:t>.</w:t>
      </w:r>
    </w:p>
    <w:p w:rsidR="00AF6DF3" w:rsidRPr="00AF6DF3" w:rsidRDefault="00AF6DF3" w:rsidP="00AF6DF3">
      <w:pPr>
        <w:spacing w:before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 toho výdaje ze státního rozpočtu činní 3 200 mil. Kč</w:t>
      </w:r>
      <w:r w:rsidR="00506CC6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AF6DF3" w:rsidRPr="00AF6DF3" w:rsidRDefault="00AF6DF3" w:rsidP="00506CC6">
      <w:pPr>
        <w:spacing w:before="720" w:after="120"/>
        <w:ind w:firstLine="6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lastRenderedPageBreak/>
        <w:t>Tabulka č. 12.1: Rozpočet programu [mil. Kč]</w:t>
      </w:r>
    </w:p>
    <w:tbl>
      <w:tblPr>
        <w:tblW w:w="9781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8"/>
        <w:gridCol w:w="730"/>
        <w:gridCol w:w="730"/>
        <w:gridCol w:w="730"/>
        <w:gridCol w:w="730"/>
        <w:gridCol w:w="817"/>
        <w:gridCol w:w="817"/>
        <w:gridCol w:w="730"/>
        <w:gridCol w:w="816"/>
        <w:gridCol w:w="1023"/>
      </w:tblGrid>
      <w:tr w:rsidR="00E17670" w:rsidRPr="00AF6DF3" w:rsidTr="00144871">
        <w:trPr>
          <w:trHeight w:val="465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</w:tr>
      <w:tr w:rsidR="00566027" w:rsidRPr="00AF6DF3" w:rsidTr="00144871">
        <w:trPr>
          <w:trHeight w:val="405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Výdaje státního rozpočtu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</w:t>
            </w:r>
            <w:r w:rsidR="00E1767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</w:t>
            </w:r>
            <w:r w:rsidR="00E1767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ind w:right="-21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</w:t>
            </w:r>
            <w:r w:rsidR="00E1767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E1767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jc w:val="both"/>
              <w:rPr>
                <w:color w:val="auto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17670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566027" w:rsidP="00566027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3 200</w:t>
            </w:r>
          </w:p>
        </w:tc>
      </w:tr>
    </w:tbl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Podpora bude poskytována formou dotace právnickým nebo fyzickým osobám nebo zvýšením výdajů organizačních složek státu, organizačních složek územních samosprávných celků nebo organizačních jednotek ministerstev.</w:t>
      </w:r>
    </w:p>
    <w:p w:rsidR="00AF6DF3" w:rsidRPr="00AF6DF3" w:rsidRDefault="00AF6DF3" w:rsidP="00C83496">
      <w:pPr>
        <w:numPr>
          <w:ilvl w:val="0"/>
          <w:numId w:val="13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NEJVYŠŠÍ POVOLENÉ MÍRY PODPORY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Míra 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měr podpory.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souladu s Nařízením je možné přiznat bonifikaci nad rámec základní míry podpory pro relevantní účastníky za splnění podmínek účinné spolupráce. Za účinnou spolupráci se v souladu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s Nařízením a Rámcem považuje spolupráce nejméně dvou nezávislých stran za účelem výměny znalostí či technologií nebo k dosažení společného cíle na základě dělby práce, kde příslušné strany společně stanoví rozsah projektu spolupráce, přispívají k jeho realizaci a sdílejí jeho rizika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>a výsledky. Náklady na projekt může nést v plné výši jedna či více stran. Za formy spolupráce nejsou považovány smluvní výzkum a poskytování výzkumných služeb.</w:t>
      </w:r>
    </w:p>
    <w:p w:rsidR="00AF6DF3" w:rsidRDefault="00AF6DF3" w:rsidP="00AF6DF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Nejvyšší povolené míry podpory pro průmyslový výzkum, experimentální vývoj a inovace </w:t>
      </w:r>
      <w:r w:rsidRPr="00AF6DF3">
        <w:rPr>
          <w:rFonts w:ascii="Arial" w:hAnsi="Arial" w:cs="Arial"/>
          <w:sz w:val="22"/>
          <w:szCs w:val="22"/>
        </w:rPr>
        <w:br/>
        <w:t>a jednotlivé kategorie účastníků jsou uvedeny v následující tabulce:</w:t>
      </w:r>
    </w:p>
    <w:p w:rsidR="00AF6DF3" w:rsidRPr="00AF6DF3" w:rsidRDefault="00AF6DF3" w:rsidP="00AF6DF3">
      <w:pPr>
        <w:spacing w:before="240" w:after="24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13.1: Maximální míra podpory pro jednotlivé kategorie činností a jednotlivé kategorie účastníků dle Nařízení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321"/>
        <w:gridCol w:w="1458"/>
        <w:gridCol w:w="1346"/>
        <w:gridCol w:w="2157"/>
      </w:tblGrid>
      <w:tr w:rsidR="00AF6DF3" w:rsidRPr="00AF6DF3" w:rsidTr="00144871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AF6DF3" w:rsidRPr="00AF6DF3" w:rsidTr="0014487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výzkumné organizace˙˙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určená malým a 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F6DF3" w:rsidRPr="00AF6DF3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</w:tbl>
    <w:p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Poznámka:</w:t>
      </w:r>
      <w:r w:rsidRPr="00AF6DF3">
        <w:rPr>
          <w:rFonts w:ascii="Arial" w:hAnsi="Arial" w:cs="Arial"/>
          <w:sz w:val="18"/>
          <w:szCs w:val="18"/>
        </w:rPr>
        <w:t xml:space="preserve"> </w:t>
      </w:r>
      <w:r w:rsidRPr="00AF6DF3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AF6DF3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potažmo v Příloze 1 Nařízení a velký podnik je vymezen podle definice v článku 2 odst. 24 Nařízení. </w:t>
      </w:r>
    </w:p>
    <w:p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AF6DF3">
        <w:rPr>
          <w:rFonts w:ascii="Arial" w:hAnsi="Arial" w:cs="Arial"/>
          <w:sz w:val="18"/>
          <w:szCs w:val="18"/>
        </w:rPr>
        <w:t xml:space="preserve">Výzkumná organizace je vymezena podle čl. 2 odst. 83 Nařízení. Uvedená míra podpory je určena pro </w:t>
      </w:r>
      <w:proofErr w:type="spellStart"/>
      <w:r w:rsidRPr="00AF6DF3">
        <w:rPr>
          <w:rFonts w:ascii="Arial" w:hAnsi="Arial" w:cs="Arial"/>
          <w:sz w:val="18"/>
          <w:szCs w:val="18"/>
        </w:rPr>
        <w:t>nehospodářské</w:t>
      </w:r>
      <w:proofErr w:type="spellEnd"/>
      <w:r w:rsidRPr="00AF6DF3">
        <w:rPr>
          <w:rFonts w:ascii="Arial" w:hAnsi="Arial" w:cs="Arial"/>
          <w:sz w:val="18"/>
          <w:szCs w:val="18"/>
        </w:rPr>
        <w:t xml:space="preserve"> činnosti výzkumných organizací.</w:t>
      </w:r>
    </w:p>
    <w:p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>1)</w:t>
      </w:r>
      <w:r w:rsidRPr="00AF6DF3">
        <w:rPr>
          <w:rFonts w:ascii="Arial" w:hAnsi="Arial" w:cs="Arial"/>
          <w:sz w:val="18"/>
          <w:szCs w:val="18"/>
        </w:rPr>
        <w:t>Při respektování průměrné míry podpory na program ve výši 80 %.</w:t>
      </w:r>
    </w:p>
    <w:p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Zdroj: Nařízení</w:t>
      </w:r>
    </w:p>
    <w:p w:rsidR="00AF6DF3" w:rsidRPr="00AF6DF3" w:rsidRDefault="00AF6DF3" w:rsidP="00C83496">
      <w:pPr>
        <w:numPr>
          <w:ilvl w:val="0"/>
          <w:numId w:val="14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ZPŮSOBILÉ A UZNANÉ NÁKLADY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Podpora bude poskytována na uznané náklady projektu, tj. na ty způsobilé náklady, které poskytovatel schválí a které jsou zdůvodněné. Uchazeč může jako způsobilé náklady navrhnout pouze náklady vymezené vždy v souladu se zákonem o podpoře výzkumu, experimentálního vývoje a inovací, a dále v případě podpory v režimu veřejné podpory podle kategorie podpory, </w:t>
      </w:r>
      <w:r w:rsidRPr="00AF6DF3">
        <w:rPr>
          <w:rFonts w:ascii="Arial" w:hAnsi="Arial" w:cs="Arial"/>
          <w:sz w:val="22"/>
          <w:szCs w:val="22"/>
        </w:rPr>
        <w:br/>
        <w:t xml:space="preserve">tj. v souladu s Nařízením: </w:t>
      </w:r>
    </w:p>
    <w:p w:rsidR="00AF6DF3" w:rsidRPr="00AF6DF3" w:rsidRDefault="00AF6DF3" w:rsidP="00C83496">
      <w:pPr>
        <w:pStyle w:val="Odstavecseseznamem"/>
        <w:numPr>
          <w:ilvl w:val="0"/>
          <w:numId w:val="24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způsobilé náklady na výzkumné a vývojové projekty musí být podle čl. 25 odst. </w:t>
      </w:r>
      <w:r w:rsidRPr="00AF6DF3">
        <w:rPr>
          <w:rFonts w:ascii="Arial" w:hAnsi="Arial" w:cs="Arial"/>
          <w:sz w:val="22"/>
          <w:szCs w:val="22"/>
        </w:rPr>
        <w:br/>
        <w:t xml:space="preserve">3 Nařízení přiděleny na konkrétní kategorie výzkumu a vývoje a tvoří je náklady dle písmen a) b) d) a e); </w:t>
      </w:r>
    </w:p>
    <w:p w:rsidR="00AF6DF3" w:rsidRPr="00AF6DF3" w:rsidRDefault="00AF6DF3" w:rsidP="00C83496">
      <w:pPr>
        <w:pStyle w:val="Odstavecseseznamem"/>
        <w:numPr>
          <w:ilvl w:val="0"/>
          <w:numId w:val="24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28 Nařízení jsou v případě podpory na inovace určené malým a středním podnikům při splnění podmínek v čl. 28 odst. 3 a 4 způsobilé náklady dle písmen a) b) a c);</w:t>
      </w:r>
    </w:p>
    <w:p w:rsidR="00AF6DF3" w:rsidRPr="00AF6DF3" w:rsidRDefault="00AF6DF3" w:rsidP="00C83496">
      <w:pPr>
        <w:pStyle w:val="Odstavecseseznamem"/>
        <w:numPr>
          <w:ilvl w:val="0"/>
          <w:numId w:val="24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29 odst. 3 Nařízení v případě podpory na inovace postupů a organizační inovace při splnění podmínek v čl. 29 odst. 2 a 4 jsou způsobilé náklady dle písmen a) b) c) a d);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Do způsobilých nákladů projektů nelze zahrnout náklady nebo výdaje na pořízení dlouhodobého hmotného a nehmotného majetku. Způsobilé náklady musí být přiměřené (musí odpovídat cenám v čase a místě obvyklým) a musí být vynaloženy v souladu s principy hospodárnosti, účelnosti </w:t>
      </w:r>
      <w:r w:rsidRPr="00AF6DF3">
        <w:rPr>
          <w:rFonts w:ascii="Arial" w:hAnsi="Arial" w:cs="Arial"/>
          <w:sz w:val="22"/>
          <w:szCs w:val="22"/>
        </w:rPr>
        <w:br/>
        <w:t>a efektivnosti. Bližší specifikace způsobilých nákladů bude součástí zadávací dokumentace k příslušné veřejné soutěži.</w:t>
      </w:r>
    </w:p>
    <w:p w:rsidR="00AF6DF3" w:rsidRPr="00AF6DF3" w:rsidRDefault="00AF6DF3" w:rsidP="00C83496">
      <w:pPr>
        <w:numPr>
          <w:ilvl w:val="0"/>
          <w:numId w:val="15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MOTIVAČNÍ ÚČINEK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naplnění cílů programu a podmínek Nařízení bude poskytovatel v rámci procesu hodnocení návrhů projektů posuzovat přítomnost motivačního účinku podpory podle čl. 6 Nařízení. Příjemce předloží před zahájením prací na projektu nebo činnosti písemnou žádost o podporu. Žádost </w:t>
      </w:r>
      <w:r w:rsidRPr="00AF6DF3">
        <w:rPr>
          <w:rFonts w:ascii="Arial" w:hAnsi="Arial" w:cs="Arial"/>
          <w:sz w:val="22"/>
          <w:szCs w:val="22"/>
        </w:rPr>
        <w:br/>
        <w:t>o podporu musí splňovat náležitosti podle čl. 6 odst. 2 Nařízení. Pro všechny příjemce platí, že práce na řešení projektu nesmí být zahájeny před podáním návrhu projektu. Zhodnocení motivačního účinku bude součástí protokolu o výsledku hodnocení zpracovaném odborným poradním orgánem, který bude pro účely hodnocení návrhů projektů ustaven poskytovatelem.</w:t>
      </w:r>
    </w:p>
    <w:p w:rsidR="00AF6DF3" w:rsidRPr="00AF6DF3" w:rsidRDefault="00AF6DF3" w:rsidP="00C83496">
      <w:pPr>
        <w:numPr>
          <w:ilvl w:val="0"/>
          <w:numId w:val="16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 A OBECNÁ KRITÉRIA HODNOCENÍ NÁVRHŮ PROJEKTŮ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souladu s pravidly stanovenými zákonem o podpoře výzkumu, experimentálního vývoje a inovací jmenuje poskytovatel komisi pro přijímání návrhů projektů. Tato komise vyhodnotí dodržení splnění podmínek veřejné soutěže pro podání návrhu projektu daných vyhlášením veřejné soutěže </w:t>
      </w:r>
      <w:r w:rsidRPr="00AF6DF3">
        <w:rPr>
          <w:rFonts w:ascii="Arial" w:hAnsi="Arial" w:cs="Arial"/>
          <w:sz w:val="22"/>
          <w:szCs w:val="22"/>
        </w:rPr>
        <w:br/>
        <w:t>a prokázání způsobilosti hlavního uchazeče a dalších účastníků. O přijetí či nepřijetí návrhu projektu do veřejné soutěže z veřejné soutěže, rozhoduje poskytovatel v souladu s § 21 odst. 3 zákona o podpoře výzkumu, experimentálního vývoje a inovací na základě protokolu zpracovaného komisí pro přijímání návrhů projektů, resp. odborným poradním orgánem.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hodnocení návrhů projektů přijatých do veřejné soutěže ustaví poskytovatel odborný poradní orgán. Použitá kritéria pro výběr projektů jsou: </w:t>
      </w:r>
    </w:p>
    <w:p w:rsidR="00AF6DF3" w:rsidRPr="00AF6DF3" w:rsidRDefault="00AF6DF3" w:rsidP="00C83496">
      <w:pPr>
        <w:pStyle w:val="Odstavecseseznamem"/>
        <w:numPr>
          <w:ilvl w:val="0"/>
          <w:numId w:val="25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splnění podmínek veřejné soutěže;</w:t>
      </w:r>
    </w:p>
    <w:p w:rsidR="00AF6DF3" w:rsidRPr="00AF6DF3" w:rsidRDefault="00AF6DF3" w:rsidP="00C83496">
      <w:pPr>
        <w:pStyle w:val="Odstavecseseznamem"/>
        <w:numPr>
          <w:ilvl w:val="0"/>
          <w:numId w:val="2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potřebnost projektu;</w:t>
      </w:r>
    </w:p>
    <w:p w:rsidR="00AF6DF3" w:rsidRPr="00AF6DF3" w:rsidRDefault="00AF6DF3" w:rsidP="00C83496">
      <w:pPr>
        <w:pStyle w:val="Odstavecseseznamem"/>
        <w:numPr>
          <w:ilvl w:val="0"/>
          <w:numId w:val="2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realizace projektu;</w:t>
      </w:r>
    </w:p>
    <w:p w:rsidR="00AF6DF3" w:rsidRPr="00AF6DF3" w:rsidRDefault="00AF6DF3" w:rsidP="00C83496">
      <w:pPr>
        <w:pStyle w:val="Odstavecseseznamem"/>
        <w:numPr>
          <w:ilvl w:val="0"/>
          <w:numId w:val="25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dopady projektu.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Podrobnější informace o podmínkách konkrétní veřejné soutěže a dalších náležitostech </w:t>
      </w:r>
      <w:r w:rsidRPr="00AF6DF3">
        <w:rPr>
          <w:rFonts w:ascii="Arial" w:hAnsi="Arial" w:cs="Arial"/>
          <w:sz w:val="22"/>
          <w:szCs w:val="22"/>
        </w:rPr>
        <w:br/>
        <w:t>stanoví zadávací dokumentace k příslušné veřejné soutěži.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K vyloučení možných duplicit projektů naplňujících prioritní oblast „Sociální a kulturní výzvy“ </w:t>
      </w:r>
      <w:r w:rsidRPr="00AF6DF3">
        <w:rPr>
          <w:rFonts w:ascii="Arial" w:hAnsi="Arial" w:cs="Arial"/>
          <w:sz w:val="22"/>
          <w:szCs w:val="22"/>
        </w:rPr>
        <w:br/>
        <w:t xml:space="preserve">a „Zdravá populace“ v tomto programu s programy Ministerstva kultury a Ministerstva zdravotnictví </w:t>
      </w:r>
      <w:r w:rsidRPr="00AF6DF3">
        <w:rPr>
          <w:rFonts w:ascii="Arial" w:hAnsi="Arial" w:cs="Arial"/>
          <w:sz w:val="22"/>
          <w:szCs w:val="22"/>
        </w:rPr>
        <w:lastRenderedPageBreak/>
        <w:t xml:space="preserve">bude nastavení konkrétní veřejné soutěže realizováno ve spolupráci TA ČR s Ministerstvem kultury a Ministerstvem zdravotnictví. Návrhy projektů budou komplexně hodnoceny v souladu se zákonem o podpoře výzkumu, experimentálního vývoje a inovací. </w:t>
      </w:r>
    </w:p>
    <w:p w:rsidR="00AF6DF3" w:rsidRPr="00AF6DF3" w:rsidRDefault="00AF6DF3" w:rsidP="00C83496">
      <w:pPr>
        <w:numPr>
          <w:ilvl w:val="0"/>
          <w:numId w:val="17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SROVNÁNÍ SOUČASNÉHO STAVU V ČESKÉ REPUBLICE A V ZAHRANIČÍ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České republice je v letech 2012 - 2017 realizován TA ČR Program na podporu aplikovaného společenskovědního výzkumu a experimentálního vývoje OMEGA, který je zacílen na posílení výzkumných aktivit v oblasti aplikovaných společenských věd. Program poskytuje 80% podporu </w:t>
      </w:r>
      <w:r w:rsidRPr="00AF6DF3">
        <w:rPr>
          <w:rFonts w:ascii="Arial" w:hAnsi="Arial" w:cs="Arial"/>
          <w:sz w:val="22"/>
          <w:szCs w:val="22"/>
        </w:rPr>
        <w:br/>
        <w:t xml:space="preserve">s celkovou alokací 309 mil. Kč z výdajů státního rozpočtu. Na tento program navazuje program ÉTA. Komplementárním k programu OMEGA je NAKI (Program aplikovaného výzkumu a vývoje národní a kulturní identity) Ministerstva kultury České republiky realizován v letech 2011 - 2017. NAKI je zaměřen na podporu národní a kulturní identity a poskytuje až 100% výší podpory výlučně výzkumným organizacím s celkovou alokací 2,125 miliardy Kč z výdajů státního rozpočtu. Navazující je Program na podporu aplikovaného výzkumu a experimentálního vývoje národní </w:t>
      </w:r>
      <w:r w:rsidRPr="00AF6DF3">
        <w:rPr>
          <w:rFonts w:ascii="Arial" w:hAnsi="Arial" w:cs="Arial"/>
          <w:sz w:val="22"/>
          <w:szCs w:val="22"/>
        </w:rPr>
        <w:br/>
        <w:t>a kulturní identity na léta 2016 - 2022 (NAKI II), který poskytuje rovněž až 100% výši podpory výlučně výzkumným organizacím s celkovou alokací 2,856 miliardy Kč z výdajů státního rozpočtu.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Za účelem zahraničního srovnání byly jako referenční země vybrány ze starých zemí EU Velká Británie, Finsko, Německo a Rakousko; z nových zemí EU Estonsko; ze zemí mimo EU Norsko, </w:t>
      </w:r>
      <w:r w:rsidRPr="00AF6DF3">
        <w:rPr>
          <w:rFonts w:ascii="Arial" w:hAnsi="Arial" w:cs="Arial"/>
          <w:sz w:val="22"/>
          <w:szCs w:val="22"/>
        </w:rPr>
        <w:br/>
        <w:t>a ze zemí mimo EU Kanada a Austrálie. Hlavní závěry rešerše zahraničních dobrých praxí přinášejí tyto poznatky: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 všech státech zmíněných v tomto podkladu je jasný záměr podporovat výzkum </w:t>
      </w:r>
      <w:r w:rsidR="005D58F9">
        <w:rPr>
          <w:rFonts w:ascii="Arial" w:hAnsi="Arial" w:cs="Arial"/>
          <w:sz w:val="22"/>
          <w:szCs w:val="22"/>
        </w:rPr>
        <w:t xml:space="preserve">v oblasti </w:t>
      </w:r>
      <w:r w:rsidRPr="00AF6DF3">
        <w:rPr>
          <w:rFonts w:ascii="Arial" w:hAnsi="Arial" w:cs="Arial"/>
          <w:sz w:val="22"/>
          <w:szCs w:val="22"/>
        </w:rPr>
        <w:t xml:space="preserve">společenských a humanitních věd, který bude mít pozitivní dopad na sociální realitu. Obecně lze konstatovat, že tematické zaměření podpory je mezioborové. Tvorba programů včetně formulace jejich zaměření probíhá ve všech zemích v širší konzultaci státní administrativy s vědeckou obcí a dalšími zainteresovanými subjekty. Rešerše dokládají, že to, co vyděluje aplikovaný výzkum společenských a humanitních věd od základního je především zadání, tedy </w:t>
      </w:r>
      <w:proofErr w:type="spellStart"/>
      <w:r w:rsidRPr="00AF6DF3">
        <w:rPr>
          <w:rFonts w:ascii="Arial" w:hAnsi="Arial" w:cs="Arial"/>
          <w:sz w:val="22"/>
          <w:szCs w:val="22"/>
        </w:rPr>
        <w:t>spoludefinice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cílů výzkumu ze strany budoucích uživatelů výstupů (aplikační sféry).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Ve srovnání s aplikovaným výzkumem přírodních a technických věd mají výsledky aplikovaného společenskovědního výzkumu poněkud jiný charakter. Výsledky mohou být velmi konkrétní (metoda, technologie, materiál, produkt - např. digitalizace archivu, datová infrastruktura, didaktická pomůcka, PC hra/trenažér, veřejná služba atd.) nebo mohou mít podobu elektronickou, kreativního obsahu, umění v jeho živé podobě (viz např. AHRC Spojeného království). I takové projekty jsou financovány v rámci účelové podpory výzkumu.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proofErr w:type="spellStart"/>
      <w:r w:rsidRPr="00AF6DF3">
        <w:rPr>
          <w:rFonts w:ascii="Arial" w:hAnsi="Arial" w:cs="Arial"/>
          <w:sz w:val="22"/>
          <w:szCs w:val="22"/>
        </w:rPr>
        <w:t>Australian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Research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(ARC) má poradenskou funkci v oblasti výzkumu (pro vládu), administruje grantové programy a zodpovídá za iniciativu "Excellence in </w:t>
      </w:r>
      <w:proofErr w:type="spellStart"/>
      <w:r w:rsidRPr="00AF6DF3">
        <w:rPr>
          <w:rFonts w:ascii="Arial" w:hAnsi="Arial" w:cs="Arial"/>
          <w:sz w:val="22"/>
          <w:szCs w:val="22"/>
        </w:rPr>
        <w:t>Research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for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Australia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" (ERA). ARC má tři hlavní programy a to </w:t>
      </w:r>
      <w:proofErr w:type="spellStart"/>
      <w:r w:rsidRPr="00AF6DF3">
        <w:rPr>
          <w:rFonts w:ascii="Arial" w:hAnsi="Arial" w:cs="Arial"/>
          <w:sz w:val="22"/>
          <w:szCs w:val="22"/>
        </w:rPr>
        <w:t>Discovery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F6DF3">
        <w:rPr>
          <w:rFonts w:ascii="Arial" w:hAnsi="Arial" w:cs="Arial"/>
          <w:sz w:val="22"/>
          <w:szCs w:val="22"/>
        </w:rPr>
        <w:t>Linkage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, a ERA. ERA je inciativa, která se zabývá evaluacemi Australského výzkumu. V rámci společenských výzev považuje Německo mj. za důležité zabývat se výzvami a příležitostmi spojenými se stárnutím obyvatel nebo celospolečenskými změnami v souvislosti s nástupem tzv. Průmyslu 4.0. Spojené království podporuje prostřednictvím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F6DF3">
        <w:rPr>
          <w:rFonts w:ascii="Arial" w:hAnsi="Arial" w:cs="Arial"/>
          <w:sz w:val="22"/>
          <w:szCs w:val="22"/>
        </w:rPr>
        <w:t>Humanities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Research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(AHCR), 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F6DF3">
        <w:rPr>
          <w:rFonts w:ascii="Arial" w:hAnsi="Arial" w:cs="Arial"/>
          <w:sz w:val="22"/>
          <w:szCs w:val="22"/>
        </w:rPr>
        <w:t>National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Endowment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for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Science, Technology and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 nebo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Councils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výzkum, vývoj a inovace </w:t>
      </w:r>
      <w:r w:rsidR="00740920">
        <w:rPr>
          <w:rFonts w:ascii="Arial" w:hAnsi="Arial" w:cs="Arial"/>
          <w:sz w:val="22"/>
          <w:szCs w:val="22"/>
        </w:rPr>
        <w:br/>
      </w:r>
      <w:r w:rsidRPr="00AF6DF3">
        <w:rPr>
          <w:rFonts w:ascii="Arial" w:hAnsi="Arial" w:cs="Arial"/>
          <w:sz w:val="22"/>
          <w:szCs w:val="22"/>
        </w:rPr>
        <w:t xml:space="preserve">v oblastech např. oblasti ekonomického růstu, investic, veřejných služeb a kreativních odvětví, a to především v tématech jako: zapojení občanů do veřejných služeb; digitální umění a média; myšlení budoucnosti; inovace vládnutí; zdraví a stárnutí; investice do dopadů; inovační politika; nové modely inkluzivního ekonomického růstu; příležitosti pro mladé lidi. K dispozici jsou programy či fondy, jako např. Výzkum a vývoj pro digitalizaci v umění (Digital R&amp;D </w:t>
      </w:r>
      <w:proofErr w:type="spellStart"/>
      <w:r w:rsidRPr="00AF6DF3">
        <w:rPr>
          <w:rFonts w:ascii="Arial" w:hAnsi="Arial" w:cs="Arial"/>
          <w:sz w:val="22"/>
          <w:szCs w:val="22"/>
        </w:rPr>
        <w:t>Fund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for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>), Fond pro dopady umění (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Fund</w:t>
      </w:r>
      <w:proofErr w:type="spellEnd"/>
      <w:r w:rsidRPr="00AF6DF3">
        <w:rPr>
          <w:rFonts w:ascii="Arial" w:hAnsi="Arial" w:cs="Arial"/>
          <w:sz w:val="22"/>
          <w:szCs w:val="22"/>
        </w:rPr>
        <w:t>), Investice do dopadů (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Investments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), Fond centra sociálních akcí pro inovace (Centre </w:t>
      </w:r>
      <w:proofErr w:type="spellStart"/>
      <w:r w:rsidRPr="00AF6DF3">
        <w:rPr>
          <w:rFonts w:ascii="Arial" w:hAnsi="Arial" w:cs="Arial"/>
          <w:sz w:val="22"/>
          <w:szCs w:val="22"/>
        </w:rPr>
        <w:t>for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Social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Action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Innovation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Fund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 aj. </w:t>
      </w:r>
    </w:p>
    <w:p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lastRenderedPageBreak/>
        <w:t>Všechny země (zejména Velká Británie, Německo a Austrálie) disponují rozsáhlou infrastrukturou pro využití uměleckého talentu, kreativity a technologických inovací: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 xml:space="preserve">V institutech </w:t>
      </w:r>
      <w:proofErr w:type="spellStart"/>
      <w:r w:rsidRPr="00676BBD">
        <w:rPr>
          <w:rFonts w:ascii="Arial" w:hAnsi="Arial" w:cs="Arial"/>
          <w:sz w:val="22"/>
          <w:szCs w:val="22"/>
        </w:rPr>
        <w:t>Fraunhoferovy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společnosti lze najít několik interdisciplinárních podskupin (jako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Institute </w:t>
      </w:r>
      <w:proofErr w:type="spellStart"/>
      <w:r w:rsidRPr="00676BBD">
        <w:rPr>
          <w:rFonts w:ascii="Arial" w:hAnsi="Arial" w:cs="Arial"/>
          <w:sz w:val="22"/>
          <w:szCs w:val="22"/>
        </w:rPr>
        <w:t>for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Intelligent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Analysis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Information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Systems nebo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eGovernment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Center, skupiny a instituty, které kombinují sociální vědy a přírodní vědy).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i projekty kombinující humanitní vědy a technické obory, například </w:t>
      </w:r>
      <w:r w:rsidRPr="00676BBD">
        <w:rPr>
          <w:rFonts w:ascii="Arial" w:hAnsi="Arial" w:cs="Arial"/>
          <w:sz w:val="22"/>
          <w:szCs w:val="22"/>
        </w:rPr>
        <w:br/>
        <w:t xml:space="preserve">v projektu </w:t>
      </w: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Alliance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Cultural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Heritage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(použití moderních materiálů pro lepší zachování důležitých uměleckých děl).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Podobně široké je i výzkumné spektrum 89 institutů a muzeí</w:t>
      </w:r>
      <w:r w:rsidR="005D58F9">
        <w:rPr>
          <w:rFonts w:ascii="Arial" w:hAnsi="Arial" w:cs="Arial"/>
          <w:sz w:val="22"/>
          <w:szCs w:val="22"/>
        </w:rPr>
        <w:t xml:space="preserve"> Leibnizovy asociace</w:t>
      </w:r>
      <w:r w:rsidRPr="00676BBD">
        <w:rPr>
          <w:rFonts w:ascii="Arial" w:hAnsi="Arial" w:cs="Arial"/>
          <w:sz w:val="22"/>
          <w:szCs w:val="22"/>
        </w:rPr>
        <w:t>, které jsou zaměřeny na společenské, humanitní a hospodářské vědy až po přírodní vědy. Prioritou je základní výzkum orientovaný na praktickou aplikaci, z toho prostřednictvím osmi muzeí se statutem výzkumné organizace.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Finnish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Committee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(jako součást </w:t>
      </w:r>
      <w:proofErr w:type="spellStart"/>
      <w:r w:rsidRPr="00676BBD">
        <w:rPr>
          <w:rFonts w:ascii="Arial" w:hAnsi="Arial" w:cs="Arial"/>
          <w:sz w:val="22"/>
          <w:szCs w:val="22"/>
        </w:rPr>
        <w:t>Academy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of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Finland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vypracovává návrhy pro financování výzkumné infrastruktury jako podklad pro Finskou vládu. Tato komise také pracuje na tzv. </w:t>
      </w:r>
      <w:proofErr w:type="spellStart"/>
      <w:r w:rsidRPr="00676BBD">
        <w:rPr>
          <w:rFonts w:ascii="Arial" w:hAnsi="Arial" w:cs="Arial"/>
          <w:sz w:val="22"/>
          <w:szCs w:val="22"/>
        </w:rPr>
        <w:t>roadmap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for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(dlouhodobý plán toho jaké nové infrastruktury se mají vytvořit a jaké se mají dále podporovat </w:t>
      </w:r>
      <w:r w:rsidR="00740920">
        <w:rPr>
          <w:rFonts w:ascii="Arial" w:hAnsi="Arial" w:cs="Arial"/>
          <w:sz w:val="22"/>
          <w:szCs w:val="22"/>
        </w:rPr>
        <w:br/>
      </w:r>
      <w:r w:rsidRPr="00676BBD">
        <w:rPr>
          <w:rFonts w:ascii="Arial" w:hAnsi="Arial" w:cs="Arial"/>
          <w:sz w:val="22"/>
          <w:szCs w:val="22"/>
        </w:rPr>
        <w:t xml:space="preserve">v nadcházejících 10-15 letech). 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National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Collaboration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Tools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Resources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NeCTAR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je veřejný projekt který vytváří výzkumnou infrastrukturu a to investicí do ICT. Tento projekt financuje stabilní servery, podporuje virtuální laboratoře a nástroje pro virtuální analýzu a výzkum. Součástí tohoto projektu je také virtuální laboratoř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Networked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HuNI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), v níž jsou přístupná všechna důležitá data pro humanitní výzkum z Australského území </w:t>
      </w:r>
      <w:r w:rsidR="00740920">
        <w:rPr>
          <w:rFonts w:ascii="Arial" w:hAnsi="Arial" w:cs="Arial"/>
          <w:sz w:val="22"/>
          <w:szCs w:val="22"/>
        </w:rPr>
        <w:br/>
      </w:r>
      <w:r w:rsidRPr="00676BBD">
        <w:rPr>
          <w:rFonts w:ascii="Arial" w:hAnsi="Arial" w:cs="Arial"/>
          <w:sz w:val="22"/>
          <w:szCs w:val="22"/>
        </w:rPr>
        <w:t>(28 různých databází). Jedná se také o systém, který umožňuje několika týmům pracovat spolu ve virtuálním prostředí a také umožňuje sdílení výzkumu (při hledání dat a záznamů je možné vidět, na jaký výzkum již byla data použita).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Council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of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Norway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výzkum pomocí grantů univerzitám, ale tyto granty jsou specifické a vztahují se vždy na jeden konkrétní projekt. Granty jsou rozdělovány programem "</w:t>
      </w:r>
      <w:proofErr w:type="spellStart"/>
      <w:r w:rsidRPr="00676BBD">
        <w:rPr>
          <w:rFonts w:ascii="Arial" w:hAnsi="Arial" w:cs="Arial"/>
          <w:sz w:val="22"/>
          <w:szCs w:val="22"/>
        </w:rPr>
        <w:t>Strategic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Projects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University </w:t>
      </w:r>
      <w:proofErr w:type="spellStart"/>
      <w:r w:rsidRPr="00676BBD">
        <w:rPr>
          <w:rFonts w:ascii="Arial" w:hAnsi="Arial" w:cs="Arial"/>
          <w:sz w:val="22"/>
          <w:szCs w:val="22"/>
        </w:rPr>
        <w:t>Colleges</w:t>
      </w:r>
      <w:proofErr w:type="spellEnd"/>
      <w:r w:rsidRPr="00676BBD">
        <w:rPr>
          <w:rFonts w:ascii="Arial" w:hAnsi="Arial" w:cs="Arial"/>
          <w:sz w:val="22"/>
          <w:szCs w:val="22"/>
        </w:rPr>
        <w:t>" a nemají specifické tematické vymezení, ale musí být v oblasti, ve které daná univerzita publikuje excelentní práci (záměr je budovat specializace univerzit a využívat tyto specializace pro výzkum).</w:t>
      </w:r>
    </w:p>
    <w:p w:rsidR="00AF6DF3" w:rsidRPr="00676BBD" w:rsidRDefault="00AF6DF3" w:rsidP="00C83496">
      <w:pPr>
        <w:pStyle w:val="Odstavecseseznamem"/>
        <w:numPr>
          <w:ilvl w:val="0"/>
          <w:numId w:val="26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Rakouská Akademie Věd (</w:t>
      </w:r>
      <w:proofErr w:type="spellStart"/>
      <w:r w:rsidRPr="00676BBD">
        <w:rPr>
          <w:rFonts w:ascii="Arial" w:hAnsi="Arial" w:cs="Arial"/>
          <w:sz w:val="22"/>
          <w:szCs w:val="22"/>
        </w:rPr>
        <w:t>Österreichische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Akademie der </w:t>
      </w:r>
      <w:proofErr w:type="spellStart"/>
      <w:r w:rsidRPr="00676BBD">
        <w:rPr>
          <w:rFonts w:ascii="Arial" w:hAnsi="Arial" w:cs="Arial"/>
          <w:sz w:val="22"/>
          <w:szCs w:val="22"/>
        </w:rPr>
        <w:t>Wissenschaften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ÖAW) podporuje tvorbu digitálních infrastruktur v oblasti humanitních a sociálních věd. Program go! </w:t>
      </w:r>
      <w:proofErr w:type="spellStart"/>
      <w:r w:rsidRPr="00676BBD">
        <w:rPr>
          <w:rFonts w:ascii="Arial" w:hAnsi="Arial" w:cs="Arial"/>
          <w:sz w:val="22"/>
          <w:szCs w:val="22"/>
        </w:rPr>
        <w:t>digital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má za úkol poskytnout podporu pěti projektům v období 2014 až 2016 na digitalizaci a vytváření digitálních databází. Druhý projekt "Digital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76BBD">
        <w:rPr>
          <w:rFonts w:ascii="Arial" w:hAnsi="Arial" w:cs="Arial"/>
          <w:sz w:val="22"/>
          <w:szCs w:val="22"/>
        </w:rPr>
        <w:t>Langzeitprojekte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zum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kulturellen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Erbe" je projekt který podporuje využívání digitalizace </w:t>
      </w:r>
      <w:r w:rsidR="00740920">
        <w:rPr>
          <w:rFonts w:ascii="Arial" w:hAnsi="Arial" w:cs="Arial"/>
          <w:sz w:val="22"/>
          <w:szCs w:val="22"/>
        </w:rPr>
        <w:br/>
      </w:r>
      <w:r w:rsidRPr="00676BBD">
        <w:rPr>
          <w:rFonts w:ascii="Arial" w:hAnsi="Arial" w:cs="Arial"/>
          <w:sz w:val="22"/>
          <w:szCs w:val="22"/>
        </w:rPr>
        <w:t>v oblasti humanitních a sociálních věd pro zatraktivnění Rakouska jak pro firmy, tak pro talentované výzkumné pracovníky. Tento projekt se také snaží spojit humanitní a sociální vědy s věd</w:t>
      </w:r>
      <w:r w:rsidR="00676BBD">
        <w:rPr>
          <w:rFonts w:ascii="Arial" w:hAnsi="Arial" w:cs="Arial"/>
          <w:sz w:val="22"/>
          <w:szCs w:val="22"/>
        </w:rPr>
        <w:t xml:space="preserve">eckými postupy technologických </w:t>
      </w:r>
      <w:r w:rsidRPr="00676BBD">
        <w:rPr>
          <w:rFonts w:ascii="Arial" w:hAnsi="Arial" w:cs="Arial"/>
          <w:sz w:val="22"/>
          <w:szCs w:val="22"/>
        </w:rPr>
        <w:t>a vědeckých databází (podpora výměny dobré praxe).</w:t>
      </w:r>
    </w:p>
    <w:sectPr w:rsidR="00AF6DF3" w:rsidRPr="00676BBD" w:rsidSect="00506CC6">
      <w:footerReference w:type="default" r:id="rId9"/>
      <w:pgSz w:w="11906" w:h="16838"/>
      <w:pgMar w:top="1418" w:right="1134" w:bottom="1418" w:left="1134" w:header="708" w:footer="425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FA1" w:rsidRDefault="00467FA1">
      <w:r>
        <w:separator/>
      </w:r>
    </w:p>
  </w:endnote>
  <w:endnote w:type="continuationSeparator" w:id="0">
    <w:p w:rsidR="00467FA1" w:rsidRDefault="004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D7B" w:rsidRDefault="00444D7B">
    <w:pPr>
      <w:pStyle w:val="Podtitul"/>
      <w:spacing w:after="720"/>
    </w:pPr>
    <w:r>
      <w:rPr>
        <w:rFonts w:ascii="Arial" w:eastAsia="Arial" w:hAnsi="Arial" w:cs="Arial"/>
        <w:sz w:val="22"/>
        <w:szCs w:val="22"/>
      </w:rPr>
      <w:t xml:space="preserve">Stránka </w:t>
    </w:r>
    <w:r>
      <w:fldChar w:fldCharType="begin"/>
    </w:r>
    <w:r>
      <w:instrText>PAGE</w:instrText>
    </w:r>
    <w:r>
      <w:fldChar w:fldCharType="separate"/>
    </w:r>
    <w:r w:rsidR="00506CC6">
      <w:rPr>
        <w:noProof/>
      </w:rPr>
      <w:t>2</w:t>
    </w:r>
    <w: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fldChar w:fldCharType="begin"/>
    </w:r>
    <w:r>
      <w:instrText>NUMPAGES</w:instrText>
    </w:r>
    <w:r>
      <w:fldChar w:fldCharType="separate"/>
    </w:r>
    <w:r w:rsidR="00506CC6">
      <w:rPr>
        <w:noProof/>
      </w:rPr>
      <w:t>11</w:t>
    </w:r>
    <w: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FA1" w:rsidRDefault="00467FA1">
      <w:r>
        <w:separator/>
      </w:r>
    </w:p>
  </w:footnote>
  <w:footnote w:type="continuationSeparator" w:id="0">
    <w:p w:rsidR="00467FA1" w:rsidRDefault="0046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C6D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0EAC"/>
    <w:multiLevelType w:val="hybridMultilevel"/>
    <w:tmpl w:val="29725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93143"/>
    <w:multiLevelType w:val="multilevel"/>
    <w:tmpl w:val="08064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7BC6"/>
    <w:multiLevelType w:val="multilevel"/>
    <w:tmpl w:val="81F05E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12AFD"/>
    <w:multiLevelType w:val="multilevel"/>
    <w:tmpl w:val="EA288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15B21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60688"/>
    <w:multiLevelType w:val="multilevel"/>
    <w:tmpl w:val="59F807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00FBD"/>
    <w:multiLevelType w:val="multilevel"/>
    <w:tmpl w:val="D65AB1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F2B90"/>
    <w:multiLevelType w:val="multilevel"/>
    <w:tmpl w:val="B8A659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12038"/>
    <w:multiLevelType w:val="multilevel"/>
    <w:tmpl w:val="55C4D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AD00D7"/>
    <w:multiLevelType w:val="multilevel"/>
    <w:tmpl w:val="C8BEC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506E21"/>
    <w:multiLevelType w:val="multilevel"/>
    <w:tmpl w:val="569C09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825C28"/>
    <w:multiLevelType w:val="hybridMultilevel"/>
    <w:tmpl w:val="85B03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C7E65"/>
    <w:multiLevelType w:val="multilevel"/>
    <w:tmpl w:val="7916BA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C3A43"/>
    <w:multiLevelType w:val="hybridMultilevel"/>
    <w:tmpl w:val="C5B65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57F1E"/>
    <w:multiLevelType w:val="multilevel"/>
    <w:tmpl w:val="08CAA4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9F0AEE"/>
    <w:multiLevelType w:val="multilevel"/>
    <w:tmpl w:val="EBAA9F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F81C45"/>
    <w:multiLevelType w:val="multilevel"/>
    <w:tmpl w:val="724EA6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195EB2"/>
    <w:multiLevelType w:val="multilevel"/>
    <w:tmpl w:val="4F5E28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06692A"/>
    <w:multiLevelType w:val="multilevel"/>
    <w:tmpl w:val="7B6085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8747BD"/>
    <w:multiLevelType w:val="multilevel"/>
    <w:tmpl w:val="E36AD9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356B23"/>
    <w:multiLevelType w:val="hybridMultilevel"/>
    <w:tmpl w:val="FB9E9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C55E4A"/>
    <w:multiLevelType w:val="hybridMultilevel"/>
    <w:tmpl w:val="0C6C0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A43ED"/>
    <w:multiLevelType w:val="hybridMultilevel"/>
    <w:tmpl w:val="34E20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857A0"/>
    <w:multiLevelType w:val="multilevel"/>
    <w:tmpl w:val="C3D2FC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E521A"/>
    <w:multiLevelType w:val="multilevel"/>
    <w:tmpl w:val="DA78C4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5"/>
    <w:lvlOverride w:ilvl="0">
      <w:lvl w:ilvl="0">
        <w:numFmt w:val="decimal"/>
        <w:lvlText w:val="%1."/>
        <w:lvlJc w:val="left"/>
      </w:lvl>
    </w:lvlOverride>
  </w:num>
  <w:num w:numId="6">
    <w:abstractNumId w:val="18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20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6"/>
    <w:lvlOverride w:ilvl="0">
      <w:lvl w:ilvl="0">
        <w:numFmt w:val="decimal"/>
        <w:lvlText w:val="%1."/>
        <w:lvlJc w:val="left"/>
      </w:lvl>
    </w:lvlOverride>
  </w:num>
  <w:num w:numId="13">
    <w:abstractNumId w:val="24"/>
    <w:lvlOverride w:ilvl="0">
      <w:lvl w:ilvl="0">
        <w:numFmt w:val="decimal"/>
        <w:lvlText w:val="%1."/>
        <w:lvlJc w:val="left"/>
      </w:lvl>
    </w:lvlOverride>
  </w:num>
  <w:num w:numId="14">
    <w:abstractNumId w:val="13"/>
    <w:lvlOverride w:ilvl="0">
      <w:lvl w:ilvl="0">
        <w:numFmt w:val="decimal"/>
        <w:lvlText w:val="%1."/>
        <w:lvlJc w:val="left"/>
      </w:lvl>
    </w:lvlOverride>
  </w:num>
  <w:num w:numId="15">
    <w:abstractNumId w:val="11"/>
    <w:lvlOverride w:ilvl="0">
      <w:lvl w:ilvl="0">
        <w:numFmt w:val="decimal"/>
        <w:lvlText w:val="%1."/>
        <w:lvlJc w:val="left"/>
      </w:lvl>
    </w:lvlOverride>
  </w:num>
  <w:num w:numId="16">
    <w:abstractNumId w:val="25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1"/>
  </w:num>
  <w:num w:numId="19">
    <w:abstractNumId w:val="14"/>
  </w:num>
  <w:num w:numId="20">
    <w:abstractNumId w:val="12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  <w:num w:numId="25">
    <w:abstractNumId w:val="0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48F"/>
    <w:rsid w:val="001366C6"/>
    <w:rsid w:val="00144871"/>
    <w:rsid w:val="00180EAF"/>
    <w:rsid w:val="0019612D"/>
    <w:rsid w:val="001A31A8"/>
    <w:rsid w:val="002A5960"/>
    <w:rsid w:val="002C5CF3"/>
    <w:rsid w:val="002D5F85"/>
    <w:rsid w:val="00387C69"/>
    <w:rsid w:val="00397373"/>
    <w:rsid w:val="003C3DCC"/>
    <w:rsid w:val="00444D7B"/>
    <w:rsid w:val="00467FA1"/>
    <w:rsid w:val="004C5A10"/>
    <w:rsid w:val="00506CC6"/>
    <w:rsid w:val="00566027"/>
    <w:rsid w:val="005D58F9"/>
    <w:rsid w:val="00613066"/>
    <w:rsid w:val="00631AAB"/>
    <w:rsid w:val="006353AE"/>
    <w:rsid w:val="00676BBD"/>
    <w:rsid w:val="006833F8"/>
    <w:rsid w:val="00740920"/>
    <w:rsid w:val="007B4333"/>
    <w:rsid w:val="007E5E85"/>
    <w:rsid w:val="00821D09"/>
    <w:rsid w:val="008C46B0"/>
    <w:rsid w:val="008E3E16"/>
    <w:rsid w:val="009635BC"/>
    <w:rsid w:val="00A346C3"/>
    <w:rsid w:val="00A54B4F"/>
    <w:rsid w:val="00AF6DF3"/>
    <w:rsid w:val="00B440E0"/>
    <w:rsid w:val="00B65F78"/>
    <w:rsid w:val="00BC56A9"/>
    <w:rsid w:val="00C83496"/>
    <w:rsid w:val="00D4532C"/>
    <w:rsid w:val="00DE56B4"/>
    <w:rsid w:val="00E17670"/>
    <w:rsid w:val="00E4048F"/>
    <w:rsid w:val="00E74732"/>
    <w:rsid w:val="00E74A16"/>
    <w:rsid w:val="00EE7EA5"/>
    <w:rsid w:val="00F53C20"/>
    <w:rsid w:val="00F8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38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41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1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9B5E1-1C4D-4E74-9239-30545054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11</Pages>
  <Words>5277</Words>
  <Characters>31136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36341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23</cp:revision>
  <cp:lastPrinted>2016-03-04T14:15:00Z</cp:lastPrinted>
  <dcterms:created xsi:type="dcterms:W3CDTF">2016-02-04T14:03:00Z</dcterms:created>
  <dcterms:modified xsi:type="dcterms:W3CDTF">2016-03-04T14:21:00Z</dcterms:modified>
</cp:coreProperties>
</file>