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2470"/>
      </w:tblGrid>
      <w:tr w:rsidR="008F77F6" w:rsidRPr="00DE2BC0" w:rsidTr="0012186B">
        <w:trPr>
          <w:trHeight w:val="828"/>
        </w:trPr>
        <w:tc>
          <w:tcPr>
            <w:tcW w:w="7054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7B56E5" w:rsidRDefault="001F2206" w:rsidP="00F000E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F220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na jmenování členů Komise pro </w:t>
            </w:r>
            <w:r w:rsidR="00F000ED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problematiku</w:t>
            </w:r>
            <w:r w:rsidR="0012186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F000ED">
              <w:rPr>
                <w:rFonts w:ascii="Arial" w:hAnsi="Arial" w:cs="Arial"/>
                <w:b/>
                <w:color w:val="0070C0"/>
                <w:sz w:val="28"/>
                <w:szCs w:val="28"/>
              </w:rPr>
              <w:t>klimatu</w:t>
            </w:r>
          </w:p>
        </w:tc>
        <w:tc>
          <w:tcPr>
            <w:tcW w:w="247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1F2206" w:rsidP="00F000E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000ED">
              <w:rPr>
                <w:rFonts w:ascii="Arial" w:hAnsi="Arial" w:cs="Arial"/>
                <w:b/>
                <w:color w:val="0070C0"/>
                <w:sz w:val="28"/>
                <w:szCs w:val="28"/>
              </w:rPr>
              <w:t>49</w:t>
            </w:r>
            <w:r w:rsidR="00B61BBD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5A0EC4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462409">
        <w:trPr>
          <w:trHeight w:val="679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9A23F0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A23F0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000ED" w:rsidRDefault="00F000ED" w:rsidP="00F000ED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Komisi pro problematiku klimatu</w:t>
            </w:r>
            <w:r w:rsidRPr="002D29E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7E54">
              <w:rPr>
                <w:rFonts w:ascii="Arial" w:hAnsi="Arial" w:cs="Arial"/>
                <w:sz w:val="22"/>
                <w:szCs w:val="22"/>
              </w:rPr>
              <w:t xml:space="preserve">(dále jen „KPK“) </w:t>
            </w:r>
            <w:r w:rsidRPr="002D29EB">
              <w:rPr>
                <w:rFonts w:ascii="Arial" w:hAnsi="Arial" w:cs="Arial"/>
                <w:sz w:val="22"/>
                <w:szCs w:val="22"/>
              </w:rPr>
              <w:t>ustav</w:t>
            </w:r>
            <w:r>
              <w:rPr>
                <w:rFonts w:ascii="Arial" w:hAnsi="Arial" w:cs="Arial"/>
                <w:sz w:val="22"/>
                <w:szCs w:val="22"/>
              </w:rPr>
              <w:t>ila</w:t>
            </w:r>
            <w:r w:rsidRPr="002D29EB">
              <w:rPr>
                <w:rFonts w:ascii="Arial" w:hAnsi="Arial" w:cs="Arial"/>
                <w:sz w:val="22"/>
                <w:szCs w:val="22"/>
              </w:rPr>
              <w:t xml:space="preserve"> Rada pro výzkum, vývoj a inovace (dále jen „Rada“) </w:t>
            </w:r>
            <w:r>
              <w:rPr>
                <w:rFonts w:ascii="Arial" w:hAnsi="Arial" w:cs="Arial"/>
                <w:sz w:val="22"/>
                <w:szCs w:val="22"/>
              </w:rPr>
              <w:t xml:space="preserve">na svém 347. zasedání dne 28. června 2019 </w:t>
            </w:r>
            <w:r w:rsidRPr="002D29EB">
              <w:rPr>
                <w:rFonts w:ascii="Arial" w:hAnsi="Arial" w:cs="Arial"/>
                <w:sz w:val="22"/>
                <w:szCs w:val="22"/>
              </w:rPr>
              <w:t>jako svůj odborný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2D29EB">
              <w:rPr>
                <w:rFonts w:ascii="Arial" w:hAnsi="Arial" w:cs="Arial"/>
                <w:sz w:val="22"/>
                <w:szCs w:val="22"/>
              </w:rPr>
              <w:t xml:space="preserve">poradní </w:t>
            </w:r>
            <w:r>
              <w:rPr>
                <w:rFonts w:ascii="Arial" w:hAnsi="Arial" w:cs="Arial"/>
                <w:sz w:val="22"/>
                <w:szCs w:val="22"/>
              </w:rPr>
              <w:t>orgán podle § 35 odst. 7 písm. b</w:t>
            </w:r>
            <w:r w:rsidRPr="002D29EB">
              <w:rPr>
                <w:rFonts w:ascii="Arial" w:hAnsi="Arial" w:cs="Arial"/>
                <w:sz w:val="22"/>
                <w:szCs w:val="22"/>
              </w:rPr>
              <w:t>) zákona č. 130/2002 Sb., o podpoře výzkumu, experimentálního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2D29EB">
              <w:rPr>
                <w:rFonts w:ascii="Arial" w:hAnsi="Arial" w:cs="Arial"/>
                <w:sz w:val="22"/>
                <w:szCs w:val="22"/>
              </w:rPr>
              <w:t>ino</w:t>
            </w:r>
            <w:r>
              <w:rPr>
                <w:rFonts w:ascii="Arial" w:hAnsi="Arial" w:cs="Arial"/>
                <w:sz w:val="22"/>
                <w:szCs w:val="22"/>
              </w:rPr>
              <w:t>vací z veřejných prostředků a o </w:t>
            </w:r>
            <w:r w:rsidRPr="002D29EB">
              <w:rPr>
                <w:rFonts w:ascii="Arial" w:hAnsi="Arial" w:cs="Arial"/>
                <w:sz w:val="22"/>
                <w:szCs w:val="22"/>
              </w:rPr>
              <w:t>změně některých souvisejících zákonů (zákon o podpoře výzkumu, experim</w:t>
            </w:r>
            <w:r>
              <w:rPr>
                <w:rFonts w:ascii="Arial" w:hAnsi="Arial" w:cs="Arial"/>
                <w:sz w:val="22"/>
                <w:szCs w:val="22"/>
              </w:rPr>
              <w:t>entálního vývoje a inovací), ve </w:t>
            </w:r>
            <w:r w:rsidRPr="002D29EB">
              <w:rPr>
                <w:rFonts w:ascii="Arial" w:hAnsi="Arial" w:cs="Arial"/>
                <w:sz w:val="22"/>
                <w:szCs w:val="22"/>
              </w:rPr>
              <w:t xml:space="preserve">znění </w:t>
            </w:r>
            <w:r>
              <w:rPr>
                <w:rFonts w:ascii="Arial" w:hAnsi="Arial" w:cs="Arial"/>
                <w:sz w:val="22"/>
                <w:szCs w:val="22"/>
              </w:rPr>
              <w:t xml:space="preserve">pozdějších předpisů. </w:t>
            </w:r>
          </w:p>
          <w:p w:rsidR="00F000ED" w:rsidRDefault="00F000ED" w:rsidP="00F000ED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Členy odborných a </w:t>
            </w:r>
            <w:r w:rsidRPr="00CB5844">
              <w:rPr>
                <w:rFonts w:ascii="Arial" w:hAnsi="Arial" w:cs="Arial"/>
                <w:sz w:val="22"/>
                <w:szCs w:val="22"/>
              </w:rPr>
              <w:t xml:space="preserve">poradních orgánů na návrh Rady jmenuje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CB5844">
              <w:rPr>
                <w:rFonts w:ascii="Arial" w:hAnsi="Arial" w:cs="Arial"/>
                <w:sz w:val="22"/>
                <w:szCs w:val="22"/>
              </w:rPr>
              <w:t xml:space="preserve"> odvolává její předseda. </w:t>
            </w:r>
            <w:r>
              <w:rPr>
                <w:rFonts w:ascii="Arial" w:hAnsi="Arial" w:cs="Arial"/>
                <w:sz w:val="22"/>
                <w:szCs w:val="22"/>
              </w:rPr>
              <w:t>Funkční období je </w:t>
            </w:r>
            <w:r w:rsidRPr="00D25E70">
              <w:rPr>
                <w:rFonts w:ascii="Arial" w:hAnsi="Arial" w:cs="Arial"/>
                <w:sz w:val="22"/>
                <w:szCs w:val="22"/>
              </w:rPr>
              <w:t>čtyřleté</w:t>
            </w:r>
            <w:r>
              <w:rPr>
                <w:rFonts w:ascii="Arial" w:hAnsi="Arial" w:cs="Arial"/>
                <w:sz w:val="22"/>
                <w:szCs w:val="22"/>
              </w:rPr>
              <w:t xml:space="preserve"> s </w:t>
            </w:r>
            <w:r w:rsidRPr="006B6AB1">
              <w:rPr>
                <w:rFonts w:ascii="Arial" w:hAnsi="Arial" w:cs="Arial"/>
                <w:sz w:val="22"/>
                <w:szCs w:val="22"/>
              </w:rPr>
              <w:t>možností jmenování nejvýše na dvě období po sobě následující.</w:t>
            </w:r>
          </w:p>
          <w:p w:rsidR="00F000ED" w:rsidRPr="006E2EBC" w:rsidRDefault="00F000ED" w:rsidP="00F000E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2EBC">
              <w:rPr>
                <w:rFonts w:ascii="Arial" w:hAnsi="Arial" w:cs="Arial"/>
                <w:sz w:val="22"/>
                <w:szCs w:val="22"/>
              </w:rPr>
              <w:t xml:space="preserve">Smyslem Komise pro problematiku klimatu je získání </w:t>
            </w:r>
            <w:proofErr w:type="spellStart"/>
            <w:r w:rsidRPr="006E2EBC">
              <w:rPr>
                <w:rFonts w:ascii="Arial" w:hAnsi="Arial" w:cs="Arial"/>
                <w:sz w:val="22"/>
                <w:szCs w:val="22"/>
              </w:rPr>
              <w:t>nadrezortního</w:t>
            </w:r>
            <w:proofErr w:type="spellEnd"/>
            <w:r w:rsidRPr="006E2EBC">
              <w:rPr>
                <w:rFonts w:ascii="Arial" w:hAnsi="Arial" w:cs="Arial"/>
                <w:sz w:val="22"/>
                <w:szCs w:val="22"/>
              </w:rPr>
              <w:t xml:space="preserve"> odborného pohledu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E2EBC">
              <w:rPr>
                <w:rFonts w:ascii="Arial" w:hAnsi="Arial" w:cs="Arial"/>
                <w:sz w:val="22"/>
                <w:szCs w:val="22"/>
              </w:rPr>
              <w:t xml:space="preserve">složitou problematiku související se změnami klimatu. Tato komise se zřizuje za účelem přípravy odborných materiálů pro Radu pro výzkum, vývoj a inovace a následně pro vládu České republiky v oblastech klimatické adaptace a </w:t>
            </w:r>
            <w:proofErr w:type="spellStart"/>
            <w:r w:rsidRPr="006E2EBC">
              <w:rPr>
                <w:rFonts w:ascii="Arial" w:hAnsi="Arial" w:cs="Arial"/>
                <w:sz w:val="22"/>
                <w:szCs w:val="22"/>
              </w:rPr>
              <w:t>mitigace</w:t>
            </w:r>
            <w:proofErr w:type="spellEnd"/>
            <w:r w:rsidRPr="006E2EBC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000ED" w:rsidRPr="00F000ED" w:rsidRDefault="00F000ED" w:rsidP="00F000ED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000ED" w:rsidRPr="006E2EBC" w:rsidRDefault="00F000ED" w:rsidP="00F000E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2EBC">
              <w:rPr>
                <w:rFonts w:ascii="Arial" w:hAnsi="Arial" w:cs="Arial"/>
                <w:sz w:val="22"/>
                <w:szCs w:val="22"/>
              </w:rPr>
              <w:t xml:space="preserve">V první oblasti se jedná o témata hospodaření s vodou s důrazem na zadržení vody v krajině, lesní hospodářství, zemědělská produkce a ochrana půd, sektor pojišťovnictví, posilování odolnosti páteřní infrastruktury a širší sociální rozměr včetně zdravotních dopadů. Tato témata mají přesah do agend zejména Ministerstva zemědělství a Ministerstva životního prostředí. </w:t>
            </w:r>
          </w:p>
          <w:p w:rsidR="00F000ED" w:rsidRPr="00F000ED" w:rsidRDefault="00F000ED" w:rsidP="00F000ED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000ED" w:rsidRPr="006E2EBC" w:rsidRDefault="00F000ED" w:rsidP="00F000E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2EBC">
              <w:rPr>
                <w:rFonts w:ascii="Arial" w:hAnsi="Arial" w:cs="Arial"/>
                <w:sz w:val="22"/>
                <w:szCs w:val="22"/>
              </w:rPr>
              <w:t xml:space="preserve">Druhá oblast souvisí s diskutovaným celoevropským cílem dosažení klimatické neutrality do r. 2050. Institucionálně se to týká většiny rezortů s klíčovou rolí Ministerstva průmyslu a obchodu, kde se aktuálně formuluje národní klimaticko-energetický plán do r. 2030. V oblasti </w:t>
            </w:r>
            <w:proofErr w:type="spellStart"/>
            <w:r w:rsidRPr="006E2EBC">
              <w:rPr>
                <w:rFonts w:ascii="Arial" w:hAnsi="Arial" w:cs="Arial"/>
                <w:sz w:val="22"/>
                <w:szCs w:val="22"/>
              </w:rPr>
              <w:t>mitigace</w:t>
            </w:r>
            <w:proofErr w:type="spellEnd"/>
            <w:r w:rsidRPr="006E2EBC">
              <w:rPr>
                <w:rFonts w:ascii="Arial" w:hAnsi="Arial" w:cs="Arial"/>
                <w:sz w:val="22"/>
                <w:szCs w:val="22"/>
              </w:rPr>
              <w:t xml:space="preserve"> hrají vedle energetiky klíčovou roli doprava včetně </w:t>
            </w:r>
            <w:proofErr w:type="spellStart"/>
            <w:r w:rsidRPr="006E2EBC">
              <w:rPr>
                <w:rFonts w:ascii="Arial" w:hAnsi="Arial" w:cs="Arial"/>
                <w:sz w:val="22"/>
                <w:szCs w:val="22"/>
              </w:rPr>
              <w:t>elektromobility</w:t>
            </w:r>
            <w:proofErr w:type="spellEnd"/>
            <w:r w:rsidRPr="006E2EBC">
              <w:rPr>
                <w:rFonts w:ascii="Arial" w:hAnsi="Arial" w:cs="Arial"/>
                <w:sz w:val="22"/>
                <w:szCs w:val="22"/>
              </w:rPr>
              <w:t xml:space="preserve">, popřípadě vodíkového pohonu. Dále průmysl, například možnost zavedení </w:t>
            </w:r>
            <w:proofErr w:type="spellStart"/>
            <w:r w:rsidRPr="006E2EBC">
              <w:rPr>
                <w:rFonts w:ascii="Arial" w:hAnsi="Arial" w:cs="Arial"/>
                <w:sz w:val="22"/>
                <w:szCs w:val="22"/>
              </w:rPr>
              <w:t>carbon</w:t>
            </w:r>
            <w:proofErr w:type="spellEnd"/>
            <w:r w:rsidRPr="006E2EB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E2EBC">
              <w:rPr>
                <w:rFonts w:ascii="Arial" w:hAnsi="Arial" w:cs="Arial"/>
                <w:sz w:val="22"/>
                <w:szCs w:val="22"/>
              </w:rPr>
              <w:t>capture</w:t>
            </w:r>
            <w:proofErr w:type="spellEnd"/>
            <w:r w:rsidRPr="006E2EBC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6E2EBC">
              <w:rPr>
                <w:rFonts w:ascii="Arial" w:hAnsi="Arial" w:cs="Arial"/>
                <w:sz w:val="22"/>
                <w:szCs w:val="22"/>
              </w:rPr>
              <w:t>storage</w:t>
            </w:r>
            <w:proofErr w:type="spellEnd"/>
            <w:r w:rsidRPr="006E2EBC">
              <w:rPr>
                <w:rFonts w:ascii="Arial" w:hAnsi="Arial" w:cs="Arial"/>
                <w:sz w:val="22"/>
                <w:szCs w:val="22"/>
              </w:rPr>
              <w:t xml:space="preserve"> (CCS) technologií přímo u zdroje, zemědělství a lesnictví (</w:t>
            </w:r>
            <w:proofErr w:type="spellStart"/>
            <w:r w:rsidRPr="006E2EBC">
              <w:rPr>
                <w:rFonts w:ascii="Arial" w:hAnsi="Arial" w:cs="Arial"/>
                <w:sz w:val="22"/>
                <w:szCs w:val="22"/>
              </w:rPr>
              <w:t>carbon</w:t>
            </w:r>
            <w:proofErr w:type="spellEnd"/>
            <w:r w:rsidRPr="006E2EB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E2EBC">
              <w:rPr>
                <w:rFonts w:ascii="Arial" w:hAnsi="Arial" w:cs="Arial"/>
                <w:sz w:val="22"/>
                <w:szCs w:val="22"/>
              </w:rPr>
              <w:t>sink</w:t>
            </w:r>
            <w:proofErr w:type="spellEnd"/>
            <w:r w:rsidRPr="006E2EBC">
              <w:rPr>
                <w:rFonts w:ascii="Arial" w:hAnsi="Arial" w:cs="Arial"/>
                <w:sz w:val="22"/>
                <w:szCs w:val="22"/>
              </w:rPr>
              <w:t>), finanční sektor (hodnocení klimatických rizik, vydávání tzv. zelených dluhopisů). Tématika má přesahy i do trhu práce a sociálního systému v souvislosti s dopady socioekonomické transformace.</w:t>
            </w:r>
          </w:p>
          <w:p w:rsidR="00F000ED" w:rsidRPr="00F000ED" w:rsidRDefault="00F000ED" w:rsidP="00F000ED">
            <w:pPr>
              <w:spacing w:after="120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000ED" w:rsidRPr="00940D4A" w:rsidRDefault="00F000ED" w:rsidP="00F000ED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0D4A">
              <w:rPr>
                <w:rFonts w:ascii="Arial" w:hAnsi="Arial" w:cs="Arial"/>
                <w:sz w:val="22"/>
                <w:szCs w:val="22"/>
              </w:rPr>
              <w:t xml:space="preserve">Rada </w:t>
            </w:r>
            <w:r>
              <w:rPr>
                <w:rFonts w:ascii="Arial" w:hAnsi="Arial" w:cs="Arial"/>
                <w:sz w:val="22"/>
                <w:szCs w:val="22"/>
              </w:rPr>
              <w:t>obeslala vybrané zainteresované instituce s výzvou</w:t>
            </w:r>
            <w:r w:rsidRPr="00940D4A">
              <w:rPr>
                <w:rFonts w:ascii="Arial" w:hAnsi="Arial" w:cs="Arial"/>
                <w:sz w:val="22"/>
                <w:szCs w:val="22"/>
              </w:rPr>
              <w:t xml:space="preserve"> k nominaci kandidátů na členy </w:t>
            </w:r>
            <w:r w:rsidR="00607DD4">
              <w:rPr>
                <w:rFonts w:ascii="Arial" w:hAnsi="Arial" w:cs="Arial"/>
                <w:sz w:val="22"/>
                <w:szCs w:val="22"/>
              </w:rPr>
              <w:t>Komise pro problematiku klimatu</w:t>
            </w:r>
            <w:r w:rsidRPr="00940D4A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Ve stanoveném termínu</w:t>
            </w:r>
            <w:r w:rsidRPr="00940D4A">
              <w:rPr>
                <w:rFonts w:ascii="Arial" w:hAnsi="Arial" w:cs="Arial"/>
                <w:sz w:val="22"/>
                <w:szCs w:val="22"/>
              </w:rPr>
              <w:t xml:space="preserve"> do </w:t>
            </w:r>
            <w:r>
              <w:rPr>
                <w:rFonts w:ascii="Arial" w:hAnsi="Arial" w:cs="Arial"/>
                <w:sz w:val="22"/>
                <w:szCs w:val="22"/>
              </w:rPr>
              <w:t xml:space="preserve">19. července 2019 </w:t>
            </w:r>
            <w:r w:rsidRPr="00940D4A">
              <w:rPr>
                <w:rFonts w:ascii="Arial" w:hAnsi="Arial" w:cs="Arial"/>
                <w:sz w:val="22"/>
                <w:szCs w:val="22"/>
              </w:rPr>
              <w:t xml:space="preserve">bylo doručeno </w:t>
            </w:r>
            <w:r>
              <w:rPr>
                <w:rFonts w:ascii="Arial" w:hAnsi="Arial" w:cs="Arial"/>
                <w:sz w:val="22"/>
                <w:szCs w:val="22"/>
              </w:rPr>
              <w:t>63 </w:t>
            </w:r>
            <w:r w:rsidRPr="00940D4A">
              <w:rPr>
                <w:rFonts w:ascii="Arial" w:hAnsi="Arial" w:cs="Arial"/>
                <w:sz w:val="22"/>
                <w:szCs w:val="22"/>
              </w:rPr>
              <w:t xml:space="preserve">nominací. </w:t>
            </w:r>
          </w:p>
          <w:p w:rsidR="00F37E54" w:rsidRDefault="00F37E54" w:rsidP="00F37E5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3283">
              <w:rPr>
                <w:rFonts w:ascii="Arial" w:eastAsia="Calibri" w:hAnsi="Arial" w:cs="Arial"/>
                <w:sz w:val="22"/>
                <w:szCs w:val="22"/>
              </w:rPr>
              <w:t xml:space="preserve">Předsednictvo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Rady po prostudování jednotlivých nominací navrhlo 20 kandidátů, které schválilo na svém jednání dne 29. července 2019 a zpravodaj prof.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Jungwirth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navrhl další 4 kandidáty. Celkem je navrženo 24 kandidátů, kdy KPK by měla mít </w:t>
            </w:r>
            <w:r w:rsidR="00D921E1">
              <w:rPr>
                <w:rFonts w:ascii="Arial" w:eastAsia="Calibri" w:hAnsi="Arial" w:cs="Arial"/>
                <w:sz w:val="22"/>
                <w:szCs w:val="22"/>
              </w:rPr>
              <w:t>cca</w:t>
            </w:r>
            <w:bookmarkStart w:id="0" w:name="_GoBack"/>
            <w:bookmarkEnd w:id="0"/>
            <w:r>
              <w:rPr>
                <w:rFonts w:ascii="Arial" w:eastAsia="Calibri" w:hAnsi="Arial" w:cs="Arial"/>
                <w:sz w:val="22"/>
                <w:szCs w:val="22"/>
              </w:rPr>
              <w:t xml:space="preserve"> 10 členů. </w:t>
            </w:r>
          </w:p>
          <w:p w:rsidR="00900D95" w:rsidRPr="00154AA2" w:rsidRDefault="00900D95" w:rsidP="00486230">
            <w:pPr>
              <w:spacing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F86D54" w:rsidRDefault="006E7F7D" w:rsidP="008F77F6"/>
    <w:sectPr w:rsidR="00F86D54" w:rsidSect="0011335A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F7D" w:rsidRDefault="006E7F7D" w:rsidP="008F77F6">
      <w:r>
        <w:separator/>
      </w:r>
    </w:p>
  </w:endnote>
  <w:endnote w:type="continuationSeparator" w:id="0">
    <w:p w:rsidR="006E7F7D" w:rsidRDefault="006E7F7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F7D" w:rsidRDefault="006E7F7D" w:rsidP="008F77F6">
      <w:r>
        <w:separator/>
      </w:r>
    </w:p>
  </w:footnote>
  <w:footnote w:type="continuationSeparator" w:id="0">
    <w:p w:rsidR="006E7F7D" w:rsidRDefault="006E7F7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D724AFB" wp14:editId="74B33AC0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ABB225A"/>
    <w:multiLevelType w:val="hybridMultilevel"/>
    <w:tmpl w:val="414EE0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57240"/>
    <w:rsid w:val="000607ED"/>
    <w:rsid w:val="00092833"/>
    <w:rsid w:val="00095B2C"/>
    <w:rsid w:val="000B4DE0"/>
    <w:rsid w:val="000B7D0E"/>
    <w:rsid w:val="000C2A69"/>
    <w:rsid w:val="000C4A33"/>
    <w:rsid w:val="000D6C28"/>
    <w:rsid w:val="000E58F0"/>
    <w:rsid w:val="000F224B"/>
    <w:rsid w:val="0011335A"/>
    <w:rsid w:val="00114213"/>
    <w:rsid w:val="00115DD5"/>
    <w:rsid w:val="0012186B"/>
    <w:rsid w:val="00127410"/>
    <w:rsid w:val="00141492"/>
    <w:rsid w:val="00145F9C"/>
    <w:rsid w:val="00154AA2"/>
    <w:rsid w:val="00170349"/>
    <w:rsid w:val="001829AF"/>
    <w:rsid w:val="00194EDE"/>
    <w:rsid w:val="001A1063"/>
    <w:rsid w:val="001B37B9"/>
    <w:rsid w:val="001D15F9"/>
    <w:rsid w:val="001D30B6"/>
    <w:rsid w:val="001F2206"/>
    <w:rsid w:val="002010DA"/>
    <w:rsid w:val="0020280B"/>
    <w:rsid w:val="00206877"/>
    <w:rsid w:val="00237006"/>
    <w:rsid w:val="002A18DA"/>
    <w:rsid w:val="002B4C9D"/>
    <w:rsid w:val="002C053B"/>
    <w:rsid w:val="002F01DD"/>
    <w:rsid w:val="002F47AA"/>
    <w:rsid w:val="0031020D"/>
    <w:rsid w:val="003136A5"/>
    <w:rsid w:val="00321779"/>
    <w:rsid w:val="00340B79"/>
    <w:rsid w:val="00360293"/>
    <w:rsid w:val="00370DCF"/>
    <w:rsid w:val="00376D0F"/>
    <w:rsid w:val="00386CBE"/>
    <w:rsid w:val="00387B05"/>
    <w:rsid w:val="003B1822"/>
    <w:rsid w:val="003C1580"/>
    <w:rsid w:val="003C6480"/>
    <w:rsid w:val="003D19B3"/>
    <w:rsid w:val="004064D0"/>
    <w:rsid w:val="0044262F"/>
    <w:rsid w:val="00461A40"/>
    <w:rsid w:val="00462409"/>
    <w:rsid w:val="00486230"/>
    <w:rsid w:val="00491E40"/>
    <w:rsid w:val="00494A1F"/>
    <w:rsid w:val="00495E87"/>
    <w:rsid w:val="004A02E7"/>
    <w:rsid w:val="004C61D4"/>
    <w:rsid w:val="004D6A37"/>
    <w:rsid w:val="00516F19"/>
    <w:rsid w:val="005210B0"/>
    <w:rsid w:val="00533D24"/>
    <w:rsid w:val="0054642D"/>
    <w:rsid w:val="00553E0C"/>
    <w:rsid w:val="00555FF5"/>
    <w:rsid w:val="0055683A"/>
    <w:rsid w:val="00560239"/>
    <w:rsid w:val="005655FC"/>
    <w:rsid w:val="00582B31"/>
    <w:rsid w:val="005A0EC4"/>
    <w:rsid w:val="005A426C"/>
    <w:rsid w:val="005C3D6E"/>
    <w:rsid w:val="005C49F7"/>
    <w:rsid w:val="005D0500"/>
    <w:rsid w:val="006073EE"/>
    <w:rsid w:val="00607DD4"/>
    <w:rsid w:val="00624B53"/>
    <w:rsid w:val="00634307"/>
    <w:rsid w:val="00641565"/>
    <w:rsid w:val="00646D8B"/>
    <w:rsid w:val="00660AAF"/>
    <w:rsid w:val="00667CA5"/>
    <w:rsid w:val="00681D93"/>
    <w:rsid w:val="006C292C"/>
    <w:rsid w:val="006C4FEA"/>
    <w:rsid w:val="006E7243"/>
    <w:rsid w:val="006E7F7D"/>
    <w:rsid w:val="007039F9"/>
    <w:rsid w:val="007077D8"/>
    <w:rsid w:val="00713180"/>
    <w:rsid w:val="00731B10"/>
    <w:rsid w:val="00734132"/>
    <w:rsid w:val="00741931"/>
    <w:rsid w:val="007525B3"/>
    <w:rsid w:val="007B56E5"/>
    <w:rsid w:val="007C3DC0"/>
    <w:rsid w:val="007F6B77"/>
    <w:rsid w:val="00810AA0"/>
    <w:rsid w:val="00821E36"/>
    <w:rsid w:val="00830F0B"/>
    <w:rsid w:val="008323B1"/>
    <w:rsid w:val="00840DF6"/>
    <w:rsid w:val="008639A4"/>
    <w:rsid w:val="008642EB"/>
    <w:rsid w:val="008B6198"/>
    <w:rsid w:val="008C1DC3"/>
    <w:rsid w:val="008C3283"/>
    <w:rsid w:val="008C7F2E"/>
    <w:rsid w:val="008D05DF"/>
    <w:rsid w:val="008E3794"/>
    <w:rsid w:val="008F35D6"/>
    <w:rsid w:val="008F77F6"/>
    <w:rsid w:val="00900D95"/>
    <w:rsid w:val="00925EA0"/>
    <w:rsid w:val="00944A47"/>
    <w:rsid w:val="009704D2"/>
    <w:rsid w:val="009870E8"/>
    <w:rsid w:val="00996128"/>
    <w:rsid w:val="00996672"/>
    <w:rsid w:val="009A01BD"/>
    <w:rsid w:val="009A23F0"/>
    <w:rsid w:val="009B0FF5"/>
    <w:rsid w:val="009B3AB0"/>
    <w:rsid w:val="009B5CB9"/>
    <w:rsid w:val="00A15CC1"/>
    <w:rsid w:val="00A21F6C"/>
    <w:rsid w:val="00A425AE"/>
    <w:rsid w:val="00A51417"/>
    <w:rsid w:val="00A51D40"/>
    <w:rsid w:val="00A549F1"/>
    <w:rsid w:val="00A60A40"/>
    <w:rsid w:val="00A96B82"/>
    <w:rsid w:val="00AA1B8F"/>
    <w:rsid w:val="00AA51BE"/>
    <w:rsid w:val="00AA7217"/>
    <w:rsid w:val="00AB6973"/>
    <w:rsid w:val="00AD58A8"/>
    <w:rsid w:val="00AE7D40"/>
    <w:rsid w:val="00B25016"/>
    <w:rsid w:val="00B437E0"/>
    <w:rsid w:val="00B476E7"/>
    <w:rsid w:val="00B61BBD"/>
    <w:rsid w:val="00BA148D"/>
    <w:rsid w:val="00BA54FD"/>
    <w:rsid w:val="00BB0768"/>
    <w:rsid w:val="00C032A4"/>
    <w:rsid w:val="00C20639"/>
    <w:rsid w:val="00C701F8"/>
    <w:rsid w:val="00C85674"/>
    <w:rsid w:val="00CE1396"/>
    <w:rsid w:val="00CE22B7"/>
    <w:rsid w:val="00CE35F0"/>
    <w:rsid w:val="00CE456E"/>
    <w:rsid w:val="00CE50C0"/>
    <w:rsid w:val="00CF1D9F"/>
    <w:rsid w:val="00D10E9A"/>
    <w:rsid w:val="00D13C18"/>
    <w:rsid w:val="00D27C56"/>
    <w:rsid w:val="00D35DDA"/>
    <w:rsid w:val="00D521E1"/>
    <w:rsid w:val="00D52F85"/>
    <w:rsid w:val="00D74443"/>
    <w:rsid w:val="00D8330B"/>
    <w:rsid w:val="00D921E1"/>
    <w:rsid w:val="00D96DE7"/>
    <w:rsid w:val="00DB3C64"/>
    <w:rsid w:val="00DC5FE9"/>
    <w:rsid w:val="00DD4FF7"/>
    <w:rsid w:val="00E013C8"/>
    <w:rsid w:val="00E0498D"/>
    <w:rsid w:val="00E15696"/>
    <w:rsid w:val="00E358C8"/>
    <w:rsid w:val="00E52D50"/>
    <w:rsid w:val="00E84184"/>
    <w:rsid w:val="00E86469"/>
    <w:rsid w:val="00EA63D9"/>
    <w:rsid w:val="00EC0DB4"/>
    <w:rsid w:val="00EC70A1"/>
    <w:rsid w:val="00EF3114"/>
    <w:rsid w:val="00F000ED"/>
    <w:rsid w:val="00F061B1"/>
    <w:rsid w:val="00F24D60"/>
    <w:rsid w:val="00F313A7"/>
    <w:rsid w:val="00F37E54"/>
    <w:rsid w:val="00F52322"/>
    <w:rsid w:val="00F5508B"/>
    <w:rsid w:val="00F81EBC"/>
    <w:rsid w:val="00F848B5"/>
    <w:rsid w:val="00F94495"/>
    <w:rsid w:val="00FA1DE0"/>
    <w:rsid w:val="00FD0BAB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FE3A4-4BC6-4C17-8B03-59088CE66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369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31</cp:revision>
  <cp:lastPrinted>2018-06-25T10:16:00Z</cp:lastPrinted>
  <dcterms:created xsi:type="dcterms:W3CDTF">2018-06-22T11:35:00Z</dcterms:created>
  <dcterms:modified xsi:type="dcterms:W3CDTF">2019-10-01T12:31:00Z</dcterms:modified>
</cp:coreProperties>
</file>