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2268"/>
        <w:gridCol w:w="1114"/>
        <w:gridCol w:w="20"/>
        <w:gridCol w:w="3402"/>
        <w:gridCol w:w="2834"/>
      </w:tblGrid>
      <w:tr w:rsidR="00155D0B" w:rsidRPr="009101E4" w:rsidTr="00C339D1">
        <w:trPr>
          <w:trHeight w:val="567"/>
        </w:trPr>
        <w:tc>
          <w:tcPr>
            <w:tcW w:w="2268" w:type="dxa"/>
            <w:vMerge w:val="restart"/>
            <w:tcMar>
              <w:left w:w="0" w:type="dxa"/>
              <w:right w:w="0" w:type="dxa"/>
            </w:tcMar>
          </w:tcPr>
          <w:p w:rsidR="00155D0B" w:rsidRPr="009101E4" w:rsidRDefault="00C01DE1" w:rsidP="009101E4">
            <w:pPr>
              <w:spacing w:line="240" w:lineRule="auto"/>
              <w:jc w:val="both"/>
              <w:rPr>
                <w:rFonts w:cstheme="minorHAnsi"/>
                <w:szCs w:val="22"/>
              </w:rPr>
            </w:pPr>
            <w:r w:rsidRPr="009101E4">
              <w:rPr>
                <w:rFonts w:cstheme="minorHAnsi"/>
                <w:noProof/>
                <w:szCs w:val="22"/>
                <w:lang w:eastAsia="cs-CZ"/>
              </w:rPr>
              <w:drawing>
                <wp:anchor distT="0" distB="0" distL="114300" distR="114300" simplePos="0" relativeHeight="251658752" behindDoc="0" locked="0" layoutInCell="1" allowOverlap="1" wp14:anchorId="046A0B6C" wp14:editId="7344E42E">
                  <wp:simplePos x="0" y="0"/>
                  <wp:positionH relativeFrom="column">
                    <wp:posOffset>-61554</wp:posOffset>
                  </wp:positionH>
                  <wp:positionV relativeFrom="paragraph">
                    <wp:posOffset>382382</wp:posOffset>
                  </wp:positionV>
                  <wp:extent cx="1530991" cy="526554"/>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9123" cy="529351"/>
                          </a:xfrm>
                          <a:prstGeom prst="rect">
                            <a:avLst/>
                          </a:prstGeom>
                        </pic:spPr>
                      </pic:pic>
                    </a:graphicData>
                  </a:graphic>
                  <wp14:sizeRelH relativeFrom="page">
                    <wp14:pctWidth>0</wp14:pctWidth>
                  </wp14:sizeRelH>
                  <wp14:sizeRelV relativeFrom="page">
                    <wp14:pctHeight>0</wp14:pctHeight>
                  </wp14:sizeRelV>
                </wp:anchor>
              </w:drawing>
            </w:r>
          </w:p>
        </w:tc>
        <w:tc>
          <w:tcPr>
            <w:tcW w:w="1134" w:type="dxa"/>
            <w:gridSpan w:val="2"/>
            <w:vMerge w:val="restart"/>
          </w:tcPr>
          <w:p w:rsidR="00155D0B" w:rsidRPr="009101E4" w:rsidRDefault="00155D0B" w:rsidP="009101E4">
            <w:pPr>
              <w:spacing w:line="240" w:lineRule="auto"/>
              <w:jc w:val="both"/>
              <w:rPr>
                <w:rFonts w:cstheme="minorHAnsi"/>
                <w:szCs w:val="22"/>
              </w:rPr>
            </w:pPr>
          </w:p>
        </w:tc>
        <w:tc>
          <w:tcPr>
            <w:tcW w:w="3402" w:type="dxa"/>
            <w:vAlign w:val="bottom"/>
          </w:tcPr>
          <w:p w:rsidR="00155D0B" w:rsidRPr="009101E4" w:rsidRDefault="00155D0B" w:rsidP="009101E4">
            <w:pPr>
              <w:pStyle w:val="Normalnitabulka"/>
              <w:jc w:val="both"/>
              <w:rPr>
                <w:rFonts w:cstheme="minorHAnsi"/>
                <w:szCs w:val="22"/>
              </w:rPr>
            </w:pPr>
          </w:p>
        </w:tc>
        <w:tc>
          <w:tcPr>
            <w:tcW w:w="2834" w:type="dxa"/>
            <w:vAlign w:val="bottom"/>
          </w:tcPr>
          <w:sdt>
            <w:sdtPr>
              <w:rPr>
                <w:rFonts w:cstheme="minorHAnsi"/>
                <w:b/>
              </w:rPr>
              <w:tag w:val="oznaceniDokumentu"/>
              <w:id w:val="-1578812355"/>
              <w:placeholder>
                <w:docPart w:val="44F2ABAC9A19420CB6DBC2D9CC30124C"/>
              </w:placeholder>
              <w:dropDownList>
                <w:listItem w:displayText=" " w:value=" "/>
                <w:listItem w:displayText="PRO VNITŘNÍ POTŘEBU" w:value="PRO VNITŘNÍ POTŘEBU"/>
                <w:listItem w:displayText="CITLIVÉ" w:value="CITLIVÉ"/>
                <w:listItem w:displayText="VELMI CITLIVÉ" w:value="VELMI CITLIVÉ"/>
              </w:dropDownList>
            </w:sdtPr>
            <w:sdtEndPr/>
            <w:sdtContent>
              <w:p w:rsidR="00667BF8" w:rsidRPr="009101E4" w:rsidRDefault="002D3D6A" w:rsidP="009101E4">
                <w:pPr>
                  <w:pStyle w:val="Bezmezer"/>
                  <w:jc w:val="both"/>
                  <w:rPr>
                    <w:rFonts w:cstheme="minorHAnsi"/>
                    <w:b/>
                  </w:rPr>
                </w:pPr>
                <w:r w:rsidRPr="009101E4">
                  <w:rPr>
                    <w:rFonts w:cstheme="minorHAnsi"/>
                    <w:b/>
                  </w:rPr>
                  <w:t xml:space="preserve"> </w:t>
                </w:r>
              </w:p>
            </w:sdtContent>
          </w:sdt>
          <w:p w:rsidR="00155D0B" w:rsidRPr="009101E4" w:rsidRDefault="00155D0B" w:rsidP="009101E4">
            <w:pPr>
              <w:pStyle w:val="Normalnitabulka"/>
              <w:jc w:val="both"/>
              <w:rPr>
                <w:rFonts w:cstheme="minorHAnsi"/>
                <w:szCs w:val="22"/>
              </w:rPr>
            </w:pPr>
          </w:p>
        </w:tc>
      </w:tr>
      <w:tr w:rsidR="00155D0B" w:rsidRPr="009101E4" w:rsidTr="00C339D1">
        <w:trPr>
          <w:trHeight w:val="454"/>
        </w:trPr>
        <w:tc>
          <w:tcPr>
            <w:tcW w:w="2268" w:type="dxa"/>
            <w:vMerge/>
            <w:tcMar>
              <w:left w:w="0" w:type="dxa"/>
              <w:right w:w="0" w:type="dxa"/>
            </w:tcMar>
          </w:tcPr>
          <w:p w:rsidR="00155D0B" w:rsidRPr="009101E4" w:rsidRDefault="00155D0B" w:rsidP="009101E4">
            <w:pPr>
              <w:spacing w:line="240" w:lineRule="auto"/>
              <w:jc w:val="both"/>
              <w:rPr>
                <w:rFonts w:cstheme="minorHAnsi"/>
                <w:noProof/>
                <w:szCs w:val="22"/>
                <w:lang w:eastAsia="cs-CZ"/>
              </w:rPr>
            </w:pPr>
          </w:p>
        </w:tc>
        <w:tc>
          <w:tcPr>
            <w:tcW w:w="1134" w:type="dxa"/>
            <w:gridSpan w:val="2"/>
            <w:vMerge/>
          </w:tcPr>
          <w:p w:rsidR="00155D0B" w:rsidRPr="009101E4" w:rsidRDefault="00155D0B" w:rsidP="009101E4">
            <w:pPr>
              <w:spacing w:line="240" w:lineRule="auto"/>
              <w:jc w:val="both"/>
              <w:rPr>
                <w:rFonts w:cstheme="minorHAnsi"/>
                <w:szCs w:val="22"/>
              </w:rPr>
            </w:pPr>
          </w:p>
        </w:tc>
        <w:tc>
          <w:tcPr>
            <w:tcW w:w="3402" w:type="dxa"/>
            <w:tcBorders>
              <w:bottom w:val="single" w:sz="18" w:space="0" w:color="auto"/>
            </w:tcBorders>
          </w:tcPr>
          <w:p w:rsidR="00155D0B" w:rsidRPr="009101E4" w:rsidRDefault="00B14085" w:rsidP="009101E4">
            <w:pPr>
              <w:pStyle w:val="Bold12"/>
              <w:jc w:val="both"/>
              <w:rPr>
                <w:rFonts w:cstheme="minorHAnsi"/>
                <w:sz w:val="22"/>
                <w:szCs w:val="22"/>
              </w:rPr>
            </w:pPr>
            <w:r w:rsidRPr="009101E4">
              <w:rPr>
                <w:rFonts w:cstheme="minorHAnsi"/>
                <w:sz w:val="22"/>
                <w:szCs w:val="22"/>
              </w:rPr>
              <w:t>ZÁPIS Z JEDNÁNÍ</w:t>
            </w:r>
          </w:p>
        </w:tc>
        <w:bookmarkStart w:id="0" w:name="ssl_pid1" w:displacedByCustomXml="next"/>
        <w:sdt>
          <w:sdtPr>
            <w:rPr>
              <w:rFonts w:asciiTheme="minorHAnsi" w:hAnsiTheme="minorHAnsi" w:cstheme="minorHAnsi"/>
              <w:sz w:val="22"/>
              <w:szCs w:val="22"/>
            </w:rPr>
            <w:id w:val="537554369"/>
            <w:placeholder>
              <w:docPart w:val="CD6214639E984E18AB8F091B178806E9"/>
            </w:placeholder>
            <w:showingPlcHdr/>
          </w:sdtPr>
          <w:sdtEndPr/>
          <w:sdtContent>
            <w:tc>
              <w:tcPr>
                <w:tcW w:w="2834" w:type="dxa"/>
                <w:tcBorders>
                  <w:bottom w:val="single" w:sz="18" w:space="0" w:color="auto"/>
                </w:tcBorders>
                <w:vAlign w:val="bottom"/>
              </w:tcPr>
              <w:p w:rsidR="00155D0B" w:rsidRPr="009101E4" w:rsidRDefault="00A85B60" w:rsidP="009101E4">
                <w:pPr>
                  <w:pStyle w:val="CARKOD19b"/>
                  <w:jc w:val="both"/>
                  <w:rPr>
                    <w:rFonts w:asciiTheme="minorHAnsi" w:hAnsiTheme="minorHAnsi" w:cstheme="minorHAnsi"/>
                    <w:sz w:val="22"/>
                    <w:szCs w:val="22"/>
                  </w:rPr>
                </w:pPr>
                <w:r w:rsidRPr="009101E4">
                  <w:rPr>
                    <w:rFonts w:asciiTheme="minorHAnsi" w:hAnsiTheme="minorHAnsi" w:cstheme="minorHAnsi"/>
                    <w:sz w:val="22"/>
                    <w:szCs w:val="22"/>
                  </w:rPr>
                  <w:t xml:space="preserve"> </w:t>
                </w:r>
              </w:p>
            </w:tc>
          </w:sdtContent>
        </w:sdt>
        <w:bookmarkEnd w:id="0" w:displacedByCustomXml="prev"/>
      </w:tr>
      <w:tr w:rsidR="00155D0B" w:rsidRPr="009101E4" w:rsidTr="00C339D1">
        <w:trPr>
          <w:trHeight w:hRule="exact" w:val="340"/>
        </w:trPr>
        <w:tc>
          <w:tcPr>
            <w:tcW w:w="2268" w:type="dxa"/>
            <w:vMerge/>
            <w:tcMar>
              <w:left w:w="0" w:type="dxa"/>
              <w:right w:w="0" w:type="dxa"/>
            </w:tcMar>
          </w:tcPr>
          <w:p w:rsidR="00155D0B" w:rsidRPr="009101E4" w:rsidRDefault="00155D0B" w:rsidP="009101E4">
            <w:pPr>
              <w:spacing w:line="240" w:lineRule="auto"/>
              <w:jc w:val="both"/>
              <w:rPr>
                <w:rFonts w:cstheme="minorHAnsi"/>
                <w:noProof/>
                <w:szCs w:val="22"/>
                <w:lang w:eastAsia="cs-CZ"/>
              </w:rPr>
            </w:pPr>
          </w:p>
        </w:tc>
        <w:tc>
          <w:tcPr>
            <w:tcW w:w="1134" w:type="dxa"/>
            <w:gridSpan w:val="2"/>
            <w:vMerge/>
          </w:tcPr>
          <w:p w:rsidR="00155D0B" w:rsidRPr="009101E4" w:rsidRDefault="00155D0B" w:rsidP="009101E4">
            <w:pPr>
              <w:spacing w:line="240" w:lineRule="auto"/>
              <w:jc w:val="both"/>
              <w:rPr>
                <w:rFonts w:cstheme="minorHAnsi"/>
                <w:szCs w:val="22"/>
              </w:rPr>
            </w:pPr>
          </w:p>
        </w:tc>
        <w:tc>
          <w:tcPr>
            <w:tcW w:w="3402" w:type="dxa"/>
            <w:tcBorders>
              <w:top w:val="single" w:sz="18" w:space="0" w:color="auto"/>
              <w:bottom w:val="single" w:sz="4" w:space="0" w:color="auto"/>
            </w:tcBorders>
            <w:vAlign w:val="center"/>
          </w:tcPr>
          <w:p w:rsidR="00155D0B" w:rsidRPr="009101E4" w:rsidRDefault="00155D0B" w:rsidP="009101E4">
            <w:pPr>
              <w:pStyle w:val="Normalnitabulka"/>
              <w:jc w:val="both"/>
              <w:rPr>
                <w:rFonts w:cstheme="minorHAnsi"/>
                <w:szCs w:val="22"/>
              </w:rPr>
            </w:pPr>
            <w:r w:rsidRPr="009101E4">
              <w:rPr>
                <w:rFonts w:cstheme="minorHAnsi"/>
                <w:szCs w:val="22"/>
              </w:rPr>
              <w:t>Číslo jednací</w:t>
            </w:r>
          </w:p>
        </w:tc>
        <w:bookmarkStart w:id="1" w:name="ssl_akt_znacka" w:displacedByCustomXml="next"/>
        <w:sdt>
          <w:sdtPr>
            <w:rPr>
              <w:rFonts w:cstheme="minorHAnsi"/>
              <w:szCs w:val="22"/>
            </w:rPr>
            <w:id w:val="914353097"/>
            <w:placeholder>
              <w:docPart w:val="C18DDC9CF9034DCA87B1D6A50C89155A"/>
            </w:placeholder>
          </w:sdtPr>
          <w:sdtEndPr/>
          <w:sdtContent>
            <w:tc>
              <w:tcPr>
                <w:tcW w:w="2834" w:type="dxa"/>
                <w:tcBorders>
                  <w:top w:val="single" w:sz="18" w:space="0" w:color="auto"/>
                  <w:bottom w:val="single" w:sz="4" w:space="0" w:color="auto"/>
                </w:tcBorders>
                <w:vAlign w:val="center"/>
              </w:tcPr>
              <w:p w:rsidR="00155D0B" w:rsidRPr="009101E4" w:rsidRDefault="009054F2" w:rsidP="009101E4">
                <w:pPr>
                  <w:pStyle w:val="Normalnitabulka"/>
                  <w:jc w:val="both"/>
                  <w:rPr>
                    <w:rFonts w:cstheme="minorHAnsi"/>
                    <w:szCs w:val="22"/>
                  </w:rPr>
                </w:pPr>
                <w:r w:rsidRPr="009101E4">
                  <w:rPr>
                    <w:rFonts w:cstheme="minorHAnsi"/>
                    <w:szCs w:val="22"/>
                  </w:rPr>
                  <w:t>-</w:t>
                </w:r>
              </w:p>
            </w:tc>
          </w:sdtContent>
        </w:sdt>
        <w:bookmarkEnd w:id="1" w:displacedByCustomXml="prev"/>
      </w:tr>
      <w:tr w:rsidR="00155D0B" w:rsidRPr="009101E4" w:rsidTr="00C339D1">
        <w:trPr>
          <w:trHeight w:hRule="exact" w:val="312"/>
        </w:trPr>
        <w:tc>
          <w:tcPr>
            <w:tcW w:w="2268" w:type="dxa"/>
            <w:vMerge/>
            <w:tcMar>
              <w:left w:w="0" w:type="dxa"/>
              <w:right w:w="0" w:type="dxa"/>
            </w:tcMar>
          </w:tcPr>
          <w:p w:rsidR="00155D0B" w:rsidRPr="009101E4" w:rsidRDefault="00155D0B" w:rsidP="009101E4">
            <w:pPr>
              <w:spacing w:line="240" w:lineRule="auto"/>
              <w:jc w:val="both"/>
              <w:rPr>
                <w:rFonts w:cstheme="minorHAnsi"/>
                <w:noProof/>
                <w:szCs w:val="22"/>
                <w:lang w:eastAsia="cs-CZ"/>
              </w:rPr>
            </w:pPr>
          </w:p>
        </w:tc>
        <w:tc>
          <w:tcPr>
            <w:tcW w:w="1134" w:type="dxa"/>
            <w:gridSpan w:val="2"/>
            <w:vMerge/>
          </w:tcPr>
          <w:p w:rsidR="00155D0B" w:rsidRPr="009101E4" w:rsidRDefault="00155D0B" w:rsidP="009101E4">
            <w:pPr>
              <w:spacing w:line="240" w:lineRule="auto"/>
              <w:jc w:val="both"/>
              <w:rPr>
                <w:rFonts w:cstheme="minorHAnsi"/>
                <w:szCs w:val="22"/>
              </w:rPr>
            </w:pPr>
          </w:p>
        </w:tc>
        <w:tc>
          <w:tcPr>
            <w:tcW w:w="3402" w:type="dxa"/>
            <w:tcBorders>
              <w:top w:val="single" w:sz="4" w:space="0" w:color="auto"/>
              <w:bottom w:val="single" w:sz="4" w:space="0" w:color="auto"/>
            </w:tcBorders>
            <w:vAlign w:val="center"/>
          </w:tcPr>
          <w:p w:rsidR="00155D0B" w:rsidRPr="009101E4" w:rsidRDefault="00155D0B" w:rsidP="009101E4">
            <w:pPr>
              <w:pStyle w:val="Normalnitabulka"/>
              <w:jc w:val="both"/>
              <w:rPr>
                <w:rFonts w:cstheme="minorHAnsi"/>
                <w:szCs w:val="22"/>
              </w:rPr>
            </w:pPr>
            <w:r w:rsidRPr="009101E4">
              <w:rPr>
                <w:rFonts w:cstheme="minorHAnsi"/>
                <w:szCs w:val="22"/>
              </w:rPr>
              <w:t>Datum</w:t>
            </w:r>
          </w:p>
        </w:tc>
        <w:sdt>
          <w:sdtPr>
            <w:rPr>
              <w:rFonts w:cstheme="minorHAnsi"/>
              <w:szCs w:val="22"/>
            </w:rPr>
            <w:id w:val="-874853394"/>
            <w:placeholder>
              <w:docPart w:val="19E5AC2A572640CF8DE17B3250A0D866"/>
            </w:placeholder>
            <w:date w:fullDate="2021-07-08T00:00:00Z">
              <w:dateFormat w:val="d. M. yyyy"/>
              <w:lid w:val="cs-CZ"/>
              <w:storeMappedDataAs w:val="dateTime"/>
              <w:calendar w:val="gregorian"/>
            </w:date>
          </w:sdtPr>
          <w:sdtEndPr/>
          <w:sdtContent>
            <w:tc>
              <w:tcPr>
                <w:tcW w:w="2834" w:type="dxa"/>
                <w:tcBorders>
                  <w:top w:val="single" w:sz="4" w:space="0" w:color="auto"/>
                  <w:bottom w:val="single" w:sz="4" w:space="0" w:color="auto"/>
                </w:tcBorders>
                <w:vAlign w:val="center"/>
              </w:tcPr>
              <w:p w:rsidR="00155D0B" w:rsidRPr="009101E4" w:rsidRDefault="005733E8" w:rsidP="009101E4">
                <w:pPr>
                  <w:pStyle w:val="Normalnitabulka"/>
                  <w:jc w:val="both"/>
                  <w:rPr>
                    <w:rFonts w:cstheme="minorHAnsi"/>
                    <w:szCs w:val="22"/>
                  </w:rPr>
                </w:pPr>
                <w:r w:rsidRPr="009101E4">
                  <w:rPr>
                    <w:rFonts w:cstheme="minorHAnsi"/>
                    <w:szCs w:val="22"/>
                  </w:rPr>
                  <w:t>8. 7. 2021</w:t>
                </w:r>
              </w:p>
            </w:tc>
          </w:sdtContent>
        </w:sdt>
      </w:tr>
      <w:tr w:rsidR="00155D0B" w:rsidRPr="009101E4" w:rsidTr="00C339D1">
        <w:trPr>
          <w:trHeight w:hRule="exact" w:val="312"/>
        </w:trPr>
        <w:tc>
          <w:tcPr>
            <w:tcW w:w="2268" w:type="dxa"/>
            <w:vMerge/>
            <w:tcMar>
              <w:left w:w="0" w:type="dxa"/>
              <w:right w:w="0" w:type="dxa"/>
            </w:tcMar>
          </w:tcPr>
          <w:p w:rsidR="00155D0B" w:rsidRPr="009101E4" w:rsidRDefault="00155D0B" w:rsidP="009101E4">
            <w:pPr>
              <w:spacing w:line="240" w:lineRule="auto"/>
              <w:jc w:val="both"/>
              <w:rPr>
                <w:rFonts w:cstheme="minorHAnsi"/>
                <w:noProof/>
                <w:szCs w:val="22"/>
                <w:lang w:eastAsia="cs-CZ"/>
              </w:rPr>
            </w:pPr>
          </w:p>
        </w:tc>
        <w:tc>
          <w:tcPr>
            <w:tcW w:w="1134" w:type="dxa"/>
            <w:gridSpan w:val="2"/>
            <w:vMerge/>
          </w:tcPr>
          <w:p w:rsidR="00155D0B" w:rsidRPr="009101E4" w:rsidRDefault="00155D0B" w:rsidP="009101E4">
            <w:pPr>
              <w:spacing w:line="240" w:lineRule="auto"/>
              <w:jc w:val="both"/>
              <w:rPr>
                <w:rFonts w:cstheme="minorHAnsi"/>
                <w:szCs w:val="22"/>
              </w:rPr>
            </w:pPr>
          </w:p>
        </w:tc>
        <w:tc>
          <w:tcPr>
            <w:tcW w:w="3402" w:type="dxa"/>
            <w:tcBorders>
              <w:top w:val="single" w:sz="4" w:space="0" w:color="auto"/>
              <w:bottom w:val="single" w:sz="4" w:space="0" w:color="auto"/>
            </w:tcBorders>
            <w:vAlign w:val="center"/>
          </w:tcPr>
          <w:p w:rsidR="00155D0B" w:rsidRPr="009101E4" w:rsidRDefault="00155D0B" w:rsidP="009101E4">
            <w:pPr>
              <w:pStyle w:val="Normalnitabulka"/>
              <w:jc w:val="both"/>
              <w:rPr>
                <w:rFonts w:cstheme="minorHAnsi"/>
                <w:szCs w:val="22"/>
              </w:rPr>
            </w:pPr>
            <w:r w:rsidRPr="009101E4">
              <w:rPr>
                <w:rFonts w:cstheme="minorHAnsi"/>
                <w:szCs w:val="22"/>
              </w:rPr>
              <w:t>Zpracoval</w:t>
            </w:r>
          </w:p>
        </w:tc>
        <w:sdt>
          <w:sdtPr>
            <w:rPr>
              <w:rFonts w:cstheme="minorHAnsi"/>
              <w:szCs w:val="22"/>
            </w:rPr>
            <w:id w:val="1285074031"/>
            <w:placeholder>
              <w:docPart w:val="6E4B23FCA1074BDC92AB61F3A67AD1BA"/>
            </w:placeholder>
          </w:sdtPr>
          <w:sdtEndPr/>
          <w:sdtContent>
            <w:tc>
              <w:tcPr>
                <w:tcW w:w="2834" w:type="dxa"/>
                <w:tcBorders>
                  <w:top w:val="single" w:sz="4" w:space="0" w:color="auto"/>
                  <w:bottom w:val="single" w:sz="4" w:space="0" w:color="auto"/>
                </w:tcBorders>
                <w:vAlign w:val="center"/>
              </w:tcPr>
              <w:p w:rsidR="00155D0B" w:rsidRPr="009101E4" w:rsidRDefault="005733E8" w:rsidP="009101E4">
                <w:pPr>
                  <w:pStyle w:val="Normalnitabulka"/>
                  <w:jc w:val="both"/>
                  <w:rPr>
                    <w:rFonts w:cstheme="minorHAnsi"/>
                    <w:szCs w:val="22"/>
                  </w:rPr>
                </w:pPr>
                <w:r w:rsidRPr="009101E4">
                  <w:rPr>
                    <w:rFonts w:cstheme="minorHAnsi"/>
                    <w:szCs w:val="22"/>
                  </w:rPr>
                  <w:t>Vítězslav Dvořák</w:t>
                </w:r>
              </w:p>
            </w:tc>
          </w:sdtContent>
        </w:sdt>
      </w:tr>
      <w:tr w:rsidR="00155D0B" w:rsidRPr="009101E4" w:rsidTr="00C339D1">
        <w:trPr>
          <w:trHeight w:hRule="exact" w:val="312"/>
        </w:trPr>
        <w:tc>
          <w:tcPr>
            <w:tcW w:w="2268" w:type="dxa"/>
            <w:vMerge/>
            <w:tcMar>
              <w:left w:w="0" w:type="dxa"/>
              <w:right w:w="0" w:type="dxa"/>
            </w:tcMar>
          </w:tcPr>
          <w:p w:rsidR="00155D0B" w:rsidRPr="009101E4" w:rsidRDefault="00155D0B" w:rsidP="009101E4">
            <w:pPr>
              <w:spacing w:line="240" w:lineRule="auto"/>
              <w:jc w:val="both"/>
              <w:rPr>
                <w:rFonts w:cstheme="minorHAnsi"/>
                <w:noProof/>
                <w:szCs w:val="22"/>
                <w:lang w:eastAsia="cs-CZ"/>
              </w:rPr>
            </w:pPr>
          </w:p>
        </w:tc>
        <w:tc>
          <w:tcPr>
            <w:tcW w:w="1134" w:type="dxa"/>
            <w:gridSpan w:val="2"/>
            <w:vMerge/>
          </w:tcPr>
          <w:p w:rsidR="00155D0B" w:rsidRPr="009101E4" w:rsidRDefault="00155D0B" w:rsidP="009101E4">
            <w:pPr>
              <w:spacing w:line="240" w:lineRule="auto"/>
              <w:jc w:val="both"/>
              <w:rPr>
                <w:rFonts w:cstheme="minorHAnsi"/>
                <w:szCs w:val="22"/>
              </w:rPr>
            </w:pPr>
          </w:p>
        </w:tc>
        <w:tc>
          <w:tcPr>
            <w:tcW w:w="3402" w:type="dxa"/>
            <w:tcBorders>
              <w:top w:val="single" w:sz="4" w:space="0" w:color="auto"/>
              <w:bottom w:val="single" w:sz="4" w:space="0" w:color="auto"/>
            </w:tcBorders>
            <w:vAlign w:val="center"/>
          </w:tcPr>
          <w:p w:rsidR="00155D0B" w:rsidRPr="009101E4" w:rsidRDefault="00155D0B" w:rsidP="009101E4">
            <w:pPr>
              <w:pStyle w:val="Normalnitabulka"/>
              <w:jc w:val="both"/>
              <w:rPr>
                <w:rFonts w:cstheme="minorHAnsi"/>
                <w:szCs w:val="22"/>
              </w:rPr>
            </w:pPr>
            <w:r w:rsidRPr="009101E4">
              <w:rPr>
                <w:rFonts w:cstheme="minorHAnsi"/>
                <w:szCs w:val="22"/>
              </w:rPr>
              <w:t>Linka</w:t>
            </w:r>
          </w:p>
        </w:tc>
        <w:sdt>
          <w:sdtPr>
            <w:rPr>
              <w:rFonts w:cstheme="minorHAnsi"/>
              <w:szCs w:val="22"/>
            </w:rPr>
            <w:id w:val="-1566948058"/>
            <w:placeholder>
              <w:docPart w:val="9D3651825C4B4B4796901BCAD7C4831C"/>
            </w:placeholder>
          </w:sdtPr>
          <w:sdtEndPr/>
          <w:sdtContent>
            <w:tc>
              <w:tcPr>
                <w:tcW w:w="2834" w:type="dxa"/>
                <w:tcBorders>
                  <w:top w:val="single" w:sz="4" w:space="0" w:color="auto"/>
                  <w:bottom w:val="single" w:sz="4" w:space="0" w:color="auto"/>
                </w:tcBorders>
                <w:vAlign w:val="center"/>
              </w:tcPr>
              <w:p w:rsidR="00155D0B" w:rsidRPr="009101E4" w:rsidRDefault="00FB7916" w:rsidP="009101E4">
                <w:pPr>
                  <w:pStyle w:val="Normalnitabulka"/>
                  <w:jc w:val="both"/>
                  <w:rPr>
                    <w:rFonts w:cstheme="minorHAnsi"/>
                    <w:szCs w:val="22"/>
                  </w:rPr>
                </w:pPr>
                <w:r w:rsidRPr="009101E4">
                  <w:rPr>
                    <w:rFonts w:cstheme="minorHAnsi"/>
                    <w:szCs w:val="22"/>
                  </w:rPr>
                  <w:t>257 043 064</w:t>
                </w:r>
              </w:p>
            </w:tc>
          </w:sdtContent>
        </w:sdt>
      </w:tr>
      <w:tr w:rsidR="00155D0B" w:rsidRPr="009101E4" w:rsidTr="00C339D1">
        <w:trPr>
          <w:trHeight w:hRule="exact" w:val="312"/>
        </w:trPr>
        <w:tc>
          <w:tcPr>
            <w:tcW w:w="2268" w:type="dxa"/>
            <w:vMerge/>
            <w:tcMar>
              <w:left w:w="0" w:type="dxa"/>
              <w:right w:w="0" w:type="dxa"/>
            </w:tcMar>
          </w:tcPr>
          <w:p w:rsidR="00155D0B" w:rsidRPr="009101E4" w:rsidRDefault="00155D0B" w:rsidP="009101E4">
            <w:pPr>
              <w:spacing w:line="240" w:lineRule="auto"/>
              <w:jc w:val="both"/>
              <w:rPr>
                <w:rFonts w:cstheme="minorHAnsi"/>
                <w:noProof/>
                <w:szCs w:val="22"/>
                <w:lang w:eastAsia="cs-CZ"/>
              </w:rPr>
            </w:pPr>
          </w:p>
        </w:tc>
        <w:tc>
          <w:tcPr>
            <w:tcW w:w="1134" w:type="dxa"/>
            <w:gridSpan w:val="2"/>
            <w:vMerge/>
          </w:tcPr>
          <w:p w:rsidR="00155D0B" w:rsidRPr="009101E4" w:rsidRDefault="00155D0B" w:rsidP="009101E4">
            <w:pPr>
              <w:spacing w:line="240" w:lineRule="auto"/>
              <w:jc w:val="both"/>
              <w:rPr>
                <w:rFonts w:cstheme="minorHAnsi"/>
                <w:szCs w:val="22"/>
              </w:rPr>
            </w:pPr>
          </w:p>
        </w:tc>
        <w:tc>
          <w:tcPr>
            <w:tcW w:w="3402" w:type="dxa"/>
            <w:tcBorders>
              <w:top w:val="single" w:sz="4" w:space="0" w:color="auto"/>
              <w:bottom w:val="single" w:sz="4" w:space="0" w:color="auto"/>
            </w:tcBorders>
            <w:vAlign w:val="center"/>
          </w:tcPr>
          <w:p w:rsidR="00155D0B" w:rsidRPr="009101E4" w:rsidRDefault="00155D0B" w:rsidP="009101E4">
            <w:pPr>
              <w:pStyle w:val="Normalnitabulka"/>
              <w:jc w:val="both"/>
              <w:rPr>
                <w:rFonts w:cstheme="minorHAnsi"/>
                <w:szCs w:val="22"/>
              </w:rPr>
            </w:pPr>
            <w:r w:rsidRPr="009101E4">
              <w:rPr>
                <w:rFonts w:cstheme="minorHAnsi"/>
                <w:szCs w:val="22"/>
              </w:rPr>
              <w:t>Útvar</w:t>
            </w:r>
          </w:p>
        </w:tc>
        <w:sdt>
          <w:sdtPr>
            <w:rPr>
              <w:rFonts w:cstheme="minorHAnsi"/>
              <w:szCs w:val="22"/>
            </w:rPr>
            <w:id w:val="-2110658646"/>
            <w:placeholder>
              <w:docPart w:val="B898C7F26F6645CF90E1ECE40D0300CC"/>
            </w:placeholder>
          </w:sdtPr>
          <w:sdtEndPr/>
          <w:sdtContent>
            <w:tc>
              <w:tcPr>
                <w:tcW w:w="2834" w:type="dxa"/>
                <w:tcBorders>
                  <w:top w:val="single" w:sz="4" w:space="0" w:color="auto"/>
                  <w:bottom w:val="single" w:sz="4" w:space="0" w:color="auto"/>
                </w:tcBorders>
                <w:vAlign w:val="center"/>
              </w:tcPr>
              <w:p w:rsidR="00155D0B" w:rsidRPr="009101E4" w:rsidRDefault="00FB7916" w:rsidP="009101E4">
                <w:pPr>
                  <w:pStyle w:val="Normalnitabulka"/>
                  <w:jc w:val="both"/>
                  <w:rPr>
                    <w:rFonts w:cstheme="minorHAnsi"/>
                    <w:szCs w:val="22"/>
                  </w:rPr>
                </w:pPr>
                <w:r w:rsidRPr="009101E4">
                  <w:rPr>
                    <w:rFonts w:cstheme="minorHAnsi"/>
                    <w:szCs w:val="22"/>
                  </w:rPr>
                  <w:t xml:space="preserve">1106 – Prog. financování </w:t>
                </w:r>
              </w:p>
            </w:tc>
          </w:sdtContent>
        </w:sdt>
      </w:tr>
      <w:tr w:rsidR="00155D0B" w:rsidRPr="009101E4" w:rsidTr="00755EE1">
        <w:trPr>
          <w:trHeight w:hRule="exact" w:val="312"/>
        </w:trPr>
        <w:tc>
          <w:tcPr>
            <w:tcW w:w="2268" w:type="dxa"/>
            <w:vMerge/>
            <w:tcMar>
              <w:left w:w="0" w:type="dxa"/>
              <w:right w:w="0" w:type="dxa"/>
            </w:tcMar>
          </w:tcPr>
          <w:p w:rsidR="00155D0B" w:rsidRPr="009101E4" w:rsidRDefault="00155D0B" w:rsidP="009101E4">
            <w:pPr>
              <w:spacing w:line="240" w:lineRule="auto"/>
              <w:jc w:val="both"/>
              <w:rPr>
                <w:rFonts w:cstheme="minorHAnsi"/>
                <w:noProof/>
                <w:szCs w:val="22"/>
                <w:lang w:eastAsia="cs-CZ"/>
              </w:rPr>
            </w:pPr>
          </w:p>
        </w:tc>
        <w:tc>
          <w:tcPr>
            <w:tcW w:w="1134" w:type="dxa"/>
            <w:gridSpan w:val="2"/>
            <w:vMerge/>
          </w:tcPr>
          <w:p w:rsidR="00155D0B" w:rsidRPr="009101E4" w:rsidRDefault="00155D0B" w:rsidP="009101E4">
            <w:pPr>
              <w:spacing w:line="240" w:lineRule="auto"/>
              <w:jc w:val="both"/>
              <w:rPr>
                <w:rFonts w:cstheme="minorHAnsi"/>
                <w:szCs w:val="22"/>
              </w:rPr>
            </w:pPr>
          </w:p>
        </w:tc>
        <w:tc>
          <w:tcPr>
            <w:tcW w:w="3402" w:type="dxa"/>
            <w:tcBorders>
              <w:top w:val="single" w:sz="4" w:space="0" w:color="auto"/>
            </w:tcBorders>
            <w:vAlign w:val="center"/>
          </w:tcPr>
          <w:p w:rsidR="00155D0B" w:rsidRPr="009101E4" w:rsidRDefault="00155D0B" w:rsidP="009101E4">
            <w:pPr>
              <w:pStyle w:val="Normalnitabulka"/>
              <w:jc w:val="both"/>
              <w:rPr>
                <w:rFonts w:cstheme="minorHAnsi"/>
                <w:szCs w:val="22"/>
              </w:rPr>
            </w:pPr>
          </w:p>
        </w:tc>
        <w:bookmarkStart w:id="2" w:name="ssl_pid" w:displacedByCustomXml="next"/>
        <w:sdt>
          <w:sdtPr>
            <w:rPr>
              <w:rFonts w:cstheme="minorHAnsi"/>
              <w:szCs w:val="22"/>
            </w:rPr>
            <w:id w:val="2024283333"/>
            <w:placeholder>
              <w:docPart w:val="CF12828E04D742FC83E788232D917806"/>
            </w:placeholder>
            <w:showingPlcHdr/>
          </w:sdtPr>
          <w:sdtEndPr/>
          <w:sdtContent>
            <w:tc>
              <w:tcPr>
                <w:tcW w:w="2834" w:type="dxa"/>
                <w:tcBorders>
                  <w:top w:val="single" w:sz="4" w:space="0" w:color="auto"/>
                </w:tcBorders>
                <w:vAlign w:val="center"/>
              </w:tcPr>
              <w:p w:rsidR="00155D0B" w:rsidRPr="009101E4" w:rsidRDefault="009C5EB7" w:rsidP="009101E4">
                <w:pPr>
                  <w:pStyle w:val="Normalnitabulka"/>
                  <w:jc w:val="both"/>
                  <w:rPr>
                    <w:rFonts w:cstheme="minorHAnsi"/>
                    <w:szCs w:val="22"/>
                  </w:rPr>
                </w:pPr>
                <w:r w:rsidRPr="009101E4">
                  <w:rPr>
                    <w:rFonts w:cstheme="minorHAnsi"/>
                    <w:szCs w:val="22"/>
                  </w:rPr>
                  <w:t xml:space="preserve"> </w:t>
                </w:r>
              </w:p>
            </w:tc>
          </w:sdtContent>
        </w:sdt>
        <w:bookmarkEnd w:id="2" w:displacedByCustomXml="prev"/>
      </w:tr>
      <w:tr w:rsidR="003C770F" w:rsidRPr="009101E4" w:rsidTr="0096061A">
        <w:trPr>
          <w:trHeight w:val="340"/>
        </w:trPr>
        <w:tc>
          <w:tcPr>
            <w:tcW w:w="3382" w:type="dxa"/>
            <w:gridSpan w:val="2"/>
            <w:tcMar>
              <w:left w:w="0" w:type="dxa"/>
              <w:right w:w="0" w:type="dxa"/>
            </w:tcMar>
          </w:tcPr>
          <w:p w:rsidR="0096061A" w:rsidRPr="009101E4" w:rsidRDefault="0096061A" w:rsidP="009101E4">
            <w:pPr>
              <w:pStyle w:val="Nadpis1"/>
              <w:numPr>
                <w:ilvl w:val="0"/>
                <w:numId w:val="0"/>
              </w:numPr>
              <w:spacing w:after="0" w:line="240" w:lineRule="auto"/>
              <w:ind w:left="432" w:hanging="432"/>
              <w:jc w:val="both"/>
              <w:rPr>
                <w:rFonts w:asciiTheme="minorHAnsi" w:hAnsiTheme="minorHAnsi" w:cstheme="minorHAnsi"/>
                <w:sz w:val="22"/>
                <w:szCs w:val="22"/>
              </w:rPr>
            </w:pPr>
            <w:r w:rsidRPr="009101E4">
              <w:rPr>
                <w:rFonts w:asciiTheme="minorHAnsi" w:hAnsiTheme="minorHAnsi" w:cstheme="minorHAnsi"/>
                <w:bCs w:val="0"/>
                <w:sz w:val="22"/>
                <w:szCs w:val="22"/>
              </w:rPr>
              <w:t>Předmět /program</w:t>
            </w:r>
            <w:r w:rsidRPr="009101E4">
              <w:rPr>
                <w:rFonts w:asciiTheme="minorHAnsi" w:hAnsiTheme="minorHAnsi" w:cstheme="minorHAnsi"/>
                <w:sz w:val="22"/>
                <w:szCs w:val="22"/>
              </w:rPr>
              <w:t xml:space="preserve"> jednání</w:t>
            </w:r>
          </w:p>
          <w:p w:rsidR="003C770F" w:rsidRPr="009101E4" w:rsidRDefault="003C770F" w:rsidP="009101E4">
            <w:pPr>
              <w:pStyle w:val="Bold12"/>
              <w:jc w:val="both"/>
              <w:rPr>
                <w:rFonts w:cstheme="minorHAnsi"/>
                <w:sz w:val="22"/>
                <w:szCs w:val="22"/>
              </w:rPr>
            </w:pPr>
          </w:p>
        </w:tc>
        <w:tc>
          <w:tcPr>
            <w:tcW w:w="20" w:type="dxa"/>
          </w:tcPr>
          <w:p w:rsidR="003C770F" w:rsidRPr="009101E4" w:rsidRDefault="003C770F" w:rsidP="009101E4">
            <w:pPr>
              <w:pStyle w:val="Normalnitabulka"/>
              <w:jc w:val="both"/>
              <w:rPr>
                <w:rFonts w:cstheme="minorHAnsi"/>
                <w:szCs w:val="22"/>
              </w:rPr>
            </w:pPr>
          </w:p>
        </w:tc>
        <w:sdt>
          <w:sdtPr>
            <w:rPr>
              <w:rFonts w:cstheme="minorHAnsi"/>
              <w:sz w:val="22"/>
              <w:szCs w:val="22"/>
            </w:rPr>
            <w:id w:val="1587809905"/>
            <w:placeholder>
              <w:docPart w:val="2EAB4759EF6943F891770010030C8D05"/>
            </w:placeholder>
          </w:sdtPr>
          <w:sdtEndPr/>
          <w:sdtContent>
            <w:tc>
              <w:tcPr>
                <w:tcW w:w="6236" w:type="dxa"/>
                <w:gridSpan w:val="2"/>
              </w:tcPr>
              <w:p w:rsidR="003C770F" w:rsidRPr="009101E4" w:rsidRDefault="00285D63" w:rsidP="00D804C9">
                <w:pPr>
                  <w:pStyle w:val="Bold12"/>
                  <w:jc w:val="both"/>
                  <w:rPr>
                    <w:rFonts w:cstheme="minorHAnsi"/>
                    <w:sz w:val="22"/>
                    <w:szCs w:val="22"/>
                  </w:rPr>
                </w:pPr>
                <w:r w:rsidRPr="009101E4">
                  <w:rPr>
                    <w:rFonts w:cstheme="minorHAnsi"/>
                    <w:sz w:val="22"/>
                    <w:szCs w:val="22"/>
                  </w:rPr>
                  <w:t>Z</w:t>
                </w:r>
                <w:r w:rsidR="00D804C9">
                  <w:rPr>
                    <w:rFonts w:cstheme="minorHAnsi"/>
                    <w:sz w:val="22"/>
                    <w:szCs w:val="22"/>
                  </w:rPr>
                  <w:t>ED</w:t>
                </w:r>
                <w:r w:rsidRPr="009101E4">
                  <w:rPr>
                    <w:rFonts w:cstheme="minorHAnsi"/>
                    <w:sz w:val="22"/>
                    <w:szCs w:val="22"/>
                  </w:rPr>
                  <w:t xml:space="preserve"> – VaVaI</w:t>
                </w:r>
              </w:p>
            </w:tc>
          </w:sdtContent>
        </w:sdt>
      </w:tr>
      <w:tr w:rsidR="00A62A1D" w:rsidRPr="009101E4" w:rsidTr="0096061A">
        <w:trPr>
          <w:trHeight w:val="397"/>
        </w:trPr>
        <w:tc>
          <w:tcPr>
            <w:tcW w:w="3382" w:type="dxa"/>
            <w:gridSpan w:val="2"/>
            <w:tcBorders>
              <w:top w:val="single" w:sz="4" w:space="0" w:color="auto"/>
            </w:tcBorders>
            <w:tcMar>
              <w:left w:w="0" w:type="dxa"/>
              <w:right w:w="0" w:type="dxa"/>
            </w:tcMar>
          </w:tcPr>
          <w:p w:rsidR="00A62A1D" w:rsidRPr="009101E4" w:rsidRDefault="00A62A1D" w:rsidP="009101E4">
            <w:pPr>
              <w:spacing w:line="240" w:lineRule="auto"/>
              <w:jc w:val="both"/>
              <w:rPr>
                <w:rFonts w:cstheme="minorHAnsi"/>
                <w:szCs w:val="22"/>
              </w:rPr>
            </w:pPr>
          </w:p>
        </w:tc>
        <w:tc>
          <w:tcPr>
            <w:tcW w:w="20" w:type="dxa"/>
          </w:tcPr>
          <w:p w:rsidR="00A62A1D" w:rsidRPr="009101E4" w:rsidRDefault="00A62A1D" w:rsidP="009101E4">
            <w:pPr>
              <w:spacing w:line="240" w:lineRule="auto"/>
              <w:jc w:val="both"/>
              <w:rPr>
                <w:rFonts w:cstheme="minorHAnsi"/>
                <w:szCs w:val="22"/>
              </w:rPr>
            </w:pPr>
          </w:p>
        </w:tc>
        <w:tc>
          <w:tcPr>
            <w:tcW w:w="6236" w:type="dxa"/>
            <w:gridSpan w:val="2"/>
            <w:tcBorders>
              <w:top w:val="single" w:sz="4" w:space="0" w:color="auto"/>
            </w:tcBorders>
          </w:tcPr>
          <w:p w:rsidR="00A62A1D" w:rsidRPr="009101E4" w:rsidRDefault="00A62A1D" w:rsidP="009101E4">
            <w:pPr>
              <w:spacing w:line="240" w:lineRule="auto"/>
              <w:jc w:val="both"/>
              <w:rPr>
                <w:rFonts w:cstheme="minorHAnsi"/>
                <w:szCs w:val="22"/>
              </w:rPr>
            </w:pPr>
          </w:p>
        </w:tc>
      </w:tr>
    </w:tbl>
    <w:p w:rsidR="009E343A" w:rsidRPr="009101E4" w:rsidRDefault="009E343A" w:rsidP="009101E4">
      <w:pPr>
        <w:spacing w:line="240" w:lineRule="auto"/>
        <w:jc w:val="both"/>
        <w:rPr>
          <w:rFonts w:cstheme="minorHAnsi"/>
          <w:szCs w:val="22"/>
        </w:rPr>
        <w:sectPr w:rsidR="009E343A" w:rsidRPr="009101E4" w:rsidSect="00B14085">
          <w:headerReference w:type="default" r:id="rId9"/>
          <w:footerReference w:type="first" r:id="rId10"/>
          <w:pgSz w:w="11906" w:h="16838"/>
          <w:pgMar w:top="567" w:right="1134" w:bottom="1134" w:left="1134" w:header="0" w:footer="567" w:gutter="0"/>
          <w:cols w:space="708"/>
          <w:titlePg/>
          <w:docGrid w:linePitch="360"/>
        </w:sectPr>
      </w:pPr>
    </w:p>
    <w:p w:rsidR="00561301" w:rsidRPr="009101E4" w:rsidRDefault="009D0F7E" w:rsidP="0018688C">
      <w:pPr>
        <w:pStyle w:val="Nadpis1"/>
        <w:spacing w:after="0" w:line="240" w:lineRule="auto"/>
        <w:jc w:val="both"/>
        <w:rPr>
          <w:rFonts w:asciiTheme="minorHAnsi" w:hAnsiTheme="minorHAnsi" w:cstheme="minorHAnsi"/>
          <w:sz w:val="22"/>
          <w:szCs w:val="22"/>
        </w:rPr>
      </w:pPr>
      <w:r w:rsidRPr="009101E4">
        <w:rPr>
          <w:rFonts w:asciiTheme="minorHAnsi" w:hAnsiTheme="minorHAnsi" w:cstheme="minorHAnsi"/>
          <w:sz w:val="22"/>
          <w:szCs w:val="22"/>
        </w:rPr>
        <w:t>Úvodem</w:t>
      </w:r>
    </w:p>
    <w:p w:rsidR="00561301" w:rsidRPr="009101E4" w:rsidRDefault="00561301" w:rsidP="009101E4">
      <w:pPr>
        <w:pStyle w:val="Nadpis1"/>
        <w:spacing w:after="0" w:line="240" w:lineRule="auto"/>
        <w:jc w:val="both"/>
        <w:rPr>
          <w:rFonts w:asciiTheme="minorHAnsi" w:hAnsiTheme="minorHAnsi" w:cstheme="minorHAnsi"/>
          <w:sz w:val="22"/>
          <w:szCs w:val="22"/>
        </w:rPr>
        <w:sectPr w:rsidR="00561301" w:rsidRPr="009101E4" w:rsidSect="009D0BF7">
          <w:footerReference w:type="default" r:id="rId11"/>
          <w:type w:val="continuous"/>
          <w:pgSz w:w="11906" w:h="16838"/>
          <w:pgMar w:top="567" w:right="1134" w:bottom="1134" w:left="1134" w:header="0" w:footer="567" w:gutter="0"/>
          <w:cols w:space="708"/>
          <w:docGrid w:linePitch="360"/>
        </w:sectPr>
      </w:pPr>
    </w:p>
    <w:p w:rsidR="00596F6F" w:rsidRPr="009101E4" w:rsidRDefault="00596F6F" w:rsidP="009101E4">
      <w:pPr>
        <w:spacing w:after="0" w:line="240" w:lineRule="auto"/>
        <w:jc w:val="both"/>
        <w:rPr>
          <w:rFonts w:cstheme="minorHAnsi"/>
          <w:szCs w:val="22"/>
        </w:rPr>
      </w:pPr>
      <w:r w:rsidRPr="009101E4">
        <w:rPr>
          <w:rFonts w:cstheme="minorHAnsi"/>
          <w:szCs w:val="22"/>
        </w:rPr>
        <w:t xml:space="preserve">Dne </w:t>
      </w:r>
      <w:r w:rsidRPr="009101E4">
        <w:rPr>
          <w:rFonts w:cstheme="minorHAnsi"/>
          <w:szCs w:val="22"/>
        </w:rPr>
        <w:t>8</w:t>
      </w:r>
      <w:r w:rsidRPr="009101E4">
        <w:rPr>
          <w:rFonts w:cstheme="minorHAnsi"/>
          <w:szCs w:val="22"/>
        </w:rPr>
        <w:t xml:space="preserve">. </w:t>
      </w:r>
      <w:r w:rsidRPr="009101E4">
        <w:rPr>
          <w:rFonts w:cstheme="minorHAnsi"/>
          <w:szCs w:val="22"/>
        </w:rPr>
        <w:t>7. 2021</w:t>
      </w:r>
      <w:r w:rsidRPr="009101E4">
        <w:rPr>
          <w:rFonts w:cstheme="minorHAnsi"/>
          <w:szCs w:val="22"/>
        </w:rPr>
        <w:t xml:space="preserve"> se uskutečnila schůzka mezi MF –</w:t>
      </w:r>
      <w:r w:rsidRPr="009101E4">
        <w:rPr>
          <w:rFonts w:cstheme="minorHAnsi"/>
          <w:szCs w:val="22"/>
        </w:rPr>
        <w:t xml:space="preserve"> ÚV k Zjednodušené evidenci dotací</w:t>
      </w:r>
      <w:r w:rsidR="00D804C9">
        <w:rPr>
          <w:rFonts w:cstheme="minorHAnsi"/>
          <w:szCs w:val="22"/>
        </w:rPr>
        <w:t>,</w:t>
      </w:r>
      <w:r w:rsidRPr="009101E4">
        <w:rPr>
          <w:rFonts w:cstheme="minorHAnsi"/>
          <w:szCs w:val="22"/>
        </w:rPr>
        <w:t xml:space="preserve"> kterou MF navázalo na předcházející jednání s </w:t>
      </w:r>
      <w:r w:rsidR="005C5D8A" w:rsidRPr="009101E4">
        <w:rPr>
          <w:rFonts w:cstheme="minorHAnsi"/>
          <w:szCs w:val="22"/>
        </w:rPr>
        <w:t>ÚV</w:t>
      </w:r>
      <w:r w:rsidRPr="009101E4">
        <w:rPr>
          <w:rFonts w:cstheme="minorHAnsi"/>
          <w:szCs w:val="22"/>
        </w:rPr>
        <w:t xml:space="preserve"> v</w:t>
      </w:r>
      <w:r w:rsidR="005C5D8A" w:rsidRPr="009101E4">
        <w:rPr>
          <w:rFonts w:cstheme="minorHAnsi"/>
          <w:szCs w:val="22"/>
        </w:rPr>
        <w:t> </w:t>
      </w:r>
      <w:r w:rsidRPr="009101E4">
        <w:rPr>
          <w:rFonts w:cstheme="minorHAnsi"/>
          <w:szCs w:val="22"/>
        </w:rPr>
        <w:t>souvislosti</w:t>
      </w:r>
      <w:r w:rsidR="005C5D8A" w:rsidRPr="009101E4">
        <w:rPr>
          <w:rFonts w:cstheme="minorHAnsi"/>
          <w:szCs w:val="22"/>
        </w:rPr>
        <w:t xml:space="preserve"> s </w:t>
      </w:r>
      <w:r w:rsidR="00D804C9">
        <w:rPr>
          <w:rFonts w:cstheme="minorHAnsi"/>
          <w:szCs w:val="22"/>
        </w:rPr>
        <w:t>novelou</w:t>
      </w:r>
      <w:r w:rsidRPr="009101E4">
        <w:rPr>
          <w:rFonts w:cstheme="minorHAnsi"/>
          <w:szCs w:val="22"/>
        </w:rPr>
        <w:t xml:space="preserve"> rozpočtových pravidel</w:t>
      </w:r>
      <w:r w:rsidR="005C5D8A" w:rsidRPr="009101E4">
        <w:rPr>
          <w:rFonts w:cstheme="minorHAnsi"/>
          <w:szCs w:val="22"/>
        </w:rPr>
        <w:t xml:space="preserve"> (</w:t>
      </w:r>
      <w:r w:rsidR="00AC3361">
        <w:rPr>
          <w:rFonts w:cstheme="minorHAnsi"/>
          <w:szCs w:val="22"/>
        </w:rPr>
        <w:t>viz z</w:t>
      </w:r>
      <w:r w:rsidR="005C5D8A" w:rsidRPr="009101E4">
        <w:rPr>
          <w:rFonts w:cstheme="minorHAnsi"/>
          <w:szCs w:val="22"/>
        </w:rPr>
        <w:t xml:space="preserve">ápis z jednání </w:t>
      </w:r>
      <w:r w:rsidR="00964B91" w:rsidRPr="009101E4">
        <w:rPr>
          <w:rFonts w:cstheme="minorHAnsi"/>
          <w:szCs w:val="22"/>
        </w:rPr>
        <w:br/>
      </w:r>
      <w:r w:rsidR="005C5D8A" w:rsidRPr="009101E4">
        <w:rPr>
          <w:rFonts w:cstheme="minorHAnsi"/>
          <w:szCs w:val="22"/>
        </w:rPr>
        <w:t>k vypořádání připomínek Rady pro výzkum, vývoj a inovace k materiálu z 9. 4. 2019)</w:t>
      </w:r>
      <w:r w:rsidR="004717CD" w:rsidRPr="009101E4">
        <w:rPr>
          <w:rFonts w:cstheme="minorHAnsi"/>
          <w:szCs w:val="22"/>
        </w:rPr>
        <w:t>.</w:t>
      </w:r>
    </w:p>
    <w:p w:rsidR="005C5D8A" w:rsidRPr="009101E4" w:rsidRDefault="005C5D8A" w:rsidP="009101E4">
      <w:pPr>
        <w:spacing w:after="0" w:line="240" w:lineRule="auto"/>
        <w:jc w:val="both"/>
        <w:rPr>
          <w:rFonts w:cstheme="minorHAnsi"/>
          <w:szCs w:val="22"/>
        </w:rPr>
      </w:pPr>
    </w:p>
    <w:p w:rsidR="00561301" w:rsidRPr="009101E4" w:rsidRDefault="007F7436" w:rsidP="009101E4">
      <w:pPr>
        <w:spacing w:after="0" w:line="240" w:lineRule="auto"/>
        <w:jc w:val="both"/>
        <w:rPr>
          <w:rFonts w:cstheme="minorHAnsi"/>
          <w:szCs w:val="22"/>
        </w:rPr>
      </w:pPr>
      <w:r w:rsidRPr="009101E4">
        <w:rPr>
          <w:rFonts w:cstheme="minorHAnsi"/>
          <w:szCs w:val="22"/>
        </w:rPr>
        <w:t>Cílem schůzky byla</w:t>
      </w:r>
      <w:r w:rsidR="00483E39" w:rsidRPr="009101E4">
        <w:rPr>
          <w:rFonts w:cstheme="minorHAnsi"/>
          <w:szCs w:val="22"/>
        </w:rPr>
        <w:t xml:space="preserve"> rekapitulace </w:t>
      </w:r>
      <w:r w:rsidR="00964B91" w:rsidRPr="009101E4">
        <w:rPr>
          <w:rFonts w:cstheme="minorHAnsi"/>
          <w:szCs w:val="22"/>
        </w:rPr>
        <w:t>dopad</w:t>
      </w:r>
      <w:r w:rsidR="00465D9D" w:rsidRPr="009101E4">
        <w:rPr>
          <w:rFonts w:cstheme="minorHAnsi"/>
          <w:szCs w:val="22"/>
        </w:rPr>
        <w:t>ů</w:t>
      </w:r>
      <w:r w:rsidR="00964B91" w:rsidRPr="009101E4">
        <w:rPr>
          <w:rFonts w:cstheme="minorHAnsi"/>
          <w:szCs w:val="22"/>
        </w:rPr>
        <w:t xml:space="preserve"> novely</w:t>
      </w:r>
      <w:r w:rsidR="00F66F32" w:rsidRPr="009101E4">
        <w:rPr>
          <w:rFonts w:cstheme="minorHAnsi"/>
          <w:szCs w:val="22"/>
        </w:rPr>
        <w:t xml:space="preserve"> rozpočtových pravidel </w:t>
      </w:r>
      <w:r w:rsidR="00F66F32" w:rsidRPr="009101E4">
        <w:rPr>
          <w:rFonts w:cstheme="minorHAnsi"/>
          <w:szCs w:val="22"/>
        </w:rPr>
        <w:t>(zákon č. 484/2020 Sb. ze dne 27. 11. 2020, kterým se mění zákon č. 218/2000 Sb., o rozpočtových pravidlech</w:t>
      </w:r>
      <w:r w:rsidR="00F66F32" w:rsidRPr="009101E4">
        <w:rPr>
          <w:rFonts w:cstheme="minorHAnsi"/>
          <w:szCs w:val="22"/>
        </w:rPr>
        <w:t>)</w:t>
      </w:r>
      <w:r w:rsidRPr="009101E4">
        <w:rPr>
          <w:rFonts w:cstheme="minorHAnsi"/>
          <w:szCs w:val="22"/>
        </w:rPr>
        <w:t xml:space="preserve"> do zákona č. 130/2002 Sb., </w:t>
      </w:r>
      <w:r w:rsidR="00D804C9">
        <w:rPr>
          <w:rFonts w:cstheme="minorHAnsi"/>
          <w:szCs w:val="22"/>
        </w:rPr>
        <w:br/>
      </w:r>
      <w:r w:rsidRPr="009101E4">
        <w:rPr>
          <w:rFonts w:cstheme="minorHAnsi"/>
          <w:szCs w:val="22"/>
        </w:rPr>
        <w:t xml:space="preserve">o podpoře výzkumu, experimentálního vývoje a inovací; </w:t>
      </w:r>
      <w:r w:rsidR="00596F6F" w:rsidRPr="009101E4">
        <w:rPr>
          <w:rFonts w:cstheme="minorHAnsi"/>
          <w:szCs w:val="22"/>
        </w:rPr>
        <w:t>do</w:t>
      </w:r>
      <w:r w:rsidR="000B7A35">
        <w:rPr>
          <w:rFonts w:cstheme="minorHAnsi"/>
          <w:szCs w:val="22"/>
        </w:rPr>
        <w:t>hoda na</w:t>
      </w:r>
      <w:r w:rsidRPr="009101E4">
        <w:rPr>
          <w:rFonts w:cstheme="minorHAnsi"/>
          <w:szCs w:val="22"/>
        </w:rPr>
        <w:t xml:space="preserve"> způsobu další spolupráce a</w:t>
      </w:r>
      <w:r w:rsidR="000B7A35">
        <w:rPr>
          <w:rFonts w:cstheme="minorHAnsi"/>
          <w:szCs w:val="22"/>
        </w:rPr>
        <w:t xml:space="preserve"> nastínění</w:t>
      </w:r>
      <w:r w:rsidR="00596F6F" w:rsidRPr="009101E4">
        <w:rPr>
          <w:rFonts w:cstheme="minorHAnsi"/>
          <w:szCs w:val="22"/>
        </w:rPr>
        <w:t xml:space="preserve"> </w:t>
      </w:r>
      <w:r w:rsidR="000B7A35">
        <w:rPr>
          <w:rFonts w:cstheme="minorHAnsi"/>
          <w:szCs w:val="22"/>
        </w:rPr>
        <w:t>struktury</w:t>
      </w:r>
      <w:r w:rsidR="00596F6F" w:rsidRPr="009101E4">
        <w:rPr>
          <w:rFonts w:cstheme="minorHAnsi"/>
          <w:szCs w:val="22"/>
        </w:rPr>
        <w:t xml:space="preserve"> předávaných dat z</w:t>
      </w:r>
      <w:r w:rsidR="004717CD" w:rsidRPr="009101E4">
        <w:rPr>
          <w:rFonts w:cstheme="minorHAnsi"/>
          <w:szCs w:val="22"/>
        </w:rPr>
        <w:t xml:space="preserve"> IS </w:t>
      </w:r>
      <w:r w:rsidRPr="009101E4">
        <w:rPr>
          <w:rFonts w:cstheme="minorHAnsi"/>
          <w:szCs w:val="22"/>
        </w:rPr>
        <w:t>VaVaI</w:t>
      </w:r>
      <w:r w:rsidR="004717CD" w:rsidRPr="009101E4">
        <w:rPr>
          <w:rFonts w:cstheme="minorHAnsi"/>
          <w:szCs w:val="22"/>
        </w:rPr>
        <w:t xml:space="preserve"> </w:t>
      </w:r>
      <w:r w:rsidR="00596F6F" w:rsidRPr="009101E4">
        <w:rPr>
          <w:rFonts w:cstheme="minorHAnsi"/>
          <w:szCs w:val="22"/>
        </w:rPr>
        <w:t>do ZED.</w:t>
      </w:r>
      <w:r w:rsidR="005E2B1C" w:rsidRPr="009101E4">
        <w:rPr>
          <w:rFonts w:cstheme="minorHAnsi"/>
          <w:szCs w:val="22"/>
        </w:rPr>
        <w:t xml:space="preserve"> </w:t>
      </w:r>
    </w:p>
    <w:p w:rsidR="005733E8" w:rsidRPr="009101E4" w:rsidRDefault="005733E8" w:rsidP="009101E4">
      <w:pPr>
        <w:pStyle w:val="Nadpis1"/>
        <w:spacing w:before="240" w:after="0" w:line="240" w:lineRule="auto"/>
        <w:jc w:val="both"/>
        <w:rPr>
          <w:rFonts w:asciiTheme="minorHAnsi" w:hAnsiTheme="minorHAnsi" w:cstheme="minorHAnsi"/>
          <w:b w:val="0"/>
          <w:sz w:val="22"/>
          <w:szCs w:val="22"/>
        </w:rPr>
      </w:pPr>
      <w:r w:rsidRPr="009101E4">
        <w:rPr>
          <w:rFonts w:asciiTheme="minorHAnsi" w:hAnsiTheme="minorHAnsi" w:cstheme="minorHAnsi"/>
          <w:sz w:val="22"/>
          <w:szCs w:val="22"/>
        </w:rPr>
        <w:t xml:space="preserve">Novela rozpočtových pravidel </w:t>
      </w:r>
    </w:p>
    <w:p w:rsidR="005733E8" w:rsidRPr="009101E4" w:rsidRDefault="005733E8" w:rsidP="009101E4">
      <w:pPr>
        <w:spacing w:line="240" w:lineRule="auto"/>
        <w:jc w:val="both"/>
        <w:rPr>
          <w:rFonts w:cstheme="minorHAnsi"/>
          <w:szCs w:val="22"/>
          <w:lang w:eastAsia="cs-CZ"/>
        </w:rPr>
      </w:pPr>
      <w:r w:rsidRPr="009101E4">
        <w:rPr>
          <w:rFonts w:cstheme="minorHAnsi"/>
          <w:szCs w:val="22"/>
        </w:rPr>
        <w:t xml:space="preserve">Novelou rozpočtových pravidel došlo k zásadním úpravám oblasti programové financování. </w:t>
      </w:r>
      <w:r w:rsidRPr="009101E4">
        <w:rPr>
          <w:rFonts w:cstheme="minorHAnsi"/>
          <w:szCs w:val="22"/>
          <w:lang w:eastAsia="cs-CZ"/>
        </w:rPr>
        <w:t xml:space="preserve">Jejich hlavním cílem je rozšíření rozpočtového informačního systému programového financování (RISPF) o chybějící informace tak, aby Ministerstvo financí (MF) mohlo disponovat uceleným přehledem o všech dotacích </w:t>
      </w:r>
      <w:r w:rsidR="000B7A35">
        <w:rPr>
          <w:rFonts w:cstheme="minorHAnsi"/>
          <w:szCs w:val="22"/>
          <w:lang w:eastAsia="cs-CZ"/>
        </w:rPr>
        <w:br/>
      </w:r>
      <w:r w:rsidRPr="009101E4">
        <w:rPr>
          <w:rFonts w:cstheme="minorHAnsi"/>
          <w:szCs w:val="22"/>
          <w:lang w:eastAsia="cs-CZ"/>
        </w:rPr>
        <w:t xml:space="preserve">a návratných finančních výpomocích (NFV) poskytovaných ze státního rozpočtu (SR). S novelou rozpočtových pravidel (RP) přichází i nový informační systém pro sledování neinvestičních a dalších dotací (např. z Evropské unie, finančních mechanismů, výzkumu, vývoje a inovací atd.) – tzv. Zjednodušená evidence dotací (ZED). </w:t>
      </w:r>
    </w:p>
    <w:p w:rsidR="005733E8" w:rsidRPr="009101E4" w:rsidRDefault="005733E8" w:rsidP="009101E4">
      <w:pPr>
        <w:pStyle w:val="Odstavecseseznamem"/>
        <w:numPr>
          <w:ilvl w:val="0"/>
          <w:numId w:val="9"/>
        </w:numPr>
        <w:spacing w:before="120" w:after="0" w:line="240" w:lineRule="auto"/>
        <w:ind w:left="714" w:hanging="357"/>
        <w:contextualSpacing w:val="0"/>
        <w:jc w:val="both"/>
        <w:rPr>
          <w:rFonts w:cstheme="minorHAnsi"/>
          <w:szCs w:val="22"/>
        </w:rPr>
      </w:pPr>
      <w:r w:rsidRPr="009101E4">
        <w:rPr>
          <w:rFonts w:cstheme="minorHAnsi"/>
          <w:szCs w:val="22"/>
        </w:rPr>
        <w:t xml:space="preserve">S účinností od 1. 1. 2022 dojde k rozšíření RISPF o údaje o neinvestičních dotacích, a to prostřednictvím modulu ZED tak, aby RISPF poskytoval ucelený přehled o všech dotacích </w:t>
      </w:r>
      <w:r w:rsidRPr="009101E4">
        <w:rPr>
          <w:rFonts w:cstheme="minorHAnsi"/>
          <w:szCs w:val="22"/>
        </w:rPr>
        <w:br/>
        <w:t xml:space="preserve">a NFV poskytovaných ze SR. </w:t>
      </w:r>
    </w:p>
    <w:p w:rsidR="005733E8" w:rsidRPr="009101E4" w:rsidRDefault="005733E8" w:rsidP="009101E4">
      <w:pPr>
        <w:pStyle w:val="Odstavecseseznamem"/>
        <w:numPr>
          <w:ilvl w:val="0"/>
          <w:numId w:val="9"/>
        </w:numPr>
        <w:spacing w:before="120" w:after="0" w:line="240" w:lineRule="auto"/>
        <w:ind w:left="714" w:hanging="357"/>
        <w:contextualSpacing w:val="0"/>
        <w:jc w:val="both"/>
        <w:rPr>
          <w:rFonts w:cstheme="minorHAnsi"/>
          <w:szCs w:val="22"/>
        </w:rPr>
      </w:pPr>
      <w:r w:rsidRPr="009101E4">
        <w:rPr>
          <w:rFonts w:cstheme="minorHAnsi"/>
          <w:szCs w:val="22"/>
        </w:rPr>
        <w:t>Z RISPF (moduly EDS a ZED) budou údaje nově předávány přímo do IS CEDR. Poskytovatelé dotací ze SR budou předávat údaje pouze do RISPF (nyní jsou data z EDS do CEDR předávána za oblast investičních dotací, povinnost předávat údaje za neinvestiční dotace leží na poskytovatelích).</w:t>
      </w:r>
    </w:p>
    <w:p w:rsidR="005733E8" w:rsidRPr="009101E4" w:rsidRDefault="005733E8" w:rsidP="009101E4">
      <w:pPr>
        <w:pStyle w:val="Odstavecseseznamem"/>
        <w:numPr>
          <w:ilvl w:val="0"/>
          <w:numId w:val="9"/>
        </w:numPr>
        <w:spacing w:before="120" w:after="200" w:line="240" w:lineRule="auto"/>
        <w:ind w:left="714" w:hanging="357"/>
        <w:contextualSpacing w:val="0"/>
        <w:jc w:val="both"/>
        <w:rPr>
          <w:rFonts w:cstheme="minorHAnsi"/>
          <w:szCs w:val="22"/>
        </w:rPr>
      </w:pPr>
      <w:r w:rsidRPr="009101E4">
        <w:rPr>
          <w:rFonts w:cstheme="minorHAnsi"/>
          <w:szCs w:val="22"/>
        </w:rPr>
        <w:t>Zrušení § 18a RP a ukončení činnosti IS DotInfo. MF plánuje DotInfo nahradit vlastním nástrojem pro zveřejňování údajů programového financování (IS Monitor).</w:t>
      </w:r>
    </w:p>
    <w:p w:rsidR="005733E8" w:rsidRPr="009101E4" w:rsidRDefault="005733E8" w:rsidP="009101E4">
      <w:pPr>
        <w:spacing w:after="0" w:line="240" w:lineRule="auto"/>
        <w:jc w:val="both"/>
        <w:rPr>
          <w:rFonts w:cstheme="minorHAnsi"/>
          <w:szCs w:val="22"/>
        </w:rPr>
      </w:pPr>
      <w:r w:rsidRPr="009101E4">
        <w:rPr>
          <w:rFonts w:cstheme="minorHAnsi"/>
          <w:szCs w:val="22"/>
        </w:rPr>
        <w:t>Nově bude mít RISPF dvě úrovně:</w:t>
      </w:r>
    </w:p>
    <w:p w:rsidR="005733E8" w:rsidRPr="009101E4" w:rsidRDefault="005733E8" w:rsidP="009101E4">
      <w:pPr>
        <w:numPr>
          <w:ilvl w:val="0"/>
          <w:numId w:val="13"/>
        </w:numPr>
        <w:shd w:val="clear" w:color="auto" w:fill="FFFFFF"/>
        <w:spacing w:before="60" w:after="200" w:line="240" w:lineRule="auto"/>
        <w:ind w:left="714" w:hanging="357"/>
        <w:jc w:val="both"/>
        <w:rPr>
          <w:rFonts w:cstheme="minorHAnsi"/>
          <w:szCs w:val="22"/>
          <w:lang w:bidi="en-US"/>
        </w:rPr>
      </w:pPr>
      <w:r w:rsidRPr="009101E4">
        <w:rPr>
          <w:rFonts w:cstheme="minorHAnsi"/>
          <w:b/>
          <w:szCs w:val="22"/>
          <w:lang w:bidi="en-US"/>
        </w:rPr>
        <w:t xml:space="preserve">řídicí úroveň </w:t>
      </w:r>
      <w:r w:rsidRPr="009101E4">
        <w:rPr>
          <w:rFonts w:cstheme="minorHAnsi"/>
          <w:szCs w:val="22"/>
          <w:lang w:bidi="en-US"/>
        </w:rPr>
        <w:t>(EDS/SMVS) pro oblast investičních dotací ze SR a výdajů</w:t>
      </w:r>
      <w:r w:rsidRPr="009101E4">
        <w:rPr>
          <w:rFonts w:cstheme="minorHAnsi"/>
          <w:szCs w:val="22"/>
        </w:rPr>
        <w:t xml:space="preserve"> SR na správu majetku státu</w:t>
      </w:r>
      <w:r w:rsidRPr="009101E4">
        <w:rPr>
          <w:rFonts w:cstheme="minorHAnsi"/>
          <w:szCs w:val="22"/>
          <w:lang w:bidi="en-US"/>
        </w:rPr>
        <w:t xml:space="preserve"> upravovanou vyhláškou č. 560/2006 Sb., o účasti státního rozpočtu na financování programů reprodukce majetku, respektive vyhláškou, která ji nahradí;</w:t>
      </w:r>
    </w:p>
    <w:p w:rsidR="005733E8" w:rsidRPr="009101E4" w:rsidRDefault="005733E8" w:rsidP="009101E4">
      <w:pPr>
        <w:numPr>
          <w:ilvl w:val="0"/>
          <w:numId w:val="13"/>
        </w:numPr>
        <w:shd w:val="clear" w:color="auto" w:fill="FFFFFF"/>
        <w:spacing w:before="60" w:after="240" w:line="240" w:lineRule="auto"/>
        <w:ind w:left="714" w:hanging="357"/>
        <w:jc w:val="both"/>
        <w:rPr>
          <w:rFonts w:cstheme="minorHAnsi"/>
          <w:szCs w:val="22"/>
          <w:lang w:bidi="en-US"/>
        </w:rPr>
      </w:pPr>
      <w:r w:rsidRPr="009101E4">
        <w:rPr>
          <w:rFonts w:cstheme="minorHAnsi"/>
          <w:b/>
          <w:szCs w:val="22"/>
          <w:lang w:bidi="en-US"/>
        </w:rPr>
        <w:t xml:space="preserve">evidenční úroveň </w:t>
      </w:r>
      <w:r w:rsidRPr="009101E4">
        <w:rPr>
          <w:rFonts w:cstheme="minorHAnsi"/>
          <w:szCs w:val="22"/>
          <w:lang w:bidi="en-US"/>
        </w:rPr>
        <w:t>(ZED)</w:t>
      </w:r>
      <w:r w:rsidRPr="009101E4">
        <w:rPr>
          <w:rFonts w:cstheme="minorHAnsi"/>
          <w:b/>
          <w:szCs w:val="22"/>
          <w:lang w:bidi="en-US"/>
        </w:rPr>
        <w:t xml:space="preserve"> </w:t>
      </w:r>
      <w:r w:rsidRPr="009101E4">
        <w:rPr>
          <w:rFonts w:cstheme="minorHAnsi"/>
          <w:szCs w:val="22"/>
          <w:lang w:bidi="en-US"/>
        </w:rPr>
        <w:t xml:space="preserve">pro neinvestiční dotace v režimu zjednodušené evidence </w:t>
      </w:r>
      <w:r w:rsidRPr="009101E4">
        <w:rPr>
          <w:rFonts w:cstheme="minorHAnsi"/>
          <w:szCs w:val="22"/>
          <w:lang w:bidi="en-US"/>
        </w:rPr>
        <w:br/>
        <w:t>a dále všechny dotace a NFV (investiční, neinvestiční) na které se nevztahuje prováděcí vyhláška k programovému financování (projekty VaVaI).</w:t>
      </w:r>
    </w:p>
    <w:p w:rsidR="005733E8" w:rsidRPr="009101E4" w:rsidRDefault="005733E8" w:rsidP="009101E4">
      <w:pPr>
        <w:pStyle w:val="Titulek"/>
        <w:keepNext/>
        <w:jc w:val="both"/>
        <w:rPr>
          <w:rFonts w:eastAsiaTheme="minorHAnsi" w:cstheme="minorHAnsi"/>
          <w:bCs w:val="0"/>
          <w:color w:val="auto"/>
          <w:sz w:val="22"/>
          <w:szCs w:val="22"/>
        </w:rPr>
      </w:pPr>
      <w:r w:rsidRPr="009101E4">
        <w:rPr>
          <w:rFonts w:eastAsiaTheme="minorHAnsi" w:cstheme="minorHAnsi"/>
          <w:bCs w:val="0"/>
          <w:color w:val="auto"/>
          <w:sz w:val="22"/>
          <w:szCs w:val="22"/>
        </w:rPr>
        <w:t>Koncept RISPF po novele RP</w:t>
      </w:r>
    </w:p>
    <w:p w:rsidR="005733E8" w:rsidRPr="009101E4" w:rsidRDefault="005733E8" w:rsidP="009101E4">
      <w:pPr>
        <w:spacing w:before="240" w:line="240" w:lineRule="auto"/>
        <w:jc w:val="both"/>
        <w:rPr>
          <w:rFonts w:cstheme="minorHAnsi"/>
          <w:b/>
          <w:szCs w:val="22"/>
        </w:rPr>
      </w:pPr>
      <w:r w:rsidRPr="009101E4">
        <w:rPr>
          <w:rFonts w:cstheme="minorHAnsi"/>
          <w:noProof/>
          <w:szCs w:val="22"/>
          <w:lang w:eastAsia="cs-CZ"/>
        </w:rPr>
        <w:drawing>
          <wp:inline distT="0" distB="0" distL="0" distR="0" wp14:anchorId="427E2405" wp14:editId="7C38AC14">
            <wp:extent cx="5791217" cy="444730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1632" cy="4455307"/>
                    </a:xfrm>
                    <a:prstGeom prst="rect">
                      <a:avLst/>
                    </a:prstGeom>
                    <a:noFill/>
                    <a:ln>
                      <a:noFill/>
                    </a:ln>
                  </pic:spPr>
                </pic:pic>
              </a:graphicData>
            </a:graphic>
          </wp:inline>
        </w:drawing>
      </w:r>
    </w:p>
    <w:p w:rsidR="005733E8" w:rsidRPr="009101E4" w:rsidRDefault="005733E8" w:rsidP="009101E4">
      <w:pPr>
        <w:spacing w:before="240" w:after="0" w:line="240" w:lineRule="auto"/>
        <w:jc w:val="both"/>
        <w:rPr>
          <w:rFonts w:cstheme="minorHAnsi"/>
          <w:b/>
          <w:szCs w:val="22"/>
        </w:rPr>
      </w:pPr>
      <w:r w:rsidRPr="009101E4">
        <w:rPr>
          <w:rFonts w:cstheme="minorHAnsi"/>
          <w:b/>
          <w:szCs w:val="22"/>
        </w:rPr>
        <w:t xml:space="preserve">Zavedení zjednodušené evidence stanoví novelizovaný § 3 a § 12 RP: </w:t>
      </w:r>
    </w:p>
    <w:p w:rsidR="005733E8" w:rsidRPr="009101E4" w:rsidRDefault="005733E8" w:rsidP="009101E4">
      <w:pPr>
        <w:spacing w:line="240" w:lineRule="auto"/>
        <w:jc w:val="both"/>
        <w:rPr>
          <w:rFonts w:cstheme="minorHAnsi"/>
          <w:i/>
          <w:szCs w:val="22"/>
        </w:rPr>
      </w:pPr>
      <w:r w:rsidRPr="009101E4">
        <w:rPr>
          <w:rFonts w:cstheme="minorHAnsi"/>
          <w:i/>
          <w:szCs w:val="22"/>
        </w:rPr>
        <w:t xml:space="preserve">§ 3 písm. q): „dotační neinvestiční akcí soubor věcných, časových a finančních podmínek pro činnosti </w:t>
      </w:r>
      <w:r w:rsidRPr="009101E4">
        <w:rPr>
          <w:rFonts w:cstheme="minorHAnsi"/>
          <w:i/>
          <w:szCs w:val="22"/>
        </w:rPr>
        <w:br/>
        <w:t>k dosažení stanoveného cíle realizovaný výhradně prostřednictvím dotací nebo návratných finančních výpomocí jiných než podle písmene p),“</w:t>
      </w:r>
      <w:r w:rsidRPr="009101E4">
        <w:rPr>
          <w:rFonts w:cstheme="minorHAnsi"/>
          <w:szCs w:val="22"/>
        </w:rPr>
        <w:t>.</w:t>
      </w:r>
    </w:p>
    <w:p w:rsidR="005733E8" w:rsidRPr="009101E4" w:rsidRDefault="005733E8" w:rsidP="009101E4">
      <w:pPr>
        <w:pStyle w:val="Odstavecseseznamem"/>
        <w:spacing w:line="240" w:lineRule="auto"/>
        <w:ind w:left="0"/>
        <w:contextualSpacing w:val="0"/>
        <w:jc w:val="both"/>
        <w:rPr>
          <w:rFonts w:cstheme="minorHAnsi"/>
          <w:i/>
          <w:szCs w:val="22"/>
        </w:rPr>
      </w:pPr>
      <w:r w:rsidRPr="009101E4">
        <w:rPr>
          <w:rFonts w:cstheme="minorHAnsi"/>
          <w:i/>
          <w:szCs w:val="22"/>
        </w:rPr>
        <w:t>§ 12 odst. 9: „Evidence dotačních neinvestičních akcí v programech, které obsahují výhradně dotační neinvestiční akce, obsahuje identifikaci programu, do něhož je akce zařazena, údaje podle § 14 odst. 4 písm. a) až e) a stejnopis rozhodnutí o poskytnutí dotace nebo návratné finanční výpomoci nebo stejnopis dohody o poskytnutí dotace nebo návratné finanční výpomoci.“</w:t>
      </w:r>
      <w:r w:rsidRPr="009101E4">
        <w:rPr>
          <w:rFonts w:cstheme="minorHAnsi"/>
          <w:szCs w:val="22"/>
        </w:rPr>
        <w:t>.</w:t>
      </w:r>
    </w:p>
    <w:p w:rsidR="005733E8" w:rsidRPr="009101E4" w:rsidRDefault="005733E8" w:rsidP="009101E4">
      <w:pPr>
        <w:pStyle w:val="Odstavecseseznamem"/>
        <w:spacing w:line="240" w:lineRule="auto"/>
        <w:ind w:left="0"/>
        <w:contextualSpacing w:val="0"/>
        <w:jc w:val="both"/>
        <w:rPr>
          <w:rFonts w:cstheme="minorHAnsi"/>
          <w:szCs w:val="22"/>
        </w:rPr>
      </w:pPr>
      <w:r w:rsidRPr="009101E4">
        <w:rPr>
          <w:rFonts w:cstheme="minorHAnsi"/>
          <w:szCs w:val="22"/>
        </w:rPr>
        <w:t xml:space="preserve">Pozn.: Stejnopisem rozhodnutí o poskytnutí dotace (RoPD) nebo NFV nebo stejnopisem dohody </w:t>
      </w:r>
      <w:r w:rsidRPr="009101E4">
        <w:rPr>
          <w:rFonts w:cstheme="minorHAnsi"/>
          <w:szCs w:val="22"/>
        </w:rPr>
        <w:br/>
        <w:t>o poskytnutí dotace nebo NFV je myšleno poslední platné rozhodnutí nebo dohoda.</w:t>
      </w:r>
    </w:p>
    <w:p w:rsidR="003A2FD9" w:rsidRPr="009101E4" w:rsidRDefault="003A2FD9" w:rsidP="009101E4">
      <w:pPr>
        <w:pStyle w:val="Odstavecseseznamem"/>
        <w:spacing w:line="240" w:lineRule="auto"/>
        <w:ind w:left="0"/>
        <w:contextualSpacing w:val="0"/>
        <w:jc w:val="both"/>
        <w:rPr>
          <w:rFonts w:cstheme="minorHAnsi"/>
          <w:szCs w:val="22"/>
        </w:rPr>
      </w:pPr>
      <w:r w:rsidRPr="009101E4">
        <w:rPr>
          <w:rFonts w:cstheme="minorHAnsi"/>
          <w:szCs w:val="22"/>
          <w:highlight w:val="yellow"/>
        </w:rPr>
        <w:t xml:space="preserve">Pozn. ÚV: IS VaVaI v tuto chvíli neeviduje </w:t>
      </w:r>
      <w:r w:rsidR="003A2CBF" w:rsidRPr="009101E4">
        <w:rPr>
          <w:rFonts w:cstheme="minorHAnsi"/>
          <w:szCs w:val="22"/>
          <w:highlight w:val="yellow"/>
        </w:rPr>
        <w:t>dohodu o poskytnutí dotace.</w:t>
      </w:r>
      <w:r w:rsidR="003A2CBF" w:rsidRPr="009101E4">
        <w:rPr>
          <w:rFonts w:cstheme="minorHAnsi"/>
          <w:szCs w:val="22"/>
        </w:rPr>
        <w:t xml:space="preserve"> </w:t>
      </w:r>
    </w:p>
    <w:p w:rsidR="005733E8" w:rsidRPr="009101E4" w:rsidRDefault="005733E8" w:rsidP="009101E4">
      <w:pPr>
        <w:pStyle w:val="Odstavecseseznamem"/>
        <w:spacing w:line="240" w:lineRule="auto"/>
        <w:ind w:left="0"/>
        <w:contextualSpacing w:val="0"/>
        <w:jc w:val="both"/>
        <w:rPr>
          <w:rFonts w:cstheme="minorHAnsi"/>
          <w:szCs w:val="22"/>
        </w:rPr>
      </w:pPr>
      <w:r w:rsidRPr="009101E4">
        <w:rPr>
          <w:rFonts w:cstheme="minorHAnsi"/>
          <w:szCs w:val="22"/>
        </w:rPr>
        <w:t>Ustanovení § 12 v odst. 9 o dotačních neinvestičních akcích se nově vztahuje i na všechny dotace a NFV (investiční, neinvestiční) poskytované na základě zákonů, které mají doposud z režimu programového financování výjimku, včetně dotací poskytovaných podle zákona č. 130/2002 Sb., o podpoře výzkumu, experimentálního vývoje a inovací.</w:t>
      </w:r>
    </w:p>
    <w:p w:rsidR="005733E8" w:rsidRPr="009101E4" w:rsidRDefault="005733E8" w:rsidP="009101E4">
      <w:pPr>
        <w:spacing w:after="0" w:line="240" w:lineRule="auto"/>
        <w:jc w:val="both"/>
        <w:rPr>
          <w:rFonts w:cstheme="minorHAnsi"/>
          <w:b/>
          <w:szCs w:val="22"/>
        </w:rPr>
      </w:pPr>
      <w:r w:rsidRPr="009101E4">
        <w:rPr>
          <w:rFonts w:cstheme="minorHAnsi"/>
          <w:b/>
          <w:szCs w:val="22"/>
        </w:rPr>
        <w:t>Úprava zjednodušené evidence dotací v zákoně č. 130/2002 Sb.:</w:t>
      </w:r>
    </w:p>
    <w:p w:rsidR="005733E8" w:rsidRPr="009101E4" w:rsidRDefault="005733E8" w:rsidP="009101E4">
      <w:pPr>
        <w:spacing w:line="240" w:lineRule="auto"/>
        <w:jc w:val="both"/>
        <w:rPr>
          <w:rFonts w:cstheme="minorHAnsi"/>
          <w:i/>
          <w:szCs w:val="22"/>
        </w:rPr>
      </w:pPr>
      <w:r w:rsidRPr="009101E4">
        <w:rPr>
          <w:rFonts w:cstheme="minorHAnsi"/>
          <w:i/>
          <w:szCs w:val="22"/>
        </w:rPr>
        <w:t>§ 5 odst. 6): „Na veškeré výdaje podle tohoto zákona se nevztahují ustanovení o programech podle rozpočtových pravidel s výjimkou toho, že na evidování údajů o dotacích a návratných finančních výpomocí podle tohoto zákona se použijí ustanovení o evidování dotačních neinvestičních akcí.“</w:t>
      </w:r>
    </w:p>
    <w:p w:rsidR="005733E8" w:rsidRPr="009101E4" w:rsidRDefault="005733E8" w:rsidP="009101E4">
      <w:pPr>
        <w:spacing w:line="240" w:lineRule="auto"/>
        <w:jc w:val="both"/>
        <w:rPr>
          <w:rFonts w:cstheme="minorHAnsi"/>
          <w:i/>
          <w:szCs w:val="22"/>
        </w:rPr>
      </w:pPr>
      <w:r w:rsidRPr="009101E4">
        <w:rPr>
          <w:rFonts w:cstheme="minorHAnsi"/>
          <w:i/>
          <w:szCs w:val="22"/>
        </w:rPr>
        <w:t>§ 31 odst. 11 písm. e): „Provozovatel poskytne z informačního systému výzkumu, vývoje a inovací…</w:t>
      </w:r>
    </w:p>
    <w:p w:rsidR="005733E8" w:rsidRPr="009101E4" w:rsidRDefault="005733E8" w:rsidP="009101E4">
      <w:pPr>
        <w:spacing w:line="240" w:lineRule="auto"/>
        <w:jc w:val="both"/>
        <w:rPr>
          <w:rFonts w:cstheme="minorHAnsi"/>
          <w:i/>
          <w:szCs w:val="22"/>
        </w:rPr>
      </w:pPr>
      <w:r w:rsidRPr="009101E4">
        <w:rPr>
          <w:rFonts w:cstheme="minorHAnsi"/>
          <w:i/>
          <w:szCs w:val="22"/>
        </w:rPr>
        <w:t>…e) Ministerstvu financí údaje do rozpočtového systému v rozsahu stanoveném rozpočtovými pravidly pro dotační neinvestiční akce…“</w:t>
      </w:r>
    </w:p>
    <w:p w:rsidR="005733E8" w:rsidRPr="009101E4" w:rsidRDefault="005733E8" w:rsidP="009101E4">
      <w:pPr>
        <w:pStyle w:val="Titulek"/>
        <w:keepNext/>
        <w:jc w:val="both"/>
        <w:rPr>
          <w:rFonts w:cstheme="minorHAnsi"/>
          <w:sz w:val="22"/>
          <w:szCs w:val="22"/>
        </w:rPr>
      </w:pPr>
      <w:r w:rsidRPr="009101E4">
        <w:rPr>
          <w:rFonts w:cstheme="minorHAnsi"/>
          <w:color w:val="auto"/>
          <w:sz w:val="22"/>
          <w:szCs w:val="22"/>
        </w:rPr>
        <w:t>Dotace a výdaje podle zákona č. 130/2002 Sb. v rozpočtovém systému</w:t>
      </w:r>
    </w:p>
    <w:tbl>
      <w:tblPr>
        <w:tblStyle w:val="Mkatabulky"/>
        <w:tblW w:w="5000" w:type="pct"/>
        <w:tblLook w:val="04A0" w:firstRow="1" w:lastRow="0" w:firstColumn="1" w:lastColumn="0" w:noHBand="0" w:noVBand="1"/>
      </w:tblPr>
      <w:tblGrid>
        <w:gridCol w:w="2368"/>
        <w:gridCol w:w="3743"/>
        <w:gridCol w:w="3743"/>
      </w:tblGrid>
      <w:tr w:rsidR="005733E8" w:rsidRPr="009101E4" w:rsidTr="00347C46">
        <w:tc>
          <w:tcPr>
            <w:tcW w:w="1202" w:type="pct"/>
            <w:shd w:val="clear" w:color="auto" w:fill="EEECE1" w:themeFill="background2"/>
          </w:tcPr>
          <w:p w:rsidR="005733E8" w:rsidRPr="009101E4" w:rsidRDefault="005733E8" w:rsidP="009101E4">
            <w:pPr>
              <w:spacing w:line="240" w:lineRule="auto"/>
              <w:jc w:val="both"/>
              <w:rPr>
                <w:rFonts w:cstheme="minorHAnsi"/>
                <w:szCs w:val="22"/>
              </w:rPr>
            </w:pPr>
          </w:p>
        </w:tc>
        <w:tc>
          <w:tcPr>
            <w:tcW w:w="3798" w:type="pct"/>
            <w:gridSpan w:val="2"/>
            <w:shd w:val="clear" w:color="auto" w:fill="EEECE1" w:themeFill="background2"/>
          </w:tcPr>
          <w:p w:rsidR="005733E8" w:rsidRPr="009101E4" w:rsidRDefault="005733E8" w:rsidP="009101E4">
            <w:pPr>
              <w:spacing w:line="240" w:lineRule="auto"/>
              <w:jc w:val="both"/>
              <w:rPr>
                <w:rFonts w:cstheme="minorHAnsi"/>
                <w:b/>
                <w:szCs w:val="22"/>
              </w:rPr>
            </w:pPr>
            <w:r w:rsidRPr="009101E4">
              <w:rPr>
                <w:rFonts w:cstheme="minorHAnsi"/>
                <w:b/>
                <w:szCs w:val="22"/>
              </w:rPr>
              <w:t>zákon č. 130/2002 Sb.</w:t>
            </w:r>
          </w:p>
        </w:tc>
      </w:tr>
      <w:tr w:rsidR="005733E8" w:rsidRPr="009101E4" w:rsidTr="00347C46">
        <w:tc>
          <w:tcPr>
            <w:tcW w:w="1202" w:type="pct"/>
            <w:shd w:val="clear" w:color="auto" w:fill="auto"/>
          </w:tcPr>
          <w:p w:rsidR="005733E8" w:rsidRPr="009101E4" w:rsidRDefault="005733E8" w:rsidP="009101E4">
            <w:pPr>
              <w:spacing w:line="240" w:lineRule="auto"/>
              <w:jc w:val="both"/>
              <w:rPr>
                <w:rFonts w:cstheme="minorHAnsi"/>
                <w:i/>
                <w:szCs w:val="22"/>
              </w:rPr>
            </w:pPr>
          </w:p>
        </w:tc>
        <w:tc>
          <w:tcPr>
            <w:tcW w:w="1899" w:type="pct"/>
          </w:tcPr>
          <w:p w:rsidR="005733E8" w:rsidRPr="009101E4" w:rsidRDefault="005733E8" w:rsidP="009101E4">
            <w:pPr>
              <w:spacing w:line="240" w:lineRule="auto"/>
              <w:jc w:val="both"/>
              <w:rPr>
                <w:rFonts w:cstheme="minorHAnsi"/>
                <w:i/>
                <w:szCs w:val="22"/>
              </w:rPr>
            </w:pPr>
            <w:r w:rsidRPr="009101E4">
              <w:rPr>
                <w:rFonts w:cstheme="minorHAnsi"/>
                <w:i/>
                <w:szCs w:val="22"/>
              </w:rPr>
              <w:t>investice</w:t>
            </w:r>
          </w:p>
        </w:tc>
        <w:tc>
          <w:tcPr>
            <w:tcW w:w="1899" w:type="pct"/>
          </w:tcPr>
          <w:p w:rsidR="005733E8" w:rsidRPr="009101E4" w:rsidRDefault="005733E8" w:rsidP="009101E4">
            <w:pPr>
              <w:spacing w:line="240" w:lineRule="auto"/>
              <w:jc w:val="both"/>
              <w:rPr>
                <w:rFonts w:cstheme="minorHAnsi"/>
                <w:i/>
                <w:szCs w:val="22"/>
              </w:rPr>
            </w:pPr>
            <w:r w:rsidRPr="009101E4">
              <w:rPr>
                <w:rFonts w:cstheme="minorHAnsi"/>
                <w:i/>
                <w:szCs w:val="22"/>
              </w:rPr>
              <w:t>neinvestice</w:t>
            </w:r>
          </w:p>
        </w:tc>
      </w:tr>
      <w:tr w:rsidR="005733E8" w:rsidRPr="009101E4" w:rsidTr="00347C46">
        <w:tc>
          <w:tcPr>
            <w:tcW w:w="1202" w:type="pct"/>
            <w:shd w:val="clear" w:color="auto" w:fill="auto"/>
          </w:tcPr>
          <w:p w:rsidR="005733E8" w:rsidRPr="009101E4" w:rsidRDefault="005733E8" w:rsidP="009101E4">
            <w:pPr>
              <w:spacing w:line="240" w:lineRule="auto"/>
              <w:jc w:val="both"/>
              <w:rPr>
                <w:rFonts w:cstheme="minorHAnsi"/>
                <w:b/>
                <w:szCs w:val="22"/>
              </w:rPr>
            </w:pPr>
            <w:r w:rsidRPr="009101E4">
              <w:rPr>
                <w:rFonts w:cstheme="minorHAnsi"/>
                <w:b/>
                <w:szCs w:val="22"/>
              </w:rPr>
              <w:t>SMVS</w:t>
            </w:r>
          </w:p>
        </w:tc>
        <w:tc>
          <w:tcPr>
            <w:tcW w:w="1899" w:type="pct"/>
          </w:tcPr>
          <w:p w:rsidR="005733E8" w:rsidRPr="009101E4" w:rsidRDefault="005733E8" w:rsidP="009101E4">
            <w:pPr>
              <w:spacing w:line="240" w:lineRule="auto"/>
              <w:jc w:val="both"/>
              <w:rPr>
                <w:rFonts w:cstheme="minorHAnsi"/>
                <w:szCs w:val="22"/>
              </w:rPr>
            </w:pPr>
          </w:p>
        </w:tc>
        <w:tc>
          <w:tcPr>
            <w:tcW w:w="1899" w:type="pct"/>
          </w:tcPr>
          <w:p w:rsidR="005733E8" w:rsidRPr="009101E4" w:rsidRDefault="005733E8" w:rsidP="009101E4">
            <w:pPr>
              <w:spacing w:line="240" w:lineRule="auto"/>
              <w:jc w:val="both"/>
              <w:rPr>
                <w:rFonts w:cstheme="minorHAnsi"/>
                <w:szCs w:val="22"/>
              </w:rPr>
            </w:pPr>
          </w:p>
        </w:tc>
      </w:tr>
      <w:tr w:rsidR="005733E8" w:rsidRPr="009101E4" w:rsidTr="00347C46">
        <w:tc>
          <w:tcPr>
            <w:tcW w:w="1202" w:type="pct"/>
            <w:shd w:val="clear" w:color="auto" w:fill="auto"/>
          </w:tcPr>
          <w:p w:rsidR="005733E8" w:rsidRPr="009101E4" w:rsidRDefault="005733E8" w:rsidP="009101E4">
            <w:pPr>
              <w:spacing w:line="240" w:lineRule="auto"/>
              <w:jc w:val="both"/>
              <w:rPr>
                <w:rFonts w:cstheme="minorHAnsi"/>
                <w:b/>
                <w:szCs w:val="22"/>
              </w:rPr>
            </w:pPr>
            <w:r w:rsidRPr="009101E4">
              <w:rPr>
                <w:rFonts w:cstheme="minorHAnsi"/>
                <w:b/>
                <w:szCs w:val="22"/>
              </w:rPr>
              <w:t>EDS</w:t>
            </w:r>
          </w:p>
        </w:tc>
        <w:tc>
          <w:tcPr>
            <w:tcW w:w="1899" w:type="pct"/>
          </w:tcPr>
          <w:p w:rsidR="005733E8" w:rsidRPr="009101E4" w:rsidRDefault="005733E8" w:rsidP="009101E4">
            <w:pPr>
              <w:spacing w:line="240" w:lineRule="auto"/>
              <w:jc w:val="both"/>
              <w:rPr>
                <w:rFonts w:cstheme="minorHAnsi"/>
                <w:szCs w:val="22"/>
              </w:rPr>
            </w:pPr>
          </w:p>
        </w:tc>
        <w:tc>
          <w:tcPr>
            <w:tcW w:w="1899" w:type="pct"/>
          </w:tcPr>
          <w:p w:rsidR="005733E8" w:rsidRPr="009101E4" w:rsidRDefault="005733E8" w:rsidP="009101E4">
            <w:pPr>
              <w:spacing w:line="240" w:lineRule="auto"/>
              <w:jc w:val="both"/>
              <w:rPr>
                <w:rFonts w:cstheme="minorHAnsi"/>
                <w:szCs w:val="22"/>
              </w:rPr>
            </w:pPr>
          </w:p>
        </w:tc>
      </w:tr>
      <w:tr w:rsidR="005733E8" w:rsidRPr="009101E4" w:rsidTr="00347C46">
        <w:tc>
          <w:tcPr>
            <w:tcW w:w="1202" w:type="pct"/>
            <w:shd w:val="clear" w:color="auto" w:fill="auto"/>
          </w:tcPr>
          <w:p w:rsidR="005733E8" w:rsidRPr="009101E4" w:rsidRDefault="005733E8" w:rsidP="009101E4">
            <w:pPr>
              <w:spacing w:line="240" w:lineRule="auto"/>
              <w:jc w:val="both"/>
              <w:rPr>
                <w:rFonts w:cstheme="minorHAnsi"/>
                <w:b/>
                <w:szCs w:val="22"/>
              </w:rPr>
            </w:pPr>
            <w:r w:rsidRPr="009101E4">
              <w:rPr>
                <w:rFonts w:cstheme="minorHAnsi"/>
                <w:b/>
                <w:szCs w:val="22"/>
              </w:rPr>
              <w:t>ZED</w:t>
            </w:r>
          </w:p>
        </w:tc>
        <w:tc>
          <w:tcPr>
            <w:tcW w:w="1899" w:type="pct"/>
          </w:tcPr>
          <w:p w:rsidR="005733E8" w:rsidRPr="009101E4" w:rsidRDefault="005733E8" w:rsidP="009101E4">
            <w:pPr>
              <w:spacing w:line="240" w:lineRule="auto"/>
              <w:jc w:val="both"/>
              <w:rPr>
                <w:rFonts w:cstheme="minorHAnsi"/>
                <w:szCs w:val="22"/>
              </w:rPr>
            </w:pPr>
            <w:r w:rsidRPr="009101E4">
              <w:rPr>
                <w:rFonts w:cstheme="minorHAnsi"/>
                <w:szCs w:val="22"/>
              </w:rPr>
              <w:t>SPO, FO/PO</w:t>
            </w:r>
          </w:p>
        </w:tc>
        <w:tc>
          <w:tcPr>
            <w:tcW w:w="1899" w:type="pct"/>
          </w:tcPr>
          <w:p w:rsidR="005733E8" w:rsidRPr="009101E4" w:rsidRDefault="005733E8" w:rsidP="009101E4">
            <w:pPr>
              <w:spacing w:line="240" w:lineRule="auto"/>
              <w:jc w:val="both"/>
              <w:rPr>
                <w:rFonts w:cstheme="minorHAnsi"/>
                <w:szCs w:val="22"/>
              </w:rPr>
            </w:pPr>
            <w:r w:rsidRPr="009101E4">
              <w:rPr>
                <w:rFonts w:cstheme="minorHAnsi"/>
                <w:szCs w:val="22"/>
              </w:rPr>
              <w:t>SPO, FO/PO</w:t>
            </w:r>
          </w:p>
        </w:tc>
      </w:tr>
      <w:tr w:rsidR="005733E8" w:rsidRPr="009101E4" w:rsidTr="00347C46">
        <w:tc>
          <w:tcPr>
            <w:tcW w:w="1202" w:type="pct"/>
            <w:shd w:val="clear" w:color="auto" w:fill="auto"/>
          </w:tcPr>
          <w:p w:rsidR="005733E8" w:rsidRPr="009101E4" w:rsidRDefault="005733E8" w:rsidP="009101E4">
            <w:pPr>
              <w:spacing w:line="240" w:lineRule="auto"/>
              <w:jc w:val="both"/>
              <w:rPr>
                <w:rFonts w:cstheme="minorHAnsi"/>
                <w:b/>
                <w:color w:val="FF0000"/>
                <w:szCs w:val="22"/>
              </w:rPr>
            </w:pPr>
            <w:r w:rsidRPr="009101E4">
              <w:rPr>
                <w:rFonts w:cstheme="minorHAnsi"/>
                <w:b/>
                <w:szCs w:val="22"/>
              </w:rPr>
              <w:t>mimo RISPF</w:t>
            </w:r>
          </w:p>
        </w:tc>
        <w:tc>
          <w:tcPr>
            <w:tcW w:w="1899" w:type="pct"/>
          </w:tcPr>
          <w:p w:rsidR="005733E8" w:rsidRPr="009101E4" w:rsidRDefault="005733E8" w:rsidP="009101E4">
            <w:pPr>
              <w:spacing w:line="240" w:lineRule="auto"/>
              <w:jc w:val="both"/>
              <w:rPr>
                <w:rFonts w:cstheme="minorHAnsi"/>
                <w:szCs w:val="22"/>
              </w:rPr>
            </w:pPr>
            <w:r w:rsidRPr="009101E4">
              <w:rPr>
                <w:rFonts w:cstheme="minorHAnsi"/>
                <w:szCs w:val="22"/>
              </w:rPr>
              <w:t>OSS</w:t>
            </w:r>
          </w:p>
        </w:tc>
        <w:tc>
          <w:tcPr>
            <w:tcW w:w="1899" w:type="pct"/>
          </w:tcPr>
          <w:p w:rsidR="005733E8" w:rsidRPr="009101E4" w:rsidRDefault="005733E8" w:rsidP="009101E4">
            <w:pPr>
              <w:spacing w:line="240" w:lineRule="auto"/>
              <w:jc w:val="both"/>
              <w:rPr>
                <w:rFonts w:cstheme="minorHAnsi"/>
                <w:szCs w:val="22"/>
              </w:rPr>
            </w:pPr>
            <w:r w:rsidRPr="009101E4">
              <w:rPr>
                <w:rFonts w:cstheme="minorHAnsi"/>
                <w:szCs w:val="22"/>
              </w:rPr>
              <w:t>OSS</w:t>
            </w:r>
          </w:p>
        </w:tc>
      </w:tr>
    </w:tbl>
    <w:p w:rsidR="005733E8" w:rsidRPr="009101E4" w:rsidRDefault="005733E8" w:rsidP="009101E4">
      <w:pPr>
        <w:spacing w:before="240" w:after="0" w:line="240" w:lineRule="auto"/>
        <w:jc w:val="both"/>
        <w:rPr>
          <w:rFonts w:cstheme="minorHAnsi"/>
          <w:szCs w:val="22"/>
        </w:rPr>
      </w:pPr>
      <w:r w:rsidRPr="009101E4">
        <w:rPr>
          <w:rFonts w:cstheme="minorHAnsi"/>
          <w:b/>
          <w:szCs w:val="22"/>
        </w:rPr>
        <w:t>Atributy akce evidované v ZED jsou uvedeny v § 14 odst. 4 písm. a) až e) RP:</w:t>
      </w:r>
    </w:p>
    <w:p w:rsidR="005733E8" w:rsidRPr="009101E4" w:rsidRDefault="005733E8" w:rsidP="009101E4">
      <w:pPr>
        <w:pStyle w:val="Odstavecseseznamem"/>
        <w:numPr>
          <w:ilvl w:val="0"/>
          <w:numId w:val="11"/>
        </w:numPr>
        <w:spacing w:after="200" w:line="240" w:lineRule="auto"/>
        <w:ind w:left="714" w:hanging="357"/>
        <w:contextualSpacing w:val="0"/>
        <w:jc w:val="both"/>
        <w:rPr>
          <w:rFonts w:cstheme="minorHAnsi"/>
          <w:i/>
          <w:szCs w:val="22"/>
        </w:rPr>
      </w:pPr>
      <w:r w:rsidRPr="009101E4">
        <w:rPr>
          <w:rFonts w:cstheme="minorHAnsi"/>
          <w:i/>
          <w:szCs w:val="22"/>
        </w:rPr>
        <w:t xml:space="preserve">jméno, popřípadě jména, příjmení, datum narození, rodné číslo, bylo-li přiděleno, </w:t>
      </w:r>
      <w:r w:rsidRPr="009101E4">
        <w:rPr>
          <w:rFonts w:cstheme="minorHAnsi"/>
          <w:i/>
          <w:szCs w:val="22"/>
        </w:rPr>
        <w:br/>
        <w:t xml:space="preserve">a adresu trvalého pobytu, je-li příjemce dotace nebo návratné finanční výpomoci fyzickou osobou </w:t>
      </w:r>
      <w:r w:rsidR="000B7A35">
        <w:rPr>
          <w:rFonts w:cstheme="minorHAnsi"/>
          <w:i/>
          <w:szCs w:val="22"/>
        </w:rPr>
        <w:br/>
      </w:r>
      <w:r w:rsidRPr="009101E4">
        <w:rPr>
          <w:rFonts w:cstheme="minorHAnsi"/>
          <w:i/>
          <w:szCs w:val="22"/>
        </w:rPr>
        <w:t xml:space="preserve">a je-li tato fyzická osoba podnikatelem, také identifikační číslo; název, adresu sídla </w:t>
      </w:r>
      <w:r w:rsidRPr="009101E4">
        <w:rPr>
          <w:rFonts w:cstheme="minorHAnsi"/>
          <w:i/>
          <w:szCs w:val="22"/>
        </w:rPr>
        <w:br/>
        <w:t>a identifikační číslo osoby, je-li příjemce dotace nebo návratné finanční výpomoci právnickou osobou,</w:t>
      </w:r>
    </w:p>
    <w:p w:rsidR="005733E8" w:rsidRPr="009101E4" w:rsidRDefault="005733E8" w:rsidP="009101E4">
      <w:pPr>
        <w:pStyle w:val="Odstavecseseznamem"/>
        <w:numPr>
          <w:ilvl w:val="0"/>
          <w:numId w:val="11"/>
        </w:numPr>
        <w:spacing w:after="200" w:line="240" w:lineRule="auto"/>
        <w:ind w:left="714" w:hanging="357"/>
        <w:contextualSpacing w:val="0"/>
        <w:jc w:val="both"/>
        <w:rPr>
          <w:rFonts w:cstheme="minorHAnsi"/>
          <w:i/>
          <w:szCs w:val="22"/>
        </w:rPr>
      </w:pPr>
      <w:r w:rsidRPr="009101E4">
        <w:rPr>
          <w:rFonts w:cstheme="minorHAnsi"/>
          <w:i/>
          <w:szCs w:val="22"/>
        </w:rPr>
        <w:t xml:space="preserve"> název a adresu poskytovatele,</w:t>
      </w:r>
    </w:p>
    <w:p w:rsidR="005733E8" w:rsidRPr="009101E4" w:rsidRDefault="005733E8" w:rsidP="009101E4">
      <w:pPr>
        <w:pStyle w:val="Odstavecseseznamem"/>
        <w:numPr>
          <w:ilvl w:val="0"/>
          <w:numId w:val="11"/>
        </w:numPr>
        <w:spacing w:after="200" w:line="240" w:lineRule="auto"/>
        <w:ind w:left="714" w:hanging="357"/>
        <w:contextualSpacing w:val="0"/>
        <w:jc w:val="both"/>
        <w:rPr>
          <w:rFonts w:cstheme="minorHAnsi"/>
          <w:i/>
          <w:szCs w:val="22"/>
        </w:rPr>
      </w:pPr>
      <w:r w:rsidRPr="009101E4">
        <w:rPr>
          <w:rFonts w:cstheme="minorHAnsi"/>
          <w:i/>
          <w:szCs w:val="22"/>
        </w:rPr>
        <w:t>poskytovanou částku,</w:t>
      </w:r>
    </w:p>
    <w:p w:rsidR="005733E8" w:rsidRPr="009101E4" w:rsidRDefault="005733E8" w:rsidP="009101E4">
      <w:pPr>
        <w:pStyle w:val="Odstavecseseznamem"/>
        <w:numPr>
          <w:ilvl w:val="0"/>
          <w:numId w:val="11"/>
        </w:numPr>
        <w:spacing w:after="200" w:line="240" w:lineRule="auto"/>
        <w:ind w:left="714" w:hanging="357"/>
        <w:contextualSpacing w:val="0"/>
        <w:jc w:val="both"/>
        <w:rPr>
          <w:rFonts w:cstheme="minorHAnsi"/>
          <w:i/>
          <w:szCs w:val="22"/>
        </w:rPr>
      </w:pPr>
      <w:r w:rsidRPr="009101E4">
        <w:rPr>
          <w:rFonts w:cstheme="minorHAnsi"/>
          <w:i/>
          <w:szCs w:val="22"/>
        </w:rPr>
        <w:t>účel, na který je poskytovaná částka určena,</w:t>
      </w:r>
    </w:p>
    <w:p w:rsidR="0092284A" w:rsidRPr="000B7A35" w:rsidRDefault="0092284A" w:rsidP="009101E4">
      <w:pPr>
        <w:spacing w:after="200" w:line="240" w:lineRule="auto"/>
        <w:ind w:left="357" w:firstLine="351"/>
        <w:jc w:val="both"/>
        <w:rPr>
          <w:rFonts w:cstheme="minorHAnsi"/>
          <w:szCs w:val="22"/>
        </w:rPr>
      </w:pPr>
      <w:r w:rsidRPr="000B7A35">
        <w:rPr>
          <w:rFonts w:cstheme="minorHAnsi"/>
          <w:szCs w:val="22"/>
          <w:highlight w:val="yellow"/>
        </w:rPr>
        <w:t>Pozn. ÚV: V rámci projektů IS VaVaI bude přenášena tzv. anotace projektu.</w:t>
      </w:r>
    </w:p>
    <w:p w:rsidR="005733E8" w:rsidRPr="009101E4" w:rsidRDefault="005733E8" w:rsidP="009101E4">
      <w:pPr>
        <w:pStyle w:val="Odstavecseseznamem"/>
        <w:numPr>
          <w:ilvl w:val="0"/>
          <w:numId w:val="11"/>
        </w:numPr>
        <w:spacing w:after="200" w:line="240" w:lineRule="auto"/>
        <w:ind w:left="714" w:hanging="357"/>
        <w:contextualSpacing w:val="0"/>
        <w:jc w:val="both"/>
        <w:rPr>
          <w:rFonts w:cstheme="minorHAnsi"/>
          <w:i/>
          <w:szCs w:val="22"/>
        </w:rPr>
      </w:pPr>
      <w:r w:rsidRPr="009101E4">
        <w:rPr>
          <w:rFonts w:cstheme="minorHAnsi"/>
          <w:i/>
          <w:szCs w:val="22"/>
        </w:rPr>
        <w:t>lhůtu, v níž má být stanoveného účelu dosaženo.</w:t>
      </w:r>
    </w:p>
    <w:p w:rsidR="005733E8" w:rsidRPr="009101E4" w:rsidRDefault="005733E8" w:rsidP="009101E4">
      <w:pPr>
        <w:pStyle w:val="Odstavecseseznamem"/>
        <w:numPr>
          <w:ilvl w:val="0"/>
          <w:numId w:val="10"/>
        </w:numPr>
        <w:spacing w:after="200" w:line="240" w:lineRule="auto"/>
        <w:ind w:left="714" w:hanging="357"/>
        <w:contextualSpacing w:val="0"/>
        <w:jc w:val="both"/>
        <w:rPr>
          <w:rFonts w:cstheme="minorHAnsi"/>
          <w:b/>
          <w:szCs w:val="22"/>
        </w:rPr>
      </w:pPr>
      <w:r w:rsidRPr="009101E4">
        <w:rPr>
          <w:rFonts w:cstheme="minorHAnsi"/>
          <w:b/>
          <w:szCs w:val="22"/>
          <w:lang w:eastAsia="cs-CZ"/>
        </w:rPr>
        <w:t>Záměrem MF je evidovat v ZED zejména atributy, které jsou podle RP povinnou součástí každého RoPD.</w:t>
      </w:r>
    </w:p>
    <w:p w:rsidR="005733E8" w:rsidRPr="009101E4" w:rsidRDefault="005733E8" w:rsidP="000B7A35">
      <w:pPr>
        <w:pStyle w:val="Nadpis1"/>
        <w:spacing w:before="240" w:after="0" w:line="240" w:lineRule="auto"/>
        <w:jc w:val="both"/>
        <w:rPr>
          <w:rFonts w:asciiTheme="minorHAnsi" w:hAnsiTheme="minorHAnsi" w:cstheme="minorHAnsi"/>
          <w:b w:val="0"/>
          <w:sz w:val="22"/>
          <w:szCs w:val="22"/>
        </w:rPr>
      </w:pPr>
      <w:bookmarkStart w:id="3" w:name="_Toc29974383"/>
      <w:bookmarkStart w:id="4" w:name="_Toc31106811"/>
      <w:r w:rsidRPr="009101E4">
        <w:rPr>
          <w:rFonts w:asciiTheme="minorHAnsi" w:hAnsiTheme="minorHAnsi" w:cstheme="minorHAnsi"/>
          <w:sz w:val="22"/>
          <w:szCs w:val="22"/>
        </w:rPr>
        <w:t>Funkce ZED</w:t>
      </w:r>
      <w:bookmarkEnd w:id="3"/>
      <w:bookmarkEnd w:id="4"/>
    </w:p>
    <w:p w:rsidR="005733E8" w:rsidRPr="009101E4" w:rsidRDefault="005733E8" w:rsidP="009101E4">
      <w:pPr>
        <w:spacing w:after="0" w:line="240" w:lineRule="auto"/>
        <w:jc w:val="both"/>
        <w:rPr>
          <w:rFonts w:cstheme="minorHAnsi"/>
          <w:b/>
          <w:szCs w:val="22"/>
        </w:rPr>
      </w:pPr>
      <w:r w:rsidRPr="009101E4">
        <w:rPr>
          <w:rFonts w:cstheme="minorHAnsi"/>
          <w:b/>
          <w:szCs w:val="22"/>
        </w:rPr>
        <w:t>Modul ZED bude zajišťovat zejména tyto úkoly:</w:t>
      </w:r>
    </w:p>
    <w:p w:rsidR="005733E8" w:rsidRPr="009101E4" w:rsidRDefault="005733E8" w:rsidP="009101E4">
      <w:pPr>
        <w:pStyle w:val="Odstavecseseznamem"/>
        <w:numPr>
          <w:ilvl w:val="0"/>
          <w:numId w:val="14"/>
        </w:numPr>
        <w:spacing w:after="200" w:line="240" w:lineRule="auto"/>
        <w:ind w:left="714" w:hanging="357"/>
        <w:contextualSpacing w:val="0"/>
        <w:jc w:val="both"/>
        <w:rPr>
          <w:rFonts w:cstheme="minorHAnsi"/>
          <w:b/>
          <w:szCs w:val="22"/>
        </w:rPr>
      </w:pPr>
      <w:r w:rsidRPr="009101E4">
        <w:rPr>
          <w:rFonts w:cstheme="minorHAnsi"/>
          <w:szCs w:val="22"/>
        </w:rPr>
        <w:t>správa programů a správa akcí,</w:t>
      </w:r>
    </w:p>
    <w:p w:rsidR="005733E8" w:rsidRPr="009101E4" w:rsidRDefault="005733E8" w:rsidP="009101E4">
      <w:pPr>
        <w:pStyle w:val="Odstavecseseznamem"/>
        <w:numPr>
          <w:ilvl w:val="0"/>
          <w:numId w:val="14"/>
        </w:numPr>
        <w:spacing w:after="200" w:line="240" w:lineRule="auto"/>
        <w:ind w:left="714" w:hanging="357"/>
        <w:contextualSpacing w:val="0"/>
        <w:jc w:val="both"/>
        <w:rPr>
          <w:rFonts w:cstheme="minorHAnsi"/>
          <w:b/>
          <w:szCs w:val="22"/>
        </w:rPr>
      </w:pPr>
      <w:r w:rsidRPr="009101E4">
        <w:rPr>
          <w:rFonts w:cstheme="minorHAnsi"/>
          <w:szCs w:val="22"/>
        </w:rPr>
        <w:t>rozhraní na externí informační systémy včetně Integrovaného informačního systému státní pokladny (IISSP) a ekonomických informačních systémů,</w:t>
      </w:r>
    </w:p>
    <w:p w:rsidR="005733E8" w:rsidRPr="009101E4" w:rsidRDefault="005733E8" w:rsidP="009101E4">
      <w:pPr>
        <w:pStyle w:val="Odstavecseseznamem"/>
        <w:numPr>
          <w:ilvl w:val="0"/>
          <w:numId w:val="14"/>
        </w:numPr>
        <w:spacing w:after="200" w:line="240" w:lineRule="auto"/>
        <w:ind w:left="714" w:hanging="357"/>
        <w:contextualSpacing w:val="0"/>
        <w:jc w:val="both"/>
        <w:rPr>
          <w:rFonts w:cstheme="minorHAnsi"/>
          <w:szCs w:val="22"/>
        </w:rPr>
      </w:pPr>
      <w:r w:rsidRPr="009101E4">
        <w:rPr>
          <w:rFonts w:cstheme="minorHAnsi"/>
          <w:szCs w:val="22"/>
        </w:rPr>
        <w:t>operativní a konsolidovaný reporting,</w:t>
      </w:r>
    </w:p>
    <w:p w:rsidR="005733E8" w:rsidRPr="009101E4" w:rsidRDefault="005733E8" w:rsidP="009101E4">
      <w:pPr>
        <w:pStyle w:val="Odstavecseseznamem"/>
        <w:numPr>
          <w:ilvl w:val="0"/>
          <w:numId w:val="14"/>
        </w:numPr>
        <w:spacing w:after="200" w:line="240" w:lineRule="auto"/>
        <w:jc w:val="both"/>
        <w:rPr>
          <w:rFonts w:cstheme="minorHAnsi"/>
          <w:szCs w:val="22"/>
        </w:rPr>
      </w:pPr>
      <w:r w:rsidRPr="009101E4">
        <w:rPr>
          <w:rFonts w:cstheme="minorHAnsi"/>
          <w:szCs w:val="22"/>
        </w:rPr>
        <w:t xml:space="preserve">volitelné vydávání návrhu RoPD a jeho změn (netýká se dotací poskytovaných podle zákona </w:t>
      </w:r>
      <w:r w:rsidRPr="009101E4">
        <w:rPr>
          <w:rFonts w:cstheme="minorHAnsi"/>
          <w:szCs w:val="22"/>
        </w:rPr>
        <w:br/>
        <w:t>č. 130/2002 Sb.).</w:t>
      </w:r>
    </w:p>
    <w:p w:rsidR="005733E8" w:rsidRPr="009101E4" w:rsidRDefault="005733E8" w:rsidP="009101E4">
      <w:pPr>
        <w:spacing w:after="0" w:line="240" w:lineRule="auto"/>
        <w:jc w:val="both"/>
        <w:rPr>
          <w:rFonts w:cstheme="minorHAnsi"/>
          <w:b/>
          <w:szCs w:val="22"/>
        </w:rPr>
      </w:pPr>
      <w:r w:rsidRPr="009101E4">
        <w:rPr>
          <w:rFonts w:eastAsiaTheme="majorEastAsia" w:cstheme="minorHAnsi"/>
          <w:b/>
          <w:bCs/>
          <w:szCs w:val="22"/>
        </w:rPr>
        <w:t xml:space="preserve">Data o akcích budou moci být do ZED vkládána prostřednictvím: </w:t>
      </w:r>
    </w:p>
    <w:p w:rsidR="005733E8" w:rsidRPr="009101E4" w:rsidRDefault="005733E8" w:rsidP="009101E4">
      <w:pPr>
        <w:pStyle w:val="Odstavecseseznamem"/>
        <w:numPr>
          <w:ilvl w:val="0"/>
          <w:numId w:val="15"/>
        </w:numPr>
        <w:spacing w:after="200" w:line="240" w:lineRule="auto"/>
        <w:ind w:left="714" w:hanging="357"/>
        <w:contextualSpacing w:val="0"/>
        <w:jc w:val="both"/>
        <w:rPr>
          <w:rFonts w:cstheme="minorHAnsi"/>
          <w:szCs w:val="22"/>
        </w:rPr>
      </w:pPr>
      <w:r w:rsidRPr="009101E4">
        <w:rPr>
          <w:rFonts w:cstheme="minorHAnsi"/>
          <w:szCs w:val="22"/>
        </w:rPr>
        <w:t>Jednotného dotačního portálu (netýká se dotací poskytovaných podle zákona č. 130/2002 Sb.),</w:t>
      </w:r>
    </w:p>
    <w:p w:rsidR="005733E8" w:rsidRPr="009101E4" w:rsidRDefault="005733E8" w:rsidP="009101E4">
      <w:pPr>
        <w:pStyle w:val="Odstavecseseznamem"/>
        <w:numPr>
          <w:ilvl w:val="0"/>
          <w:numId w:val="15"/>
        </w:numPr>
        <w:spacing w:after="200" w:line="240" w:lineRule="auto"/>
        <w:ind w:left="714" w:hanging="357"/>
        <w:contextualSpacing w:val="0"/>
        <w:jc w:val="both"/>
        <w:rPr>
          <w:rFonts w:cstheme="minorHAnsi"/>
          <w:szCs w:val="22"/>
        </w:rPr>
      </w:pPr>
      <w:r w:rsidRPr="009101E4">
        <w:rPr>
          <w:rFonts w:cstheme="minorHAnsi"/>
          <w:szCs w:val="22"/>
        </w:rPr>
        <w:t xml:space="preserve">obecného rozhraní, </w:t>
      </w:r>
    </w:p>
    <w:p w:rsidR="005733E8" w:rsidRPr="009101E4" w:rsidRDefault="005733E8" w:rsidP="009101E4">
      <w:pPr>
        <w:pStyle w:val="Odstavecseseznamem"/>
        <w:numPr>
          <w:ilvl w:val="0"/>
          <w:numId w:val="15"/>
        </w:numPr>
        <w:spacing w:after="0" w:line="240" w:lineRule="auto"/>
        <w:ind w:left="714" w:hanging="357"/>
        <w:contextualSpacing w:val="0"/>
        <w:jc w:val="both"/>
        <w:rPr>
          <w:rFonts w:cstheme="minorHAnsi"/>
          <w:szCs w:val="22"/>
        </w:rPr>
      </w:pPr>
      <w:r w:rsidRPr="009101E4">
        <w:rPr>
          <w:rFonts w:cstheme="minorHAnsi"/>
          <w:szCs w:val="22"/>
        </w:rPr>
        <w:t>ručního zadání přes portálovou aplikaci.</w:t>
      </w:r>
    </w:p>
    <w:p w:rsidR="005733E8" w:rsidRPr="009101E4" w:rsidRDefault="005733E8" w:rsidP="000B7A35">
      <w:pPr>
        <w:pStyle w:val="Nadpis1"/>
        <w:spacing w:before="240" w:after="0" w:line="240" w:lineRule="auto"/>
        <w:jc w:val="both"/>
        <w:rPr>
          <w:rFonts w:asciiTheme="minorHAnsi" w:hAnsiTheme="minorHAnsi" w:cstheme="minorHAnsi"/>
          <w:b w:val="0"/>
          <w:sz w:val="22"/>
          <w:szCs w:val="22"/>
        </w:rPr>
      </w:pPr>
      <w:r w:rsidRPr="009101E4">
        <w:rPr>
          <w:rFonts w:asciiTheme="minorHAnsi" w:hAnsiTheme="minorHAnsi" w:cstheme="minorHAnsi"/>
          <w:sz w:val="22"/>
          <w:szCs w:val="22"/>
        </w:rPr>
        <w:t>Základní popis procesu</w:t>
      </w:r>
    </w:p>
    <w:p w:rsidR="005733E8" w:rsidRPr="009101E4" w:rsidRDefault="005733E8" w:rsidP="009101E4">
      <w:pPr>
        <w:pStyle w:val="Odstavecseseznamem"/>
        <w:numPr>
          <w:ilvl w:val="0"/>
          <w:numId w:val="12"/>
        </w:numPr>
        <w:spacing w:after="0" w:line="240" w:lineRule="auto"/>
        <w:ind w:hanging="357"/>
        <w:contextualSpacing w:val="0"/>
        <w:jc w:val="both"/>
        <w:rPr>
          <w:rFonts w:cstheme="minorHAnsi"/>
          <w:szCs w:val="22"/>
        </w:rPr>
      </w:pPr>
      <w:r w:rsidRPr="009101E4">
        <w:rPr>
          <w:rFonts w:cstheme="minorHAnsi"/>
          <w:szCs w:val="22"/>
        </w:rPr>
        <w:t>Při správě kmenových dat bude IS ZED umožňovat:</w:t>
      </w:r>
    </w:p>
    <w:p w:rsidR="005733E8" w:rsidRPr="009101E4" w:rsidRDefault="005733E8" w:rsidP="009101E4">
      <w:pPr>
        <w:pStyle w:val="Odstavecseseznamem"/>
        <w:numPr>
          <w:ilvl w:val="1"/>
          <w:numId w:val="12"/>
        </w:numPr>
        <w:spacing w:after="0" w:line="240" w:lineRule="auto"/>
        <w:ind w:hanging="357"/>
        <w:contextualSpacing w:val="0"/>
        <w:jc w:val="both"/>
        <w:rPr>
          <w:rFonts w:cstheme="minorHAnsi"/>
          <w:szCs w:val="22"/>
        </w:rPr>
      </w:pPr>
      <w:r w:rsidRPr="009101E4">
        <w:rPr>
          <w:rFonts w:cstheme="minorHAnsi"/>
          <w:szCs w:val="22"/>
        </w:rPr>
        <w:t xml:space="preserve">založení programu do číselníku programů ZED, </w:t>
      </w:r>
    </w:p>
    <w:p w:rsidR="005733E8" w:rsidRPr="009101E4" w:rsidRDefault="005733E8" w:rsidP="009101E4">
      <w:pPr>
        <w:pStyle w:val="Odstavecseseznamem"/>
        <w:numPr>
          <w:ilvl w:val="1"/>
          <w:numId w:val="12"/>
        </w:numPr>
        <w:spacing w:after="0" w:line="240" w:lineRule="auto"/>
        <w:ind w:hanging="357"/>
        <w:contextualSpacing w:val="0"/>
        <w:jc w:val="both"/>
        <w:rPr>
          <w:rFonts w:cstheme="minorHAnsi"/>
          <w:szCs w:val="22"/>
        </w:rPr>
      </w:pPr>
      <w:r w:rsidRPr="009101E4">
        <w:rPr>
          <w:rFonts w:cstheme="minorHAnsi"/>
          <w:szCs w:val="22"/>
        </w:rPr>
        <w:t>vytvoření 1 až n agregačních akcí (dle členění programu a potřeb poskytovatele), přičemž první agregační akce bude vytvářena automaticky při založení programu,</w:t>
      </w:r>
    </w:p>
    <w:p w:rsidR="005733E8" w:rsidRPr="009101E4" w:rsidRDefault="005733E8" w:rsidP="009101E4">
      <w:pPr>
        <w:pStyle w:val="Odstavecseseznamem"/>
        <w:numPr>
          <w:ilvl w:val="1"/>
          <w:numId w:val="12"/>
        </w:numPr>
        <w:spacing w:after="120" w:line="240" w:lineRule="auto"/>
        <w:ind w:left="1434" w:hanging="357"/>
        <w:contextualSpacing w:val="0"/>
        <w:jc w:val="both"/>
        <w:rPr>
          <w:rFonts w:cstheme="minorHAnsi"/>
          <w:szCs w:val="22"/>
        </w:rPr>
      </w:pPr>
      <w:r w:rsidRPr="009101E4">
        <w:rPr>
          <w:rFonts w:cstheme="minorHAnsi"/>
          <w:szCs w:val="22"/>
        </w:rPr>
        <w:t xml:space="preserve">obě operace bude možné provést manuálně nebo pomocí rozhraní IS ZED. </w:t>
      </w:r>
    </w:p>
    <w:p w:rsidR="005733E8" w:rsidRPr="009101E4" w:rsidRDefault="005733E8" w:rsidP="009101E4">
      <w:pPr>
        <w:pStyle w:val="Odstavecseseznamem"/>
        <w:numPr>
          <w:ilvl w:val="0"/>
          <w:numId w:val="12"/>
        </w:numPr>
        <w:spacing w:after="120" w:line="240" w:lineRule="auto"/>
        <w:ind w:left="714" w:hanging="357"/>
        <w:contextualSpacing w:val="0"/>
        <w:jc w:val="both"/>
        <w:rPr>
          <w:rFonts w:cstheme="minorHAnsi"/>
          <w:szCs w:val="22"/>
        </w:rPr>
      </w:pPr>
      <w:r w:rsidRPr="009101E4">
        <w:rPr>
          <w:rFonts w:cstheme="minorHAnsi"/>
          <w:szCs w:val="22"/>
        </w:rPr>
        <w:t xml:space="preserve">IS ZED vystavuje pro EIS aktuální číselníky, včetně programů, agregačních akcí a (následně) </w:t>
      </w:r>
      <w:r w:rsidRPr="009101E4">
        <w:rPr>
          <w:rFonts w:cstheme="minorHAnsi"/>
          <w:szCs w:val="22"/>
        </w:rPr>
        <w:br/>
        <w:t>i akcí ZED, přičemž umožní jejich stažení manuálně nebo pomocí rozhraní.</w:t>
      </w:r>
    </w:p>
    <w:p w:rsidR="005733E8" w:rsidRPr="009101E4" w:rsidRDefault="005733E8" w:rsidP="009101E4">
      <w:pPr>
        <w:pStyle w:val="Odstavecseseznamem"/>
        <w:numPr>
          <w:ilvl w:val="0"/>
          <w:numId w:val="12"/>
        </w:numPr>
        <w:spacing w:after="120" w:line="240" w:lineRule="auto"/>
        <w:ind w:hanging="357"/>
        <w:contextualSpacing w:val="0"/>
        <w:jc w:val="both"/>
        <w:rPr>
          <w:rFonts w:cstheme="minorHAnsi"/>
          <w:szCs w:val="22"/>
        </w:rPr>
      </w:pPr>
      <w:r w:rsidRPr="009101E4">
        <w:rPr>
          <w:rFonts w:cstheme="minorHAnsi"/>
          <w:szCs w:val="22"/>
        </w:rPr>
        <w:t xml:space="preserve">Poskytovatel dotace založí konkrétní akci v IS ZED, a to s atributy akce (§ 14 odst. 4 písm. a) – e) RP) včetně identifikace přiřazené (nadřazené) agregační akce a zdrojů (v členění na rozpočtový řádek, případně mimorozpočtový řádek a jiné zdroje). Založení Akce bude možné provést manuálně nebo prostřednictvím rozhraní z EIS. </w:t>
      </w:r>
    </w:p>
    <w:p w:rsidR="005733E8" w:rsidRPr="009101E4" w:rsidRDefault="005733E8" w:rsidP="009101E4">
      <w:pPr>
        <w:pStyle w:val="Odstavecseseznamem"/>
        <w:spacing w:after="120" w:line="240" w:lineRule="auto"/>
        <w:contextualSpacing w:val="0"/>
        <w:jc w:val="both"/>
        <w:rPr>
          <w:rFonts w:cstheme="minorHAnsi"/>
          <w:i/>
          <w:szCs w:val="22"/>
        </w:rPr>
      </w:pPr>
      <w:r w:rsidRPr="009101E4">
        <w:rPr>
          <w:rFonts w:cstheme="minorHAnsi"/>
          <w:i/>
          <w:szCs w:val="22"/>
        </w:rPr>
        <w:t xml:space="preserve">Pozn.: IS ZED umožní stahovat atributy pro identifikaci Poskytovatele dotace (novelizovaný </w:t>
      </w:r>
      <w:r w:rsidRPr="009101E4">
        <w:rPr>
          <w:rFonts w:cstheme="minorHAnsi"/>
          <w:i/>
          <w:szCs w:val="22"/>
        </w:rPr>
        <w:br/>
        <w:t xml:space="preserve">§ 14 odst. 4, písm. b) RP) z číselníků Poskytovatelů dotací udržovaných centrálně v EDS/SMVS. </w:t>
      </w:r>
    </w:p>
    <w:p w:rsidR="005733E8" w:rsidRPr="009101E4" w:rsidRDefault="005733E8" w:rsidP="009101E4">
      <w:pPr>
        <w:spacing w:line="240" w:lineRule="auto"/>
        <w:ind w:left="720"/>
        <w:jc w:val="both"/>
        <w:rPr>
          <w:rFonts w:cstheme="minorHAnsi"/>
          <w:i/>
          <w:szCs w:val="22"/>
        </w:rPr>
      </w:pPr>
      <w:r w:rsidRPr="009101E4">
        <w:rPr>
          <w:rFonts w:cstheme="minorHAnsi"/>
          <w:i/>
          <w:szCs w:val="22"/>
        </w:rPr>
        <w:t>Pozn.: Jiné zdroje budou zasílány z EIS pouze s RoPD (vyjma tohoto stavu nebude nezbytné jiné zdroje aktualizovat).</w:t>
      </w:r>
    </w:p>
    <w:p w:rsidR="005733E8" w:rsidRPr="009101E4" w:rsidRDefault="005733E8" w:rsidP="009101E4">
      <w:pPr>
        <w:pStyle w:val="Odstavecseseznamem"/>
        <w:spacing w:after="120" w:line="240" w:lineRule="auto"/>
        <w:contextualSpacing w:val="0"/>
        <w:jc w:val="both"/>
        <w:rPr>
          <w:rFonts w:cstheme="minorHAnsi"/>
          <w:i/>
          <w:szCs w:val="22"/>
        </w:rPr>
      </w:pPr>
      <w:r w:rsidRPr="009101E4">
        <w:rPr>
          <w:rFonts w:cstheme="minorHAnsi"/>
          <w:i/>
          <w:szCs w:val="22"/>
        </w:rPr>
        <w:t>Pozn.: Jiné zdroje; peněžní zdroje financování programu nebo akce, které nejsou prostředky státního rozpočtu včetně vlastních zdrojů příjemce dotace, za jiné zdroje se nepovažuje dotace nebo návratná finanční výpomoc ze státního rozpočtu poskytnutá jiným poskytovatelem podle § 14 odst. 2 RP.</w:t>
      </w:r>
    </w:p>
    <w:p w:rsidR="005733E8" w:rsidRPr="009101E4" w:rsidRDefault="005733E8" w:rsidP="009101E4">
      <w:pPr>
        <w:pStyle w:val="Odstavecseseznamem"/>
        <w:numPr>
          <w:ilvl w:val="0"/>
          <w:numId w:val="12"/>
        </w:numPr>
        <w:spacing w:line="240" w:lineRule="auto"/>
        <w:ind w:hanging="357"/>
        <w:contextualSpacing w:val="0"/>
        <w:jc w:val="both"/>
        <w:rPr>
          <w:rFonts w:cstheme="minorHAnsi"/>
          <w:szCs w:val="22"/>
        </w:rPr>
      </w:pPr>
      <w:r w:rsidRPr="009101E4">
        <w:rPr>
          <w:rFonts w:cstheme="minorHAnsi"/>
          <w:szCs w:val="22"/>
        </w:rPr>
        <w:t>Poskytovatel dotace má možnost předat do IS ZED změny v atributech akce (§ 14 odst. 4 písm. a) – e) RP) včetně změn ve zdrojích.</w:t>
      </w:r>
    </w:p>
    <w:p w:rsidR="005733E8" w:rsidRPr="009101E4" w:rsidRDefault="005733E8" w:rsidP="009101E4">
      <w:pPr>
        <w:pStyle w:val="Odstavecseseznamem"/>
        <w:numPr>
          <w:ilvl w:val="0"/>
          <w:numId w:val="12"/>
        </w:numPr>
        <w:spacing w:after="120" w:line="240" w:lineRule="auto"/>
        <w:ind w:hanging="357"/>
        <w:contextualSpacing w:val="0"/>
        <w:jc w:val="both"/>
        <w:rPr>
          <w:rFonts w:cstheme="minorHAnsi"/>
          <w:szCs w:val="22"/>
        </w:rPr>
      </w:pPr>
      <w:r w:rsidRPr="009101E4">
        <w:rPr>
          <w:rFonts w:cstheme="minorHAnsi"/>
          <w:szCs w:val="22"/>
        </w:rPr>
        <w:t>Poskytovatel dotace zajistí pokrytí akce z rozpočtových prostředků v IISSP, a to buď během fáze přípravy rozpočtu (modul IISSP RISPR) nebo pomocí rozpočtového opatření (ROP v modulu IISSP RISRE), a to v obou případech ve vazbě na konkrétní akci. Informace o pokrytí akce rozpočtovými prostředky se bude automaticky aktualizovat v IS ZED z IISSP. IS ZED mj. umožní i automatické vytvoření vhodných nabídek návrhů ROP pro EIS na základě identifikace koruny přiřazené příslušné (nadřazené) agregační akce pro zjednodušení práce rozpočtářů Poskytovatele dotace.</w:t>
      </w:r>
    </w:p>
    <w:p w:rsidR="005733E8" w:rsidRPr="009101E4" w:rsidRDefault="005733E8" w:rsidP="009101E4">
      <w:pPr>
        <w:pStyle w:val="Odstavecseseznamem"/>
        <w:numPr>
          <w:ilvl w:val="0"/>
          <w:numId w:val="12"/>
        </w:numPr>
        <w:spacing w:after="120" w:line="240" w:lineRule="auto"/>
        <w:ind w:left="714" w:hanging="357"/>
        <w:contextualSpacing w:val="0"/>
        <w:jc w:val="both"/>
        <w:rPr>
          <w:rFonts w:cstheme="minorHAnsi"/>
          <w:szCs w:val="22"/>
        </w:rPr>
      </w:pPr>
      <w:r w:rsidRPr="009101E4">
        <w:rPr>
          <w:rFonts w:cstheme="minorHAnsi"/>
          <w:szCs w:val="22"/>
        </w:rPr>
        <w:t xml:space="preserve">Poskytovatel dotace (např. v EIS, IS VaVaI, atd.) vydá RoPD včetně čísla akce ZED, které získá při založení akce v IS ZED. Součástí datové věty pro předání RoPD je aktuální hodnota atributů akce </w:t>
      </w:r>
      <w:r w:rsidR="000B7A35">
        <w:rPr>
          <w:rFonts w:cstheme="minorHAnsi"/>
          <w:szCs w:val="22"/>
        </w:rPr>
        <w:br/>
      </w:r>
      <w:r w:rsidRPr="009101E4">
        <w:rPr>
          <w:rFonts w:cstheme="minorHAnsi"/>
          <w:szCs w:val="22"/>
        </w:rPr>
        <w:t xml:space="preserve">a materializovaná podoba RoPD (PDF).  </w:t>
      </w:r>
    </w:p>
    <w:p w:rsidR="005733E8" w:rsidRPr="009101E4" w:rsidRDefault="005733E8" w:rsidP="009101E4">
      <w:pPr>
        <w:pStyle w:val="Odstavecseseznamem"/>
        <w:numPr>
          <w:ilvl w:val="0"/>
          <w:numId w:val="12"/>
        </w:numPr>
        <w:spacing w:after="120" w:line="240" w:lineRule="auto"/>
        <w:contextualSpacing w:val="0"/>
        <w:jc w:val="both"/>
        <w:rPr>
          <w:rFonts w:cstheme="minorHAnsi"/>
          <w:szCs w:val="22"/>
        </w:rPr>
      </w:pPr>
      <w:r w:rsidRPr="009101E4">
        <w:rPr>
          <w:rFonts w:cstheme="minorHAnsi"/>
          <w:szCs w:val="22"/>
        </w:rPr>
        <w:t>V případě potřeby změny RoPD, vydá Poskytovatel dotace aktualizované RoPD dotace (např. v EIS, IS VaVaI, atd.), které je zasláno prostřednictvím rozhraní pro EIS do ZED obdobně jako v předcházejícím bodě.</w:t>
      </w:r>
    </w:p>
    <w:p w:rsidR="005733E8" w:rsidRPr="009101E4" w:rsidRDefault="005733E8" w:rsidP="009101E4">
      <w:pPr>
        <w:pStyle w:val="Odstavecseseznamem"/>
        <w:numPr>
          <w:ilvl w:val="0"/>
          <w:numId w:val="12"/>
        </w:numPr>
        <w:spacing w:after="120" w:line="240" w:lineRule="auto"/>
        <w:contextualSpacing w:val="0"/>
        <w:jc w:val="both"/>
        <w:rPr>
          <w:rFonts w:cstheme="minorHAnsi"/>
          <w:szCs w:val="22"/>
        </w:rPr>
      </w:pPr>
      <w:r w:rsidRPr="009101E4">
        <w:rPr>
          <w:rFonts w:cstheme="minorHAnsi"/>
          <w:szCs w:val="22"/>
        </w:rPr>
        <w:t>Zasílání identifikace koruny do ZED nebude součástí RoPD (součástí RoPD bude pouze číslo akce ZED). Veškerá rozpočtová data včetně identifikace koruny akcí ZED budou zasílána do ZED z IISSP průběžně (rozpočet, rozpočtová opatření, rezervace, skutečnost).</w:t>
      </w:r>
    </w:p>
    <w:p w:rsidR="005733E8" w:rsidRPr="009101E4" w:rsidRDefault="005733E8" w:rsidP="009101E4">
      <w:pPr>
        <w:pStyle w:val="Odstavecseseznamem"/>
        <w:spacing w:after="120" w:line="240" w:lineRule="auto"/>
        <w:contextualSpacing w:val="0"/>
        <w:jc w:val="both"/>
        <w:rPr>
          <w:rFonts w:cstheme="minorHAnsi"/>
          <w:szCs w:val="22"/>
        </w:rPr>
      </w:pPr>
      <w:r w:rsidRPr="009101E4">
        <w:rPr>
          <w:rFonts w:cstheme="minorHAnsi"/>
          <w:i/>
          <w:szCs w:val="22"/>
        </w:rPr>
        <w:t>Pozn.: Tento postup koresponduje s novelizací §34 odst. 4 RP (od 1. 1. 2022), podle kterého se rezervují prostředky státního rozpočtu před vydáním peněžních prostředků SR, nikoliv před vstupem do závazku. Touto změnou dochází k výraznému snížení předpokládané administrativní náročnosti, jíž se obávaly především řídicí orgány nepracující v současnosti postupy zavedenými v IS EDS/SMVS.</w:t>
      </w:r>
      <w:r w:rsidRPr="009101E4">
        <w:rPr>
          <w:rFonts w:cstheme="minorHAnsi"/>
          <w:szCs w:val="22"/>
        </w:rPr>
        <w:t> </w:t>
      </w:r>
    </w:p>
    <w:p w:rsidR="008105AA" w:rsidRPr="009101E4" w:rsidRDefault="008105AA" w:rsidP="009101E4">
      <w:pPr>
        <w:spacing w:after="0" w:line="240" w:lineRule="auto"/>
        <w:jc w:val="both"/>
        <w:rPr>
          <w:rFonts w:cstheme="minorHAnsi"/>
          <w:szCs w:val="22"/>
        </w:rPr>
        <w:sectPr w:rsidR="008105AA" w:rsidRPr="009101E4" w:rsidSect="009D0BF7">
          <w:type w:val="continuous"/>
          <w:pgSz w:w="11906" w:h="16838"/>
          <w:pgMar w:top="567" w:right="1134" w:bottom="1134" w:left="1134" w:header="0" w:footer="567" w:gutter="0"/>
          <w:cols w:space="708"/>
          <w:formProt w:val="0"/>
          <w:docGrid w:linePitch="360"/>
        </w:sectPr>
      </w:pPr>
    </w:p>
    <w:p w:rsidR="00561301" w:rsidRPr="009101E4" w:rsidRDefault="00561301" w:rsidP="009101E4">
      <w:pPr>
        <w:pStyle w:val="Nadpis1"/>
        <w:spacing w:after="0" w:line="240" w:lineRule="auto"/>
        <w:jc w:val="both"/>
        <w:rPr>
          <w:rFonts w:asciiTheme="minorHAnsi" w:hAnsiTheme="minorHAnsi" w:cstheme="minorHAnsi"/>
          <w:sz w:val="22"/>
          <w:szCs w:val="22"/>
        </w:rPr>
      </w:pPr>
      <w:r w:rsidRPr="009101E4">
        <w:rPr>
          <w:rFonts w:asciiTheme="minorHAnsi" w:hAnsiTheme="minorHAnsi" w:cstheme="minorHAnsi"/>
          <w:sz w:val="22"/>
          <w:szCs w:val="22"/>
        </w:rPr>
        <w:t xml:space="preserve">Závěry </w:t>
      </w:r>
    </w:p>
    <w:p w:rsidR="00561301" w:rsidRPr="009101E4" w:rsidRDefault="00561301" w:rsidP="009101E4">
      <w:pPr>
        <w:pStyle w:val="Nadpis1"/>
        <w:spacing w:after="0" w:line="240" w:lineRule="auto"/>
        <w:jc w:val="both"/>
        <w:rPr>
          <w:rFonts w:asciiTheme="minorHAnsi" w:hAnsiTheme="minorHAnsi" w:cstheme="minorHAnsi"/>
          <w:sz w:val="22"/>
          <w:szCs w:val="22"/>
        </w:rPr>
        <w:sectPr w:rsidR="00561301" w:rsidRPr="009101E4" w:rsidSect="009D0BF7">
          <w:type w:val="continuous"/>
          <w:pgSz w:w="11906" w:h="16838"/>
          <w:pgMar w:top="567" w:right="1134" w:bottom="1134" w:left="1134" w:header="0" w:footer="567" w:gutter="0"/>
          <w:cols w:space="708"/>
          <w:docGrid w:linePitch="360"/>
        </w:sectPr>
      </w:pPr>
    </w:p>
    <w:p w:rsidR="00BE2193" w:rsidRDefault="006F15D7" w:rsidP="00BE2193">
      <w:pPr>
        <w:pStyle w:val="Odstavecseseznamem"/>
        <w:numPr>
          <w:ilvl w:val="0"/>
          <w:numId w:val="16"/>
        </w:numPr>
        <w:spacing w:line="240" w:lineRule="auto"/>
        <w:contextualSpacing w:val="0"/>
        <w:jc w:val="both"/>
        <w:rPr>
          <w:rFonts w:cstheme="minorHAnsi"/>
          <w:szCs w:val="22"/>
        </w:rPr>
      </w:pPr>
      <w:r w:rsidRPr="009101E4">
        <w:rPr>
          <w:rFonts w:cstheme="minorHAnsi"/>
          <w:szCs w:val="22"/>
        </w:rPr>
        <w:t xml:space="preserve">IS </w:t>
      </w:r>
      <w:proofErr w:type="spellStart"/>
      <w:r w:rsidRPr="009101E4">
        <w:rPr>
          <w:rFonts w:cstheme="minorHAnsi"/>
          <w:szCs w:val="22"/>
        </w:rPr>
        <w:t>VaVaI</w:t>
      </w:r>
      <w:proofErr w:type="spellEnd"/>
      <w:r w:rsidRPr="009101E4">
        <w:rPr>
          <w:rFonts w:cstheme="minorHAnsi"/>
          <w:szCs w:val="22"/>
        </w:rPr>
        <w:t xml:space="preserve"> v tuto chvíli neeviduje </w:t>
      </w:r>
      <w:r w:rsidR="002A35A4" w:rsidRPr="009101E4">
        <w:rPr>
          <w:rFonts w:cstheme="minorHAnsi"/>
          <w:szCs w:val="22"/>
        </w:rPr>
        <w:t>dohody</w:t>
      </w:r>
      <w:r w:rsidRPr="009101E4">
        <w:rPr>
          <w:rFonts w:cstheme="minorHAnsi"/>
          <w:szCs w:val="22"/>
        </w:rPr>
        <w:t xml:space="preserve"> o poskytnutí dotace</w:t>
      </w:r>
      <w:r w:rsidR="00D66CA0" w:rsidRPr="009101E4">
        <w:rPr>
          <w:rFonts w:cstheme="minorHAnsi"/>
          <w:szCs w:val="22"/>
        </w:rPr>
        <w:t xml:space="preserve"> – potřeba </w:t>
      </w:r>
      <w:r w:rsidR="002A35A4" w:rsidRPr="009101E4">
        <w:rPr>
          <w:rFonts w:cstheme="minorHAnsi"/>
          <w:szCs w:val="22"/>
        </w:rPr>
        <w:t xml:space="preserve">dořešit </w:t>
      </w:r>
      <w:r w:rsidRPr="009101E4">
        <w:rPr>
          <w:rFonts w:cstheme="minorHAnsi"/>
          <w:szCs w:val="22"/>
        </w:rPr>
        <w:t>z</w:t>
      </w:r>
      <w:r w:rsidR="00553148">
        <w:rPr>
          <w:rFonts w:cstheme="minorHAnsi"/>
          <w:szCs w:val="22"/>
        </w:rPr>
        <w:t>působ přenosu stejnopisu dohody. ÚV navrhuje předávat</w:t>
      </w:r>
      <w:r w:rsidR="00D66CA0" w:rsidRPr="009101E4">
        <w:rPr>
          <w:rFonts w:cstheme="minorHAnsi"/>
          <w:szCs w:val="22"/>
        </w:rPr>
        <w:t xml:space="preserve"> </w:t>
      </w:r>
      <w:r w:rsidR="00553148">
        <w:rPr>
          <w:rFonts w:cstheme="minorHAnsi"/>
          <w:szCs w:val="22"/>
        </w:rPr>
        <w:t xml:space="preserve">dohodu o poskytnutí dotace odkazem na </w:t>
      </w:r>
      <w:r w:rsidRPr="009101E4">
        <w:rPr>
          <w:rFonts w:cstheme="minorHAnsi"/>
          <w:szCs w:val="22"/>
        </w:rPr>
        <w:t>uložiště</w:t>
      </w:r>
      <w:r w:rsidR="003839E5" w:rsidRPr="009101E4">
        <w:rPr>
          <w:rFonts w:cstheme="minorHAnsi"/>
          <w:szCs w:val="22"/>
        </w:rPr>
        <w:t>.</w:t>
      </w:r>
    </w:p>
    <w:p w:rsidR="00BE2193" w:rsidRDefault="00C1372E" w:rsidP="00BE2193">
      <w:pPr>
        <w:pStyle w:val="Odstavecseseznamem"/>
        <w:numPr>
          <w:ilvl w:val="0"/>
          <w:numId w:val="16"/>
        </w:numPr>
        <w:spacing w:line="240" w:lineRule="auto"/>
        <w:contextualSpacing w:val="0"/>
        <w:jc w:val="both"/>
        <w:rPr>
          <w:rFonts w:cstheme="minorHAnsi"/>
          <w:szCs w:val="22"/>
        </w:rPr>
      </w:pPr>
      <w:r w:rsidRPr="00BE2193">
        <w:rPr>
          <w:rFonts w:cstheme="minorHAnsi"/>
          <w:szCs w:val="22"/>
        </w:rPr>
        <w:t>Zadávací dokument</w:t>
      </w:r>
      <w:r w:rsidR="009101E4" w:rsidRPr="00BE2193">
        <w:rPr>
          <w:rFonts w:cstheme="minorHAnsi"/>
          <w:szCs w:val="22"/>
        </w:rPr>
        <w:t>ace, respektive F</w:t>
      </w:r>
      <w:r w:rsidRPr="00BE2193">
        <w:rPr>
          <w:rFonts w:cstheme="minorHAnsi"/>
          <w:szCs w:val="22"/>
        </w:rPr>
        <w:t xml:space="preserve">unkční a technické požadavky </w:t>
      </w:r>
      <w:proofErr w:type="gramStart"/>
      <w:r w:rsidRPr="00BE2193">
        <w:rPr>
          <w:rFonts w:cstheme="minorHAnsi"/>
          <w:szCs w:val="22"/>
        </w:rPr>
        <w:t>na</w:t>
      </w:r>
      <w:proofErr w:type="gramEnd"/>
      <w:r w:rsidRPr="00BE2193">
        <w:rPr>
          <w:rFonts w:cstheme="minorHAnsi"/>
          <w:szCs w:val="22"/>
        </w:rPr>
        <w:t xml:space="preserve"> IS ZED</w:t>
      </w:r>
      <w:r w:rsidR="00BE2193">
        <w:rPr>
          <w:rFonts w:cstheme="minorHAnsi"/>
          <w:szCs w:val="22"/>
        </w:rPr>
        <w:t xml:space="preserve"> jsou</w:t>
      </w:r>
      <w:r w:rsidRPr="00BE2193">
        <w:rPr>
          <w:rFonts w:cstheme="minorHAnsi"/>
          <w:szCs w:val="22"/>
        </w:rPr>
        <w:t xml:space="preserve"> dostupné zde: </w:t>
      </w:r>
      <w:hyperlink r:id="rId13" w:history="1">
        <w:r w:rsidRPr="00BE2193">
          <w:rPr>
            <w:rStyle w:val="Hypertextovodkaz"/>
            <w:rFonts w:cstheme="minorHAnsi"/>
            <w:szCs w:val="22"/>
          </w:rPr>
          <w:t>https://nen.nipez.cz/SeznamZadavacichPostupu/ZakladniInformaceOZadavacimPostupuM-1153525606-40452759/Zak</w:t>
        </w:r>
        <w:r w:rsidRPr="00BE2193">
          <w:rPr>
            <w:rStyle w:val="Hypertextovodkaz"/>
            <w:rFonts w:cstheme="minorHAnsi"/>
            <w:szCs w:val="22"/>
          </w:rPr>
          <w:t>l</w:t>
        </w:r>
        <w:r w:rsidRPr="00BE2193">
          <w:rPr>
            <w:rStyle w:val="Hypertextovodkaz"/>
            <w:rFonts w:cstheme="minorHAnsi"/>
            <w:szCs w:val="22"/>
          </w:rPr>
          <w:t>adniInformaceOZadavacimPostupu-1153525606-40452759/</w:t>
        </w:r>
      </w:hyperlink>
      <w:r w:rsidRPr="00BE2193">
        <w:rPr>
          <w:rFonts w:cstheme="minorHAnsi"/>
          <w:szCs w:val="22"/>
        </w:rPr>
        <w:t xml:space="preserve"> </w:t>
      </w:r>
    </w:p>
    <w:p w:rsidR="009101E4" w:rsidRPr="00BE2193" w:rsidRDefault="004475EF" w:rsidP="00BE2193">
      <w:pPr>
        <w:pStyle w:val="Odstavecseseznamem"/>
        <w:numPr>
          <w:ilvl w:val="0"/>
          <w:numId w:val="16"/>
        </w:numPr>
        <w:spacing w:line="240" w:lineRule="auto"/>
        <w:contextualSpacing w:val="0"/>
        <w:jc w:val="both"/>
        <w:rPr>
          <w:rFonts w:cstheme="minorHAnsi"/>
          <w:szCs w:val="22"/>
        </w:rPr>
      </w:pPr>
      <w:r w:rsidRPr="00BE2193">
        <w:rPr>
          <w:rFonts w:cstheme="minorHAnsi"/>
          <w:szCs w:val="22"/>
        </w:rPr>
        <w:t xml:space="preserve">Na základě dohody </w:t>
      </w:r>
      <w:r w:rsidR="009101E4" w:rsidRPr="00BE2193">
        <w:rPr>
          <w:rFonts w:cstheme="minorHAnsi"/>
          <w:szCs w:val="22"/>
        </w:rPr>
        <w:t>svolá</w:t>
      </w:r>
      <w:r w:rsidR="00BE2193" w:rsidRPr="00BE2193">
        <w:rPr>
          <w:rFonts w:cstheme="minorHAnsi"/>
          <w:szCs w:val="22"/>
        </w:rPr>
        <w:t xml:space="preserve"> </w:t>
      </w:r>
      <w:r w:rsidR="00BE2193" w:rsidRPr="00BE2193">
        <w:rPr>
          <w:rFonts w:cstheme="minorHAnsi"/>
          <w:szCs w:val="22"/>
        </w:rPr>
        <w:t>MF</w:t>
      </w:r>
      <w:r w:rsidR="009101E4" w:rsidRPr="00BE2193">
        <w:rPr>
          <w:rFonts w:cstheme="minorHAnsi"/>
          <w:szCs w:val="22"/>
        </w:rPr>
        <w:t xml:space="preserve"> další jednání po 28. 7. 2021. </w:t>
      </w:r>
    </w:p>
    <w:p w:rsidR="00302F92" w:rsidRPr="009101E4" w:rsidRDefault="00302F92" w:rsidP="009101E4">
      <w:pPr>
        <w:pStyle w:val="Nadpis1"/>
        <w:spacing w:after="0" w:line="240" w:lineRule="auto"/>
        <w:jc w:val="both"/>
        <w:rPr>
          <w:rFonts w:asciiTheme="minorHAnsi" w:hAnsiTheme="minorHAnsi" w:cstheme="minorHAnsi"/>
          <w:sz w:val="22"/>
          <w:szCs w:val="22"/>
        </w:rPr>
        <w:sectPr w:rsidR="00302F92" w:rsidRPr="009101E4" w:rsidSect="009D0BF7">
          <w:footerReference w:type="default" r:id="rId14"/>
          <w:type w:val="continuous"/>
          <w:pgSz w:w="11906" w:h="16838"/>
          <w:pgMar w:top="567" w:right="1134" w:bottom="1134" w:left="1134" w:header="0" w:footer="567" w:gutter="0"/>
          <w:cols w:space="708"/>
          <w:docGrid w:linePitch="360"/>
        </w:sectPr>
      </w:pPr>
      <w:r w:rsidRPr="009101E4">
        <w:rPr>
          <w:rFonts w:asciiTheme="minorHAnsi" w:hAnsiTheme="minorHAnsi" w:cstheme="minorHAnsi"/>
          <w:sz w:val="22"/>
          <w:szCs w:val="22"/>
        </w:rPr>
        <w:t>Účastníci</w:t>
      </w:r>
    </w:p>
    <w:tbl>
      <w:tblPr>
        <w:tblW w:w="10060" w:type="dxa"/>
        <w:tblCellMar>
          <w:left w:w="70" w:type="dxa"/>
          <w:right w:w="70" w:type="dxa"/>
        </w:tblCellMar>
        <w:tblLook w:val="04A0" w:firstRow="1" w:lastRow="0" w:firstColumn="1" w:lastColumn="0" w:noHBand="0" w:noVBand="1"/>
      </w:tblPr>
      <w:tblGrid>
        <w:gridCol w:w="1460"/>
        <w:gridCol w:w="3580"/>
        <w:gridCol w:w="5020"/>
      </w:tblGrid>
      <w:tr w:rsidR="00302F92" w:rsidRPr="009101E4" w:rsidTr="00F80F72">
        <w:trPr>
          <w:trHeight w:val="27"/>
        </w:trPr>
        <w:tc>
          <w:tcPr>
            <w:tcW w:w="1460"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302F92" w:rsidRPr="009101E4" w:rsidRDefault="00CC15D8" w:rsidP="009101E4">
            <w:pPr>
              <w:spacing w:after="0" w:line="240" w:lineRule="auto"/>
              <w:jc w:val="both"/>
              <w:rPr>
                <w:rFonts w:cstheme="minorHAnsi"/>
                <w:b/>
                <w:bCs/>
                <w:color w:val="000000"/>
                <w:szCs w:val="22"/>
                <w:lang w:eastAsia="cs-CZ"/>
              </w:rPr>
            </w:pPr>
            <w:r w:rsidRPr="009101E4">
              <w:rPr>
                <w:rFonts w:cstheme="minorHAnsi"/>
                <w:b/>
                <w:bCs/>
                <w:color w:val="000000"/>
                <w:szCs w:val="22"/>
                <w:lang w:eastAsia="cs-CZ"/>
              </w:rPr>
              <w:t>resort</w:t>
            </w:r>
          </w:p>
        </w:tc>
        <w:tc>
          <w:tcPr>
            <w:tcW w:w="3580" w:type="dxa"/>
            <w:tcBorders>
              <w:top w:val="single" w:sz="8" w:space="0" w:color="auto"/>
              <w:left w:val="nil"/>
              <w:bottom w:val="single" w:sz="4" w:space="0" w:color="auto"/>
              <w:right w:val="single" w:sz="4" w:space="0" w:color="auto"/>
            </w:tcBorders>
            <w:shd w:val="clear" w:color="auto" w:fill="auto"/>
            <w:noWrap/>
            <w:vAlign w:val="bottom"/>
            <w:hideMark/>
          </w:tcPr>
          <w:p w:rsidR="00302F92" w:rsidRPr="009101E4" w:rsidRDefault="00CC15D8" w:rsidP="009101E4">
            <w:pPr>
              <w:spacing w:after="0" w:line="240" w:lineRule="auto"/>
              <w:jc w:val="both"/>
              <w:rPr>
                <w:rFonts w:cstheme="minorHAnsi"/>
                <w:b/>
                <w:bCs/>
                <w:color w:val="000000"/>
                <w:szCs w:val="22"/>
                <w:lang w:eastAsia="cs-CZ"/>
              </w:rPr>
            </w:pPr>
            <w:r w:rsidRPr="009101E4">
              <w:rPr>
                <w:rFonts w:cstheme="minorHAnsi"/>
                <w:b/>
                <w:bCs/>
                <w:color w:val="000000"/>
                <w:szCs w:val="22"/>
                <w:lang w:eastAsia="cs-CZ"/>
              </w:rPr>
              <w:t>jméno</w:t>
            </w:r>
          </w:p>
        </w:tc>
        <w:tc>
          <w:tcPr>
            <w:tcW w:w="5020" w:type="dxa"/>
            <w:tcBorders>
              <w:top w:val="single" w:sz="8" w:space="0" w:color="auto"/>
              <w:left w:val="nil"/>
              <w:bottom w:val="single" w:sz="4" w:space="0" w:color="auto"/>
              <w:right w:val="single" w:sz="4" w:space="0" w:color="auto"/>
            </w:tcBorders>
            <w:shd w:val="clear" w:color="auto" w:fill="auto"/>
            <w:noWrap/>
            <w:vAlign w:val="bottom"/>
            <w:hideMark/>
          </w:tcPr>
          <w:p w:rsidR="00302F92" w:rsidRPr="009101E4" w:rsidRDefault="00CC15D8" w:rsidP="009101E4">
            <w:pPr>
              <w:spacing w:after="0" w:line="240" w:lineRule="auto"/>
              <w:jc w:val="both"/>
              <w:rPr>
                <w:rFonts w:cstheme="minorHAnsi"/>
                <w:b/>
                <w:color w:val="000000"/>
                <w:szCs w:val="22"/>
                <w:lang w:eastAsia="cs-CZ"/>
              </w:rPr>
            </w:pPr>
            <w:r w:rsidRPr="009101E4">
              <w:rPr>
                <w:rFonts w:cstheme="minorHAnsi"/>
                <w:b/>
                <w:color w:val="000000"/>
                <w:szCs w:val="22"/>
                <w:lang w:eastAsia="cs-CZ"/>
              </w:rPr>
              <w:t>e-mail</w:t>
            </w:r>
          </w:p>
        </w:tc>
      </w:tr>
      <w:tr w:rsidR="00CC15D8" w:rsidRPr="009101E4" w:rsidTr="00CC15D8">
        <w:trPr>
          <w:trHeight w:val="162"/>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ÚV</w:t>
            </w:r>
          </w:p>
        </w:tc>
        <w:tc>
          <w:tcPr>
            <w:tcW w:w="3580" w:type="dxa"/>
            <w:tcBorders>
              <w:top w:val="nil"/>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Jan Marek</w:t>
            </w:r>
          </w:p>
        </w:tc>
        <w:tc>
          <w:tcPr>
            <w:tcW w:w="5020" w:type="dxa"/>
            <w:tcBorders>
              <w:top w:val="nil"/>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563C1"/>
                <w:szCs w:val="22"/>
                <w:u w:val="single"/>
                <w:lang w:eastAsia="cs-CZ"/>
              </w:rPr>
            </w:pPr>
          </w:p>
        </w:tc>
      </w:tr>
      <w:tr w:rsidR="00CC15D8" w:rsidRPr="009101E4" w:rsidTr="00CC15D8">
        <w:trPr>
          <w:trHeight w:val="145"/>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ÚV</w:t>
            </w:r>
          </w:p>
        </w:tc>
        <w:tc>
          <w:tcPr>
            <w:tcW w:w="3580" w:type="dxa"/>
            <w:tcBorders>
              <w:top w:val="single" w:sz="4" w:space="0" w:color="auto"/>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Miroslav Rychtařík</w:t>
            </w:r>
          </w:p>
        </w:tc>
        <w:tc>
          <w:tcPr>
            <w:tcW w:w="5020" w:type="dxa"/>
            <w:tcBorders>
              <w:top w:val="single" w:sz="4" w:space="0" w:color="auto"/>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563C1"/>
                <w:szCs w:val="22"/>
                <w:u w:val="single"/>
                <w:lang w:eastAsia="cs-CZ"/>
              </w:rPr>
            </w:pPr>
          </w:p>
        </w:tc>
      </w:tr>
      <w:tr w:rsidR="00CC15D8" w:rsidRPr="009101E4" w:rsidTr="00CC15D8">
        <w:trPr>
          <w:trHeight w:val="120"/>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MF</w:t>
            </w:r>
          </w:p>
        </w:tc>
        <w:tc>
          <w:tcPr>
            <w:tcW w:w="3580" w:type="dxa"/>
            <w:tcBorders>
              <w:top w:val="single" w:sz="4" w:space="0" w:color="auto"/>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 xml:space="preserve">Lenka Kubíčková </w:t>
            </w:r>
          </w:p>
        </w:tc>
        <w:tc>
          <w:tcPr>
            <w:tcW w:w="5020" w:type="dxa"/>
            <w:tcBorders>
              <w:top w:val="single" w:sz="4" w:space="0" w:color="auto"/>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563C1"/>
                <w:szCs w:val="22"/>
                <w:u w:val="single"/>
                <w:lang w:eastAsia="cs-CZ"/>
              </w:rPr>
            </w:pPr>
            <w:r w:rsidRPr="009101E4">
              <w:rPr>
                <w:rFonts w:cstheme="minorHAnsi"/>
                <w:color w:val="0563C1"/>
                <w:szCs w:val="22"/>
                <w:u w:val="single"/>
                <w:lang w:eastAsia="cs-CZ"/>
              </w:rPr>
              <w:t>Lenka.Kubickova@mfcr.cz</w:t>
            </w:r>
          </w:p>
        </w:tc>
      </w:tr>
      <w:tr w:rsidR="00CC15D8" w:rsidRPr="009101E4" w:rsidTr="00F80F72">
        <w:trPr>
          <w:trHeight w:val="37"/>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 xml:space="preserve">MF </w:t>
            </w:r>
          </w:p>
        </w:tc>
        <w:tc>
          <w:tcPr>
            <w:tcW w:w="3580" w:type="dxa"/>
            <w:tcBorders>
              <w:top w:val="nil"/>
              <w:left w:val="nil"/>
              <w:bottom w:val="single" w:sz="4" w:space="0" w:color="auto"/>
              <w:right w:val="single" w:sz="4" w:space="0" w:color="auto"/>
            </w:tcBorders>
            <w:shd w:val="clear" w:color="auto" w:fill="auto"/>
            <w:vAlign w:val="center"/>
            <w:hideMark/>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 xml:space="preserve">Drahomíra Šoltová </w:t>
            </w:r>
          </w:p>
        </w:tc>
        <w:tc>
          <w:tcPr>
            <w:tcW w:w="5020" w:type="dxa"/>
            <w:tcBorders>
              <w:top w:val="nil"/>
              <w:left w:val="nil"/>
              <w:bottom w:val="single" w:sz="4" w:space="0" w:color="auto"/>
              <w:right w:val="single" w:sz="4" w:space="0" w:color="auto"/>
            </w:tcBorders>
            <w:shd w:val="clear" w:color="auto" w:fill="auto"/>
            <w:vAlign w:val="center"/>
            <w:hideMark/>
          </w:tcPr>
          <w:p w:rsidR="00CC15D8" w:rsidRPr="009101E4" w:rsidRDefault="00CC15D8" w:rsidP="009101E4">
            <w:pPr>
              <w:spacing w:after="0" w:line="240" w:lineRule="auto"/>
              <w:jc w:val="both"/>
              <w:rPr>
                <w:rFonts w:cstheme="minorHAnsi"/>
                <w:color w:val="0563C1"/>
                <w:szCs w:val="22"/>
                <w:u w:val="single"/>
                <w:lang w:eastAsia="cs-CZ"/>
              </w:rPr>
            </w:pPr>
          </w:p>
        </w:tc>
      </w:tr>
      <w:tr w:rsidR="00CC15D8" w:rsidRPr="009101E4" w:rsidTr="00F80F72">
        <w:trPr>
          <w:trHeight w:val="37"/>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 xml:space="preserve">MF </w:t>
            </w:r>
          </w:p>
        </w:tc>
        <w:tc>
          <w:tcPr>
            <w:tcW w:w="3580" w:type="dxa"/>
            <w:tcBorders>
              <w:top w:val="nil"/>
              <w:left w:val="nil"/>
              <w:bottom w:val="single" w:sz="4" w:space="0" w:color="auto"/>
              <w:right w:val="single" w:sz="4" w:space="0" w:color="auto"/>
            </w:tcBorders>
            <w:shd w:val="clear" w:color="auto" w:fill="auto"/>
            <w:vAlign w:val="center"/>
            <w:hideMark/>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 xml:space="preserve">Eva Andrejková </w:t>
            </w:r>
          </w:p>
        </w:tc>
        <w:tc>
          <w:tcPr>
            <w:tcW w:w="5020" w:type="dxa"/>
            <w:tcBorders>
              <w:top w:val="nil"/>
              <w:left w:val="nil"/>
              <w:bottom w:val="single" w:sz="4" w:space="0" w:color="auto"/>
              <w:right w:val="single" w:sz="4" w:space="0" w:color="auto"/>
            </w:tcBorders>
            <w:shd w:val="clear" w:color="auto" w:fill="auto"/>
            <w:vAlign w:val="center"/>
            <w:hideMark/>
          </w:tcPr>
          <w:p w:rsidR="00CC15D8" w:rsidRPr="009101E4" w:rsidRDefault="00CC15D8" w:rsidP="009101E4">
            <w:pPr>
              <w:spacing w:after="0" w:line="240" w:lineRule="auto"/>
              <w:jc w:val="both"/>
              <w:rPr>
                <w:rFonts w:cstheme="minorHAnsi"/>
                <w:color w:val="0563C1"/>
                <w:szCs w:val="22"/>
                <w:u w:val="single"/>
                <w:lang w:eastAsia="cs-CZ"/>
              </w:rPr>
            </w:pPr>
          </w:p>
        </w:tc>
      </w:tr>
      <w:tr w:rsidR="00CC15D8" w:rsidRPr="009101E4" w:rsidTr="00F80F72">
        <w:trPr>
          <w:trHeight w:val="37"/>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MF</w:t>
            </w:r>
          </w:p>
        </w:tc>
        <w:tc>
          <w:tcPr>
            <w:tcW w:w="3580" w:type="dxa"/>
            <w:tcBorders>
              <w:top w:val="nil"/>
              <w:left w:val="nil"/>
              <w:bottom w:val="single" w:sz="4" w:space="0" w:color="auto"/>
              <w:right w:val="single" w:sz="4" w:space="0" w:color="auto"/>
            </w:tcBorders>
            <w:shd w:val="clear" w:color="auto" w:fill="auto"/>
            <w:vAlign w:val="center"/>
            <w:hideMark/>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 xml:space="preserve">Petr Kremla </w:t>
            </w:r>
          </w:p>
        </w:tc>
        <w:tc>
          <w:tcPr>
            <w:tcW w:w="5020" w:type="dxa"/>
            <w:tcBorders>
              <w:top w:val="nil"/>
              <w:left w:val="nil"/>
              <w:bottom w:val="single" w:sz="4" w:space="0" w:color="auto"/>
              <w:right w:val="single" w:sz="4" w:space="0" w:color="auto"/>
            </w:tcBorders>
            <w:shd w:val="clear" w:color="auto" w:fill="auto"/>
            <w:vAlign w:val="center"/>
            <w:hideMark/>
          </w:tcPr>
          <w:p w:rsidR="00CC15D8" w:rsidRPr="009101E4" w:rsidRDefault="00CC15D8" w:rsidP="009101E4">
            <w:pPr>
              <w:spacing w:after="0" w:line="240" w:lineRule="auto"/>
              <w:jc w:val="both"/>
              <w:rPr>
                <w:rFonts w:cstheme="minorHAnsi"/>
                <w:color w:val="0563C1"/>
                <w:szCs w:val="22"/>
                <w:u w:val="single"/>
                <w:lang w:eastAsia="cs-CZ"/>
              </w:rPr>
            </w:pPr>
            <w:r w:rsidRPr="009101E4">
              <w:rPr>
                <w:rFonts w:cstheme="minorHAnsi"/>
                <w:color w:val="0563C1"/>
                <w:szCs w:val="22"/>
                <w:u w:val="single"/>
                <w:lang w:eastAsia="cs-CZ"/>
              </w:rPr>
              <w:t>pkremla@gmail.com</w:t>
            </w:r>
          </w:p>
        </w:tc>
      </w:tr>
      <w:tr w:rsidR="00CC15D8" w:rsidRPr="009101E4" w:rsidTr="00F80F72">
        <w:trPr>
          <w:trHeight w:val="37"/>
        </w:trPr>
        <w:tc>
          <w:tcPr>
            <w:tcW w:w="1460" w:type="dxa"/>
            <w:tcBorders>
              <w:top w:val="nil"/>
              <w:left w:val="single" w:sz="4" w:space="0" w:color="auto"/>
              <w:bottom w:val="single" w:sz="4" w:space="0" w:color="auto"/>
              <w:right w:val="single" w:sz="4" w:space="0" w:color="auto"/>
            </w:tcBorders>
            <w:shd w:val="clear" w:color="auto" w:fill="auto"/>
            <w:noWrap/>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MF</w:t>
            </w:r>
          </w:p>
        </w:tc>
        <w:tc>
          <w:tcPr>
            <w:tcW w:w="3580" w:type="dxa"/>
            <w:tcBorders>
              <w:top w:val="nil"/>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Tomáš Červ</w:t>
            </w:r>
          </w:p>
        </w:tc>
        <w:tc>
          <w:tcPr>
            <w:tcW w:w="5020" w:type="dxa"/>
            <w:tcBorders>
              <w:top w:val="nil"/>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563C1"/>
                <w:szCs w:val="22"/>
                <w:u w:val="single"/>
                <w:lang w:eastAsia="cs-CZ"/>
              </w:rPr>
            </w:pPr>
            <w:r w:rsidRPr="009101E4">
              <w:rPr>
                <w:rFonts w:cstheme="minorHAnsi"/>
                <w:color w:val="0563C1"/>
                <w:szCs w:val="22"/>
                <w:u w:val="single"/>
                <w:lang w:eastAsia="cs-CZ"/>
              </w:rPr>
              <w:t>tomas.cerv.600@gmail.com</w:t>
            </w:r>
          </w:p>
        </w:tc>
      </w:tr>
      <w:tr w:rsidR="00CC15D8" w:rsidRPr="009101E4" w:rsidTr="00F80F72">
        <w:trPr>
          <w:trHeight w:val="37"/>
        </w:trPr>
        <w:tc>
          <w:tcPr>
            <w:tcW w:w="1460" w:type="dxa"/>
            <w:tcBorders>
              <w:top w:val="nil"/>
              <w:left w:val="single" w:sz="4" w:space="0" w:color="auto"/>
              <w:bottom w:val="single" w:sz="4" w:space="0" w:color="auto"/>
              <w:right w:val="single" w:sz="4" w:space="0" w:color="auto"/>
            </w:tcBorders>
            <w:shd w:val="clear" w:color="auto" w:fill="auto"/>
            <w:noWrap/>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MF</w:t>
            </w:r>
          </w:p>
        </w:tc>
        <w:tc>
          <w:tcPr>
            <w:tcW w:w="3580" w:type="dxa"/>
            <w:tcBorders>
              <w:top w:val="nil"/>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Vítězslav Dvořák</w:t>
            </w:r>
          </w:p>
        </w:tc>
        <w:tc>
          <w:tcPr>
            <w:tcW w:w="5020" w:type="dxa"/>
            <w:tcBorders>
              <w:top w:val="nil"/>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563C1"/>
                <w:szCs w:val="22"/>
                <w:u w:val="single"/>
                <w:lang w:eastAsia="cs-CZ"/>
              </w:rPr>
            </w:pPr>
            <w:r w:rsidRPr="009101E4">
              <w:rPr>
                <w:rFonts w:cstheme="minorHAnsi"/>
                <w:color w:val="0563C1"/>
                <w:szCs w:val="22"/>
                <w:u w:val="single"/>
                <w:lang w:eastAsia="cs-CZ"/>
              </w:rPr>
              <w:t>Vitezslav.Dvorak@mfcr.cz</w:t>
            </w:r>
          </w:p>
        </w:tc>
      </w:tr>
      <w:tr w:rsidR="00CC15D8" w:rsidRPr="009101E4" w:rsidTr="00F80F72">
        <w:trPr>
          <w:trHeight w:val="37"/>
        </w:trPr>
        <w:tc>
          <w:tcPr>
            <w:tcW w:w="1460" w:type="dxa"/>
            <w:tcBorders>
              <w:top w:val="nil"/>
              <w:left w:val="single" w:sz="4" w:space="0" w:color="auto"/>
              <w:bottom w:val="single" w:sz="4" w:space="0" w:color="auto"/>
              <w:right w:val="single" w:sz="4" w:space="0" w:color="auto"/>
            </w:tcBorders>
            <w:shd w:val="clear" w:color="auto" w:fill="auto"/>
            <w:noWrap/>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MF</w:t>
            </w:r>
          </w:p>
        </w:tc>
        <w:tc>
          <w:tcPr>
            <w:tcW w:w="3580" w:type="dxa"/>
            <w:tcBorders>
              <w:top w:val="nil"/>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00000"/>
                <w:szCs w:val="22"/>
                <w:lang w:eastAsia="cs-CZ"/>
              </w:rPr>
            </w:pPr>
            <w:r w:rsidRPr="009101E4">
              <w:rPr>
                <w:rFonts w:cstheme="minorHAnsi"/>
                <w:color w:val="000000"/>
                <w:szCs w:val="22"/>
                <w:lang w:eastAsia="cs-CZ"/>
              </w:rPr>
              <w:t>Marcel Kříž</w:t>
            </w:r>
          </w:p>
        </w:tc>
        <w:tc>
          <w:tcPr>
            <w:tcW w:w="5020" w:type="dxa"/>
            <w:tcBorders>
              <w:top w:val="nil"/>
              <w:left w:val="nil"/>
              <w:bottom w:val="single" w:sz="4" w:space="0" w:color="auto"/>
              <w:right w:val="single" w:sz="4" w:space="0" w:color="auto"/>
            </w:tcBorders>
            <w:shd w:val="clear" w:color="auto" w:fill="auto"/>
            <w:vAlign w:val="center"/>
          </w:tcPr>
          <w:p w:rsidR="00CC15D8" w:rsidRPr="009101E4" w:rsidRDefault="00CC15D8" w:rsidP="009101E4">
            <w:pPr>
              <w:spacing w:after="0" w:line="240" w:lineRule="auto"/>
              <w:jc w:val="both"/>
              <w:rPr>
                <w:rFonts w:cstheme="minorHAnsi"/>
                <w:color w:val="0563C1"/>
                <w:szCs w:val="22"/>
                <w:u w:val="single"/>
                <w:lang w:eastAsia="cs-CZ"/>
              </w:rPr>
            </w:pPr>
          </w:p>
        </w:tc>
      </w:tr>
    </w:tbl>
    <w:p w:rsidR="001A6496" w:rsidRPr="009101E4" w:rsidRDefault="001A6496" w:rsidP="009101E4">
      <w:pPr>
        <w:pStyle w:val="konec"/>
        <w:jc w:val="both"/>
        <w:rPr>
          <w:rFonts w:cstheme="minorHAnsi"/>
          <w:sz w:val="22"/>
          <w:szCs w:val="22"/>
        </w:rPr>
      </w:pPr>
    </w:p>
    <w:sectPr w:rsidR="001A6496" w:rsidRPr="009101E4" w:rsidSect="009D0BF7">
      <w:type w:val="continuous"/>
      <w:pgSz w:w="11906" w:h="16838"/>
      <w:pgMar w:top="567" w:right="1134" w:bottom="1134" w:left="1134"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6BD" w:rsidRDefault="00A136BD" w:rsidP="00C03D2A">
      <w:pPr>
        <w:spacing w:after="0" w:line="240" w:lineRule="auto"/>
      </w:pPr>
      <w:r>
        <w:separator/>
      </w:r>
    </w:p>
  </w:endnote>
  <w:endnote w:type="continuationSeparator" w:id="0">
    <w:p w:rsidR="00A136BD" w:rsidRDefault="00A136BD" w:rsidP="00C0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KGinisSmall">
    <w:altName w:val="Trebuchet MS"/>
    <w:charset w:val="EE"/>
    <w:family w:val="swiss"/>
    <w:pitch w:val="variable"/>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F00" w:rsidRDefault="009D2976" w:rsidP="00835964">
    <w:pPr>
      <w:pStyle w:val="Zpat"/>
    </w:pPr>
    <w:r>
      <w:rPr>
        <w:rStyle w:val="slostrnky"/>
      </w:rPr>
      <w:fldChar w:fldCharType="begin"/>
    </w:r>
    <w:r>
      <w:rPr>
        <w:rStyle w:val="slostrnky"/>
      </w:rPr>
      <w:instrText xml:space="preserve"> PAGE </w:instrText>
    </w:r>
    <w:r>
      <w:rPr>
        <w:rStyle w:val="slostrnky"/>
      </w:rPr>
      <w:fldChar w:fldCharType="separate"/>
    </w:r>
    <w:r w:rsidR="00E95AFA">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E95AFA">
      <w:rPr>
        <w:rStyle w:val="slostrnky"/>
        <w:noProof/>
      </w:rPr>
      <w:t>5</w:t>
    </w:r>
    <w:r>
      <w:rPr>
        <w:rStyle w:val="slostrnky"/>
      </w:rPr>
      <w:fldChar w:fldCharType="end"/>
    </w:r>
    <w:r>
      <w:rPr>
        <w:rStyle w:val="slostrnky"/>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301" w:rsidRDefault="00561301">
    <w:pPr>
      <w:pStyle w:val="Zpat"/>
    </w:pPr>
    <w:r>
      <w:rPr>
        <w:rStyle w:val="slostrnky"/>
      </w:rPr>
      <w:fldChar w:fldCharType="begin"/>
    </w:r>
    <w:r>
      <w:rPr>
        <w:rStyle w:val="slostrnky"/>
      </w:rPr>
      <w:instrText xml:space="preserve"> PAGE </w:instrText>
    </w:r>
    <w:r>
      <w:rPr>
        <w:rStyle w:val="slostrnky"/>
      </w:rPr>
      <w:fldChar w:fldCharType="separate"/>
    </w:r>
    <w:r w:rsidR="006D7BA0">
      <w:rPr>
        <w:rStyle w:val="slostrnky"/>
        <w:noProof/>
      </w:rPr>
      <w:t>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6D7BA0">
      <w:rPr>
        <w:rStyle w:val="slostrnky"/>
        <w:noProof/>
      </w:rPr>
      <w:t>5</w:t>
    </w:r>
    <w:r>
      <w:rPr>
        <w:rStyle w:val="slostrnky"/>
      </w:rPr>
      <w:fldChar w:fldCharType="end"/>
    </w:r>
    <w:r>
      <w:rPr>
        <w:rStyle w:val="slostrnky"/>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F92" w:rsidRDefault="00302F92">
    <w:pPr>
      <w:pStyle w:val="Zpat"/>
    </w:pPr>
    <w:r>
      <w:rPr>
        <w:rStyle w:val="slostrnky"/>
      </w:rPr>
      <w:fldChar w:fldCharType="begin"/>
    </w:r>
    <w:r>
      <w:rPr>
        <w:rStyle w:val="slostrnky"/>
      </w:rPr>
      <w:instrText xml:space="preserve"> PAGE </w:instrText>
    </w:r>
    <w:r>
      <w:rPr>
        <w:rStyle w:val="slostrnky"/>
      </w:rPr>
      <w:fldChar w:fldCharType="separate"/>
    </w:r>
    <w:r w:rsidR="00E95AFA">
      <w:rPr>
        <w:rStyle w:val="slostrnky"/>
        <w:noProof/>
      </w:rPr>
      <w:t>5</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E95AFA">
      <w:rPr>
        <w:rStyle w:val="slostrnky"/>
        <w:noProof/>
      </w:rPr>
      <w:t>5</w:t>
    </w:r>
    <w:r>
      <w:rPr>
        <w:rStyle w:val="slostrnky"/>
      </w:rPr>
      <w:fldChar w:fldCharType="end"/>
    </w:r>
    <w:r>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6BD" w:rsidRDefault="00A136BD" w:rsidP="00C03D2A">
      <w:pPr>
        <w:spacing w:after="0" w:line="240" w:lineRule="auto"/>
      </w:pPr>
      <w:r>
        <w:separator/>
      </w:r>
    </w:p>
  </w:footnote>
  <w:footnote w:type="continuationSeparator" w:id="0">
    <w:p w:rsidR="00A136BD" w:rsidRDefault="00A136BD" w:rsidP="00C03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D2A" w:rsidRDefault="00C03D2A">
    <w:pPr>
      <w:pStyle w:val="Zhlav"/>
    </w:pPr>
  </w:p>
  <w:p w:rsidR="00C03D2A" w:rsidRDefault="00C03D2A">
    <w:pPr>
      <w:pStyle w:val="Zhlav"/>
    </w:pPr>
  </w:p>
  <w:p w:rsidR="00C03D2A" w:rsidRDefault="00C03D2A">
    <w:pPr>
      <w:pStyle w:val="Zhlav"/>
    </w:pPr>
  </w:p>
  <w:p w:rsidR="00C03D2A" w:rsidRDefault="00C03D2A">
    <w:pPr>
      <w:pStyle w:val="Zhlav"/>
    </w:pPr>
  </w:p>
  <w:p w:rsidR="00C03D2A" w:rsidRDefault="00C03D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7F14"/>
    <w:multiLevelType w:val="hybridMultilevel"/>
    <w:tmpl w:val="C98A2A44"/>
    <w:lvl w:ilvl="0" w:tplc="366C4B0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EB2938"/>
    <w:multiLevelType w:val="multilevel"/>
    <w:tmpl w:val="C024A192"/>
    <w:lvl w:ilvl="0">
      <w:start w:val="1"/>
      <w:numFmt w:val="decimal"/>
      <w:pStyle w:val="Nadpis12"/>
      <w:lvlText w:val="%1."/>
      <w:lvlJc w:val="left"/>
      <w:pPr>
        <w:tabs>
          <w:tab w:val="num" w:pos="357"/>
        </w:tabs>
        <w:ind w:left="357" w:hanging="357"/>
      </w:pPr>
      <w:rPr>
        <w:rFonts w:hint="default"/>
      </w:rPr>
    </w:lvl>
    <w:lvl w:ilvl="1">
      <w:start w:val="1"/>
      <w:numFmt w:val="decimal"/>
      <w:lvlText w:val="%1.%2"/>
      <w:lvlJc w:val="left"/>
      <w:pPr>
        <w:tabs>
          <w:tab w:val="num" w:pos="624"/>
        </w:tabs>
        <w:ind w:left="340" w:hanging="340"/>
      </w:pPr>
      <w:rPr>
        <w:rFonts w:hint="default"/>
      </w:rPr>
    </w:lvl>
    <w:lvl w:ilvl="2">
      <w:start w:val="1"/>
      <w:numFmt w:val="decimal"/>
      <w:lvlText w:val="%1.%2.%3"/>
      <w:lvlJc w:val="left"/>
      <w:pPr>
        <w:tabs>
          <w:tab w:val="num" w:pos="340"/>
        </w:tabs>
        <w:ind w:left="340" w:hanging="340"/>
      </w:pPr>
      <w:rPr>
        <w:rFonts w:hint="default"/>
      </w:rPr>
    </w:lvl>
    <w:lvl w:ilvl="3">
      <w:start w:val="1"/>
      <w:numFmt w:val="decimal"/>
      <w:lvlText w:val="%1.%2.%3.%4"/>
      <w:lvlJc w:val="left"/>
      <w:pPr>
        <w:tabs>
          <w:tab w:val="num" w:pos="340"/>
        </w:tabs>
        <w:ind w:left="340" w:hanging="340"/>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2" w15:restartNumberingAfterBreak="0">
    <w:nsid w:val="0F2C4BF1"/>
    <w:multiLevelType w:val="hybridMultilevel"/>
    <w:tmpl w:val="0EC88256"/>
    <w:lvl w:ilvl="0" w:tplc="BDE8E41E">
      <w:numFmt w:val="bullet"/>
      <w:lvlText w:val=""/>
      <w:lvlJc w:val="left"/>
      <w:pPr>
        <w:ind w:left="720" w:hanging="360"/>
      </w:pPr>
      <w:rPr>
        <w:rFonts w:ascii="Wingdings" w:eastAsiaTheme="minorHAnsi" w:hAnsi="Wingdings" w:cs="Arial"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290B10"/>
    <w:multiLevelType w:val="hybridMultilevel"/>
    <w:tmpl w:val="F75C4B64"/>
    <w:lvl w:ilvl="0" w:tplc="AFE8DFF6">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3E1627"/>
    <w:multiLevelType w:val="multilevel"/>
    <w:tmpl w:val="9A5C68C2"/>
    <w:lvl w:ilvl="0">
      <w:start w:val="1"/>
      <w:numFmt w:val="decimal"/>
      <w:pStyle w:val="Nadpis1"/>
      <w:lvlText w:val="%1."/>
      <w:lvlJc w:val="left"/>
      <w:pPr>
        <w:ind w:left="432" w:hanging="432"/>
      </w:pPr>
      <w:rPr>
        <w:rFonts w:hint="default"/>
        <w:b/>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2617694F"/>
    <w:multiLevelType w:val="hybridMultilevel"/>
    <w:tmpl w:val="78D04E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BC4FE9"/>
    <w:multiLevelType w:val="hybridMultilevel"/>
    <w:tmpl w:val="C4241656"/>
    <w:lvl w:ilvl="0" w:tplc="8264B47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6E17CF"/>
    <w:multiLevelType w:val="hybridMultilevel"/>
    <w:tmpl w:val="D2E8AD3C"/>
    <w:lvl w:ilvl="0" w:tplc="735AA7D2">
      <w:start w:val="1"/>
      <w:numFmt w:val="decimal"/>
      <w:lvlText w:val="%1."/>
      <w:lvlJc w:val="left"/>
      <w:pPr>
        <w:ind w:left="720" w:hanging="360"/>
      </w:pPr>
      <w:rPr>
        <w:b w:val="0"/>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89153E"/>
    <w:multiLevelType w:val="hybridMultilevel"/>
    <w:tmpl w:val="259EA5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C8F5ED3"/>
    <w:multiLevelType w:val="hybridMultilevel"/>
    <w:tmpl w:val="042411B6"/>
    <w:lvl w:ilvl="0" w:tplc="670CCCC8">
      <w:start w:val="1"/>
      <w:numFmt w:val="decimal"/>
      <w:lvlText w:val="%1."/>
      <w:lvlJc w:val="left"/>
      <w:pPr>
        <w:ind w:left="719"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ED86A07"/>
    <w:multiLevelType w:val="hybridMultilevel"/>
    <w:tmpl w:val="6292F7FC"/>
    <w:lvl w:ilvl="0" w:tplc="04050001">
      <w:start w:val="1"/>
      <w:numFmt w:val="bullet"/>
      <w:lvlText w:val=""/>
      <w:lvlJc w:val="left"/>
      <w:pPr>
        <w:ind w:left="717" w:hanging="360"/>
      </w:pPr>
      <w:rPr>
        <w:rFonts w:ascii="Symbol" w:hAnsi="Symbol" w:hint="default"/>
      </w:rPr>
    </w:lvl>
    <w:lvl w:ilvl="1" w:tplc="04050003">
      <w:start w:val="1"/>
      <w:numFmt w:val="bullet"/>
      <w:lvlText w:val="o"/>
      <w:lvlJc w:val="left"/>
      <w:pPr>
        <w:ind w:left="1437" w:hanging="360"/>
      </w:pPr>
      <w:rPr>
        <w:rFonts w:ascii="Courier New" w:hAnsi="Courier New" w:cs="Courier New" w:hint="default"/>
      </w:rPr>
    </w:lvl>
    <w:lvl w:ilvl="2" w:tplc="04050005">
      <w:start w:val="1"/>
      <w:numFmt w:val="bullet"/>
      <w:lvlText w:val=""/>
      <w:lvlJc w:val="left"/>
      <w:pPr>
        <w:ind w:left="2157" w:hanging="360"/>
      </w:pPr>
      <w:rPr>
        <w:rFonts w:ascii="Wingdings" w:hAnsi="Wingdings" w:hint="default"/>
      </w:rPr>
    </w:lvl>
    <w:lvl w:ilvl="3" w:tplc="0405000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53773A32"/>
    <w:multiLevelType w:val="hybridMultilevel"/>
    <w:tmpl w:val="EFD8CEE2"/>
    <w:lvl w:ilvl="0" w:tplc="670CCCC8">
      <w:start w:val="1"/>
      <w:numFmt w:val="decimal"/>
      <w:lvlText w:val="%1."/>
      <w:lvlJc w:val="left"/>
      <w:pPr>
        <w:ind w:left="719" w:hanging="360"/>
      </w:pPr>
      <w:rPr>
        <w:b w:val="0"/>
      </w:rPr>
    </w:lvl>
    <w:lvl w:ilvl="1" w:tplc="04050019" w:tentative="1">
      <w:start w:val="1"/>
      <w:numFmt w:val="lowerLetter"/>
      <w:lvlText w:val="%2."/>
      <w:lvlJc w:val="left"/>
      <w:pPr>
        <w:ind w:left="1439" w:hanging="360"/>
      </w:pPr>
    </w:lvl>
    <w:lvl w:ilvl="2" w:tplc="0405001B" w:tentative="1">
      <w:start w:val="1"/>
      <w:numFmt w:val="lowerRoman"/>
      <w:lvlText w:val="%3."/>
      <w:lvlJc w:val="right"/>
      <w:pPr>
        <w:ind w:left="2159" w:hanging="180"/>
      </w:pPr>
    </w:lvl>
    <w:lvl w:ilvl="3" w:tplc="0405000F" w:tentative="1">
      <w:start w:val="1"/>
      <w:numFmt w:val="decimal"/>
      <w:lvlText w:val="%4."/>
      <w:lvlJc w:val="left"/>
      <w:pPr>
        <w:ind w:left="2879" w:hanging="360"/>
      </w:pPr>
    </w:lvl>
    <w:lvl w:ilvl="4" w:tplc="04050019" w:tentative="1">
      <w:start w:val="1"/>
      <w:numFmt w:val="lowerLetter"/>
      <w:lvlText w:val="%5."/>
      <w:lvlJc w:val="left"/>
      <w:pPr>
        <w:ind w:left="3599" w:hanging="360"/>
      </w:pPr>
    </w:lvl>
    <w:lvl w:ilvl="5" w:tplc="0405001B" w:tentative="1">
      <w:start w:val="1"/>
      <w:numFmt w:val="lowerRoman"/>
      <w:lvlText w:val="%6."/>
      <w:lvlJc w:val="right"/>
      <w:pPr>
        <w:ind w:left="4319" w:hanging="180"/>
      </w:pPr>
    </w:lvl>
    <w:lvl w:ilvl="6" w:tplc="0405000F" w:tentative="1">
      <w:start w:val="1"/>
      <w:numFmt w:val="decimal"/>
      <w:lvlText w:val="%7."/>
      <w:lvlJc w:val="left"/>
      <w:pPr>
        <w:ind w:left="5039" w:hanging="360"/>
      </w:pPr>
    </w:lvl>
    <w:lvl w:ilvl="7" w:tplc="04050019" w:tentative="1">
      <w:start w:val="1"/>
      <w:numFmt w:val="lowerLetter"/>
      <w:lvlText w:val="%8."/>
      <w:lvlJc w:val="left"/>
      <w:pPr>
        <w:ind w:left="5759" w:hanging="360"/>
      </w:pPr>
    </w:lvl>
    <w:lvl w:ilvl="8" w:tplc="0405001B" w:tentative="1">
      <w:start w:val="1"/>
      <w:numFmt w:val="lowerRoman"/>
      <w:lvlText w:val="%9."/>
      <w:lvlJc w:val="right"/>
      <w:pPr>
        <w:ind w:left="6479" w:hanging="180"/>
      </w:pPr>
    </w:lvl>
  </w:abstractNum>
  <w:abstractNum w:abstractNumId="12" w15:restartNumberingAfterBreak="0">
    <w:nsid w:val="53ED6CCA"/>
    <w:multiLevelType w:val="hybridMultilevel"/>
    <w:tmpl w:val="A2F2AE9A"/>
    <w:lvl w:ilvl="0" w:tplc="8BFCE7C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F740D7"/>
    <w:multiLevelType w:val="hybridMultilevel"/>
    <w:tmpl w:val="D4A8E90C"/>
    <w:lvl w:ilvl="0" w:tplc="BDE8E41E">
      <w:numFmt w:val="bullet"/>
      <w:lvlText w:val=""/>
      <w:lvlJc w:val="left"/>
      <w:pPr>
        <w:ind w:left="720" w:hanging="360"/>
      </w:pPr>
      <w:rPr>
        <w:rFonts w:ascii="Wingdings" w:eastAsiaTheme="minorHAnsi" w:hAnsi="Wingdings" w:cs="Arial" w:hint="default"/>
        <w:b/>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2B3A43"/>
    <w:multiLevelType w:val="hybridMultilevel"/>
    <w:tmpl w:val="D5A808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60A5F14"/>
    <w:multiLevelType w:val="multilevel"/>
    <w:tmpl w:val="8F4CD07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2"/>
  </w:num>
  <w:num w:numId="3">
    <w:abstractNumId w:val="6"/>
  </w:num>
  <w:num w:numId="4">
    <w:abstractNumId w:val="15"/>
  </w:num>
  <w:num w:numId="5">
    <w:abstractNumId w:val="4"/>
  </w:num>
  <w:num w:numId="6">
    <w:abstractNumId w:val="14"/>
  </w:num>
  <w:num w:numId="7">
    <w:abstractNumId w:val="8"/>
  </w:num>
  <w:num w:numId="8">
    <w:abstractNumId w:val="1"/>
  </w:num>
  <w:num w:numId="9">
    <w:abstractNumId w:val="13"/>
  </w:num>
  <w:num w:numId="10">
    <w:abstractNumId w:val="2"/>
  </w:num>
  <w:num w:numId="11">
    <w:abstractNumId w:val="5"/>
  </w:num>
  <w:num w:numId="12">
    <w:abstractNumId w:val="3"/>
  </w:num>
  <w:num w:numId="13">
    <w:abstractNumId w:val="7"/>
  </w:num>
  <w:num w:numId="14">
    <w:abstractNumId w:val="11"/>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674"/>
    <w:rsid w:val="00002D6D"/>
    <w:rsid w:val="000216FE"/>
    <w:rsid w:val="00022990"/>
    <w:rsid w:val="00027DA7"/>
    <w:rsid w:val="000318E3"/>
    <w:rsid w:val="00040D4F"/>
    <w:rsid w:val="00072CE4"/>
    <w:rsid w:val="0008085A"/>
    <w:rsid w:val="00080883"/>
    <w:rsid w:val="00084A66"/>
    <w:rsid w:val="000952C8"/>
    <w:rsid w:val="00097280"/>
    <w:rsid w:val="000A55A6"/>
    <w:rsid w:val="000A7493"/>
    <w:rsid w:val="000B3F4C"/>
    <w:rsid w:val="000B7A35"/>
    <w:rsid w:val="000C7D77"/>
    <w:rsid w:val="000D76D7"/>
    <w:rsid w:val="000E1486"/>
    <w:rsid w:val="000E230F"/>
    <w:rsid w:val="000E2581"/>
    <w:rsid w:val="000F004F"/>
    <w:rsid w:val="001031F7"/>
    <w:rsid w:val="001137F8"/>
    <w:rsid w:val="001179F6"/>
    <w:rsid w:val="001265C3"/>
    <w:rsid w:val="00131F00"/>
    <w:rsid w:val="00137ABC"/>
    <w:rsid w:val="00155251"/>
    <w:rsid w:val="00155D0B"/>
    <w:rsid w:val="001618DA"/>
    <w:rsid w:val="00166107"/>
    <w:rsid w:val="001674EA"/>
    <w:rsid w:val="00180AF5"/>
    <w:rsid w:val="0018688C"/>
    <w:rsid w:val="001872CB"/>
    <w:rsid w:val="001A6496"/>
    <w:rsid w:val="001B2C53"/>
    <w:rsid w:val="001D5087"/>
    <w:rsid w:val="001D60A3"/>
    <w:rsid w:val="001F404C"/>
    <w:rsid w:val="001F5DB2"/>
    <w:rsid w:val="001F70C8"/>
    <w:rsid w:val="00211214"/>
    <w:rsid w:val="00221F7F"/>
    <w:rsid w:val="0023030D"/>
    <w:rsid w:val="00245E90"/>
    <w:rsid w:val="002812FA"/>
    <w:rsid w:val="0028369B"/>
    <w:rsid w:val="00285D63"/>
    <w:rsid w:val="0029072A"/>
    <w:rsid w:val="002935FF"/>
    <w:rsid w:val="00296347"/>
    <w:rsid w:val="002A3027"/>
    <w:rsid w:val="002A35A4"/>
    <w:rsid w:val="002B0878"/>
    <w:rsid w:val="002C7F72"/>
    <w:rsid w:val="002D3D6A"/>
    <w:rsid w:val="002D7EE1"/>
    <w:rsid w:val="002E2F87"/>
    <w:rsid w:val="002E4CA8"/>
    <w:rsid w:val="002E62DE"/>
    <w:rsid w:val="002F01A1"/>
    <w:rsid w:val="00302F92"/>
    <w:rsid w:val="0032457E"/>
    <w:rsid w:val="00332E7C"/>
    <w:rsid w:val="0033706B"/>
    <w:rsid w:val="00346232"/>
    <w:rsid w:val="003519C0"/>
    <w:rsid w:val="00354203"/>
    <w:rsid w:val="00356FFC"/>
    <w:rsid w:val="00362086"/>
    <w:rsid w:val="00363619"/>
    <w:rsid w:val="0036472C"/>
    <w:rsid w:val="00365074"/>
    <w:rsid w:val="0038203A"/>
    <w:rsid w:val="003839E5"/>
    <w:rsid w:val="00386D72"/>
    <w:rsid w:val="00386DA3"/>
    <w:rsid w:val="00391554"/>
    <w:rsid w:val="003935A6"/>
    <w:rsid w:val="003A2CBF"/>
    <w:rsid w:val="003A2FD9"/>
    <w:rsid w:val="003B1478"/>
    <w:rsid w:val="003B4043"/>
    <w:rsid w:val="003C0742"/>
    <w:rsid w:val="003C28AC"/>
    <w:rsid w:val="003C6740"/>
    <w:rsid w:val="003C6DA4"/>
    <w:rsid w:val="003C770F"/>
    <w:rsid w:val="003D2BBC"/>
    <w:rsid w:val="003D59DB"/>
    <w:rsid w:val="003E2E8D"/>
    <w:rsid w:val="003F787F"/>
    <w:rsid w:val="004162F0"/>
    <w:rsid w:val="004306CC"/>
    <w:rsid w:val="00437ABE"/>
    <w:rsid w:val="004412DA"/>
    <w:rsid w:val="004475EF"/>
    <w:rsid w:val="00454F64"/>
    <w:rsid w:val="00465D9D"/>
    <w:rsid w:val="004679AC"/>
    <w:rsid w:val="00467AAC"/>
    <w:rsid w:val="004717CD"/>
    <w:rsid w:val="00476E19"/>
    <w:rsid w:val="00483E39"/>
    <w:rsid w:val="00486099"/>
    <w:rsid w:val="00490954"/>
    <w:rsid w:val="004A102D"/>
    <w:rsid w:val="004B45EA"/>
    <w:rsid w:val="004B5AEB"/>
    <w:rsid w:val="004D26B8"/>
    <w:rsid w:val="004E3A5D"/>
    <w:rsid w:val="004E3FE3"/>
    <w:rsid w:val="004F4402"/>
    <w:rsid w:val="004F4704"/>
    <w:rsid w:val="004F5B2C"/>
    <w:rsid w:val="005027A7"/>
    <w:rsid w:val="00512741"/>
    <w:rsid w:val="005168B3"/>
    <w:rsid w:val="00521A3A"/>
    <w:rsid w:val="005277F3"/>
    <w:rsid w:val="005304EE"/>
    <w:rsid w:val="00533C1E"/>
    <w:rsid w:val="005432C6"/>
    <w:rsid w:val="005453B7"/>
    <w:rsid w:val="00546718"/>
    <w:rsid w:val="00546F29"/>
    <w:rsid w:val="0055000B"/>
    <w:rsid w:val="00553148"/>
    <w:rsid w:val="005548E4"/>
    <w:rsid w:val="00557BF2"/>
    <w:rsid w:val="00561301"/>
    <w:rsid w:val="00565724"/>
    <w:rsid w:val="00565EA8"/>
    <w:rsid w:val="005733E8"/>
    <w:rsid w:val="005749C9"/>
    <w:rsid w:val="005764C1"/>
    <w:rsid w:val="00596F6F"/>
    <w:rsid w:val="005B1A9F"/>
    <w:rsid w:val="005B3323"/>
    <w:rsid w:val="005B431A"/>
    <w:rsid w:val="005B5630"/>
    <w:rsid w:val="005C2724"/>
    <w:rsid w:val="005C28EA"/>
    <w:rsid w:val="005C5D8A"/>
    <w:rsid w:val="005D48AE"/>
    <w:rsid w:val="005D7D87"/>
    <w:rsid w:val="005E2B1C"/>
    <w:rsid w:val="005F0A9D"/>
    <w:rsid w:val="00600BA1"/>
    <w:rsid w:val="00607478"/>
    <w:rsid w:val="00611E0F"/>
    <w:rsid w:val="0061465E"/>
    <w:rsid w:val="00617E66"/>
    <w:rsid w:val="006254D2"/>
    <w:rsid w:val="006367A8"/>
    <w:rsid w:val="00640620"/>
    <w:rsid w:val="006447A7"/>
    <w:rsid w:val="00646DB8"/>
    <w:rsid w:val="00655F72"/>
    <w:rsid w:val="00664910"/>
    <w:rsid w:val="00667BF8"/>
    <w:rsid w:val="00686356"/>
    <w:rsid w:val="00697AD6"/>
    <w:rsid w:val="006B0674"/>
    <w:rsid w:val="006B0B1A"/>
    <w:rsid w:val="006B48A1"/>
    <w:rsid w:val="006D2C23"/>
    <w:rsid w:val="006D7BA0"/>
    <w:rsid w:val="006E4989"/>
    <w:rsid w:val="006E5A1C"/>
    <w:rsid w:val="006E5CEC"/>
    <w:rsid w:val="006E5EDB"/>
    <w:rsid w:val="006E6E6E"/>
    <w:rsid w:val="006F15D7"/>
    <w:rsid w:val="006F2B3A"/>
    <w:rsid w:val="006F7E75"/>
    <w:rsid w:val="00707830"/>
    <w:rsid w:val="0071742E"/>
    <w:rsid w:val="007302F3"/>
    <w:rsid w:val="00734914"/>
    <w:rsid w:val="00735C08"/>
    <w:rsid w:val="007404AD"/>
    <w:rsid w:val="007463A6"/>
    <w:rsid w:val="00755EE1"/>
    <w:rsid w:val="0076254D"/>
    <w:rsid w:val="00764455"/>
    <w:rsid w:val="00767356"/>
    <w:rsid w:val="00791A6E"/>
    <w:rsid w:val="007C0EA0"/>
    <w:rsid w:val="007C6EFF"/>
    <w:rsid w:val="007F7436"/>
    <w:rsid w:val="008037E3"/>
    <w:rsid w:val="0080536B"/>
    <w:rsid w:val="008105AA"/>
    <w:rsid w:val="008107B7"/>
    <w:rsid w:val="00811E3E"/>
    <w:rsid w:val="00813B6B"/>
    <w:rsid w:val="00814B71"/>
    <w:rsid w:val="00825640"/>
    <w:rsid w:val="00831DBD"/>
    <w:rsid w:val="008350B2"/>
    <w:rsid w:val="00835964"/>
    <w:rsid w:val="00836BBB"/>
    <w:rsid w:val="00845722"/>
    <w:rsid w:val="00845A1C"/>
    <w:rsid w:val="00846515"/>
    <w:rsid w:val="0085051C"/>
    <w:rsid w:val="00852B13"/>
    <w:rsid w:val="00861587"/>
    <w:rsid w:val="00861E9F"/>
    <w:rsid w:val="00862B0D"/>
    <w:rsid w:val="00872A8B"/>
    <w:rsid w:val="00873BE6"/>
    <w:rsid w:val="00877F4E"/>
    <w:rsid w:val="008918DF"/>
    <w:rsid w:val="00894BB4"/>
    <w:rsid w:val="008959E7"/>
    <w:rsid w:val="008A1D9D"/>
    <w:rsid w:val="008A488D"/>
    <w:rsid w:val="008A7321"/>
    <w:rsid w:val="008A7F0E"/>
    <w:rsid w:val="008B0935"/>
    <w:rsid w:val="008C1644"/>
    <w:rsid w:val="008C4C73"/>
    <w:rsid w:val="008D30A8"/>
    <w:rsid w:val="008E1D6F"/>
    <w:rsid w:val="008F2031"/>
    <w:rsid w:val="00903A0B"/>
    <w:rsid w:val="00904E98"/>
    <w:rsid w:val="009054F2"/>
    <w:rsid w:val="00907C02"/>
    <w:rsid w:val="009101E4"/>
    <w:rsid w:val="0091105C"/>
    <w:rsid w:val="0091243F"/>
    <w:rsid w:val="0092284A"/>
    <w:rsid w:val="00923CBC"/>
    <w:rsid w:val="00933058"/>
    <w:rsid w:val="00935389"/>
    <w:rsid w:val="00942A30"/>
    <w:rsid w:val="0096061A"/>
    <w:rsid w:val="00964B91"/>
    <w:rsid w:val="00965A35"/>
    <w:rsid w:val="00967BEE"/>
    <w:rsid w:val="00984ED0"/>
    <w:rsid w:val="009859F0"/>
    <w:rsid w:val="00991FBA"/>
    <w:rsid w:val="009956A5"/>
    <w:rsid w:val="009A1172"/>
    <w:rsid w:val="009A5AFB"/>
    <w:rsid w:val="009B001E"/>
    <w:rsid w:val="009C00C4"/>
    <w:rsid w:val="009C5EB7"/>
    <w:rsid w:val="009D0BF7"/>
    <w:rsid w:val="009D0F7E"/>
    <w:rsid w:val="009D2976"/>
    <w:rsid w:val="009D53CB"/>
    <w:rsid w:val="009E16DE"/>
    <w:rsid w:val="009E343A"/>
    <w:rsid w:val="009E438F"/>
    <w:rsid w:val="00A0053A"/>
    <w:rsid w:val="00A04B50"/>
    <w:rsid w:val="00A05805"/>
    <w:rsid w:val="00A07FF1"/>
    <w:rsid w:val="00A128C4"/>
    <w:rsid w:val="00A136BD"/>
    <w:rsid w:val="00A16386"/>
    <w:rsid w:val="00A1643C"/>
    <w:rsid w:val="00A23308"/>
    <w:rsid w:val="00A3610E"/>
    <w:rsid w:val="00A40FCC"/>
    <w:rsid w:val="00A4367D"/>
    <w:rsid w:val="00A51940"/>
    <w:rsid w:val="00A5390C"/>
    <w:rsid w:val="00A54A63"/>
    <w:rsid w:val="00A62A1D"/>
    <w:rsid w:val="00A64EC4"/>
    <w:rsid w:val="00A740AE"/>
    <w:rsid w:val="00A85B60"/>
    <w:rsid w:val="00A936AE"/>
    <w:rsid w:val="00AA1760"/>
    <w:rsid w:val="00AB0B2E"/>
    <w:rsid w:val="00AB2C38"/>
    <w:rsid w:val="00AB4BA8"/>
    <w:rsid w:val="00AC3361"/>
    <w:rsid w:val="00AC5882"/>
    <w:rsid w:val="00AC6BCB"/>
    <w:rsid w:val="00AC6C5C"/>
    <w:rsid w:val="00AD7004"/>
    <w:rsid w:val="00AE66D6"/>
    <w:rsid w:val="00AF5975"/>
    <w:rsid w:val="00B05E36"/>
    <w:rsid w:val="00B10C96"/>
    <w:rsid w:val="00B110E0"/>
    <w:rsid w:val="00B13AF9"/>
    <w:rsid w:val="00B14085"/>
    <w:rsid w:val="00B237B3"/>
    <w:rsid w:val="00B27F12"/>
    <w:rsid w:val="00B31BD9"/>
    <w:rsid w:val="00B51D9E"/>
    <w:rsid w:val="00B636FF"/>
    <w:rsid w:val="00B67AF4"/>
    <w:rsid w:val="00B701BC"/>
    <w:rsid w:val="00B81698"/>
    <w:rsid w:val="00B93DAF"/>
    <w:rsid w:val="00BA3C07"/>
    <w:rsid w:val="00BA7B78"/>
    <w:rsid w:val="00BB6904"/>
    <w:rsid w:val="00BC4E94"/>
    <w:rsid w:val="00BE0736"/>
    <w:rsid w:val="00BE0956"/>
    <w:rsid w:val="00BE1C50"/>
    <w:rsid w:val="00BE2193"/>
    <w:rsid w:val="00BE7D0A"/>
    <w:rsid w:val="00BF6B03"/>
    <w:rsid w:val="00C00D53"/>
    <w:rsid w:val="00C01404"/>
    <w:rsid w:val="00C01A65"/>
    <w:rsid w:val="00C01DE1"/>
    <w:rsid w:val="00C03D2A"/>
    <w:rsid w:val="00C04456"/>
    <w:rsid w:val="00C06B83"/>
    <w:rsid w:val="00C10C23"/>
    <w:rsid w:val="00C12ABE"/>
    <w:rsid w:val="00C1372E"/>
    <w:rsid w:val="00C316CA"/>
    <w:rsid w:val="00C339D1"/>
    <w:rsid w:val="00C4532C"/>
    <w:rsid w:val="00C50950"/>
    <w:rsid w:val="00C63545"/>
    <w:rsid w:val="00C713F2"/>
    <w:rsid w:val="00C74F6F"/>
    <w:rsid w:val="00C76578"/>
    <w:rsid w:val="00C770F3"/>
    <w:rsid w:val="00C869A0"/>
    <w:rsid w:val="00CA3B68"/>
    <w:rsid w:val="00CA5EBF"/>
    <w:rsid w:val="00CB1C74"/>
    <w:rsid w:val="00CB4DFF"/>
    <w:rsid w:val="00CB70AE"/>
    <w:rsid w:val="00CC15D8"/>
    <w:rsid w:val="00CC19CE"/>
    <w:rsid w:val="00CD48A5"/>
    <w:rsid w:val="00CE286F"/>
    <w:rsid w:val="00CE7FA0"/>
    <w:rsid w:val="00CF2A6B"/>
    <w:rsid w:val="00D06124"/>
    <w:rsid w:val="00D13F5F"/>
    <w:rsid w:val="00D166DE"/>
    <w:rsid w:val="00D277A7"/>
    <w:rsid w:val="00D3695C"/>
    <w:rsid w:val="00D42575"/>
    <w:rsid w:val="00D46C8E"/>
    <w:rsid w:val="00D54143"/>
    <w:rsid w:val="00D611DB"/>
    <w:rsid w:val="00D618E7"/>
    <w:rsid w:val="00D66CA0"/>
    <w:rsid w:val="00D804C9"/>
    <w:rsid w:val="00D80FCB"/>
    <w:rsid w:val="00D97789"/>
    <w:rsid w:val="00DB26F9"/>
    <w:rsid w:val="00DC536C"/>
    <w:rsid w:val="00DD4911"/>
    <w:rsid w:val="00DE0B2E"/>
    <w:rsid w:val="00DE6A20"/>
    <w:rsid w:val="00DE7576"/>
    <w:rsid w:val="00DF67AE"/>
    <w:rsid w:val="00DF7C14"/>
    <w:rsid w:val="00E02ED2"/>
    <w:rsid w:val="00E04313"/>
    <w:rsid w:val="00E25F30"/>
    <w:rsid w:val="00E40680"/>
    <w:rsid w:val="00E4094F"/>
    <w:rsid w:val="00E45538"/>
    <w:rsid w:val="00E46E4C"/>
    <w:rsid w:val="00E51B21"/>
    <w:rsid w:val="00E63CB1"/>
    <w:rsid w:val="00E73D1E"/>
    <w:rsid w:val="00E84112"/>
    <w:rsid w:val="00E95AFA"/>
    <w:rsid w:val="00E96B44"/>
    <w:rsid w:val="00E97370"/>
    <w:rsid w:val="00EA174E"/>
    <w:rsid w:val="00EA583C"/>
    <w:rsid w:val="00EA5DCF"/>
    <w:rsid w:val="00EB4B0F"/>
    <w:rsid w:val="00EB4E05"/>
    <w:rsid w:val="00EB6AB5"/>
    <w:rsid w:val="00EC1FCE"/>
    <w:rsid w:val="00EC53B0"/>
    <w:rsid w:val="00ED2042"/>
    <w:rsid w:val="00ED4466"/>
    <w:rsid w:val="00ED4D01"/>
    <w:rsid w:val="00EE088F"/>
    <w:rsid w:val="00EE674D"/>
    <w:rsid w:val="00EF1207"/>
    <w:rsid w:val="00F102A3"/>
    <w:rsid w:val="00F12131"/>
    <w:rsid w:val="00F166D7"/>
    <w:rsid w:val="00F33528"/>
    <w:rsid w:val="00F352AD"/>
    <w:rsid w:val="00F40EEB"/>
    <w:rsid w:val="00F41EB7"/>
    <w:rsid w:val="00F42CFE"/>
    <w:rsid w:val="00F466E8"/>
    <w:rsid w:val="00F560BE"/>
    <w:rsid w:val="00F66F32"/>
    <w:rsid w:val="00F80F72"/>
    <w:rsid w:val="00FA3404"/>
    <w:rsid w:val="00FA5298"/>
    <w:rsid w:val="00FB7916"/>
    <w:rsid w:val="00FC02A2"/>
    <w:rsid w:val="00FC194B"/>
    <w:rsid w:val="00FC38C8"/>
    <w:rsid w:val="00FE48AA"/>
    <w:rsid w:val="00FF5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A31F3C"/>
  <w15:docId w15:val="{BB4A5FCB-27A1-4321-B4C8-A9B80A051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4989"/>
    <w:pPr>
      <w:spacing w:after="160" w:line="340" w:lineRule="exact"/>
    </w:pPr>
    <w:rPr>
      <w:rFonts w:asciiTheme="minorHAnsi" w:hAnsiTheme="minorHAnsi"/>
      <w:sz w:val="22"/>
      <w:szCs w:val="24"/>
      <w:lang w:eastAsia="en-US"/>
    </w:rPr>
  </w:style>
  <w:style w:type="paragraph" w:styleId="Nadpis1">
    <w:name w:val="heading 1"/>
    <w:basedOn w:val="Normln"/>
    <w:next w:val="Normln"/>
    <w:link w:val="Nadpis1Char"/>
    <w:qFormat/>
    <w:rsid w:val="00B13AF9"/>
    <w:pPr>
      <w:keepNext/>
      <w:keepLines/>
      <w:numPr>
        <w:numId w:val="5"/>
      </w:numPr>
      <w:outlineLvl w:val="0"/>
    </w:pPr>
    <w:rPr>
      <w:rFonts w:ascii="Calibri" w:hAnsi="Calibri"/>
      <w:b/>
      <w:bCs/>
      <w:sz w:val="24"/>
      <w:szCs w:val="28"/>
    </w:rPr>
  </w:style>
  <w:style w:type="paragraph" w:styleId="Nadpis2">
    <w:name w:val="heading 2"/>
    <w:basedOn w:val="Normln"/>
    <w:next w:val="Normln"/>
    <w:link w:val="Nadpis2Char"/>
    <w:unhideWhenUsed/>
    <w:qFormat/>
    <w:rsid w:val="00B13AF9"/>
    <w:pPr>
      <w:keepNext/>
      <w:keepLines/>
      <w:numPr>
        <w:ilvl w:val="1"/>
        <w:numId w:val="5"/>
      </w:numPr>
      <w:outlineLvl w:val="1"/>
    </w:pPr>
    <w:rPr>
      <w:rFonts w:eastAsiaTheme="majorEastAsia" w:cstheme="majorBidi"/>
      <w:b/>
      <w:bCs/>
      <w:sz w:val="24"/>
      <w:szCs w:val="26"/>
    </w:rPr>
  </w:style>
  <w:style w:type="paragraph" w:styleId="Nadpis3">
    <w:name w:val="heading 3"/>
    <w:basedOn w:val="Normln"/>
    <w:next w:val="Normln"/>
    <w:link w:val="Nadpis3Char"/>
    <w:unhideWhenUsed/>
    <w:qFormat/>
    <w:rsid w:val="00B13AF9"/>
    <w:pPr>
      <w:keepNext/>
      <w:keepLines/>
      <w:numPr>
        <w:ilvl w:val="2"/>
        <w:numId w:val="5"/>
      </w:numPr>
      <w:outlineLvl w:val="2"/>
    </w:pPr>
    <w:rPr>
      <w:rFonts w:eastAsiaTheme="majorEastAsia" w:cstheme="majorBidi"/>
      <w:b/>
      <w:bCs/>
      <w:sz w:val="24"/>
    </w:rPr>
  </w:style>
  <w:style w:type="paragraph" w:styleId="Nadpis4">
    <w:name w:val="heading 4"/>
    <w:basedOn w:val="Normln"/>
    <w:next w:val="Normln"/>
    <w:link w:val="Nadpis4Char"/>
    <w:qFormat/>
    <w:rsid w:val="00ED4466"/>
    <w:pPr>
      <w:keepNext/>
      <w:numPr>
        <w:ilvl w:val="3"/>
        <w:numId w:val="5"/>
      </w:numPr>
      <w:spacing w:before="240" w:after="60" w:line="240" w:lineRule="auto"/>
      <w:outlineLvl w:val="3"/>
    </w:pPr>
    <w:rPr>
      <w:rFonts w:ascii="Arial" w:hAnsi="Arial"/>
      <w:b/>
      <w:bCs/>
      <w:sz w:val="20"/>
      <w:szCs w:val="28"/>
      <w:lang w:eastAsia="cs-CZ"/>
    </w:rPr>
  </w:style>
  <w:style w:type="paragraph" w:styleId="Nadpis5">
    <w:name w:val="heading 5"/>
    <w:basedOn w:val="Normln"/>
    <w:next w:val="Normln"/>
    <w:link w:val="Nadpis5Char"/>
    <w:rsid w:val="00ED4466"/>
    <w:pPr>
      <w:numPr>
        <w:ilvl w:val="4"/>
        <w:numId w:val="5"/>
      </w:numPr>
      <w:spacing w:before="240" w:after="60" w:line="240" w:lineRule="auto"/>
      <w:outlineLvl w:val="4"/>
    </w:pPr>
    <w:rPr>
      <w:rFonts w:ascii="Arial" w:hAnsi="Arial"/>
      <w:b/>
      <w:bCs/>
      <w:iCs/>
      <w:sz w:val="20"/>
      <w:szCs w:val="26"/>
      <w:lang w:eastAsia="cs-CZ"/>
    </w:rPr>
  </w:style>
  <w:style w:type="paragraph" w:styleId="Nadpis6">
    <w:name w:val="heading 6"/>
    <w:basedOn w:val="Normln"/>
    <w:next w:val="Normln"/>
    <w:link w:val="Nadpis6Char"/>
    <w:qFormat/>
    <w:rsid w:val="00ED4466"/>
    <w:pPr>
      <w:numPr>
        <w:ilvl w:val="5"/>
        <w:numId w:val="5"/>
      </w:numPr>
      <w:spacing w:before="240" w:after="60" w:line="240" w:lineRule="auto"/>
      <w:outlineLvl w:val="5"/>
    </w:pPr>
    <w:rPr>
      <w:rFonts w:ascii="Times New Roman" w:hAnsi="Times New Roman"/>
      <w:b/>
      <w:bCs/>
      <w:szCs w:val="22"/>
      <w:lang w:eastAsia="cs-CZ"/>
    </w:rPr>
  </w:style>
  <w:style w:type="paragraph" w:styleId="Nadpis7">
    <w:name w:val="heading 7"/>
    <w:basedOn w:val="Normln"/>
    <w:next w:val="Normln"/>
    <w:link w:val="Nadpis7Char"/>
    <w:qFormat/>
    <w:rsid w:val="00ED4466"/>
    <w:pPr>
      <w:numPr>
        <w:ilvl w:val="6"/>
        <w:numId w:val="5"/>
      </w:numPr>
      <w:spacing w:before="240" w:after="60" w:line="240" w:lineRule="auto"/>
      <w:outlineLvl w:val="6"/>
    </w:pPr>
    <w:rPr>
      <w:rFonts w:ascii="Times New Roman" w:hAnsi="Times New Roman"/>
      <w:sz w:val="24"/>
      <w:lang w:eastAsia="cs-CZ"/>
    </w:rPr>
  </w:style>
  <w:style w:type="paragraph" w:styleId="Nadpis8">
    <w:name w:val="heading 8"/>
    <w:basedOn w:val="Normln"/>
    <w:next w:val="Normln"/>
    <w:link w:val="Nadpis8Char"/>
    <w:qFormat/>
    <w:rsid w:val="00ED4466"/>
    <w:pPr>
      <w:numPr>
        <w:ilvl w:val="7"/>
        <w:numId w:val="5"/>
      </w:numPr>
      <w:spacing w:before="240" w:after="60" w:line="240" w:lineRule="auto"/>
      <w:outlineLvl w:val="7"/>
    </w:pPr>
    <w:rPr>
      <w:rFonts w:ascii="Times New Roman" w:hAnsi="Times New Roman"/>
      <w:i/>
      <w:iCs/>
      <w:sz w:val="24"/>
      <w:lang w:eastAsia="cs-CZ"/>
    </w:rPr>
  </w:style>
  <w:style w:type="paragraph" w:styleId="Nadpis9">
    <w:name w:val="heading 9"/>
    <w:basedOn w:val="Normln"/>
    <w:next w:val="Normln"/>
    <w:link w:val="Nadpis9Char"/>
    <w:qFormat/>
    <w:rsid w:val="00ED4466"/>
    <w:pPr>
      <w:numPr>
        <w:ilvl w:val="8"/>
        <w:numId w:val="5"/>
      </w:numPr>
      <w:spacing w:before="240" w:after="60" w:line="240" w:lineRule="auto"/>
      <w:outlineLvl w:val="8"/>
    </w:pPr>
    <w:rPr>
      <w:rFonts w:ascii="Arial" w:hAnsi="Arial" w:cs="Arial"/>
      <w:szCs w:val="22"/>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B13AF9"/>
    <w:rPr>
      <w:rFonts w:ascii="Calibri" w:hAnsi="Calibri"/>
      <w:b/>
      <w:bCs/>
      <w:sz w:val="24"/>
      <w:szCs w:val="28"/>
      <w:lang w:eastAsia="en-US"/>
    </w:rPr>
  </w:style>
  <w:style w:type="character" w:customStyle="1" w:styleId="Nadpis2Char">
    <w:name w:val="Nadpis 2 Char"/>
    <w:basedOn w:val="Standardnpsmoodstavce"/>
    <w:link w:val="Nadpis2"/>
    <w:rsid w:val="00B13AF9"/>
    <w:rPr>
      <w:rFonts w:asciiTheme="minorHAnsi" w:eastAsiaTheme="majorEastAsia" w:hAnsiTheme="minorHAnsi" w:cstheme="majorBidi"/>
      <w:b/>
      <w:bCs/>
      <w:sz w:val="24"/>
      <w:szCs w:val="26"/>
      <w:lang w:eastAsia="en-US"/>
    </w:rPr>
  </w:style>
  <w:style w:type="paragraph" w:customStyle="1" w:styleId="Bold12">
    <w:name w:val="Bold12"/>
    <w:basedOn w:val="Normln"/>
    <w:qFormat/>
    <w:rsid w:val="00EA174E"/>
    <w:pPr>
      <w:spacing w:after="0" w:line="240" w:lineRule="auto"/>
    </w:pPr>
    <w:rPr>
      <w:b/>
      <w:sz w:val="24"/>
    </w:rPr>
  </w:style>
  <w:style w:type="paragraph" w:customStyle="1" w:styleId="Bold14">
    <w:name w:val="Bold14"/>
    <w:basedOn w:val="Bold12"/>
    <w:qFormat/>
    <w:rsid w:val="00EA174E"/>
    <w:pPr>
      <w:spacing w:line="340" w:lineRule="exact"/>
    </w:pPr>
    <w:rPr>
      <w:sz w:val="28"/>
    </w:rPr>
  </w:style>
  <w:style w:type="paragraph" w:styleId="Textbubliny">
    <w:name w:val="Balloon Text"/>
    <w:basedOn w:val="Normln"/>
    <w:link w:val="TextbublinyChar"/>
    <w:rsid w:val="00386DA3"/>
    <w:pPr>
      <w:spacing w:after="0" w:line="240" w:lineRule="auto"/>
    </w:pPr>
    <w:rPr>
      <w:rFonts w:ascii="Tahoma" w:hAnsi="Tahoma" w:cs="Tahoma"/>
      <w:sz w:val="16"/>
      <w:szCs w:val="16"/>
    </w:rPr>
  </w:style>
  <w:style w:type="paragraph" w:customStyle="1" w:styleId="Normlnodsazen">
    <w:name w:val="Normální_odsazený"/>
    <w:basedOn w:val="Normln"/>
    <w:qFormat/>
    <w:rsid w:val="00A936AE"/>
    <w:pPr>
      <w:spacing w:line="360" w:lineRule="auto"/>
      <w:ind w:firstLine="709"/>
    </w:pPr>
  </w:style>
  <w:style w:type="paragraph" w:customStyle="1" w:styleId="konec">
    <w:name w:val="konec"/>
    <w:qFormat/>
    <w:rsid w:val="00D42575"/>
    <w:rPr>
      <w:rFonts w:asciiTheme="minorHAnsi" w:hAnsiTheme="minorHAnsi"/>
      <w:sz w:val="2"/>
      <w:szCs w:val="24"/>
      <w:lang w:eastAsia="en-US"/>
    </w:rPr>
  </w:style>
  <w:style w:type="character" w:styleId="Zstupntext">
    <w:name w:val="Placeholder Text"/>
    <w:basedOn w:val="Standardnpsmoodstavce"/>
    <w:uiPriority w:val="99"/>
    <w:semiHidden/>
    <w:rsid w:val="000E2581"/>
    <w:rPr>
      <w:color w:val="808080"/>
    </w:rPr>
  </w:style>
  <w:style w:type="character" w:customStyle="1" w:styleId="TextbublinyChar">
    <w:name w:val="Text bubliny Char"/>
    <w:basedOn w:val="Standardnpsmoodstavce"/>
    <w:link w:val="Textbubliny"/>
    <w:rsid w:val="00386DA3"/>
    <w:rPr>
      <w:rFonts w:ascii="Tahoma" w:hAnsi="Tahoma" w:cs="Tahoma"/>
      <w:sz w:val="16"/>
      <w:szCs w:val="16"/>
      <w:lang w:eastAsia="en-US"/>
    </w:rPr>
  </w:style>
  <w:style w:type="table" w:styleId="Mkatabulky">
    <w:name w:val="Table Grid"/>
    <w:basedOn w:val="Normlntabulka"/>
    <w:uiPriority w:val="39"/>
    <w:rsid w:val="00E96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
    <w:name w:val="Bold"/>
    <w:basedOn w:val="Normln"/>
    <w:qFormat/>
    <w:rsid w:val="00155251"/>
    <w:pPr>
      <w:spacing w:after="0" w:line="240" w:lineRule="auto"/>
    </w:pPr>
    <w:rPr>
      <w:b/>
    </w:rPr>
  </w:style>
  <w:style w:type="paragraph" w:customStyle="1" w:styleId="Normalnitabulka">
    <w:name w:val="Normalni_tabulka"/>
    <w:basedOn w:val="Normln"/>
    <w:qFormat/>
    <w:rsid w:val="00155251"/>
    <w:pPr>
      <w:spacing w:after="0" w:line="240" w:lineRule="auto"/>
    </w:pPr>
  </w:style>
  <w:style w:type="paragraph" w:customStyle="1" w:styleId="Normalnitabulkaodsazeni">
    <w:name w:val="Normalni_tabulka_odsazeni"/>
    <w:basedOn w:val="Normalnitabulka"/>
    <w:qFormat/>
    <w:rsid w:val="005749C9"/>
    <w:pPr>
      <w:ind w:left="113"/>
    </w:pPr>
  </w:style>
  <w:style w:type="paragraph" w:styleId="Zhlav">
    <w:name w:val="header"/>
    <w:basedOn w:val="Normln"/>
    <w:link w:val="ZhlavChar"/>
    <w:uiPriority w:val="99"/>
    <w:rsid w:val="00C03D2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3D2A"/>
    <w:rPr>
      <w:rFonts w:asciiTheme="minorHAnsi" w:hAnsiTheme="minorHAnsi"/>
      <w:sz w:val="22"/>
      <w:szCs w:val="24"/>
      <w:lang w:eastAsia="en-US"/>
    </w:rPr>
  </w:style>
  <w:style w:type="paragraph" w:styleId="Zpat">
    <w:name w:val="footer"/>
    <w:basedOn w:val="Normln"/>
    <w:link w:val="ZpatChar"/>
    <w:rsid w:val="00B27F12"/>
    <w:pPr>
      <w:tabs>
        <w:tab w:val="center" w:pos="4536"/>
        <w:tab w:val="right" w:pos="9072"/>
      </w:tabs>
      <w:spacing w:after="0" w:line="240" w:lineRule="auto"/>
      <w:jc w:val="center"/>
    </w:pPr>
  </w:style>
  <w:style w:type="character" w:customStyle="1" w:styleId="ZpatChar">
    <w:name w:val="Zápatí Char"/>
    <w:basedOn w:val="Standardnpsmoodstavce"/>
    <w:link w:val="Zpat"/>
    <w:rsid w:val="00B27F12"/>
    <w:rPr>
      <w:rFonts w:asciiTheme="minorHAnsi" w:hAnsiTheme="minorHAnsi"/>
      <w:sz w:val="22"/>
      <w:szCs w:val="24"/>
      <w:lang w:eastAsia="en-US"/>
    </w:rPr>
  </w:style>
  <w:style w:type="paragraph" w:customStyle="1" w:styleId="CARKOD19b">
    <w:name w:val="CARKOD19b"/>
    <w:basedOn w:val="Bold12"/>
    <w:qFormat/>
    <w:rsid w:val="00845A1C"/>
    <w:rPr>
      <w:rFonts w:ascii="CKGinisSmall" w:hAnsi="CKGinisSmall"/>
      <w:sz w:val="44"/>
      <w:szCs w:val="32"/>
    </w:rPr>
  </w:style>
  <w:style w:type="character" w:customStyle="1" w:styleId="Nadpis3Char">
    <w:name w:val="Nadpis 3 Char"/>
    <w:basedOn w:val="Standardnpsmoodstavce"/>
    <w:link w:val="Nadpis3"/>
    <w:rsid w:val="00B13AF9"/>
    <w:rPr>
      <w:rFonts w:asciiTheme="minorHAnsi" w:eastAsiaTheme="majorEastAsia" w:hAnsiTheme="minorHAnsi" w:cstheme="majorBidi"/>
      <w:b/>
      <w:bCs/>
      <w:sz w:val="24"/>
      <w:szCs w:val="24"/>
      <w:lang w:eastAsia="en-US"/>
    </w:rPr>
  </w:style>
  <w:style w:type="character" w:customStyle="1" w:styleId="Nadpis4Char">
    <w:name w:val="Nadpis 4 Char"/>
    <w:basedOn w:val="Standardnpsmoodstavce"/>
    <w:link w:val="Nadpis4"/>
    <w:rsid w:val="00ED4466"/>
    <w:rPr>
      <w:rFonts w:ascii="Arial" w:hAnsi="Arial"/>
      <w:b/>
      <w:bCs/>
      <w:szCs w:val="28"/>
    </w:rPr>
  </w:style>
  <w:style w:type="character" w:customStyle="1" w:styleId="Nadpis5Char">
    <w:name w:val="Nadpis 5 Char"/>
    <w:basedOn w:val="Standardnpsmoodstavce"/>
    <w:link w:val="Nadpis5"/>
    <w:rsid w:val="00ED4466"/>
    <w:rPr>
      <w:rFonts w:ascii="Arial" w:hAnsi="Arial"/>
      <w:b/>
      <w:bCs/>
      <w:iCs/>
      <w:szCs w:val="26"/>
    </w:rPr>
  </w:style>
  <w:style w:type="character" w:customStyle="1" w:styleId="Nadpis6Char">
    <w:name w:val="Nadpis 6 Char"/>
    <w:basedOn w:val="Standardnpsmoodstavce"/>
    <w:link w:val="Nadpis6"/>
    <w:rsid w:val="00ED4466"/>
    <w:rPr>
      <w:b/>
      <w:bCs/>
      <w:sz w:val="22"/>
      <w:szCs w:val="22"/>
    </w:rPr>
  </w:style>
  <w:style w:type="character" w:customStyle="1" w:styleId="Nadpis7Char">
    <w:name w:val="Nadpis 7 Char"/>
    <w:basedOn w:val="Standardnpsmoodstavce"/>
    <w:link w:val="Nadpis7"/>
    <w:rsid w:val="00ED4466"/>
    <w:rPr>
      <w:sz w:val="24"/>
      <w:szCs w:val="24"/>
    </w:rPr>
  </w:style>
  <w:style w:type="character" w:customStyle="1" w:styleId="Nadpis8Char">
    <w:name w:val="Nadpis 8 Char"/>
    <w:basedOn w:val="Standardnpsmoodstavce"/>
    <w:link w:val="Nadpis8"/>
    <w:rsid w:val="00ED4466"/>
    <w:rPr>
      <w:i/>
      <w:iCs/>
      <w:sz w:val="24"/>
      <w:szCs w:val="24"/>
    </w:rPr>
  </w:style>
  <w:style w:type="character" w:customStyle="1" w:styleId="Nadpis9Char">
    <w:name w:val="Nadpis 9 Char"/>
    <w:basedOn w:val="Standardnpsmoodstavce"/>
    <w:link w:val="Nadpis9"/>
    <w:rsid w:val="00ED4466"/>
    <w:rPr>
      <w:rFonts w:ascii="Arial" w:hAnsi="Arial" w:cs="Arial"/>
      <w:sz w:val="22"/>
      <w:szCs w:val="22"/>
    </w:rPr>
  </w:style>
  <w:style w:type="character" w:styleId="slostrnky">
    <w:name w:val="page number"/>
    <w:basedOn w:val="Standardnpsmoodstavce"/>
    <w:rsid w:val="00ED4466"/>
  </w:style>
  <w:style w:type="paragraph" w:customStyle="1" w:styleId="Schvaluje">
    <w:name w:val="Schvaluje"/>
    <w:basedOn w:val="Normln"/>
    <w:qFormat/>
    <w:rsid w:val="00AB4BA8"/>
    <w:rPr>
      <w:b/>
      <w:sz w:val="28"/>
      <w:lang w:eastAsia="cs-CZ"/>
    </w:rPr>
  </w:style>
  <w:style w:type="paragraph" w:styleId="Bezmezer">
    <w:name w:val="No Spacing"/>
    <w:uiPriority w:val="1"/>
    <w:qFormat/>
    <w:rsid w:val="00667BF8"/>
    <w:rPr>
      <w:rFonts w:asciiTheme="minorHAnsi" w:eastAsiaTheme="minorHAnsi" w:hAnsiTheme="minorHAnsi" w:cstheme="minorBidi"/>
      <w:sz w:val="22"/>
      <w:szCs w:val="22"/>
      <w:lang w:eastAsia="en-US"/>
    </w:rPr>
  </w:style>
  <w:style w:type="character" w:styleId="Hypertextovodkaz">
    <w:name w:val="Hyperlink"/>
    <w:basedOn w:val="Standardnpsmoodstavce"/>
    <w:uiPriority w:val="99"/>
    <w:unhideWhenUsed/>
    <w:rsid w:val="000D76D7"/>
    <w:rPr>
      <w:color w:val="0563C1"/>
      <w:u w:val="single"/>
    </w:rPr>
  </w:style>
  <w:style w:type="paragraph" w:styleId="Odstavecseseznamem">
    <w:name w:val="List Paragraph"/>
    <w:aliases w:val="písm.,Reference List,Nad,Odstavec cíl se seznamem,Odstavec se seznamem5,Odstavec_muj"/>
    <w:basedOn w:val="Normln"/>
    <w:link w:val="OdstavecseseznamemChar"/>
    <w:uiPriority w:val="34"/>
    <w:qFormat/>
    <w:rsid w:val="000D76D7"/>
    <w:pPr>
      <w:ind w:left="720"/>
      <w:contextualSpacing/>
    </w:pPr>
  </w:style>
  <w:style w:type="paragraph" w:customStyle="1" w:styleId="Nadpis12">
    <w:name w:val="Nadpis 12"/>
    <w:basedOn w:val="Nadpis2"/>
    <w:qFormat/>
    <w:rsid w:val="005733E8"/>
    <w:pPr>
      <w:keepLines w:val="0"/>
      <w:numPr>
        <w:ilvl w:val="0"/>
        <w:numId w:val="8"/>
      </w:numPr>
      <w:tabs>
        <w:tab w:val="clear" w:pos="357"/>
      </w:tabs>
      <w:spacing w:before="240" w:after="120" w:line="240" w:lineRule="auto"/>
      <w:ind w:left="720" w:hanging="360"/>
    </w:pPr>
    <w:rPr>
      <w:rFonts w:ascii="Calibri" w:eastAsia="Times New Roman" w:hAnsi="Calibri" w:cs="Arial"/>
      <w:iCs/>
      <w:sz w:val="32"/>
      <w:szCs w:val="28"/>
      <w:lang w:eastAsia="cs-CZ"/>
    </w:rPr>
  </w:style>
  <w:style w:type="paragraph" w:styleId="Titulek">
    <w:name w:val="caption"/>
    <w:basedOn w:val="Normln"/>
    <w:next w:val="Normln"/>
    <w:unhideWhenUsed/>
    <w:qFormat/>
    <w:rsid w:val="005733E8"/>
    <w:pPr>
      <w:spacing w:after="200" w:line="240" w:lineRule="auto"/>
    </w:pPr>
    <w:rPr>
      <w:b/>
      <w:bCs/>
      <w:color w:val="4F81BD" w:themeColor="accent1"/>
      <w:sz w:val="18"/>
      <w:szCs w:val="18"/>
    </w:rPr>
  </w:style>
  <w:style w:type="character" w:customStyle="1" w:styleId="OdstavecseseznamemChar">
    <w:name w:val="Odstavec se seznamem Char"/>
    <w:aliases w:val="písm. Char,Reference List Char,Nad Char,Odstavec cíl se seznamem Char,Odstavec se seznamem5 Char,Odstavec_muj Char"/>
    <w:link w:val="Odstavecseseznamem"/>
    <w:uiPriority w:val="34"/>
    <w:locked/>
    <w:rsid w:val="005733E8"/>
    <w:rPr>
      <w:rFonts w:asciiTheme="minorHAnsi" w:hAnsiTheme="minorHAnsi"/>
      <w:sz w:val="22"/>
      <w:szCs w:val="24"/>
      <w:lang w:eastAsia="en-US"/>
    </w:rPr>
  </w:style>
  <w:style w:type="character" w:styleId="Sledovanodkaz">
    <w:name w:val="FollowedHyperlink"/>
    <w:basedOn w:val="Standardnpsmoodstavce"/>
    <w:semiHidden/>
    <w:unhideWhenUsed/>
    <w:rsid w:val="009101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91536">
      <w:bodyDiv w:val="1"/>
      <w:marLeft w:val="0"/>
      <w:marRight w:val="0"/>
      <w:marTop w:val="0"/>
      <w:marBottom w:val="0"/>
      <w:divBdr>
        <w:top w:val="none" w:sz="0" w:space="0" w:color="auto"/>
        <w:left w:val="none" w:sz="0" w:space="0" w:color="auto"/>
        <w:bottom w:val="none" w:sz="0" w:space="0" w:color="auto"/>
        <w:right w:val="none" w:sz="0" w:space="0" w:color="auto"/>
      </w:divBdr>
    </w:div>
    <w:div w:id="688021854">
      <w:bodyDiv w:val="1"/>
      <w:marLeft w:val="0"/>
      <w:marRight w:val="0"/>
      <w:marTop w:val="0"/>
      <w:marBottom w:val="0"/>
      <w:divBdr>
        <w:top w:val="none" w:sz="0" w:space="0" w:color="auto"/>
        <w:left w:val="none" w:sz="0" w:space="0" w:color="auto"/>
        <w:bottom w:val="none" w:sz="0" w:space="0" w:color="auto"/>
        <w:right w:val="none" w:sz="0" w:space="0" w:color="auto"/>
      </w:divBdr>
    </w:div>
    <w:div w:id="933706776">
      <w:bodyDiv w:val="1"/>
      <w:marLeft w:val="0"/>
      <w:marRight w:val="0"/>
      <w:marTop w:val="0"/>
      <w:marBottom w:val="0"/>
      <w:divBdr>
        <w:top w:val="none" w:sz="0" w:space="0" w:color="auto"/>
        <w:left w:val="none" w:sz="0" w:space="0" w:color="auto"/>
        <w:bottom w:val="none" w:sz="0" w:space="0" w:color="auto"/>
        <w:right w:val="none" w:sz="0" w:space="0" w:color="auto"/>
      </w:divBdr>
    </w:div>
    <w:div w:id="1078097588">
      <w:bodyDiv w:val="1"/>
      <w:marLeft w:val="0"/>
      <w:marRight w:val="0"/>
      <w:marTop w:val="0"/>
      <w:marBottom w:val="0"/>
      <w:divBdr>
        <w:top w:val="none" w:sz="0" w:space="0" w:color="auto"/>
        <w:left w:val="none" w:sz="0" w:space="0" w:color="auto"/>
        <w:bottom w:val="none" w:sz="0" w:space="0" w:color="auto"/>
        <w:right w:val="none" w:sz="0" w:space="0" w:color="auto"/>
      </w:divBdr>
    </w:div>
    <w:div w:id="180966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en.nipez.cz/SeznamZadavacichPostupu/ZakladniInformaceOZadavacimPostupuM-1153525606-40452759/ZakladniInformaceOZadavacimPostupu-1153525606-40452759/"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3%20&#218;&#345;ad\M-41%20Z&#225;pis%20z%20jedn&#225;n&#237;.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F2ABAC9A19420CB6DBC2D9CC30124C"/>
        <w:category>
          <w:name w:val="Obecné"/>
          <w:gallery w:val="placeholder"/>
        </w:category>
        <w:types>
          <w:type w:val="bbPlcHdr"/>
        </w:types>
        <w:behaviors>
          <w:behavior w:val="content"/>
        </w:behaviors>
        <w:guid w:val="{791F9594-C1B9-4A52-9AC4-317B1C9BBCAB}"/>
      </w:docPartPr>
      <w:docPartBody>
        <w:p w:rsidR="00AD02AF" w:rsidRDefault="00AD02AF">
          <w:pPr>
            <w:pStyle w:val="44F2ABAC9A19420CB6DBC2D9CC30124C"/>
          </w:pPr>
          <w:r w:rsidRPr="00136958">
            <w:rPr>
              <w:rStyle w:val="Zstupntext"/>
            </w:rPr>
            <w:t>Zvolte položku.</w:t>
          </w:r>
        </w:p>
      </w:docPartBody>
    </w:docPart>
    <w:docPart>
      <w:docPartPr>
        <w:name w:val="CD6214639E984E18AB8F091B178806E9"/>
        <w:category>
          <w:name w:val="Obecné"/>
          <w:gallery w:val="placeholder"/>
        </w:category>
        <w:types>
          <w:type w:val="bbPlcHdr"/>
        </w:types>
        <w:behaviors>
          <w:behavior w:val="content"/>
        </w:behaviors>
        <w:guid w:val="{A5081177-CC36-4ED8-BC51-B96A3AA0951D}"/>
      </w:docPartPr>
      <w:docPartBody>
        <w:p w:rsidR="00AD02AF" w:rsidRDefault="00AD02AF">
          <w:pPr>
            <w:pStyle w:val="CD6214639E984E18AB8F091B178806E9"/>
          </w:pPr>
          <w:r w:rsidRPr="00872A8B">
            <w:t xml:space="preserve"> </w:t>
          </w:r>
        </w:p>
      </w:docPartBody>
    </w:docPart>
    <w:docPart>
      <w:docPartPr>
        <w:name w:val="C18DDC9CF9034DCA87B1D6A50C89155A"/>
        <w:category>
          <w:name w:val="Obecné"/>
          <w:gallery w:val="placeholder"/>
        </w:category>
        <w:types>
          <w:type w:val="bbPlcHdr"/>
        </w:types>
        <w:behaviors>
          <w:behavior w:val="content"/>
        </w:behaviors>
        <w:guid w:val="{5780141C-A08B-4128-A317-9BDACB41DF61}"/>
      </w:docPartPr>
      <w:docPartBody>
        <w:p w:rsidR="00AD02AF" w:rsidRDefault="00AD02AF">
          <w:pPr>
            <w:pStyle w:val="C18DDC9CF9034DCA87B1D6A50C89155A"/>
          </w:pPr>
          <w:r w:rsidRPr="00E279A9">
            <w:rPr>
              <w:rStyle w:val="Zstupntext"/>
            </w:rPr>
            <w:t>Klikněte sem a zadejte text.</w:t>
          </w:r>
        </w:p>
      </w:docPartBody>
    </w:docPart>
    <w:docPart>
      <w:docPartPr>
        <w:name w:val="19E5AC2A572640CF8DE17B3250A0D866"/>
        <w:category>
          <w:name w:val="Obecné"/>
          <w:gallery w:val="placeholder"/>
        </w:category>
        <w:types>
          <w:type w:val="bbPlcHdr"/>
        </w:types>
        <w:behaviors>
          <w:behavior w:val="content"/>
        </w:behaviors>
        <w:guid w:val="{E0B848E8-3046-408D-8235-62ADD378566E}"/>
      </w:docPartPr>
      <w:docPartBody>
        <w:p w:rsidR="00AD02AF" w:rsidRDefault="00AD02AF">
          <w:pPr>
            <w:pStyle w:val="19E5AC2A572640CF8DE17B3250A0D866"/>
          </w:pPr>
          <w:r>
            <w:t>Vyberte datum</w:t>
          </w:r>
        </w:p>
      </w:docPartBody>
    </w:docPart>
    <w:docPart>
      <w:docPartPr>
        <w:name w:val="6E4B23FCA1074BDC92AB61F3A67AD1BA"/>
        <w:category>
          <w:name w:val="Obecné"/>
          <w:gallery w:val="placeholder"/>
        </w:category>
        <w:types>
          <w:type w:val="bbPlcHdr"/>
        </w:types>
        <w:behaviors>
          <w:behavior w:val="content"/>
        </w:behaviors>
        <w:guid w:val="{1A46A459-BF54-4115-8BB5-F281C9C5B7AD}"/>
      </w:docPartPr>
      <w:docPartBody>
        <w:p w:rsidR="00AD02AF" w:rsidRDefault="00AD02AF">
          <w:pPr>
            <w:pStyle w:val="6E4B23FCA1074BDC92AB61F3A67AD1BA"/>
          </w:pPr>
          <w:r w:rsidRPr="00E279A9">
            <w:rPr>
              <w:rStyle w:val="Zstupntext"/>
            </w:rPr>
            <w:t>Klikněte sem a zadejte text.</w:t>
          </w:r>
        </w:p>
      </w:docPartBody>
    </w:docPart>
    <w:docPart>
      <w:docPartPr>
        <w:name w:val="9D3651825C4B4B4796901BCAD7C4831C"/>
        <w:category>
          <w:name w:val="Obecné"/>
          <w:gallery w:val="placeholder"/>
        </w:category>
        <w:types>
          <w:type w:val="bbPlcHdr"/>
        </w:types>
        <w:behaviors>
          <w:behavior w:val="content"/>
        </w:behaviors>
        <w:guid w:val="{7DB39156-360B-44C9-BC30-C8B3FF279337}"/>
      </w:docPartPr>
      <w:docPartBody>
        <w:p w:rsidR="00AD02AF" w:rsidRDefault="00AD02AF">
          <w:pPr>
            <w:pStyle w:val="9D3651825C4B4B4796901BCAD7C4831C"/>
          </w:pPr>
          <w:r w:rsidRPr="00E279A9">
            <w:rPr>
              <w:rStyle w:val="Zstupntext"/>
            </w:rPr>
            <w:t>Klikněte sem a zadejte text.</w:t>
          </w:r>
        </w:p>
      </w:docPartBody>
    </w:docPart>
    <w:docPart>
      <w:docPartPr>
        <w:name w:val="B898C7F26F6645CF90E1ECE40D0300CC"/>
        <w:category>
          <w:name w:val="Obecné"/>
          <w:gallery w:val="placeholder"/>
        </w:category>
        <w:types>
          <w:type w:val="bbPlcHdr"/>
        </w:types>
        <w:behaviors>
          <w:behavior w:val="content"/>
        </w:behaviors>
        <w:guid w:val="{19605D5C-E89A-4CBA-A6BC-8DB1120E3007}"/>
      </w:docPartPr>
      <w:docPartBody>
        <w:p w:rsidR="00AD02AF" w:rsidRDefault="00AD02AF">
          <w:pPr>
            <w:pStyle w:val="B898C7F26F6645CF90E1ECE40D0300CC"/>
          </w:pPr>
          <w:r w:rsidRPr="00E279A9">
            <w:rPr>
              <w:rStyle w:val="Zstupntext"/>
            </w:rPr>
            <w:t>Klikněte sem a zadejte text.</w:t>
          </w:r>
        </w:p>
      </w:docPartBody>
    </w:docPart>
    <w:docPart>
      <w:docPartPr>
        <w:name w:val="CF12828E04D742FC83E788232D917806"/>
        <w:category>
          <w:name w:val="Obecné"/>
          <w:gallery w:val="placeholder"/>
        </w:category>
        <w:types>
          <w:type w:val="bbPlcHdr"/>
        </w:types>
        <w:behaviors>
          <w:behavior w:val="content"/>
        </w:behaviors>
        <w:guid w:val="{5AF2B0A1-6DFF-4B71-A831-BAAA86B2F24B}"/>
      </w:docPartPr>
      <w:docPartBody>
        <w:p w:rsidR="00AD02AF" w:rsidRDefault="00AD02AF">
          <w:pPr>
            <w:pStyle w:val="CF12828E04D742FC83E788232D917806"/>
          </w:pPr>
          <w:r>
            <w:t xml:space="preserve"> </w:t>
          </w:r>
        </w:p>
      </w:docPartBody>
    </w:docPart>
    <w:docPart>
      <w:docPartPr>
        <w:name w:val="2EAB4759EF6943F891770010030C8D05"/>
        <w:category>
          <w:name w:val="Obecné"/>
          <w:gallery w:val="placeholder"/>
        </w:category>
        <w:types>
          <w:type w:val="bbPlcHdr"/>
        </w:types>
        <w:behaviors>
          <w:behavior w:val="content"/>
        </w:behaviors>
        <w:guid w:val="{E3025913-5DE7-4883-8CD7-440CEF4D6F34}"/>
      </w:docPartPr>
      <w:docPartBody>
        <w:p w:rsidR="00AD02AF" w:rsidRDefault="00AD02AF">
          <w:pPr>
            <w:pStyle w:val="2EAB4759EF6943F891770010030C8D05"/>
          </w:pPr>
          <w:r w:rsidRPr="0055787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KGinisSmall">
    <w:altName w:val="Trebuchet MS"/>
    <w:charset w:val="EE"/>
    <w:family w:val="swiss"/>
    <w:pitch w:val="variable"/>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2AF"/>
    <w:rsid w:val="00005565"/>
    <w:rsid w:val="0009560D"/>
    <w:rsid w:val="0062076E"/>
    <w:rsid w:val="006338E9"/>
    <w:rsid w:val="00784DE0"/>
    <w:rsid w:val="00874064"/>
    <w:rsid w:val="00A62BF0"/>
    <w:rsid w:val="00AD02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76E"/>
    <w:rPr>
      <w:color w:val="808080"/>
    </w:rPr>
  </w:style>
  <w:style w:type="paragraph" w:customStyle="1" w:styleId="44F2ABAC9A19420CB6DBC2D9CC30124C">
    <w:name w:val="44F2ABAC9A19420CB6DBC2D9CC30124C"/>
  </w:style>
  <w:style w:type="paragraph" w:customStyle="1" w:styleId="CD6214639E984E18AB8F091B178806E9">
    <w:name w:val="CD6214639E984E18AB8F091B178806E9"/>
  </w:style>
  <w:style w:type="paragraph" w:customStyle="1" w:styleId="C18DDC9CF9034DCA87B1D6A50C89155A">
    <w:name w:val="C18DDC9CF9034DCA87B1D6A50C89155A"/>
  </w:style>
  <w:style w:type="paragraph" w:customStyle="1" w:styleId="19E5AC2A572640CF8DE17B3250A0D866">
    <w:name w:val="19E5AC2A572640CF8DE17B3250A0D866"/>
  </w:style>
  <w:style w:type="paragraph" w:customStyle="1" w:styleId="6E4B23FCA1074BDC92AB61F3A67AD1BA">
    <w:name w:val="6E4B23FCA1074BDC92AB61F3A67AD1BA"/>
  </w:style>
  <w:style w:type="paragraph" w:customStyle="1" w:styleId="9D3651825C4B4B4796901BCAD7C4831C">
    <w:name w:val="9D3651825C4B4B4796901BCAD7C4831C"/>
  </w:style>
  <w:style w:type="paragraph" w:customStyle="1" w:styleId="B898C7F26F6645CF90E1ECE40D0300CC">
    <w:name w:val="B898C7F26F6645CF90E1ECE40D0300CC"/>
  </w:style>
  <w:style w:type="paragraph" w:customStyle="1" w:styleId="CF12828E04D742FC83E788232D917806">
    <w:name w:val="CF12828E04D742FC83E788232D917806"/>
  </w:style>
  <w:style w:type="paragraph" w:customStyle="1" w:styleId="2EAB4759EF6943F891770010030C8D05">
    <w:name w:val="2EAB4759EF6943F891770010030C8D05"/>
  </w:style>
  <w:style w:type="paragraph" w:customStyle="1" w:styleId="5B1C91C50C864A7083A59A600DB0FD7D">
    <w:name w:val="5B1C91C50C864A7083A59A600DB0FD7D"/>
  </w:style>
  <w:style w:type="paragraph" w:customStyle="1" w:styleId="B4BF9D22FB0447028BA2F834DB417285">
    <w:name w:val="B4BF9D22FB0447028BA2F834DB417285"/>
  </w:style>
  <w:style w:type="paragraph" w:customStyle="1" w:styleId="14A30F0011D940FC9FE613E8FA0E6D12">
    <w:name w:val="14A30F0011D940FC9FE613E8FA0E6D12"/>
    <w:rsid w:val="0062076E"/>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CF2A6C4566B2546865C192D5E795280" ma:contentTypeVersion="12" ma:contentTypeDescription="Vytvoří nový dokument" ma:contentTypeScope="" ma:versionID="d577e8f3e16eb7d7bc1aca659c59defa">
  <xsd:schema xmlns:xsd="http://www.w3.org/2001/XMLSchema" xmlns:xs="http://www.w3.org/2001/XMLSchema" xmlns:p="http://schemas.microsoft.com/office/2006/metadata/properties" xmlns:ns2="28dfb0ed-f80b-4b35-bcdf-5c531d1c7e31" targetNamespace="http://schemas.microsoft.com/office/2006/metadata/properties" ma:root="true" ma:fieldsID="e0a2e3bba45973160ee7ecf84cf07131" ns2:_="">
    <xsd:import namespace="28dfb0ed-f80b-4b35-bcdf-5c531d1c7e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fb0ed-f80b-4b35-bcdf-5c531d1c7e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dfb0ed-f80b-4b35-bcdf-5c531d1c7e31" xsi:nil="true"/>
  </documentManagement>
</p:properties>
</file>

<file path=customXml/itemProps1.xml><?xml version="1.0" encoding="utf-8"?>
<ds:datastoreItem xmlns:ds="http://schemas.openxmlformats.org/officeDocument/2006/customXml" ds:itemID="{5154105F-7896-4221-9482-2559C5BFE327}">
  <ds:schemaRefs>
    <ds:schemaRef ds:uri="http://schemas.openxmlformats.org/officeDocument/2006/bibliography"/>
  </ds:schemaRefs>
</ds:datastoreItem>
</file>

<file path=customXml/itemProps2.xml><?xml version="1.0" encoding="utf-8"?>
<ds:datastoreItem xmlns:ds="http://schemas.openxmlformats.org/officeDocument/2006/customXml" ds:itemID="{98FE8833-7C12-4888-9932-26A104E0B57F}"/>
</file>

<file path=customXml/itemProps3.xml><?xml version="1.0" encoding="utf-8"?>
<ds:datastoreItem xmlns:ds="http://schemas.openxmlformats.org/officeDocument/2006/customXml" ds:itemID="{61EFD6DD-C8DB-4F6B-B5C0-7E2BE6C78D3A}"/>
</file>

<file path=customXml/itemProps4.xml><?xml version="1.0" encoding="utf-8"?>
<ds:datastoreItem xmlns:ds="http://schemas.openxmlformats.org/officeDocument/2006/customXml" ds:itemID="{DB3D33A3-C687-47CD-98D8-B29897697608}"/>
</file>

<file path=docProps/app.xml><?xml version="1.0" encoding="utf-8"?>
<Properties xmlns="http://schemas.openxmlformats.org/officeDocument/2006/extended-properties" xmlns:vt="http://schemas.openxmlformats.org/officeDocument/2006/docPropsVTypes">
  <Template>M-41 Zápis z jednání.dotm</Template>
  <TotalTime>154</TotalTime>
  <Pages>1</Pages>
  <Words>1484</Words>
  <Characters>8756</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S-COMP Centre CZ s.r.o.</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Dvořák Vítězslav Ing.</dc:creator>
  <cp:lastModifiedBy>Dvořák Vítězslav Ing.</cp:lastModifiedBy>
  <cp:revision>40</cp:revision>
  <cp:lastPrinted>2020-06-08T07:42:00Z</cp:lastPrinted>
  <dcterms:created xsi:type="dcterms:W3CDTF">2020-06-08T09:09:00Z</dcterms:created>
  <dcterms:modified xsi:type="dcterms:W3CDTF">2021-07-14T14:07:00Z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0x010100ACF2A6C4566B2546865C192D5E795280</vt:lpwstr>
  </property>
</Properties>
</file>