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9A7719" w14:textId="77777777" w:rsidR="009E3266" w:rsidRPr="001B78C5" w:rsidRDefault="009E3266" w:rsidP="005258F2">
      <w:pPr>
        <w:jc w:val="both"/>
        <w:rPr>
          <w:rFonts w:ascii="Arial" w:hAnsi="Arial" w:cs="Arial"/>
          <w:b/>
          <w:sz w:val="22"/>
          <w:szCs w:val="22"/>
        </w:rPr>
      </w:pPr>
    </w:p>
    <w:p w14:paraId="7BD7DFC2" w14:textId="77777777" w:rsidR="00616D9D" w:rsidRPr="00796F00" w:rsidRDefault="00BB7AB2" w:rsidP="0096205B">
      <w:pPr>
        <w:spacing w:after="240"/>
        <w:jc w:val="center"/>
        <w:rPr>
          <w:rFonts w:ascii="Arial" w:hAnsi="Arial" w:cs="Arial"/>
          <w:b/>
          <w:color w:val="0070C0"/>
          <w:sz w:val="28"/>
          <w:szCs w:val="28"/>
        </w:rPr>
      </w:pPr>
      <w:r>
        <w:rPr>
          <w:rFonts w:ascii="Arial" w:hAnsi="Arial" w:cs="Arial"/>
          <w:b/>
          <w:color w:val="0070C0"/>
          <w:sz w:val="28"/>
          <w:szCs w:val="28"/>
        </w:rPr>
        <w:t>Doporučení Pracovní skupiny Rady pro výzkum, vývoj a inovace pro rovnost žen a mužů ve výzkumu (PS RVVI RZMV) Radě pro výzkum vývoj a inovace (RVVI) ve věci proplácení služeb péče</w:t>
      </w:r>
      <w:r>
        <w:rPr>
          <w:rStyle w:val="Znakapoznpodarou"/>
          <w:rFonts w:ascii="Arial" w:hAnsi="Arial" w:cs="Arial"/>
          <w:b/>
          <w:color w:val="0070C0"/>
          <w:sz w:val="28"/>
          <w:szCs w:val="28"/>
        </w:rPr>
        <w:footnoteReference w:id="1"/>
      </w:r>
    </w:p>
    <w:p w14:paraId="23B0020D" w14:textId="77777777" w:rsidR="00F038F1" w:rsidRPr="00C113C4" w:rsidRDefault="00F038F1" w:rsidP="00F038F1">
      <w:pPr>
        <w:tabs>
          <w:tab w:val="left" w:pos="-26"/>
        </w:tabs>
        <w:spacing w:after="120" w:line="276" w:lineRule="auto"/>
        <w:jc w:val="both"/>
        <w:rPr>
          <w:rFonts w:ascii="Arial" w:hAnsi="Arial" w:cs="Arial"/>
          <w:noProof/>
          <w:color w:val="000000"/>
          <w:sz w:val="22"/>
          <w:szCs w:val="22"/>
        </w:rPr>
      </w:pPr>
    </w:p>
    <w:p w14:paraId="324B67D8" w14:textId="77777777" w:rsidR="00BB7AB2" w:rsidRPr="00BB7AB2" w:rsidRDefault="00BB7AB2" w:rsidP="00BB7AB2">
      <w:pPr>
        <w:rPr>
          <w:rFonts w:ascii="Arial" w:eastAsia="Calibri" w:hAnsi="Arial" w:cs="Arial"/>
          <w:sz w:val="22"/>
          <w:szCs w:val="22"/>
        </w:rPr>
      </w:pPr>
      <w:r w:rsidRPr="00BB7AB2">
        <w:rPr>
          <w:rFonts w:ascii="Arial" w:eastAsia="Calibri" w:hAnsi="Arial" w:cs="Arial"/>
          <w:sz w:val="22"/>
          <w:szCs w:val="22"/>
        </w:rPr>
        <w:t>PS RVVI pro rovnost žen a mužů žádá RVVI, aby:</w:t>
      </w:r>
    </w:p>
    <w:p w14:paraId="11DB8903" w14:textId="77777777" w:rsidR="00BB7AB2" w:rsidRPr="00BB7AB2" w:rsidRDefault="00BB7AB2" w:rsidP="00BB7AB2">
      <w:pPr>
        <w:pStyle w:val="Odstavecseseznamem"/>
        <w:numPr>
          <w:ilvl w:val="0"/>
          <w:numId w:val="25"/>
        </w:numPr>
        <w:spacing w:line="276" w:lineRule="auto"/>
        <w:jc w:val="both"/>
        <w:rPr>
          <w:rFonts w:ascii="Arial" w:eastAsia="Calibri" w:hAnsi="Arial" w:cs="Arial"/>
          <w:sz w:val="22"/>
          <w:szCs w:val="22"/>
        </w:rPr>
      </w:pPr>
      <w:r w:rsidRPr="00BB7AB2">
        <w:rPr>
          <w:rFonts w:ascii="Arial" w:eastAsia="Calibri" w:hAnsi="Arial" w:cs="Arial"/>
          <w:b/>
          <w:sz w:val="22"/>
          <w:szCs w:val="22"/>
        </w:rPr>
        <w:t xml:space="preserve">doporučila </w:t>
      </w:r>
      <w:r w:rsidRPr="00BB7AB2">
        <w:rPr>
          <w:rFonts w:ascii="Arial" w:eastAsia="Calibri" w:hAnsi="Arial" w:cs="Arial"/>
          <w:b/>
          <w:sz w:val="22"/>
          <w:szCs w:val="22"/>
          <w:u w:val="single"/>
        </w:rPr>
        <w:t>poskytovatelům, aby:</w:t>
      </w:r>
    </w:p>
    <w:p w14:paraId="2E23ECC4" w14:textId="77777777" w:rsidR="00BB7AB2" w:rsidRPr="00BB7AB2" w:rsidRDefault="00BB7AB2" w:rsidP="00BB7AB2">
      <w:pPr>
        <w:pStyle w:val="Odstavecseseznamem"/>
        <w:numPr>
          <w:ilvl w:val="1"/>
          <w:numId w:val="25"/>
        </w:numPr>
        <w:spacing w:line="276" w:lineRule="auto"/>
        <w:jc w:val="both"/>
        <w:rPr>
          <w:rFonts w:ascii="Arial" w:eastAsia="Calibri" w:hAnsi="Arial" w:cs="Arial"/>
          <w:sz w:val="22"/>
          <w:szCs w:val="22"/>
        </w:rPr>
      </w:pPr>
      <w:r w:rsidRPr="00BB7AB2">
        <w:rPr>
          <w:rFonts w:ascii="Arial" w:eastAsia="Calibri" w:hAnsi="Arial" w:cs="Arial"/>
          <w:b/>
          <w:sz w:val="22"/>
          <w:szCs w:val="22"/>
        </w:rPr>
        <w:t>umožnili zařazení nákladů péče</w:t>
      </w:r>
      <w:r w:rsidRPr="00BB7AB2">
        <w:rPr>
          <w:rStyle w:val="Znakapoznpodarou"/>
          <w:rFonts w:ascii="Arial" w:eastAsia="Calibri" w:hAnsi="Arial" w:cs="Arial"/>
          <w:sz w:val="22"/>
          <w:szCs w:val="22"/>
        </w:rPr>
        <w:footnoteReference w:id="2"/>
      </w:r>
      <w:r w:rsidRPr="00BB7AB2">
        <w:rPr>
          <w:rFonts w:ascii="Arial" w:eastAsia="Calibri" w:hAnsi="Arial" w:cs="Arial"/>
          <w:sz w:val="22"/>
          <w:szCs w:val="22"/>
        </w:rPr>
        <w:t xml:space="preserve"> </w:t>
      </w:r>
      <w:r w:rsidRPr="00BB7AB2">
        <w:rPr>
          <w:rFonts w:ascii="Arial" w:eastAsia="Calibri" w:hAnsi="Arial" w:cs="Arial"/>
          <w:b/>
          <w:sz w:val="22"/>
          <w:szCs w:val="22"/>
        </w:rPr>
        <w:t>mezi způsobilé náklady</w:t>
      </w:r>
      <w:r w:rsidRPr="00BB7AB2">
        <w:rPr>
          <w:rFonts w:ascii="Arial" w:eastAsia="Calibri" w:hAnsi="Arial" w:cs="Arial"/>
          <w:sz w:val="22"/>
          <w:szCs w:val="22"/>
        </w:rPr>
        <w:t xml:space="preserve"> vzniklé přímo v souvislosti s činností výzkumné/ho pracovnice/pracovníka jako náklady osobní při splnění konkrétních podmínek.</w:t>
      </w:r>
      <w:r w:rsidRPr="00BB7AB2">
        <w:rPr>
          <w:rStyle w:val="Znakapoznpodarou"/>
          <w:rFonts w:ascii="Arial" w:eastAsia="Calibri" w:hAnsi="Arial" w:cs="Arial"/>
          <w:sz w:val="22"/>
          <w:szCs w:val="22"/>
        </w:rPr>
        <w:footnoteReference w:id="3"/>
      </w:r>
      <w:r w:rsidRPr="00BB7AB2">
        <w:rPr>
          <w:rFonts w:ascii="Arial" w:eastAsia="Calibri" w:hAnsi="Arial" w:cs="Arial"/>
          <w:sz w:val="22"/>
          <w:szCs w:val="22"/>
        </w:rPr>
        <w:t xml:space="preserve"> A/nebo aby je umožnili zahrnout mezi doplňkové (režijní) náklady, buďto prostřednictvím metody </w:t>
      </w:r>
      <w:proofErr w:type="spellStart"/>
      <w:r w:rsidRPr="00BB7AB2">
        <w:rPr>
          <w:rFonts w:ascii="Arial" w:eastAsia="Calibri" w:hAnsi="Arial" w:cs="Arial"/>
          <w:sz w:val="22"/>
          <w:szCs w:val="22"/>
        </w:rPr>
        <w:t>flat</w:t>
      </w:r>
      <w:proofErr w:type="spellEnd"/>
      <w:r w:rsidRPr="00BB7AB2">
        <w:rPr>
          <w:rFonts w:ascii="Arial" w:eastAsia="Calibri" w:hAnsi="Arial" w:cs="Arial"/>
          <w:sz w:val="22"/>
          <w:szCs w:val="22"/>
        </w:rPr>
        <w:t xml:space="preserve"> </w:t>
      </w:r>
      <w:proofErr w:type="spellStart"/>
      <w:r w:rsidRPr="00BB7AB2">
        <w:rPr>
          <w:rFonts w:ascii="Arial" w:eastAsia="Calibri" w:hAnsi="Arial" w:cs="Arial"/>
          <w:sz w:val="22"/>
          <w:szCs w:val="22"/>
        </w:rPr>
        <w:t>rate</w:t>
      </w:r>
      <w:proofErr w:type="spellEnd"/>
      <w:r w:rsidRPr="00BB7AB2">
        <w:rPr>
          <w:rFonts w:ascii="Arial" w:eastAsia="Calibri" w:hAnsi="Arial" w:cs="Arial"/>
          <w:sz w:val="22"/>
          <w:szCs w:val="22"/>
        </w:rPr>
        <w:t xml:space="preserve"> (paušál)</w:t>
      </w:r>
      <w:r w:rsidRPr="00BB7AB2">
        <w:rPr>
          <w:rStyle w:val="Znakapoznpodarou"/>
          <w:rFonts w:ascii="Arial" w:eastAsia="Calibri" w:hAnsi="Arial" w:cs="Arial"/>
          <w:sz w:val="22"/>
          <w:szCs w:val="22"/>
        </w:rPr>
        <w:footnoteReference w:id="4"/>
      </w:r>
      <w:r w:rsidRPr="00BB7AB2">
        <w:rPr>
          <w:rFonts w:ascii="Arial" w:eastAsia="Calibri" w:hAnsi="Arial" w:cs="Arial"/>
          <w:sz w:val="22"/>
          <w:szCs w:val="22"/>
        </w:rPr>
        <w:t xml:space="preserve"> nebo metodou full </w:t>
      </w:r>
      <w:proofErr w:type="spellStart"/>
      <w:r w:rsidRPr="00BB7AB2">
        <w:rPr>
          <w:rFonts w:ascii="Arial" w:eastAsia="Calibri" w:hAnsi="Arial" w:cs="Arial"/>
          <w:sz w:val="22"/>
          <w:szCs w:val="22"/>
        </w:rPr>
        <w:t>cost</w:t>
      </w:r>
      <w:proofErr w:type="spellEnd"/>
      <w:r w:rsidRPr="00BB7AB2">
        <w:rPr>
          <w:rFonts w:ascii="Arial" w:eastAsia="Calibri" w:hAnsi="Arial" w:cs="Arial"/>
          <w:sz w:val="22"/>
          <w:szCs w:val="22"/>
        </w:rPr>
        <w:t xml:space="preserve"> (účetně doložitelné náklady) za splnění konkrétních podmínek;</w:t>
      </w:r>
      <w:r w:rsidRPr="00BB7AB2">
        <w:rPr>
          <w:rStyle w:val="Znakapoznpodarou"/>
          <w:rFonts w:ascii="Arial" w:eastAsia="Calibri" w:hAnsi="Arial" w:cs="Arial"/>
          <w:sz w:val="22"/>
          <w:szCs w:val="22"/>
        </w:rPr>
        <w:footnoteReference w:id="5"/>
      </w:r>
    </w:p>
    <w:p w14:paraId="333EE948" w14:textId="77777777" w:rsidR="00BB7AB2" w:rsidRPr="00BB7AB2" w:rsidRDefault="00BB7AB2" w:rsidP="00BB7AB2">
      <w:pPr>
        <w:pStyle w:val="Odstavecseseznamem"/>
        <w:numPr>
          <w:ilvl w:val="1"/>
          <w:numId w:val="25"/>
        </w:numPr>
        <w:spacing w:line="276" w:lineRule="auto"/>
        <w:jc w:val="both"/>
        <w:rPr>
          <w:rFonts w:ascii="Arial" w:eastAsia="Calibri" w:hAnsi="Arial" w:cs="Arial"/>
          <w:sz w:val="22"/>
          <w:szCs w:val="22"/>
        </w:rPr>
      </w:pPr>
      <w:r w:rsidRPr="00BB7AB2">
        <w:rPr>
          <w:rFonts w:ascii="Arial" w:eastAsia="Calibri" w:hAnsi="Arial" w:cs="Arial"/>
          <w:b/>
          <w:sz w:val="22"/>
          <w:szCs w:val="22"/>
        </w:rPr>
        <w:t>aby definovali</w:t>
      </w:r>
      <w:r w:rsidRPr="00BB7AB2">
        <w:rPr>
          <w:rFonts w:ascii="Arial" w:eastAsia="Calibri" w:hAnsi="Arial" w:cs="Arial"/>
          <w:sz w:val="22"/>
          <w:szCs w:val="22"/>
        </w:rPr>
        <w:t xml:space="preserve">, co jsou </w:t>
      </w:r>
      <w:r w:rsidRPr="00BB7AB2">
        <w:rPr>
          <w:rFonts w:ascii="Arial" w:eastAsia="Calibri" w:hAnsi="Arial" w:cs="Arial"/>
          <w:b/>
          <w:bCs/>
          <w:sz w:val="22"/>
          <w:szCs w:val="22"/>
        </w:rPr>
        <w:t>služby péče</w:t>
      </w:r>
      <w:r w:rsidRPr="00BB7AB2">
        <w:rPr>
          <w:rFonts w:ascii="Arial" w:eastAsia="Calibri" w:hAnsi="Arial" w:cs="Arial"/>
          <w:sz w:val="22"/>
          <w:szCs w:val="22"/>
        </w:rPr>
        <w:t xml:space="preserve">, jakým způsobem akceptují poskytování příspěvku zaměstnavatele a stanovili principy takového uznávání </w:t>
      </w:r>
      <w:r w:rsidRPr="00BB7AB2">
        <w:rPr>
          <w:rFonts w:ascii="Arial" w:hAnsi="Arial" w:cs="Arial"/>
          <w:sz w:val="22"/>
          <w:szCs w:val="22"/>
        </w:rPr>
        <w:t>(viz příklady praxe v GA ČR a TA ČR uvedené níže v textu)</w:t>
      </w:r>
      <w:r w:rsidRPr="00BB7AB2">
        <w:rPr>
          <w:rFonts w:ascii="Arial" w:eastAsia="Calibri" w:hAnsi="Arial" w:cs="Arial"/>
          <w:sz w:val="22"/>
          <w:szCs w:val="22"/>
        </w:rPr>
        <w:t>;</w:t>
      </w:r>
      <w:r w:rsidRPr="00BB7AB2">
        <w:rPr>
          <w:rStyle w:val="Znakapoznpodarou"/>
          <w:rFonts w:ascii="Arial" w:eastAsia="Calibri" w:hAnsi="Arial" w:cs="Arial"/>
          <w:sz w:val="22"/>
          <w:szCs w:val="22"/>
        </w:rPr>
        <w:footnoteReference w:id="6"/>
      </w:r>
      <w:r w:rsidR="002F4DD6">
        <w:rPr>
          <w:rFonts w:ascii="Arial" w:eastAsia="Calibri" w:hAnsi="Arial" w:cs="Arial"/>
          <w:sz w:val="22"/>
          <w:szCs w:val="22"/>
        </w:rPr>
        <w:t xml:space="preserve"> </w:t>
      </w:r>
      <w:r w:rsidRPr="00BB7AB2">
        <w:rPr>
          <w:rFonts w:ascii="Arial" w:eastAsia="Calibri" w:hAnsi="Arial" w:cs="Arial"/>
          <w:b/>
          <w:sz w:val="22"/>
          <w:szCs w:val="22"/>
        </w:rPr>
        <w:t>informovali vědeckou komunitu</w:t>
      </w:r>
      <w:r w:rsidRPr="00BB7AB2">
        <w:rPr>
          <w:rFonts w:ascii="Arial" w:eastAsia="Calibri" w:hAnsi="Arial" w:cs="Arial"/>
          <w:sz w:val="22"/>
          <w:szCs w:val="22"/>
        </w:rPr>
        <w:t xml:space="preserve"> o tomto opatření, </w:t>
      </w:r>
      <w:r w:rsidRPr="00BB7AB2">
        <w:rPr>
          <w:rFonts w:ascii="Arial" w:eastAsia="Calibri" w:hAnsi="Arial" w:cs="Arial"/>
          <w:b/>
          <w:sz w:val="22"/>
          <w:szCs w:val="22"/>
        </w:rPr>
        <w:t>mapovali</w:t>
      </w:r>
      <w:r w:rsidRPr="00BB7AB2">
        <w:rPr>
          <w:rFonts w:ascii="Arial" w:eastAsia="Calibri" w:hAnsi="Arial" w:cs="Arial"/>
          <w:sz w:val="22"/>
          <w:szCs w:val="22"/>
        </w:rPr>
        <w:t xml:space="preserve"> jeho využívání a </w:t>
      </w:r>
      <w:r w:rsidRPr="00BB7AB2">
        <w:rPr>
          <w:rFonts w:ascii="Arial" w:eastAsia="Calibri" w:hAnsi="Arial" w:cs="Arial"/>
          <w:b/>
          <w:sz w:val="22"/>
          <w:szCs w:val="22"/>
        </w:rPr>
        <w:t>vyhodnocovali</w:t>
      </w:r>
      <w:r w:rsidRPr="00BB7AB2">
        <w:rPr>
          <w:rFonts w:ascii="Arial" w:eastAsia="Calibri" w:hAnsi="Arial" w:cs="Arial"/>
          <w:sz w:val="22"/>
          <w:szCs w:val="22"/>
        </w:rPr>
        <w:t xml:space="preserve"> jejich účinnost;</w:t>
      </w:r>
    </w:p>
    <w:p w14:paraId="0F882CFA" w14:textId="77777777" w:rsidR="00BB7AB2" w:rsidRPr="00BB7AB2" w:rsidRDefault="00BB7AB2" w:rsidP="00BB7AB2">
      <w:pPr>
        <w:pStyle w:val="Odstavecseseznamem"/>
        <w:numPr>
          <w:ilvl w:val="1"/>
          <w:numId w:val="25"/>
        </w:numPr>
        <w:spacing w:line="276" w:lineRule="auto"/>
        <w:ind w:hanging="357"/>
        <w:jc w:val="both"/>
        <w:rPr>
          <w:rFonts w:ascii="Arial" w:eastAsia="Calibri" w:hAnsi="Arial" w:cs="Arial"/>
          <w:sz w:val="22"/>
          <w:szCs w:val="22"/>
        </w:rPr>
      </w:pPr>
      <w:r w:rsidRPr="00BB7AB2">
        <w:rPr>
          <w:rFonts w:ascii="Arial" w:eastAsia="Calibri" w:hAnsi="Arial" w:cs="Arial"/>
          <w:sz w:val="22"/>
          <w:szCs w:val="22"/>
        </w:rPr>
        <w:t>prozkoumali možnos</w:t>
      </w:r>
      <w:r w:rsidR="003F01D0">
        <w:rPr>
          <w:rFonts w:ascii="Arial" w:eastAsia="Calibri" w:hAnsi="Arial" w:cs="Arial"/>
          <w:sz w:val="22"/>
          <w:szCs w:val="22"/>
        </w:rPr>
        <w:t>t vytvoření položky na péči (např. v položce ostatní osobní náklady</w:t>
      </w:r>
      <w:r w:rsidRPr="00BB7AB2">
        <w:rPr>
          <w:rFonts w:ascii="Arial" w:eastAsia="Calibri" w:hAnsi="Arial" w:cs="Arial"/>
          <w:sz w:val="22"/>
          <w:szCs w:val="22"/>
        </w:rPr>
        <w:t xml:space="preserve">) v rozpočtu projektů, čímž by zajistili plošnou dostupnost opatření bez ohledu na neexistenci vnitřních předpisů institucí </w:t>
      </w:r>
      <w:proofErr w:type="spellStart"/>
      <w:r w:rsidRPr="00BB7AB2">
        <w:rPr>
          <w:rFonts w:ascii="Arial" w:eastAsia="Calibri" w:hAnsi="Arial" w:cs="Arial"/>
          <w:sz w:val="22"/>
          <w:szCs w:val="22"/>
        </w:rPr>
        <w:t>VaVaI</w:t>
      </w:r>
      <w:proofErr w:type="spellEnd"/>
      <w:r w:rsidRPr="00BB7AB2">
        <w:rPr>
          <w:rFonts w:ascii="Arial" w:eastAsia="Calibri" w:hAnsi="Arial" w:cs="Arial"/>
          <w:sz w:val="22"/>
          <w:szCs w:val="22"/>
        </w:rPr>
        <w:t xml:space="preserve"> (zejm. v programech podpory jako je Zéta TA ČR, která míří na podporu mladých a genderové rovnosti);</w:t>
      </w:r>
    </w:p>
    <w:p w14:paraId="763220AC" w14:textId="72B119FE" w:rsidR="00BB7AB2" w:rsidRPr="00BB7AB2" w:rsidRDefault="00BB7AB2" w:rsidP="00BB7AB2">
      <w:pPr>
        <w:pStyle w:val="Odstavecseseznamem"/>
        <w:numPr>
          <w:ilvl w:val="1"/>
          <w:numId w:val="25"/>
        </w:numPr>
        <w:spacing w:line="276" w:lineRule="auto"/>
        <w:ind w:hanging="357"/>
        <w:jc w:val="both"/>
        <w:rPr>
          <w:rFonts w:ascii="Arial" w:eastAsia="Calibri" w:hAnsi="Arial" w:cs="Arial"/>
          <w:sz w:val="22"/>
          <w:szCs w:val="22"/>
        </w:rPr>
      </w:pPr>
      <w:r w:rsidRPr="00BB7AB2">
        <w:rPr>
          <w:rFonts w:ascii="Arial" w:eastAsia="Calibri" w:hAnsi="Arial" w:cs="Arial"/>
          <w:sz w:val="22"/>
          <w:szCs w:val="22"/>
        </w:rPr>
        <w:t>zvážili</w:t>
      </w:r>
      <w:r w:rsidR="00967ADE">
        <w:rPr>
          <w:rFonts w:ascii="Arial" w:eastAsia="Calibri" w:hAnsi="Arial" w:cs="Arial"/>
          <w:sz w:val="22"/>
          <w:szCs w:val="22"/>
        </w:rPr>
        <w:t>, pokud je to možné,</w:t>
      </w:r>
      <w:r w:rsidRPr="00BB7AB2">
        <w:rPr>
          <w:rFonts w:ascii="Arial" w:eastAsia="Calibri" w:hAnsi="Arial" w:cs="Arial"/>
          <w:sz w:val="22"/>
          <w:szCs w:val="22"/>
        </w:rPr>
        <w:t xml:space="preserve"> zavedení suplementárních grantů či jiných opatření, kter</w:t>
      </w:r>
      <w:r w:rsidR="00967ADE">
        <w:rPr>
          <w:rFonts w:ascii="Arial" w:eastAsia="Calibri" w:hAnsi="Arial" w:cs="Arial"/>
          <w:sz w:val="22"/>
          <w:szCs w:val="22"/>
        </w:rPr>
        <w:t>á</w:t>
      </w:r>
      <w:r w:rsidRPr="00BB7AB2">
        <w:rPr>
          <w:rFonts w:ascii="Arial" w:eastAsia="Calibri" w:hAnsi="Arial" w:cs="Arial"/>
          <w:sz w:val="22"/>
          <w:szCs w:val="22"/>
        </w:rPr>
        <w:t xml:space="preserve"> jsou běžn</w:t>
      </w:r>
      <w:r w:rsidR="00967ADE">
        <w:rPr>
          <w:rFonts w:ascii="Arial" w:eastAsia="Calibri" w:hAnsi="Arial" w:cs="Arial"/>
          <w:sz w:val="22"/>
          <w:szCs w:val="22"/>
        </w:rPr>
        <w:t>á</w:t>
      </w:r>
      <w:r w:rsidRPr="00BB7AB2">
        <w:rPr>
          <w:rFonts w:ascii="Arial" w:eastAsia="Calibri" w:hAnsi="Arial" w:cs="Arial"/>
          <w:sz w:val="22"/>
          <w:szCs w:val="22"/>
        </w:rPr>
        <w:t xml:space="preserve"> například v zahraničí a směřují ke stejnému cíli </w:t>
      </w:r>
      <w:r w:rsidRPr="00BB7AB2">
        <w:rPr>
          <w:rFonts w:ascii="Arial" w:hAnsi="Arial" w:cs="Arial"/>
          <w:sz w:val="22"/>
          <w:szCs w:val="22"/>
        </w:rPr>
        <w:t>(viz příklady praxe v Příloze 1</w:t>
      </w:r>
      <w:r w:rsidR="002F4DD6">
        <w:rPr>
          <w:rFonts w:ascii="Arial" w:hAnsi="Arial" w:cs="Arial"/>
          <w:sz w:val="22"/>
          <w:szCs w:val="22"/>
        </w:rPr>
        <w:t> </w:t>
      </w:r>
      <w:r w:rsidRPr="00BB7AB2">
        <w:rPr>
          <w:rFonts w:ascii="Arial" w:hAnsi="Arial" w:cs="Arial"/>
          <w:sz w:val="22"/>
          <w:szCs w:val="22"/>
        </w:rPr>
        <w:t>tohoto dokumentu)</w:t>
      </w:r>
      <w:r w:rsidRPr="00BB7AB2">
        <w:rPr>
          <w:rFonts w:ascii="Arial" w:eastAsia="Calibri" w:hAnsi="Arial" w:cs="Arial"/>
          <w:sz w:val="22"/>
          <w:szCs w:val="22"/>
        </w:rPr>
        <w:t>;</w:t>
      </w:r>
    </w:p>
    <w:p w14:paraId="7C1C6CFA" w14:textId="77777777" w:rsidR="00BB7AB2" w:rsidRPr="00BB7AB2" w:rsidRDefault="00BB7AB2" w:rsidP="00BB7AB2">
      <w:pPr>
        <w:pStyle w:val="Odstavecseseznamem"/>
        <w:numPr>
          <w:ilvl w:val="1"/>
          <w:numId w:val="25"/>
        </w:numPr>
        <w:spacing w:line="276" w:lineRule="auto"/>
        <w:ind w:hanging="357"/>
        <w:jc w:val="both"/>
        <w:rPr>
          <w:rFonts w:ascii="Arial" w:eastAsia="Calibri" w:hAnsi="Arial" w:cs="Arial"/>
          <w:sz w:val="22"/>
          <w:szCs w:val="22"/>
        </w:rPr>
      </w:pPr>
      <w:r w:rsidRPr="00BB7AB2">
        <w:rPr>
          <w:rFonts w:ascii="Arial" w:eastAsia="Calibri" w:hAnsi="Arial" w:cs="Arial"/>
          <w:sz w:val="22"/>
          <w:szCs w:val="22"/>
        </w:rPr>
        <w:t>zvážili, jak zohlednit situace, kdy např. v menších městech specifické služby péče nemusí být dostupné;</w:t>
      </w:r>
    </w:p>
    <w:p w14:paraId="698DB4D2" w14:textId="77777777" w:rsidR="00BB7AB2" w:rsidRPr="00BB7AB2" w:rsidRDefault="00BB7AB2" w:rsidP="00BB7AB2">
      <w:pPr>
        <w:pStyle w:val="Odstavecseseznamem"/>
        <w:numPr>
          <w:ilvl w:val="0"/>
          <w:numId w:val="25"/>
        </w:numPr>
        <w:spacing w:line="276" w:lineRule="auto"/>
        <w:ind w:hanging="357"/>
        <w:jc w:val="both"/>
        <w:rPr>
          <w:rFonts w:ascii="Arial" w:eastAsia="Calibri" w:hAnsi="Arial" w:cs="Arial"/>
          <w:b/>
          <w:sz w:val="22"/>
          <w:szCs w:val="22"/>
        </w:rPr>
      </w:pPr>
      <w:r w:rsidRPr="00BB7AB2">
        <w:rPr>
          <w:rFonts w:ascii="Arial" w:eastAsia="Calibri" w:hAnsi="Arial" w:cs="Arial"/>
          <w:b/>
          <w:sz w:val="22"/>
          <w:szCs w:val="22"/>
        </w:rPr>
        <w:t xml:space="preserve">doporučila </w:t>
      </w:r>
      <w:r w:rsidRPr="00BB7AB2">
        <w:rPr>
          <w:rFonts w:ascii="Arial" w:eastAsia="Calibri" w:hAnsi="Arial" w:cs="Arial"/>
          <w:b/>
          <w:sz w:val="22"/>
          <w:szCs w:val="22"/>
          <w:u w:val="single"/>
        </w:rPr>
        <w:t xml:space="preserve">institucím </w:t>
      </w:r>
      <w:proofErr w:type="spellStart"/>
      <w:r w:rsidRPr="00BB7AB2">
        <w:rPr>
          <w:rFonts w:ascii="Arial" w:eastAsia="Calibri" w:hAnsi="Arial" w:cs="Arial"/>
          <w:b/>
          <w:sz w:val="22"/>
          <w:szCs w:val="22"/>
          <w:u w:val="single"/>
        </w:rPr>
        <w:t>VaVaI</w:t>
      </w:r>
      <w:proofErr w:type="spellEnd"/>
      <w:r w:rsidRPr="00BB7AB2">
        <w:rPr>
          <w:rFonts w:ascii="Arial" w:eastAsia="Calibri" w:hAnsi="Arial" w:cs="Arial"/>
          <w:b/>
          <w:sz w:val="22"/>
          <w:szCs w:val="22"/>
          <w:u w:val="single"/>
        </w:rPr>
        <w:t>, aby:</w:t>
      </w:r>
    </w:p>
    <w:p w14:paraId="7C5EBBD2" w14:textId="18878231" w:rsidR="00BB7AB2" w:rsidRPr="00BB7AB2" w:rsidRDefault="00BB7AB2" w:rsidP="00BB7AB2">
      <w:pPr>
        <w:numPr>
          <w:ilvl w:val="1"/>
          <w:numId w:val="25"/>
        </w:numPr>
        <w:spacing w:line="276" w:lineRule="auto"/>
        <w:ind w:hanging="357"/>
        <w:jc w:val="both"/>
        <w:rPr>
          <w:rFonts w:ascii="Arial" w:eastAsia="Calibri" w:hAnsi="Arial" w:cs="Arial"/>
          <w:sz w:val="22"/>
          <w:szCs w:val="22"/>
        </w:rPr>
      </w:pPr>
      <w:r w:rsidRPr="00BB7AB2">
        <w:rPr>
          <w:rFonts w:ascii="Arial" w:eastAsia="Calibri" w:hAnsi="Arial" w:cs="Arial"/>
          <w:sz w:val="22"/>
          <w:szCs w:val="22"/>
        </w:rPr>
        <w:t>se proplácení</w:t>
      </w:r>
      <w:r w:rsidR="00967ADE">
        <w:rPr>
          <w:rFonts w:ascii="Arial" w:eastAsia="Calibri" w:hAnsi="Arial" w:cs="Arial"/>
          <w:sz w:val="22"/>
          <w:szCs w:val="22"/>
        </w:rPr>
        <w:t>m</w:t>
      </w:r>
      <w:r w:rsidRPr="00BB7AB2">
        <w:rPr>
          <w:rFonts w:ascii="Arial" w:eastAsia="Calibri" w:hAnsi="Arial" w:cs="Arial"/>
          <w:sz w:val="22"/>
          <w:szCs w:val="22"/>
        </w:rPr>
        <w:t xml:space="preserve"> služeb péče zabývaly jako součást</w:t>
      </w:r>
      <w:r w:rsidR="00967ADE">
        <w:rPr>
          <w:rFonts w:ascii="Arial" w:eastAsia="Calibri" w:hAnsi="Arial" w:cs="Arial"/>
          <w:sz w:val="22"/>
          <w:szCs w:val="22"/>
        </w:rPr>
        <w:t>í</w:t>
      </w:r>
      <w:r w:rsidRPr="00BB7AB2">
        <w:rPr>
          <w:rFonts w:ascii="Arial" w:eastAsia="Calibri" w:hAnsi="Arial" w:cs="Arial"/>
          <w:sz w:val="22"/>
          <w:szCs w:val="22"/>
        </w:rPr>
        <w:t xml:space="preserve"> dosahování cílů Národní politiky </w:t>
      </w:r>
      <w:proofErr w:type="spellStart"/>
      <w:r w:rsidRPr="00BB7AB2">
        <w:rPr>
          <w:rFonts w:ascii="Arial" w:eastAsia="Calibri" w:hAnsi="Arial" w:cs="Arial"/>
          <w:sz w:val="22"/>
          <w:szCs w:val="22"/>
        </w:rPr>
        <w:t>VaVaI</w:t>
      </w:r>
      <w:proofErr w:type="spellEnd"/>
      <w:r w:rsidRPr="00BB7AB2">
        <w:rPr>
          <w:rFonts w:ascii="Arial" w:eastAsia="Calibri" w:hAnsi="Arial" w:cs="Arial"/>
          <w:sz w:val="22"/>
          <w:szCs w:val="22"/>
        </w:rPr>
        <w:t xml:space="preserve"> (opatření 12), nikoli jako benefitem zaměstnanců, přijaly vnitřní </w:t>
      </w:r>
      <w:r w:rsidRPr="00BB7AB2">
        <w:rPr>
          <w:rFonts w:ascii="Arial" w:eastAsia="Calibri" w:hAnsi="Arial" w:cs="Arial"/>
          <w:sz w:val="22"/>
          <w:szCs w:val="22"/>
        </w:rPr>
        <w:lastRenderedPageBreak/>
        <w:t>předpisy umožňující proplácení služeb péče, informovaly o této možnosti své zaměstnance/zaměstnankyně a mapovaly využívání opatření.</w:t>
      </w:r>
    </w:p>
    <w:p w14:paraId="595857D5" w14:textId="4D1AAD7A" w:rsidR="00BB7AB2" w:rsidRPr="00BB7AB2" w:rsidRDefault="00BB7AB2" w:rsidP="00BB7AB2">
      <w:pPr>
        <w:pStyle w:val="Odstavecseseznamem"/>
        <w:numPr>
          <w:ilvl w:val="0"/>
          <w:numId w:val="25"/>
        </w:numPr>
        <w:spacing w:line="276" w:lineRule="auto"/>
        <w:jc w:val="both"/>
        <w:rPr>
          <w:rFonts w:ascii="Arial" w:eastAsia="Calibri" w:hAnsi="Arial" w:cs="Arial"/>
          <w:sz w:val="22"/>
          <w:szCs w:val="22"/>
        </w:rPr>
      </w:pPr>
      <w:r w:rsidRPr="00BB7AB2">
        <w:rPr>
          <w:rFonts w:ascii="Arial" w:hAnsi="Arial" w:cs="Arial"/>
          <w:b/>
          <w:sz w:val="22"/>
          <w:szCs w:val="22"/>
        </w:rPr>
        <w:t>doporučila ministryni pro vědu, výzkum a inovace</w:t>
      </w:r>
      <w:r w:rsidRPr="00BB7AB2">
        <w:rPr>
          <w:rFonts w:ascii="Arial" w:hAnsi="Arial" w:cs="Arial"/>
          <w:sz w:val="22"/>
          <w:szCs w:val="22"/>
        </w:rPr>
        <w:t xml:space="preserve">, aby ve spolupráci s poskytovateli a dalšími autoritami (MF, atp.) vytvořila </w:t>
      </w:r>
      <w:r w:rsidRPr="00BB7AB2">
        <w:rPr>
          <w:rFonts w:ascii="Arial" w:eastAsia="Calibri" w:hAnsi="Arial" w:cs="Arial"/>
          <w:sz w:val="22"/>
          <w:szCs w:val="22"/>
        </w:rPr>
        <w:t>vzor vnitřního předpisu</w:t>
      </w:r>
      <w:r w:rsidR="00967ADE">
        <w:rPr>
          <w:rFonts w:ascii="Arial" w:eastAsia="Calibri" w:hAnsi="Arial" w:cs="Arial"/>
          <w:sz w:val="22"/>
          <w:szCs w:val="22"/>
        </w:rPr>
        <w:t xml:space="preserve"> poskytovatelů</w:t>
      </w:r>
      <w:r w:rsidRPr="00BB7AB2">
        <w:rPr>
          <w:rFonts w:ascii="Arial" w:eastAsia="Calibri" w:hAnsi="Arial" w:cs="Arial"/>
          <w:sz w:val="22"/>
          <w:szCs w:val="22"/>
        </w:rPr>
        <w:t xml:space="preserve"> umožňujícího proplácení služeb péče ve </w:t>
      </w:r>
      <w:proofErr w:type="spellStart"/>
      <w:r w:rsidRPr="00BB7AB2">
        <w:rPr>
          <w:rFonts w:ascii="Arial" w:eastAsia="Calibri" w:hAnsi="Arial" w:cs="Arial"/>
          <w:sz w:val="22"/>
          <w:szCs w:val="22"/>
        </w:rPr>
        <w:t>VaVaI</w:t>
      </w:r>
      <w:proofErr w:type="spellEnd"/>
      <w:r w:rsidRPr="00BB7AB2">
        <w:rPr>
          <w:rFonts w:ascii="Arial" w:eastAsia="Calibri" w:hAnsi="Arial" w:cs="Arial"/>
          <w:sz w:val="22"/>
          <w:szCs w:val="22"/>
        </w:rPr>
        <w:t xml:space="preserve"> institucích;</w:t>
      </w:r>
    </w:p>
    <w:p w14:paraId="2D2E59A0" w14:textId="77777777" w:rsidR="00BB7AB2" w:rsidRPr="00BB7AB2" w:rsidRDefault="00BB7AB2" w:rsidP="00BB7AB2">
      <w:pPr>
        <w:pStyle w:val="Odstavecseseznamem"/>
        <w:numPr>
          <w:ilvl w:val="0"/>
          <w:numId w:val="25"/>
        </w:numPr>
        <w:spacing w:line="276" w:lineRule="auto"/>
        <w:jc w:val="both"/>
        <w:rPr>
          <w:rFonts w:ascii="Arial" w:eastAsia="Calibri" w:hAnsi="Arial" w:cs="Arial"/>
          <w:sz w:val="22"/>
          <w:szCs w:val="22"/>
        </w:rPr>
      </w:pPr>
      <w:r w:rsidRPr="00BB7AB2">
        <w:rPr>
          <w:rFonts w:ascii="Arial" w:eastAsia="Calibri" w:hAnsi="Arial" w:cs="Arial"/>
          <w:sz w:val="22"/>
          <w:szCs w:val="22"/>
        </w:rPr>
        <w:t>a vypracovala stanovisko k možnosti využívání institucionálního financování služeb péče a suplementárních grantů.</w:t>
      </w:r>
    </w:p>
    <w:p w14:paraId="66312165" w14:textId="77777777" w:rsidR="00BB7AB2" w:rsidRPr="00BB7AB2" w:rsidRDefault="00BB7AB2" w:rsidP="00BB7AB2">
      <w:pPr>
        <w:pStyle w:val="Nadpis2"/>
        <w:rPr>
          <w:sz w:val="22"/>
          <w:szCs w:val="22"/>
        </w:rPr>
      </w:pPr>
      <w:bookmarkStart w:id="0" w:name="_Toc86997383"/>
      <w:r w:rsidRPr="00BB7AB2">
        <w:rPr>
          <w:sz w:val="22"/>
          <w:szCs w:val="22"/>
        </w:rPr>
        <w:t>Materiál má přímou návaznost na úkoly z následujících strategií:</w:t>
      </w:r>
    </w:p>
    <w:p w14:paraId="05DB0A78" w14:textId="77777777" w:rsidR="00BB7AB2" w:rsidRPr="00BB7AB2" w:rsidRDefault="00961FB4" w:rsidP="00BB7AB2">
      <w:pPr>
        <w:pStyle w:val="Odstavecseseznamem"/>
        <w:numPr>
          <w:ilvl w:val="0"/>
          <w:numId w:val="25"/>
        </w:numPr>
        <w:spacing w:after="160"/>
        <w:jc w:val="both"/>
        <w:rPr>
          <w:rFonts w:ascii="Arial" w:eastAsia="Calibri" w:hAnsi="Arial" w:cs="Arial"/>
          <w:sz w:val="22"/>
          <w:szCs w:val="22"/>
        </w:rPr>
      </w:pPr>
      <w:hyperlink r:id="rId8">
        <w:r w:rsidR="00BB7AB2" w:rsidRPr="00BB7AB2">
          <w:rPr>
            <w:rFonts w:ascii="Arial" w:eastAsia="Calibri" w:hAnsi="Arial" w:cs="Arial"/>
            <w:color w:val="1155CC"/>
            <w:sz w:val="22"/>
            <w:szCs w:val="22"/>
            <w:u w:val="single"/>
          </w:rPr>
          <w:t>Národní politika výzkumu, vývoje a inovace 2021+</w:t>
        </w:r>
      </w:hyperlink>
      <w:r w:rsidR="00BB7AB2" w:rsidRPr="00BB7AB2">
        <w:rPr>
          <w:rFonts w:ascii="Arial" w:eastAsia="Calibri" w:hAnsi="Arial" w:cs="Arial"/>
          <w:sz w:val="22"/>
          <w:szCs w:val="22"/>
        </w:rPr>
        <w:t xml:space="preserve"> v rámci opatření 12</w:t>
      </w:r>
      <w:r w:rsidR="00BB7AB2" w:rsidRPr="00BB7AB2">
        <w:rPr>
          <w:rFonts w:ascii="Arial" w:hAnsi="Arial" w:cs="Arial"/>
          <w:sz w:val="22"/>
          <w:szCs w:val="22"/>
        </w:rPr>
        <w:t xml:space="preserve"> </w:t>
      </w:r>
      <w:r w:rsidR="00BB7AB2" w:rsidRPr="00BB7AB2">
        <w:rPr>
          <w:rFonts w:ascii="Arial" w:eastAsia="Calibri" w:hAnsi="Arial" w:cs="Arial"/>
          <w:sz w:val="22"/>
          <w:szCs w:val="22"/>
        </w:rPr>
        <w:t>Vytváření podmínek pro kombinaci výzkumné práce a rodičovství a pro</w:t>
      </w:r>
      <w:r w:rsidR="00BB7AB2" w:rsidRPr="00BB7AB2">
        <w:rPr>
          <w:rFonts w:ascii="Arial" w:hAnsi="Arial" w:cs="Arial"/>
          <w:sz w:val="22"/>
          <w:szCs w:val="22"/>
        </w:rPr>
        <w:t xml:space="preserve"> </w:t>
      </w:r>
      <w:r w:rsidR="00BB7AB2" w:rsidRPr="00BB7AB2">
        <w:rPr>
          <w:rFonts w:ascii="Arial" w:eastAsia="Calibri" w:hAnsi="Arial" w:cs="Arial"/>
          <w:sz w:val="22"/>
          <w:szCs w:val="22"/>
        </w:rPr>
        <w:t xml:space="preserve">uplatnění žen po mateřské dovolené mimo jiné ukládá: „zavést uznatelnost vybraných nákladů na služby péče o děti související s výkonem vědecké profese u řešitelů a členů řešitelského týmu (např. uznatelnost nákladů v položce služby na hlídání dětí kojících matek při jejich účasti na vědecké konferenci)“. </w:t>
      </w:r>
    </w:p>
    <w:p w14:paraId="3F2D4ADA" w14:textId="77777777" w:rsidR="00BB7AB2" w:rsidRPr="00BB7AB2" w:rsidRDefault="00961FB4" w:rsidP="00BB7AB2">
      <w:pPr>
        <w:pStyle w:val="Odstavecseseznamem"/>
        <w:numPr>
          <w:ilvl w:val="0"/>
          <w:numId w:val="25"/>
        </w:numPr>
        <w:spacing w:after="160"/>
        <w:jc w:val="both"/>
        <w:rPr>
          <w:rFonts w:ascii="Arial" w:eastAsia="Calibri" w:hAnsi="Arial" w:cs="Arial"/>
          <w:sz w:val="22"/>
          <w:szCs w:val="22"/>
        </w:rPr>
      </w:pPr>
      <w:hyperlink r:id="rId9">
        <w:r w:rsidR="00BB7AB2" w:rsidRPr="00BB7AB2">
          <w:rPr>
            <w:rFonts w:ascii="Arial" w:eastAsia="Calibri" w:hAnsi="Arial" w:cs="Arial"/>
            <w:color w:val="1155CC"/>
            <w:sz w:val="22"/>
            <w:szCs w:val="22"/>
            <w:u w:val="single"/>
          </w:rPr>
          <w:t>Strategie rovnosti žen a mužů ČR na roky 2021-2030</w:t>
        </w:r>
      </w:hyperlink>
      <w:r w:rsidR="00BB7AB2" w:rsidRPr="00BB7AB2">
        <w:rPr>
          <w:rFonts w:ascii="Arial" w:eastAsia="Calibri" w:hAnsi="Arial" w:cs="Arial"/>
          <w:sz w:val="22"/>
          <w:szCs w:val="22"/>
        </w:rPr>
        <w:t xml:space="preserve"> v kapitole 5. Poznání stanovuje opatření 1.4.5 s cílem „umožnit financování služeb péče v programech účelové podpory (služby péče o děti a další závislé osoby a další formy zajištění hlídání apod.).“</w:t>
      </w:r>
    </w:p>
    <w:p w14:paraId="479D5BF2" w14:textId="77777777" w:rsidR="00BB7AB2" w:rsidRPr="00BB7AB2" w:rsidRDefault="00BB7AB2" w:rsidP="00BB7AB2">
      <w:pPr>
        <w:pStyle w:val="Odstavecseseznamem"/>
        <w:numPr>
          <w:ilvl w:val="0"/>
          <w:numId w:val="25"/>
        </w:numPr>
        <w:spacing w:line="276" w:lineRule="auto"/>
        <w:jc w:val="both"/>
        <w:rPr>
          <w:rFonts w:ascii="Arial" w:eastAsia="Calibri" w:hAnsi="Arial" w:cs="Arial"/>
          <w:sz w:val="22"/>
          <w:szCs w:val="22"/>
        </w:rPr>
      </w:pPr>
      <w:r w:rsidRPr="00BB7AB2">
        <w:rPr>
          <w:rFonts w:ascii="Arial" w:eastAsia="Calibri" w:hAnsi="Arial" w:cs="Arial"/>
          <w:sz w:val="22"/>
          <w:szCs w:val="22"/>
        </w:rPr>
        <w:t>Úkol zavést uznatelnost vybraných nákladů na služby péče o děti související s</w:t>
      </w:r>
      <w:r w:rsidR="002F4DD6">
        <w:rPr>
          <w:rFonts w:ascii="Arial" w:eastAsia="Calibri" w:hAnsi="Arial" w:cs="Arial"/>
          <w:sz w:val="22"/>
          <w:szCs w:val="22"/>
        </w:rPr>
        <w:t> </w:t>
      </w:r>
      <w:r w:rsidRPr="00BB7AB2">
        <w:rPr>
          <w:rFonts w:ascii="Arial" w:eastAsia="Calibri" w:hAnsi="Arial" w:cs="Arial"/>
          <w:sz w:val="22"/>
          <w:szCs w:val="22"/>
        </w:rPr>
        <w:t xml:space="preserve">výkonem vědecké profese u řešitelů a členů řešitelského týmu obsahuje také </w:t>
      </w:r>
      <w:hyperlink r:id="rId10">
        <w:r w:rsidRPr="00BB7AB2">
          <w:rPr>
            <w:rFonts w:ascii="Arial" w:eastAsia="Calibri" w:hAnsi="Arial" w:cs="Arial"/>
            <w:color w:val="1155CC"/>
            <w:sz w:val="22"/>
            <w:szCs w:val="22"/>
            <w:u w:val="single"/>
          </w:rPr>
          <w:t>Plán podpory rovnosti žen a mužů MŠMT 2021-2024</w:t>
        </w:r>
      </w:hyperlink>
      <w:r w:rsidRPr="00BB7AB2">
        <w:rPr>
          <w:rFonts w:ascii="Arial" w:eastAsia="Calibri" w:hAnsi="Arial" w:cs="Arial"/>
          <w:color w:val="1155CC"/>
          <w:sz w:val="22"/>
          <w:szCs w:val="22"/>
          <w:u w:val="single"/>
        </w:rPr>
        <w:t>.</w:t>
      </w:r>
      <w:r w:rsidRPr="00BB7AB2">
        <w:rPr>
          <w:rFonts w:ascii="Arial" w:eastAsia="Calibri" w:hAnsi="Arial" w:cs="Arial"/>
          <w:sz w:val="22"/>
          <w:szCs w:val="22"/>
        </w:rPr>
        <w:t xml:space="preserve"> V rámci dosažení cíle I. 4 Principy genderové rovnosti jsou zohledňovány v hodnocení a financování v oblasti vysokého školství, vědy a výzkumu si MŠMT stanovuje za cíl dosáhnout větší udržitelnosti kariér ve </w:t>
      </w:r>
      <w:proofErr w:type="spellStart"/>
      <w:r w:rsidRPr="00BB7AB2">
        <w:rPr>
          <w:rFonts w:ascii="Arial" w:eastAsia="Calibri" w:hAnsi="Arial" w:cs="Arial"/>
          <w:sz w:val="22"/>
          <w:szCs w:val="22"/>
        </w:rPr>
        <w:t>VaVaI</w:t>
      </w:r>
      <w:proofErr w:type="spellEnd"/>
      <w:r w:rsidRPr="00BB7AB2">
        <w:rPr>
          <w:rFonts w:ascii="Arial" w:eastAsia="Calibri" w:hAnsi="Arial" w:cs="Arial"/>
          <w:sz w:val="22"/>
          <w:szCs w:val="22"/>
        </w:rPr>
        <w:t xml:space="preserve"> prostřednictvím uznatelnosti nákladů na péči.</w:t>
      </w:r>
    </w:p>
    <w:p w14:paraId="7ADD2914" w14:textId="77777777" w:rsidR="00BB7AB2" w:rsidRPr="00BB7AB2" w:rsidRDefault="00BB7AB2" w:rsidP="00BB7AB2">
      <w:pPr>
        <w:pStyle w:val="Nadpis2"/>
        <w:spacing w:before="0" w:after="0" w:line="276" w:lineRule="auto"/>
        <w:rPr>
          <w:sz w:val="22"/>
          <w:szCs w:val="22"/>
        </w:rPr>
      </w:pPr>
      <w:bookmarkStart w:id="1" w:name="_Toc86997385"/>
      <w:bookmarkEnd w:id="0"/>
    </w:p>
    <w:p w14:paraId="117DE020" w14:textId="77777777" w:rsidR="00BB7AB2" w:rsidRPr="00BB7AB2" w:rsidRDefault="00BB7AB2" w:rsidP="00BB7AB2">
      <w:pPr>
        <w:pStyle w:val="Nadpis2"/>
        <w:spacing w:before="0" w:after="0" w:line="276" w:lineRule="auto"/>
        <w:rPr>
          <w:sz w:val="22"/>
          <w:szCs w:val="22"/>
        </w:rPr>
      </w:pPr>
      <w:r w:rsidRPr="00BB7AB2">
        <w:rPr>
          <w:sz w:val="22"/>
          <w:szCs w:val="22"/>
        </w:rPr>
        <w:t>Nastínění problému</w:t>
      </w:r>
      <w:bookmarkEnd w:id="1"/>
    </w:p>
    <w:p w14:paraId="250BE8D8" w14:textId="77777777" w:rsidR="00BB7AB2" w:rsidRPr="00BB7AB2" w:rsidRDefault="00BB7AB2" w:rsidP="00BB7AB2">
      <w:pPr>
        <w:jc w:val="both"/>
        <w:rPr>
          <w:rFonts w:ascii="Arial" w:eastAsia="Calibri" w:hAnsi="Arial" w:cs="Arial"/>
          <w:sz w:val="22"/>
          <w:szCs w:val="22"/>
        </w:rPr>
      </w:pPr>
      <w:r w:rsidRPr="00BB7AB2">
        <w:rPr>
          <w:rFonts w:ascii="Arial" w:eastAsia="Calibri" w:hAnsi="Arial" w:cs="Arial"/>
          <w:sz w:val="22"/>
          <w:szCs w:val="22"/>
        </w:rPr>
        <w:t>Dle dotazníkového šetření provedeného NKC - gender a věda Sociologického ústavu AV ČR v roce 2017 pečuje 43 % akademických pracovníků (45 % akademiček a 41 % akademiků) alespoň o jedno nezaopatřené dítě. Celkem 18 % akademiček a 22 % akademiků má doma dítě předškolního věku (0-6 let) a celkově 31 % akademických pracovníků pečuje o děti ve věku 0-11 let.</w:t>
      </w:r>
      <w:r w:rsidRPr="00BB7AB2">
        <w:rPr>
          <w:rFonts w:ascii="Arial" w:eastAsia="Calibri" w:hAnsi="Arial" w:cs="Arial"/>
          <w:sz w:val="22"/>
          <w:szCs w:val="22"/>
          <w:vertAlign w:val="superscript"/>
        </w:rPr>
        <w:footnoteReference w:id="7"/>
      </w:r>
      <w:r w:rsidRPr="00BB7AB2">
        <w:rPr>
          <w:rFonts w:ascii="Arial" w:eastAsia="Calibri" w:hAnsi="Arial" w:cs="Arial"/>
          <w:sz w:val="22"/>
          <w:szCs w:val="22"/>
        </w:rPr>
        <w:t xml:space="preserve"> Zároveň platí, že nejvíc odmítnutých přihlášek dětí do mateřských škol z</w:t>
      </w:r>
      <w:r w:rsidR="002F4DD6">
        <w:rPr>
          <w:rFonts w:ascii="Arial" w:eastAsia="Calibri" w:hAnsi="Arial" w:cs="Arial"/>
          <w:sz w:val="22"/>
          <w:szCs w:val="22"/>
        </w:rPr>
        <w:t> </w:t>
      </w:r>
      <w:r w:rsidRPr="00BB7AB2">
        <w:rPr>
          <w:rFonts w:ascii="Arial" w:eastAsia="Calibri" w:hAnsi="Arial" w:cs="Arial"/>
          <w:sz w:val="22"/>
          <w:szCs w:val="22"/>
        </w:rPr>
        <w:t>hlediska krajů je v hlavním městě Praha, Jihomoravském a Středočeském kraji,</w:t>
      </w:r>
      <w:r w:rsidRPr="00BB7AB2">
        <w:rPr>
          <w:rFonts w:ascii="Arial" w:eastAsia="Calibri" w:hAnsi="Arial" w:cs="Arial"/>
          <w:sz w:val="22"/>
          <w:szCs w:val="22"/>
          <w:vertAlign w:val="superscript"/>
        </w:rPr>
        <w:footnoteReference w:id="8"/>
      </w:r>
      <w:r w:rsidRPr="00BB7AB2">
        <w:rPr>
          <w:rFonts w:ascii="Arial" w:eastAsia="Calibri" w:hAnsi="Arial" w:cs="Arial"/>
          <w:sz w:val="22"/>
          <w:szCs w:val="22"/>
        </w:rPr>
        <w:t xml:space="preserve"> kde také z</w:t>
      </w:r>
      <w:r w:rsidR="002F4DD6">
        <w:rPr>
          <w:rFonts w:ascii="Arial" w:eastAsia="Calibri" w:hAnsi="Arial" w:cs="Arial"/>
          <w:sz w:val="22"/>
          <w:szCs w:val="22"/>
        </w:rPr>
        <w:t> </w:t>
      </w:r>
      <w:r w:rsidRPr="00BB7AB2">
        <w:rPr>
          <w:rFonts w:ascii="Arial" w:eastAsia="Calibri" w:hAnsi="Arial" w:cs="Arial"/>
          <w:sz w:val="22"/>
          <w:szCs w:val="22"/>
        </w:rPr>
        <w:t>celé ČR působí největší množství výzkumnic a výzkumníků (celkem 78 %, zdroj: ČSÚ).</w:t>
      </w:r>
      <w:r w:rsidRPr="00BB7AB2">
        <w:rPr>
          <w:rFonts w:ascii="Arial" w:eastAsia="Calibri" w:hAnsi="Arial" w:cs="Arial"/>
          <w:sz w:val="22"/>
          <w:szCs w:val="22"/>
          <w:vertAlign w:val="superscript"/>
        </w:rPr>
        <w:footnoteReference w:id="9"/>
      </w:r>
      <w:r w:rsidRPr="00BB7AB2">
        <w:rPr>
          <w:rFonts w:ascii="Arial" w:eastAsia="Calibri" w:hAnsi="Arial" w:cs="Arial"/>
          <w:sz w:val="22"/>
          <w:szCs w:val="22"/>
        </w:rPr>
        <w:t xml:space="preserve"> Na tuto situaci v minulosti reagovaly některé instituce </w:t>
      </w:r>
      <w:proofErr w:type="spellStart"/>
      <w:r w:rsidRPr="00BB7AB2">
        <w:rPr>
          <w:rFonts w:ascii="Arial" w:eastAsia="Calibri" w:hAnsi="Arial" w:cs="Arial"/>
          <w:sz w:val="22"/>
          <w:szCs w:val="22"/>
        </w:rPr>
        <w:t>VaVaI</w:t>
      </w:r>
      <w:proofErr w:type="spellEnd"/>
      <w:r w:rsidRPr="00BB7AB2">
        <w:rPr>
          <w:rFonts w:ascii="Arial" w:eastAsia="Calibri" w:hAnsi="Arial" w:cs="Arial"/>
          <w:sz w:val="22"/>
          <w:szCs w:val="22"/>
        </w:rPr>
        <w:t xml:space="preserve"> zřizováním vlastních dětských koutků a školek</w:t>
      </w:r>
      <w:r w:rsidRPr="00BB7AB2">
        <w:rPr>
          <w:rFonts w:ascii="Arial" w:eastAsia="Calibri" w:hAnsi="Arial" w:cs="Arial"/>
          <w:sz w:val="22"/>
          <w:szCs w:val="22"/>
          <w:vertAlign w:val="superscript"/>
        </w:rPr>
        <w:footnoteReference w:id="10"/>
      </w:r>
      <w:r w:rsidRPr="00BB7AB2">
        <w:rPr>
          <w:rFonts w:ascii="Arial" w:eastAsia="Calibri" w:hAnsi="Arial" w:cs="Arial"/>
          <w:sz w:val="22"/>
          <w:szCs w:val="22"/>
        </w:rPr>
        <w:t xml:space="preserve"> financovaných obvykle z operačních programů, které ovšem ne vždy dostatečně pokrývají poptávku. </w:t>
      </w:r>
    </w:p>
    <w:p w14:paraId="54F0694E" w14:textId="77777777" w:rsidR="00BB7AB2" w:rsidRPr="00BB7AB2" w:rsidRDefault="00BB7AB2" w:rsidP="00BB7AB2">
      <w:pPr>
        <w:jc w:val="both"/>
        <w:rPr>
          <w:rFonts w:ascii="Arial" w:eastAsia="Calibri" w:hAnsi="Arial" w:cs="Arial"/>
          <w:sz w:val="22"/>
          <w:szCs w:val="22"/>
        </w:rPr>
      </w:pPr>
    </w:p>
    <w:p w14:paraId="2604B013" w14:textId="137E0DBF" w:rsidR="00BB7AB2" w:rsidRPr="00BB7AB2" w:rsidRDefault="00BB7AB2" w:rsidP="00BB7AB2">
      <w:pPr>
        <w:jc w:val="both"/>
        <w:rPr>
          <w:rFonts w:ascii="Arial" w:eastAsia="Calibri" w:hAnsi="Arial" w:cs="Arial"/>
          <w:sz w:val="22"/>
          <w:szCs w:val="22"/>
        </w:rPr>
      </w:pPr>
      <w:r w:rsidRPr="00BB7AB2">
        <w:rPr>
          <w:rFonts w:ascii="Arial" w:eastAsia="Calibri" w:hAnsi="Arial" w:cs="Arial"/>
          <w:sz w:val="22"/>
          <w:szCs w:val="22"/>
        </w:rPr>
        <w:t xml:space="preserve">Mimo denní péče o děti mohou také nastat situace, kdy je třeba zajistit i specifickou péči, kterou standardní (denní) služby péče nepokrývají. Může to být např. hlídání na konferencích, cestovné a ubytování hlídající osoby na konferenci u kojících matek, finance na pomoc při přesunu rodiny do zahraničí u </w:t>
      </w:r>
      <w:proofErr w:type="spellStart"/>
      <w:r w:rsidRPr="00BB7AB2">
        <w:rPr>
          <w:rFonts w:ascii="Arial" w:eastAsia="Calibri" w:hAnsi="Arial" w:cs="Arial"/>
          <w:sz w:val="22"/>
          <w:szCs w:val="22"/>
        </w:rPr>
        <w:t>mobilitních</w:t>
      </w:r>
      <w:proofErr w:type="spellEnd"/>
      <w:r w:rsidRPr="00BB7AB2">
        <w:rPr>
          <w:rFonts w:ascii="Arial" w:eastAsia="Calibri" w:hAnsi="Arial" w:cs="Arial"/>
          <w:sz w:val="22"/>
          <w:szCs w:val="22"/>
        </w:rPr>
        <w:t xml:space="preserve"> schémat, nebo potřeba zajistit denní péči o nemocného, invalidního či jinak závislého člena rodiny, např. rodiče. </w:t>
      </w:r>
    </w:p>
    <w:p w14:paraId="1CE3A178" w14:textId="77777777" w:rsidR="00BB7AB2" w:rsidRPr="00BB7AB2" w:rsidRDefault="00BB7AB2" w:rsidP="00BB7AB2">
      <w:pPr>
        <w:jc w:val="both"/>
        <w:rPr>
          <w:rFonts w:ascii="Arial" w:eastAsia="Calibri" w:hAnsi="Arial" w:cs="Arial"/>
          <w:sz w:val="22"/>
          <w:szCs w:val="22"/>
        </w:rPr>
      </w:pPr>
    </w:p>
    <w:p w14:paraId="63B646E4" w14:textId="0041EE7F" w:rsidR="00BB7AB2" w:rsidRPr="00BB7AB2" w:rsidRDefault="00BB7AB2" w:rsidP="00BB7AB2">
      <w:pPr>
        <w:jc w:val="both"/>
        <w:rPr>
          <w:rFonts w:ascii="Arial" w:eastAsia="Calibri" w:hAnsi="Arial" w:cs="Arial"/>
          <w:sz w:val="22"/>
          <w:szCs w:val="22"/>
        </w:rPr>
      </w:pPr>
      <w:r w:rsidRPr="00BB7AB2">
        <w:rPr>
          <w:rFonts w:ascii="Arial" w:eastAsia="Calibri" w:hAnsi="Arial" w:cs="Arial"/>
          <w:sz w:val="22"/>
          <w:szCs w:val="22"/>
        </w:rPr>
        <w:t xml:space="preserve">Podpora pracujících rodičů je v ČR u poskytovatelů umožňována (mimo jiné) prostřednictvím institutu uznatelnosti nákladů. Opatření zavedly zejména GA ČR a TA ČR. Využívání tohoto opatření ovšem dle zjištěných informací nemusí odpovídat skutečnému zájmu o ně ze strany </w:t>
      </w:r>
      <w:r w:rsidR="002C2991">
        <w:rPr>
          <w:rFonts w:ascii="Arial" w:eastAsia="Calibri" w:hAnsi="Arial" w:cs="Arial"/>
          <w:sz w:val="22"/>
          <w:szCs w:val="22"/>
        </w:rPr>
        <w:t>výzkumnic a výzkumníků</w:t>
      </w:r>
      <w:r w:rsidRPr="00BB7AB2">
        <w:rPr>
          <w:rFonts w:ascii="Arial" w:eastAsia="Calibri" w:hAnsi="Arial" w:cs="Arial"/>
          <w:sz w:val="22"/>
          <w:szCs w:val="22"/>
        </w:rPr>
        <w:t>. Proto se ukazuje jako vhodné zvážit úpravu stávajících opatření a/nebo zvážit zavedení podpory po vzoru zahraničí (např. suplementární granty, viz Příloha 1).</w:t>
      </w:r>
    </w:p>
    <w:p w14:paraId="62CA91E9" w14:textId="77777777" w:rsidR="00BB7AB2" w:rsidRPr="00BB7AB2" w:rsidRDefault="00BB7AB2" w:rsidP="00BB7AB2">
      <w:pPr>
        <w:jc w:val="both"/>
        <w:rPr>
          <w:rFonts w:ascii="Arial" w:eastAsia="Calibri" w:hAnsi="Arial" w:cs="Arial"/>
          <w:sz w:val="22"/>
          <w:szCs w:val="22"/>
        </w:rPr>
      </w:pPr>
    </w:p>
    <w:p w14:paraId="104C85DE" w14:textId="77777777" w:rsidR="00BB7AB2" w:rsidRPr="00BB7AB2" w:rsidRDefault="00BB7AB2" w:rsidP="00BB7AB2">
      <w:pPr>
        <w:jc w:val="both"/>
        <w:rPr>
          <w:rFonts w:ascii="Arial" w:eastAsia="Calibri" w:hAnsi="Arial" w:cs="Arial"/>
          <w:sz w:val="22"/>
          <w:szCs w:val="22"/>
        </w:rPr>
      </w:pPr>
      <w:r w:rsidRPr="00BB7AB2">
        <w:rPr>
          <w:rFonts w:ascii="Arial" w:eastAsia="Calibri" w:hAnsi="Arial" w:cs="Arial"/>
          <w:sz w:val="22"/>
          <w:szCs w:val="22"/>
        </w:rPr>
        <w:t>Problémy:</w:t>
      </w:r>
    </w:p>
    <w:p w14:paraId="62B8508A" w14:textId="77777777" w:rsidR="00BB7AB2" w:rsidRPr="00BB7AB2" w:rsidRDefault="00BB7AB2" w:rsidP="00BB7AB2">
      <w:pPr>
        <w:pStyle w:val="Odstavecseseznamem"/>
        <w:numPr>
          <w:ilvl w:val="0"/>
          <w:numId w:val="26"/>
        </w:numPr>
        <w:spacing w:after="160"/>
        <w:jc w:val="both"/>
        <w:rPr>
          <w:rFonts w:ascii="Arial" w:eastAsia="Calibri" w:hAnsi="Arial" w:cs="Arial"/>
          <w:sz w:val="22"/>
          <w:szCs w:val="22"/>
        </w:rPr>
      </w:pPr>
      <w:r w:rsidRPr="00BB7AB2">
        <w:rPr>
          <w:rFonts w:ascii="Arial" w:eastAsia="Calibri" w:hAnsi="Arial" w:cs="Arial"/>
          <w:sz w:val="22"/>
          <w:szCs w:val="22"/>
        </w:rPr>
        <w:t>Nejednotný přístup poskytovatelů k možnosti hradit finance na péči z účelových prostředků.</w:t>
      </w:r>
    </w:p>
    <w:p w14:paraId="53F6B57E" w14:textId="77777777" w:rsidR="00BB7AB2" w:rsidRPr="00BB7AB2" w:rsidRDefault="00BB7AB2" w:rsidP="00BB7AB2">
      <w:pPr>
        <w:pStyle w:val="Odstavecseseznamem"/>
        <w:numPr>
          <w:ilvl w:val="0"/>
          <w:numId w:val="26"/>
        </w:numPr>
        <w:spacing w:after="160"/>
        <w:jc w:val="both"/>
        <w:rPr>
          <w:rFonts w:ascii="Arial" w:eastAsia="Calibri" w:hAnsi="Arial" w:cs="Arial"/>
          <w:sz w:val="22"/>
          <w:szCs w:val="22"/>
        </w:rPr>
      </w:pPr>
      <w:r w:rsidRPr="00BB7AB2">
        <w:rPr>
          <w:rFonts w:ascii="Arial" w:eastAsia="Calibri" w:hAnsi="Arial" w:cs="Arial"/>
          <w:sz w:val="22"/>
          <w:szCs w:val="22"/>
        </w:rPr>
        <w:t xml:space="preserve">Neexistence vnitřních předpisů, které by na </w:t>
      </w:r>
      <w:proofErr w:type="spellStart"/>
      <w:r w:rsidRPr="00BB7AB2">
        <w:rPr>
          <w:rFonts w:ascii="Arial" w:eastAsia="Calibri" w:hAnsi="Arial" w:cs="Arial"/>
          <w:sz w:val="22"/>
          <w:szCs w:val="22"/>
        </w:rPr>
        <w:t>VaVaI</w:t>
      </w:r>
      <w:proofErr w:type="spellEnd"/>
      <w:r w:rsidRPr="00BB7AB2">
        <w:rPr>
          <w:rFonts w:ascii="Arial" w:eastAsia="Calibri" w:hAnsi="Arial" w:cs="Arial"/>
          <w:sz w:val="22"/>
          <w:szCs w:val="22"/>
        </w:rPr>
        <w:t xml:space="preserve"> institucích umožnily čerpání.</w:t>
      </w:r>
    </w:p>
    <w:p w14:paraId="3A9D8A2D" w14:textId="77777777" w:rsidR="00BB7AB2" w:rsidRPr="00BB7AB2" w:rsidRDefault="00BB7AB2" w:rsidP="00BB7AB2">
      <w:pPr>
        <w:pStyle w:val="Odstavecseseznamem"/>
        <w:numPr>
          <w:ilvl w:val="0"/>
          <w:numId w:val="26"/>
        </w:numPr>
        <w:spacing w:after="160"/>
        <w:jc w:val="both"/>
        <w:rPr>
          <w:rFonts w:ascii="Arial" w:eastAsia="Calibri" w:hAnsi="Arial" w:cs="Arial"/>
          <w:sz w:val="22"/>
          <w:szCs w:val="22"/>
        </w:rPr>
      </w:pPr>
      <w:r w:rsidRPr="00BB7AB2">
        <w:rPr>
          <w:rFonts w:ascii="Arial" w:eastAsia="Calibri" w:hAnsi="Arial" w:cs="Arial"/>
          <w:sz w:val="22"/>
          <w:szCs w:val="22"/>
        </w:rPr>
        <w:t>Nízké povědomí o existenci opatření.</w:t>
      </w:r>
    </w:p>
    <w:p w14:paraId="48CAAD4C" w14:textId="4C696A59" w:rsidR="00BB7AB2" w:rsidRPr="00BB7AB2" w:rsidRDefault="00BB7AB2" w:rsidP="00BB7AB2">
      <w:pPr>
        <w:pStyle w:val="Odstavecseseznamem"/>
        <w:numPr>
          <w:ilvl w:val="0"/>
          <w:numId w:val="26"/>
        </w:numPr>
        <w:spacing w:after="160"/>
        <w:jc w:val="both"/>
        <w:rPr>
          <w:rFonts w:ascii="Arial" w:eastAsia="Calibri" w:hAnsi="Arial" w:cs="Arial"/>
          <w:sz w:val="22"/>
          <w:szCs w:val="22"/>
        </w:rPr>
      </w:pPr>
      <w:r w:rsidRPr="00BB7AB2">
        <w:rPr>
          <w:rFonts w:ascii="Arial" w:eastAsia="Calibri" w:hAnsi="Arial" w:cs="Arial"/>
          <w:sz w:val="22"/>
          <w:szCs w:val="22"/>
        </w:rPr>
        <w:t>Nízké povědomí poskytovatelů o využívání opatření ze strany v</w:t>
      </w:r>
      <w:r w:rsidR="002C2991">
        <w:rPr>
          <w:rFonts w:ascii="Arial" w:eastAsia="Calibri" w:hAnsi="Arial" w:cs="Arial"/>
          <w:sz w:val="22"/>
          <w:szCs w:val="22"/>
        </w:rPr>
        <w:t>ýzkumnic a výzkumníků</w:t>
      </w:r>
      <w:r w:rsidRPr="00BB7AB2">
        <w:rPr>
          <w:rFonts w:ascii="Arial" w:eastAsia="Calibri" w:hAnsi="Arial" w:cs="Arial"/>
          <w:sz w:val="22"/>
          <w:szCs w:val="22"/>
        </w:rPr>
        <w:t>.</w:t>
      </w:r>
    </w:p>
    <w:p w14:paraId="22672B5B" w14:textId="77777777" w:rsidR="00BB7AB2" w:rsidRPr="00BB7AB2" w:rsidRDefault="00BB7AB2" w:rsidP="00BB7AB2">
      <w:pPr>
        <w:pStyle w:val="Nadpis2"/>
        <w:rPr>
          <w:sz w:val="22"/>
          <w:szCs w:val="22"/>
        </w:rPr>
      </w:pPr>
      <w:bookmarkStart w:id="2" w:name="_Toc86997386"/>
      <w:r w:rsidRPr="00BB7AB2">
        <w:rPr>
          <w:sz w:val="22"/>
          <w:szCs w:val="22"/>
        </w:rPr>
        <w:t xml:space="preserve">Praxe poskytovatelů </w:t>
      </w:r>
      <w:bookmarkEnd w:id="2"/>
    </w:p>
    <w:p w14:paraId="6AF7075D" w14:textId="77777777" w:rsidR="00BB7AB2" w:rsidRPr="00BB7AB2" w:rsidRDefault="00BB7AB2" w:rsidP="00BB7AB2">
      <w:pPr>
        <w:jc w:val="both"/>
        <w:rPr>
          <w:rFonts w:ascii="Arial" w:eastAsia="Calibri" w:hAnsi="Arial" w:cs="Arial"/>
          <w:sz w:val="22"/>
          <w:szCs w:val="22"/>
        </w:rPr>
      </w:pPr>
      <w:r w:rsidRPr="00BB7AB2">
        <w:rPr>
          <w:rFonts w:ascii="Arial" w:eastAsia="Calibri" w:hAnsi="Arial" w:cs="Arial"/>
          <w:sz w:val="22"/>
          <w:szCs w:val="22"/>
        </w:rPr>
        <w:t xml:space="preserve">Mezi poskytovateli financí na </w:t>
      </w:r>
      <w:proofErr w:type="spellStart"/>
      <w:r w:rsidRPr="00BB7AB2">
        <w:rPr>
          <w:rFonts w:ascii="Arial" w:eastAsia="Calibri" w:hAnsi="Arial" w:cs="Arial"/>
          <w:sz w:val="22"/>
          <w:szCs w:val="22"/>
        </w:rPr>
        <w:t>VaV</w:t>
      </w:r>
      <w:proofErr w:type="spellEnd"/>
      <w:r w:rsidRPr="00BB7AB2">
        <w:rPr>
          <w:rFonts w:ascii="Arial" w:eastAsia="Calibri" w:hAnsi="Arial" w:cs="Arial"/>
          <w:sz w:val="22"/>
          <w:szCs w:val="22"/>
        </w:rPr>
        <w:t xml:space="preserve"> podporu služeb péče o děti umožňují především TA ČR a</w:t>
      </w:r>
      <w:r w:rsidR="002F4DD6">
        <w:rPr>
          <w:rFonts w:ascii="Arial" w:eastAsia="Calibri" w:hAnsi="Arial" w:cs="Arial"/>
          <w:sz w:val="22"/>
          <w:szCs w:val="22"/>
        </w:rPr>
        <w:t> </w:t>
      </w:r>
      <w:r w:rsidRPr="00BB7AB2">
        <w:rPr>
          <w:rFonts w:ascii="Arial" w:eastAsia="Calibri" w:hAnsi="Arial" w:cs="Arial"/>
          <w:sz w:val="22"/>
          <w:szCs w:val="22"/>
        </w:rPr>
        <w:t>GA ČR.</w:t>
      </w:r>
      <w:r w:rsidRPr="00BB7AB2">
        <w:rPr>
          <w:rFonts w:ascii="Arial" w:eastAsia="Calibri" w:hAnsi="Arial" w:cs="Arial"/>
          <w:b/>
          <w:sz w:val="22"/>
          <w:szCs w:val="22"/>
        </w:rPr>
        <w:t xml:space="preserve"> TA ČR</w:t>
      </w:r>
      <w:r w:rsidRPr="00BB7AB2">
        <w:rPr>
          <w:rFonts w:ascii="Arial" w:eastAsia="Calibri" w:hAnsi="Arial" w:cs="Arial"/>
          <w:sz w:val="22"/>
          <w:szCs w:val="22"/>
        </w:rPr>
        <w:t xml:space="preserve"> se na náklady spojené s péčí o závislé členy domácnosti dívá ve všech programech jako na způsobilé pokud jsou vykázány v rámci režií, a to za těchto podmínek: metodou </w:t>
      </w:r>
      <w:proofErr w:type="spellStart"/>
      <w:r w:rsidRPr="00BB7AB2">
        <w:rPr>
          <w:rFonts w:ascii="Arial" w:eastAsia="Calibri" w:hAnsi="Arial" w:cs="Arial"/>
          <w:sz w:val="22"/>
          <w:szCs w:val="22"/>
        </w:rPr>
        <w:t>flat</w:t>
      </w:r>
      <w:proofErr w:type="spellEnd"/>
      <w:r w:rsidRPr="00BB7AB2">
        <w:rPr>
          <w:rFonts w:ascii="Arial" w:eastAsia="Calibri" w:hAnsi="Arial" w:cs="Arial"/>
          <w:sz w:val="22"/>
          <w:szCs w:val="22"/>
        </w:rPr>
        <w:t xml:space="preserve"> </w:t>
      </w:r>
      <w:proofErr w:type="spellStart"/>
      <w:r w:rsidRPr="00BB7AB2">
        <w:rPr>
          <w:rFonts w:ascii="Arial" w:eastAsia="Calibri" w:hAnsi="Arial" w:cs="Arial"/>
          <w:sz w:val="22"/>
          <w:szCs w:val="22"/>
        </w:rPr>
        <w:t>rate</w:t>
      </w:r>
      <w:proofErr w:type="spellEnd"/>
      <w:r w:rsidRPr="00BB7AB2">
        <w:rPr>
          <w:rFonts w:ascii="Arial" w:eastAsia="Calibri" w:hAnsi="Arial" w:cs="Arial"/>
          <w:sz w:val="22"/>
          <w:szCs w:val="22"/>
        </w:rPr>
        <w:t xml:space="preserve"> (paušál), v rámci něhož není nutné účetní doložení těchto nákladů, či metodou full </w:t>
      </w:r>
      <w:proofErr w:type="spellStart"/>
      <w:r w:rsidRPr="00BB7AB2">
        <w:rPr>
          <w:rFonts w:ascii="Arial" w:eastAsia="Calibri" w:hAnsi="Arial" w:cs="Arial"/>
          <w:sz w:val="22"/>
          <w:szCs w:val="22"/>
        </w:rPr>
        <w:t>cost</w:t>
      </w:r>
      <w:proofErr w:type="spellEnd"/>
      <w:r w:rsidRPr="00BB7AB2">
        <w:rPr>
          <w:rFonts w:ascii="Arial" w:eastAsia="Calibri" w:hAnsi="Arial" w:cs="Arial"/>
          <w:sz w:val="22"/>
          <w:szCs w:val="22"/>
        </w:rPr>
        <w:t xml:space="preserve"> (účetně doložitelné náklady), což je uznatelný způsob, pokud je vykazování ošetřeno ve vnitřním předpisu příjemce.</w:t>
      </w:r>
      <w:r w:rsidRPr="00BB7AB2">
        <w:rPr>
          <w:rFonts w:ascii="Arial" w:eastAsia="Calibri" w:hAnsi="Arial" w:cs="Arial"/>
          <w:sz w:val="22"/>
          <w:szCs w:val="22"/>
          <w:vertAlign w:val="superscript"/>
        </w:rPr>
        <w:footnoteReference w:id="11"/>
      </w:r>
    </w:p>
    <w:p w14:paraId="21E27BAA" w14:textId="77777777" w:rsidR="00BB7AB2" w:rsidRPr="00BB7AB2" w:rsidRDefault="00BB7AB2" w:rsidP="00BB7AB2">
      <w:pPr>
        <w:rPr>
          <w:rFonts w:ascii="Arial" w:eastAsia="Calibri" w:hAnsi="Arial" w:cs="Arial"/>
          <w:sz w:val="22"/>
          <w:szCs w:val="22"/>
        </w:rPr>
      </w:pPr>
    </w:p>
    <w:p w14:paraId="08AEEC6C" w14:textId="2CC57648" w:rsidR="00BB7AB2" w:rsidRPr="00BB7AB2" w:rsidRDefault="00BB7AB2" w:rsidP="00BB7AB2">
      <w:pPr>
        <w:jc w:val="both"/>
        <w:rPr>
          <w:rFonts w:ascii="Arial" w:eastAsia="Calibri" w:hAnsi="Arial" w:cs="Arial"/>
          <w:sz w:val="22"/>
          <w:szCs w:val="22"/>
        </w:rPr>
      </w:pPr>
      <w:r w:rsidRPr="00BB7AB2">
        <w:rPr>
          <w:rFonts w:ascii="Arial" w:eastAsia="Calibri" w:hAnsi="Arial" w:cs="Arial"/>
          <w:b/>
          <w:sz w:val="22"/>
          <w:szCs w:val="22"/>
        </w:rPr>
        <w:t>GA ČR</w:t>
      </w:r>
      <w:r w:rsidRPr="00BB7AB2">
        <w:rPr>
          <w:rFonts w:ascii="Arial" w:eastAsia="Calibri" w:hAnsi="Arial" w:cs="Arial"/>
          <w:sz w:val="22"/>
          <w:szCs w:val="22"/>
        </w:rPr>
        <w:t xml:space="preserve"> umožňuje proplácet služby péče o děti osob podílejících se na výzkumu v rámci způsobilých nákladů u všech projektů. Tato možnost byla poprvé explicitně zmíněna na jaře 2020 v souvislosti s pandemií Covid-19 a od roku 2021 je uvedena přímo v zadávacích dokumentacích pro projekty s počátkem řešení v roce 2022.</w:t>
      </w:r>
      <w:r w:rsidRPr="00BB7AB2">
        <w:rPr>
          <w:rFonts w:ascii="Arial" w:eastAsia="Calibri" w:hAnsi="Arial" w:cs="Arial"/>
          <w:sz w:val="22"/>
          <w:szCs w:val="22"/>
          <w:vertAlign w:val="superscript"/>
        </w:rPr>
        <w:footnoteReference w:id="12"/>
      </w:r>
      <w:r w:rsidRPr="00BB7AB2">
        <w:rPr>
          <w:rFonts w:ascii="Arial" w:eastAsia="Calibri" w:hAnsi="Arial" w:cs="Arial"/>
          <w:sz w:val="22"/>
          <w:szCs w:val="22"/>
        </w:rPr>
        <w:t xml:space="preserve"> Dle vyjádření GA ČR</w:t>
      </w:r>
      <w:r w:rsidRPr="00BB7AB2">
        <w:rPr>
          <w:rFonts w:ascii="Arial" w:eastAsia="Calibri" w:hAnsi="Arial" w:cs="Arial"/>
          <w:sz w:val="22"/>
          <w:szCs w:val="22"/>
          <w:vertAlign w:val="superscript"/>
        </w:rPr>
        <w:footnoteReference w:id="13"/>
      </w:r>
      <w:r w:rsidRPr="00BB7AB2">
        <w:rPr>
          <w:rFonts w:ascii="Arial" w:eastAsia="Calibri" w:hAnsi="Arial" w:cs="Arial"/>
          <w:sz w:val="22"/>
          <w:szCs w:val="22"/>
        </w:rPr>
        <w:t xml:space="preserve"> může výše poskytnuté dotace na doplňkové (režijní) náklady činit max. 20 % z poskytnuté dotace na uznané ostatní neinvestiční náklady, tj. s vyloučením doplňkových (režijních) nákladů, uvedené ve smlouvě nebo rozhodnutí o poskytnutí účelové podpory. Nejsou-li doplňkové (režijní) náklady požadovány v návrhu projektu, nelze je zahrnout mezi uznané náklady. Nejsou informace o dalších poskytovatelích, kteří by k zavedení podobného opatření přistoupili. </w:t>
      </w:r>
      <w:r w:rsidR="002C2991">
        <w:rPr>
          <w:rFonts w:ascii="Arial" w:eastAsia="Calibri" w:hAnsi="Arial" w:cs="Arial"/>
          <w:sz w:val="22"/>
          <w:szCs w:val="22"/>
        </w:rPr>
        <w:t>Resorty průmyslu a ochodu a kultury se vyjádřily</w:t>
      </w:r>
      <w:r w:rsidRPr="00BB7AB2">
        <w:rPr>
          <w:rFonts w:ascii="Arial" w:eastAsia="Calibri" w:hAnsi="Arial" w:cs="Arial"/>
          <w:sz w:val="22"/>
          <w:szCs w:val="22"/>
        </w:rPr>
        <w:t>, že takové opatření nemají.</w:t>
      </w:r>
    </w:p>
    <w:p w14:paraId="39B09F89" w14:textId="77777777" w:rsidR="00BB7AB2" w:rsidRPr="00BB7AB2" w:rsidRDefault="00BB7AB2" w:rsidP="00BB7AB2">
      <w:pPr>
        <w:jc w:val="both"/>
        <w:rPr>
          <w:rFonts w:ascii="Arial" w:eastAsia="Calibri" w:hAnsi="Arial" w:cs="Arial"/>
          <w:sz w:val="22"/>
          <w:szCs w:val="22"/>
        </w:rPr>
      </w:pPr>
    </w:p>
    <w:p w14:paraId="47E51C5E" w14:textId="711DF15E" w:rsidR="00BB7AB2" w:rsidRPr="00BB7AB2" w:rsidRDefault="00BB7AB2" w:rsidP="00BB7AB2">
      <w:pPr>
        <w:jc w:val="both"/>
        <w:rPr>
          <w:rFonts w:ascii="Arial" w:eastAsia="Calibri" w:hAnsi="Arial" w:cs="Arial"/>
          <w:sz w:val="22"/>
          <w:szCs w:val="22"/>
        </w:rPr>
      </w:pPr>
      <w:r w:rsidRPr="00BB7AB2">
        <w:rPr>
          <w:rFonts w:ascii="Arial" w:eastAsia="Calibri" w:hAnsi="Arial" w:cs="Arial"/>
          <w:sz w:val="22"/>
          <w:szCs w:val="22"/>
        </w:rPr>
        <w:t>Informace o využívání proplácení služeb péče jsou jen dílčí. Dle výsledků dotazníkového šetření TA ČR,</w:t>
      </w:r>
      <w:r w:rsidRPr="00BB7AB2">
        <w:rPr>
          <w:rFonts w:ascii="Arial" w:eastAsia="Calibri" w:hAnsi="Arial" w:cs="Arial"/>
          <w:sz w:val="22"/>
          <w:szCs w:val="22"/>
          <w:vertAlign w:val="superscript"/>
        </w:rPr>
        <w:footnoteReference w:id="14"/>
      </w:r>
      <w:r w:rsidRPr="00BB7AB2">
        <w:rPr>
          <w:rFonts w:ascii="Arial" w:eastAsia="Calibri" w:hAnsi="Arial" w:cs="Arial"/>
          <w:sz w:val="22"/>
          <w:szCs w:val="22"/>
        </w:rPr>
        <w:t xml:space="preserve"> které zjišťovalo využívání nákladů na slaďování rodinného a profesního života v rámci programu ZÉTA, prostředky na tyto služby využilo 11 % respondentů. Velmi často otázku komentovali s tím, že není možné prostředky využít, neboť chybí vnitřní předpisy institucí, nebo o daném opatření nevěděli. Oddělení kontrol TA ČR, které sleduje také podrobné náklady projektů v rámci kontrol </w:t>
      </w:r>
      <w:r w:rsidR="002C2991">
        <w:rPr>
          <w:rFonts w:ascii="Arial" w:eastAsia="Calibri" w:hAnsi="Arial" w:cs="Arial"/>
          <w:sz w:val="22"/>
          <w:szCs w:val="22"/>
        </w:rPr>
        <w:t>v</w:t>
      </w:r>
      <w:r w:rsidRPr="00BB7AB2">
        <w:rPr>
          <w:rFonts w:ascii="Arial" w:eastAsia="Calibri" w:hAnsi="Arial" w:cs="Arial"/>
          <w:sz w:val="22"/>
          <w:szCs w:val="22"/>
        </w:rPr>
        <w:t> institucích, se s tímto typem nákladů zatím nesetkalo a nesetkalo se ani s tím, že by instituce měly problematiku ve směrnicích ošetřenu.</w:t>
      </w:r>
      <w:r w:rsidRPr="00BB7AB2">
        <w:rPr>
          <w:rFonts w:ascii="Arial" w:eastAsia="Calibri" w:hAnsi="Arial" w:cs="Arial"/>
          <w:sz w:val="22"/>
          <w:szCs w:val="22"/>
          <w:vertAlign w:val="superscript"/>
        </w:rPr>
        <w:footnoteReference w:id="15"/>
      </w:r>
      <w:r w:rsidRPr="00BB7AB2">
        <w:rPr>
          <w:rFonts w:ascii="Arial" w:eastAsia="Calibri" w:hAnsi="Arial" w:cs="Arial"/>
          <w:sz w:val="22"/>
          <w:szCs w:val="22"/>
        </w:rPr>
        <w:t xml:space="preserve"> GA ČR aktuálně nemá údaje o využívání tohoto opatření a plánuje víc zjistit v</w:t>
      </w:r>
      <w:r w:rsidR="002F4DD6">
        <w:rPr>
          <w:rFonts w:ascii="Arial" w:eastAsia="Calibri" w:hAnsi="Arial" w:cs="Arial"/>
          <w:sz w:val="22"/>
          <w:szCs w:val="22"/>
        </w:rPr>
        <w:t> </w:t>
      </w:r>
      <w:r w:rsidRPr="00BB7AB2">
        <w:rPr>
          <w:rFonts w:ascii="Arial" w:eastAsia="Calibri" w:hAnsi="Arial" w:cs="Arial"/>
          <w:sz w:val="22"/>
          <w:szCs w:val="22"/>
        </w:rPr>
        <w:t xml:space="preserve">rámci dotazníkového šetření, které má proběhnout v lednu 2022. </w:t>
      </w:r>
    </w:p>
    <w:p w14:paraId="3B7E1492" w14:textId="77777777" w:rsidR="00BB7AB2" w:rsidRPr="00BB7AB2" w:rsidRDefault="00BB7AB2" w:rsidP="00BB7AB2">
      <w:pPr>
        <w:jc w:val="both"/>
        <w:rPr>
          <w:rFonts w:ascii="Arial" w:eastAsia="Calibri" w:hAnsi="Arial" w:cs="Arial"/>
          <w:sz w:val="22"/>
          <w:szCs w:val="22"/>
        </w:rPr>
      </w:pPr>
    </w:p>
    <w:p w14:paraId="6EE7F762" w14:textId="77777777" w:rsidR="00BB7AB2" w:rsidRPr="00BB7AB2" w:rsidRDefault="00BB7AB2" w:rsidP="00BB7AB2">
      <w:pPr>
        <w:jc w:val="both"/>
        <w:rPr>
          <w:rFonts w:ascii="Arial" w:eastAsia="Calibri" w:hAnsi="Arial" w:cs="Arial"/>
          <w:sz w:val="22"/>
          <w:szCs w:val="22"/>
        </w:rPr>
      </w:pPr>
      <w:r w:rsidRPr="00BB7AB2">
        <w:rPr>
          <w:rFonts w:ascii="Arial" w:eastAsia="Calibri" w:hAnsi="Arial" w:cs="Arial"/>
          <w:sz w:val="22"/>
          <w:szCs w:val="22"/>
        </w:rPr>
        <w:t xml:space="preserve">Diskuze na sociálních sítích částečně potvrzují jedno ze zjištění TA ČR. A sice, že řešitelky/řešitelé narážejí na problém neexistence vnitřních předpisů, popř. rovnou na nezájem </w:t>
      </w:r>
      <w:r w:rsidRPr="00BB7AB2">
        <w:rPr>
          <w:rFonts w:ascii="Arial" w:eastAsia="Calibri" w:hAnsi="Arial" w:cs="Arial"/>
          <w:sz w:val="22"/>
          <w:szCs w:val="22"/>
        </w:rPr>
        <w:lastRenderedPageBreak/>
        <w:t>institucí vycházet rodičům vstříc.</w:t>
      </w:r>
      <w:r w:rsidRPr="00BB7AB2">
        <w:rPr>
          <w:rFonts w:ascii="Arial" w:eastAsia="Calibri" w:hAnsi="Arial" w:cs="Arial"/>
          <w:sz w:val="22"/>
          <w:szCs w:val="22"/>
          <w:vertAlign w:val="superscript"/>
        </w:rPr>
        <w:footnoteReference w:id="16"/>
      </w:r>
      <w:r w:rsidRPr="00BB7AB2">
        <w:rPr>
          <w:rFonts w:ascii="Arial" w:eastAsia="Calibri" w:hAnsi="Arial" w:cs="Arial"/>
          <w:sz w:val="22"/>
          <w:szCs w:val="22"/>
        </w:rPr>
        <w:t xml:space="preserve"> Také dle informací AV ČR, které čerpání opatření ověřovalo na svých ústavech na podnět NKC - gender a věda již v roce 2020, žádné z pracovišť, která reagovala na dotaz (31 z 54 celkem), opatření nevyužilo.</w:t>
      </w:r>
      <w:r w:rsidRPr="00BB7AB2">
        <w:rPr>
          <w:rFonts w:ascii="Arial" w:eastAsia="Calibri" w:hAnsi="Arial" w:cs="Arial"/>
          <w:sz w:val="22"/>
          <w:szCs w:val="22"/>
          <w:vertAlign w:val="superscript"/>
        </w:rPr>
        <w:footnoteReference w:id="17"/>
      </w:r>
      <w:r w:rsidRPr="00BB7AB2">
        <w:rPr>
          <w:rFonts w:ascii="Arial" w:eastAsia="Calibri" w:hAnsi="Arial" w:cs="Arial"/>
          <w:sz w:val="22"/>
          <w:szCs w:val="22"/>
        </w:rPr>
        <w:t xml:space="preserve"> </w:t>
      </w:r>
    </w:p>
    <w:p w14:paraId="540A5C58" w14:textId="77777777" w:rsidR="00BB7AB2" w:rsidRPr="00BB7AB2" w:rsidRDefault="00BB7AB2" w:rsidP="00BB7AB2">
      <w:pPr>
        <w:pStyle w:val="Nadpis2"/>
        <w:spacing w:before="0" w:after="0" w:line="276" w:lineRule="auto"/>
        <w:rPr>
          <w:sz w:val="22"/>
          <w:szCs w:val="22"/>
        </w:rPr>
      </w:pPr>
      <w:bookmarkStart w:id="3" w:name="_Toc86997388"/>
    </w:p>
    <w:p w14:paraId="2C856B9E" w14:textId="77777777" w:rsidR="00BB7AB2" w:rsidRPr="00BB7AB2" w:rsidRDefault="00BB7AB2" w:rsidP="00BB7AB2">
      <w:pPr>
        <w:pStyle w:val="Nadpis2"/>
        <w:spacing w:before="0" w:after="0" w:line="276" w:lineRule="auto"/>
        <w:rPr>
          <w:sz w:val="22"/>
          <w:szCs w:val="22"/>
        </w:rPr>
      </w:pPr>
      <w:r w:rsidRPr="00BB7AB2">
        <w:rPr>
          <w:sz w:val="22"/>
          <w:szCs w:val="22"/>
        </w:rPr>
        <w:t xml:space="preserve">Závěr </w:t>
      </w:r>
      <w:bookmarkEnd w:id="3"/>
    </w:p>
    <w:p w14:paraId="157E6976" w14:textId="77777777" w:rsidR="00BB7AB2" w:rsidRPr="00BB7AB2" w:rsidRDefault="00BB7AB2" w:rsidP="00BB7AB2">
      <w:pPr>
        <w:jc w:val="both"/>
        <w:rPr>
          <w:rFonts w:ascii="Arial" w:eastAsia="Calibri" w:hAnsi="Arial" w:cs="Arial"/>
          <w:sz w:val="22"/>
          <w:szCs w:val="22"/>
        </w:rPr>
      </w:pPr>
      <w:r w:rsidRPr="00BB7AB2">
        <w:rPr>
          <w:rFonts w:ascii="Arial" w:eastAsia="Calibri" w:hAnsi="Arial" w:cs="Arial"/>
          <w:sz w:val="22"/>
          <w:szCs w:val="22"/>
        </w:rPr>
        <w:t>Z výše uvedeného vyplývá, že přinejmenším dva nejvýznamnější poskytovatelé projektové podpory pro výzkum a inovace v ČR mají snahu o zajištění lepších možností, jak slaďovat rodinný a profesní život výzkumnic a výzkumníků formou podpory zajištění služeb péče. Aktuálně nastavený systém - proplácení služeb péče vykazuje určité slabiny, které brání využívání opatření v míře, o jakou by byl zájem. PS pro rovnost žen a mužů proto navrhuje výše uvedená opatření, která mají za cíl odstranit možné bariéry využívání opatření posílení stávajících opatření, popř. se inspirovat zahraniční praxí (viz Příloha 1).</w:t>
      </w:r>
    </w:p>
    <w:p w14:paraId="2DA09E46" w14:textId="77777777" w:rsidR="00BB7AB2" w:rsidRPr="00BB7AB2" w:rsidRDefault="00BB7AB2" w:rsidP="00BB7AB2">
      <w:pPr>
        <w:rPr>
          <w:rFonts w:ascii="Arial" w:eastAsia="Calibri" w:hAnsi="Arial" w:cs="Arial"/>
          <w:sz w:val="22"/>
          <w:szCs w:val="22"/>
        </w:rPr>
      </w:pPr>
      <w:r w:rsidRPr="00BB7AB2">
        <w:rPr>
          <w:rFonts w:ascii="Arial" w:eastAsia="Calibri" w:hAnsi="Arial" w:cs="Arial"/>
          <w:sz w:val="22"/>
          <w:szCs w:val="22"/>
        </w:rPr>
        <w:br w:type="page"/>
      </w:r>
    </w:p>
    <w:p w14:paraId="05E4A512" w14:textId="77777777" w:rsidR="00BB7AB2" w:rsidRPr="00BB7AB2" w:rsidRDefault="00BB7AB2" w:rsidP="00BB7AB2">
      <w:pPr>
        <w:rPr>
          <w:rFonts w:ascii="Arial" w:hAnsi="Arial" w:cs="Arial"/>
          <w:b/>
          <w:sz w:val="22"/>
          <w:szCs w:val="22"/>
        </w:rPr>
      </w:pPr>
      <w:r w:rsidRPr="00BB7AB2">
        <w:rPr>
          <w:rFonts w:ascii="Arial" w:eastAsia="Calibri" w:hAnsi="Arial" w:cs="Arial"/>
          <w:b/>
          <w:sz w:val="22"/>
          <w:szCs w:val="22"/>
        </w:rPr>
        <w:lastRenderedPageBreak/>
        <w:t>Příloha 1:</w:t>
      </w:r>
      <w:bookmarkStart w:id="4" w:name="_Toc86997387"/>
      <w:r w:rsidRPr="00BB7AB2">
        <w:rPr>
          <w:rFonts w:ascii="Arial" w:eastAsia="Calibri" w:hAnsi="Arial" w:cs="Arial"/>
          <w:b/>
          <w:sz w:val="22"/>
          <w:szCs w:val="22"/>
        </w:rPr>
        <w:t xml:space="preserve"> </w:t>
      </w:r>
      <w:r w:rsidRPr="00BB7AB2">
        <w:rPr>
          <w:rFonts w:ascii="Arial" w:hAnsi="Arial" w:cs="Arial"/>
          <w:b/>
          <w:sz w:val="22"/>
          <w:szCs w:val="22"/>
        </w:rPr>
        <w:t>Zahraniční praxe</w:t>
      </w:r>
      <w:bookmarkEnd w:id="4"/>
      <w:r w:rsidRPr="00BB7AB2">
        <w:rPr>
          <w:rFonts w:ascii="Arial" w:hAnsi="Arial" w:cs="Arial"/>
          <w:b/>
          <w:sz w:val="22"/>
          <w:szCs w:val="22"/>
        </w:rPr>
        <w:t xml:space="preserve"> </w:t>
      </w:r>
    </w:p>
    <w:p w14:paraId="2F9D5B83" w14:textId="77777777" w:rsidR="00BB7AB2" w:rsidRPr="00BB7AB2" w:rsidRDefault="00BB7AB2" w:rsidP="00BB7AB2">
      <w:pPr>
        <w:jc w:val="both"/>
        <w:rPr>
          <w:rFonts w:ascii="Arial" w:eastAsia="Calibri" w:hAnsi="Arial" w:cs="Arial"/>
          <w:sz w:val="22"/>
          <w:szCs w:val="22"/>
        </w:rPr>
      </w:pPr>
      <w:r w:rsidRPr="00BB7AB2">
        <w:rPr>
          <w:rFonts w:ascii="Arial" w:eastAsia="Calibri" w:hAnsi="Arial" w:cs="Arial"/>
          <w:sz w:val="22"/>
          <w:szCs w:val="22"/>
        </w:rPr>
        <w:t xml:space="preserve">Opatření vedená snahou zajistit služby péče o děti výzkumnic a výzkumníků v rámci účelové podpory jsou v zahraničí běžná a mají různou podobu. Ve všech zmapovaných případech byly tyto služby hrazeny přímo z prostředků alokovaných na výzkum. Zároveň však žádná ze zahraničních institucí nevyužívá přímo formu proplácení služeb, jak se to děje v případě dvou nejvýznamnějších poskytovatelů v ČR. Zahraniční instituce obvykle mají specifické granty přímo pro pracující rodiče či v rámci všech projektů automaticky počítají s touto možností. Zahraniční praxe také ukazuje, že není zvykem explicitně ukotvovat proplácení péče ve </w:t>
      </w:r>
      <w:proofErr w:type="spellStart"/>
      <w:r w:rsidRPr="00BB7AB2">
        <w:rPr>
          <w:rFonts w:ascii="Arial" w:eastAsia="Calibri" w:hAnsi="Arial" w:cs="Arial"/>
          <w:sz w:val="22"/>
          <w:szCs w:val="22"/>
        </w:rPr>
        <w:t>VaVaI</w:t>
      </w:r>
      <w:proofErr w:type="spellEnd"/>
      <w:r w:rsidRPr="00BB7AB2">
        <w:rPr>
          <w:rFonts w:ascii="Arial" w:eastAsia="Calibri" w:hAnsi="Arial" w:cs="Arial"/>
          <w:sz w:val="22"/>
          <w:szCs w:val="22"/>
        </w:rPr>
        <w:t xml:space="preserve"> v legislativě státu, ale že jednotlivé instituce financující výzkumy se řídí vlastními vnitřními předpisy. </w:t>
      </w:r>
    </w:p>
    <w:p w14:paraId="42CC7E5E" w14:textId="77777777" w:rsidR="00BB7AB2" w:rsidRPr="00BB7AB2" w:rsidRDefault="00BB7AB2" w:rsidP="00BB7AB2">
      <w:pPr>
        <w:spacing w:before="240" w:after="240"/>
        <w:jc w:val="both"/>
        <w:rPr>
          <w:rFonts w:ascii="Arial" w:eastAsia="Calibri" w:hAnsi="Arial" w:cs="Arial"/>
          <w:sz w:val="22"/>
          <w:szCs w:val="22"/>
        </w:rPr>
      </w:pPr>
      <w:proofErr w:type="spellStart"/>
      <w:r w:rsidRPr="00BB7AB2">
        <w:rPr>
          <w:rFonts w:ascii="Arial" w:eastAsia="Calibri" w:hAnsi="Arial" w:cs="Arial"/>
          <w:b/>
          <w:sz w:val="22"/>
          <w:szCs w:val="22"/>
        </w:rPr>
        <w:t>Swiss</w:t>
      </w:r>
      <w:proofErr w:type="spellEnd"/>
      <w:r w:rsidRPr="00BB7AB2">
        <w:rPr>
          <w:rFonts w:ascii="Arial" w:eastAsia="Calibri" w:hAnsi="Arial" w:cs="Arial"/>
          <w:b/>
          <w:sz w:val="22"/>
          <w:szCs w:val="22"/>
        </w:rPr>
        <w:t xml:space="preserve"> </w:t>
      </w:r>
      <w:proofErr w:type="spellStart"/>
      <w:r w:rsidRPr="00BB7AB2">
        <w:rPr>
          <w:rFonts w:ascii="Arial" w:eastAsia="Calibri" w:hAnsi="Arial" w:cs="Arial"/>
          <w:b/>
          <w:sz w:val="22"/>
          <w:szCs w:val="22"/>
        </w:rPr>
        <w:t>National</w:t>
      </w:r>
      <w:proofErr w:type="spellEnd"/>
      <w:r w:rsidRPr="00BB7AB2">
        <w:rPr>
          <w:rFonts w:ascii="Arial" w:eastAsia="Calibri" w:hAnsi="Arial" w:cs="Arial"/>
          <w:b/>
          <w:sz w:val="22"/>
          <w:szCs w:val="22"/>
        </w:rPr>
        <w:t xml:space="preserve"> Science </w:t>
      </w:r>
      <w:proofErr w:type="spellStart"/>
      <w:r w:rsidRPr="00BB7AB2">
        <w:rPr>
          <w:rFonts w:ascii="Arial" w:eastAsia="Calibri" w:hAnsi="Arial" w:cs="Arial"/>
          <w:b/>
          <w:sz w:val="22"/>
          <w:szCs w:val="22"/>
        </w:rPr>
        <w:t>Foundation</w:t>
      </w:r>
      <w:proofErr w:type="spellEnd"/>
      <w:r w:rsidRPr="00BB7AB2">
        <w:rPr>
          <w:rFonts w:ascii="Arial" w:eastAsia="Calibri" w:hAnsi="Arial" w:cs="Arial"/>
          <w:b/>
          <w:sz w:val="22"/>
          <w:szCs w:val="22"/>
        </w:rPr>
        <w:t xml:space="preserve"> – SNSF </w:t>
      </w:r>
      <w:r w:rsidRPr="00BB7AB2">
        <w:rPr>
          <w:rFonts w:ascii="Arial" w:eastAsia="Calibri" w:hAnsi="Arial" w:cs="Arial"/>
          <w:sz w:val="22"/>
          <w:szCs w:val="22"/>
        </w:rPr>
        <w:t>zavedla “Flexibility grant”</w:t>
      </w:r>
      <w:r w:rsidRPr="00BB7AB2">
        <w:rPr>
          <w:rFonts w:ascii="Arial" w:eastAsia="Calibri" w:hAnsi="Arial" w:cs="Arial"/>
          <w:sz w:val="22"/>
          <w:szCs w:val="22"/>
          <w:vertAlign w:val="superscript"/>
        </w:rPr>
        <w:footnoteReference w:id="18"/>
      </w:r>
      <w:r w:rsidRPr="00BB7AB2">
        <w:rPr>
          <w:rFonts w:ascii="Arial" w:eastAsia="Calibri" w:hAnsi="Arial" w:cs="Arial"/>
          <w:sz w:val="22"/>
          <w:szCs w:val="22"/>
        </w:rPr>
        <w:t>, o který si rodič může žádat během celého roku a který nabízí dvě možnosti jak sladit profesní a osobní život. Tyto dvě možnosti mohou být kombinovány: grant může pomoci pokrýt externí výdaje spojené s péčí o dítě, které musí výzkumník či výzkumnice hradit a to minimálně 3 dny v</w:t>
      </w:r>
      <w:r w:rsidR="008E1EB6">
        <w:rPr>
          <w:rFonts w:ascii="Arial" w:eastAsia="Calibri" w:hAnsi="Arial" w:cs="Arial"/>
          <w:sz w:val="22"/>
          <w:szCs w:val="22"/>
        </w:rPr>
        <w:t> </w:t>
      </w:r>
      <w:r w:rsidRPr="00BB7AB2">
        <w:rPr>
          <w:rFonts w:ascii="Arial" w:eastAsia="Calibri" w:hAnsi="Arial" w:cs="Arial"/>
          <w:sz w:val="22"/>
          <w:szCs w:val="22"/>
        </w:rPr>
        <w:t>týdnu, nebo může pomoci financovat plat spolupracovníka či spolupracovnice, díky kterým se výzkumníkovi či výzkumnici sníží úvazek.</w:t>
      </w:r>
      <w:r w:rsidRPr="00BB7AB2">
        <w:rPr>
          <w:rFonts w:ascii="Arial" w:eastAsia="Calibri" w:hAnsi="Arial" w:cs="Arial"/>
          <w:sz w:val="22"/>
          <w:szCs w:val="22"/>
          <w:vertAlign w:val="superscript"/>
        </w:rPr>
        <w:footnoteReference w:id="19"/>
      </w:r>
    </w:p>
    <w:p w14:paraId="3A18A474" w14:textId="77777777" w:rsidR="00BB7AB2" w:rsidRPr="00BB7AB2" w:rsidRDefault="00BB7AB2" w:rsidP="00BB7AB2">
      <w:pPr>
        <w:spacing w:before="240" w:after="120"/>
        <w:jc w:val="both"/>
        <w:rPr>
          <w:rFonts w:ascii="Arial" w:eastAsia="Calibri" w:hAnsi="Arial" w:cs="Arial"/>
          <w:sz w:val="22"/>
          <w:szCs w:val="22"/>
        </w:rPr>
      </w:pPr>
      <w:r w:rsidRPr="00BB7AB2">
        <w:rPr>
          <w:rFonts w:ascii="Arial" w:eastAsia="Calibri" w:hAnsi="Arial" w:cs="Arial"/>
          <w:sz w:val="22"/>
          <w:szCs w:val="22"/>
        </w:rPr>
        <w:t>Výzkumníci a výzkumnice musí být primárním pečovatelem o dítě, zároveň musí pracovat v</w:t>
      </w:r>
      <w:r w:rsidR="008E1EB6">
        <w:rPr>
          <w:rFonts w:ascii="Arial" w:eastAsia="Calibri" w:hAnsi="Arial" w:cs="Arial"/>
          <w:sz w:val="22"/>
          <w:szCs w:val="22"/>
        </w:rPr>
        <w:t> </w:t>
      </w:r>
      <w:r w:rsidRPr="00BB7AB2">
        <w:rPr>
          <w:rFonts w:ascii="Arial" w:eastAsia="Calibri" w:hAnsi="Arial" w:cs="Arial"/>
          <w:sz w:val="22"/>
          <w:szCs w:val="22"/>
        </w:rPr>
        <w:t>projektech financovaných SNSF a jejich pracovní úvazek je alespoň 80 %. Doktorandi a</w:t>
      </w:r>
      <w:r w:rsidR="008E1EB6">
        <w:rPr>
          <w:rFonts w:ascii="Arial" w:eastAsia="Calibri" w:hAnsi="Arial" w:cs="Arial"/>
          <w:sz w:val="22"/>
          <w:szCs w:val="22"/>
        </w:rPr>
        <w:t> </w:t>
      </w:r>
      <w:r w:rsidRPr="00BB7AB2">
        <w:rPr>
          <w:rFonts w:ascii="Arial" w:eastAsia="Calibri" w:hAnsi="Arial" w:cs="Arial"/>
          <w:sz w:val="22"/>
          <w:szCs w:val="22"/>
        </w:rPr>
        <w:t>doktorandky mohou požádat o grant nezávisle na výši úvazku, ale mají pouze nárok na grant na péči o dítě, nemají nárok na příspěvek na pomocného pracovníka.</w:t>
      </w:r>
      <w:r w:rsidRPr="00BB7AB2">
        <w:rPr>
          <w:rFonts w:ascii="Arial" w:eastAsia="Calibri" w:hAnsi="Arial" w:cs="Arial"/>
          <w:sz w:val="22"/>
          <w:szCs w:val="22"/>
          <w:vertAlign w:val="superscript"/>
        </w:rPr>
        <w:footnoteReference w:id="20"/>
      </w:r>
      <w:r w:rsidRPr="00BB7AB2">
        <w:rPr>
          <w:rFonts w:ascii="Arial" w:eastAsia="Calibri" w:hAnsi="Arial" w:cs="Arial"/>
          <w:sz w:val="22"/>
          <w:szCs w:val="22"/>
        </w:rPr>
        <w:t xml:space="preserve"> Granty jsou k</w:t>
      </w:r>
      <w:r w:rsidR="008E1EB6">
        <w:rPr>
          <w:rFonts w:ascii="Arial" w:eastAsia="Calibri" w:hAnsi="Arial" w:cs="Arial"/>
          <w:sz w:val="22"/>
          <w:szCs w:val="22"/>
        </w:rPr>
        <w:t> </w:t>
      </w:r>
      <w:r w:rsidRPr="00BB7AB2">
        <w:rPr>
          <w:rFonts w:ascii="Arial" w:eastAsia="Calibri" w:hAnsi="Arial" w:cs="Arial"/>
          <w:sz w:val="22"/>
          <w:szCs w:val="22"/>
        </w:rPr>
        <w:t>dispozici již v kalendářním měsíci podání žádosti. Dle informací SNSF využití tohoto grantu rapidně stoupá s každým rokem.</w:t>
      </w:r>
      <w:r w:rsidRPr="00BB7AB2">
        <w:rPr>
          <w:rFonts w:ascii="Arial" w:eastAsia="Calibri" w:hAnsi="Arial" w:cs="Arial"/>
          <w:sz w:val="22"/>
          <w:szCs w:val="22"/>
          <w:vertAlign w:val="superscript"/>
        </w:rPr>
        <w:footnoteReference w:id="21"/>
      </w:r>
      <w:r w:rsidRPr="00BB7AB2">
        <w:rPr>
          <w:rFonts w:ascii="Arial" w:eastAsia="Calibri" w:hAnsi="Arial" w:cs="Arial"/>
          <w:sz w:val="22"/>
          <w:szCs w:val="22"/>
        </w:rPr>
        <w:t xml:space="preserve"> </w:t>
      </w:r>
    </w:p>
    <w:p w14:paraId="5E69DAD8" w14:textId="7C6A7A75" w:rsidR="00BB7AB2" w:rsidRPr="00BB7AB2" w:rsidRDefault="00BB7AB2" w:rsidP="00BB7AB2">
      <w:pPr>
        <w:spacing w:before="240" w:after="240"/>
        <w:jc w:val="both"/>
        <w:rPr>
          <w:rFonts w:ascii="Arial" w:eastAsia="Calibri" w:hAnsi="Arial" w:cs="Arial"/>
          <w:sz w:val="22"/>
          <w:szCs w:val="22"/>
        </w:rPr>
      </w:pPr>
      <w:r w:rsidRPr="00BB7AB2">
        <w:rPr>
          <w:rFonts w:ascii="Arial" w:eastAsia="Calibri" w:hAnsi="Arial" w:cs="Arial"/>
          <w:b/>
          <w:sz w:val="22"/>
          <w:szCs w:val="22"/>
        </w:rPr>
        <w:t xml:space="preserve">Science </w:t>
      </w:r>
      <w:proofErr w:type="spellStart"/>
      <w:r w:rsidRPr="00BB7AB2">
        <w:rPr>
          <w:rFonts w:ascii="Arial" w:eastAsia="Calibri" w:hAnsi="Arial" w:cs="Arial"/>
          <w:b/>
          <w:sz w:val="22"/>
          <w:szCs w:val="22"/>
        </w:rPr>
        <w:t>Foundation</w:t>
      </w:r>
      <w:proofErr w:type="spellEnd"/>
      <w:r w:rsidRPr="00BB7AB2">
        <w:rPr>
          <w:rFonts w:ascii="Arial" w:eastAsia="Calibri" w:hAnsi="Arial" w:cs="Arial"/>
          <w:b/>
          <w:sz w:val="22"/>
          <w:szCs w:val="22"/>
        </w:rPr>
        <w:t xml:space="preserve"> </w:t>
      </w:r>
      <w:proofErr w:type="spellStart"/>
      <w:r w:rsidRPr="00BB7AB2">
        <w:rPr>
          <w:rFonts w:ascii="Arial" w:eastAsia="Calibri" w:hAnsi="Arial" w:cs="Arial"/>
          <w:b/>
          <w:sz w:val="22"/>
          <w:szCs w:val="22"/>
        </w:rPr>
        <w:t>Ireland</w:t>
      </w:r>
      <w:proofErr w:type="spellEnd"/>
      <w:r w:rsidRPr="00BB7AB2">
        <w:rPr>
          <w:rFonts w:ascii="Arial" w:eastAsia="Calibri" w:hAnsi="Arial" w:cs="Arial"/>
          <w:b/>
          <w:sz w:val="22"/>
          <w:szCs w:val="22"/>
        </w:rPr>
        <w:t xml:space="preserve"> – SFI </w:t>
      </w:r>
      <w:r w:rsidRPr="00BB7AB2">
        <w:rPr>
          <w:rFonts w:ascii="Arial" w:eastAsia="Calibri" w:hAnsi="Arial" w:cs="Arial"/>
          <w:sz w:val="22"/>
          <w:szCs w:val="22"/>
        </w:rPr>
        <w:t>zavedla suplementární grant</w:t>
      </w:r>
      <w:r w:rsidRPr="00BB7AB2">
        <w:rPr>
          <w:rFonts w:ascii="Arial" w:eastAsia="Calibri" w:hAnsi="Arial" w:cs="Arial"/>
          <w:sz w:val="22"/>
          <w:szCs w:val="22"/>
          <w:vertAlign w:val="superscript"/>
        </w:rPr>
        <w:footnoteReference w:id="22"/>
      </w:r>
      <w:r w:rsidRPr="00BB7AB2">
        <w:rPr>
          <w:rFonts w:ascii="Arial" w:eastAsia="Calibri" w:hAnsi="Arial" w:cs="Arial"/>
          <w:sz w:val="22"/>
          <w:szCs w:val="22"/>
        </w:rPr>
        <w:t xml:space="preserve"> pro v</w:t>
      </w:r>
      <w:r w:rsidR="002C2991">
        <w:rPr>
          <w:rFonts w:ascii="Arial" w:eastAsia="Calibri" w:hAnsi="Arial" w:cs="Arial"/>
          <w:sz w:val="22"/>
          <w:szCs w:val="22"/>
        </w:rPr>
        <w:t>ýzkumnice</w:t>
      </w:r>
      <w:r w:rsidRPr="00BB7AB2">
        <w:rPr>
          <w:rFonts w:ascii="Arial" w:eastAsia="Calibri" w:hAnsi="Arial" w:cs="Arial"/>
          <w:sz w:val="22"/>
          <w:szCs w:val="22"/>
        </w:rPr>
        <w:t xml:space="preserve"> a v</w:t>
      </w:r>
      <w:r w:rsidR="002C2991">
        <w:rPr>
          <w:rFonts w:ascii="Arial" w:eastAsia="Calibri" w:hAnsi="Arial" w:cs="Arial"/>
          <w:sz w:val="22"/>
          <w:szCs w:val="22"/>
        </w:rPr>
        <w:t>ýzkumníky</w:t>
      </w:r>
      <w:r w:rsidRPr="00BB7AB2">
        <w:rPr>
          <w:rFonts w:ascii="Arial" w:eastAsia="Calibri" w:hAnsi="Arial" w:cs="Arial"/>
          <w:sz w:val="22"/>
          <w:szCs w:val="22"/>
        </w:rPr>
        <w:t xml:space="preserve"> s</w:t>
      </w:r>
      <w:r w:rsidR="008E1EB6">
        <w:rPr>
          <w:rFonts w:ascii="Arial" w:eastAsia="Calibri" w:hAnsi="Arial" w:cs="Arial"/>
          <w:sz w:val="22"/>
          <w:szCs w:val="22"/>
        </w:rPr>
        <w:t> </w:t>
      </w:r>
      <w:r w:rsidRPr="00BB7AB2">
        <w:rPr>
          <w:rFonts w:ascii="Arial" w:eastAsia="Calibri" w:hAnsi="Arial" w:cs="Arial"/>
          <w:sz w:val="22"/>
          <w:szCs w:val="22"/>
        </w:rPr>
        <w:t>nejmenšími dětmi nad rámec</w:t>
      </w:r>
      <w:r w:rsidRPr="00BB7AB2">
        <w:rPr>
          <w:rFonts w:ascii="Arial" w:eastAsia="Calibri" w:hAnsi="Arial" w:cs="Arial"/>
          <w:sz w:val="22"/>
          <w:szCs w:val="22"/>
          <w:vertAlign w:val="superscript"/>
        </w:rPr>
        <w:footnoteReference w:id="23"/>
      </w:r>
      <w:r w:rsidRPr="00BB7AB2">
        <w:rPr>
          <w:rFonts w:ascii="Arial" w:eastAsia="Calibri" w:hAnsi="Arial" w:cs="Arial"/>
          <w:sz w:val="22"/>
          <w:szCs w:val="22"/>
        </w:rPr>
        <w:t xml:space="preserve"> sociálního příspěvku poskytovaného státem. O tento suplementární grant je možné žádat během celého roku. Pro držitele a držitelky grantu, jejichž plat je hrazen hostitelskou institucí, se jedná o příplatek ve výši 3 146 EUR měsíčně až po dobu sedmi měsíců, který může pokrýt zaměstnání pomocného personálu, jenž zajistí administrativní činnosti po dobu absence. Pro zaměstnance SFI se vyplacená částka rovná rozdílu mezi sociálním příspěvkem a výší platu uvedeného ve smlouvě. Pro zaměstnance bez nároku na sociální příspěvek SFI poskytuje financování ve výši zákonem oprávněného sociálního příspěvku.</w:t>
      </w:r>
    </w:p>
    <w:p w14:paraId="1DFD6F1B" w14:textId="77777777" w:rsidR="00BB7AB2" w:rsidRPr="00BB7AB2" w:rsidRDefault="00BB7AB2" w:rsidP="00BB7AB2">
      <w:pPr>
        <w:spacing w:before="240" w:after="120"/>
        <w:jc w:val="both"/>
        <w:rPr>
          <w:rFonts w:ascii="Arial" w:eastAsia="Calibri" w:hAnsi="Arial" w:cs="Arial"/>
          <w:b/>
          <w:sz w:val="22"/>
          <w:szCs w:val="22"/>
        </w:rPr>
      </w:pPr>
      <w:r w:rsidRPr="00BB7AB2">
        <w:rPr>
          <w:rFonts w:ascii="Arial" w:eastAsia="Calibri" w:hAnsi="Arial" w:cs="Arial"/>
          <w:sz w:val="22"/>
          <w:szCs w:val="22"/>
        </w:rPr>
        <w:t>Post-graduální výzkumní studenti a studentky jsou také způsobilí žádat o tento grant. Suplementární grant, který je nad rámec rodičovské hrazené státem, je financován z</w:t>
      </w:r>
      <w:r w:rsidR="008E1EB6">
        <w:rPr>
          <w:rFonts w:ascii="Arial" w:eastAsia="Calibri" w:hAnsi="Arial" w:cs="Arial"/>
          <w:sz w:val="22"/>
          <w:szCs w:val="22"/>
        </w:rPr>
        <w:t> </w:t>
      </w:r>
      <w:r w:rsidRPr="00BB7AB2">
        <w:rPr>
          <w:rFonts w:ascii="Arial" w:eastAsia="Calibri" w:hAnsi="Arial" w:cs="Arial"/>
          <w:sz w:val="22"/>
          <w:szCs w:val="22"/>
        </w:rPr>
        <w:t>grantového rozpočtu SFI, tedy z rozpočtu Ministerstva pro vysoké školství, vědu, výzkum a</w:t>
      </w:r>
      <w:r w:rsidR="008E1EB6">
        <w:rPr>
          <w:rFonts w:ascii="Arial" w:eastAsia="Calibri" w:hAnsi="Arial" w:cs="Arial"/>
          <w:sz w:val="22"/>
          <w:szCs w:val="22"/>
        </w:rPr>
        <w:t> </w:t>
      </w:r>
      <w:r w:rsidRPr="00BB7AB2">
        <w:rPr>
          <w:rFonts w:ascii="Arial" w:eastAsia="Calibri" w:hAnsi="Arial" w:cs="Arial"/>
          <w:sz w:val="22"/>
          <w:szCs w:val="22"/>
        </w:rPr>
        <w:t>inovace.</w:t>
      </w:r>
      <w:r w:rsidRPr="00BB7AB2">
        <w:rPr>
          <w:rFonts w:ascii="Arial" w:eastAsia="Calibri" w:hAnsi="Arial" w:cs="Arial"/>
          <w:sz w:val="22"/>
          <w:szCs w:val="22"/>
          <w:vertAlign w:val="superscript"/>
        </w:rPr>
        <w:footnoteReference w:id="24"/>
      </w:r>
    </w:p>
    <w:p w14:paraId="1E9C2219" w14:textId="77777777" w:rsidR="00BB7AB2" w:rsidRPr="00BB7AB2" w:rsidRDefault="00BB7AB2" w:rsidP="00BB7AB2">
      <w:pPr>
        <w:spacing w:before="240" w:after="240"/>
        <w:jc w:val="both"/>
        <w:rPr>
          <w:rFonts w:ascii="Arial" w:eastAsia="Calibri" w:hAnsi="Arial" w:cs="Arial"/>
          <w:sz w:val="22"/>
          <w:szCs w:val="22"/>
        </w:rPr>
      </w:pPr>
      <w:proofErr w:type="spellStart"/>
      <w:r w:rsidRPr="00BB7AB2">
        <w:rPr>
          <w:rFonts w:ascii="Arial" w:eastAsia="Calibri" w:hAnsi="Arial" w:cs="Arial"/>
          <w:b/>
          <w:sz w:val="22"/>
          <w:szCs w:val="22"/>
        </w:rPr>
        <w:lastRenderedPageBreak/>
        <w:t>Deutsche</w:t>
      </w:r>
      <w:proofErr w:type="spellEnd"/>
      <w:r w:rsidRPr="00BB7AB2">
        <w:rPr>
          <w:rFonts w:ascii="Arial" w:eastAsia="Calibri" w:hAnsi="Arial" w:cs="Arial"/>
          <w:b/>
          <w:sz w:val="22"/>
          <w:szCs w:val="22"/>
        </w:rPr>
        <w:t xml:space="preserve"> </w:t>
      </w:r>
      <w:proofErr w:type="spellStart"/>
      <w:r w:rsidRPr="00BB7AB2">
        <w:rPr>
          <w:rFonts w:ascii="Arial" w:eastAsia="Calibri" w:hAnsi="Arial" w:cs="Arial"/>
          <w:b/>
          <w:sz w:val="22"/>
          <w:szCs w:val="22"/>
        </w:rPr>
        <w:t>Forschungsgemeinschaft</w:t>
      </w:r>
      <w:proofErr w:type="spellEnd"/>
      <w:r w:rsidRPr="00BB7AB2">
        <w:rPr>
          <w:rFonts w:ascii="Arial" w:eastAsia="Calibri" w:hAnsi="Arial" w:cs="Arial"/>
          <w:b/>
          <w:sz w:val="22"/>
          <w:szCs w:val="22"/>
        </w:rPr>
        <w:t xml:space="preserve"> – DFG </w:t>
      </w:r>
      <w:r w:rsidRPr="00BB7AB2">
        <w:rPr>
          <w:rFonts w:ascii="Arial" w:eastAsia="Calibri" w:hAnsi="Arial" w:cs="Arial"/>
          <w:sz w:val="22"/>
          <w:szCs w:val="22"/>
        </w:rPr>
        <w:t>nemá suplementární granty, ale v rámci všech grantů počítá s možností dodatečného zažádání o proplácení výdajů spojených s</w:t>
      </w:r>
      <w:r w:rsidR="008E1EB6">
        <w:rPr>
          <w:rFonts w:ascii="Arial" w:eastAsia="Calibri" w:hAnsi="Arial" w:cs="Arial"/>
          <w:sz w:val="22"/>
          <w:szCs w:val="22"/>
        </w:rPr>
        <w:t> </w:t>
      </w:r>
      <w:r w:rsidRPr="00BB7AB2">
        <w:rPr>
          <w:rFonts w:ascii="Arial" w:eastAsia="Calibri" w:hAnsi="Arial" w:cs="Arial"/>
          <w:sz w:val="22"/>
          <w:szCs w:val="22"/>
        </w:rPr>
        <w:t>rodičovstvím.</w:t>
      </w:r>
      <w:r w:rsidRPr="00BB7AB2">
        <w:rPr>
          <w:rFonts w:ascii="Arial" w:eastAsia="Calibri" w:hAnsi="Arial" w:cs="Arial"/>
          <w:sz w:val="22"/>
          <w:szCs w:val="22"/>
          <w:vertAlign w:val="superscript"/>
        </w:rPr>
        <w:footnoteReference w:id="25"/>
      </w:r>
      <w:r w:rsidRPr="00BB7AB2">
        <w:rPr>
          <w:rFonts w:ascii="Arial" w:eastAsia="Calibri" w:hAnsi="Arial" w:cs="Arial"/>
          <w:sz w:val="22"/>
          <w:szCs w:val="22"/>
        </w:rPr>
        <w:t xml:space="preserve"> Poskytovatel nabízí řadu řešení pro usnadnění slaďování rodinného a</w:t>
      </w:r>
      <w:r w:rsidR="008E1EB6">
        <w:rPr>
          <w:rFonts w:ascii="Arial" w:eastAsia="Calibri" w:hAnsi="Arial" w:cs="Arial"/>
          <w:sz w:val="22"/>
          <w:szCs w:val="22"/>
        </w:rPr>
        <w:t> </w:t>
      </w:r>
      <w:r w:rsidRPr="00BB7AB2">
        <w:rPr>
          <w:rFonts w:ascii="Arial" w:eastAsia="Calibri" w:hAnsi="Arial" w:cs="Arial"/>
          <w:sz w:val="22"/>
          <w:szCs w:val="22"/>
        </w:rPr>
        <w:t>profesního života řešitelek a řešitelů, ze kterých si rodič může vybrat či je kombinovat. Preferuje ovšem spíš než proplácení služeb péče dodatečné najmutí další osoby na výpomoc s výzkumem.</w:t>
      </w:r>
    </w:p>
    <w:p w14:paraId="66D4D0E7" w14:textId="77777777" w:rsidR="00BB7AB2" w:rsidRPr="00BB7AB2" w:rsidRDefault="00BB7AB2" w:rsidP="00BB7AB2">
      <w:pPr>
        <w:spacing w:before="240" w:after="120"/>
        <w:jc w:val="both"/>
        <w:rPr>
          <w:rFonts w:ascii="Arial" w:eastAsia="Calibri" w:hAnsi="Arial" w:cs="Arial"/>
          <w:sz w:val="22"/>
          <w:szCs w:val="22"/>
        </w:rPr>
      </w:pPr>
      <w:r w:rsidRPr="00BB7AB2">
        <w:rPr>
          <w:rFonts w:ascii="Arial" w:eastAsia="Calibri" w:hAnsi="Arial" w:cs="Arial"/>
          <w:sz w:val="22"/>
          <w:szCs w:val="22"/>
        </w:rPr>
        <w:t>DFG proplácí účelově péči, jen pokud ji nemůže poskytnout hostující instituce či pokud se rodina nachází v území, kde je nedostatek míst ve školce</w:t>
      </w:r>
      <w:r w:rsidRPr="00BB7AB2">
        <w:rPr>
          <w:rFonts w:ascii="Arial" w:eastAsia="Calibri" w:hAnsi="Arial" w:cs="Arial"/>
          <w:sz w:val="22"/>
          <w:szCs w:val="22"/>
          <w:vertAlign w:val="superscript"/>
        </w:rPr>
        <w:footnoteReference w:id="26"/>
      </w:r>
      <w:r w:rsidRPr="00BB7AB2">
        <w:rPr>
          <w:rFonts w:ascii="Arial" w:eastAsia="Calibri" w:hAnsi="Arial" w:cs="Arial"/>
          <w:sz w:val="22"/>
          <w:szCs w:val="22"/>
        </w:rPr>
        <w:t>. Řešení proplácení péče není ukotveno v německé legislativě</w:t>
      </w:r>
      <w:r w:rsidRPr="00BB7AB2">
        <w:rPr>
          <w:rFonts w:ascii="Arial" w:eastAsia="Calibri" w:hAnsi="Arial" w:cs="Arial"/>
          <w:sz w:val="22"/>
          <w:szCs w:val="22"/>
          <w:vertAlign w:val="superscript"/>
        </w:rPr>
        <w:footnoteReference w:id="27"/>
      </w:r>
      <w:r w:rsidRPr="00BB7AB2">
        <w:rPr>
          <w:rFonts w:ascii="Arial" w:eastAsia="Calibri" w:hAnsi="Arial" w:cs="Arial"/>
          <w:sz w:val="22"/>
          <w:szCs w:val="22"/>
        </w:rPr>
        <w:t xml:space="preserve"> ale ve statutu DFG z roku 2002</w:t>
      </w:r>
      <w:r w:rsidRPr="00BB7AB2">
        <w:rPr>
          <w:rFonts w:ascii="Arial" w:eastAsia="Calibri" w:hAnsi="Arial" w:cs="Arial"/>
          <w:sz w:val="22"/>
          <w:szCs w:val="22"/>
          <w:vertAlign w:val="superscript"/>
        </w:rPr>
        <w:footnoteReference w:id="28"/>
      </w:r>
      <w:r w:rsidRPr="00BB7AB2">
        <w:rPr>
          <w:rFonts w:ascii="Arial" w:eastAsia="Calibri" w:hAnsi="Arial" w:cs="Arial"/>
          <w:sz w:val="22"/>
          <w:szCs w:val="22"/>
        </w:rPr>
        <w:t xml:space="preserve">. </w:t>
      </w:r>
    </w:p>
    <w:p w14:paraId="0D5F1420" w14:textId="77777777" w:rsidR="00BB7AB2" w:rsidRPr="00BB7AB2" w:rsidRDefault="00BB7AB2" w:rsidP="00BB7AB2">
      <w:pPr>
        <w:spacing w:before="240" w:after="240"/>
        <w:jc w:val="both"/>
        <w:rPr>
          <w:rFonts w:ascii="Arial" w:eastAsia="Calibri" w:hAnsi="Arial" w:cs="Arial"/>
          <w:sz w:val="22"/>
          <w:szCs w:val="22"/>
        </w:rPr>
      </w:pPr>
      <w:r w:rsidRPr="00BB7AB2">
        <w:rPr>
          <w:rFonts w:ascii="Arial" w:eastAsia="Calibri" w:hAnsi="Arial" w:cs="Arial"/>
          <w:b/>
          <w:sz w:val="22"/>
          <w:szCs w:val="22"/>
        </w:rPr>
        <w:t xml:space="preserve">EMBO - </w:t>
      </w:r>
      <w:proofErr w:type="spellStart"/>
      <w:r w:rsidRPr="00BB7AB2">
        <w:rPr>
          <w:rFonts w:ascii="Arial" w:eastAsia="Calibri" w:hAnsi="Arial" w:cs="Arial"/>
          <w:b/>
          <w:sz w:val="22"/>
          <w:szCs w:val="22"/>
        </w:rPr>
        <w:t>The</w:t>
      </w:r>
      <w:proofErr w:type="spellEnd"/>
      <w:r w:rsidRPr="00BB7AB2">
        <w:rPr>
          <w:rFonts w:ascii="Arial" w:eastAsia="Calibri" w:hAnsi="Arial" w:cs="Arial"/>
          <w:b/>
          <w:sz w:val="22"/>
          <w:szCs w:val="22"/>
        </w:rPr>
        <w:t xml:space="preserve"> </w:t>
      </w:r>
      <w:proofErr w:type="spellStart"/>
      <w:r w:rsidRPr="00BB7AB2">
        <w:rPr>
          <w:rFonts w:ascii="Arial" w:eastAsia="Calibri" w:hAnsi="Arial" w:cs="Arial"/>
          <w:b/>
          <w:sz w:val="22"/>
          <w:szCs w:val="22"/>
        </w:rPr>
        <w:t>European</w:t>
      </w:r>
      <w:proofErr w:type="spellEnd"/>
      <w:r w:rsidRPr="00BB7AB2">
        <w:rPr>
          <w:rFonts w:ascii="Arial" w:eastAsia="Calibri" w:hAnsi="Arial" w:cs="Arial"/>
          <w:b/>
          <w:sz w:val="22"/>
          <w:szCs w:val="22"/>
        </w:rPr>
        <w:t xml:space="preserve"> </w:t>
      </w:r>
      <w:proofErr w:type="spellStart"/>
      <w:r w:rsidRPr="00BB7AB2">
        <w:rPr>
          <w:rFonts w:ascii="Arial" w:eastAsia="Calibri" w:hAnsi="Arial" w:cs="Arial"/>
          <w:b/>
          <w:sz w:val="22"/>
          <w:szCs w:val="22"/>
        </w:rPr>
        <w:t>Molecular</w:t>
      </w:r>
      <w:proofErr w:type="spellEnd"/>
      <w:r w:rsidRPr="00BB7AB2">
        <w:rPr>
          <w:rFonts w:ascii="Arial" w:eastAsia="Calibri" w:hAnsi="Arial" w:cs="Arial"/>
          <w:b/>
          <w:sz w:val="22"/>
          <w:szCs w:val="22"/>
        </w:rPr>
        <w:t xml:space="preserve"> Biology </w:t>
      </w:r>
      <w:proofErr w:type="spellStart"/>
      <w:r w:rsidRPr="00BB7AB2">
        <w:rPr>
          <w:rFonts w:ascii="Arial" w:eastAsia="Calibri" w:hAnsi="Arial" w:cs="Arial"/>
          <w:b/>
          <w:sz w:val="22"/>
          <w:szCs w:val="22"/>
        </w:rPr>
        <w:t>Organization</w:t>
      </w:r>
      <w:proofErr w:type="spellEnd"/>
      <w:r w:rsidRPr="00BB7AB2">
        <w:rPr>
          <w:rFonts w:ascii="Arial" w:eastAsia="Calibri" w:hAnsi="Arial" w:cs="Arial"/>
          <w:b/>
          <w:sz w:val="22"/>
          <w:szCs w:val="22"/>
        </w:rPr>
        <w:t xml:space="preserve"> </w:t>
      </w:r>
      <w:r w:rsidRPr="00BB7AB2">
        <w:rPr>
          <w:rFonts w:ascii="Arial" w:eastAsia="Calibri" w:hAnsi="Arial" w:cs="Arial"/>
          <w:sz w:val="22"/>
          <w:szCs w:val="22"/>
        </w:rPr>
        <w:t xml:space="preserve">nabízí </w:t>
      </w:r>
      <w:proofErr w:type="spellStart"/>
      <w:r w:rsidRPr="00BB7AB2">
        <w:rPr>
          <w:rFonts w:ascii="Arial" w:eastAsia="Calibri" w:hAnsi="Arial" w:cs="Arial"/>
          <w:sz w:val="22"/>
          <w:szCs w:val="22"/>
        </w:rPr>
        <w:t>postdoktorandům</w:t>
      </w:r>
      <w:proofErr w:type="spellEnd"/>
      <w:r w:rsidRPr="00BB7AB2">
        <w:rPr>
          <w:rFonts w:ascii="Arial" w:eastAsia="Calibri" w:hAnsi="Arial" w:cs="Arial"/>
          <w:sz w:val="22"/>
          <w:szCs w:val="22"/>
        </w:rPr>
        <w:t xml:space="preserve"> v</w:t>
      </w:r>
      <w:r w:rsidR="008E1EB6">
        <w:rPr>
          <w:rFonts w:ascii="Arial" w:eastAsia="Calibri" w:hAnsi="Arial" w:cs="Arial"/>
          <w:sz w:val="22"/>
          <w:szCs w:val="22"/>
        </w:rPr>
        <w:t> </w:t>
      </w:r>
      <w:r w:rsidRPr="00BB7AB2">
        <w:rPr>
          <w:rFonts w:ascii="Arial" w:eastAsia="Calibri" w:hAnsi="Arial" w:cs="Arial"/>
          <w:sz w:val="22"/>
          <w:szCs w:val="22"/>
        </w:rPr>
        <w:t>programu zahraniční mobility řadu benefitů, které se vztahují ke slaďování rodinného a</w:t>
      </w:r>
      <w:r w:rsidR="008E1EB6">
        <w:rPr>
          <w:rFonts w:ascii="Arial" w:eastAsia="Calibri" w:hAnsi="Arial" w:cs="Arial"/>
          <w:sz w:val="22"/>
          <w:szCs w:val="22"/>
        </w:rPr>
        <w:t> </w:t>
      </w:r>
      <w:r w:rsidRPr="00BB7AB2">
        <w:rPr>
          <w:rFonts w:ascii="Arial" w:eastAsia="Calibri" w:hAnsi="Arial" w:cs="Arial"/>
          <w:sz w:val="22"/>
          <w:szCs w:val="22"/>
        </w:rPr>
        <w:t>profesního života.</w:t>
      </w:r>
      <w:r w:rsidRPr="00BB7AB2">
        <w:rPr>
          <w:rFonts w:ascii="Arial" w:eastAsia="Calibri" w:hAnsi="Arial" w:cs="Arial"/>
          <w:sz w:val="22"/>
          <w:szCs w:val="22"/>
          <w:vertAlign w:val="superscript"/>
        </w:rPr>
        <w:footnoteReference w:id="29"/>
      </w:r>
      <w:r w:rsidRPr="00BB7AB2">
        <w:rPr>
          <w:rFonts w:ascii="Arial" w:eastAsia="Calibri" w:hAnsi="Arial" w:cs="Arial"/>
          <w:sz w:val="22"/>
          <w:szCs w:val="22"/>
        </w:rPr>
        <w:t xml:space="preserve"> Mimo jiné také proplácí jednorázové výdaje na péči o dítě během konferencí.</w:t>
      </w:r>
      <w:r w:rsidRPr="00BB7AB2">
        <w:rPr>
          <w:rFonts w:ascii="Arial" w:eastAsia="Calibri" w:hAnsi="Arial" w:cs="Arial"/>
          <w:sz w:val="22"/>
          <w:szCs w:val="22"/>
          <w:vertAlign w:val="superscript"/>
        </w:rPr>
        <w:footnoteReference w:id="30"/>
      </w:r>
      <w:r w:rsidRPr="00BB7AB2">
        <w:rPr>
          <w:rFonts w:ascii="Arial" w:eastAsia="Calibri" w:hAnsi="Arial" w:cs="Arial"/>
          <w:sz w:val="22"/>
          <w:szCs w:val="22"/>
        </w:rPr>
        <w:t xml:space="preserve"> O tento příspěvek se žádá v rámci běžné přihlášky na akci. Ostatní opatření přijatá se zaměřují např. na příspěvek na relokaci rodiny do a z hostující instituce a dále obecně na poskytnutí rodičovské, neplaceného volna, příspěvků na dítě, atp.</w:t>
      </w:r>
    </w:p>
    <w:p w14:paraId="1393B9D0" w14:textId="77777777" w:rsidR="00BB7AB2" w:rsidRPr="00BB7AB2" w:rsidRDefault="00BB7AB2" w:rsidP="00BB7AB2">
      <w:pPr>
        <w:spacing w:before="240" w:after="240"/>
        <w:jc w:val="both"/>
        <w:rPr>
          <w:rFonts w:ascii="Arial" w:eastAsia="Calibri" w:hAnsi="Arial" w:cs="Arial"/>
          <w:sz w:val="22"/>
          <w:szCs w:val="22"/>
        </w:rPr>
      </w:pPr>
    </w:p>
    <w:p w14:paraId="254C1E28" w14:textId="77777777" w:rsidR="00BB7AB2" w:rsidRPr="00BB7AB2" w:rsidRDefault="00BB7AB2" w:rsidP="00BB7AB2">
      <w:pPr>
        <w:rPr>
          <w:rFonts w:ascii="Arial" w:eastAsia="Calibri" w:hAnsi="Arial" w:cs="Arial"/>
          <w:sz w:val="22"/>
          <w:szCs w:val="22"/>
        </w:rPr>
      </w:pPr>
    </w:p>
    <w:p w14:paraId="742DA3D8" w14:textId="77777777" w:rsidR="00BB7AB2" w:rsidRPr="00BB7AB2" w:rsidRDefault="00BB7AB2" w:rsidP="00BB7AB2">
      <w:pPr>
        <w:rPr>
          <w:rFonts w:ascii="Arial" w:eastAsia="Calibri" w:hAnsi="Arial" w:cs="Arial"/>
          <w:sz w:val="22"/>
          <w:szCs w:val="22"/>
        </w:rPr>
      </w:pPr>
    </w:p>
    <w:p w14:paraId="15F381F8" w14:textId="77777777" w:rsidR="00BB7AB2" w:rsidRPr="00BB7AB2" w:rsidRDefault="00BB7AB2" w:rsidP="00BB7AB2">
      <w:pPr>
        <w:rPr>
          <w:rFonts w:ascii="Arial" w:eastAsia="Calibri" w:hAnsi="Arial" w:cs="Arial"/>
          <w:sz w:val="22"/>
          <w:szCs w:val="22"/>
        </w:rPr>
      </w:pPr>
    </w:p>
    <w:p w14:paraId="39CDBB2B" w14:textId="77777777" w:rsidR="00BB7AB2" w:rsidRPr="00BB7AB2" w:rsidRDefault="00BB7AB2" w:rsidP="00BB7AB2">
      <w:pPr>
        <w:rPr>
          <w:rFonts w:ascii="Arial" w:eastAsia="Calibri" w:hAnsi="Arial" w:cs="Arial"/>
          <w:sz w:val="22"/>
          <w:szCs w:val="22"/>
        </w:rPr>
      </w:pPr>
    </w:p>
    <w:p w14:paraId="249243AE" w14:textId="77777777" w:rsidR="00BB7AB2" w:rsidRPr="00BB7AB2" w:rsidRDefault="00BB7AB2" w:rsidP="00BB7AB2">
      <w:pPr>
        <w:rPr>
          <w:rFonts w:ascii="Arial" w:eastAsia="Calibri" w:hAnsi="Arial" w:cs="Arial"/>
          <w:sz w:val="22"/>
          <w:szCs w:val="22"/>
        </w:rPr>
      </w:pPr>
    </w:p>
    <w:p w14:paraId="1A3B22A2" w14:textId="77777777" w:rsidR="00BB7AB2" w:rsidRPr="00BB7AB2" w:rsidRDefault="00BB7AB2" w:rsidP="00BB7AB2">
      <w:pPr>
        <w:rPr>
          <w:rFonts w:ascii="Arial" w:eastAsia="Calibri" w:hAnsi="Arial" w:cs="Arial"/>
          <w:sz w:val="22"/>
          <w:szCs w:val="22"/>
        </w:rPr>
      </w:pPr>
    </w:p>
    <w:p w14:paraId="69AC7212" w14:textId="77777777" w:rsidR="00BB7AB2" w:rsidRPr="00BB7AB2" w:rsidRDefault="00BB7AB2" w:rsidP="00BB7AB2">
      <w:pPr>
        <w:rPr>
          <w:rFonts w:ascii="Arial" w:eastAsia="Calibri" w:hAnsi="Arial" w:cs="Arial"/>
          <w:sz w:val="22"/>
          <w:szCs w:val="22"/>
        </w:rPr>
      </w:pPr>
    </w:p>
    <w:p w14:paraId="17A118D9" w14:textId="77777777" w:rsidR="00BB7AB2" w:rsidRPr="00BB7AB2" w:rsidRDefault="00BB7AB2" w:rsidP="00BB7AB2">
      <w:pPr>
        <w:rPr>
          <w:rFonts w:ascii="Arial" w:eastAsia="Calibri" w:hAnsi="Arial" w:cs="Arial"/>
          <w:sz w:val="22"/>
          <w:szCs w:val="22"/>
        </w:rPr>
      </w:pPr>
    </w:p>
    <w:p w14:paraId="1A42FD6C" w14:textId="77777777" w:rsidR="00BB7AB2" w:rsidRPr="00BB7AB2" w:rsidRDefault="00BB7AB2" w:rsidP="00BB7AB2">
      <w:pPr>
        <w:rPr>
          <w:rFonts w:ascii="Arial" w:eastAsia="Calibri" w:hAnsi="Arial" w:cs="Arial"/>
          <w:sz w:val="22"/>
          <w:szCs w:val="22"/>
        </w:rPr>
      </w:pPr>
    </w:p>
    <w:p w14:paraId="1700E1BE" w14:textId="77777777" w:rsidR="00BB7AB2" w:rsidRPr="00BB7AB2" w:rsidRDefault="00BB7AB2" w:rsidP="00BB7AB2">
      <w:pPr>
        <w:rPr>
          <w:rFonts w:ascii="Arial" w:eastAsia="Calibri" w:hAnsi="Arial" w:cs="Arial"/>
          <w:sz w:val="22"/>
          <w:szCs w:val="22"/>
        </w:rPr>
      </w:pPr>
    </w:p>
    <w:p w14:paraId="17E0F0C5" w14:textId="77777777" w:rsidR="00BB7AB2" w:rsidRPr="00BB7AB2" w:rsidRDefault="00BB7AB2" w:rsidP="00BB7AB2">
      <w:pPr>
        <w:rPr>
          <w:rFonts w:ascii="Arial" w:eastAsia="Calibri" w:hAnsi="Arial" w:cs="Arial"/>
          <w:sz w:val="22"/>
          <w:szCs w:val="22"/>
        </w:rPr>
      </w:pPr>
    </w:p>
    <w:p w14:paraId="2B8178A1" w14:textId="77777777" w:rsidR="00BB7AB2" w:rsidRPr="00BB7AB2" w:rsidRDefault="00BB7AB2" w:rsidP="00BB7AB2">
      <w:pPr>
        <w:rPr>
          <w:rFonts w:ascii="Arial" w:eastAsia="Calibri" w:hAnsi="Arial" w:cs="Arial"/>
          <w:sz w:val="22"/>
          <w:szCs w:val="22"/>
        </w:rPr>
      </w:pPr>
    </w:p>
    <w:p w14:paraId="20FD81C5" w14:textId="77777777" w:rsidR="00BB7AB2" w:rsidRPr="00BB7AB2" w:rsidRDefault="00BB7AB2" w:rsidP="00BB7AB2">
      <w:pPr>
        <w:rPr>
          <w:rFonts w:ascii="Arial" w:eastAsia="Calibri" w:hAnsi="Arial" w:cs="Arial"/>
          <w:sz w:val="22"/>
          <w:szCs w:val="22"/>
        </w:rPr>
      </w:pPr>
    </w:p>
    <w:p w14:paraId="38682EC5" w14:textId="77777777" w:rsidR="00BB7AB2" w:rsidRPr="00BB7AB2" w:rsidRDefault="00BB7AB2" w:rsidP="00BB7AB2">
      <w:pPr>
        <w:rPr>
          <w:rFonts w:ascii="Arial" w:eastAsia="Calibri" w:hAnsi="Arial" w:cs="Arial"/>
          <w:sz w:val="22"/>
          <w:szCs w:val="22"/>
        </w:rPr>
      </w:pPr>
    </w:p>
    <w:p w14:paraId="0FD70AFE" w14:textId="77777777" w:rsidR="00BB7AB2" w:rsidRPr="00BB7AB2" w:rsidRDefault="00BB7AB2" w:rsidP="00BB7AB2">
      <w:pPr>
        <w:rPr>
          <w:rFonts w:ascii="Arial" w:eastAsia="Calibri" w:hAnsi="Arial" w:cs="Arial"/>
          <w:sz w:val="22"/>
          <w:szCs w:val="22"/>
        </w:rPr>
      </w:pPr>
    </w:p>
    <w:p w14:paraId="47CD7A6E" w14:textId="77777777" w:rsidR="00BB7AB2" w:rsidRPr="00BB7AB2" w:rsidRDefault="00BB7AB2" w:rsidP="00BB7AB2">
      <w:pPr>
        <w:pStyle w:val="Default"/>
        <w:spacing w:line="360" w:lineRule="auto"/>
        <w:rPr>
          <w:rFonts w:ascii="Arial" w:hAnsi="Arial" w:cs="Arial"/>
          <w:sz w:val="22"/>
          <w:szCs w:val="22"/>
        </w:rPr>
      </w:pPr>
    </w:p>
    <w:p w14:paraId="30DEA4BB" w14:textId="77777777" w:rsidR="00C42C24" w:rsidRPr="00BB7AB2" w:rsidRDefault="00C42C24" w:rsidP="00F038F1">
      <w:pPr>
        <w:tabs>
          <w:tab w:val="left" w:pos="6195"/>
        </w:tabs>
        <w:rPr>
          <w:rFonts w:ascii="Arial" w:hAnsi="Arial" w:cs="Arial"/>
          <w:sz w:val="22"/>
          <w:szCs w:val="22"/>
          <w:lang w:eastAsia="en-US"/>
        </w:rPr>
      </w:pPr>
    </w:p>
    <w:sectPr w:rsidR="00C42C24" w:rsidRPr="00BB7AB2" w:rsidSect="009758E5">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5E42E4" w14:textId="77777777" w:rsidR="00961FB4" w:rsidRDefault="00961FB4" w:rsidP="008F77F6">
      <w:r>
        <w:separator/>
      </w:r>
    </w:p>
  </w:endnote>
  <w:endnote w:type="continuationSeparator" w:id="0">
    <w:p w14:paraId="67419DD0" w14:textId="77777777" w:rsidR="00961FB4" w:rsidRDefault="00961FB4"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Futura CE">
    <w:altName w:val="Arial"/>
    <w:panose1 w:val="00000000000000000000"/>
    <w:charset w:val="EE"/>
    <w:family w:val="swiss"/>
    <w:notTrueType/>
    <w:pitch w:val="default"/>
    <w:sig w:usb0="00000001"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B1D208" w14:textId="77777777" w:rsidR="00B90854" w:rsidRDefault="00B9085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2FD84" w14:textId="1C148F50" w:rsidR="00B120CD" w:rsidRPr="00CC370F" w:rsidRDefault="002F4DD6" w:rsidP="00E7704B">
    <w:pPr>
      <w:pStyle w:val="Zpat"/>
      <w:jc w:val="both"/>
      <w:rPr>
        <w:rFonts w:ascii="Arial" w:hAnsi="Arial" w:cs="Arial"/>
        <w:sz w:val="18"/>
        <w:szCs w:val="18"/>
      </w:rPr>
    </w:pPr>
    <w:r>
      <w:rPr>
        <w:rFonts w:ascii="Arial" w:hAnsi="Arial" w:cs="Arial"/>
        <w:sz w:val="18"/>
        <w:szCs w:val="18"/>
      </w:rPr>
      <w:t>Proplácení služeb péče</w:t>
    </w:r>
    <w:r w:rsidR="00B120CD">
      <w:rPr>
        <w:rFonts w:ascii="Arial" w:hAnsi="Arial" w:cs="Arial"/>
        <w:sz w:val="18"/>
        <w:szCs w:val="18"/>
      </w:rPr>
      <w:tab/>
    </w:r>
    <w:sdt>
      <w:sdtPr>
        <w:rPr>
          <w:rFonts w:ascii="Arial" w:hAnsi="Arial" w:cs="Arial"/>
          <w:sz w:val="18"/>
          <w:szCs w:val="18"/>
        </w:rPr>
        <w:id w:val="1547331835"/>
        <w:docPartObj>
          <w:docPartGallery w:val="Page Numbers (Bottom of Page)"/>
          <w:docPartUnique/>
        </w:docPartObj>
      </w:sdtPr>
      <w:sdtEndPr/>
      <w:sdtContent>
        <w:r w:rsidR="00B120CD" w:rsidRPr="00CC370F">
          <w:rPr>
            <w:rFonts w:ascii="Arial" w:hAnsi="Arial" w:cs="Arial"/>
            <w:sz w:val="18"/>
            <w:szCs w:val="18"/>
          </w:rPr>
          <w:fldChar w:fldCharType="begin"/>
        </w:r>
        <w:r w:rsidR="00B120CD" w:rsidRPr="00CC370F">
          <w:rPr>
            <w:rFonts w:ascii="Arial" w:hAnsi="Arial" w:cs="Arial"/>
            <w:sz w:val="18"/>
            <w:szCs w:val="18"/>
          </w:rPr>
          <w:instrText>PAGE   \* MERGEFORMAT</w:instrText>
        </w:r>
        <w:r w:rsidR="00B120CD" w:rsidRPr="00CC370F">
          <w:rPr>
            <w:rFonts w:ascii="Arial" w:hAnsi="Arial" w:cs="Arial"/>
            <w:sz w:val="18"/>
            <w:szCs w:val="18"/>
          </w:rPr>
          <w:fldChar w:fldCharType="separate"/>
        </w:r>
        <w:r w:rsidR="00B90854">
          <w:rPr>
            <w:rFonts w:ascii="Arial" w:hAnsi="Arial" w:cs="Arial"/>
            <w:noProof/>
            <w:sz w:val="18"/>
            <w:szCs w:val="18"/>
          </w:rPr>
          <w:t>6</w:t>
        </w:r>
        <w:r w:rsidR="00B120CD" w:rsidRPr="00CC370F">
          <w:rPr>
            <w:rFonts w:ascii="Arial" w:hAnsi="Arial" w:cs="Arial"/>
            <w:sz w:val="18"/>
            <w:szCs w:val="18"/>
          </w:rPr>
          <w:fldChar w:fldCharType="end"/>
        </w:r>
        <w:r w:rsidR="00B120CD" w:rsidRPr="00CC370F">
          <w:rPr>
            <w:rFonts w:ascii="Arial" w:hAnsi="Arial" w:cs="Arial"/>
            <w:sz w:val="18"/>
            <w:szCs w:val="18"/>
          </w:rPr>
          <w:t xml:space="preserve"> / </w:t>
        </w:r>
        <w:r w:rsidR="00B120CD" w:rsidRPr="00CC370F">
          <w:rPr>
            <w:rFonts w:ascii="Arial" w:hAnsi="Arial" w:cs="Arial"/>
            <w:sz w:val="18"/>
            <w:szCs w:val="18"/>
          </w:rPr>
          <w:fldChar w:fldCharType="begin"/>
        </w:r>
        <w:r w:rsidR="00B120CD" w:rsidRPr="00CC370F">
          <w:rPr>
            <w:rFonts w:ascii="Arial" w:hAnsi="Arial" w:cs="Arial"/>
            <w:sz w:val="18"/>
            <w:szCs w:val="18"/>
          </w:rPr>
          <w:instrText xml:space="preserve"> NUMPAGES   \* MERGEFORMAT </w:instrText>
        </w:r>
        <w:r w:rsidR="00B120CD" w:rsidRPr="00CC370F">
          <w:rPr>
            <w:rFonts w:ascii="Arial" w:hAnsi="Arial" w:cs="Arial"/>
            <w:sz w:val="18"/>
            <w:szCs w:val="18"/>
          </w:rPr>
          <w:fldChar w:fldCharType="separate"/>
        </w:r>
        <w:r w:rsidR="00B90854">
          <w:rPr>
            <w:rFonts w:ascii="Arial" w:hAnsi="Arial" w:cs="Arial"/>
            <w:noProof/>
            <w:sz w:val="18"/>
            <w:szCs w:val="18"/>
          </w:rPr>
          <w:t>6</w:t>
        </w:r>
        <w:r w:rsidR="00B120CD" w:rsidRPr="00CC370F">
          <w:rPr>
            <w:rFonts w:ascii="Arial" w:hAnsi="Arial" w:cs="Arial"/>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2027467776"/>
      <w:docPartObj>
        <w:docPartGallery w:val="Page Numbers (Bottom of Page)"/>
        <w:docPartUnique/>
      </w:docPartObj>
    </w:sdtPr>
    <w:sdtEndPr/>
    <w:sdtContent>
      <w:p w14:paraId="6AEAC906" w14:textId="498F951D" w:rsidR="00B120CD" w:rsidRDefault="00B120CD">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B90854">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B90854">
          <w:rPr>
            <w:rFonts w:ascii="Arial" w:hAnsi="Arial" w:cs="Arial"/>
            <w:noProof/>
            <w:sz w:val="18"/>
            <w:szCs w:val="18"/>
          </w:rPr>
          <w:t>6</w:t>
        </w:r>
        <w:r w:rsidRPr="00CC370F">
          <w:rPr>
            <w:rFonts w:ascii="Arial" w:hAnsi="Arial" w:cs="Arial"/>
            <w:sz w:val="18"/>
            <w:szCs w:val="18"/>
          </w:rPr>
          <w:fldChar w:fldCharType="end"/>
        </w:r>
      </w:p>
      <w:p w14:paraId="4C2ECD43" w14:textId="77777777" w:rsidR="00B120CD" w:rsidRPr="00CC370F" w:rsidRDefault="002F4DD6" w:rsidP="00C42D67">
        <w:pPr>
          <w:pStyle w:val="Zpat"/>
          <w:rPr>
            <w:rFonts w:ascii="Arial" w:hAnsi="Arial" w:cs="Arial"/>
            <w:sz w:val="18"/>
            <w:szCs w:val="18"/>
          </w:rPr>
        </w:pPr>
        <w:r>
          <w:rPr>
            <w:rFonts w:ascii="Arial" w:hAnsi="Arial" w:cs="Arial"/>
            <w:sz w:val="18"/>
            <w:szCs w:val="18"/>
          </w:rPr>
          <w:t>Zpracovala: PS RVVI RZMV, 08. 02. 2022</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798B32" w14:textId="77777777" w:rsidR="00961FB4" w:rsidRDefault="00961FB4" w:rsidP="008F77F6">
      <w:r>
        <w:separator/>
      </w:r>
    </w:p>
  </w:footnote>
  <w:footnote w:type="continuationSeparator" w:id="0">
    <w:p w14:paraId="5F3CE8B1" w14:textId="77777777" w:rsidR="00961FB4" w:rsidRDefault="00961FB4" w:rsidP="008F77F6">
      <w:r>
        <w:continuationSeparator/>
      </w:r>
    </w:p>
  </w:footnote>
  <w:footnote w:id="1">
    <w:p w14:paraId="13E3EF84" w14:textId="77777777" w:rsidR="00BB7AB2" w:rsidRPr="00BB7AB2" w:rsidRDefault="00BB7AB2">
      <w:pPr>
        <w:pStyle w:val="Textpoznpodarou"/>
        <w:rPr>
          <w:rFonts w:ascii="Arial" w:hAnsi="Arial" w:cs="Arial"/>
          <w:sz w:val="18"/>
          <w:szCs w:val="18"/>
        </w:rPr>
      </w:pPr>
      <w:r w:rsidRPr="00BB7AB2">
        <w:rPr>
          <w:rStyle w:val="Znakapoznpodarou"/>
          <w:rFonts w:ascii="Arial" w:hAnsi="Arial" w:cs="Arial"/>
          <w:sz w:val="18"/>
          <w:szCs w:val="18"/>
        </w:rPr>
        <w:footnoteRef/>
      </w:r>
      <w:r w:rsidRPr="00BB7AB2">
        <w:rPr>
          <w:rFonts w:ascii="Arial" w:hAnsi="Arial" w:cs="Arial"/>
          <w:sz w:val="18"/>
          <w:szCs w:val="18"/>
        </w:rPr>
        <w:t xml:space="preserve"> Materiál byl zpracován v rámci projektu sdílených činností STRATIN+ financovaného MŠMT (identifikační kód MS2104).</w:t>
      </w:r>
    </w:p>
  </w:footnote>
  <w:footnote w:id="2">
    <w:p w14:paraId="2A684F41" w14:textId="77777777" w:rsidR="00BB7AB2" w:rsidRPr="00BB7AB2" w:rsidRDefault="00BB7AB2" w:rsidP="00BB7AB2">
      <w:pPr>
        <w:pStyle w:val="Bezmezer"/>
        <w:jc w:val="both"/>
        <w:rPr>
          <w:sz w:val="18"/>
          <w:szCs w:val="18"/>
        </w:rPr>
      </w:pPr>
      <w:r w:rsidRPr="00BB7AB2">
        <w:rPr>
          <w:rStyle w:val="Znakapoznpodarou"/>
          <w:sz w:val="18"/>
          <w:szCs w:val="18"/>
        </w:rPr>
        <w:footnoteRef/>
      </w:r>
      <w:r w:rsidRPr="00BB7AB2">
        <w:rPr>
          <w:sz w:val="18"/>
          <w:szCs w:val="18"/>
        </w:rPr>
        <w:t xml:space="preserve"> Tj. služby nahrazující péči rodiče o dítě před dovršením 3 let věku - dětská skupina, jesle, školka, chůva, služby nahrazující péči o osobu odkázanou na péči jiné osoby, pokud pečující osobou je zaměstnanec, a zároveň se jedná o osobu blízkou zaměstnanci a zajištění péče po dobu nezbytné zahraniční pracovní cesty, případně cestovní náhrady související s cestováním rodiče nepřetržitě pečujícího o dítě do 3 let věku a dítěte.</w:t>
      </w:r>
    </w:p>
  </w:footnote>
  <w:footnote w:id="3">
    <w:p w14:paraId="7EB54235" w14:textId="77777777" w:rsidR="00BB7AB2" w:rsidRPr="00BB7AB2" w:rsidRDefault="00BB7AB2" w:rsidP="00BB7AB2">
      <w:pPr>
        <w:pStyle w:val="Bezmezer"/>
        <w:jc w:val="both"/>
        <w:rPr>
          <w:sz w:val="18"/>
          <w:szCs w:val="18"/>
        </w:rPr>
      </w:pPr>
      <w:r w:rsidRPr="00BB7AB2">
        <w:rPr>
          <w:rStyle w:val="Znakapoznpodarou"/>
          <w:sz w:val="18"/>
          <w:szCs w:val="18"/>
        </w:rPr>
        <w:footnoteRef/>
      </w:r>
      <w:r w:rsidRPr="00BB7AB2">
        <w:rPr>
          <w:sz w:val="18"/>
          <w:szCs w:val="18"/>
        </w:rPr>
        <w:t xml:space="preserve"> 1) Nárok na příspěvek na služby musí vyplývat z vnitřního předpisu příjemce, nebo kolektivní smlouvy, 2) nárok musí být stanoven shodně pro zaměstnance bez ohledu na to, zda se účastní projektu, v rámci nějž je možné uplatnit náklady služby péče, či nikoliv a 3) poskytovatel musí definovat, co jsou služby péče, jakým způsobem akceptuje poskytování příspěvku zaměstnavatele (neboli částečně stanoví, jak může systém poskytování u</w:t>
      </w:r>
      <w:r w:rsidR="002F4DD6">
        <w:rPr>
          <w:sz w:val="18"/>
          <w:szCs w:val="18"/>
        </w:rPr>
        <w:t> </w:t>
      </w:r>
      <w:r w:rsidRPr="00BB7AB2">
        <w:rPr>
          <w:sz w:val="18"/>
          <w:szCs w:val="18"/>
        </w:rPr>
        <w:t>příjemce vypadat), a stanoví limit. Ve prospěch projektu lze vykázat pouze náklady do výše odpovídající zapojení pracovníka na daném projektu.</w:t>
      </w:r>
    </w:p>
  </w:footnote>
  <w:footnote w:id="4">
    <w:p w14:paraId="0AB9E40B" w14:textId="77777777" w:rsidR="00BB7AB2" w:rsidRPr="00BB7AB2" w:rsidRDefault="00BB7AB2" w:rsidP="00BB7AB2">
      <w:pPr>
        <w:pStyle w:val="Bezmezer"/>
        <w:jc w:val="both"/>
        <w:rPr>
          <w:sz w:val="18"/>
          <w:szCs w:val="18"/>
        </w:rPr>
      </w:pPr>
      <w:r w:rsidRPr="00BB7AB2">
        <w:rPr>
          <w:rStyle w:val="Znakapoznpodarou"/>
          <w:sz w:val="18"/>
          <w:szCs w:val="18"/>
        </w:rPr>
        <w:footnoteRef/>
      </w:r>
      <w:r w:rsidRPr="00BB7AB2">
        <w:rPr>
          <w:sz w:val="18"/>
          <w:szCs w:val="18"/>
        </w:rPr>
        <w:t xml:space="preserve"> V rámci něhož není nutné účetní doložení těchto nákladů, v rámci této metody vykazování není specifikován konkrétní náklad.</w:t>
      </w:r>
    </w:p>
  </w:footnote>
  <w:footnote w:id="5">
    <w:p w14:paraId="186E25FB" w14:textId="77777777" w:rsidR="00BB7AB2" w:rsidRPr="00BB7AB2" w:rsidRDefault="00BB7AB2" w:rsidP="00BB7AB2">
      <w:pPr>
        <w:pStyle w:val="Default"/>
        <w:jc w:val="both"/>
        <w:rPr>
          <w:rFonts w:ascii="Arial" w:hAnsi="Arial" w:cs="Arial"/>
          <w:sz w:val="18"/>
          <w:szCs w:val="18"/>
        </w:rPr>
      </w:pPr>
      <w:r w:rsidRPr="00BB7AB2">
        <w:rPr>
          <w:rStyle w:val="Znakapoznpodarou"/>
          <w:rFonts w:ascii="Arial" w:hAnsi="Arial" w:cs="Arial"/>
          <w:sz w:val="18"/>
          <w:szCs w:val="18"/>
        </w:rPr>
        <w:footnoteRef/>
      </w:r>
      <w:r w:rsidRPr="00BB7AB2">
        <w:rPr>
          <w:rFonts w:ascii="Arial" w:hAnsi="Arial" w:cs="Arial"/>
          <w:sz w:val="18"/>
          <w:szCs w:val="18"/>
        </w:rPr>
        <w:t xml:space="preserve"> Lze dovodit jednoznačnou souvislost s daným projektem, osobou a s danou výzkumnou činností. S ohledem na skutečnost, že se jedná o náklady doplňkového charakteru, je zde prostor právě pro náklady s výzkumnou činností související, nemusí se jednat o náklady na samotnou výzkumnou činnost. </w:t>
      </w:r>
    </w:p>
  </w:footnote>
  <w:footnote w:id="6">
    <w:p w14:paraId="54B3D98F" w14:textId="77777777" w:rsidR="00BB7AB2" w:rsidRPr="00A97B71" w:rsidRDefault="00BB7AB2" w:rsidP="00BB7AB2">
      <w:pPr>
        <w:pStyle w:val="Textpoznpodarou"/>
        <w:jc w:val="both"/>
        <w:rPr>
          <w:rFonts w:asciiTheme="majorHAnsi" w:hAnsiTheme="majorHAnsi" w:cstheme="majorHAnsi"/>
          <w:sz w:val="18"/>
          <w:szCs w:val="18"/>
        </w:rPr>
      </w:pPr>
      <w:r w:rsidRPr="00BB7AB2">
        <w:rPr>
          <w:rStyle w:val="Znakapoznpodarou"/>
          <w:rFonts w:ascii="Arial" w:hAnsi="Arial" w:cs="Arial"/>
          <w:sz w:val="18"/>
          <w:szCs w:val="18"/>
        </w:rPr>
        <w:footnoteRef/>
      </w:r>
      <w:r w:rsidRPr="00BB7AB2">
        <w:rPr>
          <w:rFonts w:ascii="Arial" w:hAnsi="Arial" w:cs="Arial"/>
          <w:sz w:val="18"/>
          <w:szCs w:val="18"/>
        </w:rPr>
        <w:t xml:space="preserve"> Např.: Ve prospěch projektu lze vykázat pouze náklady do výše odpovídající zapojení pracovníka na daném projektu, atp.</w:t>
      </w:r>
    </w:p>
  </w:footnote>
  <w:footnote w:id="7">
    <w:p w14:paraId="12AE38D1" w14:textId="77777777" w:rsidR="00BB7AB2" w:rsidRPr="008E1EB6" w:rsidRDefault="00BB7AB2" w:rsidP="002F4DD6">
      <w:pPr>
        <w:rPr>
          <w:rFonts w:ascii="Arial" w:eastAsia="Calibri" w:hAnsi="Arial" w:cs="Arial"/>
          <w:sz w:val="18"/>
          <w:szCs w:val="18"/>
        </w:rPr>
      </w:pPr>
      <w:r w:rsidRPr="008E1EB6">
        <w:rPr>
          <w:rFonts w:ascii="Arial" w:hAnsi="Arial" w:cs="Arial"/>
          <w:sz w:val="18"/>
          <w:szCs w:val="18"/>
          <w:vertAlign w:val="superscript"/>
        </w:rPr>
        <w:footnoteRef/>
      </w:r>
      <w:r w:rsidRPr="008E1EB6">
        <w:rPr>
          <w:rFonts w:ascii="Arial" w:hAnsi="Arial" w:cs="Arial"/>
          <w:sz w:val="18"/>
          <w:szCs w:val="18"/>
        </w:rPr>
        <w:t xml:space="preserve"> </w:t>
      </w:r>
      <w:r w:rsidRPr="008E1EB6">
        <w:rPr>
          <w:rFonts w:ascii="Arial" w:eastAsia="Calibri" w:hAnsi="Arial" w:cs="Arial"/>
          <w:sz w:val="18"/>
          <w:szCs w:val="18"/>
        </w:rPr>
        <w:t xml:space="preserve">Zdroj: </w:t>
      </w:r>
      <w:proofErr w:type="spellStart"/>
      <w:r w:rsidRPr="008E1EB6">
        <w:rPr>
          <w:rFonts w:ascii="Arial" w:eastAsia="Calibri" w:hAnsi="Arial" w:cs="Arial"/>
          <w:sz w:val="18"/>
          <w:szCs w:val="18"/>
        </w:rPr>
        <w:t>Vohlídalová</w:t>
      </w:r>
      <w:proofErr w:type="spellEnd"/>
      <w:r w:rsidRPr="008E1EB6">
        <w:rPr>
          <w:rFonts w:ascii="Arial" w:eastAsia="Calibri" w:hAnsi="Arial" w:cs="Arial"/>
          <w:sz w:val="18"/>
          <w:szCs w:val="18"/>
        </w:rPr>
        <w:t xml:space="preserve">, M. 2018. Akademici a akademičky 2018: zpráva z dotazníkového šetření akademických a vědeckých pracovnic a pracovníků ve veřejném sektoru </w:t>
      </w:r>
      <w:hyperlink r:id="rId1">
        <w:r w:rsidRPr="008E1EB6">
          <w:rPr>
            <w:rFonts w:ascii="Arial" w:eastAsia="Calibri" w:hAnsi="Arial" w:cs="Arial"/>
            <w:color w:val="1155CC"/>
            <w:sz w:val="18"/>
            <w:szCs w:val="18"/>
            <w:u w:val="single"/>
          </w:rPr>
          <w:t>https://genderaveda.cz/wp-content/uploads/2019/01/AA2018_kvantitativne.pdf</w:t>
        </w:r>
      </w:hyperlink>
      <w:r w:rsidRPr="008E1EB6">
        <w:rPr>
          <w:rFonts w:ascii="Arial" w:eastAsia="Calibri" w:hAnsi="Arial" w:cs="Arial"/>
          <w:sz w:val="18"/>
          <w:szCs w:val="18"/>
        </w:rPr>
        <w:t>.</w:t>
      </w:r>
    </w:p>
  </w:footnote>
  <w:footnote w:id="8">
    <w:p w14:paraId="40C652B0" w14:textId="77777777" w:rsidR="00BB7AB2" w:rsidRPr="008E1EB6" w:rsidRDefault="00BB7AB2" w:rsidP="002F4DD6">
      <w:pPr>
        <w:rPr>
          <w:rFonts w:ascii="Arial" w:eastAsia="Calibri" w:hAnsi="Arial" w:cs="Arial"/>
          <w:sz w:val="18"/>
          <w:szCs w:val="18"/>
        </w:rPr>
      </w:pPr>
      <w:r w:rsidRPr="008E1EB6">
        <w:rPr>
          <w:rFonts w:ascii="Arial" w:hAnsi="Arial" w:cs="Arial"/>
          <w:sz w:val="18"/>
          <w:szCs w:val="18"/>
          <w:vertAlign w:val="superscript"/>
        </w:rPr>
        <w:footnoteRef/>
      </w:r>
      <w:r w:rsidRPr="008E1EB6">
        <w:rPr>
          <w:rFonts w:ascii="Arial" w:hAnsi="Arial" w:cs="Arial"/>
          <w:sz w:val="18"/>
          <w:szCs w:val="18"/>
        </w:rPr>
        <w:t xml:space="preserve"> </w:t>
      </w:r>
      <w:r w:rsidRPr="008E1EB6">
        <w:rPr>
          <w:rFonts w:ascii="Arial" w:eastAsia="Calibri" w:hAnsi="Arial" w:cs="Arial"/>
          <w:sz w:val="18"/>
          <w:szCs w:val="18"/>
        </w:rPr>
        <w:t xml:space="preserve">Zdroj: </w:t>
      </w:r>
      <w:proofErr w:type="spellStart"/>
      <w:r w:rsidRPr="008E1EB6">
        <w:rPr>
          <w:rFonts w:ascii="Arial" w:eastAsia="Calibri" w:hAnsi="Arial" w:cs="Arial"/>
          <w:sz w:val="18"/>
          <w:szCs w:val="18"/>
        </w:rPr>
        <w:t>Zykanová</w:t>
      </w:r>
      <w:proofErr w:type="spellEnd"/>
      <w:r w:rsidRPr="008E1EB6">
        <w:rPr>
          <w:rFonts w:ascii="Arial" w:eastAsia="Calibri" w:hAnsi="Arial" w:cs="Arial"/>
          <w:sz w:val="18"/>
          <w:szCs w:val="18"/>
        </w:rPr>
        <w:t xml:space="preserve">, T.; </w:t>
      </w:r>
      <w:proofErr w:type="spellStart"/>
      <w:r w:rsidRPr="008E1EB6">
        <w:rPr>
          <w:rFonts w:ascii="Arial" w:eastAsia="Calibri" w:hAnsi="Arial" w:cs="Arial"/>
          <w:sz w:val="18"/>
          <w:szCs w:val="18"/>
        </w:rPr>
        <w:t>Janhubová</w:t>
      </w:r>
      <w:proofErr w:type="spellEnd"/>
      <w:r w:rsidRPr="008E1EB6">
        <w:rPr>
          <w:rFonts w:ascii="Arial" w:eastAsia="Calibri" w:hAnsi="Arial" w:cs="Arial"/>
          <w:sz w:val="18"/>
          <w:szCs w:val="18"/>
        </w:rPr>
        <w:t xml:space="preserve">, K. 2020. Analýza dostupnosti zařízení péče o děti v předškolním věku. Se zaměřením na mateřské školy a dětské skupiny </w:t>
      </w:r>
      <w:hyperlink r:id="rId2">
        <w:r w:rsidRPr="008E1EB6">
          <w:rPr>
            <w:rFonts w:ascii="Arial" w:eastAsia="Calibri" w:hAnsi="Arial" w:cs="Arial"/>
            <w:color w:val="1155CC"/>
            <w:sz w:val="18"/>
            <w:szCs w:val="18"/>
            <w:u w:val="single"/>
          </w:rPr>
          <w:t>http://www.dsmpsv.cz/images/ke_stazeni/Anal%C3%BDza_dostupnosti_za%C5%99%C3%ADzen%C3%AD_p%C3%A9%C4%8De_o_p%C5%99ed%C5%A1koln%C3%AD_d%C4%9Bti.pdf</w:t>
        </w:r>
      </w:hyperlink>
      <w:r w:rsidRPr="008E1EB6">
        <w:rPr>
          <w:rFonts w:ascii="Arial" w:eastAsia="Calibri" w:hAnsi="Arial" w:cs="Arial"/>
          <w:sz w:val="18"/>
          <w:szCs w:val="18"/>
        </w:rPr>
        <w:t xml:space="preserve">. </w:t>
      </w:r>
    </w:p>
  </w:footnote>
  <w:footnote w:id="9">
    <w:p w14:paraId="135EFC96" w14:textId="77777777" w:rsidR="00BB7AB2" w:rsidRPr="008E1EB6" w:rsidRDefault="00BB7AB2" w:rsidP="008E1EB6">
      <w:pPr>
        <w:rPr>
          <w:rFonts w:ascii="Arial" w:eastAsia="Calibri" w:hAnsi="Arial" w:cs="Arial"/>
          <w:sz w:val="18"/>
          <w:szCs w:val="18"/>
        </w:rPr>
      </w:pPr>
      <w:r w:rsidRPr="008E1EB6">
        <w:rPr>
          <w:rFonts w:ascii="Arial" w:hAnsi="Arial" w:cs="Arial"/>
          <w:sz w:val="18"/>
          <w:szCs w:val="18"/>
          <w:vertAlign w:val="superscript"/>
        </w:rPr>
        <w:footnoteRef/>
      </w:r>
      <w:r w:rsidRPr="008E1EB6">
        <w:rPr>
          <w:rFonts w:ascii="Arial" w:hAnsi="Arial" w:cs="Arial"/>
          <w:sz w:val="18"/>
          <w:szCs w:val="18"/>
        </w:rPr>
        <w:t xml:space="preserve"> </w:t>
      </w:r>
      <w:r w:rsidRPr="008E1EB6">
        <w:rPr>
          <w:rFonts w:ascii="Arial" w:eastAsia="Calibri" w:hAnsi="Arial" w:cs="Arial"/>
          <w:sz w:val="18"/>
          <w:szCs w:val="18"/>
        </w:rPr>
        <w:t xml:space="preserve">Ukazatele výzkumu a vývoje za ČR v letech 2005-2019: </w:t>
      </w:r>
      <w:hyperlink r:id="rId3">
        <w:r w:rsidRPr="008E1EB6">
          <w:rPr>
            <w:rFonts w:ascii="Arial" w:eastAsia="Calibri" w:hAnsi="Arial" w:cs="Arial"/>
            <w:color w:val="1155CC"/>
            <w:sz w:val="18"/>
            <w:szCs w:val="18"/>
            <w:u w:val="single"/>
          </w:rPr>
          <w:t>https://www.czso.cz/csu/czso/statistika_vyzkumu_a_vyvoje</w:t>
        </w:r>
      </w:hyperlink>
      <w:r w:rsidRPr="008E1EB6">
        <w:rPr>
          <w:rFonts w:ascii="Arial" w:eastAsia="Calibri" w:hAnsi="Arial" w:cs="Arial"/>
          <w:sz w:val="18"/>
          <w:szCs w:val="18"/>
        </w:rPr>
        <w:t xml:space="preserve">. </w:t>
      </w:r>
    </w:p>
  </w:footnote>
  <w:footnote w:id="10">
    <w:p w14:paraId="3E0CC761" w14:textId="77777777" w:rsidR="00BB7AB2" w:rsidRPr="00A97B71" w:rsidRDefault="00BB7AB2" w:rsidP="00BB7AB2">
      <w:pPr>
        <w:jc w:val="both"/>
        <w:rPr>
          <w:rFonts w:asciiTheme="majorHAnsi" w:eastAsia="Calibri" w:hAnsiTheme="majorHAnsi" w:cstheme="majorHAnsi"/>
          <w:sz w:val="18"/>
          <w:szCs w:val="18"/>
        </w:rPr>
      </w:pPr>
      <w:r w:rsidRPr="008E1EB6">
        <w:rPr>
          <w:rFonts w:ascii="Arial" w:hAnsi="Arial" w:cs="Arial"/>
          <w:sz w:val="18"/>
          <w:szCs w:val="18"/>
          <w:vertAlign w:val="superscript"/>
        </w:rPr>
        <w:footnoteRef/>
      </w:r>
      <w:r w:rsidRPr="008E1EB6">
        <w:rPr>
          <w:rFonts w:ascii="Arial" w:hAnsi="Arial" w:cs="Arial"/>
          <w:sz w:val="18"/>
          <w:szCs w:val="18"/>
        </w:rPr>
        <w:t xml:space="preserve"> </w:t>
      </w:r>
      <w:hyperlink r:id="rId4">
        <w:r w:rsidRPr="008E1EB6">
          <w:rPr>
            <w:rFonts w:ascii="Arial" w:eastAsia="Calibri" w:hAnsi="Arial" w:cs="Arial"/>
            <w:color w:val="1155CC"/>
            <w:sz w:val="18"/>
            <w:szCs w:val="18"/>
            <w:u w:val="single"/>
          </w:rPr>
          <w:t>https://genderaveda.cz/skolky-a-detske-koutky/</w:t>
        </w:r>
      </w:hyperlink>
      <w:r w:rsidRPr="008E1EB6">
        <w:rPr>
          <w:rFonts w:ascii="Arial" w:eastAsia="Calibri" w:hAnsi="Arial" w:cs="Arial"/>
          <w:sz w:val="18"/>
          <w:szCs w:val="18"/>
        </w:rPr>
        <w:t>.</w:t>
      </w:r>
      <w:r w:rsidRPr="00A97B71">
        <w:rPr>
          <w:rFonts w:asciiTheme="majorHAnsi" w:eastAsia="Calibri" w:hAnsiTheme="majorHAnsi" w:cstheme="majorHAnsi"/>
          <w:sz w:val="18"/>
          <w:szCs w:val="18"/>
        </w:rPr>
        <w:t xml:space="preserve"> </w:t>
      </w:r>
    </w:p>
  </w:footnote>
  <w:footnote w:id="11">
    <w:p w14:paraId="0B49B99F" w14:textId="77777777" w:rsidR="00BB7AB2" w:rsidRPr="008E1EB6" w:rsidRDefault="00BB7AB2" w:rsidP="00BB7AB2">
      <w:pPr>
        <w:jc w:val="both"/>
        <w:rPr>
          <w:rFonts w:ascii="Arial" w:eastAsia="Calibri" w:hAnsi="Arial" w:cs="Arial"/>
          <w:sz w:val="18"/>
          <w:szCs w:val="18"/>
        </w:rPr>
      </w:pPr>
      <w:r w:rsidRPr="008E1EB6">
        <w:rPr>
          <w:rFonts w:ascii="Arial" w:hAnsi="Arial" w:cs="Arial"/>
          <w:sz w:val="18"/>
          <w:szCs w:val="18"/>
          <w:vertAlign w:val="superscript"/>
        </w:rPr>
        <w:footnoteRef/>
      </w:r>
      <w:r w:rsidRPr="008E1EB6">
        <w:rPr>
          <w:rFonts w:ascii="Arial" w:hAnsi="Arial" w:cs="Arial"/>
          <w:sz w:val="18"/>
          <w:szCs w:val="18"/>
        </w:rPr>
        <w:t xml:space="preserve"> </w:t>
      </w:r>
      <w:r w:rsidRPr="008E1EB6">
        <w:rPr>
          <w:rFonts w:ascii="Arial" w:eastAsia="Calibri" w:hAnsi="Arial" w:cs="Arial"/>
          <w:sz w:val="18"/>
          <w:szCs w:val="18"/>
        </w:rPr>
        <w:t>TA ČR. Rozbor uznatelnosti nákladů péče dle ZPVV, 24.9.2021. Podkladový materiál.</w:t>
      </w:r>
    </w:p>
  </w:footnote>
  <w:footnote w:id="12">
    <w:p w14:paraId="2662B306" w14:textId="77777777" w:rsidR="00BB7AB2" w:rsidRPr="008E1EB6" w:rsidRDefault="00BB7AB2" w:rsidP="00BB7AB2">
      <w:pPr>
        <w:jc w:val="both"/>
        <w:rPr>
          <w:rFonts w:ascii="Arial" w:eastAsia="Calibri" w:hAnsi="Arial" w:cs="Arial"/>
          <w:sz w:val="18"/>
          <w:szCs w:val="18"/>
        </w:rPr>
      </w:pPr>
      <w:r w:rsidRPr="008E1EB6">
        <w:rPr>
          <w:rFonts w:ascii="Arial" w:hAnsi="Arial" w:cs="Arial"/>
          <w:sz w:val="18"/>
          <w:szCs w:val="18"/>
          <w:vertAlign w:val="superscript"/>
        </w:rPr>
        <w:footnoteRef/>
      </w:r>
      <w:r w:rsidRPr="008E1EB6">
        <w:rPr>
          <w:rFonts w:ascii="Arial" w:hAnsi="Arial" w:cs="Arial"/>
          <w:sz w:val="18"/>
          <w:szCs w:val="18"/>
        </w:rPr>
        <w:t xml:space="preserve"> </w:t>
      </w:r>
      <w:hyperlink r:id="rId5">
        <w:r w:rsidRPr="008E1EB6">
          <w:rPr>
            <w:rFonts w:ascii="Arial" w:eastAsia="Calibri" w:hAnsi="Arial" w:cs="Arial"/>
            <w:color w:val="1155CC"/>
            <w:sz w:val="18"/>
            <w:szCs w:val="18"/>
            <w:u w:val="single"/>
          </w:rPr>
          <w:t>https://gacr.cz/opatreni-predsednictva-zpusobile-naklady-v-bezicich-projektech-v-roce-2020/</w:t>
        </w:r>
      </w:hyperlink>
      <w:r w:rsidRPr="008E1EB6">
        <w:rPr>
          <w:rFonts w:ascii="Arial" w:eastAsia="Calibri" w:hAnsi="Arial" w:cs="Arial"/>
          <w:sz w:val="18"/>
          <w:szCs w:val="18"/>
        </w:rPr>
        <w:t xml:space="preserve">. </w:t>
      </w:r>
    </w:p>
  </w:footnote>
  <w:footnote w:id="13">
    <w:p w14:paraId="337AB1BD" w14:textId="77777777" w:rsidR="00BB7AB2" w:rsidRPr="008E1EB6" w:rsidRDefault="00BB7AB2" w:rsidP="00BB7AB2">
      <w:pPr>
        <w:jc w:val="both"/>
        <w:rPr>
          <w:rFonts w:ascii="Arial" w:eastAsia="Calibri" w:hAnsi="Arial" w:cs="Arial"/>
          <w:sz w:val="18"/>
          <w:szCs w:val="18"/>
        </w:rPr>
      </w:pPr>
      <w:r w:rsidRPr="008E1EB6">
        <w:rPr>
          <w:rFonts w:ascii="Arial" w:hAnsi="Arial" w:cs="Arial"/>
          <w:sz w:val="18"/>
          <w:szCs w:val="18"/>
          <w:vertAlign w:val="superscript"/>
        </w:rPr>
        <w:footnoteRef/>
      </w:r>
      <w:r w:rsidRPr="008E1EB6">
        <w:rPr>
          <w:rFonts w:ascii="Arial" w:hAnsi="Arial" w:cs="Arial"/>
          <w:sz w:val="18"/>
          <w:szCs w:val="18"/>
        </w:rPr>
        <w:t xml:space="preserve"> </w:t>
      </w:r>
      <w:r w:rsidRPr="008E1EB6">
        <w:rPr>
          <w:rFonts w:ascii="Arial" w:eastAsia="Calibri" w:hAnsi="Arial" w:cs="Arial"/>
          <w:sz w:val="18"/>
          <w:szCs w:val="18"/>
        </w:rPr>
        <w:t>Zdroj: Podklad pro Pracovní skupinu pro otázky pracovních podmínek lidí ve výzkumu a vyrovnání příležitostí pro muže a ženy, poskytnuto 30.9.2021.</w:t>
      </w:r>
    </w:p>
  </w:footnote>
  <w:footnote w:id="14">
    <w:p w14:paraId="05018139" w14:textId="77777777" w:rsidR="00BB7AB2" w:rsidRPr="008E1EB6" w:rsidRDefault="00BB7AB2" w:rsidP="00BB7AB2">
      <w:pPr>
        <w:jc w:val="both"/>
        <w:rPr>
          <w:rFonts w:ascii="Arial" w:eastAsia="Calibri" w:hAnsi="Arial" w:cs="Arial"/>
          <w:sz w:val="18"/>
          <w:szCs w:val="18"/>
        </w:rPr>
      </w:pPr>
      <w:r w:rsidRPr="008E1EB6">
        <w:rPr>
          <w:rFonts w:ascii="Arial" w:hAnsi="Arial" w:cs="Arial"/>
          <w:sz w:val="18"/>
          <w:szCs w:val="18"/>
          <w:vertAlign w:val="superscript"/>
        </w:rPr>
        <w:footnoteRef/>
      </w:r>
      <w:r w:rsidRPr="008E1EB6">
        <w:rPr>
          <w:rFonts w:ascii="Arial" w:hAnsi="Arial" w:cs="Arial"/>
          <w:sz w:val="18"/>
          <w:szCs w:val="18"/>
        </w:rPr>
        <w:t xml:space="preserve"> </w:t>
      </w:r>
      <w:r w:rsidRPr="008E1EB6">
        <w:rPr>
          <w:rFonts w:ascii="Arial" w:eastAsia="Calibri" w:hAnsi="Arial" w:cs="Arial"/>
          <w:sz w:val="18"/>
          <w:szCs w:val="18"/>
        </w:rPr>
        <w:t>Šetření se týkalo programu ZÉTA a reagovalo na něj 22 % oslovených. Zdroj: E-mailová komunikace s ředitelkou sekce průřezových agend TA ČR Táňou Hálovou Perglovou dne 6.10.2021.</w:t>
      </w:r>
    </w:p>
  </w:footnote>
  <w:footnote w:id="15">
    <w:p w14:paraId="25C707DA" w14:textId="77777777" w:rsidR="00BB7AB2" w:rsidRPr="00A97B71" w:rsidRDefault="00BB7AB2" w:rsidP="00BB7AB2">
      <w:pPr>
        <w:jc w:val="both"/>
        <w:rPr>
          <w:rFonts w:asciiTheme="majorHAnsi" w:eastAsia="Calibri" w:hAnsiTheme="majorHAnsi" w:cstheme="majorHAnsi"/>
          <w:sz w:val="18"/>
          <w:szCs w:val="18"/>
        </w:rPr>
      </w:pPr>
      <w:r w:rsidRPr="008E1EB6">
        <w:rPr>
          <w:rFonts w:ascii="Arial" w:hAnsi="Arial" w:cs="Arial"/>
          <w:sz w:val="18"/>
          <w:szCs w:val="18"/>
          <w:vertAlign w:val="superscript"/>
        </w:rPr>
        <w:footnoteRef/>
      </w:r>
      <w:r w:rsidRPr="008E1EB6">
        <w:rPr>
          <w:rFonts w:ascii="Arial" w:hAnsi="Arial" w:cs="Arial"/>
          <w:sz w:val="18"/>
          <w:szCs w:val="18"/>
        </w:rPr>
        <w:t xml:space="preserve"> </w:t>
      </w:r>
      <w:r w:rsidRPr="008E1EB6">
        <w:rPr>
          <w:rFonts w:ascii="Arial" w:eastAsia="Calibri" w:hAnsi="Arial" w:cs="Arial"/>
          <w:sz w:val="18"/>
          <w:szCs w:val="18"/>
        </w:rPr>
        <w:t xml:space="preserve">Pokud ale příjemci vykazují nepřímé náklady metodou </w:t>
      </w:r>
      <w:proofErr w:type="spellStart"/>
      <w:r w:rsidRPr="008E1EB6">
        <w:rPr>
          <w:rFonts w:ascii="Arial" w:eastAsia="Calibri" w:hAnsi="Arial" w:cs="Arial"/>
          <w:sz w:val="18"/>
          <w:szCs w:val="18"/>
        </w:rPr>
        <w:t>flat</w:t>
      </w:r>
      <w:proofErr w:type="spellEnd"/>
      <w:r w:rsidRPr="008E1EB6">
        <w:rPr>
          <w:rFonts w:ascii="Arial" w:eastAsia="Calibri" w:hAnsi="Arial" w:cs="Arial"/>
          <w:sz w:val="18"/>
          <w:szCs w:val="18"/>
        </w:rPr>
        <w:t xml:space="preserve"> </w:t>
      </w:r>
      <w:proofErr w:type="spellStart"/>
      <w:r w:rsidRPr="008E1EB6">
        <w:rPr>
          <w:rFonts w:ascii="Arial" w:eastAsia="Calibri" w:hAnsi="Arial" w:cs="Arial"/>
          <w:sz w:val="18"/>
          <w:szCs w:val="18"/>
        </w:rPr>
        <w:t>rate</w:t>
      </w:r>
      <w:proofErr w:type="spellEnd"/>
      <w:r w:rsidRPr="008E1EB6">
        <w:rPr>
          <w:rFonts w:ascii="Arial" w:eastAsia="Calibri" w:hAnsi="Arial" w:cs="Arial"/>
          <w:sz w:val="18"/>
          <w:szCs w:val="18"/>
        </w:rPr>
        <w:t>, pak takové náklady nejsou detekovatelné.</w:t>
      </w:r>
      <w:r w:rsidRPr="00A97B71">
        <w:rPr>
          <w:rFonts w:asciiTheme="majorHAnsi" w:eastAsia="Calibri" w:hAnsiTheme="majorHAnsi" w:cstheme="majorHAnsi"/>
          <w:sz w:val="18"/>
          <w:szCs w:val="18"/>
        </w:rPr>
        <w:t xml:space="preserve"> </w:t>
      </w:r>
    </w:p>
  </w:footnote>
  <w:footnote w:id="16">
    <w:p w14:paraId="5F850D1C" w14:textId="77777777" w:rsidR="00BB7AB2" w:rsidRPr="002F4DD6" w:rsidRDefault="00BB7AB2" w:rsidP="002F4DD6">
      <w:pPr>
        <w:rPr>
          <w:rFonts w:ascii="Arial" w:eastAsia="Calibri" w:hAnsi="Arial" w:cs="Arial"/>
          <w:sz w:val="18"/>
          <w:szCs w:val="18"/>
        </w:rPr>
      </w:pPr>
      <w:r w:rsidRPr="002F4DD6">
        <w:rPr>
          <w:rFonts w:ascii="Arial" w:hAnsi="Arial" w:cs="Arial"/>
          <w:sz w:val="18"/>
          <w:szCs w:val="18"/>
          <w:vertAlign w:val="superscript"/>
        </w:rPr>
        <w:footnoteRef/>
      </w:r>
      <w:r w:rsidRPr="002F4DD6">
        <w:rPr>
          <w:rFonts w:ascii="Arial" w:hAnsi="Arial" w:cs="Arial"/>
          <w:sz w:val="18"/>
          <w:szCs w:val="18"/>
        </w:rPr>
        <w:t xml:space="preserve"> </w:t>
      </w:r>
      <w:r w:rsidRPr="002F4DD6">
        <w:rPr>
          <w:rFonts w:ascii="Arial" w:eastAsia="Calibri" w:hAnsi="Arial" w:cs="Arial"/>
          <w:sz w:val="18"/>
          <w:szCs w:val="18"/>
        </w:rPr>
        <w:t xml:space="preserve">Alena </w:t>
      </w:r>
      <w:proofErr w:type="spellStart"/>
      <w:r w:rsidRPr="002F4DD6">
        <w:rPr>
          <w:rFonts w:ascii="Arial" w:eastAsia="Calibri" w:hAnsi="Arial" w:cs="Arial"/>
          <w:sz w:val="18"/>
          <w:szCs w:val="18"/>
        </w:rPr>
        <w:t>Fornůsková</w:t>
      </w:r>
      <w:proofErr w:type="spellEnd"/>
      <w:r w:rsidRPr="002F4DD6">
        <w:rPr>
          <w:rFonts w:ascii="Arial" w:eastAsia="Calibri" w:hAnsi="Arial" w:cs="Arial"/>
          <w:sz w:val="18"/>
          <w:szCs w:val="18"/>
        </w:rPr>
        <w:t xml:space="preserve">, Iniciativa VĚDMA: </w:t>
      </w:r>
      <w:hyperlink r:id="rId6">
        <w:r w:rsidRPr="002F4DD6">
          <w:rPr>
            <w:rFonts w:ascii="Arial" w:eastAsia="Calibri" w:hAnsi="Arial" w:cs="Arial"/>
            <w:color w:val="1155CC"/>
            <w:sz w:val="18"/>
            <w:szCs w:val="18"/>
            <w:u w:val="single"/>
          </w:rPr>
          <w:t>https://www.facebook.com/NKCgenderaveda/posts/4387994551261124?comment_id=4388271124566800&amp;reply_comment_id=4388702821190297</w:t>
        </w:r>
      </w:hyperlink>
      <w:r w:rsidRPr="002F4DD6">
        <w:rPr>
          <w:rFonts w:ascii="Arial" w:eastAsia="Calibri" w:hAnsi="Arial" w:cs="Arial"/>
          <w:sz w:val="18"/>
          <w:szCs w:val="18"/>
        </w:rPr>
        <w:t xml:space="preserve">.  </w:t>
      </w:r>
    </w:p>
  </w:footnote>
  <w:footnote w:id="17">
    <w:p w14:paraId="0E54DFFD" w14:textId="77777777" w:rsidR="00BB7AB2" w:rsidRPr="00A97B71" w:rsidRDefault="00BB7AB2" w:rsidP="00BB7AB2">
      <w:pPr>
        <w:jc w:val="both"/>
        <w:rPr>
          <w:rFonts w:asciiTheme="majorHAnsi" w:eastAsia="Calibri" w:hAnsiTheme="majorHAnsi" w:cstheme="majorHAnsi"/>
          <w:sz w:val="18"/>
          <w:szCs w:val="18"/>
        </w:rPr>
      </w:pPr>
      <w:r w:rsidRPr="002F4DD6">
        <w:rPr>
          <w:rFonts w:ascii="Arial" w:hAnsi="Arial" w:cs="Arial"/>
          <w:sz w:val="18"/>
          <w:szCs w:val="18"/>
          <w:vertAlign w:val="superscript"/>
        </w:rPr>
        <w:footnoteRef/>
      </w:r>
      <w:r w:rsidRPr="002F4DD6">
        <w:rPr>
          <w:rFonts w:ascii="Arial" w:hAnsi="Arial" w:cs="Arial"/>
          <w:sz w:val="18"/>
          <w:szCs w:val="18"/>
        </w:rPr>
        <w:t xml:space="preserve"> </w:t>
      </w:r>
      <w:r w:rsidRPr="002F4DD6">
        <w:rPr>
          <w:rFonts w:ascii="Arial" w:eastAsia="Calibri" w:hAnsi="Arial" w:cs="Arial"/>
          <w:sz w:val="18"/>
          <w:szCs w:val="18"/>
        </w:rPr>
        <w:t>Petr Šimůnek, ředitel Ekonomického odboru Kanceláře Akademie věd ČR, emailová komunikace z 18.6.2020</w:t>
      </w:r>
      <w:r w:rsidRPr="00A97B71">
        <w:rPr>
          <w:rFonts w:asciiTheme="majorHAnsi" w:eastAsia="Calibri" w:hAnsiTheme="majorHAnsi" w:cstheme="majorHAnsi"/>
          <w:sz w:val="18"/>
          <w:szCs w:val="18"/>
        </w:rPr>
        <w:t>.</w:t>
      </w:r>
    </w:p>
  </w:footnote>
  <w:footnote w:id="18">
    <w:p w14:paraId="6921A734" w14:textId="77777777" w:rsidR="00BB7AB2" w:rsidRPr="002F4DD6" w:rsidRDefault="00BB7AB2" w:rsidP="00BB7AB2">
      <w:pPr>
        <w:rPr>
          <w:rFonts w:ascii="Arial" w:eastAsia="Calibri" w:hAnsi="Arial" w:cs="Arial"/>
          <w:sz w:val="18"/>
          <w:szCs w:val="18"/>
        </w:rPr>
      </w:pPr>
      <w:r w:rsidRPr="002F4DD6">
        <w:rPr>
          <w:rFonts w:ascii="Arial" w:hAnsi="Arial" w:cs="Arial"/>
          <w:sz w:val="18"/>
          <w:szCs w:val="18"/>
          <w:vertAlign w:val="superscript"/>
        </w:rPr>
        <w:footnoteRef/>
      </w:r>
      <w:r w:rsidRPr="002F4DD6">
        <w:rPr>
          <w:rFonts w:ascii="Arial" w:eastAsia="Calibri" w:hAnsi="Arial" w:cs="Arial"/>
          <w:sz w:val="18"/>
          <w:szCs w:val="18"/>
        </w:rPr>
        <w:t xml:space="preserve"> Základní informace o Flexibility Grantu na stránkách SNSF: </w:t>
      </w:r>
      <w:hyperlink r:id="rId7">
        <w:r w:rsidRPr="002F4DD6">
          <w:rPr>
            <w:rFonts w:ascii="Arial" w:eastAsia="Calibri" w:hAnsi="Arial" w:cs="Arial"/>
            <w:color w:val="1155CC"/>
            <w:sz w:val="18"/>
            <w:szCs w:val="18"/>
            <w:u w:val="single"/>
          </w:rPr>
          <w:t>https://www.snf.ch/en/ovil4ntsX4h2jEiU/funding/supplementary-measures/flexibility-grant</w:t>
        </w:r>
      </w:hyperlink>
      <w:r w:rsidRPr="002F4DD6">
        <w:rPr>
          <w:rFonts w:ascii="Arial" w:eastAsia="Calibri" w:hAnsi="Arial" w:cs="Arial"/>
          <w:sz w:val="18"/>
          <w:szCs w:val="18"/>
        </w:rPr>
        <w:t>.</w:t>
      </w:r>
    </w:p>
  </w:footnote>
  <w:footnote w:id="19">
    <w:p w14:paraId="4B185BDE" w14:textId="77777777" w:rsidR="00BB7AB2" w:rsidRPr="002F4DD6" w:rsidRDefault="00BB7AB2" w:rsidP="00BB7AB2">
      <w:pPr>
        <w:pBdr>
          <w:top w:val="nil"/>
          <w:left w:val="nil"/>
          <w:bottom w:val="nil"/>
          <w:right w:val="nil"/>
          <w:between w:val="nil"/>
        </w:pBdr>
        <w:rPr>
          <w:rFonts w:ascii="Arial" w:eastAsia="Calibri" w:hAnsi="Arial" w:cs="Arial"/>
          <w:sz w:val="18"/>
          <w:szCs w:val="18"/>
        </w:rPr>
      </w:pPr>
      <w:r w:rsidRPr="002F4DD6">
        <w:rPr>
          <w:rFonts w:ascii="Arial" w:hAnsi="Arial" w:cs="Arial"/>
          <w:sz w:val="18"/>
          <w:szCs w:val="18"/>
          <w:vertAlign w:val="superscript"/>
        </w:rPr>
        <w:footnoteRef/>
      </w:r>
      <w:r w:rsidRPr="002F4DD6">
        <w:rPr>
          <w:rFonts w:ascii="Arial" w:hAnsi="Arial" w:cs="Arial"/>
          <w:sz w:val="18"/>
          <w:szCs w:val="18"/>
        </w:rPr>
        <w:t xml:space="preserve"> </w:t>
      </w:r>
      <w:r w:rsidRPr="002F4DD6">
        <w:rPr>
          <w:rFonts w:ascii="Arial" w:eastAsia="Calibri" w:hAnsi="Arial" w:cs="Arial"/>
          <w:sz w:val="18"/>
          <w:szCs w:val="18"/>
        </w:rPr>
        <w:t xml:space="preserve">Zdroj: Právní rámec </w:t>
      </w:r>
      <w:proofErr w:type="spellStart"/>
      <w:r w:rsidRPr="002F4DD6">
        <w:rPr>
          <w:rFonts w:ascii="Arial" w:eastAsia="Calibri" w:hAnsi="Arial" w:cs="Arial"/>
          <w:sz w:val="18"/>
          <w:szCs w:val="18"/>
        </w:rPr>
        <w:t>National</w:t>
      </w:r>
      <w:proofErr w:type="spellEnd"/>
      <w:r w:rsidRPr="002F4DD6">
        <w:rPr>
          <w:rFonts w:ascii="Arial" w:eastAsia="Calibri" w:hAnsi="Arial" w:cs="Arial"/>
          <w:sz w:val="18"/>
          <w:szCs w:val="18"/>
        </w:rPr>
        <w:t xml:space="preserve"> </w:t>
      </w:r>
      <w:proofErr w:type="spellStart"/>
      <w:r w:rsidRPr="002F4DD6">
        <w:rPr>
          <w:rFonts w:ascii="Arial" w:eastAsia="Calibri" w:hAnsi="Arial" w:cs="Arial"/>
          <w:sz w:val="18"/>
          <w:szCs w:val="18"/>
        </w:rPr>
        <w:t>Research</w:t>
      </w:r>
      <w:proofErr w:type="spellEnd"/>
      <w:r w:rsidRPr="002F4DD6">
        <w:rPr>
          <w:rFonts w:ascii="Arial" w:eastAsia="Calibri" w:hAnsi="Arial" w:cs="Arial"/>
          <w:sz w:val="18"/>
          <w:szCs w:val="18"/>
        </w:rPr>
        <w:t xml:space="preserve"> </w:t>
      </w:r>
      <w:proofErr w:type="spellStart"/>
      <w:r w:rsidRPr="002F4DD6">
        <w:rPr>
          <w:rFonts w:ascii="Arial" w:eastAsia="Calibri" w:hAnsi="Arial" w:cs="Arial"/>
          <w:sz w:val="18"/>
          <w:szCs w:val="18"/>
        </w:rPr>
        <w:t>Council</w:t>
      </w:r>
      <w:proofErr w:type="spellEnd"/>
      <w:r w:rsidRPr="002F4DD6">
        <w:rPr>
          <w:rFonts w:ascii="Arial" w:eastAsia="Calibri" w:hAnsi="Arial" w:cs="Arial"/>
          <w:sz w:val="18"/>
          <w:szCs w:val="18"/>
        </w:rPr>
        <w:t xml:space="preserve">: </w:t>
      </w:r>
      <w:proofErr w:type="spellStart"/>
      <w:r w:rsidRPr="002F4DD6">
        <w:rPr>
          <w:rFonts w:ascii="Arial" w:eastAsia="Calibri" w:hAnsi="Arial" w:cs="Arial"/>
          <w:sz w:val="18"/>
          <w:szCs w:val="18"/>
        </w:rPr>
        <w:t>Annex</w:t>
      </w:r>
      <w:proofErr w:type="spellEnd"/>
      <w:r w:rsidRPr="002F4DD6">
        <w:rPr>
          <w:rFonts w:ascii="Arial" w:eastAsia="Calibri" w:hAnsi="Arial" w:cs="Arial"/>
          <w:sz w:val="18"/>
          <w:szCs w:val="18"/>
        </w:rPr>
        <w:t xml:space="preserve"> 4: Flexibility </w:t>
      </w:r>
      <w:proofErr w:type="spellStart"/>
      <w:r w:rsidRPr="002F4DD6">
        <w:rPr>
          <w:rFonts w:ascii="Arial" w:eastAsia="Calibri" w:hAnsi="Arial" w:cs="Arial"/>
          <w:sz w:val="18"/>
          <w:szCs w:val="18"/>
        </w:rPr>
        <w:t>grants</w:t>
      </w:r>
      <w:proofErr w:type="spellEnd"/>
      <w:r w:rsidRPr="002F4DD6">
        <w:rPr>
          <w:rFonts w:ascii="Arial" w:eastAsia="Calibri" w:hAnsi="Arial" w:cs="Arial"/>
          <w:sz w:val="18"/>
          <w:szCs w:val="18"/>
        </w:rPr>
        <w:t xml:space="preserve">. 2020. Dostupný z: </w:t>
      </w:r>
    </w:p>
    <w:p w14:paraId="008935A9" w14:textId="77777777" w:rsidR="00BB7AB2" w:rsidRPr="002F4DD6" w:rsidRDefault="00961FB4" w:rsidP="00BB7AB2">
      <w:pPr>
        <w:pBdr>
          <w:top w:val="nil"/>
          <w:left w:val="nil"/>
          <w:bottom w:val="nil"/>
          <w:right w:val="nil"/>
          <w:between w:val="nil"/>
        </w:pBdr>
        <w:rPr>
          <w:rFonts w:ascii="Arial" w:eastAsia="Calibri" w:hAnsi="Arial" w:cs="Arial"/>
          <w:sz w:val="18"/>
          <w:szCs w:val="18"/>
        </w:rPr>
      </w:pPr>
      <w:hyperlink r:id="rId8">
        <w:r w:rsidR="00BB7AB2" w:rsidRPr="002F4DD6">
          <w:rPr>
            <w:rFonts w:ascii="Arial" w:eastAsia="Calibri" w:hAnsi="Arial" w:cs="Arial"/>
            <w:color w:val="1155CC"/>
            <w:sz w:val="18"/>
            <w:szCs w:val="18"/>
            <w:u w:val="single"/>
          </w:rPr>
          <w:t>https://media.snf.ch/zPDDvlmCdFmOAvq/Annex_IV_Ausfuehrungsreglement_Beitragsreglement_E.pdf</w:t>
        </w:r>
      </w:hyperlink>
      <w:r w:rsidR="00BB7AB2" w:rsidRPr="002F4DD6">
        <w:rPr>
          <w:rFonts w:ascii="Arial" w:eastAsia="Calibri" w:hAnsi="Arial" w:cs="Arial"/>
          <w:sz w:val="18"/>
          <w:szCs w:val="18"/>
        </w:rPr>
        <w:t xml:space="preserve">. </w:t>
      </w:r>
    </w:p>
  </w:footnote>
  <w:footnote w:id="20">
    <w:p w14:paraId="2ADC37FD" w14:textId="77777777" w:rsidR="00BB7AB2" w:rsidRPr="002F4DD6" w:rsidRDefault="00BB7AB2" w:rsidP="00BB7AB2">
      <w:pPr>
        <w:rPr>
          <w:rFonts w:ascii="Arial" w:eastAsia="Calibri" w:hAnsi="Arial" w:cs="Arial"/>
          <w:sz w:val="18"/>
          <w:szCs w:val="18"/>
        </w:rPr>
      </w:pPr>
      <w:r w:rsidRPr="002F4DD6">
        <w:rPr>
          <w:rFonts w:ascii="Arial" w:hAnsi="Arial" w:cs="Arial"/>
          <w:sz w:val="18"/>
          <w:szCs w:val="18"/>
          <w:vertAlign w:val="superscript"/>
        </w:rPr>
        <w:footnoteRef/>
      </w:r>
      <w:r w:rsidRPr="002F4DD6">
        <w:rPr>
          <w:rFonts w:ascii="Arial" w:hAnsi="Arial" w:cs="Arial"/>
          <w:sz w:val="18"/>
          <w:szCs w:val="18"/>
        </w:rPr>
        <w:t xml:space="preserve"> </w:t>
      </w:r>
      <w:r w:rsidRPr="002F4DD6">
        <w:rPr>
          <w:rFonts w:ascii="Arial" w:eastAsia="Calibri" w:hAnsi="Arial" w:cs="Arial"/>
          <w:sz w:val="18"/>
          <w:szCs w:val="18"/>
        </w:rPr>
        <w:t xml:space="preserve">Zdroj: </w:t>
      </w:r>
      <w:proofErr w:type="spellStart"/>
      <w:r w:rsidRPr="002F4DD6">
        <w:rPr>
          <w:rFonts w:ascii="Arial" w:eastAsia="Calibri" w:hAnsi="Arial" w:cs="Arial"/>
          <w:sz w:val="18"/>
          <w:szCs w:val="18"/>
        </w:rPr>
        <w:t>Guidelines</w:t>
      </w:r>
      <w:proofErr w:type="spellEnd"/>
      <w:r w:rsidRPr="002F4DD6">
        <w:rPr>
          <w:rFonts w:ascii="Arial" w:eastAsia="Calibri" w:hAnsi="Arial" w:cs="Arial"/>
          <w:sz w:val="18"/>
          <w:szCs w:val="18"/>
        </w:rPr>
        <w:t xml:space="preserve"> </w:t>
      </w:r>
      <w:proofErr w:type="spellStart"/>
      <w:r w:rsidRPr="002F4DD6">
        <w:rPr>
          <w:rFonts w:ascii="Arial" w:eastAsia="Calibri" w:hAnsi="Arial" w:cs="Arial"/>
          <w:sz w:val="18"/>
          <w:szCs w:val="18"/>
        </w:rPr>
        <w:t>for</w:t>
      </w:r>
      <w:proofErr w:type="spellEnd"/>
      <w:r w:rsidRPr="002F4DD6">
        <w:rPr>
          <w:rFonts w:ascii="Arial" w:eastAsia="Calibri" w:hAnsi="Arial" w:cs="Arial"/>
          <w:sz w:val="18"/>
          <w:szCs w:val="18"/>
        </w:rPr>
        <w:t xml:space="preserve"> </w:t>
      </w:r>
      <w:proofErr w:type="spellStart"/>
      <w:r w:rsidRPr="002F4DD6">
        <w:rPr>
          <w:rFonts w:ascii="Arial" w:eastAsia="Calibri" w:hAnsi="Arial" w:cs="Arial"/>
          <w:sz w:val="18"/>
          <w:szCs w:val="18"/>
        </w:rPr>
        <w:t>requesting</w:t>
      </w:r>
      <w:proofErr w:type="spellEnd"/>
      <w:r w:rsidRPr="002F4DD6">
        <w:rPr>
          <w:rFonts w:ascii="Arial" w:eastAsia="Calibri" w:hAnsi="Arial" w:cs="Arial"/>
          <w:sz w:val="18"/>
          <w:szCs w:val="18"/>
        </w:rPr>
        <w:t xml:space="preserve"> a Flexibility Grant. 2021.Dostupné z: </w:t>
      </w:r>
      <w:hyperlink r:id="rId9">
        <w:r w:rsidRPr="002F4DD6">
          <w:rPr>
            <w:rFonts w:ascii="Arial" w:eastAsia="Calibri" w:hAnsi="Arial" w:cs="Arial"/>
            <w:color w:val="1155CC"/>
            <w:sz w:val="18"/>
            <w:szCs w:val="18"/>
            <w:u w:val="single"/>
          </w:rPr>
          <w:t>https://media.snf.ch/0ZmVlGqvwgg184n/Leitfaden_Flexibility_Grant_en.pdf</w:t>
        </w:r>
      </w:hyperlink>
      <w:r w:rsidRPr="002F4DD6">
        <w:rPr>
          <w:rFonts w:ascii="Arial" w:eastAsia="Calibri" w:hAnsi="Arial" w:cs="Arial"/>
          <w:sz w:val="18"/>
          <w:szCs w:val="18"/>
        </w:rPr>
        <w:t xml:space="preserve">. </w:t>
      </w:r>
    </w:p>
  </w:footnote>
  <w:footnote w:id="21">
    <w:p w14:paraId="5D5CA31A" w14:textId="77777777" w:rsidR="00BB7AB2" w:rsidRPr="002F4DD6" w:rsidRDefault="00BB7AB2" w:rsidP="00BB7AB2">
      <w:pPr>
        <w:rPr>
          <w:rFonts w:ascii="Arial" w:eastAsia="Calibri" w:hAnsi="Arial" w:cs="Arial"/>
          <w:sz w:val="18"/>
          <w:szCs w:val="18"/>
        </w:rPr>
      </w:pPr>
      <w:r w:rsidRPr="002F4DD6">
        <w:rPr>
          <w:rFonts w:ascii="Arial" w:hAnsi="Arial" w:cs="Arial"/>
          <w:sz w:val="18"/>
          <w:szCs w:val="18"/>
          <w:vertAlign w:val="superscript"/>
        </w:rPr>
        <w:footnoteRef/>
      </w:r>
      <w:r w:rsidRPr="002F4DD6">
        <w:rPr>
          <w:rFonts w:ascii="Arial" w:hAnsi="Arial" w:cs="Arial"/>
          <w:sz w:val="18"/>
          <w:szCs w:val="18"/>
        </w:rPr>
        <w:t xml:space="preserve"> </w:t>
      </w:r>
      <w:r w:rsidRPr="002F4DD6">
        <w:rPr>
          <w:rFonts w:ascii="Arial" w:eastAsia="Calibri" w:hAnsi="Arial" w:cs="Arial"/>
          <w:sz w:val="18"/>
          <w:szCs w:val="18"/>
        </w:rPr>
        <w:t xml:space="preserve">SNSF: Flexibility Grant: </w:t>
      </w:r>
      <w:proofErr w:type="spellStart"/>
      <w:r w:rsidRPr="002F4DD6">
        <w:rPr>
          <w:rFonts w:ascii="Arial" w:eastAsia="Calibri" w:hAnsi="Arial" w:cs="Arial"/>
          <w:sz w:val="18"/>
          <w:szCs w:val="18"/>
        </w:rPr>
        <w:t>research</w:t>
      </w:r>
      <w:proofErr w:type="spellEnd"/>
      <w:r w:rsidRPr="002F4DD6">
        <w:rPr>
          <w:rFonts w:ascii="Arial" w:eastAsia="Calibri" w:hAnsi="Arial" w:cs="Arial"/>
          <w:sz w:val="18"/>
          <w:szCs w:val="18"/>
        </w:rPr>
        <w:t xml:space="preserve"> and </w:t>
      </w:r>
      <w:proofErr w:type="spellStart"/>
      <w:r w:rsidRPr="002F4DD6">
        <w:rPr>
          <w:rFonts w:ascii="Arial" w:eastAsia="Calibri" w:hAnsi="Arial" w:cs="Arial"/>
          <w:sz w:val="18"/>
          <w:szCs w:val="18"/>
        </w:rPr>
        <w:t>childcare</w:t>
      </w:r>
      <w:proofErr w:type="spellEnd"/>
      <w:r w:rsidRPr="002F4DD6">
        <w:rPr>
          <w:rFonts w:ascii="Arial" w:eastAsia="Calibri" w:hAnsi="Arial" w:cs="Arial"/>
          <w:sz w:val="18"/>
          <w:szCs w:val="18"/>
        </w:rPr>
        <w:t xml:space="preserve"> are </w:t>
      </w:r>
      <w:proofErr w:type="spellStart"/>
      <w:r w:rsidRPr="002F4DD6">
        <w:rPr>
          <w:rFonts w:ascii="Arial" w:eastAsia="Calibri" w:hAnsi="Arial" w:cs="Arial"/>
          <w:sz w:val="18"/>
          <w:szCs w:val="18"/>
        </w:rPr>
        <w:t>compatible</w:t>
      </w:r>
      <w:proofErr w:type="spellEnd"/>
      <w:r w:rsidRPr="002F4DD6">
        <w:rPr>
          <w:rFonts w:ascii="Arial" w:eastAsia="Calibri" w:hAnsi="Arial" w:cs="Arial"/>
          <w:sz w:val="18"/>
          <w:szCs w:val="18"/>
        </w:rPr>
        <w:t xml:space="preserve">. Dostupné z: </w:t>
      </w:r>
      <w:hyperlink r:id="rId10">
        <w:r w:rsidRPr="002F4DD6">
          <w:rPr>
            <w:rFonts w:ascii="Arial" w:eastAsia="Calibri" w:hAnsi="Arial" w:cs="Arial"/>
            <w:color w:val="1155CC"/>
            <w:sz w:val="18"/>
            <w:szCs w:val="18"/>
            <w:u w:val="single"/>
          </w:rPr>
          <w:t>https://www.snf.ch/en/YMlGeqhh0w9q93NQ/news/news-191212-flexibility-grant-research-and-childcare-are-compatible</w:t>
        </w:r>
      </w:hyperlink>
      <w:r w:rsidRPr="002F4DD6">
        <w:rPr>
          <w:rFonts w:ascii="Arial" w:eastAsia="Calibri" w:hAnsi="Arial" w:cs="Arial"/>
          <w:sz w:val="18"/>
          <w:szCs w:val="18"/>
        </w:rPr>
        <w:t xml:space="preserve">. </w:t>
      </w:r>
    </w:p>
  </w:footnote>
  <w:footnote w:id="22">
    <w:p w14:paraId="45E9F8A5" w14:textId="77777777" w:rsidR="00BB7AB2" w:rsidRPr="002F4DD6" w:rsidRDefault="00BB7AB2" w:rsidP="00BB7AB2">
      <w:pPr>
        <w:rPr>
          <w:rFonts w:ascii="Arial" w:eastAsia="Calibri" w:hAnsi="Arial" w:cs="Arial"/>
          <w:i/>
          <w:color w:val="1F487C"/>
          <w:sz w:val="18"/>
          <w:szCs w:val="18"/>
        </w:rPr>
      </w:pPr>
      <w:r w:rsidRPr="002F4DD6">
        <w:rPr>
          <w:rFonts w:ascii="Arial" w:hAnsi="Arial" w:cs="Arial"/>
          <w:sz w:val="18"/>
          <w:szCs w:val="18"/>
          <w:vertAlign w:val="superscript"/>
        </w:rPr>
        <w:footnoteRef/>
      </w:r>
      <w:r w:rsidRPr="002F4DD6">
        <w:rPr>
          <w:rFonts w:ascii="Arial" w:eastAsia="Calibri" w:hAnsi="Arial" w:cs="Arial"/>
          <w:sz w:val="18"/>
          <w:szCs w:val="18"/>
        </w:rPr>
        <w:t xml:space="preserve"> Zdroj: Právní rámec SFI politiky mateřství a adopce. SFI Maternity/</w:t>
      </w:r>
      <w:proofErr w:type="spellStart"/>
      <w:r w:rsidRPr="002F4DD6">
        <w:rPr>
          <w:rFonts w:ascii="Arial" w:eastAsia="Calibri" w:hAnsi="Arial" w:cs="Arial"/>
          <w:sz w:val="18"/>
          <w:szCs w:val="18"/>
        </w:rPr>
        <w:t>Adoptive</w:t>
      </w:r>
      <w:proofErr w:type="spellEnd"/>
      <w:r w:rsidRPr="002F4DD6">
        <w:rPr>
          <w:rFonts w:ascii="Arial" w:eastAsia="Calibri" w:hAnsi="Arial" w:cs="Arial"/>
          <w:sz w:val="18"/>
          <w:szCs w:val="18"/>
        </w:rPr>
        <w:t xml:space="preserve"> </w:t>
      </w:r>
      <w:proofErr w:type="spellStart"/>
      <w:r w:rsidRPr="002F4DD6">
        <w:rPr>
          <w:rFonts w:ascii="Arial" w:eastAsia="Calibri" w:hAnsi="Arial" w:cs="Arial"/>
          <w:sz w:val="18"/>
          <w:szCs w:val="18"/>
        </w:rPr>
        <w:t>Policy</w:t>
      </w:r>
      <w:proofErr w:type="spellEnd"/>
      <w:r w:rsidRPr="002F4DD6">
        <w:rPr>
          <w:rFonts w:ascii="Arial" w:eastAsia="Calibri" w:hAnsi="Arial" w:cs="Arial"/>
          <w:sz w:val="18"/>
          <w:szCs w:val="18"/>
        </w:rPr>
        <w:t>. 2019. Dostupné z:</w:t>
      </w:r>
    </w:p>
    <w:p w14:paraId="3BF4AC28" w14:textId="77777777" w:rsidR="00BB7AB2" w:rsidRPr="002F4DD6" w:rsidRDefault="00961FB4" w:rsidP="00BB7AB2">
      <w:pPr>
        <w:rPr>
          <w:rFonts w:ascii="Arial" w:eastAsia="Calibri" w:hAnsi="Arial" w:cs="Arial"/>
          <w:sz w:val="18"/>
          <w:szCs w:val="18"/>
        </w:rPr>
      </w:pPr>
      <w:hyperlink r:id="rId11">
        <w:r w:rsidR="00BB7AB2" w:rsidRPr="002F4DD6">
          <w:rPr>
            <w:rFonts w:ascii="Arial" w:eastAsia="Calibri" w:hAnsi="Arial" w:cs="Arial"/>
            <w:color w:val="1155CC"/>
            <w:sz w:val="18"/>
            <w:szCs w:val="18"/>
            <w:u w:val="single"/>
          </w:rPr>
          <w:t>https://www.sfi.ie/funding/sfi-policies-and-guidance/gender/SFI-Maternity_Adoptive-Policy-V2.3-Sept-2019.pdf</w:t>
        </w:r>
      </w:hyperlink>
      <w:r w:rsidR="00BB7AB2" w:rsidRPr="002F4DD6">
        <w:rPr>
          <w:rFonts w:ascii="Arial" w:eastAsia="Calibri" w:hAnsi="Arial" w:cs="Arial"/>
          <w:sz w:val="18"/>
          <w:szCs w:val="18"/>
        </w:rPr>
        <w:t xml:space="preserve">. </w:t>
      </w:r>
    </w:p>
  </w:footnote>
  <w:footnote w:id="23">
    <w:p w14:paraId="347D48AF" w14:textId="77777777" w:rsidR="00BB7AB2" w:rsidRPr="002F4DD6" w:rsidRDefault="00BB7AB2" w:rsidP="00BB7AB2">
      <w:pPr>
        <w:rPr>
          <w:rFonts w:ascii="Arial" w:eastAsia="Calibri" w:hAnsi="Arial" w:cs="Arial"/>
          <w:sz w:val="18"/>
          <w:szCs w:val="18"/>
        </w:rPr>
      </w:pPr>
      <w:r w:rsidRPr="002F4DD6">
        <w:rPr>
          <w:rFonts w:ascii="Arial" w:hAnsi="Arial" w:cs="Arial"/>
          <w:sz w:val="18"/>
          <w:szCs w:val="18"/>
          <w:vertAlign w:val="superscript"/>
        </w:rPr>
        <w:footnoteRef/>
      </w:r>
      <w:r w:rsidRPr="002F4DD6">
        <w:rPr>
          <w:rFonts w:ascii="Arial" w:hAnsi="Arial" w:cs="Arial"/>
          <w:sz w:val="18"/>
          <w:szCs w:val="18"/>
        </w:rPr>
        <w:t xml:space="preserve"> </w:t>
      </w:r>
      <w:r w:rsidRPr="002F4DD6">
        <w:rPr>
          <w:rFonts w:ascii="Arial" w:eastAsia="Calibri" w:hAnsi="Arial" w:cs="Arial"/>
          <w:sz w:val="18"/>
          <w:szCs w:val="18"/>
        </w:rPr>
        <w:t xml:space="preserve">Rodičovská politika SFI jde daleko za rámec irské legislativy a instituce si jej sama ukotvila v dokumentu “SFI Gender </w:t>
      </w:r>
      <w:proofErr w:type="spellStart"/>
      <w:r w:rsidRPr="002F4DD6">
        <w:rPr>
          <w:rFonts w:ascii="Arial" w:eastAsia="Calibri" w:hAnsi="Arial" w:cs="Arial"/>
          <w:sz w:val="18"/>
          <w:szCs w:val="18"/>
        </w:rPr>
        <w:t>Strategy</w:t>
      </w:r>
      <w:proofErr w:type="spellEnd"/>
      <w:r w:rsidRPr="002F4DD6">
        <w:rPr>
          <w:rFonts w:ascii="Arial" w:eastAsia="Calibri" w:hAnsi="Arial" w:cs="Arial"/>
          <w:sz w:val="18"/>
          <w:szCs w:val="18"/>
        </w:rPr>
        <w:t xml:space="preserve"> 2016-2020“.</w:t>
      </w:r>
    </w:p>
    <w:p w14:paraId="455A265C" w14:textId="77777777" w:rsidR="00BB7AB2" w:rsidRPr="002F4DD6" w:rsidRDefault="00BB7AB2" w:rsidP="00BB7AB2">
      <w:pPr>
        <w:rPr>
          <w:rFonts w:ascii="Arial" w:eastAsia="Calibri" w:hAnsi="Arial" w:cs="Arial"/>
          <w:sz w:val="18"/>
          <w:szCs w:val="18"/>
        </w:rPr>
      </w:pPr>
      <w:r w:rsidRPr="002F4DD6">
        <w:rPr>
          <w:rFonts w:ascii="Arial" w:eastAsia="Calibri" w:hAnsi="Arial" w:cs="Arial"/>
          <w:sz w:val="18"/>
          <w:szCs w:val="18"/>
        </w:rPr>
        <w:t xml:space="preserve"> Dostupné z: </w:t>
      </w:r>
      <w:hyperlink r:id="rId12">
        <w:r w:rsidRPr="002F4DD6">
          <w:rPr>
            <w:rFonts w:ascii="Arial" w:eastAsia="Calibri" w:hAnsi="Arial" w:cs="Arial"/>
            <w:color w:val="1155CC"/>
            <w:sz w:val="18"/>
            <w:szCs w:val="18"/>
            <w:u w:val="single"/>
          </w:rPr>
          <w:t>https://www.sfi.ie/resources/SFI-Gender-Strategy-2016-2020.pdf</w:t>
        </w:r>
      </w:hyperlink>
      <w:r w:rsidRPr="002F4DD6">
        <w:rPr>
          <w:rFonts w:ascii="Arial" w:eastAsia="Calibri" w:hAnsi="Arial" w:cs="Arial"/>
          <w:sz w:val="18"/>
          <w:szCs w:val="18"/>
        </w:rPr>
        <w:t xml:space="preserve">. </w:t>
      </w:r>
    </w:p>
  </w:footnote>
  <w:footnote w:id="24">
    <w:p w14:paraId="2E7E6786" w14:textId="77777777" w:rsidR="00BB7AB2" w:rsidRPr="00A97B71" w:rsidRDefault="00BB7AB2" w:rsidP="00BB7AB2">
      <w:pPr>
        <w:rPr>
          <w:rFonts w:asciiTheme="majorHAnsi" w:eastAsia="Calibri" w:hAnsiTheme="majorHAnsi" w:cstheme="majorHAnsi"/>
          <w:sz w:val="18"/>
          <w:szCs w:val="18"/>
        </w:rPr>
      </w:pPr>
      <w:r w:rsidRPr="002F4DD6">
        <w:rPr>
          <w:rFonts w:ascii="Arial" w:hAnsi="Arial" w:cs="Arial"/>
          <w:sz w:val="18"/>
          <w:szCs w:val="18"/>
          <w:vertAlign w:val="superscript"/>
        </w:rPr>
        <w:footnoteRef/>
      </w:r>
      <w:r w:rsidRPr="002F4DD6">
        <w:rPr>
          <w:rFonts w:ascii="Arial" w:eastAsia="Calibri" w:hAnsi="Arial" w:cs="Arial"/>
          <w:sz w:val="18"/>
          <w:szCs w:val="18"/>
        </w:rPr>
        <w:t xml:space="preserve"> Informace o alokaci financí vychází z osobní komunikace s </w:t>
      </w:r>
      <w:proofErr w:type="spellStart"/>
      <w:r w:rsidRPr="002F4DD6">
        <w:rPr>
          <w:rFonts w:ascii="Arial" w:eastAsia="Calibri" w:hAnsi="Arial" w:cs="Arial"/>
          <w:sz w:val="18"/>
          <w:szCs w:val="18"/>
        </w:rPr>
        <w:t>Rochelle</w:t>
      </w:r>
      <w:proofErr w:type="spellEnd"/>
      <w:r w:rsidRPr="002F4DD6">
        <w:rPr>
          <w:rFonts w:ascii="Arial" w:eastAsia="Calibri" w:hAnsi="Arial" w:cs="Arial"/>
          <w:sz w:val="18"/>
          <w:szCs w:val="18"/>
        </w:rPr>
        <w:t xml:space="preserve"> </w:t>
      </w:r>
      <w:proofErr w:type="spellStart"/>
      <w:r w:rsidRPr="002F4DD6">
        <w:rPr>
          <w:rFonts w:ascii="Arial" w:eastAsia="Calibri" w:hAnsi="Arial" w:cs="Arial"/>
          <w:sz w:val="18"/>
          <w:szCs w:val="18"/>
        </w:rPr>
        <w:t>Fritch</w:t>
      </w:r>
      <w:proofErr w:type="spellEnd"/>
      <w:r w:rsidRPr="002F4DD6">
        <w:rPr>
          <w:rFonts w:ascii="Arial" w:eastAsia="Calibri" w:hAnsi="Arial" w:cs="Arial"/>
          <w:sz w:val="18"/>
          <w:szCs w:val="18"/>
        </w:rPr>
        <w:t xml:space="preserve"> z SFI (2.9.2021).</w:t>
      </w:r>
    </w:p>
  </w:footnote>
  <w:footnote w:id="25">
    <w:p w14:paraId="425639D3" w14:textId="77777777" w:rsidR="00BB7AB2" w:rsidRPr="002F4DD6" w:rsidRDefault="00BB7AB2" w:rsidP="00BB7AB2">
      <w:pPr>
        <w:rPr>
          <w:rFonts w:ascii="Arial" w:eastAsia="Calibri" w:hAnsi="Arial" w:cs="Arial"/>
          <w:sz w:val="18"/>
          <w:szCs w:val="18"/>
        </w:rPr>
      </w:pPr>
      <w:r w:rsidRPr="002F4DD6">
        <w:rPr>
          <w:rFonts w:ascii="Arial" w:hAnsi="Arial" w:cs="Arial"/>
          <w:sz w:val="18"/>
          <w:szCs w:val="18"/>
          <w:vertAlign w:val="superscript"/>
        </w:rPr>
        <w:footnoteRef/>
      </w:r>
      <w:r w:rsidRPr="002F4DD6">
        <w:rPr>
          <w:rFonts w:ascii="Arial" w:hAnsi="Arial" w:cs="Arial"/>
          <w:sz w:val="18"/>
          <w:szCs w:val="18"/>
        </w:rPr>
        <w:t xml:space="preserve"> </w:t>
      </w:r>
      <w:r w:rsidRPr="002F4DD6">
        <w:rPr>
          <w:rFonts w:ascii="Arial" w:eastAsia="Calibri" w:hAnsi="Arial" w:cs="Arial"/>
          <w:sz w:val="18"/>
          <w:szCs w:val="18"/>
        </w:rPr>
        <w:t>Formy a šíře proplácení výdajů se liší podle toho, zda výzkumník je vedoucí týmu (</w:t>
      </w:r>
      <w:hyperlink r:id="rId13">
        <w:r w:rsidRPr="002F4DD6">
          <w:rPr>
            <w:rFonts w:ascii="Arial" w:eastAsia="Calibri" w:hAnsi="Arial" w:cs="Arial"/>
            <w:color w:val="1155CC"/>
            <w:sz w:val="18"/>
            <w:szCs w:val="18"/>
            <w:u w:val="single"/>
          </w:rPr>
          <w:t>https://www.dfg.de/en/research_funding/principles_dfg_funding/equal_opportunities/measures/compensation_absence/index.html</w:t>
        </w:r>
      </w:hyperlink>
      <w:r w:rsidRPr="002F4DD6">
        <w:rPr>
          <w:rFonts w:ascii="Arial" w:eastAsia="Calibri" w:hAnsi="Arial" w:cs="Arial"/>
          <w:sz w:val="18"/>
          <w:szCs w:val="18"/>
        </w:rPr>
        <w:t>) či pouze jeho člen  (</w:t>
      </w:r>
      <w:hyperlink r:id="rId14">
        <w:r w:rsidRPr="002F4DD6">
          <w:rPr>
            <w:rFonts w:ascii="Arial" w:eastAsia="Calibri" w:hAnsi="Arial" w:cs="Arial"/>
            <w:color w:val="1155CC"/>
            <w:sz w:val="18"/>
            <w:szCs w:val="18"/>
            <w:u w:val="single"/>
          </w:rPr>
          <w:t>https://www.dfg.de/en/research_funding/principles_dfg_funding/equal_opportunities/measures/compensation_maternity_leave/index.html</w:t>
        </w:r>
      </w:hyperlink>
      <w:r w:rsidRPr="002F4DD6">
        <w:rPr>
          <w:rFonts w:ascii="Arial" w:eastAsia="Calibri" w:hAnsi="Arial" w:cs="Arial"/>
          <w:sz w:val="18"/>
          <w:szCs w:val="18"/>
        </w:rPr>
        <w:t>).</w:t>
      </w:r>
    </w:p>
  </w:footnote>
  <w:footnote w:id="26">
    <w:p w14:paraId="00F52BB2" w14:textId="77777777" w:rsidR="00BB7AB2" w:rsidRPr="002F4DD6" w:rsidRDefault="00BB7AB2" w:rsidP="00BB7AB2">
      <w:pPr>
        <w:rPr>
          <w:rFonts w:ascii="Arial" w:eastAsia="Calibri" w:hAnsi="Arial" w:cs="Arial"/>
          <w:sz w:val="18"/>
          <w:szCs w:val="18"/>
        </w:rPr>
      </w:pPr>
      <w:r w:rsidRPr="002F4DD6">
        <w:rPr>
          <w:rFonts w:ascii="Arial" w:hAnsi="Arial" w:cs="Arial"/>
          <w:sz w:val="18"/>
          <w:szCs w:val="18"/>
          <w:vertAlign w:val="superscript"/>
        </w:rPr>
        <w:footnoteRef/>
      </w:r>
      <w:r w:rsidRPr="002F4DD6">
        <w:rPr>
          <w:rFonts w:ascii="Arial" w:eastAsia="Calibri" w:hAnsi="Arial" w:cs="Arial"/>
          <w:sz w:val="18"/>
          <w:szCs w:val="18"/>
        </w:rPr>
        <w:t xml:space="preserve"> </w:t>
      </w:r>
      <w:hyperlink r:id="rId15">
        <w:r w:rsidRPr="002F4DD6">
          <w:rPr>
            <w:rFonts w:ascii="Arial" w:eastAsia="Calibri" w:hAnsi="Arial" w:cs="Arial"/>
            <w:color w:val="1155CC"/>
            <w:sz w:val="18"/>
            <w:szCs w:val="18"/>
            <w:u w:val="single"/>
          </w:rPr>
          <w:t>https://www.dfg.de/formulare/52_14/52_14_en.pdf</w:t>
        </w:r>
      </w:hyperlink>
      <w:r w:rsidRPr="002F4DD6">
        <w:rPr>
          <w:rFonts w:ascii="Arial" w:eastAsia="Calibri" w:hAnsi="Arial" w:cs="Arial"/>
          <w:sz w:val="18"/>
          <w:szCs w:val="18"/>
        </w:rPr>
        <w:t xml:space="preserve">. </w:t>
      </w:r>
    </w:p>
  </w:footnote>
  <w:footnote w:id="27">
    <w:p w14:paraId="589A0F8C" w14:textId="77777777" w:rsidR="00BB7AB2" w:rsidRPr="002F4DD6" w:rsidRDefault="00BB7AB2" w:rsidP="00BB7AB2">
      <w:pPr>
        <w:jc w:val="both"/>
        <w:rPr>
          <w:rFonts w:ascii="Arial" w:eastAsia="Calibri" w:hAnsi="Arial" w:cs="Arial"/>
          <w:sz w:val="18"/>
          <w:szCs w:val="18"/>
        </w:rPr>
      </w:pPr>
      <w:r w:rsidRPr="002F4DD6">
        <w:rPr>
          <w:rFonts w:ascii="Arial" w:hAnsi="Arial" w:cs="Arial"/>
          <w:sz w:val="18"/>
          <w:szCs w:val="18"/>
          <w:vertAlign w:val="superscript"/>
        </w:rPr>
        <w:footnoteRef/>
      </w:r>
      <w:r w:rsidRPr="002F4DD6">
        <w:rPr>
          <w:rFonts w:ascii="Arial" w:hAnsi="Arial" w:cs="Arial"/>
          <w:sz w:val="18"/>
          <w:szCs w:val="18"/>
        </w:rPr>
        <w:t xml:space="preserve"> </w:t>
      </w:r>
      <w:r w:rsidRPr="002F4DD6">
        <w:rPr>
          <w:rFonts w:ascii="Arial" w:eastAsia="Calibri" w:hAnsi="Arial" w:cs="Arial"/>
          <w:sz w:val="18"/>
          <w:szCs w:val="18"/>
        </w:rPr>
        <w:t xml:space="preserve">Dle osobní komunikace s Evou </w:t>
      </w:r>
      <w:proofErr w:type="spellStart"/>
      <w:r w:rsidRPr="002F4DD6">
        <w:rPr>
          <w:rFonts w:ascii="Arial" w:eastAsia="Calibri" w:hAnsi="Arial" w:cs="Arial"/>
          <w:sz w:val="18"/>
          <w:szCs w:val="18"/>
        </w:rPr>
        <w:t>Reichenwein</w:t>
      </w:r>
      <w:proofErr w:type="spellEnd"/>
      <w:r w:rsidRPr="002F4DD6">
        <w:rPr>
          <w:rFonts w:ascii="Arial" w:eastAsia="Calibri" w:hAnsi="Arial" w:cs="Arial"/>
          <w:sz w:val="18"/>
          <w:szCs w:val="18"/>
        </w:rPr>
        <w:t xml:space="preserve"> (3.9.2021) z DFG je link s německou legislativou pouze nepřímý. Rodičovská je uzákoněna na 12 měsíců a mateřská na přibližně 3 měsíce. Důvodem politik DFG je právě pracovat s materiálními interpretacemi tohoto zákona, kdy rodičovskou vybírají především ženy.</w:t>
      </w:r>
    </w:p>
  </w:footnote>
  <w:footnote w:id="28">
    <w:p w14:paraId="29535D6E" w14:textId="77777777" w:rsidR="00BB7AB2" w:rsidRPr="002F4DD6" w:rsidRDefault="00BB7AB2" w:rsidP="00BB7AB2">
      <w:pPr>
        <w:rPr>
          <w:rFonts w:ascii="Arial" w:eastAsia="Calibri" w:hAnsi="Arial" w:cs="Arial"/>
          <w:sz w:val="18"/>
          <w:szCs w:val="18"/>
        </w:rPr>
      </w:pPr>
      <w:r w:rsidRPr="002F4DD6">
        <w:rPr>
          <w:rFonts w:ascii="Arial" w:hAnsi="Arial" w:cs="Arial"/>
          <w:sz w:val="18"/>
          <w:szCs w:val="18"/>
          <w:vertAlign w:val="superscript"/>
        </w:rPr>
        <w:footnoteRef/>
      </w:r>
      <w:r w:rsidRPr="002F4DD6">
        <w:rPr>
          <w:rFonts w:ascii="Arial" w:hAnsi="Arial" w:cs="Arial"/>
          <w:sz w:val="18"/>
          <w:szCs w:val="18"/>
        </w:rPr>
        <w:t xml:space="preserve"> </w:t>
      </w:r>
      <w:hyperlink r:id="rId16">
        <w:r w:rsidRPr="002F4DD6">
          <w:rPr>
            <w:rFonts w:ascii="Arial" w:eastAsia="Calibri" w:hAnsi="Arial" w:cs="Arial"/>
            <w:color w:val="1155CC"/>
            <w:sz w:val="18"/>
            <w:szCs w:val="18"/>
            <w:u w:val="single"/>
          </w:rPr>
          <w:t>https://www.dfg.de/en/dfg_profile/statutes/index.html</w:t>
        </w:r>
      </w:hyperlink>
      <w:r w:rsidRPr="002F4DD6">
        <w:rPr>
          <w:rFonts w:ascii="Arial" w:eastAsia="Calibri" w:hAnsi="Arial" w:cs="Arial"/>
          <w:sz w:val="18"/>
          <w:szCs w:val="18"/>
        </w:rPr>
        <w:t xml:space="preserve">. </w:t>
      </w:r>
    </w:p>
  </w:footnote>
  <w:footnote w:id="29">
    <w:p w14:paraId="7E3415A8" w14:textId="77777777" w:rsidR="00BB7AB2" w:rsidRPr="002F4DD6" w:rsidRDefault="00BB7AB2" w:rsidP="00BB7AB2">
      <w:pPr>
        <w:rPr>
          <w:rFonts w:ascii="Arial" w:eastAsia="Calibri" w:hAnsi="Arial" w:cs="Arial"/>
          <w:sz w:val="18"/>
          <w:szCs w:val="18"/>
        </w:rPr>
      </w:pPr>
      <w:r w:rsidRPr="002F4DD6">
        <w:rPr>
          <w:rFonts w:ascii="Arial" w:hAnsi="Arial" w:cs="Arial"/>
          <w:sz w:val="18"/>
          <w:szCs w:val="18"/>
          <w:vertAlign w:val="superscript"/>
        </w:rPr>
        <w:footnoteRef/>
      </w:r>
      <w:r w:rsidRPr="002F4DD6">
        <w:rPr>
          <w:rFonts w:ascii="Arial" w:hAnsi="Arial" w:cs="Arial"/>
          <w:sz w:val="18"/>
          <w:szCs w:val="18"/>
        </w:rPr>
        <w:t xml:space="preserve"> </w:t>
      </w:r>
      <w:r w:rsidRPr="002F4DD6">
        <w:rPr>
          <w:rFonts w:ascii="Arial" w:eastAsia="Calibri" w:hAnsi="Arial" w:cs="Arial"/>
          <w:sz w:val="18"/>
          <w:szCs w:val="18"/>
        </w:rPr>
        <w:t xml:space="preserve">Základní informace o benefitech na stránkách EMBO: </w:t>
      </w:r>
      <w:hyperlink r:id="rId17">
        <w:r w:rsidRPr="002F4DD6">
          <w:rPr>
            <w:rFonts w:ascii="Arial" w:eastAsia="Calibri" w:hAnsi="Arial" w:cs="Arial"/>
            <w:color w:val="1155CC"/>
            <w:sz w:val="18"/>
            <w:szCs w:val="18"/>
            <w:u w:val="single"/>
          </w:rPr>
          <w:t>https://www.embo.org/funding/fellowships-grants-and-career-support/postdoctoral-fellowships/benefits/</w:t>
        </w:r>
      </w:hyperlink>
      <w:r w:rsidRPr="002F4DD6">
        <w:rPr>
          <w:rFonts w:ascii="Arial" w:eastAsia="Calibri" w:hAnsi="Arial" w:cs="Arial"/>
          <w:sz w:val="18"/>
          <w:szCs w:val="18"/>
        </w:rPr>
        <w:t xml:space="preserve">. </w:t>
      </w:r>
    </w:p>
  </w:footnote>
  <w:footnote w:id="30">
    <w:p w14:paraId="2F2FBFEC" w14:textId="77777777" w:rsidR="00BB7AB2" w:rsidRPr="002F4DD6" w:rsidRDefault="00BB7AB2" w:rsidP="00BB7AB2">
      <w:pPr>
        <w:rPr>
          <w:rFonts w:ascii="Arial" w:eastAsia="Calibri" w:hAnsi="Arial" w:cs="Arial"/>
          <w:sz w:val="18"/>
          <w:szCs w:val="18"/>
        </w:rPr>
      </w:pPr>
      <w:r w:rsidRPr="002F4DD6">
        <w:rPr>
          <w:rFonts w:ascii="Arial" w:hAnsi="Arial" w:cs="Arial"/>
          <w:sz w:val="18"/>
          <w:szCs w:val="18"/>
          <w:vertAlign w:val="superscript"/>
        </w:rPr>
        <w:footnoteRef/>
      </w:r>
      <w:r w:rsidRPr="002F4DD6">
        <w:rPr>
          <w:rFonts w:ascii="Arial" w:hAnsi="Arial" w:cs="Arial"/>
          <w:sz w:val="18"/>
          <w:szCs w:val="18"/>
        </w:rPr>
        <w:t xml:space="preserve"> </w:t>
      </w:r>
      <w:r w:rsidRPr="002F4DD6">
        <w:rPr>
          <w:rFonts w:ascii="Arial" w:eastAsia="Calibri" w:hAnsi="Arial" w:cs="Arial"/>
          <w:sz w:val="18"/>
          <w:szCs w:val="18"/>
        </w:rPr>
        <w:t xml:space="preserve">Zdroj: </w:t>
      </w:r>
      <w:hyperlink r:id="rId18">
        <w:r w:rsidRPr="002F4DD6">
          <w:rPr>
            <w:rFonts w:ascii="Arial" w:eastAsia="Calibri" w:hAnsi="Arial" w:cs="Arial"/>
            <w:color w:val="1155CC"/>
            <w:sz w:val="18"/>
            <w:szCs w:val="18"/>
            <w:u w:val="single"/>
          </w:rPr>
          <w:t>https://www.embo.org/funding/lecture-travel-and-childcare-grants/childcare-grants/</w:t>
        </w:r>
      </w:hyperlink>
      <w:r w:rsidRPr="002F4DD6">
        <w:rPr>
          <w:rFonts w:ascii="Arial" w:eastAsia="Calibri" w:hAnsi="Arial" w:cs="Arial"/>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F49CB2" w14:textId="77777777" w:rsidR="00B90854" w:rsidRDefault="00B9085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188" w:type="dxa"/>
      <w:tblLook w:val="04A0" w:firstRow="1" w:lastRow="0" w:firstColumn="1" w:lastColumn="0" w:noHBand="0" w:noVBand="1"/>
    </w:tblPr>
    <w:tblGrid>
      <w:gridCol w:w="8188"/>
    </w:tblGrid>
    <w:tr w:rsidR="00B120CD" w14:paraId="26BC73AB" w14:textId="77777777" w:rsidTr="009758E5">
      <w:trPr>
        <w:trHeight w:val="686"/>
      </w:trPr>
      <w:tc>
        <w:tcPr>
          <w:tcW w:w="8188" w:type="dxa"/>
          <w:tcBorders>
            <w:top w:val="nil"/>
            <w:left w:val="nil"/>
            <w:bottom w:val="nil"/>
            <w:right w:val="nil"/>
          </w:tcBorders>
          <w:vAlign w:val="center"/>
        </w:tcPr>
        <w:p w14:paraId="34D33C48" w14:textId="77777777" w:rsidR="00B120CD" w:rsidRPr="009758E5" w:rsidRDefault="00B120CD" w:rsidP="00156192">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5532DCE4" wp14:editId="1B510593">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14:paraId="26AE34F9" w14:textId="77777777" w:rsidR="00B120CD" w:rsidRPr="00CC370F" w:rsidRDefault="00B120CD">
    <w:pPr>
      <w:pStyle w:val="Zhlav"/>
      <w:rPr>
        <w:rFonts w:ascii="Arial" w:hAnsi="Arial" w:cs="Arial"/>
        <w: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47" w:type="dxa"/>
      <w:tblLook w:val="04A0" w:firstRow="1" w:lastRow="0" w:firstColumn="1" w:lastColumn="0" w:noHBand="0" w:noVBand="1"/>
    </w:tblPr>
    <w:tblGrid>
      <w:gridCol w:w="8188"/>
      <w:gridCol w:w="1559"/>
    </w:tblGrid>
    <w:tr w:rsidR="00B120CD" w14:paraId="6275278E" w14:textId="77777777" w:rsidTr="00A465B6">
      <w:trPr>
        <w:trHeight w:val="686"/>
      </w:trPr>
      <w:tc>
        <w:tcPr>
          <w:tcW w:w="8188" w:type="dxa"/>
          <w:tcBorders>
            <w:top w:val="nil"/>
            <w:left w:val="nil"/>
            <w:bottom w:val="nil"/>
            <w:right w:val="single" w:sz="6" w:space="0" w:color="auto"/>
          </w:tcBorders>
          <w:vAlign w:val="center"/>
        </w:tcPr>
        <w:p w14:paraId="55F3B67E" w14:textId="77777777" w:rsidR="00B120CD" w:rsidRPr="009758E5" w:rsidRDefault="00B120CD"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8240" behindDoc="0" locked="0" layoutInCell="1" allowOverlap="1" wp14:anchorId="0E4F9DB7" wp14:editId="1F6229A2">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C6D9F1" w:themeFill="text2" w:themeFillTint="33"/>
          <w:vAlign w:val="center"/>
        </w:tcPr>
        <w:p w14:paraId="01ACEFB8" w14:textId="12D44FD3" w:rsidR="00B120CD" w:rsidRPr="00C12F55" w:rsidRDefault="00BB7AB2" w:rsidP="00B90854">
          <w:pPr>
            <w:pStyle w:val="Zhlav"/>
            <w:jc w:val="center"/>
            <w:rPr>
              <w:rFonts w:ascii="Arial" w:hAnsi="Arial" w:cs="Arial"/>
              <w:b/>
              <w:color w:val="0070C0"/>
              <w:sz w:val="28"/>
              <w:szCs w:val="28"/>
            </w:rPr>
          </w:pPr>
          <w:r>
            <w:rPr>
              <w:rFonts w:ascii="Arial" w:hAnsi="Arial" w:cs="Arial"/>
              <w:b/>
              <w:color w:val="0070C0"/>
              <w:sz w:val="28"/>
              <w:szCs w:val="28"/>
            </w:rPr>
            <w:t>376</w:t>
          </w:r>
          <w:r w:rsidR="00B120CD" w:rsidRPr="00C12F55">
            <w:rPr>
              <w:rFonts w:ascii="Arial" w:hAnsi="Arial" w:cs="Arial"/>
              <w:b/>
              <w:color w:val="0070C0"/>
              <w:sz w:val="28"/>
              <w:szCs w:val="28"/>
            </w:rPr>
            <w:t>/</w:t>
          </w:r>
          <w:r>
            <w:rPr>
              <w:rFonts w:ascii="Arial" w:hAnsi="Arial" w:cs="Arial"/>
              <w:b/>
              <w:color w:val="0070C0"/>
              <w:sz w:val="28"/>
              <w:szCs w:val="28"/>
            </w:rPr>
            <w:t>A1</w:t>
          </w:r>
          <w:r w:rsidR="00B90854">
            <w:rPr>
              <w:rFonts w:ascii="Arial" w:hAnsi="Arial" w:cs="Arial"/>
              <w:b/>
              <w:color w:val="0070C0"/>
              <w:sz w:val="28"/>
              <w:szCs w:val="28"/>
            </w:rPr>
            <w:t>0</w:t>
          </w:r>
          <w:bookmarkStart w:id="5" w:name="_GoBack"/>
          <w:bookmarkEnd w:id="5"/>
          <w:r>
            <w:rPr>
              <w:rFonts w:ascii="Arial" w:hAnsi="Arial" w:cs="Arial"/>
              <w:b/>
              <w:color w:val="0070C0"/>
              <w:sz w:val="28"/>
              <w:szCs w:val="28"/>
            </w:rPr>
            <w:t>a</w:t>
          </w:r>
        </w:p>
      </w:tc>
    </w:tr>
  </w:tbl>
  <w:p w14:paraId="437B57E4" w14:textId="77777777" w:rsidR="00B120CD" w:rsidRDefault="00B120CD" w:rsidP="00F51DC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B1FBA8F"/>
    <w:multiLevelType w:val="hybridMultilevel"/>
    <w:tmpl w:val="C152B5B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184860"/>
    <w:multiLevelType w:val="hybridMultilevel"/>
    <w:tmpl w:val="AED491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20E08E5"/>
    <w:multiLevelType w:val="hybridMultilevel"/>
    <w:tmpl w:val="D2C44F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2B21461"/>
    <w:multiLevelType w:val="hybridMultilevel"/>
    <w:tmpl w:val="F2241906"/>
    <w:lvl w:ilvl="0" w:tplc="04050001">
      <w:start w:val="1"/>
      <w:numFmt w:val="bullet"/>
      <w:lvlText w:val=""/>
      <w:lvlJc w:val="left"/>
      <w:pPr>
        <w:ind w:left="1070" w:hanging="71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05454DE5"/>
    <w:multiLevelType w:val="hybridMultilevel"/>
    <w:tmpl w:val="9806C6C1"/>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157F669A"/>
    <w:multiLevelType w:val="hybridMultilevel"/>
    <w:tmpl w:val="00B6B1F0"/>
    <w:lvl w:ilvl="0" w:tplc="2B48B26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66E3DD2"/>
    <w:multiLevelType w:val="multilevel"/>
    <w:tmpl w:val="E32814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ED61CDE"/>
    <w:multiLevelType w:val="hybridMultilevel"/>
    <w:tmpl w:val="8208FC94"/>
    <w:lvl w:ilvl="0" w:tplc="6EE6E0E6">
      <w:numFmt w:val="bullet"/>
      <w:lvlText w:val="•"/>
      <w:lvlJc w:val="left"/>
      <w:pPr>
        <w:ind w:left="520" w:hanging="360"/>
      </w:pPr>
      <w:rPr>
        <w:rFonts w:ascii="Calibri" w:eastAsiaTheme="minorHAnsi" w:hAnsi="Calibri" w:cs="Futura CE" w:hint="default"/>
      </w:rPr>
    </w:lvl>
    <w:lvl w:ilvl="1" w:tplc="04050003" w:tentative="1">
      <w:start w:val="1"/>
      <w:numFmt w:val="bullet"/>
      <w:lvlText w:val="o"/>
      <w:lvlJc w:val="left"/>
      <w:pPr>
        <w:ind w:left="1240" w:hanging="360"/>
      </w:pPr>
      <w:rPr>
        <w:rFonts w:ascii="Courier New" w:hAnsi="Courier New" w:cs="Courier New" w:hint="default"/>
      </w:rPr>
    </w:lvl>
    <w:lvl w:ilvl="2" w:tplc="04050005" w:tentative="1">
      <w:start w:val="1"/>
      <w:numFmt w:val="bullet"/>
      <w:lvlText w:val=""/>
      <w:lvlJc w:val="left"/>
      <w:pPr>
        <w:ind w:left="1960" w:hanging="360"/>
      </w:pPr>
      <w:rPr>
        <w:rFonts w:ascii="Wingdings" w:hAnsi="Wingdings" w:hint="default"/>
      </w:rPr>
    </w:lvl>
    <w:lvl w:ilvl="3" w:tplc="04050001" w:tentative="1">
      <w:start w:val="1"/>
      <w:numFmt w:val="bullet"/>
      <w:lvlText w:val=""/>
      <w:lvlJc w:val="left"/>
      <w:pPr>
        <w:ind w:left="2680" w:hanging="360"/>
      </w:pPr>
      <w:rPr>
        <w:rFonts w:ascii="Symbol" w:hAnsi="Symbol" w:hint="default"/>
      </w:rPr>
    </w:lvl>
    <w:lvl w:ilvl="4" w:tplc="04050003" w:tentative="1">
      <w:start w:val="1"/>
      <w:numFmt w:val="bullet"/>
      <w:lvlText w:val="o"/>
      <w:lvlJc w:val="left"/>
      <w:pPr>
        <w:ind w:left="3400" w:hanging="360"/>
      </w:pPr>
      <w:rPr>
        <w:rFonts w:ascii="Courier New" w:hAnsi="Courier New" w:cs="Courier New" w:hint="default"/>
      </w:rPr>
    </w:lvl>
    <w:lvl w:ilvl="5" w:tplc="04050005" w:tentative="1">
      <w:start w:val="1"/>
      <w:numFmt w:val="bullet"/>
      <w:lvlText w:val=""/>
      <w:lvlJc w:val="left"/>
      <w:pPr>
        <w:ind w:left="4120" w:hanging="360"/>
      </w:pPr>
      <w:rPr>
        <w:rFonts w:ascii="Wingdings" w:hAnsi="Wingdings" w:hint="default"/>
      </w:rPr>
    </w:lvl>
    <w:lvl w:ilvl="6" w:tplc="04050001" w:tentative="1">
      <w:start w:val="1"/>
      <w:numFmt w:val="bullet"/>
      <w:lvlText w:val=""/>
      <w:lvlJc w:val="left"/>
      <w:pPr>
        <w:ind w:left="4840" w:hanging="360"/>
      </w:pPr>
      <w:rPr>
        <w:rFonts w:ascii="Symbol" w:hAnsi="Symbol" w:hint="default"/>
      </w:rPr>
    </w:lvl>
    <w:lvl w:ilvl="7" w:tplc="04050003" w:tentative="1">
      <w:start w:val="1"/>
      <w:numFmt w:val="bullet"/>
      <w:lvlText w:val="o"/>
      <w:lvlJc w:val="left"/>
      <w:pPr>
        <w:ind w:left="5560" w:hanging="360"/>
      </w:pPr>
      <w:rPr>
        <w:rFonts w:ascii="Courier New" w:hAnsi="Courier New" w:cs="Courier New" w:hint="default"/>
      </w:rPr>
    </w:lvl>
    <w:lvl w:ilvl="8" w:tplc="04050005" w:tentative="1">
      <w:start w:val="1"/>
      <w:numFmt w:val="bullet"/>
      <w:lvlText w:val=""/>
      <w:lvlJc w:val="left"/>
      <w:pPr>
        <w:ind w:left="6280" w:hanging="360"/>
      </w:pPr>
      <w:rPr>
        <w:rFonts w:ascii="Wingdings" w:hAnsi="Wingdings" w:hint="default"/>
      </w:rPr>
    </w:lvl>
  </w:abstractNum>
  <w:abstractNum w:abstractNumId="9" w15:restartNumberingAfterBreak="0">
    <w:nsid w:val="206D3C87"/>
    <w:multiLevelType w:val="hybridMultilevel"/>
    <w:tmpl w:val="81F61F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DF0D5C"/>
    <w:multiLevelType w:val="hybridMultilevel"/>
    <w:tmpl w:val="7E8AD9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4DD591C"/>
    <w:multiLevelType w:val="hybridMultilevel"/>
    <w:tmpl w:val="7C4AC8BA"/>
    <w:lvl w:ilvl="0" w:tplc="0824BA66">
      <w:start w:val="1"/>
      <w:numFmt w:val="bullet"/>
      <w:lvlText w:val="o"/>
      <w:lvlJc w:val="left"/>
      <w:pPr>
        <w:ind w:left="1440" w:hanging="360"/>
      </w:pPr>
      <w:rPr>
        <w:rFonts w:ascii="Courier New" w:hAnsi="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257C3F04"/>
    <w:multiLevelType w:val="hybridMultilevel"/>
    <w:tmpl w:val="86EED2A8"/>
    <w:lvl w:ilvl="0" w:tplc="FE1AD5DC">
      <w:start w:val="1"/>
      <w:numFmt w:val="decimal"/>
      <w:lvlText w:val="%1."/>
      <w:lvlJc w:val="left"/>
      <w:pPr>
        <w:tabs>
          <w:tab w:val="num" w:pos="720"/>
        </w:tabs>
        <w:ind w:left="720" w:hanging="360"/>
      </w:pPr>
      <w:rPr>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68459D0"/>
    <w:multiLevelType w:val="hybridMultilevel"/>
    <w:tmpl w:val="68588998"/>
    <w:lvl w:ilvl="0" w:tplc="0C2650B6">
      <w:start w:val="1"/>
      <w:numFmt w:val="upperRoman"/>
      <w:lvlText w:val="%1."/>
      <w:lvlJc w:val="left"/>
      <w:pPr>
        <w:ind w:left="720" w:hanging="360"/>
      </w:pPr>
      <w:rPr>
        <w:rFonts w:ascii="Arial" w:hAnsi="Arial" w:cs="Arial" w:hint="default"/>
        <w:b/>
        <w:i w:val="0"/>
        <w:color w:val="auto"/>
        <w:sz w:val="24"/>
        <w:szCs w:val="24"/>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92BE0D"/>
    <w:multiLevelType w:val="hybridMultilevel"/>
    <w:tmpl w:val="297FC68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2D2517B9"/>
    <w:multiLevelType w:val="hybridMultilevel"/>
    <w:tmpl w:val="AA18C5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2996360"/>
    <w:multiLevelType w:val="hybridMultilevel"/>
    <w:tmpl w:val="71927A4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30461C4"/>
    <w:multiLevelType w:val="hybridMultilevel"/>
    <w:tmpl w:val="1E7A8084"/>
    <w:lvl w:ilvl="0" w:tplc="0824BA66">
      <w:start w:val="1"/>
      <w:numFmt w:val="bullet"/>
      <w:lvlText w:val="o"/>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F13"/>
    <w:multiLevelType w:val="hybridMultilevel"/>
    <w:tmpl w:val="16EA64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24B036E"/>
    <w:multiLevelType w:val="hybridMultilevel"/>
    <w:tmpl w:val="976A47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4315398"/>
    <w:multiLevelType w:val="hybridMultilevel"/>
    <w:tmpl w:val="5B925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E9E1E82"/>
    <w:multiLevelType w:val="hybridMultilevel"/>
    <w:tmpl w:val="7DACCDE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152537C"/>
    <w:multiLevelType w:val="hybridMultilevel"/>
    <w:tmpl w:val="078CC9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15:restartNumberingAfterBreak="0">
    <w:nsid w:val="6CA25CF9"/>
    <w:multiLevelType w:val="hybridMultilevel"/>
    <w:tmpl w:val="15C44062"/>
    <w:lvl w:ilvl="0" w:tplc="04050001">
      <w:start w:val="1"/>
      <w:numFmt w:val="bullet"/>
      <w:lvlText w:val=""/>
      <w:lvlJc w:val="left"/>
      <w:pPr>
        <w:ind w:left="1070" w:hanging="71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4" w15:restartNumberingAfterBreak="0">
    <w:nsid w:val="72E92528"/>
    <w:multiLevelType w:val="hybridMultilevel"/>
    <w:tmpl w:val="4DFC0E80"/>
    <w:lvl w:ilvl="0" w:tplc="04050001">
      <w:start w:val="1"/>
      <w:numFmt w:val="bullet"/>
      <w:lvlText w:val=""/>
      <w:lvlJc w:val="left"/>
      <w:pPr>
        <w:ind w:left="834" w:hanging="360"/>
      </w:pPr>
      <w:rPr>
        <w:rFonts w:ascii="Symbol" w:hAnsi="Symbol" w:hint="default"/>
      </w:rPr>
    </w:lvl>
    <w:lvl w:ilvl="1" w:tplc="04050003" w:tentative="1">
      <w:start w:val="1"/>
      <w:numFmt w:val="bullet"/>
      <w:lvlText w:val="o"/>
      <w:lvlJc w:val="left"/>
      <w:pPr>
        <w:ind w:left="1554" w:hanging="360"/>
      </w:pPr>
      <w:rPr>
        <w:rFonts w:ascii="Courier New" w:hAnsi="Courier New" w:cs="Courier New" w:hint="default"/>
      </w:rPr>
    </w:lvl>
    <w:lvl w:ilvl="2" w:tplc="04050005" w:tentative="1">
      <w:start w:val="1"/>
      <w:numFmt w:val="bullet"/>
      <w:lvlText w:val=""/>
      <w:lvlJc w:val="left"/>
      <w:pPr>
        <w:ind w:left="2274" w:hanging="360"/>
      </w:pPr>
      <w:rPr>
        <w:rFonts w:ascii="Wingdings" w:hAnsi="Wingdings" w:hint="default"/>
      </w:rPr>
    </w:lvl>
    <w:lvl w:ilvl="3" w:tplc="04050001" w:tentative="1">
      <w:start w:val="1"/>
      <w:numFmt w:val="bullet"/>
      <w:lvlText w:val=""/>
      <w:lvlJc w:val="left"/>
      <w:pPr>
        <w:ind w:left="2994" w:hanging="360"/>
      </w:pPr>
      <w:rPr>
        <w:rFonts w:ascii="Symbol" w:hAnsi="Symbol" w:hint="default"/>
      </w:rPr>
    </w:lvl>
    <w:lvl w:ilvl="4" w:tplc="04050003" w:tentative="1">
      <w:start w:val="1"/>
      <w:numFmt w:val="bullet"/>
      <w:lvlText w:val="o"/>
      <w:lvlJc w:val="left"/>
      <w:pPr>
        <w:ind w:left="3714" w:hanging="360"/>
      </w:pPr>
      <w:rPr>
        <w:rFonts w:ascii="Courier New" w:hAnsi="Courier New" w:cs="Courier New" w:hint="default"/>
      </w:rPr>
    </w:lvl>
    <w:lvl w:ilvl="5" w:tplc="04050005" w:tentative="1">
      <w:start w:val="1"/>
      <w:numFmt w:val="bullet"/>
      <w:lvlText w:val=""/>
      <w:lvlJc w:val="left"/>
      <w:pPr>
        <w:ind w:left="4434" w:hanging="360"/>
      </w:pPr>
      <w:rPr>
        <w:rFonts w:ascii="Wingdings" w:hAnsi="Wingdings" w:hint="default"/>
      </w:rPr>
    </w:lvl>
    <w:lvl w:ilvl="6" w:tplc="04050001" w:tentative="1">
      <w:start w:val="1"/>
      <w:numFmt w:val="bullet"/>
      <w:lvlText w:val=""/>
      <w:lvlJc w:val="left"/>
      <w:pPr>
        <w:ind w:left="5154" w:hanging="360"/>
      </w:pPr>
      <w:rPr>
        <w:rFonts w:ascii="Symbol" w:hAnsi="Symbol" w:hint="default"/>
      </w:rPr>
    </w:lvl>
    <w:lvl w:ilvl="7" w:tplc="04050003" w:tentative="1">
      <w:start w:val="1"/>
      <w:numFmt w:val="bullet"/>
      <w:lvlText w:val="o"/>
      <w:lvlJc w:val="left"/>
      <w:pPr>
        <w:ind w:left="5874" w:hanging="360"/>
      </w:pPr>
      <w:rPr>
        <w:rFonts w:ascii="Courier New" w:hAnsi="Courier New" w:cs="Courier New" w:hint="default"/>
      </w:rPr>
    </w:lvl>
    <w:lvl w:ilvl="8" w:tplc="04050005" w:tentative="1">
      <w:start w:val="1"/>
      <w:numFmt w:val="bullet"/>
      <w:lvlText w:val=""/>
      <w:lvlJc w:val="left"/>
      <w:pPr>
        <w:ind w:left="6594" w:hanging="360"/>
      </w:pPr>
      <w:rPr>
        <w:rFonts w:ascii="Wingdings" w:hAnsi="Wingdings" w:hint="default"/>
      </w:rPr>
    </w:lvl>
  </w:abstractNum>
  <w:abstractNum w:abstractNumId="25" w15:restartNumberingAfterBreak="0">
    <w:nsid w:val="7505241A"/>
    <w:multiLevelType w:val="hybridMultilevel"/>
    <w:tmpl w:val="7AC686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13"/>
  </w:num>
  <w:num w:numId="3">
    <w:abstractNumId w:val="6"/>
  </w:num>
  <w:num w:numId="4">
    <w:abstractNumId w:val="7"/>
  </w:num>
  <w:num w:numId="5">
    <w:abstractNumId w:val="14"/>
  </w:num>
  <w:num w:numId="6">
    <w:abstractNumId w:val="0"/>
  </w:num>
  <w:num w:numId="7">
    <w:abstractNumId w:val="5"/>
  </w:num>
  <w:num w:numId="8">
    <w:abstractNumId w:val="19"/>
  </w:num>
  <w:num w:numId="9">
    <w:abstractNumId w:val="8"/>
  </w:num>
  <w:num w:numId="10">
    <w:abstractNumId w:val="20"/>
  </w:num>
  <w:num w:numId="11">
    <w:abstractNumId w:val="18"/>
  </w:num>
  <w:num w:numId="12">
    <w:abstractNumId w:val="21"/>
  </w:num>
  <w:num w:numId="13">
    <w:abstractNumId w:val="17"/>
  </w:num>
  <w:num w:numId="14">
    <w:abstractNumId w:val="24"/>
  </w:num>
  <w:num w:numId="15">
    <w:abstractNumId w:val="11"/>
  </w:num>
  <w:num w:numId="16">
    <w:abstractNumId w:val="12"/>
    <w:lvlOverride w:ilvl="0">
      <w:startOverride w:val="1"/>
    </w:lvlOverride>
    <w:lvlOverride w:ilvl="1"/>
    <w:lvlOverride w:ilvl="2"/>
    <w:lvlOverride w:ilvl="3"/>
    <w:lvlOverride w:ilvl="4"/>
    <w:lvlOverride w:ilvl="5"/>
    <w:lvlOverride w:ilvl="6"/>
    <w:lvlOverride w:ilvl="7"/>
    <w:lvlOverride w:ilvl="8"/>
  </w:num>
  <w:num w:numId="17">
    <w:abstractNumId w:val="9"/>
  </w:num>
  <w:num w:numId="18">
    <w:abstractNumId w:val="25"/>
  </w:num>
  <w:num w:numId="19">
    <w:abstractNumId w:val="1"/>
  </w:num>
  <w:num w:numId="20">
    <w:abstractNumId w:val="4"/>
  </w:num>
  <w:num w:numId="21">
    <w:abstractNumId w:val="23"/>
  </w:num>
  <w:num w:numId="22">
    <w:abstractNumId w:val="22"/>
  </w:num>
  <w:num w:numId="23">
    <w:abstractNumId w:val="3"/>
  </w:num>
  <w:num w:numId="24">
    <w:abstractNumId w:val="10"/>
  </w:num>
  <w:num w:numId="25">
    <w:abstractNumId w:val="16"/>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7F6"/>
    <w:rsid w:val="0000012F"/>
    <w:rsid w:val="000120D6"/>
    <w:rsid w:val="00016B78"/>
    <w:rsid w:val="0002313D"/>
    <w:rsid w:val="00033327"/>
    <w:rsid w:val="00035EFD"/>
    <w:rsid w:val="00041AC0"/>
    <w:rsid w:val="00043BB4"/>
    <w:rsid w:val="000472F8"/>
    <w:rsid w:val="000549A1"/>
    <w:rsid w:val="000562B1"/>
    <w:rsid w:val="00065C9D"/>
    <w:rsid w:val="000668D4"/>
    <w:rsid w:val="000722CE"/>
    <w:rsid w:val="00076499"/>
    <w:rsid w:val="00077AD9"/>
    <w:rsid w:val="00081162"/>
    <w:rsid w:val="0008125C"/>
    <w:rsid w:val="00083370"/>
    <w:rsid w:val="00084C50"/>
    <w:rsid w:val="00086B42"/>
    <w:rsid w:val="000942EB"/>
    <w:rsid w:val="000B314A"/>
    <w:rsid w:val="000B347D"/>
    <w:rsid w:val="000C1225"/>
    <w:rsid w:val="000C1F1B"/>
    <w:rsid w:val="000C2009"/>
    <w:rsid w:val="000C4503"/>
    <w:rsid w:val="000C4A33"/>
    <w:rsid w:val="000C7CA6"/>
    <w:rsid w:val="000D0E51"/>
    <w:rsid w:val="000E29A9"/>
    <w:rsid w:val="000E3C17"/>
    <w:rsid w:val="000E5261"/>
    <w:rsid w:val="000E7427"/>
    <w:rsid w:val="001029D8"/>
    <w:rsid w:val="0010695C"/>
    <w:rsid w:val="001129EF"/>
    <w:rsid w:val="00113A3F"/>
    <w:rsid w:val="00113FB3"/>
    <w:rsid w:val="001151F0"/>
    <w:rsid w:val="001153DA"/>
    <w:rsid w:val="001160B1"/>
    <w:rsid w:val="00116261"/>
    <w:rsid w:val="001268F8"/>
    <w:rsid w:val="001272E3"/>
    <w:rsid w:val="00144C07"/>
    <w:rsid w:val="00152006"/>
    <w:rsid w:val="00156192"/>
    <w:rsid w:val="00157380"/>
    <w:rsid w:val="00162A96"/>
    <w:rsid w:val="00163448"/>
    <w:rsid w:val="00176933"/>
    <w:rsid w:val="00183C16"/>
    <w:rsid w:val="00193DBE"/>
    <w:rsid w:val="001942F6"/>
    <w:rsid w:val="00197C0D"/>
    <w:rsid w:val="001A24A6"/>
    <w:rsid w:val="001A6585"/>
    <w:rsid w:val="001B2327"/>
    <w:rsid w:val="001B32DA"/>
    <w:rsid w:val="001B78C5"/>
    <w:rsid w:val="001C04DF"/>
    <w:rsid w:val="001C3564"/>
    <w:rsid w:val="001D03E6"/>
    <w:rsid w:val="001D0791"/>
    <w:rsid w:val="001D1E7E"/>
    <w:rsid w:val="001D2DF6"/>
    <w:rsid w:val="001D34CE"/>
    <w:rsid w:val="001D43F8"/>
    <w:rsid w:val="001E38CB"/>
    <w:rsid w:val="001F190C"/>
    <w:rsid w:val="001F25B2"/>
    <w:rsid w:val="001F38CB"/>
    <w:rsid w:val="00200490"/>
    <w:rsid w:val="00215834"/>
    <w:rsid w:val="00215F97"/>
    <w:rsid w:val="00225149"/>
    <w:rsid w:val="0022699E"/>
    <w:rsid w:val="002276E6"/>
    <w:rsid w:val="00227993"/>
    <w:rsid w:val="00230132"/>
    <w:rsid w:val="00237006"/>
    <w:rsid w:val="00237892"/>
    <w:rsid w:val="00244CE6"/>
    <w:rsid w:val="002457E3"/>
    <w:rsid w:val="00245F90"/>
    <w:rsid w:val="00253FE7"/>
    <w:rsid w:val="00257470"/>
    <w:rsid w:val="00264A24"/>
    <w:rsid w:val="00265A36"/>
    <w:rsid w:val="002701B8"/>
    <w:rsid w:val="00271833"/>
    <w:rsid w:val="0027714E"/>
    <w:rsid w:val="00283DBF"/>
    <w:rsid w:val="0028411C"/>
    <w:rsid w:val="00293109"/>
    <w:rsid w:val="00296E55"/>
    <w:rsid w:val="0029727E"/>
    <w:rsid w:val="002A0AE0"/>
    <w:rsid w:val="002A20A6"/>
    <w:rsid w:val="002A7D75"/>
    <w:rsid w:val="002B0284"/>
    <w:rsid w:val="002B3855"/>
    <w:rsid w:val="002B48A8"/>
    <w:rsid w:val="002B64B7"/>
    <w:rsid w:val="002C011B"/>
    <w:rsid w:val="002C2991"/>
    <w:rsid w:val="002C2B69"/>
    <w:rsid w:val="002C3837"/>
    <w:rsid w:val="002C3B0C"/>
    <w:rsid w:val="002C4CD2"/>
    <w:rsid w:val="002C6978"/>
    <w:rsid w:val="002E2591"/>
    <w:rsid w:val="002E7B46"/>
    <w:rsid w:val="002F4DD6"/>
    <w:rsid w:val="002F5C51"/>
    <w:rsid w:val="0030455B"/>
    <w:rsid w:val="00307014"/>
    <w:rsid w:val="003070F6"/>
    <w:rsid w:val="00310690"/>
    <w:rsid w:val="00312168"/>
    <w:rsid w:val="00315BD6"/>
    <w:rsid w:val="003403ED"/>
    <w:rsid w:val="003538D0"/>
    <w:rsid w:val="003572B9"/>
    <w:rsid w:val="00360293"/>
    <w:rsid w:val="0036298F"/>
    <w:rsid w:val="00363BA3"/>
    <w:rsid w:val="003718B7"/>
    <w:rsid w:val="00371954"/>
    <w:rsid w:val="0037287E"/>
    <w:rsid w:val="003744AA"/>
    <w:rsid w:val="0037508D"/>
    <w:rsid w:val="003776A2"/>
    <w:rsid w:val="003822B4"/>
    <w:rsid w:val="00382575"/>
    <w:rsid w:val="003825C0"/>
    <w:rsid w:val="0038418D"/>
    <w:rsid w:val="00384B79"/>
    <w:rsid w:val="00384C2D"/>
    <w:rsid w:val="00387B05"/>
    <w:rsid w:val="00390C77"/>
    <w:rsid w:val="00393CF8"/>
    <w:rsid w:val="00394E6A"/>
    <w:rsid w:val="003A0AC6"/>
    <w:rsid w:val="003A0E72"/>
    <w:rsid w:val="003A37F0"/>
    <w:rsid w:val="003A5087"/>
    <w:rsid w:val="003B0484"/>
    <w:rsid w:val="003B6C14"/>
    <w:rsid w:val="003B78D8"/>
    <w:rsid w:val="003C2A8E"/>
    <w:rsid w:val="003C3856"/>
    <w:rsid w:val="003C3FEC"/>
    <w:rsid w:val="003C6020"/>
    <w:rsid w:val="003C63EE"/>
    <w:rsid w:val="003D2A3D"/>
    <w:rsid w:val="003E2B2F"/>
    <w:rsid w:val="003E3BB2"/>
    <w:rsid w:val="003E5FC1"/>
    <w:rsid w:val="003E6A03"/>
    <w:rsid w:val="003F01D0"/>
    <w:rsid w:val="00400F71"/>
    <w:rsid w:val="00403A63"/>
    <w:rsid w:val="00407FCF"/>
    <w:rsid w:val="00414FDE"/>
    <w:rsid w:val="00423DB2"/>
    <w:rsid w:val="00424438"/>
    <w:rsid w:val="0043363D"/>
    <w:rsid w:val="004369C1"/>
    <w:rsid w:val="00440882"/>
    <w:rsid w:val="00441F71"/>
    <w:rsid w:val="00443D2C"/>
    <w:rsid w:val="004600B2"/>
    <w:rsid w:val="0046041D"/>
    <w:rsid w:val="0048037B"/>
    <w:rsid w:val="004804E7"/>
    <w:rsid w:val="00486F44"/>
    <w:rsid w:val="00491080"/>
    <w:rsid w:val="0049162B"/>
    <w:rsid w:val="0049236E"/>
    <w:rsid w:val="004945C1"/>
    <w:rsid w:val="00494F11"/>
    <w:rsid w:val="0049707B"/>
    <w:rsid w:val="004A2DB8"/>
    <w:rsid w:val="004A467E"/>
    <w:rsid w:val="004C2973"/>
    <w:rsid w:val="004C32A7"/>
    <w:rsid w:val="004C3B35"/>
    <w:rsid w:val="004C7CD8"/>
    <w:rsid w:val="004D0F2A"/>
    <w:rsid w:val="004D1459"/>
    <w:rsid w:val="004D4214"/>
    <w:rsid w:val="004D49EC"/>
    <w:rsid w:val="004D62CB"/>
    <w:rsid w:val="004E0FCE"/>
    <w:rsid w:val="004E3EF3"/>
    <w:rsid w:val="004E4018"/>
    <w:rsid w:val="004F1EAF"/>
    <w:rsid w:val="004F281D"/>
    <w:rsid w:val="004F33D8"/>
    <w:rsid w:val="004F4FDF"/>
    <w:rsid w:val="004F69FD"/>
    <w:rsid w:val="004F7D4C"/>
    <w:rsid w:val="00502ABC"/>
    <w:rsid w:val="0050427C"/>
    <w:rsid w:val="0051045D"/>
    <w:rsid w:val="00511188"/>
    <w:rsid w:val="00511390"/>
    <w:rsid w:val="00513AB1"/>
    <w:rsid w:val="00513E7B"/>
    <w:rsid w:val="00514688"/>
    <w:rsid w:val="005156C4"/>
    <w:rsid w:val="00520782"/>
    <w:rsid w:val="005258F2"/>
    <w:rsid w:val="005275B9"/>
    <w:rsid w:val="00530DE6"/>
    <w:rsid w:val="005317CA"/>
    <w:rsid w:val="00534D6C"/>
    <w:rsid w:val="00546E0C"/>
    <w:rsid w:val="00556F91"/>
    <w:rsid w:val="0055771A"/>
    <w:rsid w:val="0056079B"/>
    <w:rsid w:val="0056158D"/>
    <w:rsid w:val="00562B00"/>
    <w:rsid w:val="005658FF"/>
    <w:rsid w:val="00570C4A"/>
    <w:rsid w:val="005720A6"/>
    <w:rsid w:val="00573B4E"/>
    <w:rsid w:val="00574CD2"/>
    <w:rsid w:val="00574ECF"/>
    <w:rsid w:val="00580274"/>
    <w:rsid w:val="00582E2A"/>
    <w:rsid w:val="00585349"/>
    <w:rsid w:val="00590664"/>
    <w:rsid w:val="00590FC3"/>
    <w:rsid w:val="00591E5C"/>
    <w:rsid w:val="005970A0"/>
    <w:rsid w:val="005A22BD"/>
    <w:rsid w:val="005A2C67"/>
    <w:rsid w:val="005B0E8C"/>
    <w:rsid w:val="005B204D"/>
    <w:rsid w:val="005B220B"/>
    <w:rsid w:val="005C1E7B"/>
    <w:rsid w:val="005C1F3E"/>
    <w:rsid w:val="005C2485"/>
    <w:rsid w:val="005C393C"/>
    <w:rsid w:val="005D09CC"/>
    <w:rsid w:val="005D1709"/>
    <w:rsid w:val="005D2002"/>
    <w:rsid w:val="005D460F"/>
    <w:rsid w:val="005E249A"/>
    <w:rsid w:val="005E43C2"/>
    <w:rsid w:val="005F43A8"/>
    <w:rsid w:val="005F550B"/>
    <w:rsid w:val="00602C6F"/>
    <w:rsid w:val="0061400F"/>
    <w:rsid w:val="006148A3"/>
    <w:rsid w:val="006168DA"/>
    <w:rsid w:val="00616978"/>
    <w:rsid w:val="00616D9D"/>
    <w:rsid w:val="00617289"/>
    <w:rsid w:val="0062369D"/>
    <w:rsid w:val="00631137"/>
    <w:rsid w:val="00631742"/>
    <w:rsid w:val="00631B57"/>
    <w:rsid w:val="00632405"/>
    <w:rsid w:val="0063251D"/>
    <w:rsid w:val="00632ED1"/>
    <w:rsid w:val="00633086"/>
    <w:rsid w:val="00641492"/>
    <w:rsid w:val="00647B96"/>
    <w:rsid w:val="00647F38"/>
    <w:rsid w:val="00652259"/>
    <w:rsid w:val="00653A89"/>
    <w:rsid w:val="00653C3C"/>
    <w:rsid w:val="006559C8"/>
    <w:rsid w:val="0066357A"/>
    <w:rsid w:val="006830AB"/>
    <w:rsid w:val="00683EBD"/>
    <w:rsid w:val="0069489B"/>
    <w:rsid w:val="006B0034"/>
    <w:rsid w:val="006B073F"/>
    <w:rsid w:val="006B5593"/>
    <w:rsid w:val="006B5DC7"/>
    <w:rsid w:val="006C24DF"/>
    <w:rsid w:val="006C2D93"/>
    <w:rsid w:val="006C6371"/>
    <w:rsid w:val="006D5E21"/>
    <w:rsid w:val="006D608B"/>
    <w:rsid w:val="006D7BC6"/>
    <w:rsid w:val="006E13FC"/>
    <w:rsid w:val="006E3699"/>
    <w:rsid w:val="006E36D4"/>
    <w:rsid w:val="006E4A95"/>
    <w:rsid w:val="006E5921"/>
    <w:rsid w:val="006E791D"/>
    <w:rsid w:val="00704150"/>
    <w:rsid w:val="0070553C"/>
    <w:rsid w:val="00713512"/>
    <w:rsid w:val="007138C1"/>
    <w:rsid w:val="00720790"/>
    <w:rsid w:val="0072400A"/>
    <w:rsid w:val="00724F50"/>
    <w:rsid w:val="00730D2C"/>
    <w:rsid w:val="00731B52"/>
    <w:rsid w:val="00733928"/>
    <w:rsid w:val="007369D7"/>
    <w:rsid w:val="007375EF"/>
    <w:rsid w:val="00741440"/>
    <w:rsid w:val="00741CEE"/>
    <w:rsid w:val="00745BA7"/>
    <w:rsid w:val="007550B7"/>
    <w:rsid w:val="00756CAA"/>
    <w:rsid w:val="007609D3"/>
    <w:rsid w:val="00764B28"/>
    <w:rsid w:val="007701A1"/>
    <w:rsid w:val="00773F0B"/>
    <w:rsid w:val="00784DC1"/>
    <w:rsid w:val="00792371"/>
    <w:rsid w:val="007947D1"/>
    <w:rsid w:val="00796F00"/>
    <w:rsid w:val="007A1410"/>
    <w:rsid w:val="007A2E0E"/>
    <w:rsid w:val="007A35EB"/>
    <w:rsid w:val="007A7DC9"/>
    <w:rsid w:val="007B5CE8"/>
    <w:rsid w:val="007B7890"/>
    <w:rsid w:val="007C11DC"/>
    <w:rsid w:val="007C243A"/>
    <w:rsid w:val="007C36AC"/>
    <w:rsid w:val="007D3A50"/>
    <w:rsid w:val="007D6955"/>
    <w:rsid w:val="007D7FED"/>
    <w:rsid w:val="007E2C12"/>
    <w:rsid w:val="007F3BC2"/>
    <w:rsid w:val="007F44FD"/>
    <w:rsid w:val="007F4F3F"/>
    <w:rsid w:val="00803F6F"/>
    <w:rsid w:val="00810AA0"/>
    <w:rsid w:val="00811008"/>
    <w:rsid w:val="00813A7C"/>
    <w:rsid w:val="008166CF"/>
    <w:rsid w:val="00816E2E"/>
    <w:rsid w:val="008215D4"/>
    <w:rsid w:val="008220C2"/>
    <w:rsid w:val="008266C4"/>
    <w:rsid w:val="008274D2"/>
    <w:rsid w:val="0083288A"/>
    <w:rsid w:val="008354DE"/>
    <w:rsid w:val="00837A26"/>
    <w:rsid w:val="00840333"/>
    <w:rsid w:val="00841DED"/>
    <w:rsid w:val="008451BA"/>
    <w:rsid w:val="00845C3B"/>
    <w:rsid w:val="00845FA1"/>
    <w:rsid w:val="00847729"/>
    <w:rsid w:val="0085063B"/>
    <w:rsid w:val="008536EA"/>
    <w:rsid w:val="00857192"/>
    <w:rsid w:val="00857793"/>
    <w:rsid w:val="00864895"/>
    <w:rsid w:val="00870DE1"/>
    <w:rsid w:val="0087277D"/>
    <w:rsid w:val="00872E10"/>
    <w:rsid w:val="0087568F"/>
    <w:rsid w:val="00882EF6"/>
    <w:rsid w:val="0089347B"/>
    <w:rsid w:val="0089463A"/>
    <w:rsid w:val="0089743E"/>
    <w:rsid w:val="008A603A"/>
    <w:rsid w:val="008A69B5"/>
    <w:rsid w:val="008A7244"/>
    <w:rsid w:val="008C0727"/>
    <w:rsid w:val="008C68D1"/>
    <w:rsid w:val="008D0383"/>
    <w:rsid w:val="008D2E30"/>
    <w:rsid w:val="008D3453"/>
    <w:rsid w:val="008E0DAB"/>
    <w:rsid w:val="008E1EB6"/>
    <w:rsid w:val="008E2BFC"/>
    <w:rsid w:val="008F1A79"/>
    <w:rsid w:val="008F262B"/>
    <w:rsid w:val="008F330B"/>
    <w:rsid w:val="008F77F6"/>
    <w:rsid w:val="0090049F"/>
    <w:rsid w:val="009008AA"/>
    <w:rsid w:val="00904141"/>
    <w:rsid w:val="009300D3"/>
    <w:rsid w:val="00931AEE"/>
    <w:rsid w:val="00935CDE"/>
    <w:rsid w:val="009366F5"/>
    <w:rsid w:val="009369FE"/>
    <w:rsid w:val="00944903"/>
    <w:rsid w:val="00946879"/>
    <w:rsid w:val="00955A00"/>
    <w:rsid w:val="0096168D"/>
    <w:rsid w:val="00961FB4"/>
    <w:rsid w:val="0096205B"/>
    <w:rsid w:val="00967ADE"/>
    <w:rsid w:val="009705F5"/>
    <w:rsid w:val="0097475D"/>
    <w:rsid w:val="009758E5"/>
    <w:rsid w:val="00975E6F"/>
    <w:rsid w:val="0098348B"/>
    <w:rsid w:val="009834F3"/>
    <w:rsid w:val="009908C6"/>
    <w:rsid w:val="00995CCC"/>
    <w:rsid w:val="009969E5"/>
    <w:rsid w:val="009A1C78"/>
    <w:rsid w:val="009A5FB2"/>
    <w:rsid w:val="009A6A4C"/>
    <w:rsid w:val="009B5A68"/>
    <w:rsid w:val="009B6E96"/>
    <w:rsid w:val="009C7CDF"/>
    <w:rsid w:val="009D3AC9"/>
    <w:rsid w:val="009D789B"/>
    <w:rsid w:val="009E3266"/>
    <w:rsid w:val="009E35A3"/>
    <w:rsid w:val="009E5B49"/>
    <w:rsid w:val="009E660F"/>
    <w:rsid w:val="009F4C61"/>
    <w:rsid w:val="009F5803"/>
    <w:rsid w:val="009F5E4E"/>
    <w:rsid w:val="009F673A"/>
    <w:rsid w:val="009F7373"/>
    <w:rsid w:val="00A060E4"/>
    <w:rsid w:val="00A06B51"/>
    <w:rsid w:val="00A071CC"/>
    <w:rsid w:val="00A14E34"/>
    <w:rsid w:val="00A17B13"/>
    <w:rsid w:val="00A2265C"/>
    <w:rsid w:val="00A31F09"/>
    <w:rsid w:val="00A33FEC"/>
    <w:rsid w:val="00A462CC"/>
    <w:rsid w:val="00A465B6"/>
    <w:rsid w:val="00A4709D"/>
    <w:rsid w:val="00A522AA"/>
    <w:rsid w:val="00A5737D"/>
    <w:rsid w:val="00A62352"/>
    <w:rsid w:val="00A63E50"/>
    <w:rsid w:val="00A63E81"/>
    <w:rsid w:val="00A63EA1"/>
    <w:rsid w:val="00A65BA6"/>
    <w:rsid w:val="00A712CF"/>
    <w:rsid w:val="00A739E4"/>
    <w:rsid w:val="00A73DF7"/>
    <w:rsid w:val="00A7729A"/>
    <w:rsid w:val="00A773C9"/>
    <w:rsid w:val="00A8213E"/>
    <w:rsid w:val="00A8463A"/>
    <w:rsid w:val="00A916E4"/>
    <w:rsid w:val="00A91EAC"/>
    <w:rsid w:val="00AA38A4"/>
    <w:rsid w:val="00AA5DA0"/>
    <w:rsid w:val="00AA6A69"/>
    <w:rsid w:val="00AB3E70"/>
    <w:rsid w:val="00AC2E42"/>
    <w:rsid w:val="00AC5E4F"/>
    <w:rsid w:val="00AD53F5"/>
    <w:rsid w:val="00AD5458"/>
    <w:rsid w:val="00AD5A0A"/>
    <w:rsid w:val="00AD68AD"/>
    <w:rsid w:val="00AD6A19"/>
    <w:rsid w:val="00AE02E9"/>
    <w:rsid w:val="00AE0517"/>
    <w:rsid w:val="00AE06BD"/>
    <w:rsid w:val="00AE1D0E"/>
    <w:rsid w:val="00AF1AA7"/>
    <w:rsid w:val="00AF29CD"/>
    <w:rsid w:val="00AF53D9"/>
    <w:rsid w:val="00AF7813"/>
    <w:rsid w:val="00B00B36"/>
    <w:rsid w:val="00B06CFD"/>
    <w:rsid w:val="00B0750E"/>
    <w:rsid w:val="00B120CD"/>
    <w:rsid w:val="00B1657A"/>
    <w:rsid w:val="00B220C2"/>
    <w:rsid w:val="00B26E0F"/>
    <w:rsid w:val="00B345DF"/>
    <w:rsid w:val="00B41026"/>
    <w:rsid w:val="00B413FF"/>
    <w:rsid w:val="00B43384"/>
    <w:rsid w:val="00B452DA"/>
    <w:rsid w:val="00B50453"/>
    <w:rsid w:val="00B50BAE"/>
    <w:rsid w:val="00B54D9C"/>
    <w:rsid w:val="00B56541"/>
    <w:rsid w:val="00B56E6F"/>
    <w:rsid w:val="00B60C33"/>
    <w:rsid w:val="00B62251"/>
    <w:rsid w:val="00B63243"/>
    <w:rsid w:val="00B659E7"/>
    <w:rsid w:val="00B65B0D"/>
    <w:rsid w:val="00B65CC8"/>
    <w:rsid w:val="00B6729E"/>
    <w:rsid w:val="00B702E9"/>
    <w:rsid w:val="00B75958"/>
    <w:rsid w:val="00B77AB3"/>
    <w:rsid w:val="00B77FA6"/>
    <w:rsid w:val="00B844AE"/>
    <w:rsid w:val="00B85160"/>
    <w:rsid w:val="00B859BB"/>
    <w:rsid w:val="00B90854"/>
    <w:rsid w:val="00B93D21"/>
    <w:rsid w:val="00BA2EE8"/>
    <w:rsid w:val="00BB129B"/>
    <w:rsid w:val="00BB2B4B"/>
    <w:rsid w:val="00BB524A"/>
    <w:rsid w:val="00BB7AB2"/>
    <w:rsid w:val="00BC383C"/>
    <w:rsid w:val="00BC7C90"/>
    <w:rsid w:val="00BD04E9"/>
    <w:rsid w:val="00BD43E5"/>
    <w:rsid w:val="00BE4135"/>
    <w:rsid w:val="00BE5DED"/>
    <w:rsid w:val="00BE65DF"/>
    <w:rsid w:val="00BF0A10"/>
    <w:rsid w:val="00BF106C"/>
    <w:rsid w:val="00BF112D"/>
    <w:rsid w:val="00BF4D4F"/>
    <w:rsid w:val="00BF715D"/>
    <w:rsid w:val="00C04FC3"/>
    <w:rsid w:val="00C100F3"/>
    <w:rsid w:val="00C10AD2"/>
    <w:rsid w:val="00C1136C"/>
    <w:rsid w:val="00C12F55"/>
    <w:rsid w:val="00C14C28"/>
    <w:rsid w:val="00C15EB2"/>
    <w:rsid w:val="00C16518"/>
    <w:rsid w:val="00C26D21"/>
    <w:rsid w:val="00C307C8"/>
    <w:rsid w:val="00C33A80"/>
    <w:rsid w:val="00C40669"/>
    <w:rsid w:val="00C42228"/>
    <w:rsid w:val="00C42C24"/>
    <w:rsid w:val="00C42D67"/>
    <w:rsid w:val="00C51755"/>
    <w:rsid w:val="00C52863"/>
    <w:rsid w:val="00C60EAF"/>
    <w:rsid w:val="00C67FA2"/>
    <w:rsid w:val="00C7019E"/>
    <w:rsid w:val="00C7042A"/>
    <w:rsid w:val="00C72E8E"/>
    <w:rsid w:val="00C75C9F"/>
    <w:rsid w:val="00C7705A"/>
    <w:rsid w:val="00C90AE6"/>
    <w:rsid w:val="00C9380A"/>
    <w:rsid w:val="00C95C0A"/>
    <w:rsid w:val="00C96EEE"/>
    <w:rsid w:val="00CA1DD6"/>
    <w:rsid w:val="00CB2D2F"/>
    <w:rsid w:val="00CB52DF"/>
    <w:rsid w:val="00CC175F"/>
    <w:rsid w:val="00CC370F"/>
    <w:rsid w:val="00CC7432"/>
    <w:rsid w:val="00CD48FE"/>
    <w:rsid w:val="00CD5928"/>
    <w:rsid w:val="00CE1416"/>
    <w:rsid w:val="00CF1B0D"/>
    <w:rsid w:val="00CF6180"/>
    <w:rsid w:val="00CF7073"/>
    <w:rsid w:val="00D02186"/>
    <w:rsid w:val="00D152A4"/>
    <w:rsid w:val="00D1557C"/>
    <w:rsid w:val="00D26DED"/>
    <w:rsid w:val="00D31D67"/>
    <w:rsid w:val="00D320CE"/>
    <w:rsid w:val="00D32312"/>
    <w:rsid w:val="00D348EB"/>
    <w:rsid w:val="00D365EF"/>
    <w:rsid w:val="00D40848"/>
    <w:rsid w:val="00D42C79"/>
    <w:rsid w:val="00D432F2"/>
    <w:rsid w:val="00D46BDF"/>
    <w:rsid w:val="00D53EF7"/>
    <w:rsid w:val="00D62773"/>
    <w:rsid w:val="00D743FC"/>
    <w:rsid w:val="00D76E7E"/>
    <w:rsid w:val="00D8084A"/>
    <w:rsid w:val="00D80858"/>
    <w:rsid w:val="00D81D27"/>
    <w:rsid w:val="00D84B81"/>
    <w:rsid w:val="00D935A2"/>
    <w:rsid w:val="00D93EC5"/>
    <w:rsid w:val="00DA0398"/>
    <w:rsid w:val="00DA1A1F"/>
    <w:rsid w:val="00DA2FFB"/>
    <w:rsid w:val="00DB0141"/>
    <w:rsid w:val="00DB0A59"/>
    <w:rsid w:val="00DB1B50"/>
    <w:rsid w:val="00DB545A"/>
    <w:rsid w:val="00DB5F9F"/>
    <w:rsid w:val="00DB7D79"/>
    <w:rsid w:val="00DB7EE9"/>
    <w:rsid w:val="00DC24FD"/>
    <w:rsid w:val="00DC5FE9"/>
    <w:rsid w:val="00DC7643"/>
    <w:rsid w:val="00DD237A"/>
    <w:rsid w:val="00DD76EA"/>
    <w:rsid w:val="00DE6014"/>
    <w:rsid w:val="00DE62AD"/>
    <w:rsid w:val="00DF4459"/>
    <w:rsid w:val="00E030A8"/>
    <w:rsid w:val="00E05D2E"/>
    <w:rsid w:val="00E071CD"/>
    <w:rsid w:val="00E076D0"/>
    <w:rsid w:val="00E1050B"/>
    <w:rsid w:val="00E10F2A"/>
    <w:rsid w:val="00E152FF"/>
    <w:rsid w:val="00E21915"/>
    <w:rsid w:val="00E23B8B"/>
    <w:rsid w:val="00E23CE7"/>
    <w:rsid w:val="00E27B5C"/>
    <w:rsid w:val="00E3018F"/>
    <w:rsid w:val="00E32A09"/>
    <w:rsid w:val="00E3679C"/>
    <w:rsid w:val="00E41A5B"/>
    <w:rsid w:val="00E44CF3"/>
    <w:rsid w:val="00E500B7"/>
    <w:rsid w:val="00E51DC7"/>
    <w:rsid w:val="00E56B01"/>
    <w:rsid w:val="00E57BC0"/>
    <w:rsid w:val="00E636D4"/>
    <w:rsid w:val="00E64785"/>
    <w:rsid w:val="00E65AC9"/>
    <w:rsid w:val="00E7382A"/>
    <w:rsid w:val="00E7704B"/>
    <w:rsid w:val="00E8073F"/>
    <w:rsid w:val="00E82C93"/>
    <w:rsid w:val="00E83A72"/>
    <w:rsid w:val="00E87A37"/>
    <w:rsid w:val="00E907F0"/>
    <w:rsid w:val="00E90863"/>
    <w:rsid w:val="00E917DE"/>
    <w:rsid w:val="00E92F24"/>
    <w:rsid w:val="00E94BD8"/>
    <w:rsid w:val="00EA673A"/>
    <w:rsid w:val="00EB7070"/>
    <w:rsid w:val="00EC1384"/>
    <w:rsid w:val="00EC2224"/>
    <w:rsid w:val="00EC2802"/>
    <w:rsid w:val="00EC6CAE"/>
    <w:rsid w:val="00ED1193"/>
    <w:rsid w:val="00ED4155"/>
    <w:rsid w:val="00EF6FB6"/>
    <w:rsid w:val="00EF74ED"/>
    <w:rsid w:val="00F0137B"/>
    <w:rsid w:val="00F01556"/>
    <w:rsid w:val="00F038F1"/>
    <w:rsid w:val="00F05174"/>
    <w:rsid w:val="00F117E5"/>
    <w:rsid w:val="00F25E91"/>
    <w:rsid w:val="00F2660A"/>
    <w:rsid w:val="00F27FA8"/>
    <w:rsid w:val="00F30142"/>
    <w:rsid w:val="00F31DFD"/>
    <w:rsid w:val="00F323AC"/>
    <w:rsid w:val="00F4189F"/>
    <w:rsid w:val="00F4448B"/>
    <w:rsid w:val="00F44FB1"/>
    <w:rsid w:val="00F462C6"/>
    <w:rsid w:val="00F46740"/>
    <w:rsid w:val="00F51DCA"/>
    <w:rsid w:val="00F55B42"/>
    <w:rsid w:val="00F56707"/>
    <w:rsid w:val="00F65F1B"/>
    <w:rsid w:val="00F66EAA"/>
    <w:rsid w:val="00F70BE6"/>
    <w:rsid w:val="00F71956"/>
    <w:rsid w:val="00F72B7E"/>
    <w:rsid w:val="00F75EA9"/>
    <w:rsid w:val="00F80830"/>
    <w:rsid w:val="00F81154"/>
    <w:rsid w:val="00F824E7"/>
    <w:rsid w:val="00F85F64"/>
    <w:rsid w:val="00F939FC"/>
    <w:rsid w:val="00F93B55"/>
    <w:rsid w:val="00FA3624"/>
    <w:rsid w:val="00FA5371"/>
    <w:rsid w:val="00FB4178"/>
    <w:rsid w:val="00FB42F1"/>
    <w:rsid w:val="00FC02BE"/>
    <w:rsid w:val="00FC3E9A"/>
    <w:rsid w:val="00FC6CA8"/>
    <w:rsid w:val="00FC6FE9"/>
    <w:rsid w:val="00FC7853"/>
    <w:rsid w:val="00FD28FA"/>
    <w:rsid w:val="00FD3BB5"/>
    <w:rsid w:val="00FD5BC1"/>
    <w:rsid w:val="00FE26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BF4C0A"/>
  <w15:docId w15:val="{19312116-D4D3-4C56-8E85-617340AF9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1160B1"/>
    <w:pPr>
      <w:keepNext/>
      <w:spacing w:before="240" w:after="60"/>
      <w:outlineLvl w:val="0"/>
    </w:pPr>
    <w:rPr>
      <w:rFonts w:ascii="Arial" w:eastAsia="SimSun" w:hAnsi="Arial" w:cs="Arial"/>
      <w:b/>
      <w:bCs/>
      <w:kern w:val="32"/>
      <w:sz w:val="32"/>
      <w:szCs w:val="32"/>
      <w:lang w:eastAsia="zh-CN"/>
    </w:rPr>
  </w:style>
  <w:style w:type="paragraph" w:styleId="Nadpis2">
    <w:name w:val="heading 2"/>
    <w:basedOn w:val="Normln"/>
    <w:next w:val="Normln"/>
    <w:link w:val="Nadpis2Char"/>
    <w:uiPriority w:val="99"/>
    <w:qFormat/>
    <w:rsid w:val="001160B1"/>
    <w:pPr>
      <w:keepNext/>
      <w:spacing w:before="240" w:after="60"/>
      <w:outlineLvl w:val="1"/>
    </w:pPr>
    <w:rPr>
      <w:rFonts w:ascii="Arial" w:eastAsia="SimSun" w:hAnsi="Arial" w:cs="Arial"/>
      <w:b/>
      <w:bCs/>
      <w:i/>
      <w:iCs/>
      <w:sz w:val="28"/>
      <w:szCs w:val="28"/>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E3BB2"/>
    <w:pPr>
      <w:ind w:left="720"/>
      <w:contextualSpacing/>
    </w:pPr>
  </w:style>
  <w:style w:type="character" w:customStyle="1" w:styleId="ZkladntextChar">
    <w:name w:val="Základní text Char"/>
    <w:basedOn w:val="Standardnpsmoodstavce"/>
    <w:link w:val="Tlotextu"/>
    <w:uiPriority w:val="99"/>
    <w:locked/>
    <w:rsid w:val="00AF29CD"/>
    <w:rPr>
      <w:sz w:val="24"/>
      <w:szCs w:val="24"/>
      <w:lang w:eastAsia="zh-CN"/>
    </w:rPr>
  </w:style>
  <w:style w:type="paragraph" w:customStyle="1" w:styleId="Tlotextu">
    <w:name w:val="Tělo textu"/>
    <w:basedOn w:val="Normln"/>
    <w:link w:val="ZkladntextChar"/>
    <w:uiPriority w:val="99"/>
    <w:unhideWhenUsed/>
    <w:rsid w:val="00AF29CD"/>
    <w:pPr>
      <w:widowControl w:val="0"/>
      <w:suppressAutoHyphens/>
      <w:spacing w:before="113" w:line="288" w:lineRule="auto"/>
      <w:jc w:val="both"/>
    </w:pPr>
    <w:rPr>
      <w:rFonts w:asciiTheme="minorHAnsi" w:eastAsiaTheme="minorHAnsi" w:hAnsiTheme="minorHAnsi" w:cstheme="minorBidi"/>
      <w:lang w:eastAsia="zh-CN"/>
    </w:rPr>
  </w:style>
  <w:style w:type="character" w:customStyle="1" w:styleId="Znakypropoznmkupodarou">
    <w:name w:val="Znaky pro poznámku pod čarou"/>
    <w:uiPriority w:val="99"/>
    <w:rsid w:val="00AF29CD"/>
  </w:style>
  <w:style w:type="character" w:customStyle="1" w:styleId="Ukotvenpoznmkypodarou">
    <w:name w:val="Ukotvení poznámky pod čarou"/>
    <w:rsid w:val="00AF29CD"/>
    <w:rPr>
      <w:vertAlign w:val="superscript"/>
    </w:rPr>
  </w:style>
  <w:style w:type="paragraph" w:customStyle="1" w:styleId="Poznmkapodarou">
    <w:name w:val="Poznámka pod čarou"/>
    <w:basedOn w:val="Normln"/>
    <w:rsid w:val="00AF29CD"/>
    <w:pPr>
      <w:widowControl w:val="0"/>
      <w:suppressAutoHyphens/>
      <w:spacing w:line="276" w:lineRule="auto"/>
      <w:jc w:val="both"/>
    </w:pPr>
    <w:rPr>
      <w:rFonts w:eastAsia="Calibri"/>
      <w:color w:val="00000A"/>
      <w:lang w:eastAsia="zh-CN"/>
    </w:rPr>
  </w:style>
  <w:style w:type="paragraph" w:customStyle="1" w:styleId="Default">
    <w:name w:val="Default"/>
    <w:rsid w:val="00904141"/>
    <w:pPr>
      <w:autoSpaceDE w:val="0"/>
      <w:autoSpaceDN w:val="0"/>
      <w:adjustRightInd w:val="0"/>
      <w:spacing w:after="0" w:line="240" w:lineRule="auto"/>
    </w:pPr>
    <w:rPr>
      <w:rFonts w:ascii="Verdana" w:hAnsi="Verdana" w:cs="Verdana"/>
      <w:color w:val="000000"/>
      <w:sz w:val="24"/>
      <w:szCs w:val="24"/>
    </w:rPr>
  </w:style>
  <w:style w:type="paragraph" w:styleId="Prosttext">
    <w:name w:val="Plain Text"/>
    <w:aliases w:val="Char Char"/>
    <w:basedOn w:val="Normln"/>
    <w:link w:val="ProsttextChar"/>
    <w:uiPriority w:val="99"/>
    <w:rsid w:val="00E636D4"/>
    <w:pPr>
      <w:spacing w:after="60" w:line="288" w:lineRule="auto"/>
      <w:jc w:val="both"/>
    </w:pPr>
    <w:rPr>
      <w:rFonts w:ascii="Courier New" w:hAnsi="Courier New" w:cs="Courier New"/>
      <w:sz w:val="20"/>
      <w:szCs w:val="20"/>
    </w:rPr>
  </w:style>
  <w:style w:type="character" w:customStyle="1" w:styleId="ProsttextChar">
    <w:name w:val="Prostý text Char"/>
    <w:aliases w:val="Char Char Char"/>
    <w:basedOn w:val="Standardnpsmoodstavce"/>
    <w:link w:val="Prosttext"/>
    <w:uiPriority w:val="99"/>
    <w:rsid w:val="00E636D4"/>
    <w:rPr>
      <w:rFonts w:ascii="Courier New" w:eastAsia="Times New Roman" w:hAnsi="Courier New" w:cs="Courier New"/>
      <w:sz w:val="20"/>
      <w:szCs w:val="20"/>
      <w:lang w:eastAsia="cs-CZ"/>
    </w:rPr>
  </w:style>
  <w:style w:type="character" w:customStyle="1" w:styleId="A2">
    <w:name w:val="A2"/>
    <w:uiPriority w:val="99"/>
    <w:rsid w:val="00E636D4"/>
    <w:rPr>
      <w:color w:val="000000"/>
    </w:rPr>
  </w:style>
  <w:style w:type="paragraph" w:customStyle="1" w:styleId="Pa2">
    <w:name w:val="Pa2"/>
    <w:basedOn w:val="Default"/>
    <w:next w:val="Default"/>
    <w:uiPriority w:val="99"/>
    <w:rsid w:val="00E636D4"/>
    <w:pPr>
      <w:spacing w:line="241" w:lineRule="atLeast"/>
    </w:pPr>
    <w:rPr>
      <w:rFonts w:ascii="Futura CE" w:eastAsia="Calibri" w:hAnsi="Futura CE" w:cs="Times New Roman"/>
      <w:color w:val="auto"/>
      <w:lang w:eastAsia="cs-CZ"/>
    </w:rPr>
  </w:style>
  <w:style w:type="paragraph" w:customStyle="1" w:styleId="Pa3">
    <w:name w:val="Pa3"/>
    <w:basedOn w:val="Normln"/>
    <w:next w:val="Normln"/>
    <w:uiPriority w:val="99"/>
    <w:rsid w:val="00E636D4"/>
    <w:pPr>
      <w:autoSpaceDE w:val="0"/>
      <w:autoSpaceDN w:val="0"/>
      <w:adjustRightInd w:val="0"/>
      <w:spacing w:line="241" w:lineRule="atLeast"/>
    </w:pPr>
    <w:rPr>
      <w:rFonts w:ascii="Futura CE" w:eastAsiaTheme="minorHAnsi" w:hAnsi="Futura CE" w:cstheme="minorBidi"/>
      <w:lang w:eastAsia="en-US"/>
    </w:rPr>
  </w:style>
  <w:style w:type="character" w:customStyle="1" w:styleId="Nadpis1Char">
    <w:name w:val="Nadpis 1 Char"/>
    <w:basedOn w:val="Standardnpsmoodstavce"/>
    <w:link w:val="Nadpis1"/>
    <w:uiPriority w:val="99"/>
    <w:rsid w:val="001160B1"/>
    <w:rPr>
      <w:rFonts w:ascii="Arial" w:eastAsia="SimSun" w:hAnsi="Arial" w:cs="Arial"/>
      <w:b/>
      <w:bCs/>
      <w:kern w:val="32"/>
      <w:sz w:val="32"/>
      <w:szCs w:val="32"/>
      <w:lang w:eastAsia="zh-CN"/>
    </w:rPr>
  </w:style>
  <w:style w:type="character" w:customStyle="1" w:styleId="Nadpis2Char">
    <w:name w:val="Nadpis 2 Char"/>
    <w:basedOn w:val="Standardnpsmoodstavce"/>
    <w:link w:val="Nadpis2"/>
    <w:uiPriority w:val="99"/>
    <w:rsid w:val="001160B1"/>
    <w:rPr>
      <w:rFonts w:ascii="Arial" w:eastAsia="SimSun" w:hAnsi="Arial" w:cs="Arial"/>
      <w:b/>
      <w:bCs/>
      <w:i/>
      <w:iCs/>
      <w:sz w:val="28"/>
      <w:szCs w:val="28"/>
      <w:lang w:eastAsia="zh-CN"/>
    </w:rPr>
  </w:style>
  <w:style w:type="paragraph" w:styleId="Textkomente">
    <w:name w:val="annotation text"/>
    <w:basedOn w:val="Normln"/>
    <w:link w:val="TextkomenteChar"/>
    <w:uiPriority w:val="99"/>
    <w:semiHidden/>
    <w:rsid w:val="001160B1"/>
    <w:pPr>
      <w:spacing w:after="60" w:line="288" w:lineRule="auto"/>
      <w:jc w:val="both"/>
    </w:pPr>
    <w:rPr>
      <w:sz w:val="20"/>
      <w:szCs w:val="20"/>
    </w:rPr>
  </w:style>
  <w:style w:type="character" w:customStyle="1" w:styleId="TextkomenteChar">
    <w:name w:val="Text komentáře Char"/>
    <w:basedOn w:val="Standardnpsmoodstavce"/>
    <w:link w:val="Textkomente"/>
    <w:uiPriority w:val="99"/>
    <w:semiHidden/>
    <w:rsid w:val="001160B1"/>
    <w:rPr>
      <w:rFonts w:ascii="Times New Roman" w:eastAsia="Times New Roman" w:hAnsi="Times New Roman" w:cs="Times New Roman"/>
      <w:sz w:val="20"/>
      <w:szCs w:val="20"/>
      <w:lang w:eastAsia="cs-CZ"/>
    </w:rPr>
  </w:style>
  <w:style w:type="character" w:customStyle="1" w:styleId="locality">
    <w:name w:val="locality"/>
    <w:rsid w:val="008F262B"/>
  </w:style>
  <w:style w:type="character" w:customStyle="1" w:styleId="material-noaccess-link">
    <w:name w:val="material-noaccess-link"/>
    <w:basedOn w:val="Standardnpsmoodstavce"/>
    <w:rsid w:val="0028411C"/>
  </w:style>
  <w:style w:type="paragraph" w:customStyle="1" w:styleId="Styl1-Nzevmaterilu">
    <w:name w:val="Styl1 - Název materiálu"/>
    <w:basedOn w:val="Normln"/>
    <w:link w:val="Styl1-NzevmateriluChar"/>
    <w:qFormat/>
    <w:rsid w:val="00D432F2"/>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D432F2"/>
    <w:rPr>
      <w:rFonts w:ascii="Arial" w:eastAsia="Times New Roman" w:hAnsi="Arial" w:cs="Arial"/>
      <w:b/>
      <w:noProof/>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C52863"/>
    <w:pPr>
      <w:spacing w:after="160" w:line="240" w:lineRule="exact"/>
    </w:pPr>
    <w:rPr>
      <w:rFonts w:ascii="Times New Roman Bold" w:hAnsi="Times New Roman Bold"/>
      <w:sz w:val="22"/>
      <w:szCs w:val="26"/>
      <w:lang w:val="sk-SK" w:eastAsia="en-US"/>
    </w:rPr>
  </w:style>
  <w:style w:type="character" w:styleId="Hypertextovodkaz">
    <w:name w:val="Hyperlink"/>
    <w:basedOn w:val="Standardnpsmoodstavce"/>
    <w:uiPriority w:val="99"/>
    <w:semiHidden/>
    <w:unhideWhenUsed/>
    <w:rsid w:val="0056079B"/>
    <w:rPr>
      <w:color w:val="153B88"/>
      <w:u w:val="single"/>
    </w:rPr>
  </w:style>
  <w:style w:type="paragraph" w:customStyle="1" w:styleId="Char4CharCharCharCharCharCharCharCharCharCharCharCharCharCharCharCharCharCharCharCharCharCharCharCharCharCharCharChar0">
    <w:name w:val="Char4 Char Char Char Char Char Char Char Char Char Char Char Char Char Char Char Char Char Char Char Char Char Char Char Char Char Char Char Char"/>
    <w:basedOn w:val="Normln"/>
    <w:rsid w:val="004D1459"/>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1">
    <w:name w:val="Char4 Char Char Char Char Char Char Char Char Char Char Char Char Char Char Char Char Char Char Char Char Char Char Char Char Char Char Char Char"/>
    <w:basedOn w:val="Normln"/>
    <w:rsid w:val="00D46BDF"/>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2">
    <w:name w:val="Char4 Char Char Char Char Char Char Char Char Char Char Char Char Char Char Char Char Char Char Char Char Char Char Char Char Char Char Char Char"/>
    <w:basedOn w:val="Normln"/>
    <w:rsid w:val="004F281D"/>
    <w:pPr>
      <w:spacing w:after="160" w:line="240" w:lineRule="exact"/>
    </w:pPr>
    <w:rPr>
      <w:rFonts w:ascii="Times New Roman Bold" w:hAnsi="Times New Roman Bold"/>
      <w:sz w:val="22"/>
      <w:szCs w:val="26"/>
      <w:lang w:val="sk-SK" w:eastAsia="en-US"/>
    </w:rPr>
  </w:style>
  <w:style w:type="character" w:styleId="Siln">
    <w:name w:val="Strong"/>
    <w:basedOn w:val="Standardnpsmoodstavce"/>
    <w:uiPriority w:val="22"/>
    <w:qFormat/>
    <w:rsid w:val="007F3BC2"/>
    <w:rPr>
      <w:b/>
      <w:bCs/>
    </w:rPr>
  </w:style>
  <w:style w:type="paragraph" w:styleId="Textpoznpodarou">
    <w:name w:val="footnote text"/>
    <w:basedOn w:val="Normln"/>
    <w:link w:val="TextpoznpodarouChar"/>
    <w:uiPriority w:val="99"/>
    <w:semiHidden/>
    <w:unhideWhenUsed/>
    <w:rsid w:val="006E5921"/>
    <w:rPr>
      <w:sz w:val="20"/>
      <w:szCs w:val="20"/>
    </w:rPr>
  </w:style>
  <w:style w:type="character" w:customStyle="1" w:styleId="TextpoznpodarouChar">
    <w:name w:val="Text pozn. pod čarou Char"/>
    <w:basedOn w:val="Standardnpsmoodstavce"/>
    <w:link w:val="Textpoznpodarou"/>
    <w:uiPriority w:val="99"/>
    <w:semiHidden/>
    <w:rsid w:val="006E592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6E5921"/>
    <w:rPr>
      <w:vertAlign w:val="superscript"/>
    </w:rPr>
  </w:style>
  <w:style w:type="paragraph" w:styleId="Bezmezer">
    <w:name w:val="No Spacing"/>
    <w:uiPriority w:val="1"/>
    <w:qFormat/>
    <w:rsid w:val="00BB7AB2"/>
    <w:pPr>
      <w:spacing w:after="0" w:line="240" w:lineRule="auto"/>
    </w:pPr>
    <w:rPr>
      <w:rFonts w:ascii="Arial" w:eastAsia="Arial" w:hAnsi="Arial" w:cs="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9227">
      <w:bodyDiv w:val="1"/>
      <w:marLeft w:val="0"/>
      <w:marRight w:val="0"/>
      <w:marTop w:val="0"/>
      <w:marBottom w:val="0"/>
      <w:divBdr>
        <w:top w:val="none" w:sz="0" w:space="0" w:color="auto"/>
        <w:left w:val="none" w:sz="0" w:space="0" w:color="auto"/>
        <w:bottom w:val="none" w:sz="0" w:space="0" w:color="auto"/>
        <w:right w:val="none" w:sz="0" w:space="0" w:color="auto"/>
      </w:divBdr>
      <w:divsChild>
        <w:div w:id="588544866">
          <w:marLeft w:val="0"/>
          <w:marRight w:val="0"/>
          <w:marTop w:val="0"/>
          <w:marBottom w:val="0"/>
          <w:divBdr>
            <w:top w:val="none" w:sz="0" w:space="0" w:color="auto"/>
            <w:left w:val="none" w:sz="0" w:space="0" w:color="auto"/>
            <w:bottom w:val="none" w:sz="0" w:space="0" w:color="auto"/>
            <w:right w:val="none" w:sz="0" w:space="0" w:color="auto"/>
          </w:divBdr>
        </w:div>
      </w:divsChild>
    </w:div>
    <w:div w:id="179704902">
      <w:bodyDiv w:val="1"/>
      <w:marLeft w:val="0"/>
      <w:marRight w:val="0"/>
      <w:marTop w:val="0"/>
      <w:marBottom w:val="0"/>
      <w:divBdr>
        <w:top w:val="none" w:sz="0" w:space="0" w:color="auto"/>
        <w:left w:val="none" w:sz="0" w:space="0" w:color="auto"/>
        <w:bottom w:val="none" w:sz="0" w:space="0" w:color="auto"/>
        <w:right w:val="none" w:sz="0" w:space="0" w:color="auto"/>
      </w:divBdr>
    </w:div>
    <w:div w:id="258029758">
      <w:bodyDiv w:val="1"/>
      <w:marLeft w:val="0"/>
      <w:marRight w:val="0"/>
      <w:marTop w:val="0"/>
      <w:marBottom w:val="0"/>
      <w:divBdr>
        <w:top w:val="none" w:sz="0" w:space="0" w:color="auto"/>
        <w:left w:val="none" w:sz="0" w:space="0" w:color="auto"/>
        <w:bottom w:val="none" w:sz="0" w:space="0" w:color="auto"/>
        <w:right w:val="none" w:sz="0" w:space="0" w:color="auto"/>
      </w:divBdr>
    </w:div>
    <w:div w:id="314840641">
      <w:bodyDiv w:val="1"/>
      <w:marLeft w:val="0"/>
      <w:marRight w:val="0"/>
      <w:marTop w:val="0"/>
      <w:marBottom w:val="0"/>
      <w:divBdr>
        <w:top w:val="none" w:sz="0" w:space="0" w:color="auto"/>
        <w:left w:val="none" w:sz="0" w:space="0" w:color="auto"/>
        <w:bottom w:val="none" w:sz="0" w:space="0" w:color="auto"/>
        <w:right w:val="none" w:sz="0" w:space="0" w:color="auto"/>
      </w:divBdr>
    </w:div>
    <w:div w:id="326792408">
      <w:bodyDiv w:val="1"/>
      <w:marLeft w:val="0"/>
      <w:marRight w:val="0"/>
      <w:marTop w:val="0"/>
      <w:marBottom w:val="0"/>
      <w:divBdr>
        <w:top w:val="none" w:sz="0" w:space="0" w:color="auto"/>
        <w:left w:val="none" w:sz="0" w:space="0" w:color="auto"/>
        <w:bottom w:val="none" w:sz="0" w:space="0" w:color="auto"/>
        <w:right w:val="none" w:sz="0" w:space="0" w:color="auto"/>
      </w:divBdr>
    </w:div>
    <w:div w:id="1030957679">
      <w:bodyDiv w:val="1"/>
      <w:marLeft w:val="0"/>
      <w:marRight w:val="0"/>
      <w:marTop w:val="0"/>
      <w:marBottom w:val="0"/>
      <w:divBdr>
        <w:top w:val="none" w:sz="0" w:space="0" w:color="auto"/>
        <w:left w:val="none" w:sz="0" w:space="0" w:color="auto"/>
        <w:bottom w:val="none" w:sz="0" w:space="0" w:color="auto"/>
        <w:right w:val="none" w:sz="0" w:space="0" w:color="auto"/>
      </w:divBdr>
    </w:div>
    <w:div w:id="1053966255">
      <w:bodyDiv w:val="1"/>
      <w:marLeft w:val="0"/>
      <w:marRight w:val="0"/>
      <w:marTop w:val="0"/>
      <w:marBottom w:val="0"/>
      <w:divBdr>
        <w:top w:val="none" w:sz="0" w:space="0" w:color="auto"/>
        <w:left w:val="none" w:sz="0" w:space="0" w:color="auto"/>
        <w:bottom w:val="none" w:sz="0" w:space="0" w:color="auto"/>
        <w:right w:val="none" w:sz="0" w:space="0" w:color="auto"/>
      </w:divBdr>
    </w:div>
    <w:div w:id="1082994235">
      <w:bodyDiv w:val="1"/>
      <w:marLeft w:val="0"/>
      <w:marRight w:val="0"/>
      <w:marTop w:val="0"/>
      <w:marBottom w:val="0"/>
      <w:divBdr>
        <w:top w:val="none" w:sz="0" w:space="0" w:color="auto"/>
        <w:left w:val="none" w:sz="0" w:space="0" w:color="auto"/>
        <w:bottom w:val="none" w:sz="0" w:space="0" w:color="auto"/>
        <w:right w:val="none" w:sz="0" w:space="0" w:color="auto"/>
      </w:divBdr>
      <w:divsChild>
        <w:div w:id="1547840547">
          <w:marLeft w:val="0"/>
          <w:marRight w:val="0"/>
          <w:marTop w:val="0"/>
          <w:marBottom w:val="0"/>
          <w:divBdr>
            <w:top w:val="none" w:sz="0" w:space="0" w:color="auto"/>
            <w:left w:val="none" w:sz="0" w:space="0" w:color="auto"/>
            <w:bottom w:val="none" w:sz="0" w:space="0" w:color="auto"/>
            <w:right w:val="none" w:sz="0" w:space="0" w:color="auto"/>
          </w:divBdr>
          <w:divsChild>
            <w:div w:id="1134563461">
              <w:marLeft w:val="0"/>
              <w:marRight w:val="0"/>
              <w:marTop w:val="0"/>
              <w:marBottom w:val="0"/>
              <w:divBdr>
                <w:top w:val="none" w:sz="0" w:space="0" w:color="auto"/>
                <w:left w:val="none" w:sz="0" w:space="0" w:color="auto"/>
                <w:bottom w:val="none" w:sz="0" w:space="0" w:color="auto"/>
                <w:right w:val="none" w:sz="0" w:space="0" w:color="auto"/>
              </w:divBdr>
              <w:divsChild>
                <w:div w:id="1035496017">
                  <w:marLeft w:val="0"/>
                  <w:marRight w:val="0"/>
                  <w:marTop w:val="0"/>
                  <w:marBottom w:val="0"/>
                  <w:divBdr>
                    <w:top w:val="none" w:sz="0" w:space="0" w:color="auto"/>
                    <w:left w:val="none" w:sz="0" w:space="0" w:color="auto"/>
                    <w:bottom w:val="none" w:sz="0" w:space="0" w:color="auto"/>
                    <w:right w:val="none" w:sz="0" w:space="0" w:color="auto"/>
                  </w:divBdr>
                  <w:divsChild>
                    <w:div w:id="1592009141">
                      <w:marLeft w:val="0"/>
                      <w:marRight w:val="0"/>
                      <w:marTop w:val="0"/>
                      <w:marBottom w:val="0"/>
                      <w:divBdr>
                        <w:top w:val="none" w:sz="0" w:space="0" w:color="auto"/>
                        <w:left w:val="none" w:sz="0" w:space="0" w:color="auto"/>
                        <w:bottom w:val="none" w:sz="0" w:space="0" w:color="auto"/>
                        <w:right w:val="none" w:sz="0" w:space="0" w:color="auto"/>
                      </w:divBdr>
                      <w:divsChild>
                        <w:div w:id="49159813">
                          <w:marLeft w:val="0"/>
                          <w:marRight w:val="0"/>
                          <w:marTop w:val="0"/>
                          <w:marBottom w:val="0"/>
                          <w:divBdr>
                            <w:top w:val="none" w:sz="0" w:space="0" w:color="auto"/>
                            <w:left w:val="none" w:sz="0" w:space="0" w:color="auto"/>
                            <w:bottom w:val="none" w:sz="0" w:space="0" w:color="auto"/>
                            <w:right w:val="none" w:sz="0" w:space="0" w:color="auto"/>
                          </w:divBdr>
                          <w:divsChild>
                            <w:div w:id="1391152420">
                              <w:marLeft w:val="0"/>
                              <w:marRight w:val="0"/>
                              <w:marTop w:val="0"/>
                              <w:marBottom w:val="0"/>
                              <w:divBdr>
                                <w:top w:val="none" w:sz="0" w:space="0" w:color="auto"/>
                                <w:left w:val="none" w:sz="0" w:space="0" w:color="auto"/>
                                <w:bottom w:val="none" w:sz="0" w:space="0" w:color="auto"/>
                                <w:right w:val="none" w:sz="0" w:space="0" w:color="auto"/>
                              </w:divBdr>
                              <w:divsChild>
                                <w:div w:id="1768503692">
                                  <w:marLeft w:val="0"/>
                                  <w:marRight w:val="0"/>
                                  <w:marTop w:val="0"/>
                                  <w:marBottom w:val="0"/>
                                  <w:divBdr>
                                    <w:top w:val="none" w:sz="0" w:space="0" w:color="auto"/>
                                    <w:left w:val="none" w:sz="0" w:space="0" w:color="auto"/>
                                    <w:bottom w:val="none" w:sz="0" w:space="0" w:color="auto"/>
                                    <w:right w:val="none" w:sz="0" w:space="0" w:color="auto"/>
                                  </w:divBdr>
                                  <w:divsChild>
                                    <w:div w:id="1669748535">
                                      <w:marLeft w:val="0"/>
                                      <w:marRight w:val="0"/>
                                      <w:marTop w:val="0"/>
                                      <w:marBottom w:val="0"/>
                                      <w:divBdr>
                                        <w:top w:val="none" w:sz="0" w:space="0" w:color="auto"/>
                                        <w:left w:val="none" w:sz="0" w:space="0" w:color="auto"/>
                                        <w:bottom w:val="none" w:sz="0" w:space="0" w:color="auto"/>
                                        <w:right w:val="none" w:sz="0" w:space="0" w:color="auto"/>
                                      </w:divBdr>
                                      <w:divsChild>
                                        <w:div w:id="25563336">
                                          <w:marLeft w:val="0"/>
                                          <w:marRight w:val="0"/>
                                          <w:marTop w:val="0"/>
                                          <w:marBottom w:val="0"/>
                                          <w:divBdr>
                                            <w:top w:val="none" w:sz="0" w:space="0" w:color="auto"/>
                                            <w:left w:val="none" w:sz="0" w:space="0" w:color="auto"/>
                                            <w:bottom w:val="none" w:sz="0" w:space="0" w:color="auto"/>
                                            <w:right w:val="none" w:sz="0" w:space="0" w:color="auto"/>
                                          </w:divBdr>
                                          <w:divsChild>
                                            <w:div w:id="944582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3011982">
      <w:bodyDiv w:val="1"/>
      <w:marLeft w:val="0"/>
      <w:marRight w:val="0"/>
      <w:marTop w:val="0"/>
      <w:marBottom w:val="0"/>
      <w:divBdr>
        <w:top w:val="none" w:sz="0" w:space="0" w:color="auto"/>
        <w:left w:val="none" w:sz="0" w:space="0" w:color="auto"/>
        <w:bottom w:val="none" w:sz="0" w:space="0" w:color="auto"/>
        <w:right w:val="none" w:sz="0" w:space="0" w:color="auto"/>
      </w:divBdr>
      <w:divsChild>
        <w:div w:id="868300745">
          <w:marLeft w:val="0"/>
          <w:marRight w:val="0"/>
          <w:marTop w:val="0"/>
          <w:marBottom w:val="0"/>
          <w:divBdr>
            <w:top w:val="none" w:sz="0" w:space="0" w:color="auto"/>
            <w:left w:val="none" w:sz="0" w:space="0" w:color="auto"/>
            <w:bottom w:val="none" w:sz="0" w:space="0" w:color="auto"/>
            <w:right w:val="none" w:sz="0" w:space="0" w:color="auto"/>
          </w:divBdr>
          <w:divsChild>
            <w:div w:id="229780191">
              <w:marLeft w:val="0"/>
              <w:marRight w:val="0"/>
              <w:marTop w:val="0"/>
              <w:marBottom w:val="0"/>
              <w:divBdr>
                <w:top w:val="none" w:sz="0" w:space="0" w:color="auto"/>
                <w:left w:val="none" w:sz="0" w:space="0" w:color="auto"/>
                <w:bottom w:val="none" w:sz="0" w:space="0" w:color="auto"/>
                <w:right w:val="none" w:sz="0" w:space="0" w:color="auto"/>
              </w:divBdr>
              <w:divsChild>
                <w:div w:id="1101491321">
                  <w:marLeft w:val="0"/>
                  <w:marRight w:val="0"/>
                  <w:marTop w:val="0"/>
                  <w:marBottom w:val="0"/>
                  <w:divBdr>
                    <w:top w:val="none" w:sz="0" w:space="0" w:color="auto"/>
                    <w:left w:val="none" w:sz="0" w:space="0" w:color="auto"/>
                    <w:bottom w:val="none" w:sz="0" w:space="0" w:color="auto"/>
                    <w:right w:val="none" w:sz="0" w:space="0" w:color="auto"/>
                  </w:divBdr>
                  <w:divsChild>
                    <w:div w:id="746878596">
                      <w:marLeft w:val="0"/>
                      <w:marRight w:val="0"/>
                      <w:marTop w:val="0"/>
                      <w:marBottom w:val="0"/>
                      <w:divBdr>
                        <w:top w:val="none" w:sz="0" w:space="0" w:color="auto"/>
                        <w:left w:val="none" w:sz="0" w:space="0" w:color="auto"/>
                        <w:bottom w:val="none" w:sz="0" w:space="0" w:color="auto"/>
                        <w:right w:val="none" w:sz="0" w:space="0" w:color="auto"/>
                      </w:divBdr>
                      <w:divsChild>
                        <w:div w:id="856237897">
                          <w:marLeft w:val="0"/>
                          <w:marRight w:val="0"/>
                          <w:marTop w:val="0"/>
                          <w:marBottom w:val="0"/>
                          <w:divBdr>
                            <w:top w:val="none" w:sz="0" w:space="0" w:color="auto"/>
                            <w:left w:val="none" w:sz="0" w:space="0" w:color="auto"/>
                            <w:bottom w:val="none" w:sz="0" w:space="0" w:color="auto"/>
                            <w:right w:val="none" w:sz="0" w:space="0" w:color="auto"/>
                          </w:divBdr>
                          <w:divsChild>
                            <w:div w:id="253905189">
                              <w:marLeft w:val="0"/>
                              <w:marRight w:val="0"/>
                              <w:marTop w:val="0"/>
                              <w:marBottom w:val="0"/>
                              <w:divBdr>
                                <w:top w:val="none" w:sz="0" w:space="0" w:color="auto"/>
                                <w:left w:val="none" w:sz="0" w:space="0" w:color="auto"/>
                                <w:bottom w:val="none" w:sz="0" w:space="0" w:color="auto"/>
                                <w:right w:val="none" w:sz="0" w:space="0" w:color="auto"/>
                              </w:divBdr>
                              <w:divsChild>
                                <w:div w:id="1099258333">
                                  <w:marLeft w:val="0"/>
                                  <w:marRight w:val="0"/>
                                  <w:marTop w:val="0"/>
                                  <w:marBottom w:val="0"/>
                                  <w:divBdr>
                                    <w:top w:val="none" w:sz="0" w:space="0" w:color="auto"/>
                                    <w:left w:val="none" w:sz="0" w:space="0" w:color="auto"/>
                                    <w:bottom w:val="none" w:sz="0" w:space="0" w:color="auto"/>
                                    <w:right w:val="none" w:sz="0" w:space="0" w:color="auto"/>
                                  </w:divBdr>
                                  <w:divsChild>
                                    <w:div w:id="2064061233">
                                      <w:marLeft w:val="0"/>
                                      <w:marRight w:val="0"/>
                                      <w:marTop w:val="0"/>
                                      <w:marBottom w:val="0"/>
                                      <w:divBdr>
                                        <w:top w:val="none" w:sz="0" w:space="0" w:color="auto"/>
                                        <w:left w:val="none" w:sz="0" w:space="0" w:color="auto"/>
                                        <w:bottom w:val="none" w:sz="0" w:space="0" w:color="auto"/>
                                        <w:right w:val="none" w:sz="0" w:space="0" w:color="auto"/>
                                      </w:divBdr>
                                      <w:divsChild>
                                        <w:div w:id="758217356">
                                          <w:marLeft w:val="0"/>
                                          <w:marRight w:val="0"/>
                                          <w:marTop w:val="0"/>
                                          <w:marBottom w:val="0"/>
                                          <w:divBdr>
                                            <w:top w:val="none" w:sz="0" w:space="0" w:color="auto"/>
                                            <w:left w:val="none" w:sz="0" w:space="0" w:color="auto"/>
                                            <w:bottom w:val="none" w:sz="0" w:space="0" w:color="auto"/>
                                            <w:right w:val="none" w:sz="0" w:space="0" w:color="auto"/>
                                          </w:divBdr>
                                          <w:divsChild>
                                            <w:div w:id="203792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2342371">
      <w:bodyDiv w:val="1"/>
      <w:marLeft w:val="0"/>
      <w:marRight w:val="0"/>
      <w:marTop w:val="0"/>
      <w:marBottom w:val="0"/>
      <w:divBdr>
        <w:top w:val="none" w:sz="0" w:space="0" w:color="auto"/>
        <w:left w:val="none" w:sz="0" w:space="0" w:color="auto"/>
        <w:bottom w:val="none" w:sz="0" w:space="0" w:color="auto"/>
        <w:right w:val="none" w:sz="0" w:space="0" w:color="auto"/>
      </w:divBdr>
    </w:div>
    <w:div w:id="1391226061">
      <w:bodyDiv w:val="1"/>
      <w:marLeft w:val="0"/>
      <w:marRight w:val="0"/>
      <w:marTop w:val="0"/>
      <w:marBottom w:val="0"/>
      <w:divBdr>
        <w:top w:val="none" w:sz="0" w:space="0" w:color="auto"/>
        <w:left w:val="none" w:sz="0" w:space="0" w:color="auto"/>
        <w:bottom w:val="none" w:sz="0" w:space="0" w:color="auto"/>
        <w:right w:val="none" w:sz="0" w:space="0" w:color="auto"/>
      </w:divBdr>
    </w:div>
    <w:div w:id="1710378100">
      <w:bodyDiv w:val="1"/>
      <w:marLeft w:val="0"/>
      <w:marRight w:val="0"/>
      <w:marTop w:val="0"/>
      <w:marBottom w:val="0"/>
      <w:divBdr>
        <w:top w:val="none" w:sz="0" w:space="0" w:color="auto"/>
        <w:left w:val="none" w:sz="0" w:space="0" w:color="auto"/>
        <w:bottom w:val="none" w:sz="0" w:space="0" w:color="auto"/>
        <w:right w:val="none" w:sz="0" w:space="0" w:color="auto"/>
      </w:divBdr>
      <w:divsChild>
        <w:div w:id="34044779">
          <w:marLeft w:val="0"/>
          <w:marRight w:val="0"/>
          <w:marTop w:val="0"/>
          <w:marBottom w:val="0"/>
          <w:divBdr>
            <w:top w:val="none" w:sz="0" w:space="0" w:color="auto"/>
            <w:left w:val="none" w:sz="0" w:space="0" w:color="auto"/>
            <w:bottom w:val="none" w:sz="0" w:space="0" w:color="auto"/>
            <w:right w:val="none" w:sz="0" w:space="0" w:color="auto"/>
          </w:divBdr>
          <w:divsChild>
            <w:div w:id="1964336408">
              <w:marLeft w:val="0"/>
              <w:marRight w:val="0"/>
              <w:marTop w:val="0"/>
              <w:marBottom w:val="0"/>
              <w:divBdr>
                <w:top w:val="none" w:sz="0" w:space="0" w:color="auto"/>
                <w:left w:val="none" w:sz="0" w:space="0" w:color="auto"/>
                <w:bottom w:val="none" w:sz="0" w:space="0" w:color="auto"/>
                <w:right w:val="none" w:sz="0" w:space="0" w:color="auto"/>
              </w:divBdr>
              <w:divsChild>
                <w:div w:id="187065170">
                  <w:marLeft w:val="0"/>
                  <w:marRight w:val="0"/>
                  <w:marTop w:val="0"/>
                  <w:marBottom w:val="0"/>
                  <w:divBdr>
                    <w:top w:val="none" w:sz="0" w:space="0" w:color="auto"/>
                    <w:left w:val="none" w:sz="0" w:space="0" w:color="auto"/>
                    <w:bottom w:val="none" w:sz="0" w:space="0" w:color="auto"/>
                    <w:right w:val="none" w:sz="0" w:space="0" w:color="auto"/>
                  </w:divBdr>
                  <w:divsChild>
                    <w:div w:id="1746293029">
                      <w:marLeft w:val="0"/>
                      <w:marRight w:val="0"/>
                      <w:marTop w:val="0"/>
                      <w:marBottom w:val="0"/>
                      <w:divBdr>
                        <w:top w:val="none" w:sz="0" w:space="0" w:color="auto"/>
                        <w:left w:val="none" w:sz="0" w:space="0" w:color="auto"/>
                        <w:bottom w:val="none" w:sz="0" w:space="0" w:color="auto"/>
                        <w:right w:val="none" w:sz="0" w:space="0" w:color="auto"/>
                      </w:divBdr>
                      <w:divsChild>
                        <w:div w:id="876549111">
                          <w:marLeft w:val="0"/>
                          <w:marRight w:val="0"/>
                          <w:marTop w:val="0"/>
                          <w:marBottom w:val="0"/>
                          <w:divBdr>
                            <w:top w:val="none" w:sz="0" w:space="0" w:color="auto"/>
                            <w:left w:val="none" w:sz="0" w:space="0" w:color="auto"/>
                            <w:bottom w:val="none" w:sz="0" w:space="0" w:color="auto"/>
                            <w:right w:val="none" w:sz="0" w:space="0" w:color="auto"/>
                          </w:divBdr>
                          <w:divsChild>
                            <w:div w:id="1484783921">
                              <w:marLeft w:val="0"/>
                              <w:marRight w:val="0"/>
                              <w:marTop w:val="0"/>
                              <w:marBottom w:val="0"/>
                              <w:divBdr>
                                <w:top w:val="none" w:sz="0" w:space="0" w:color="auto"/>
                                <w:left w:val="none" w:sz="0" w:space="0" w:color="auto"/>
                                <w:bottom w:val="none" w:sz="0" w:space="0" w:color="auto"/>
                                <w:right w:val="none" w:sz="0" w:space="0" w:color="auto"/>
                              </w:divBdr>
                              <w:divsChild>
                                <w:div w:id="1334840677">
                                  <w:marLeft w:val="0"/>
                                  <w:marRight w:val="0"/>
                                  <w:marTop w:val="0"/>
                                  <w:marBottom w:val="0"/>
                                  <w:divBdr>
                                    <w:top w:val="none" w:sz="0" w:space="0" w:color="auto"/>
                                    <w:left w:val="none" w:sz="0" w:space="0" w:color="auto"/>
                                    <w:bottom w:val="none" w:sz="0" w:space="0" w:color="auto"/>
                                    <w:right w:val="none" w:sz="0" w:space="0" w:color="auto"/>
                                  </w:divBdr>
                                  <w:divsChild>
                                    <w:div w:id="593629050">
                                      <w:marLeft w:val="0"/>
                                      <w:marRight w:val="0"/>
                                      <w:marTop w:val="0"/>
                                      <w:marBottom w:val="0"/>
                                      <w:divBdr>
                                        <w:top w:val="none" w:sz="0" w:space="0" w:color="auto"/>
                                        <w:left w:val="none" w:sz="0" w:space="0" w:color="auto"/>
                                        <w:bottom w:val="none" w:sz="0" w:space="0" w:color="auto"/>
                                        <w:right w:val="none" w:sz="0" w:space="0" w:color="auto"/>
                                      </w:divBdr>
                                      <w:divsChild>
                                        <w:div w:id="1342270539">
                                          <w:marLeft w:val="0"/>
                                          <w:marRight w:val="0"/>
                                          <w:marTop w:val="0"/>
                                          <w:marBottom w:val="0"/>
                                          <w:divBdr>
                                            <w:top w:val="none" w:sz="0" w:space="0" w:color="auto"/>
                                            <w:left w:val="none" w:sz="0" w:space="0" w:color="auto"/>
                                            <w:bottom w:val="none" w:sz="0" w:space="0" w:color="auto"/>
                                            <w:right w:val="none" w:sz="0" w:space="0" w:color="auto"/>
                                          </w:divBdr>
                                          <w:divsChild>
                                            <w:div w:id="159084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70941349">
      <w:bodyDiv w:val="1"/>
      <w:marLeft w:val="0"/>
      <w:marRight w:val="0"/>
      <w:marTop w:val="0"/>
      <w:marBottom w:val="0"/>
      <w:divBdr>
        <w:top w:val="none" w:sz="0" w:space="0" w:color="auto"/>
        <w:left w:val="none" w:sz="0" w:space="0" w:color="auto"/>
        <w:bottom w:val="none" w:sz="0" w:space="0" w:color="auto"/>
        <w:right w:val="none" w:sz="0" w:space="0" w:color="auto"/>
      </w:divBdr>
      <w:divsChild>
        <w:div w:id="1194925424">
          <w:marLeft w:val="0"/>
          <w:marRight w:val="0"/>
          <w:marTop w:val="0"/>
          <w:marBottom w:val="0"/>
          <w:divBdr>
            <w:top w:val="none" w:sz="0" w:space="0" w:color="auto"/>
            <w:left w:val="none" w:sz="0" w:space="0" w:color="auto"/>
            <w:bottom w:val="none" w:sz="0" w:space="0" w:color="auto"/>
            <w:right w:val="none" w:sz="0" w:space="0" w:color="auto"/>
          </w:divBdr>
          <w:divsChild>
            <w:div w:id="698900405">
              <w:marLeft w:val="0"/>
              <w:marRight w:val="0"/>
              <w:marTop w:val="0"/>
              <w:marBottom w:val="0"/>
              <w:divBdr>
                <w:top w:val="none" w:sz="0" w:space="0" w:color="auto"/>
                <w:left w:val="none" w:sz="0" w:space="0" w:color="auto"/>
                <w:bottom w:val="none" w:sz="0" w:space="0" w:color="auto"/>
                <w:right w:val="none" w:sz="0" w:space="0" w:color="auto"/>
              </w:divBdr>
              <w:divsChild>
                <w:div w:id="386076447">
                  <w:marLeft w:val="0"/>
                  <w:marRight w:val="0"/>
                  <w:marTop w:val="0"/>
                  <w:marBottom w:val="0"/>
                  <w:divBdr>
                    <w:top w:val="none" w:sz="0" w:space="0" w:color="auto"/>
                    <w:left w:val="none" w:sz="0" w:space="0" w:color="auto"/>
                    <w:bottom w:val="none" w:sz="0" w:space="0" w:color="auto"/>
                    <w:right w:val="none" w:sz="0" w:space="0" w:color="auto"/>
                  </w:divBdr>
                  <w:divsChild>
                    <w:div w:id="1410425948">
                      <w:marLeft w:val="0"/>
                      <w:marRight w:val="0"/>
                      <w:marTop w:val="0"/>
                      <w:marBottom w:val="0"/>
                      <w:divBdr>
                        <w:top w:val="none" w:sz="0" w:space="0" w:color="auto"/>
                        <w:left w:val="none" w:sz="0" w:space="0" w:color="auto"/>
                        <w:bottom w:val="none" w:sz="0" w:space="0" w:color="auto"/>
                        <w:right w:val="none" w:sz="0" w:space="0" w:color="auto"/>
                      </w:divBdr>
                      <w:divsChild>
                        <w:div w:id="680005855">
                          <w:marLeft w:val="0"/>
                          <w:marRight w:val="0"/>
                          <w:marTop w:val="0"/>
                          <w:marBottom w:val="0"/>
                          <w:divBdr>
                            <w:top w:val="none" w:sz="0" w:space="0" w:color="auto"/>
                            <w:left w:val="none" w:sz="0" w:space="0" w:color="auto"/>
                            <w:bottom w:val="none" w:sz="0" w:space="0" w:color="auto"/>
                            <w:right w:val="none" w:sz="0" w:space="0" w:color="auto"/>
                          </w:divBdr>
                          <w:divsChild>
                            <w:div w:id="1820225311">
                              <w:marLeft w:val="0"/>
                              <w:marRight w:val="0"/>
                              <w:marTop w:val="0"/>
                              <w:marBottom w:val="0"/>
                              <w:divBdr>
                                <w:top w:val="none" w:sz="0" w:space="0" w:color="auto"/>
                                <w:left w:val="none" w:sz="0" w:space="0" w:color="auto"/>
                                <w:bottom w:val="none" w:sz="0" w:space="0" w:color="auto"/>
                                <w:right w:val="none" w:sz="0" w:space="0" w:color="auto"/>
                              </w:divBdr>
                              <w:divsChild>
                                <w:div w:id="247034510">
                                  <w:marLeft w:val="0"/>
                                  <w:marRight w:val="0"/>
                                  <w:marTop w:val="0"/>
                                  <w:marBottom w:val="0"/>
                                  <w:divBdr>
                                    <w:top w:val="none" w:sz="0" w:space="0" w:color="auto"/>
                                    <w:left w:val="none" w:sz="0" w:space="0" w:color="auto"/>
                                    <w:bottom w:val="none" w:sz="0" w:space="0" w:color="auto"/>
                                    <w:right w:val="none" w:sz="0" w:space="0" w:color="auto"/>
                                  </w:divBdr>
                                  <w:divsChild>
                                    <w:div w:id="115495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yzkum.cz/FrontClanek.aspx?idsekce=913172&amp;ad=1&amp;attid=913186"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msmt.cz/ministerstvo/plan-podpory-rovnosti-zen-a-muzu-msmt-2021-2024" TargetMode="External"/><Relationship Id="rId4" Type="http://schemas.openxmlformats.org/officeDocument/2006/relationships/settings" Target="settings.xml"/><Relationship Id="rId9" Type="http://schemas.openxmlformats.org/officeDocument/2006/relationships/hyperlink" Target="https://www.vlada.cz/assets/ppov/rovne-prilezitosti-zen-a-muzu/Aktuality/Strategie_rovnosti_zen_a_muzu.pdf"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s://media.snf.ch/zPDDvlmCdFmOAvq/Annex_IV_Ausfuehrungsreglement_Beitragsreglement_E.pdf" TargetMode="External"/><Relationship Id="rId13" Type="http://schemas.openxmlformats.org/officeDocument/2006/relationships/hyperlink" Target="https://www.dfg.de/en/research_funding/principles_dfg_funding/equal_opportunities/measures/compensation_absence/index.html" TargetMode="External"/><Relationship Id="rId18" Type="http://schemas.openxmlformats.org/officeDocument/2006/relationships/hyperlink" Target="https://www.embo.org/funding/lecture-travel-and-childcare-grants/childcare-grants/" TargetMode="External"/><Relationship Id="rId3" Type="http://schemas.openxmlformats.org/officeDocument/2006/relationships/hyperlink" Target="https://www.czso.cz/csu/czso/statistika_vyzkumu_a_vyvoje" TargetMode="External"/><Relationship Id="rId7" Type="http://schemas.openxmlformats.org/officeDocument/2006/relationships/hyperlink" Target="https://www.snf.ch/en/ovil4ntsX4h2jEiU/funding/supplementary-measures/flexibility-grant" TargetMode="External"/><Relationship Id="rId12" Type="http://schemas.openxmlformats.org/officeDocument/2006/relationships/hyperlink" Target="https://www.sfi.ie/resources/SFI-Gender-Strategy-2016-2020.pdf" TargetMode="External"/><Relationship Id="rId17" Type="http://schemas.openxmlformats.org/officeDocument/2006/relationships/hyperlink" Target="https://www.embo.org/funding/fellowships-grants-and-career-support/postdoctoral-fellowships/benefits/" TargetMode="External"/><Relationship Id="rId2" Type="http://schemas.openxmlformats.org/officeDocument/2006/relationships/hyperlink" Target="http://www.dsmpsv.cz/images/ke_stazeni/Anal%C3%BDza_dostupnosti_za%C5%99%C3%ADzen%C3%AD_p%C3%A9%C4%8De_o_p%C5%99ed%C5%A1koln%C3%AD_d%C4%9Bti.pdf" TargetMode="External"/><Relationship Id="rId16" Type="http://schemas.openxmlformats.org/officeDocument/2006/relationships/hyperlink" Target="https://www.dfg.de/en/dfg_profile/statutes/index.html" TargetMode="External"/><Relationship Id="rId1" Type="http://schemas.openxmlformats.org/officeDocument/2006/relationships/hyperlink" Target="https://genderaveda.cz/wp-content/uploads/2019/01/AA2018_kvantitativne.pdf" TargetMode="External"/><Relationship Id="rId6" Type="http://schemas.openxmlformats.org/officeDocument/2006/relationships/hyperlink" Target="https://www.facebook.com/NKCgenderaveda/posts/4387994551261124?comment_id=4388271124566800&amp;reply_comment_id=4388702821190297" TargetMode="External"/><Relationship Id="rId11" Type="http://schemas.openxmlformats.org/officeDocument/2006/relationships/hyperlink" Target="https://www.sfi.ie/funding/sfi-policies-and-guidance/gender/SFI-Maternity_Adoptive-Policy-V2.3-Sept-2019.pdf" TargetMode="External"/><Relationship Id="rId5" Type="http://schemas.openxmlformats.org/officeDocument/2006/relationships/hyperlink" Target="https://gacr.cz/opatreni-predsednictva-zpusobile-naklady-v-bezicich-projektech-v-roce-2020/" TargetMode="External"/><Relationship Id="rId15" Type="http://schemas.openxmlformats.org/officeDocument/2006/relationships/hyperlink" Target="https://www.dfg.de/formulare/52_14/52_14_en.pdf" TargetMode="External"/><Relationship Id="rId10" Type="http://schemas.openxmlformats.org/officeDocument/2006/relationships/hyperlink" Target="https://www.snf.ch/en/YMlGeqhh0w9q93NQ/news/news-191212-flexibility-grant-research-and-childcare-are-compatible" TargetMode="External"/><Relationship Id="rId4" Type="http://schemas.openxmlformats.org/officeDocument/2006/relationships/hyperlink" Target="https://genderaveda.cz/skolky-a-detske-koutky/" TargetMode="External"/><Relationship Id="rId9" Type="http://schemas.openxmlformats.org/officeDocument/2006/relationships/hyperlink" Target="https://media.snf.ch/0ZmVlGqvwgg184n/Leitfaden_Flexibility_Grant_en.pdf" TargetMode="External"/><Relationship Id="rId14" Type="http://schemas.openxmlformats.org/officeDocument/2006/relationships/hyperlink" Target="https://www.dfg.de/en/research_funding/principles_dfg_funding/equal_opportunities/measures/compensation_maternity_leave/index.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1D198F-582D-4F3A-B443-679CC4951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1865</Words>
  <Characters>11008</Characters>
  <Application>Microsoft Office Word</Application>
  <DocSecurity>0</DocSecurity>
  <Lines>91</Lines>
  <Paragraphs>25</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Úřad vlády ČR</Company>
  <LinksUpToDate>false</LinksUpToDate>
  <CharactersWithSpaces>12848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Moravcová Lenka</dc:creator>
  <cp:lastModifiedBy>Marek Jan</cp:lastModifiedBy>
  <cp:revision>4</cp:revision>
  <cp:lastPrinted>2020-10-29T10:28:00Z</cp:lastPrinted>
  <dcterms:created xsi:type="dcterms:W3CDTF">2022-02-08T19:16:00Z</dcterms:created>
  <dcterms:modified xsi:type="dcterms:W3CDTF">2022-02-11T13:23:00Z</dcterms:modified>
</cp:coreProperties>
</file>