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D0D0E9" w14:textId="6426C410" w:rsidR="005A23DF" w:rsidRPr="00CF06CF" w:rsidRDefault="00CA09E1" w:rsidP="001E034A">
      <w:pPr>
        <w:pStyle w:val="Nzev"/>
        <w:spacing w:before="120" w:after="120" w:line="360" w:lineRule="auto"/>
        <w:contextualSpacing/>
        <w:jc w:val="center"/>
        <w:rPr>
          <w:b/>
          <w:sz w:val="40"/>
          <w:szCs w:val="40"/>
        </w:rPr>
      </w:pPr>
      <w:bookmarkStart w:id="0" w:name="_3qmudhpdewvl" w:colFirst="0" w:colLast="0"/>
      <w:bookmarkStart w:id="1" w:name="_GoBack"/>
      <w:bookmarkEnd w:id="0"/>
      <w:bookmarkEnd w:id="1"/>
      <w:r w:rsidRPr="00CF06CF">
        <w:rPr>
          <w:b/>
          <w:sz w:val="40"/>
          <w:szCs w:val="40"/>
        </w:rPr>
        <w:t>Program na podporu aplikovaného výzkumu a</w:t>
      </w:r>
      <w:r w:rsidR="0033484E" w:rsidRPr="00CF06CF">
        <w:rPr>
          <w:b/>
          <w:sz w:val="40"/>
          <w:szCs w:val="40"/>
        </w:rPr>
        <w:t> </w:t>
      </w:r>
      <w:r w:rsidRPr="00CF06CF">
        <w:rPr>
          <w:b/>
          <w:sz w:val="40"/>
          <w:szCs w:val="40"/>
        </w:rPr>
        <w:t>inovací THÉTA 2</w:t>
      </w:r>
    </w:p>
    <w:p w14:paraId="06767AD1" w14:textId="05D20E74" w:rsidR="005A23DF" w:rsidRPr="00CF06CF" w:rsidRDefault="00CA09E1" w:rsidP="001E034A">
      <w:pPr>
        <w:pStyle w:val="Nadpis1"/>
      </w:pPr>
      <w:bookmarkStart w:id="2" w:name="_4n2zo5oye5of" w:colFirst="0" w:colLast="0"/>
      <w:bookmarkEnd w:id="2"/>
      <w:r w:rsidRPr="00CF06CF">
        <w:t>1. Název programu</w:t>
      </w:r>
      <w:r w:rsidR="0083157E" w:rsidRPr="00CF06CF">
        <w:rPr>
          <w:sz w:val="22"/>
        </w:rPr>
        <w:t xml:space="preserve"> </w:t>
      </w:r>
      <w:r w:rsidR="0083157E" w:rsidRPr="00CF06CF">
        <w:rPr>
          <w:sz w:val="22"/>
        </w:rPr>
        <w:tab/>
      </w:r>
      <w:r w:rsidR="0083157E" w:rsidRPr="00CF06CF">
        <w:rPr>
          <w:sz w:val="22"/>
        </w:rPr>
        <w:tab/>
      </w:r>
      <w:r w:rsidR="0083157E" w:rsidRPr="00CF06CF">
        <w:rPr>
          <w:sz w:val="22"/>
        </w:rPr>
        <w:tab/>
      </w:r>
    </w:p>
    <w:p w14:paraId="0A524ECA" w14:textId="26E50747" w:rsidR="005A23DF" w:rsidRPr="00CF06CF" w:rsidRDefault="00CA09E1" w:rsidP="001E034A">
      <w:pPr>
        <w:spacing w:before="120" w:after="120" w:line="360" w:lineRule="auto"/>
        <w:ind w:firstLine="284"/>
        <w:contextualSpacing/>
        <w:jc w:val="both"/>
      </w:pPr>
      <w:r w:rsidRPr="00CF06CF">
        <w:t xml:space="preserve">Program na podporu aplikovaného výzkumu a inovací </w:t>
      </w:r>
      <w:r w:rsidRPr="00CF06CF">
        <w:rPr>
          <w:b/>
        </w:rPr>
        <w:t>THÉTA 2</w:t>
      </w:r>
      <w:r w:rsidRPr="00CF06CF">
        <w:t xml:space="preserve"> (dále také „program“).</w:t>
      </w:r>
    </w:p>
    <w:p w14:paraId="12A54AF7" w14:textId="77777777" w:rsidR="005A23DF" w:rsidRPr="00CF06CF" w:rsidRDefault="00CA09E1" w:rsidP="001E034A">
      <w:pPr>
        <w:pStyle w:val="Nadpis1"/>
      </w:pPr>
      <w:bookmarkStart w:id="3" w:name="_ahtvwteeycc7" w:colFirst="0" w:colLast="0"/>
      <w:bookmarkEnd w:id="3"/>
      <w:r w:rsidRPr="00CF06CF">
        <w:t>2. Právní rámec programu</w:t>
      </w:r>
    </w:p>
    <w:p w14:paraId="6A39A651" w14:textId="0167AC47" w:rsidR="005A23DF" w:rsidRPr="00CF06CF" w:rsidRDefault="00CA09E1" w:rsidP="001E034A">
      <w:pPr>
        <w:spacing w:before="120" w:after="120" w:line="360" w:lineRule="auto"/>
        <w:ind w:firstLine="284"/>
        <w:contextualSpacing/>
        <w:jc w:val="both"/>
      </w:pPr>
      <w:r w:rsidRPr="00CF06CF">
        <w:t>Program bude realizován podle:</w:t>
      </w:r>
    </w:p>
    <w:p w14:paraId="40AE614B" w14:textId="77777777" w:rsidR="005A23DF" w:rsidRPr="00CF06CF" w:rsidRDefault="00CA09E1" w:rsidP="00C85475">
      <w:pPr>
        <w:pStyle w:val="Odstavecseseznamem"/>
        <w:numPr>
          <w:ilvl w:val="0"/>
          <w:numId w:val="15"/>
        </w:numPr>
        <w:spacing w:before="120" w:after="120" w:line="360" w:lineRule="auto"/>
        <w:ind w:left="993"/>
        <w:jc w:val="both"/>
      </w:pPr>
      <w:r w:rsidRPr="00CF06CF">
        <w:t>zákona č. 130/2002 Sb., o podpoře výzkumu, experimentálního vývoje a inovací z veřejných prostředků a o změně některých souvisejících zákonů (dále také “zákon o podpoře výzkumu, experimentálního vývoje a inovací”), v pozdějším znění;</w:t>
      </w:r>
    </w:p>
    <w:p w14:paraId="7CD75B5A" w14:textId="7F2A7D61" w:rsidR="005A23DF" w:rsidRPr="00CF06CF" w:rsidRDefault="00CA09E1" w:rsidP="00C85475">
      <w:pPr>
        <w:pStyle w:val="Odstavecseseznamem"/>
        <w:numPr>
          <w:ilvl w:val="0"/>
          <w:numId w:val="15"/>
        </w:numPr>
        <w:spacing w:before="120" w:after="120" w:line="360" w:lineRule="auto"/>
        <w:ind w:left="993"/>
        <w:jc w:val="both"/>
      </w:pPr>
      <w:r w:rsidRPr="00CF06CF">
        <w:t>Smlouvy o fungování Evropské unie 2012/C 326/01 (článek 107);</w:t>
      </w:r>
    </w:p>
    <w:p w14:paraId="6CD8751E" w14:textId="77777777" w:rsidR="005A23DF" w:rsidRPr="00CF06CF" w:rsidRDefault="00CA09E1" w:rsidP="00C85475">
      <w:pPr>
        <w:pStyle w:val="Odstavecseseznamem"/>
        <w:numPr>
          <w:ilvl w:val="0"/>
          <w:numId w:val="15"/>
        </w:numPr>
        <w:spacing w:before="120" w:after="120" w:line="360" w:lineRule="auto"/>
        <w:ind w:left="993"/>
        <w:jc w:val="both"/>
      </w:pPr>
      <w:r w:rsidRPr="00CF06CF">
        <w:t>Nařízení Komise (EU) č. 651/2014 ze dne 17. června 2014, kterým se v souladu s články 107 a 108 Smlouvy prohlašují určité kategorie podpory za slučitelné s vnitřním trhem, zejm. čl. 25, 28, 29 (dále také „Nařízení“),</w:t>
      </w:r>
      <w:r w:rsidRPr="00CF06CF">
        <w:rPr>
          <w:vertAlign w:val="superscript"/>
        </w:rPr>
        <w:footnoteReference w:id="1"/>
      </w:r>
      <w:r w:rsidRPr="00CF06CF">
        <w:t xml:space="preserve"> v pozdějším znění;</w:t>
      </w:r>
    </w:p>
    <w:p w14:paraId="4711EF9E" w14:textId="34D77794" w:rsidR="005A23DF" w:rsidRPr="00CF06CF" w:rsidRDefault="00CA09E1" w:rsidP="00C85475">
      <w:pPr>
        <w:pStyle w:val="Odstavecseseznamem"/>
        <w:numPr>
          <w:ilvl w:val="0"/>
          <w:numId w:val="15"/>
        </w:numPr>
        <w:spacing w:before="120" w:after="120" w:line="360" w:lineRule="auto"/>
        <w:ind w:left="993"/>
        <w:jc w:val="both"/>
      </w:pPr>
      <w:r w:rsidRPr="00CF06CF">
        <w:t>Rámce pro státní podporu výzkumu, vývoje a inovací</w:t>
      </w:r>
      <w:r w:rsidR="001E0A51" w:rsidRPr="00CF06CF">
        <w:t xml:space="preserve"> – Sdělení komise C (2022) 7388 ze dne </w:t>
      </w:r>
      <w:r w:rsidR="000C5B69" w:rsidRPr="00CF06CF">
        <w:t>19. října 2022</w:t>
      </w:r>
      <w:r w:rsidRPr="00CF06CF">
        <w:t xml:space="preserve"> (dále také „Rámec“).</w:t>
      </w:r>
      <w:r w:rsidR="001E0A51" w:rsidRPr="00CF06CF">
        <w:rPr>
          <w:rStyle w:val="Znakapoznpodarou"/>
        </w:rPr>
        <w:footnoteReference w:id="2"/>
      </w:r>
    </w:p>
    <w:p w14:paraId="162253A6" w14:textId="42B2C027" w:rsidR="005A23DF" w:rsidRPr="00CF06CF" w:rsidRDefault="00CA09E1" w:rsidP="001E034A">
      <w:pPr>
        <w:widowControl w:val="0"/>
        <w:spacing w:before="120" w:after="120" w:line="360" w:lineRule="auto"/>
        <w:ind w:firstLine="284"/>
        <w:contextualSpacing/>
        <w:jc w:val="both"/>
      </w:pPr>
      <w:r w:rsidRPr="00CF06CF">
        <w:t>Pokud podpora projektu zakládá veřejnou podporu podle článku 107 odst. 1 Smlouvy, řídí</w:t>
      </w:r>
      <w:r w:rsidR="0033484E" w:rsidRPr="00CF06CF">
        <w:t> </w:t>
      </w:r>
      <w:r w:rsidRPr="00CF06CF">
        <w:t>se podmínkami Nařízení.</w:t>
      </w:r>
    </w:p>
    <w:p w14:paraId="3DEFB337" w14:textId="6519CD93" w:rsidR="005A23DF" w:rsidRPr="00CF06CF" w:rsidRDefault="00CA09E1" w:rsidP="001E034A">
      <w:pPr>
        <w:spacing w:before="120" w:after="120" w:line="360" w:lineRule="auto"/>
        <w:ind w:firstLine="284"/>
        <w:contextualSpacing/>
        <w:jc w:val="both"/>
      </w:pPr>
      <w:r w:rsidRPr="00CF06CF">
        <w:t>Příjemcům typu podnik bude poskytována podpora dle Nařízení. Příjemcům typu výzkumná organizace</w:t>
      </w:r>
      <w:r w:rsidRPr="00CF06CF">
        <w:rPr>
          <w:vertAlign w:val="superscript"/>
        </w:rPr>
        <w:footnoteReference w:id="3"/>
      </w:r>
      <w:r w:rsidRPr="00CF06CF">
        <w:t xml:space="preserve"> bude podpora poskytována na činnosti dle bodu </w:t>
      </w:r>
      <w:r w:rsidR="00AE4625" w:rsidRPr="00CF06CF">
        <w:t>20</w:t>
      </w:r>
      <w:r w:rsidRPr="00CF06CF">
        <w:t xml:space="preserve"> Rámce. </w:t>
      </w:r>
    </w:p>
    <w:p w14:paraId="356414F3" w14:textId="0AC092B7" w:rsidR="005A23DF" w:rsidRPr="00CF06CF" w:rsidRDefault="00CA09E1" w:rsidP="001E034A">
      <w:pPr>
        <w:spacing w:before="120" w:after="120" w:line="360" w:lineRule="auto"/>
        <w:ind w:firstLine="284"/>
        <w:contextualSpacing/>
        <w:jc w:val="both"/>
      </w:pPr>
      <w:r w:rsidRPr="00CF06CF">
        <w:t>Pokud příjemce nebude splňovat ani jednu z definic podniku (nebude vykonávat ekonomickou činnost)</w:t>
      </w:r>
      <w:r w:rsidRPr="00CF06CF">
        <w:rPr>
          <w:vertAlign w:val="superscript"/>
        </w:rPr>
        <w:footnoteReference w:id="4"/>
      </w:r>
      <w:r w:rsidRPr="00CF06CF">
        <w:t xml:space="preserve"> či výzkumné organizace a případná podpora poskytnutá v jeho prospěch bude v souladu s cíli programu, je možné mu poskytnout podporu mimo režim veřejné podpory, tj. mimo režim článku 107 Smlouvy o fungování Evropské unie. Tato podpora je uskutečnitelná v případě, že nebude naplněn některý z jejích definičních znaků, kdy</w:t>
      </w:r>
      <w:r w:rsidR="0033484E" w:rsidRPr="00CF06CF">
        <w:t> </w:t>
      </w:r>
      <w:r w:rsidRPr="00CF06CF">
        <w:t>zejména podpora nebude směřovat na hospodářské činnosti daného příjemce.</w:t>
      </w:r>
      <w:r w:rsidR="00716028" w:rsidRPr="00CF06CF">
        <w:t xml:space="preserve"> </w:t>
      </w:r>
      <w:r w:rsidRPr="00CF06CF">
        <w:t>Program</w:t>
      </w:r>
      <w:r w:rsidR="00716028" w:rsidRPr="00CF06CF">
        <w:t xml:space="preserve"> </w:t>
      </w:r>
      <w:r w:rsidRPr="00CF06CF">
        <w:t>je vyňat z oznamovací povinnosti podle čl. 108 odst. 3 Smlouvy o fungování Evropské unie, neboť splňuje podmínky Nařízení.</w:t>
      </w:r>
    </w:p>
    <w:p w14:paraId="5B847D07" w14:textId="1BCE376D" w:rsidR="005A23DF" w:rsidRPr="00CF06CF" w:rsidRDefault="00D563E5" w:rsidP="001E034A">
      <w:pPr>
        <w:spacing w:before="120" w:after="120" w:line="360" w:lineRule="auto"/>
        <w:ind w:firstLine="284"/>
        <w:contextualSpacing/>
        <w:jc w:val="both"/>
      </w:pPr>
      <w:r w:rsidRPr="00CF06CF">
        <w:lastRenderedPageBreak/>
        <w:br/>
      </w:r>
      <w:r w:rsidR="00CA09E1" w:rsidRPr="00CF06CF">
        <w:t>V programu je vyloučeno vyplacení jednotlivé podpory ve prospěch podniku:</w:t>
      </w:r>
    </w:p>
    <w:p w14:paraId="04BD4BB7" w14:textId="5A33E739" w:rsidR="005A23DF" w:rsidRPr="00CF06CF" w:rsidRDefault="00CA09E1" w:rsidP="00C85475">
      <w:pPr>
        <w:pStyle w:val="Odstavecseseznamem"/>
        <w:numPr>
          <w:ilvl w:val="0"/>
          <w:numId w:val="16"/>
        </w:numPr>
        <w:spacing w:before="120" w:after="120" w:line="360" w:lineRule="auto"/>
        <w:ind w:left="993"/>
        <w:jc w:val="both"/>
      </w:pPr>
      <w:r w:rsidRPr="00CF06CF">
        <w:t>vůči němuž byl v návaznosti na rozhodnutí Evropské komise vystaven inkasní příkaz, který je nesplacený. Na základě tohoto rozhodnutí Evropská komise prohlásila, že podpora obdržená od poskytovatele z České republiky je protiprávní a neslučitelná s vnitřním trhem;</w:t>
      </w:r>
    </w:p>
    <w:p w14:paraId="6D0E5A9C" w14:textId="77777777" w:rsidR="005A23DF" w:rsidRPr="00CF06CF" w:rsidRDefault="00CA09E1" w:rsidP="00C85475">
      <w:pPr>
        <w:pStyle w:val="Odstavecseseznamem"/>
        <w:numPr>
          <w:ilvl w:val="0"/>
          <w:numId w:val="16"/>
        </w:numPr>
        <w:spacing w:before="120" w:after="120" w:line="360" w:lineRule="auto"/>
        <w:ind w:left="993"/>
        <w:jc w:val="both"/>
      </w:pPr>
      <w:r w:rsidRPr="00CF06CF">
        <w:t>který splňuje definici podniku v obtížích uvedenou v čl. 2, odst. 18) Nařízení.</w:t>
      </w:r>
    </w:p>
    <w:p w14:paraId="5AB6F62D" w14:textId="08B7AA7F" w:rsidR="005A23DF" w:rsidRPr="00CF06CF" w:rsidRDefault="00CA09E1" w:rsidP="001E034A">
      <w:pPr>
        <w:spacing w:before="120" w:after="120" w:line="360" w:lineRule="auto"/>
        <w:ind w:firstLine="284"/>
        <w:contextualSpacing/>
        <w:jc w:val="both"/>
      </w:pPr>
      <w:r w:rsidRPr="00CF06CF">
        <w:t>Pokud jeden podnik obdrží v programu veřejnou podporu vyšší než 500 tis. EUR, budou</w:t>
      </w:r>
      <w:r w:rsidR="0033484E" w:rsidRPr="00CF06CF">
        <w:t> </w:t>
      </w:r>
      <w:r w:rsidRPr="00CF06CF">
        <w:t>zveřejněny informace o příjemci a jemu poskytnuté podpoře (v rozsahu dle přílohy III</w:t>
      </w:r>
      <w:r w:rsidR="0033484E" w:rsidRPr="00CF06CF">
        <w:t xml:space="preserve"> </w:t>
      </w:r>
      <w:r w:rsidRPr="00CF06CF">
        <w:t>Nařízení) na centrální webové stránce ve smyslu čl. 9 Nařízení.</w:t>
      </w:r>
    </w:p>
    <w:p w14:paraId="380EFE94" w14:textId="77777777" w:rsidR="005A23DF" w:rsidRPr="00CF06CF" w:rsidRDefault="00CA09E1" w:rsidP="001E034A">
      <w:pPr>
        <w:pStyle w:val="Nadpis1"/>
      </w:pPr>
      <w:bookmarkStart w:id="4" w:name="_sjsuetjwvt0r" w:colFirst="0" w:colLast="0"/>
      <w:bookmarkEnd w:id="4"/>
      <w:r w:rsidRPr="00CF06CF">
        <w:t>3. Poskytovatel</w:t>
      </w:r>
    </w:p>
    <w:p w14:paraId="324952A0" w14:textId="77777777" w:rsidR="005A23DF" w:rsidRPr="00CF06CF" w:rsidRDefault="00CA09E1" w:rsidP="001E034A">
      <w:pPr>
        <w:spacing w:before="120" w:after="120" w:line="360" w:lineRule="auto"/>
        <w:ind w:firstLine="284"/>
        <w:contextualSpacing/>
        <w:jc w:val="both"/>
      </w:pPr>
      <w:r w:rsidRPr="00CF06CF">
        <w:t>Poskytovatelem podpory je Technologická agentura České republiky (dále také „TA ČR“).</w:t>
      </w:r>
    </w:p>
    <w:p w14:paraId="41F39C51" w14:textId="77777777" w:rsidR="005A23DF" w:rsidRPr="00CF06CF" w:rsidRDefault="00CA09E1" w:rsidP="001E034A">
      <w:pPr>
        <w:pStyle w:val="Nadpis1"/>
      </w:pPr>
      <w:bookmarkStart w:id="5" w:name="_zg3tea4ou198" w:colFirst="0" w:colLast="0"/>
      <w:bookmarkEnd w:id="5"/>
      <w:r w:rsidRPr="00CF06CF">
        <w:t>4. Identifikační kód programu</w:t>
      </w:r>
    </w:p>
    <w:p w14:paraId="39C0A140" w14:textId="77777777" w:rsidR="005A23DF" w:rsidRPr="00CF06CF" w:rsidRDefault="00CA09E1" w:rsidP="001E034A">
      <w:pPr>
        <w:spacing w:before="120" w:after="120" w:line="360" w:lineRule="auto"/>
        <w:ind w:firstLine="284"/>
        <w:contextualSpacing/>
        <w:jc w:val="both"/>
      </w:pPr>
      <w:r w:rsidRPr="00CF06CF">
        <w:t>Pro účely evidence v informačním systému výzkumu, vývoje a inovací je programu přidělen kód “XX”.</w:t>
      </w:r>
    </w:p>
    <w:p w14:paraId="2DF6D537" w14:textId="77777777" w:rsidR="005A23DF" w:rsidRPr="00CF06CF" w:rsidRDefault="00CA09E1" w:rsidP="001E034A">
      <w:pPr>
        <w:pStyle w:val="Nadpis1"/>
      </w:pPr>
      <w:bookmarkStart w:id="6" w:name="_f838o7m8gu1y" w:colFirst="0" w:colLast="0"/>
      <w:bookmarkEnd w:id="6"/>
      <w:r w:rsidRPr="00CF06CF">
        <w:t>5. Doba trvání a termíny vyhlášení programu</w:t>
      </w:r>
    </w:p>
    <w:p w14:paraId="715E64F6" w14:textId="77777777" w:rsidR="005A23DF" w:rsidRPr="00CF06CF" w:rsidRDefault="00CA09E1" w:rsidP="001E034A">
      <w:pPr>
        <w:spacing w:before="120" w:after="120" w:line="360" w:lineRule="auto"/>
        <w:ind w:firstLine="284"/>
        <w:contextualSpacing/>
        <w:jc w:val="both"/>
      </w:pPr>
      <w:bookmarkStart w:id="7" w:name="_Hlk114747293"/>
      <w:r w:rsidRPr="00CF06CF">
        <w:t>Doba financování programu je stanovena na období od roku 2024 do roku 2031, tj. 8 let. První veřejnou soutěž ve výzkumu, vývoji a inovacích (dále také „veřejná soutěž“) na výběr projektů předpokládá poskytovatel vyhlásit v roce 2023 se zahájením poskytování podpory od roku 2024.</w:t>
      </w:r>
    </w:p>
    <w:p w14:paraId="4D54243B" w14:textId="77777777" w:rsidR="005A23DF" w:rsidRPr="00CF06CF" w:rsidRDefault="00CA09E1" w:rsidP="001E034A">
      <w:pPr>
        <w:spacing w:before="120" w:after="120" w:line="360" w:lineRule="auto"/>
        <w:ind w:firstLine="284"/>
        <w:contextualSpacing/>
        <w:jc w:val="both"/>
      </w:pPr>
      <w:r w:rsidRPr="00CF06CF">
        <w:t>Dobu trvání projektů určí parametry konkrétní veřejné soutěže a jejich ukončení nesmí překročit dobu trvání programu.</w:t>
      </w:r>
      <w:bookmarkEnd w:id="7"/>
    </w:p>
    <w:p w14:paraId="2FFED6CF" w14:textId="77777777" w:rsidR="005A23DF" w:rsidRPr="00CF06CF" w:rsidRDefault="00CA09E1" w:rsidP="001E034A">
      <w:pPr>
        <w:pStyle w:val="Nadpis1"/>
      </w:pPr>
      <w:bookmarkStart w:id="8" w:name="_h6mjduxrjql5" w:colFirst="0" w:colLast="0"/>
      <w:bookmarkEnd w:id="8"/>
      <w:r w:rsidRPr="00CF06CF">
        <w:t>6. Zaměření programu</w:t>
      </w:r>
    </w:p>
    <w:p w14:paraId="5E8381D6" w14:textId="7521CF3D" w:rsidR="005A23DF" w:rsidRPr="00CF06CF" w:rsidRDefault="00CA09E1" w:rsidP="001E034A">
      <w:pPr>
        <w:widowControl w:val="0"/>
        <w:spacing w:before="120" w:after="120" w:line="360" w:lineRule="auto"/>
        <w:ind w:left="20" w:firstLine="264"/>
        <w:contextualSpacing/>
        <w:jc w:val="both"/>
      </w:pPr>
      <w:r w:rsidRPr="00CF06CF">
        <w:t>Program THÉTA 2 je program orientovaný na podporu aplikovaného výzkumu a inovací v</w:t>
      </w:r>
      <w:r w:rsidR="0033484E" w:rsidRPr="00CF06CF">
        <w:t> </w:t>
      </w:r>
      <w:r w:rsidRPr="00CF06CF">
        <w:t xml:space="preserve">energetice, který bezprostředně navazuje na program THÉTA. Zaměření programu je, stejně jako u předcházejícího programu, poměrně široké a postihuje všechny oblasti nakládání se všemi relevantními druhy energie v příslušných sektorech včetně sektorových propojení (tzv. </w:t>
      </w:r>
      <w:proofErr w:type="spellStart"/>
      <w:r w:rsidRPr="00CF06CF">
        <w:t>sector</w:t>
      </w:r>
      <w:proofErr w:type="spellEnd"/>
      <w:r w:rsidRPr="00CF06CF">
        <w:t xml:space="preserve"> </w:t>
      </w:r>
      <w:proofErr w:type="spellStart"/>
      <w:r w:rsidRPr="00CF06CF">
        <w:t>coupling</w:t>
      </w:r>
      <w:proofErr w:type="spellEnd"/>
      <w:r w:rsidRPr="00CF06CF">
        <w:t xml:space="preserve">) a mezioborových aspektů. Zahrnuje propojení jak na technické úrovni (např. interakce a propojení energetiky s jinými obory typu nakládání s odpady či vodou v krajině), tak na úrovni společenské (např. změny chování spotřebitelů). Zohledňuje všechny </w:t>
      </w:r>
      <w:r w:rsidRPr="00CF06CF">
        <w:lastRenderedPageBreak/>
        <w:t>potřebné dimenze energetiky, od úrovně celostátních energetických systémů až po lokální řešení.</w:t>
      </w:r>
    </w:p>
    <w:p w14:paraId="47154238" w14:textId="77777777" w:rsidR="0083057C" w:rsidRPr="00CF06CF" w:rsidRDefault="0083057C" w:rsidP="004F4F08">
      <w:pPr>
        <w:spacing w:before="120" w:after="120" w:line="360" w:lineRule="auto"/>
        <w:contextualSpacing/>
        <w:jc w:val="both"/>
      </w:pPr>
      <w:r w:rsidRPr="00CF06CF">
        <w:t xml:space="preserve">Záměrem je vytvořit podmínky pro transformaci energetického sektoru formou výzkumu zejména v oblastech: </w:t>
      </w:r>
    </w:p>
    <w:p w14:paraId="159A295A" w14:textId="77777777" w:rsidR="0083057C" w:rsidRPr="00CF06CF" w:rsidRDefault="0083057C" w:rsidP="00C85475">
      <w:pPr>
        <w:pStyle w:val="Odstavecseseznamem"/>
        <w:numPr>
          <w:ilvl w:val="0"/>
          <w:numId w:val="18"/>
        </w:numPr>
        <w:spacing w:before="120" w:after="120" w:line="360" w:lineRule="auto"/>
        <w:ind w:left="993"/>
        <w:jc w:val="both"/>
      </w:pPr>
      <w:r w:rsidRPr="00CF06CF">
        <w:t xml:space="preserve">klíčových bezemisních technologií, zvláště z pohledu identifikování bariér pro jejich rozvoj a jejich odstranění skrze nástroje dostupné ze strany veřejné správy; </w:t>
      </w:r>
    </w:p>
    <w:p w14:paraId="56310E5A" w14:textId="4603DDFA" w:rsidR="0083057C" w:rsidRPr="00CF06CF" w:rsidRDefault="0083057C" w:rsidP="00C85475">
      <w:pPr>
        <w:pStyle w:val="Odstavecseseznamem"/>
        <w:numPr>
          <w:ilvl w:val="0"/>
          <w:numId w:val="18"/>
        </w:numPr>
        <w:spacing w:before="120" w:after="120" w:line="360" w:lineRule="auto"/>
        <w:ind w:left="993"/>
        <w:jc w:val="both"/>
      </w:pPr>
      <w:r w:rsidRPr="00CF06CF">
        <w:t>spolehlivosti a technologického rozvoje bezemisních zdrojů, včetně jaderných zdrojů spolu se souvisejícím výzkumem k naplňování potřeb dozoru nad</w:t>
      </w:r>
      <w:r w:rsidR="0033484E" w:rsidRPr="00CF06CF">
        <w:t> </w:t>
      </w:r>
      <w:r w:rsidRPr="00CF06CF">
        <w:t>bezpečným a efektivním fungováním těchto zdrojů; součástí výzkumu je</w:t>
      </w:r>
      <w:r w:rsidR="0033484E" w:rsidRPr="00CF06CF">
        <w:t> </w:t>
      </w:r>
      <w:r w:rsidRPr="00CF06CF">
        <w:t>efektivní integrace obnovitelných zdrojů energie zejména z pohledu zajištění spolehlivosti provozu energetických soustav a ekonomických aspektů fungování trhů s</w:t>
      </w:r>
      <w:r w:rsidR="0033484E" w:rsidRPr="00CF06CF">
        <w:t> </w:t>
      </w:r>
      <w:r w:rsidRPr="00CF06CF">
        <w:t xml:space="preserve">energiemi; </w:t>
      </w:r>
    </w:p>
    <w:p w14:paraId="7D13B472" w14:textId="77777777" w:rsidR="00947702" w:rsidRPr="00CF06CF" w:rsidRDefault="0083057C" w:rsidP="00C85475">
      <w:pPr>
        <w:pStyle w:val="Odstavecseseznamem"/>
        <w:widowControl w:val="0"/>
        <w:numPr>
          <w:ilvl w:val="0"/>
          <w:numId w:val="18"/>
        </w:numPr>
        <w:spacing w:before="120" w:after="120" w:line="360" w:lineRule="auto"/>
        <w:ind w:left="993" w:right="3"/>
        <w:jc w:val="both"/>
      </w:pPr>
      <w:r w:rsidRPr="00CF06CF">
        <w:t>modelování fungování energetických systémů a jejich rozvoje vzhledem k různým možným scénářům</w:t>
      </w:r>
      <w:r w:rsidR="00947702" w:rsidRPr="00CF06CF">
        <w:t>;</w:t>
      </w:r>
    </w:p>
    <w:p w14:paraId="6F42D3E5" w14:textId="77777777" w:rsidR="00947702" w:rsidRPr="00CF06CF" w:rsidRDefault="00947702" w:rsidP="00947702">
      <w:pPr>
        <w:pStyle w:val="Odstavecseseznamem"/>
        <w:widowControl w:val="0"/>
        <w:numPr>
          <w:ilvl w:val="0"/>
          <w:numId w:val="18"/>
        </w:numPr>
        <w:spacing w:before="120" w:after="120" w:line="360" w:lineRule="auto"/>
        <w:ind w:left="993" w:right="3"/>
        <w:jc w:val="both"/>
      </w:pPr>
      <w:r w:rsidRPr="00CF06CF">
        <w:t>ekonomických a společenských dopadů transformace energetiky;</w:t>
      </w:r>
    </w:p>
    <w:p w14:paraId="5CD3DEC0" w14:textId="20AA68D0" w:rsidR="0083057C" w:rsidRPr="00CF06CF" w:rsidRDefault="00947702" w:rsidP="00947702">
      <w:pPr>
        <w:pStyle w:val="Odstavecseseznamem"/>
        <w:widowControl w:val="0"/>
        <w:numPr>
          <w:ilvl w:val="0"/>
          <w:numId w:val="18"/>
        </w:numPr>
        <w:spacing w:before="120" w:after="120" w:line="360" w:lineRule="auto"/>
        <w:ind w:left="993" w:right="3"/>
        <w:jc w:val="both"/>
      </w:pPr>
      <w:r w:rsidRPr="00CF06CF">
        <w:t>otázek ochrany a zajištění národní bezpečnosti energetických zdrojů, přenosových sítí a jejich vzájemné provázanosti</w:t>
      </w:r>
      <w:r w:rsidR="0083057C" w:rsidRPr="00CF06CF">
        <w:t>.</w:t>
      </w:r>
    </w:p>
    <w:p w14:paraId="64F83A9D" w14:textId="16140BF7" w:rsidR="00A279DA" w:rsidRPr="00CF06CF" w:rsidRDefault="00A279DA" w:rsidP="00C85475">
      <w:pPr>
        <w:widowControl w:val="0"/>
        <w:spacing w:before="120" w:after="120" w:line="360" w:lineRule="auto"/>
        <w:ind w:left="12" w:right="3" w:firstLine="272"/>
        <w:contextualSpacing/>
        <w:jc w:val="both"/>
      </w:pPr>
      <w:r w:rsidRPr="00CF06CF">
        <w:t>Dále jsou pro každou veřejnou soutěž nastavovány prioritní výzkumné cíle (PVC), které jsou připraveny Státním úřadem pro jadernou bezpečnost, Energetickým regulačním úřadem a Ministerstvem průmyslu a obchodu a pro jednotlivé veřejné soutěže jsou specifikovány pracovní skupinou ministerstev a zmíněných úřadů v koordinaci Ministerstva průmyslu a obchodu.</w:t>
      </w:r>
    </w:p>
    <w:p w14:paraId="7618E93F" w14:textId="40324E72" w:rsidR="005A23DF" w:rsidRPr="00CF06CF" w:rsidRDefault="00CA09E1" w:rsidP="00C85475">
      <w:pPr>
        <w:widowControl w:val="0"/>
        <w:spacing w:before="120" w:after="120" w:line="360" w:lineRule="auto"/>
        <w:ind w:left="12" w:right="3" w:firstLine="272"/>
        <w:contextualSpacing/>
        <w:jc w:val="both"/>
      </w:pPr>
      <w:r w:rsidRPr="00CF06CF">
        <w:t>Program THÉTA 2 vychází z aktuálně platného znění národních a nadnárodních strategických materiálů, které upravují podmínky rozvoje energetického sektoru. Koncepce programu napomáhá k naplňování cílů a dílčích implementačních strategií České republiky v</w:t>
      </w:r>
      <w:r w:rsidR="0033484E" w:rsidRPr="00CF06CF">
        <w:t> </w:t>
      </w:r>
      <w:r w:rsidRPr="00CF06CF">
        <w:t>oblasti energetiky. Je též v souladu s evropskou vizí dosažení bezemisní ekonomiky do roku 2050</w:t>
      </w:r>
      <w:r w:rsidR="00320A02" w:rsidRPr="00CF06CF">
        <w:t>. Program je připraven tak, aby mohl implementovat i budoucí verze strategických a</w:t>
      </w:r>
      <w:r w:rsidR="0033484E" w:rsidRPr="00CF06CF">
        <w:t> </w:t>
      </w:r>
      <w:r w:rsidR="00320A02" w:rsidRPr="00CF06CF">
        <w:t xml:space="preserve">legislativních dokumentů, včetně </w:t>
      </w:r>
      <w:r w:rsidR="00B61106" w:rsidRPr="00CF06CF">
        <w:t>v budoucnu nově vytvořených</w:t>
      </w:r>
      <w:r w:rsidR="00320A02" w:rsidRPr="00CF06CF">
        <w:t>.</w:t>
      </w:r>
    </w:p>
    <w:p w14:paraId="34B9156A" w14:textId="45D323D5" w:rsidR="005A23DF" w:rsidRPr="00CF06CF" w:rsidRDefault="00CA09E1" w:rsidP="00C85475">
      <w:pPr>
        <w:widowControl w:val="0"/>
        <w:spacing w:before="120" w:after="120" w:line="360" w:lineRule="auto"/>
        <w:ind w:left="12" w:right="3" w:firstLine="272"/>
        <w:contextualSpacing/>
        <w:jc w:val="both"/>
      </w:pPr>
      <w:r w:rsidRPr="00CF06CF">
        <w:t>Příklady zmíněných strategických dokumentů jsou např.: Národní akční plán pro chytré sítě, Národní akční plán rozvoje jaderné energetiky v ČR nebo Národní akční plán pro čistou mobilitu. Dále také navazuje na strategické dokumenty v oblasti ochrany klimatu a ovzduší, jako je například Politika ochrany klimatu ČR, Strategie přizpůsobení se změně klimatu v</w:t>
      </w:r>
      <w:r w:rsidR="0033484E" w:rsidRPr="00CF06CF">
        <w:t> </w:t>
      </w:r>
      <w:r w:rsidRPr="00CF06CF">
        <w:t>podmínkách ČR nebo Národní plán snižování emisí ČR.</w:t>
      </w:r>
    </w:p>
    <w:p w14:paraId="3B776357" w14:textId="77777777" w:rsidR="005A23DF" w:rsidRPr="00CF06CF" w:rsidRDefault="00CA09E1" w:rsidP="001E034A">
      <w:pPr>
        <w:pStyle w:val="Nadpis1"/>
      </w:pPr>
      <w:bookmarkStart w:id="9" w:name="_mxak3d9tc9ej" w:colFirst="0" w:colLast="0"/>
      <w:bookmarkEnd w:id="9"/>
      <w:r w:rsidRPr="00CF06CF">
        <w:lastRenderedPageBreak/>
        <w:t>7. Cíl programu</w:t>
      </w:r>
    </w:p>
    <w:p w14:paraId="6E2AE6A8" w14:textId="39B9B1C2" w:rsidR="005A23DF" w:rsidRPr="00CF06CF" w:rsidRDefault="00CA09E1" w:rsidP="00C85475">
      <w:pPr>
        <w:spacing w:before="120" w:after="120" w:line="360" w:lineRule="auto"/>
        <w:ind w:firstLine="284"/>
        <w:contextualSpacing/>
        <w:jc w:val="both"/>
      </w:pPr>
      <w:r w:rsidRPr="00CF06CF">
        <w:t>Cílem programu THÉTA 2 je prostřednictvím výstupů, výsledků a dopadů z podpořených projektů přispět k</w:t>
      </w:r>
      <w:r w:rsidRPr="00CF06CF">
        <w:rPr>
          <w:b/>
        </w:rPr>
        <w:t xml:space="preserve"> transformaci a modernizaci energetického sektoru</w:t>
      </w:r>
      <w:r w:rsidRPr="00CF06CF">
        <w:t>, a to jak přípravou inovativních technologií, technických řešení a přístupů uplatnitelných v energetice v</w:t>
      </w:r>
      <w:r w:rsidR="0033484E" w:rsidRPr="00CF06CF">
        <w:t> </w:t>
      </w:r>
      <w:r w:rsidRPr="00CF06CF">
        <w:t>krátkodobém, střednědobém a dlouhodobém horizontu, tak i tvorbou analýz pro</w:t>
      </w:r>
      <w:r w:rsidR="0033484E" w:rsidRPr="00CF06CF">
        <w:t> </w:t>
      </w:r>
      <w:r w:rsidRPr="00CF06CF">
        <w:t xml:space="preserve">rozhodování v energetice a zkvalitnění regulatorního rámce. </w:t>
      </w:r>
      <w:r w:rsidR="00413832" w:rsidRPr="00CF06CF">
        <w:t>Plnění tohoto cíle podpoří</w:t>
      </w:r>
      <w:r w:rsidRPr="00CF06CF">
        <w:t xml:space="preserve"> dosažení klimaticko-energetických cílů, k nimž se ČR zavázala.</w:t>
      </w:r>
    </w:p>
    <w:p w14:paraId="64A3A6A2" w14:textId="77777777" w:rsidR="005A23DF" w:rsidRPr="00CF06CF" w:rsidRDefault="00CA09E1" w:rsidP="001E034A">
      <w:pPr>
        <w:pStyle w:val="Nadpis1"/>
      </w:pPr>
      <w:bookmarkStart w:id="10" w:name="_7hke6a6s0hk4" w:colFirst="0" w:colLast="0"/>
      <w:bookmarkEnd w:id="10"/>
      <w:r w:rsidRPr="00CF06CF">
        <w:t>8. Odůvodnění cíle programu</w:t>
      </w:r>
    </w:p>
    <w:p w14:paraId="753C80D2" w14:textId="3F911077" w:rsidR="005A23DF" w:rsidRPr="00CF06CF" w:rsidRDefault="00CA09E1" w:rsidP="00C85475">
      <w:pPr>
        <w:widowControl w:val="0"/>
        <w:spacing w:before="120" w:after="120" w:line="360" w:lineRule="auto"/>
        <w:ind w:firstLine="284"/>
        <w:contextualSpacing/>
        <w:jc w:val="both"/>
      </w:pPr>
      <w:r w:rsidRPr="00CF06CF">
        <w:t>Zaměření, struktura a rozpočet programu THÉTA 2 jsou motivovány potřebou bezprecedentní a fundamentální transformace energetiky, která proběhne v příštích letech. Zásadní je přitom střednědobý horizont (cca období 2030</w:t>
      </w:r>
      <w:r w:rsidR="00B61106" w:rsidRPr="00CF06CF">
        <w:t>–</w:t>
      </w:r>
      <w:r w:rsidRPr="00CF06CF">
        <w:t>2035), v němž by mělo dojít k</w:t>
      </w:r>
      <w:r w:rsidR="0033484E" w:rsidRPr="00CF06CF">
        <w:t> </w:t>
      </w:r>
      <w:r w:rsidRPr="00CF06CF">
        <w:t xml:space="preserve">relativně významnému snížení emisí skleníkových plynů, a dlouhodobý horizont do roku 2050, v jehož rámci by mělo být na úrovni EU dosaženo klimatické neutrality. </w:t>
      </w:r>
      <w:r w:rsidR="00320A02" w:rsidRPr="00CF06CF">
        <w:t xml:space="preserve">Potřeba transformace energetiky vychází ze stávajících národních politik, strategií a právních předpisů, dále pak z evropských strategií, z nichž zásadní dopad bude mít tzv. </w:t>
      </w:r>
      <w:proofErr w:type="gramStart"/>
      <w:r w:rsidR="00320A02" w:rsidRPr="00CF06CF">
        <w:t>Zelená</w:t>
      </w:r>
      <w:proofErr w:type="gramEnd"/>
      <w:r w:rsidR="00320A02" w:rsidRPr="00CF06CF">
        <w:t xml:space="preserve"> dohoda pro Evropu.</w:t>
      </w:r>
      <w:r w:rsidR="00320A02" w:rsidRPr="00CF06CF">
        <w:rPr>
          <w:rStyle w:val="Znakapoznpodarou"/>
        </w:rPr>
        <w:footnoteReference w:id="5"/>
      </w:r>
      <w:r w:rsidR="00320A02" w:rsidRPr="00CF06CF">
        <w:t xml:space="preserve"> </w:t>
      </w:r>
      <w:r w:rsidRPr="00CF06CF">
        <w:t>Tato fundamentální transformace je pro ČR složitější, neboť ve srovnání s jinými státy EU je ČR v současnosti do velké míry závislá na využívání fosilních paliv (především v</w:t>
      </w:r>
      <w:r w:rsidR="0033484E" w:rsidRPr="00CF06CF">
        <w:t> </w:t>
      </w:r>
      <w:r w:rsidRPr="00CF06CF">
        <w:t>sektorech elektroenergetiky a teplárenství, ale také v ostatních sektorech). Důvodem je to, že se dlouhodobě nedaří významně snižovat spotřebu energie prostřednictvím využití potenciálu energetických úspor. V ČR je v důsledku geografické polohy také limitovaný potenciál instalace obnovitelných zdrojů.</w:t>
      </w:r>
    </w:p>
    <w:p w14:paraId="2D26EEAD" w14:textId="1BC8FA23" w:rsidR="005A23DF" w:rsidRPr="00CF06CF" w:rsidRDefault="00CA09E1" w:rsidP="00C85475">
      <w:pPr>
        <w:widowControl w:val="0"/>
        <w:spacing w:before="120" w:after="120" w:line="360" w:lineRule="auto"/>
        <w:ind w:firstLine="284"/>
        <w:contextualSpacing/>
        <w:jc w:val="both"/>
      </w:pPr>
      <w:bookmarkStart w:id="11" w:name="_Hlk114746622"/>
      <w:r w:rsidRPr="00CF06CF">
        <w:t>Program THÉTA 2 akcentuje již nastartované obecné trendy v energetice, kterými jsou dekarbonizace, digitalizace, decentralizace a demokratizace. Přispěje k vyváženému rozvoji energetiky v rámci jejích základních pilířů, kterými jsou (i) spolehlivost dodávek energií, (</w:t>
      </w:r>
      <w:proofErr w:type="spellStart"/>
      <w:r w:rsidRPr="00CF06CF">
        <w:t>ii</w:t>
      </w:r>
      <w:proofErr w:type="spellEnd"/>
      <w:r w:rsidRPr="00CF06CF">
        <w:t>)</w:t>
      </w:r>
      <w:r w:rsidR="0033484E" w:rsidRPr="00CF06CF">
        <w:t> </w:t>
      </w:r>
      <w:r w:rsidRPr="00CF06CF">
        <w:t>dlouhodobá (environmentální) udržitelnost a (</w:t>
      </w:r>
      <w:proofErr w:type="spellStart"/>
      <w:r w:rsidRPr="00CF06CF">
        <w:t>iii</w:t>
      </w:r>
      <w:proofErr w:type="spellEnd"/>
      <w:r w:rsidRPr="00CF06CF">
        <w:t xml:space="preserve">) konkurenceschopnost a přijatelnost cen energií. </w:t>
      </w:r>
    </w:p>
    <w:p w14:paraId="6D50B03F" w14:textId="7E5F4ED2" w:rsidR="007A5C2E" w:rsidRPr="00CF06CF" w:rsidRDefault="00CA09E1" w:rsidP="00CF06CF">
      <w:pPr>
        <w:widowControl w:val="0"/>
        <w:spacing w:before="120" w:after="120" w:line="360" w:lineRule="auto"/>
        <w:ind w:firstLine="284"/>
        <w:contextualSpacing/>
        <w:jc w:val="both"/>
      </w:pPr>
      <w:r w:rsidRPr="00CF06CF">
        <w:t>Program THÉTA 2, stejně jako předcházející program THÉTA, navazuje v první řadě na</w:t>
      </w:r>
      <w:r w:rsidR="0033484E" w:rsidRPr="00CF06CF">
        <w:t> </w:t>
      </w:r>
      <w:r w:rsidRPr="00CF06CF">
        <w:rPr>
          <w:b/>
        </w:rPr>
        <w:t>Státní energetickou koncepci ČR</w:t>
      </w:r>
      <w:r w:rsidRPr="00CF06CF">
        <w:t xml:space="preserve"> (SEK ČR), která stanovuje priority a strategické záměry státu v sektoru energetiky a opatření, jak </w:t>
      </w:r>
      <w:r w:rsidR="00B61106" w:rsidRPr="00CF06CF">
        <w:t>těchto cílů</w:t>
      </w:r>
      <w:r w:rsidRPr="00CF06CF">
        <w:t xml:space="preserve"> dosáhnout. Vládou schválená aktualizace SEK ČR </w:t>
      </w:r>
      <w:r w:rsidR="00B61106" w:rsidRPr="00CF06CF">
        <w:t>(</w:t>
      </w:r>
      <w:r w:rsidRPr="00CF06CF">
        <w:t>2015</w:t>
      </w:r>
      <w:r w:rsidR="00B61106" w:rsidRPr="00CF06CF">
        <w:t>)</w:t>
      </w:r>
      <w:r w:rsidRPr="00CF06CF">
        <w:t xml:space="preserve"> definuje 5 strategických priorit, z nichž jednou je výzkum, vývoj a inovace (následující aktualizace je plánována na rok 2023). Na SEK ČR navazuje množství tzv.</w:t>
      </w:r>
      <w:r w:rsidR="0033484E" w:rsidRPr="00CF06CF">
        <w:t> </w:t>
      </w:r>
      <w:r w:rsidRPr="00CF06CF">
        <w:t xml:space="preserve">akčních plánů stanovujících podmínky rozvoje konkrétních oblastí. Jedná se např. </w:t>
      </w:r>
      <w:r w:rsidR="0033484E" w:rsidRPr="00CF06CF">
        <w:lastRenderedPageBreak/>
        <w:t>O </w:t>
      </w:r>
      <w:r w:rsidRPr="00CF06CF">
        <w:rPr>
          <w:b/>
        </w:rPr>
        <w:t>Národní akční plán pro chytré sítě, Národní akční plán pro čistou mobilitu, Národní akční plán energetické účinnosti či Národní akční plán rozvoje jaderné energetiky v ČR</w:t>
      </w:r>
      <w:r w:rsidRPr="00CF06CF">
        <w:t>. Většina těchto plánů je průběžně aktualizována.</w:t>
      </w:r>
    </w:p>
    <w:p w14:paraId="6591AA4D" w14:textId="12E16E49" w:rsidR="005A23DF" w:rsidRPr="00CF06CF" w:rsidRDefault="00CA09E1" w:rsidP="00C85475">
      <w:pPr>
        <w:widowControl w:val="0"/>
        <w:spacing w:before="120" w:after="120" w:line="360" w:lineRule="auto"/>
        <w:ind w:firstLine="284"/>
        <w:contextualSpacing/>
        <w:jc w:val="both"/>
      </w:pPr>
      <w:r w:rsidRPr="00CF06CF">
        <w:t xml:space="preserve">Dalšími relevantními dokumenty pro program THÉTA 2 spolu se SEK ČR, které zastřešuje </w:t>
      </w:r>
      <w:r w:rsidRPr="00CF06CF">
        <w:rPr>
          <w:b/>
        </w:rPr>
        <w:t>Strategický rámec udržitelného rozvoje ČR</w:t>
      </w:r>
      <w:r w:rsidRPr="00CF06CF">
        <w:t>, jsou např. Politika ochrany klimatu v ČR, Státní politika životního prostředí ČR, Surovinová politika ČR či Plán odpadového hospodářství ČR. Důležitá je také Strategie přizpůsobení se změně klimatu v podmínkách ČR, která obsahuje</w:t>
      </w:r>
      <w:r w:rsidR="00D563E5" w:rsidRPr="00CF06CF">
        <w:t xml:space="preserve"> </w:t>
      </w:r>
      <w:r w:rsidRPr="00CF06CF">
        <w:t>soubor opatření pro odvětví energetiky (elektroenergetiku, teplárenství, plynárenství a ropný průmysl) v souvislosti s adaptací na projevy změny klimatu (zajištění chodu kritické infrastruktury, ostrovní provoz apod.).</w:t>
      </w:r>
    </w:p>
    <w:p w14:paraId="203F2CC8" w14:textId="4CA6F2B5" w:rsidR="005A23DF" w:rsidRPr="00CF06CF" w:rsidRDefault="00CA09E1" w:rsidP="00C85475">
      <w:pPr>
        <w:widowControl w:val="0"/>
        <w:spacing w:before="120" w:after="120" w:line="360" w:lineRule="auto"/>
        <w:ind w:firstLine="284"/>
        <w:contextualSpacing/>
        <w:jc w:val="both"/>
      </w:pPr>
      <w:r w:rsidRPr="00CF06CF">
        <w:t xml:space="preserve">Program THÉTA 2 bude rovněž propojen s </w:t>
      </w:r>
      <w:r w:rsidRPr="00CF06CF">
        <w:rPr>
          <w:b/>
        </w:rPr>
        <w:t xml:space="preserve">Vnitrostátním plánem ČR v oblasti energetiky a klimatu </w:t>
      </w:r>
      <w:r w:rsidRPr="00CF06CF">
        <w:t xml:space="preserve">(2019), jehož zpracování vyplývá z nařízení o správě </w:t>
      </w:r>
      <w:r w:rsidR="00B61106" w:rsidRPr="00CF06CF">
        <w:t>E</w:t>
      </w:r>
      <w:r w:rsidRPr="00CF06CF">
        <w:t>nergetické unie. Vnitrostátní plán specifikuje ze státního pohledu 5 dimenzí Energetické unie, z nichž jedna je</w:t>
      </w:r>
      <w:r w:rsidR="0033484E" w:rsidRPr="00CF06CF">
        <w:t> </w:t>
      </w:r>
      <w:r w:rsidRPr="00CF06CF">
        <w:t>„výzkum, inovace a konkurenceschopnost“.</w:t>
      </w:r>
      <w:bookmarkEnd w:id="11"/>
    </w:p>
    <w:p w14:paraId="42CBD708" w14:textId="1C6DB1B5" w:rsidR="00C85475" w:rsidRPr="00CF06CF" w:rsidRDefault="00CA09E1" w:rsidP="00C85475">
      <w:pPr>
        <w:widowControl w:val="0"/>
        <w:spacing w:before="120" w:after="120" w:line="360" w:lineRule="auto"/>
        <w:ind w:firstLine="284"/>
        <w:contextualSpacing/>
        <w:jc w:val="both"/>
      </w:pPr>
      <w:r w:rsidRPr="00CF06CF">
        <w:t>Program THÉTA 2 bude napomáhat k optimálnímu naplnění mezinárodních dohod a</w:t>
      </w:r>
      <w:r w:rsidR="0033484E" w:rsidRPr="00CF06CF">
        <w:t> </w:t>
      </w:r>
      <w:r w:rsidRPr="00CF06CF">
        <w:t xml:space="preserve">strategií jichž je ČR součástí. Jde především o Pařížskou dohodu jakožto součást Rámcové úmluvy OSN o změně klimatu. Na evropské úrovni se pak jedná především o nadstavbovou vizi (schválenou v roce 2019) dosažení bezemisní ekonomiky do roku 2050 (tzv. </w:t>
      </w:r>
      <w:proofErr w:type="gramStart"/>
      <w:r w:rsidRPr="00CF06CF">
        <w:rPr>
          <w:b/>
        </w:rPr>
        <w:t>Zelená</w:t>
      </w:r>
      <w:proofErr w:type="gramEnd"/>
      <w:r w:rsidRPr="00CF06CF">
        <w:rPr>
          <w:b/>
        </w:rPr>
        <w:t xml:space="preserve"> dohoda pro Evropu</w:t>
      </w:r>
      <w:r w:rsidRPr="00CF06CF">
        <w:t>). V současnosti dochází k postupnému zveřejňování dílčích strategií a</w:t>
      </w:r>
      <w:r w:rsidR="0033484E" w:rsidRPr="00CF06CF">
        <w:t> </w:t>
      </w:r>
      <w:r w:rsidRPr="00CF06CF">
        <w:t>legislativních návrhů Zelené dohody – především balíček cílený na snížení emisí skleníkových plynů o 55 % k roku 2030 (tzv. Fit-for-55), dále plynárenský balíček zavádějící podmínky pro obnovitelné plyny a vodík, plán pro cirkulární ekonomiku či renovační strategie vedoucí k zásadním úsporám energie v budovách. Dosavadní klimaticko-energetické cíle jsou</w:t>
      </w:r>
      <w:r w:rsidR="0033484E" w:rsidRPr="00CF06CF">
        <w:t> </w:t>
      </w:r>
      <w:r w:rsidRPr="00CF06CF">
        <w:t>pak zaměřeny zejména na (i) snížení emisí skleníkových plynů, (</w:t>
      </w:r>
      <w:proofErr w:type="spellStart"/>
      <w:r w:rsidRPr="00CF06CF">
        <w:t>ii</w:t>
      </w:r>
      <w:proofErr w:type="spellEnd"/>
      <w:r w:rsidRPr="00CF06CF">
        <w:t>) zvýšení podílu obnovitelných zdrojů v energetickém mixu, (</w:t>
      </w:r>
      <w:proofErr w:type="spellStart"/>
      <w:r w:rsidRPr="00CF06CF">
        <w:t>iii</w:t>
      </w:r>
      <w:proofErr w:type="spellEnd"/>
      <w:r w:rsidRPr="00CF06CF">
        <w:t>) zvýšení energetické účinnosti a (</w:t>
      </w:r>
      <w:proofErr w:type="spellStart"/>
      <w:r w:rsidRPr="00CF06CF">
        <w:t>iv</w:t>
      </w:r>
      <w:proofErr w:type="spellEnd"/>
      <w:r w:rsidRPr="00CF06CF">
        <w:t xml:space="preserve">) posílení energetické infrastruktury a zvýšení </w:t>
      </w:r>
      <w:proofErr w:type="spellStart"/>
      <w:r w:rsidRPr="00CF06CF">
        <w:t>interkonektivity</w:t>
      </w:r>
      <w:proofErr w:type="spellEnd"/>
      <w:r w:rsidRPr="00CF06CF">
        <w:t>.</w:t>
      </w:r>
    </w:p>
    <w:p w14:paraId="7E1604E7" w14:textId="77777777" w:rsidR="00C85475" w:rsidRPr="00CF06CF" w:rsidRDefault="00CA09E1" w:rsidP="00C85475">
      <w:pPr>
        <w:widowControl w:val="0"/>
        <w:spacing w:before="120" w:after="120" w:line="360" w:lineRule="auto"/>
        <w:ind w:firstLine="284"/>
        <w:contextualSpacing/>
        <w:jc w:val="both"/>
      </w:pPr>
      <w:r w:rsidRPr="00CF06CF">
        <w:t xml:space="preserve">Program THÉTA 2 je rovněž propojen s aktivitami a prioritami na úrovni </w:t>
      </w:r>
      <w:r w:rsidRPr="00CF06CF">
        <w:rPr>
          <w:b/>
        </w:rPr>
        <w:t>Evropského strategického plánu pro energetické technologie (SET-</w:t>
      </w:r>
      <w:proofErr w:type="spellStart"/>
      <w:r w:rsidRPr="00CF06CF">
        <w:rPr>
          <w:b/>
        </w:rPr>
        <w:t>Plan</w:t>
      </w:r>
      <w:proofErr w:type="spellEnd"/>
      <w:r w:rsidRPr="00CF06CF">
        <w:rPr>
          <w:b/>
        </w:rPr>
        <w:t>)</w:t>
      </w:r>
      <w:r w:rsidRPr="00CF06CF">
        <w:t>, a to především z pohledu priorit a relevantnosti technologií pro ČR a posílení mezinárodní spolupráce.</w:t>
      </w:r>
    </w:p>
    <w:p w14:paraId="51211896" w14:textId="50388E79" w:rsidR="00C85475" w:rsidRPr="00CF06CF" w:rsidRDefault="00CA09E1" w:rsidP="00C85475">
      <w:pPr>
        <w:widowControl w:val="0"/>
        <w:spacing w:before="120" w:after="120" w:line="360" w:lineRule="auto"/>
        <w:ind w:firstLine="284"/>
        <w:contextualSpacing/>
        <w:jc w:val="both"/>
      </w:pPr>
      <w:r w:rsidRPr="00CF06CF">
        <w:t>Subjekty podnikající na území ČR jsou v současné době stále relativně málo zapojeny do</w:t>
      </w:r>
      <w:r w:rsidR="0033484E" w:rsidRPr="00CF06CF">
        <w:t> </w:t>
      </w:r>
      <w:r w:rsidRPr="00CF06CF">
        <w:t xml:space="preserve">mezinárodních dodavatelských řetězců v energetických technologiích. V případě komplexních technologických celků je investiční cyklus časově dlouhý, a k uplatnění výsledků výzkumu a vývoje tak dochází až v delším časovém horizontu. Projekty v programu THÉTA 2 by tedy měly svými výsledky </w:t>
      </w:r>
      <w:r w:rsidRPr="00CF06CF">
        <w:rPr>
          <w:b/>
        </w:rPr>
        <w:t>napomoci k exportu technologií a investičních celků a</w:t>
      </w:r>
      <w:r w:rsidR="0033484E" w:rsidRPr="00CF06CF">
        <w:rPr>
          <w:b/>
        </w:rPr>
        <w:t> </w:t>
      </w:r>
      <w:r w:rsidRPr="00CF06CF">
        <w:rPr>
          <w:b/>
        </w:rPr>
        <w:t>zapojení firem do nadnárodních dodavatelských řetězců</w:t>
      </w:r>
      <w:r w:rsidRPr="00CF06CF">
        <w:t>.</w:t>
      </w:r>
    </w:p>
    <w:p w14:paraId="13173DE7" w14:textId="7BC092B0" w:rsidR="00D563E5" w:rsidRPr="00CF06CF" w:rsidRDefault="0017377B" w:rsidP="00C85475">
      <w:pPr>
        <w:widowControl w:val="0"/>
        <w:spacing w:before="120" w:after="120" w:line="360" w:lineRule="auto"/>
        <w:ind w:firstLine="284"/>
        <w:contextualSpacing/>
        <w:jc w:val="both"/>
      </w:pPr>
      <w:r w:rsidRPr="00CF06CF">
        <w:t xml:space="preserve">Realizace projektů podpořených v programu jednoznačně přispívá k naplňování cílů </w:t>
      </w:r>
      <w:r w:rsidRPr="00CF06CF">
        <w:lastRenderedPageBreak/>
        <w:t>Národních priorit orientovaného výzkumu, experimentálního vývoje a inovací</w:t>
      </w:r>
      <w:r w:rsidRPr="00CF06CF">
        <w:rPr>
          <w:rStyle w:val="Znakapoznpodarou"/>
        </w:rPr>
        <w:footnoteReference w:id="6"/>
      </w:r>
      <w:r w:rsidRPr="00CF06CF">
        <w:t xml:space="preserve"> (též NPOV), a</w:t>
      </w:r>
      <w:r w:rsidR="007A5C2E" w:rsidRPr="00CF06CF">
        <w:t> </w:t>
      </w:r>
      <w:r w:rsidRPr="00CF06CF">
        <w:t>to zejména v prioritní oblasti č. 2 Udržitelnost energetiky a materiálových zdrojů, doplňkově (resp. průřezově) přispívá i v dalších oblastech NPOV.</w:t>
      </w:r>
    </w:p>
    <w:p w14:paraId="681D04DD" w14:textId="4DA88DEA" w:rsidR="005A23DF" w:rsidRPr="00CF06CF" w:rsidRDefault="00C85475" w:rsidP="00C85475">
      <w:pPr>
        <w:widowControl w:val="0"/>
        <w:spacing w:before="120" w:after="120" w:line="360" w:lineRule="auto"/>
        <w:ind w:firstLine="284"/>
        <w:contextualSpacing/>
        <w:jc w:val="both"/>
      </w:pPr>
      <w:r w:rsidRPr="00CF06CF">
        <w:t>P</w:t>
      </w:r>
      <w:r w:rsidR="00CA09E1" w:rsidRPr="00CF06CF">
        <w:t>rogram THÉTA 2 má dále napomoci naplňovat cíle relevantních národních strategií (a</w:t>
      </w:r>
      <w:r w:rsidR="0033484E" w:rsidRPr="00CF06CF">
        <w:t> </w:t>
      </w:r>
      <w:r w:rsidR="00CA09E1" w:rsidRPr="00CF06CF">
        <w:t>v</w:t>
      </w:r>
      <w:r w:rsidR="0033484E" w:rsidRPr="00CF06CF">
        <w:t> </w:t>
      </w:r>
      <w:r w:rsidR="00CA09E1" w:rsidRPr="00CF06CF">
        <w:t>budoucnu i jejich navazujících verzí). V době přípravy programu se konkrétně jedná o</w:t>
      </w:r>
      <w:r w:rsidR="0033484E" w:rsidRPr="00CF06CF">
        <w:t> </w:t>
      </w:r>
      <w:r w:rsidR="00CA09E1" w:rsidRPr="00CF06CF">
        <w:t>Národní politiku výzkumu, vývoje a inovací ČR 2021+ schválenou usnesením vlády ze dne 20. července 2020 č. 759</w:t>
      </w:r>
      <w:r w:rsidR="000D4E45" w:rsidRPr="00CF06CF">
        <w:t xml:space="preserve"> (zejména cíle 1, 2, 4 a 5)</w:t>
      </w:r>
      <w:r w:rsidR="00CA09E1" w:rsidRPr="00CF06CF">
        <w:t>;</w:t>
      </w:r>
      <w:r w:rsidR="000D4E45" w:rsidRPr="00CF06CF">
        <w:rPr>
          <w:rStyle w:val="Znakapoznpodarou"/>
        </w:rPr>
        <w:footnoteReference w:id="7"/>
      </w:r>
      <w:r w:rsidR="00CA09E1" w:rsidRPr="00CF06CF">
        <w:t xml:space="preserve"> Národní RIS3 strategii schválenou usnesením vlády ze dne 25.</w:t>
      </w:r>
      <w:r w:rsidR="0033484E" w:rsidRPr="00CF06CF">
        <w:t> </w:t>
      </w:r>
      <w:r w:rsidR="00CA09E1" w:rsidRPr="00CF06CF">
        <w:t>ledna 2021 č. 66; Inovační strategii ČR 2019–2030 schválenou usnesením vlády ze dne 4. února 2019 č. 104.</w:t>
      </w:r>
      <w:r w:rsidR="00951FD3" w:rsidRPr="00CF06CF">
        <w:t xml:space="preserve"> Program bude pomáhat realizovat též Strategický rámec hospodářské restrukturalizace Ústeckého, Moravskoslezského a Karlovarského kraje (RE:START) schválený usnesením vlády ze dne 29. března 2021 č. 321.</w:t>
      </w:r>
    </w:p>
    <w:p w14:paraId="7DDA0146" w14:textId="1423A501" w:rsidR="00C0318E" w:rsidRPr="00CF06CF" w:rsidRDefault="000D6DA7" w:rsidP="00C85475">
      <w:pPr>
        <w:widowControl w:val="0"/>
        <w:spacing w:before="120" w:after="120" w:line="360" w:lineRule="auto"/>
        <w:ind w:firstLine="284"/>
        <w:contextualSpacing/>
        <w:jc w:val="both"/>
      </w:pPr>
      <w:r>
        <w:t>Na základě zkušeností z realizace programu THÉTA se</w:t>
      </w:r>
      <w:r w:rsidR="00C0318E" w:rsidRPr="00CF06CF">
        <w:t xml:space="preserve"> též předpokládá zapojení začínajících výzkumníků a výzkumnic do řešitelských týmů projektů</w:t>
      </w:r>
      <w:r w:rsidR="00A279DA" w:rsidRPr="00CF06CF">
        <w:t>. To je samo o sobě pozitivním přínosem programu, protože se jedná o jejich zapojení do kvalitních projektů v oblasti energetiky a tím vytváření poolu budoucích výzkumníků a výzkumnic s předešlou zkušeností z praxe (za podporu kvalitních projektů ručí hodnoticí proces při výběru projektů k podpoře).</w:t>
      </w:r>
    </w:p>
    <w:p w14:paraId="787B4950" w14:textId="77777777" w:rsidR="005A23DF" w:rsidRPr="00CF06CF" w:rsidRDefault="00CA09E1" w:rsidP="004F4F08">
      <w:pPr>
        <w:pStyle w:val="Nadpis1"/>
      </w:pPr>
      <w:bookmarkStart w:id="12" w:name="_h1j9m3wpfsuk" w:colFirst="0" w:colLast="0"/>
      <w:bookmarkEnd w:id="12"/>
      <w:r w:rsidRPr="00CF06CF">
        <w:t>9. Kritéria splnění cílů programu</w:t>
      </w:r>
    </w:p>
    <w:p w14:paraId="2CB88770" w14:textId="77777777" w:rsidR="005A23DF" w:rsidRPr="00CF06CF" w:rsidRDefault="00CA09E1" w:rsidP="00C85475">
      <w:pPr>
        <w:widowControl w:val="0"/>
        <w:spacing w:before="120" w:after="120" w:line="360" w:lineRule="auto"/>
        <w:ind w:left="12" w:right="5" w:firstLine="272"/>
        <w:contextualSpacing/>
        <w:jc w:val="both"/>
      </w:pPr>
      <w:r w:rsidRPr="00CF06CF">
        <w:t xml:space="preserve">Dosažení cílů programu bude poskytovatel vyhodnocovat v souladu s Metodikou hodnocení výsledků výzkumných organizací a hodnocení výsledků ukončených programů platnou v době hodnocení programu (dále “Metodika”), případně dalšími podmínkami stanovenými poskytovatelem. </w:t>
      </w:r>
    </w:p>
    <w:p w14:paraId="596801A1" w14:textId="06135A41" w:rsidR="00CF06CF" w:rsidRPr="00CF06CF" w:rsidRDefault="00CA09E1" w:rsidP="00CF06CF">
      <w:pPr>
        <w:widowControl w:val="0"/>
        <w:spacing w:before="120" w:after="120" w:line="360" w:lineRule="auto"/>
        <w:ind w:left="12" w:right="5" w:firstLine="272"/>
        <w:contextualSpacing/>
        <w:jc w:val="both"/>
      </w:pPr>
      <w:r w:rsidRPr="00CF06CF">
        <w:t xml:space="preserve">Vyhodnocení dosažení cílů programu proběhne na základě souboru indikátorů určených pro monitorování průběhu plnění programu (průběžné hodnocení) a hodnocení jeho celkové výkonnosti a úspěšnosti (hodnocení dopadů). </w:t>
      </w:r>
    </w:p>
    <w:p w14:paraId="366042B3" w14:textId="77777777" w:rsidR="00CF06CF" w:rsidRDefault="00CF06CF">
      <w:pPr>
        <w:rPr>
          <w:b/>
        </w:rPr>
      </w:pPr>
      <w:r>
        <w:rPr>
          <w:b/>
        </w:rPr>
        <w:br w:type="page"/>
      </w:r>
    </w:p>
    <w:p w14:paraId="474EA311" w14:textId="058765FD" w:rsidR="00A279DA" w:rsidRPr="00CF06CF" w:rsidRDefault="00A279DA" w:rsidP="00A279DA">
      <w:pPr>
        <w:widowControl w:val="0"/>
        <w:spacing w:line="240" w:lineRule="auto"/>
        <w:ind w:left="-142"/>
        <w:contextualSpacing/>
        <w:jc w:val="both"/>
        <w:rPr>
          <w:b/>
        </w:rPr>
      </w:pPr>
      <w:r w:rsidRPr="00CF06CF">
        <w:rPr>
          <w:b/>
        </w:rPr>
        <w:lastRenderedPageBreak/>
        <w:t>Tabulka č. 9. 1: Indikátory programu THÉTA 2</w:t>
      </w:r>
    </w:p>
    <w:tbl>
      <w:tblPr>
        <w:tblStyle w:val="a"/>
        <w:tblW w:w="9357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124"/>
        <w:gridCol w:w="1233"/>
      </w:tblGrid>
      <w:tr w:rsidR="00A279DA" w:rsidRPr="00CF06CF" w14:paraId="7654BC30" w14:textId="77777777" w:rsidTr="00C5123C">
        <w:trPr>
          <w:trHeight w:hRule="exact" w:val="719"/>
          <w:jc w:val="center"/>
        </w:trPr>
        <w:tc>
          <w:tcPr>
            <w:tcW w:w="81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D2A46F" w14:textId="77777777" w:rsidR="00A279DA" w:rsidRPr="00CF06CF" w:rsidRDefault="00A279DA" w:rsidP="00C15B5B">
            <w:pPr>
              <w:widowControl w:val="0"/>
              <w:spacing w:line="240" w:lineRule="auto"/>
              <w:ind w:left="140"/>
              <w:contextualSpacing/>
              <w:jc w:val="center"/>
              <w:rPr>
                <w:b/>
              </w:rPr>
            </w:pPr>
            <w:r w:rsidRPr="00CF06CF">
              <w:rPr>
                <w:b/>
              </w:rPr>
              <w:t xml:space="preserve">Indikátor </w:t>
            </w:r>
          </w:p>
        </w:tc>
        <w:tc>
          <w:tcPr>
            <w:tcW w:w="12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FB0752" w14:textId="77777777" w:rsidR="00A279DA" w:rsidRPr="00CF06CF" w:rsidRDefault="00A279DA" w:rsidP="00C15B5B">
            <w:pPr>
              <w:widowControl w:val="0"/>
              <w:spacing w:line="240" w:lineRule="auto"/>
              <w:contextualSpacing/>
              <w:jc w:val="center"/>
              <w:rPr>
                <w:b/>
              </w:rPr>
            </w:pPr>
            <w:r w:rsidRPr="00CF06CF">
              <w:rPr>
                <w:b/>
              </w:rPr>
              <w:t>Hodnota</w:t>
            </w:r>
          </w:p>
        </w:tc>
      </w:tr>
      <w:tr w:rsidR="00A279DA" w:rsidRPr="00CF06CF" w14:paraId="1DED0152" w14:textId="77777777" w:rsidTr="00CF06CF">
        <w:trPr>
          <w:trHeight w:hRule="exact" w:val="465"/>
          <w:jc w:val="center"/>
        </w:trPr>
        <w:tc>
          <w:tcPr>
            <w:tcW w:w="81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C470C1" w14:textId="77777777" w:rsidR="00A279DA" w:rsidRPr="00CF06CF" w:rsidRDefault="00A279DA" w:rsidP="00C15B5B">
            <w:pPr>
              <w:widowControl w:val="0"/>
              <w:spacing w:line="240" w:lineRule="auto"/>
              <w:ind w:left="170"/>
              <w:contextualSpacing/>
            </w:pPr>
            <w:r w:rsidRPr="00CF06CF">
              <w:t>Průměrná intenzita podpory (%)</w:t>
            </w:r>
          </w:p>
        </w:tc>
        <w:tc>
          <w:tcPr>
            <w:tcW w:w="12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266492" w14:textId="77777777" w:rsidR="00A279DA" w:rsidRPr="00CF06CF" w:rsidRDefault="00A279DA" w:rsidP="00C15B5B">
            <w:pPr>
              <w:widowControl w:val="0"/>
              <w:spacing w:line="240" w:lineRule="auto"/>
              <w:ind w:right="170"/>
              <w:contextualSpacing/>
              <w:jc w:val="right"/>
            </w:pPr>
            <w:r w:rsidRPr="00CF06CF">
              <w:t>70</w:t>
            </w:r>
          </w:p>
        </w:tc>
      </w:tr>
      <w:tr w:rsidR="00A279DA" w:rsidRPr="00CF06CF" w14:paraId="19EC994C" w14:textId="77777777" w:rsidTr="00C15B5B">
        <w:trPr>
          <w:trHeight w:hRule="exact" w:val="471"/>
          <w:jc w:val="center"/>
        </w:trPr>
        <w:tc>
          <w:tcPr>
            <w:tcW w:w="81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5856D2" w14:textId="77777777" w:rsidR="00A279DA" w:rsidRPr="00CF06CF" w:rsidRDefault="00A279DA" w:rsidP="00C15B5B">
            <w:pPr>
              <w:widowControl w:val="0"/>
              <w:spacing w:line="240" w:lineRule="auto"/>
              <w:ind w:left="170"/>
              <w:contextualSpacing/>
            </w:pPr>
            <w:r w:rsidRPr="00CF06CF">
              <w:t>Minimální počet podpořených projektů</w:t>
            </w:r>
          </w:p>
        </w:tc>
        <w:tc>
          <w:tcPr>
            <w:tcW w:w="12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077A53" w14:textId="77777777" w:rsidR="00A279DA" w:rsidRPr="00CF06CF" w:rsidRDefault="00A279DA" w:rsidP="00C15B5B">
            <w:pPr>
              <w:widowControl w:val="0"/>
              <w:spacing w:line="240" w:lineRule="auto"/>
              <w:ind w:right="170"/>
              <w:contextualSpacing/>
              <w:jc w:val="right"/>
            </w:pPr>
            <w:r w:rsidRPr="00CF06CF">
              <w:t>550</w:t>
            </w:r>
          </w:p>
        </w:tc>
      </w:tr>
      <w:tr w:rsidR="00A279DA" w:rsidRPr="00CF06CF" w14:paraId="35497043" w14:textId="77777777" w:rsidTr="00C15B5B">
        <w:trPr>
          <w:trHeight w:hRule="exact" w:val="454"/>
          <w:jc w:val="center"/>
        </w:trPr>
        <w:tc>
          <w:tcPr>
            <w:tcW w:w="81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C1B59A" w14:textId="77777777" w:rsidR="00A279DA" w:rsidRPr="00CF06CF" w:rsidRDefault="00A279DA" w:rsidP="00C15B5B">
            <w:pPr>
              <w:widowControl w:val="0"/>
              <w:spacing w:line="240" w:lineRule="auto"/>
              <w:ind w:left="170"/>
              <w:contextualSpacing/>
            </w:pPr>
            <w:r w:rsidRPr="00CF06CF">
              <w:t>Minimální míra úspěšně dokončených projektů (%)</w:t>
            </w:r>
          </w:p>
        </w:tc>
        <w:tc>
          <w:tcPr>
            <w:tcW w:w="12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60A93E" w14:textId="77777777" w:rsidR="00A279DA" w:rsidRPr="00CF06CF" w:rsidRDefault="00A279DA" w:rsidP="00C15B5B">
            <w:pPr>
              <w:widowControl w:val="0"/>
              <w:spacing w:line="240" w:lineRule="auto"/>
              <w:ind w:right="170"/>
              <w:contextualSpacing/>
              <w:jc w:val="right"/>
            </w:pPr>
            <w:r w:rsidRPr="00CF06CF">
              <w:t>80</w:t>
            </w:r>
          </w:p>
        </w:tc>
      </w:tr>
      <w:tr w:rsidR="00A279DA" w:rsidRPr="00CF06CF" w14:paraId="16B79E7E" w14:textId="77777777" w:rsidTr="00C15B5B">
        <w:trPr>
          <w:trHeight w:hRule="exact" w:val="454"/>
          <w:jc w:val="center"/>
        </w:trPr>
        <w:tc>
          <w:tcPr>
            <w:tcW w:w="81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6491C8" w14:textId="77777777" w:rsidR="00A279DA" w:rsidRPr="00CF06CF" w:rsidRDefault="00A279DA" w:rsidP="00C15B5B">
            <w:pPr>
              <w:widowControl w:val="0"/>
              <w:spacing w:line="240" w:lineRule="auto"/>
              <w:ind w:left="170"/>
              <w:contextualSpacing/>
            </w:pPr>
            <w:r w:rsidRPr="00CF06CF">
              <w:t>Minimální počet dosažených výstupů</w:t>
            </w:r>
          </w:p>
        </w:tc>
        <w:tc>
          <w:tcPr>
            <w:tcW w:w="12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397E85" w14:textId="77777777" w:rsidR="00A279DA" w:rsidRPr="00CF06CF" w:rsidRDefault="00A279DA" w:rsidP="00C15B5B">
            <w:pPr>
              <w:widowControl w:val="0"/>
              <w:spacing w:line="240" w:lineRule="auto"/>
              <w:ind w:right="170"/>
              <w:contextualSpacing/>
              <w:jc w:val="right"/>
            </w:pPr>
            <w:r w:rsidRPr="00CF06CF">
              <w:t>1 000</w:t>
            </w:r>
          </w:p>
        </w:tc>
      </w:tr>
      <w:tr w:rsidR="00A279DA" w:rsidRPr="00CF06CF" w14:paraId="770CF879" w14:textId="77777777" w:rsidTr="00C15B5B">
        <w:trPr>
          <w:trHeight w:hRule="exact" w:val="454"/>
          <w:jc w:val="center"/>
        </w:trPr>
        <w:tc>
          <w:tcPr>
            <w:tcW w:w="81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480A16" w14:textId="77777777" w:rsidR="00A279DA" w:rsidRPr="00CF06CF" w:rsidRDefault="00A279DA" w:rsidP="00C15B5B">
            <w:pPr>
              <w:widowControl w:val="0"/>
              <w:spacing w:line="240" w:lineRule="auto"/>
              <w:ind w:left="170"/>
              <w:contextualSpacing/>
            </w:pPr>
            <w:r w:rsidRPr="00CF06CF">
              <w:t>Minimální počet aplikovaných výstupů</w:t>
            </w:r>
          </w:p>
        </w:tc>
        <w:tc>
          <w:tcPr>
            <w:tcW w:w="12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B7BE50" w14:textId="77777777" w:rsidR="00A279DA" w:rsidRPr="00CF06CF" w:rsidRDefault="00A279DA" w:rsidP="00C15B5B">
            <w:pPr>
              <w:widowControl w:val="0"/>
              <w:spacing w:line="240" w:lineRule="auto"/>
              <w:ind w:right="170"/>
              <w:contextualSpacing/>
              <w:jc w:val="right"/>
            </w:pPr>
            <w:r w:rsidRPr="00CF06CF">
              <w:t>800</w:t>
            </w:r>
          </w:p>
        </w:tc>
      </w:tr>
    </w:tbl>
    <w:p w14:paraId="47A52C13" w14:textId="77777777" w:rsidR="00A279DA" w:rsidRPr="00CF06CF" w:rsidRDefault="00A279DA" w:rsidP="00A279DA">
      <w:pPr>
        <w:widowControl w:val="0"/>
        <w:spacing w:before="120" w:after="120" w:line="360" w:lineRule="auto"/>
        <w:ind w:left="-142"/>
        <w:contextualSpacing/>
        <w:jc w:val="both"/>
        <w:rPr>
          <w:sz w:val="14"/>
        </w:rPr>
      </w:pPr>
      <w:r w:rsidRPr="00CF06CF">
        <w:rPr>
          <w:sz w:val="14"/>
        </w:rPr>
        <w:t>*Programové indikátory jsou sledovány na úrovni jednotlivých podprogramů a veřejných soutěží, což se explicitně projevuje v každém statistickém vyhodnocení a zprávě prováděných po ukončení dané veřejné soutěže.</w:t>
      </w:r>
    </w:p>
    <w:p w14:paraId="7FEC0062" w14:textId="744EDDCC" w:rsidR="00A279DA" w:rsidRPr="00CF06CF" w:rsidRDefault="00A279DA" w:rsidP="00CF06CF">
      <w:pPr>
        <w:widowControl w:val="0"/>
        <w:spacing w:before="120" w:after="120" w:line="360" w:lineRule="auto"/>
        <w:ind w:left="12" w:right="5" w:firstLine="272"/>
        <w:contextualSpacing/>
        <w:jc w:val="both"/>
      </w:pPr>
      <w:r w:rsidRPr="00CF06CF">
        <w:t>Ve výše uvedené indikátorové soustavě nejsou definována konkrétní hodnocení dosavadních cílů programu. Jak program dosahuje deklarovaných cílů TA ČR ověří ve třech komplexních šetřeních, která provede formou evaluací: interim evaluace (v průběhu programu), ex-post evaluace (krátce po ukončení programu), ex-post evaluace dopadů (s</w:t>
      </w:r>
      <w:r w:rsidR="00375F11">
        <w:t> </w:t>
      </w:r>
      <w:r w:rsidRPr="00CF06CF">
        <w:t>odstupem několika let po ukončení programu). Podrobnější popis vyhodnocení je</w:t>
      </w:r>
      <w:r w:rsidR="00375F11">
        <w:t> </w:t>
      </w:r>
      <w:r w:rsidRPr="00CF06CF">
        <w:t>v</w:t>
      </w:r>
      <w:r w:rsidR="00375F11">
        <w:t> </w:t>
      </w:r>
      <w:r w:rsidRPr="00CF06CF">
        <w:t>Příloze</w:t>
      </w:r>
      <w:r w:rsidR="00375F11">
        <w:t> </w:t>
      </w:r>
      <w:r w:rsidRPr="00CF06CF">
        <w:t>1 (kap. 9).</w:t>
      </w:r>
    </w:p>
    <w:p w14:paraId="446AA868" w14:textId="77777777" w:rsidR="005A23DF" w:rsidRPr="00CF06CF" w:rsidRDefault="00CA09E1" w:rsidP="001E034A">
      <w:pPr>
        <w:pStyle w:val="Nadpis1"/>
      </w:pPr>
      <w:bookmarkStart w:id="13" w:name="_pk1ukzsrasuy" w:colFirst="0" w:colLast="0"/>
      <w:bookmarkEnd w:id="13"/>
      <w:r w:rsidRPr="00CF06CF">
        <w:t>10. Očekávané výsledky a přínosy programu</w:t>
      </w:r>
    </w:p>
    <w:p w14:paraId="4ACB7A18" w14:textId="44AA8820" w:rsidR="005A23DF" w:rsidRPr="00CF06CF" w:rsidRDefault="00CA09E1" w:rsidP="00C85475">
      <w:pPr>
        <w:widowControl w:val="0"/>
        <w:spacing w:before="120" w:after="120" w:line="360" w:lineRule="auto"/>
        <w:ind w:right="9" w:firstLine="284"/>
        <w:contextualSpacing/>
        <w:jc w:val="both"/>
      </w:pPr>
      <w:r w:rsidRPr="00CF06CF">
        <w:t>Stejně jako v programu THÉTA, budou i v programu THÉTA 2 podporovány zejména projekty, u kterých se odůvodněně předpokládá dosažení využitelných výstupů, včetně</w:t>
      </w:r>
      <w:r w:rsidR="0033484E" w:rsidRPr="00CF06CF">
        <w:t> </w:t>
      </w:r>
      <w:r w:rsidRPr="00CF06CF">
        <w:t>publikačních, jejichž aplikace přispěje k plnění stanovených cílů programu a</w:t>
      </w:r>
      <w:r w:rsidR="0033484E" w:rsidRPr="00CF06CF">
        <w:t> </w:t>
      </w:r>
      <w:r w:rsidRPr="00CF06CF">
        <w:t>k</w:t>
      </w:r>
      <w:r w:rsidR="0033484E" w:rsidRPr="00CF06CF">
        <w:t> </w:t>
      </w:r>
      <w:r w:rsidRPr="00CF06CF">
        <w:t>pozitivním společenským dopadům. Program umožní dosažení následujících výstupů</w:t>
      </w:r>
      <w:r w:rsidR="00D563E5" w:rsidRPr="00CF06CF">
        <w:t xml:space="preserve"> </w:t>
      </w:r>
      <w:r w:rsidRPr="00CF06CF">
        <w:t>ve</w:t>
      </w:r>
      <w:r w:rsidR="0033484E" w:rsidRPr="00CF06CF">
        <w:t> </w:t>
      </w:r>
      <w:r w:rsidRPr="00CF06CF">
        <w:t xml:space="preserve">formě výsledků dle Metodiky a Rejstříku informací o výsledcích (RIV) platných v době jejich uplatňování: </w:t>
      </w:r>
    </w:p>
    <w:p w14:paraId="7B17BC2A" w14:textId="77777777" w:rsidR="005A23DF" w:rsidRPr="00CF06CF" w:rsidRDefault="00CA09E1" w:rsidP="004F4F08">
      <w:pPr>
        <w:widowControl w:val="0"/>
        <w:spacing w:before="120" w:after="120" w:line="360" w:lineRule="auto"/>
        <w:ind w:left="10"/>
        <w:contextualSpacing/>
        <w:jc w:val="both"/>
      </w:pPr>
      <w:r w:rsidRPr="00CF06CF">
        <w:rPr>
          <w:b/>
        </w:rPr>
        <w:t>Výsledky relevantní pro podprogram 1:</w:t>
      </w:r>
    </w:p>
    <w:p w14:paraId="589A821B" w14:textId="3D6B570E" w:rsidR="005A23DF" w:rsidRPr="00CF06CF" w:rsidRDefault="00CA09E1" w:rsidP="00C85475">
      <w:pPr>
        <w:pStyle w:val="Odstavecseseznamem"/>
        <w:widowControl w:val="0"/>
        <w:numPr>
          <w:ilvl w:val="0"/>
          <w:numId w:val="19"/>
        </w:numPr>
        <w:spacing w:before="120" w:after="120" w:line="360" w:lineRule="auto"/>
        <w:ind w:left="993"/>
        <w:jc w:val="both"/>
      </w:pPr>
      <w:r w:rsidRPr="00CF06CF">
        <w:t>P – patent</w:t>
      </w:r>
    </w:p>
    <w:p w14:paraId="3A7E208C" w14:textId="09083EEE" w:rsidR="005A23DF" w:rsidRPr="00CF06CF" w:rsidRDefault="00CA09E1" w:rsidP="00C85475">
      <w:pPr>
        <w:pStyle w:val="Odstavecseseznamem"/>
        <w:widowControl w:val="0"/>
        <w:numPr>
          <w:ilvl w:val="0"/>
          <w:numId w:val="19"/>
        </w:numPr>
        <w:spacing w:before="120" w:after="120" w:line="360" w:lineRule="auto"/>
        <w:ind w:left="993"/>
        <w:jc w:val="both"/>
      </w:pPr>
      <w:r w:rsidRPr="00CF06CF">
        <w:t>G – technicky realizované výsledky – prototyp, funkční vzorek</w:t>
      </w:r>
    </w:p>
    <w:p w14:paraId="13B3736D" w14:textId="19257BFB" w:rsidR="005A23DF" w:rsidRPr="00CF06CF" w:rsidRDefault="00CA09E1" w:rsidP="00C85475">
      <w:pPr>
        <w:pStyle w:val="Odstavecseseznamem"/>
        <w:widowControl w:val="0"/>
        <w:numPr>
          <w:ilvl w:val="0"/>
          <w:numId w:val="19"/>
        </w:numPr>
        <w:spacing w:before="120" w:after="120" w:line="360" w:lineRule="auto"/>
        <w:ind w:left="993"/>
        <w:jc w:val="both"/>
      </w:pPr>
      <w:r w:rsidRPr="00CF06CF">
        <w:t>Z – poloprovoz, ověřená technologie</w:t>
      </w:r>
    </w:p>
    <w:p w14:paraId="665FEAE5" w14:textId="27F0955F" w:rsidR="005A23DF" w:rsidRPr="00CF06CF" w:rsidRDefault="00CA09E1" w:rsidP="00C85475">
      <w:pPr>
        <w:pStyle w:val="Odstavecseseznamem"/>
        <w:widowControl w:val="0"/>
        <w:numPr>
          <w:ilvl w:val="0"/>
          <w:numId w:val="19"/>
        </w:numPr>
        <w:spacing w:before="120" w:after="120" w:line="360" w:lineRule="auto"/>
        <w:ind w:left="993"/>
        <w:jc w:val="both"/>
      </w:pPr>
      <w:r w:rsidRPr="00CF06CF">
        <w:t>R – software</w:t>
      </w:r>
    </w:p>
    <w:p w14:paraId="08C34C47" w14:textId="1D691163" w:rsidR="005A23DF" w:rsidRPr="00CF06CF" w:rsidRDefault="00CA09E1" w:rsidP="00C85475">
      <w:pPr>
        <w:pStyle w:val="Odstavecseseznamem"/>
        <w:widowControl w:val="0"/>
        <w:numPr>
          <w:ilvl w:val="0"/>
          <w:numId w:val="19"/>
        </w:numPr>
        <w:spacing w:before="120" w:after="120" w:line="360" w:lineRule="auto"/>
        <w:ind w:left="993"/>
        <w:jc w:val="both"/>
      </w:pPr>
      <w:r w:rsidRPr="00CF06CF">
        <w:t>F – průmyslový a užitný vzor</w:t>
      </w:r>
    </w:p>
    <w:p w14:paraId="475207A6" w14:textId="41489C8E" w:rsidR="005A23DF" w:rsidRPr="00CF06CF" w:rsidRDefault="00CA09E1" w:rsidP="00C85475">
      <w:pPr>
        <w:pStyle w:val="Odstavecseseznamem"/>
        <w:widowControl w:val="0"/>
        <w:numPr>
          <w:ilvl w:val="0"/>
          <w:numId w:val="19"/>
        </w:numPr>
        <w:spacing w:before="120" w:after="120" w:line="360" w:lineRule="auto"/>
        <w:ind w:left="993" w:right="14"/>
        <w:jc w:val="both"/>
      </w:pPr>
      <w:r w:rsidRPr="00CF06CF">
        <w:t>H – výsledky promítnuté do právních předpisů a norem a výsledky promítnuté do</w:t>
      </w:r>
      <w:r w:rsidR="0033484E" w:rsidRPr="00CF06CF">
        <w:t> </w:t>
      </w:r>
      <w:r w:rsidRPr="00CF06CF">
        <w:t>směrnic a předpisů nelegislativní povahy závazných v rámci kompetence příslušného poskytovatele</w:t>
      </w:r>
    </w:p>
    <w:p w14:paraId="60643BE7" w14:textId="77777777" w:rsidR="00CF06CF" w:rsidRDefault="00CF06CF">
      <w:r>
        <w:br w:type="page"/>
      </w:r>
    </w:p>
    <w:p w14:paraId="30FC4C90" w14:textId="5945A8A9" w:rsidR="005A23DF" w:rsidRPr="00CF06CF" w:rsidRDefault="00CA09E1" w:rsidP="00C85475">
      <w:pPr>
        <w:pStyle w:val="Odstavecseseznamem"/>
        <w:widowControl w:val="0"/>
        <w:numPr>
          <w:ilvl w:val="0"/>
          <w:numId w:val="19"/>
        </w:numPr>
        <w:spacing w:before="120" w:after="120" w:line="360" w:lineRule="auto"/>
        <w:ind w:left="993" w:right="1469"/>
        <w:jc w:val="both"/>
      </w:pPr>
      <w:r w:rsidRPr="00CF06CF">
        <w:lastRenderedPageBreak/>
        <w:t>N – metodiky (</w:t>
      </w:r>
      <w:proofErr w:type="spellStart"/>
      <w:r w:rsidRPr="00CF06CF">
        <w:t>NmetS</w:t>
      </w:r>
      <w:proofErr w:type="spellEnd"/>
      <w:r w:rsidRPr="00CF06CF">
        <w:t xml:space="preserve">, </w:t>
      </w:r>
      <w:proofErr w:type="spellStart"/>
      <w:r w:rsidRPr="00CF06CF">
        <w:t>NmetC</w:t>
      </w:r>
      <w:proofErr w:type="spellEnd"/>
      <w:r w:rsidRPr="00CF06CF">
        <w:t xml:space="preserve">, </w:t>
      </w:r>
      <w:proofErr w:type="spellStart"/>
      <w:r w:rsidRPr="00CF06CF">
        <w:t>NmetA</w:t>
      </w:r>
      <w:proofErr w:type="spellEnd"/>
      <w:r w:rsidRPr="00CF06CF">
        <w:t>), postupy a specializované mapy s odborným obsahem</w:t>
      </w:r>
    </w:p>
    <w:p w14:paraId="5A12014F" w14:textId="073B88F3" w:rsidR="005A23DF" w:rsidRPr="00CF06CF" w:rsidRDefault="0033484E" w:rsidP="00C85475">
      <w:pPr>
        <w:pStyle w:val="Odstavecseseznamem"/>
        <w:widowControl w:val="0"/>
        <w:numPr>
          <w:ilvl w:val="0"/>
          <w:numId w:val="19"/>
        </w:numPr>
        <w:spacing w:before="120" w:after="120" w:line="360" w:lineRule="auto"/>
        <w:ind w:left="993" w:right="1469"/>
        <w:jc w:val="both"/>
      </w:pPr>
      <w:r w:rsidRPr="00CF06CF">
        <w:t xml:space="preserve">O </w:t>
      </w:r>
      <w:r w:rsidR="00CA09E1" w:rsidRPr="00CF06CF">
        <w:t xml:space="preserve">– ostatní výsledky </w:t>
      </w:r>
    </w:p>
    <w:p w14:paraId="7FC91B19" w14:textId="77777777" w:rsidR="005A23DF" w:rsidRPr="00CF06CF" w:rsidRDefault="00CA09E1" w:rsidP="004F4F08">
      <w:pPr>
        <w:widowControl w:val="0"/>
        <w:spacing w:before="120" w:after="120" w:line="360" w:lineRule="auto"/>
        <w:ind w:left="18" w:right="1469" w:firstLine="8"/>
        <w:contextualSpacing/>
        <w:jc w:val="both"/>
      </w:pPr>
      <w:r w:rsidRPr="00CF06CF">
        <w:rPr>
          <w:b/>
        </w:rPr>
        <w:t>Výsledky relevantní pro podprogram 2:</w:t>
      </w:r>
    </w:p>
    <w:p w14:paraId="61218165" w14:textId="29D80AE1" w:rsidR="005A23DF" w:rsidRPr="00CF06CF" w:rsidRDefault="00CA09E1" w:rsidP="00C85475">
      <w:pPr>
        <w:pStyle w:val="Odstavecseseznamem"/>
        <w:widowControl w:val="0"/>
        <w:numPr>
          <w:ilvl w:val="0"/>
          <w:numId w:val="20"/>
        </w:numPr>
        <w:spacing w:before="120" w:after="120" w:line="360" w:lineRule="auto"/>
        <w:ind w:left="993"/>
        <w:jc w:val="both"/>
      </w:pPr>
      <w:r w:rsidRPr="00CF06CF">
        <w:t>P – patent</w:t>
      </w:r>
    </w:p>
    <w:p w14:paraId="5D6DEE82" w14:textId="60261C46" w:rsidR="005A23DF" w:rsidRPr="00CF06CF" w:rsidRDefault="00CA09E1" w:rsidP="00C85475">
      <w:pPr>
        <w:pStyle w:val="Odstavecseseznamem"/>
        <w:widowControl w:val="0"/>
        <w:numPr>
          <w:ilvl w:val="0"/>
          <w:numId w:val="20"/>
        </w:numPr>
        <w:spacing w:before="120" w:after="120" w:line="360" w:lineRule="auto"/>
        <w:ind w:left="993"/>
        <w:jc w:val="both"/>
      </w:pPr>
      <w:r w:rsidRPr="00CF06CF">
        <w:t>G – technicky realizované výsledky – prototyp, funkční vzorek</w:t>
      </w:r>
    </w:p>
    <w:p w14:paraId="5D63E3DE" w14:textId="31178EA9" w:rsidR="005A23DF" w:rsidRPr="00CF06CF" w:rsidRDefault="00CA09E1" w:rsidP="00C85475">
      <w:pPr>
        <w:pStyle w:val="Odstavecseseznamem"/>
        <w:widowControl w:val="0"/>
        <w:numPr>
          <w:ilvl w:val="0"/>
          <w:numId w:val="20"/>
        </w:numPr>
        <w:spacing w:before="120" w:after="120" w:line="360" w:lineRule="auto"/>
        <w:ind w:left="993"/>
        <w:jc w:val="both"/>
      </w:pPr>
      <w:r w:rsidRPr="00CF06CF">
        <w:t>Z – poloprovoz, ověřená technologie</w:t>
      </w:r>
    </w:p>
    <w:p w14:paraId="5C29920A" w14:textId="6FC8AC14" w:rsidR="005A23DF" w:rsidRPr="00CF06CF" w:rsidRDefault="00CA09E1" w:rsidP="00C85475">
      <w:pPr>
        <w:pStyle w:val="Odstavecseseznamem"/>
        <w:widowControl w:val="0"/>
        <w:numPr>
          <w:ilvl w:val="0"/>
          <w:numId w:val="20"/>
        </w:numPr>
        <w:spacing w:before="120" w:after="120" w:line="360" w:lineRule="auto"/>
        <w:ind w:left="993"/>
        <w:jc w:val="both"/>
      </w:pPr>
      <w:r w:rsidRPr="00CF06CF">
        <w:t>R – software</w:t>
      </w:r>
    </w:p>
    <w:p w14:paraId="41D47408" w14:textId="007E6E6F" w:rsidR="005A23DF" w:rsidRPr="00CF06CF" w:rsidRDefault="00CA09E1" w:rsidP="00C85475">
      <w:pPr>
        <w:pStyle w:val="Odstavecseseznamem"/>
        <w:widowControl w:val="0"/>
        <w:numPr>
          <w:ilvl w:val="0"/>
          <w:numId w:val="20"/>
        </w:numPr>
        <w:spacing w:before="120" w:after="120" w:line="360" w:lineRule="auto"/>
        <w:ind w:left="993"/>
        <w:jc w:val="both"/>
      </w:pPr>
      <w:r w:rsidRPr="00CF06CF">
        <w:t>F – průmyslový a užitný vzor</w:t>
      </w:r>
    </w:p>
    <w:p w14:paraId="0E742E0D" w14:textId="0D5F52D9" w:rsidR="005A23DF" w:rsidRPr="00CF06CF" w:rsidRDefault="0033484E" w:rsidP="00C85475">
      <w:pPr>
        <w:pStyle w:val="Odstavecseseznamem"/>
        <w:widowControl w:val="0"/>
        <w:numPr>
          <w:ilvl w:val="0"/>
          <w:numId w:val="20"/>
        </w:numPr>
        <w:spacing w:before="120" w:after="120" w:line="360" w:lineRule="auto"/>
        <w:ind w:left="993"/>
        <w:jc w:val="both"/>
      </w:pPr>
      <w:r w:rsidRPr="00CF06CF">
        <w:t xml:space="preserve">O </w:t>
      </w:r>
      <w:r w:rsidR="00CA09E1" w:rsidRPr="00CF06CF">
        <w:t>– ostatní výsledky</w:t>
      </w:r>
    </w:p>
    <w:p w14:paraId="1A1765B8" w14:textId="77777777" w:rsidR="005A23DF" w:rsidRPr="00CF06CF" w:rsidRDefault="00CA09E1" w:rsidP="00C85475">
      <w:pPr>
        <w:pStyle w:val="Odstavecseseznamem"/>
        <w:widowControl w:val="0"/>
        <w:numPr>
          <w:ilvl w:val="0"/>
          <w:numId w:val="20"/>
        </w:numPr>
        <w:spacing w:before="120" w:after="120" w:line="360" w:lineRule="auto"/>
        <w:ind w:left="993"/>
        <w:jc w:val="both"/>
      </w:pPr>
      <w:r w:rsidRPr="00CF06CF">
        <w:t>N – metodiky (</w:t>
      </w:r>
      <w:proofErr w:type="spellStart"/>
      <w:r w:rsidRPr="00CF06CF">
        <w:t>NmetS</w:t>
      </w:r>
      <w:proofErr w:type="spellEnd"/>
      <w:r w:rsidRPr="00CF06CF">
        <w:t xml:space="preserve">, </w:t>
      </w:r>
      <w:proofErr w:type="spellStart"/>
      <w:r w:rsidRPr="00CF06CF">
        <w:t>NmetC</w:t>
      </w:r>
      <w:proofErr w:type="spellEnd"/>
      <w:r w:rsidRPr="00CF06CF">
        <w:t xml:space="preserve">, </w:t>
      </w:r>
      <w:proofErr w:type="spellStart"/>
      <w:r w:rsidRPr="00CF06CF">
        <w:t>NmetA</w:t>
      </w:r>
      <w:proofErr w:type="spellEnd"/>
      <w:r w:rsidRPr="00CF06CF">
        <w:t>)</w:t>
      </w:r>
    </w:p>
    <w:p w14:paraId="0EA5F1C7" w14:textId="77777777" w:rsidR="005A23DF" w:rsidRPr="00CF06CF" w:rsidRDefault="00CA09E1" w:rsidP="004F4F08">
      <w:pPr>
        <w:widowControl w:val="0"/>
        <w:spacing w:before="120" w:after="120" w:line="360" w:lineRule="auto"/>
        <w:ind w:left="10"/>
        <w:contextualSpacing/>
        <w:jc w:val="both"/>
      </w:pPr>
      <w:r w:rsidRPr="00CF06CF">
        <w:rPr>
          <w:b/>
        </w:rPr>
        <w:t>Výsledky relevantní pro podprogram 3:</w:t>
      </w:r>
    </w:p>
    <w:p w14:paraId="0F392009" w14:textId="77777777" w:rsidR="005A23DF" w:rsidRPr="00CF06CF" w:rsidRDefault="00CA09E1" w:rsidP="005A324F">
      <w:pPr>
        <w:widowControl w:val="0"/>
        <w:spacing w:after="120" w:line="360" w:lineRule="auto"/>
        <w:ind w:left="16" w:right="135" w:firstLine="268"/>
        <w:contextualSpacing/>
        <w:jc w:val="both"/>
      </w:pPr>
      <w:r w:rsidRPr="00CF06CF">
        <w:t>Předpokládají se všechny výsledky základního a aplikovaného výzkumu dle systému hodnocení schváleného vládou a platného v době, kdy byly tyto výsledky dodány do RIV.</w:t>
      </w:r>
    </w:p>
    <w:p w14:paraId="49D9AB13" w14:textId="6E08F7FD" w:rsidR="00C85475" w:rsidRPr="00CF06CF" w:rsidRDefault="00CA09E1" w:rsidP="005A324F">
      <w:pPr>
        <w:widowControl w:val="0"/>
        <w:spacing w:after="120" w:line="360" w:lineRule="auto"/>
        <w:ind w:left="17" w:right="136" w:firstLine="266"/>
        <w:contextualSpacing/>
        <w:jc w:val="both"/>
      </w:pPr>
      <w:r w:rsidRPr="00CF06CF">
        <w:t xml:space="preserve">Mezi očekávané přínosy programu THÉTA 2 patří přispění k řešení výzev a potřeb společnosti a hospodářství v oblasti energetiky. Přínosy rozdělujeme do dvou kategorií/oblastí, které realizace programu ovlivní: </w:t>
      </w:r>
      <w:r w:rsidR="00B61106" w:rsidRPr="00CF06CF">
        <w:t>i</w:t>
      </w:r>
      <w:r w:rsidRPr="00CF06CF">
        <w:t xml:space="preserve">) ekonomické dopady; </w:t>
      </w:r>
      <w:proofErr w:type="spellStart"/>
      <w:r w:rsidR="00B61106" w:rsidRPr="00CF06CF">
        <w:t>ii</w:t>
      </w:r>
      <w:proofErr w:type="spellEnd"/>
      <w:r w:rsidRPr="00CF06CF">
        <w:t xml:space="preserve">) společenské dopady. Přínosy hlavního cíle a cílů jednotlivých podprogramů jsou na úrovni programu vzájemně provázány. </w:t>
      </w:r>
      <w:r w:rsidR="00F03D89" w:rsidRPr="00CF06CF">
        <w:t>Proto n</w:t>
      </w:r>
      <w:r w:rsidRPr="00CF06CF">
        <w:t>ejsou</w:t>
      </w:r>
      <w:r w:rsidR="00F03D89" w:rsidRPr="00CF06CF">
        <w:t xml:space="preserve"> </w:t>
      </w:r>
      <w:r w:rsidRPr="00CF06CF">
        <w:t xml:space="preserve">rozepsány zvlášť pro každý </w:t>
      </w:r>
      <w:r w:rsidR="007123CA" w:rsidRPr="00CF06CF">
        <w:t>podprogram</w:t>
      </w:r>
      <w:r w:rsidRPr="00CF06CF">
        <w:t>.</w:t>
      </w:r>
    </w:p>
    <w:p w14:paraId="470DA76B" w14:textId="34D69212" w:rsidR="00C85475" w:rsidRPr="00CF06CF" w:rsidRDefault="00CA09E1" w:rsidP="005A324F">
      <w:pPr>
        <w:widowControl w:val="0"/>
        <w:spacing w:after="120" w:line="360" w:lineRule="auto"/>
        <w:ind w:left="17" w:right="136" w:firstLine="266"/>
        <w:contextualSpacing/>
        <w:jc w:val="both"/>
      </w:pPr>
      <w:r w:rsidRPr="00CF06CF">
        <w:rPr>
          <w:b/>
        </w:rPr>
        <w:t>Za ekonomické dopady</w:t>
      </w:r>
      <w:r w:rsidRPr="00CF06CF">
        <w:t xml:space="preserve"> se považuje rozvoj technologií a postupů a s tím spojené dopady jako zvýšení tržeb a ziskovosti, produktivity práce a vývozu firem. Tyto dopady mohou přinést zvýšení efektivnosti a využitelnosti získané energie. Kromě toho lze očekávat i zefektivnění technologických postupů nebo</w:t>
      </w:r>
      <w:r w:rsidR="00F03D89" w:rsidRPr="00CF06CF">
        <w:t> </w:t>
      </w:r>
      <w:r w:rsidRPr="00CF06CF">
        <w:t>například růst počtu českých účastníků v nástrojích unijních programů.</w:t>
      </w:r>
    </w:p>
    <w:p w14:paraId="069D09AE" w14:textId="308112A8" w:rsidR="00C85475" w:rsidRPr="00CF06CF" w:rsidRDefault="00CA09E1" w:rsidP="00C85475">
      <w:pPr>
        <w:widowControl w:val="0"/>
        <w:spacing w:before="120" w:after="120" w:line="360" w:lineRule="auto"/>
        <w:ind w:left="16" w:right="135" w:firstLine="268"/>
        <w:contextualSpacing/>
        <w:jc w:val="both"/>
      </w:pPr>
      <w:r w:rsidRPr="00CF06CF">
        <w:rPr>
          <w:b/>
        </w:rPr>
        <w:t>Za společenské dopady</w:t>
      </w:r>
      <w:r w:rsidRPr="00CF06CF">
        <w:t xml:space="preserve"> se považuje zvýšení kvality života ve společnosti např. formou zkvalitnění a zefektivnění služeb v oblasti energetiky či snadnější přístup k novým technologiím formou otevřeného přístupu k </w:t>
      </w:r>
      <w:proofErr w:type="spellStart"/>
      <w:r w:rsidRPr="00CF06CF">
        <w:t>VaVaI</w:t>
      </w:r>
      <w:proofErr w:type="spellEnd"/>
      <w:r w:rsidRPr="00CF06CF">
        <w:t xml:space="preserve">. Dále se </w:t>
      </w:r>
      <w:r w:rsidR="005A324F" w:rsidRPr="00CF06CF">
        <w:t xml:space="preserve">předpokládá </w:t>
      </w:r>
      <w:r w:rsidRPr="00CF06CF">
        <w:t>široké využití technologií díky jejich transferu a zpřístupnění odborníkům i veřejnosti.</w:t>
      </w:r>
    </w:p>
    <w:p w14:paraId="6FB8F695" w14:textId="38319DA3" w:rsidR="005A23DF" w:rsidRPr="00CF06CF" w:rsidRDefault="00CA09E1" w:rsidP="00C85475">
      <w:pPr>
        <w:widowControl w:val="0"/>
        <w:spacing w:before="120" w:after="120" w:line="360" w:lineRule="auto"/>
        <w:ind w:left="16" w:right="135" w:firstLine="268"/>
        <w:contextualSpacing/>
        <w:jc w:val="both"/>
      </w:pPr>
      <w:r w:rsidRPr="00CF06CF">
        <w:t>U spolupracujících výzkumných organizací se přínosy programu projeví například ve</w:t>
      </w:r>
      <w:r w:rsidR="00F03D89" w:rsidRPr="00CF06CF">
        <w:t> </w:t>
      </w:r>
      <w:r w:rsidRPr="00CF06CF">
        <w:t>zvýšení počtu jejich výsledků aplikovaných v praxi, v počtu komercializovaných patentů a nárůstu jejich komercializačního potenciálu (v tuzemsku i zahraničí).</w:t>
      </w:r>
    </w:p>
    <w:p w14:paraId="3A0E7541" w14:textId="77777777" w:rsidR="00CF06CF" w:rsidRDefault="00CF06CF">
      <w:pPr>
        <w:rPr>
          <w:b/>
          <w:sz w:val="32"/>
          <w:szCs w:val="40"/>
        </w:rPr>
      </w:pPr>
      <w:bookmarkStart w:id="14" w:name="_j90inlhxkp0c" w:colFirst="0" w:colLast="0"/>
      <w:bookmarkEnd w:id="14"/>
      <w:r>
        <w:br w:type="page"/>
      </w:r>
    </w:p>
    <w:p w14:paraId="25D8AEA9" w14:textId="005AE4F7" w:rsidR="005A23DF" w:rsidRPr="00CF06CF" w:rsidRDefault="00CA09E1" w:rsidP="001E034A">
      <w:pPr>
        <w:pStyle w:val="Nadpis1"/>
      </w:pPr>
      <w:r w:rsidRPr="00CF06CF">
        <w:lastRenderedPageBreak/>
        <w:t xml:space="preserve">11. Uchazeči o podporu a jejich způsobilost </w:t>
      </w:r>
    </w:p>
    <w:p w14:paraId="04B15F0B" w14:textId="2A50AF4E" w:rsidR="005A23DF" w:rsidRPr="00CF06CF" w:rsidRDefault="00CA09E1" w:rsidP="00C85475">
      <w:pPr>
        <w:spacing w:before="120" w:after="120" w:line="360" w:lineRule="auto"/>
        <w:ind w:firstLine="284"/>
        <w:contextualSpacing/>
        <w:jc w:val="both"/>
      </w:pPr>
      <w:r w:rsidRPr="00CF06CF">
        <w:t>Podporu na projekt realizovaný v programu mohou získat pouze ti uchazeči, kteří splňují podmínky způsobilosti dané § 18 zákona o podpoře výzkumu, experimentálního vývoje a inovací</w:t>
      </w:r>
      <w:r w:rsidR="00C57AC9" w:rsidRPr="00CF06CF">
        <w:t>,</w:t>
      </w:r>
      <w:r w:rsidRPr="00CF06CF">
        <w:t> Nařízení</w:t>
      </w:r>
      <w:r w:rsidR="00C57AC9" w:rsidRPr="00CF06CF">
        <w:t xml:space="preserve"> a Rámce</w:t>
      </w:r>
      <w:r w:rsidRPr="00CF06CF">
        <w:t>. Uchází-li se o řešení jednoho projektu společně více uchazečů, vztahuje se povinnost prokázat způsobilost na všechny tyto uchazeče.</w:t>
      </w:r>
    </w:p>
    <w:p w14:paraId="2397CDB7" w14:textId="77777777" w:rsidR="005A23DF" w:rsidRPr="00CF06CF" w:rsidRDefault="00CA09E1" w:rsidP="00C85475">
      <w:pPr>
        <w:spacing w:before="120" w:after="120" w:line="360" w:lineRule="auto"/>
        <w:ind w:firstLine="284"/>
        <w:contextualSpacing/>
        <w:jc w:val="both"/>
      </w:pPr>
      <w:r w:rsidRPr="00CF06CF">
        <w:t>Způsobilost prokazuje uchazeč doklady dle zákona o podpoře výzkumu, experimentálního vývoje a inovací způsobem stanoveným poskytovatelem v zadávací dokumentaci.</w:t>
      </w:r>
    </w:p>
    <w:p w14:paraId="11BB991C" w14:textId="4CD94862" w:rsidR="005A23DF" w:rsidRPr="00CF06CF" w:rsidRDefault="00CA09E1" w:rsidP="00C85475">
      <w:pPr>
        <w:spacing w:before="120" w:after="120" w:line="360" w:lineRule="auto"/>
        <w:ind w:firstLine="284"/>
        <w:contextualSpacing/>
        <w:jc w:val="both"/>
      </w:pPr>
      <w:r w:rsidRPr="00CF06CF">
        <w:t xml:space="preserve">Uchazečem, respektive příjemcem podpory na projekt podle zákona o podpoře výzkumu, experimentálního vývoje a inovací, Rámce a Nařízení, </w:t>
      </w:r>
      <w:r w:rsidR="00F03D89" w:rsidRPr="00CF06CF">
        <w:t>může</w:t>
      </w:r>
      <w:r w:rsidRPr="00CF06CF">
        <w:t xml:space="preserve"> být:</w:t>
      </w:r>
    </w:p>
    <w:p w14:paraId="64ED806A" w14:textId="77777777" w:rsidR="005A23DF" w:rsidRPr="00CF06CF" w:rsidRDefault="00CA09E1" w:rsidP="00C85475">
      <w:pPr>
        <w:pStyle w:val="Odstavecseseznamem"/>
        <w:numPr>
          <w:ilvl w:val="0"/>
          <w:numId w:val="22"/>
        </w:numPr>
        <w:spacing w:before="120" w:after="120" w:line="360" w:lineRule="auto"/>
        <w:ind w:left="993"/>
        <w:jc w:val="both"/>
      </w:pPr>
      <w:r w:rsidRPr="00CF06CF">
        <w:rPr>
          <w:b/>
        </w:rPr>
        <w:t>Organizace pro výzkum a šíření znalostí</w:t>
      </w:r>
      <w:r w:rsidRPr="00CF06CF">
        <w:t xml:space="preserve"> – právnické osoby, které splňují definici výzkumné organizace podle čl. 2 odst. 83 Nařízení a dle zákona o podpoře výzkumu, experimentálního vývoje a inovací. Tyto organizace mohou řešit projekt samostatně nebo ve spolupráci s dalšími účastníky. Pokud výzkumné organizace vykonávají kromě </w:t>
      </w:r>
      <w:proofErr w:type="spellStart"/>
      <w:r w:rsidRPr="00CF06CF">
        <w:t>nehospodářských</w:t>
      </w:r>
      <w:proofErr w:type="spellEnd"/>
      <w:r w:rsidRPr="00CF06CF">
        <w:t xml:space="preserve"> činností i hospodářské činnosti, mají povinnost vést oddělené účetnictví pro náklady a příjmy z těchto hospodářských činností.</w:t>
      </w:r>
    </w:p>
    <w:p w14:paraId="33687075" w14:textId="0C8188A8" w:rsidR="005A23DF" w:rsidRPr="00CF06CF" w:rsidRDefault="00CA09E1" w:rsidP="00C85475">
      <w:pPr>
        <w:pStyle w:val="Odstavecseseznamem"/>
        <w:numPr>
          <w:ilvl w:val="0"/>
          <w:numId w:val="22"/>
        </w:numPr>
        <w:spacing w:before="120" w:after="120" w:line="360" w:lineRule="auto"/>
        <w:ind w:left="993"/>
        <w:jc w:val="both"/>
      </w:pPr>
      <w:r w:rsidRPr="00CF06CF">
        <w:rPr>
          <w:b/>
        </w:rPr>
        <w:t>Podniky</w:t>
      </w:r>
      <w:r w:rsidRPr="00CF06CF">
        <w:t xml:space="preserve"> – právnické i fyzické osoby vykonávající hospodářskou činnost, bez</w:t>
      </w:r>
      <w:r w:rsidR="00F03D89" w:rsidRPr="00CF06CF">
        <w:t> </w:t>
      </w:r>
      <w:r w:rsidRPr="00CF06CF">
        <w:t>ohledu na právní formu (příloha 1 Nařízení), které řeší projekt samostatně nebo</w:t>
      </w:r>
      <w:r w:rsidR="00F03D89" w:rsidRPr="00CF06CF">
        <w:t> </w:t>
      </w:r>
      <w:r w:rsidRPr="00CF06CF">
        <w:t>ve spolupráci s dalšími účastníky a prokáží schopnost projekt spolufinancovat z neveřejných prostředků</w:t>
      </w:r>
      <w:r w:rsidR="007123CA" w:rsidRPr="00CF06CF">
        <w:t>.</w:t>
      </w:r>
    </w:p>
    <w:p w14:paraId="125CE613" w14:textId="080403DB" w:rsidR="00C0318E" w:rsidRPr="00CF06CF" w:rsidRDefault="00C0318E" w:rsidP="00C85475">
      <w:pPr>
        <w:spacing w:before="120" w:after="120" w:line="360" w:lineRule="auto"/>
        <w:ind w:firstLine="284"/>
        <w:contextualSpacing/>
        <w:jc w:val="both"/>
      </w:pPr>
      <w:r w:rsidRPr="00CF06CF">
        <w:t>Výjimk</w:t>
      </w:r>
      <w:r w:rsidR="00414538">
        <w:t>a</w:t>
      </w:r>
      <w:r w:rsidRPr="00CF06CF">
        <w:t xml:space="preserve"> pro příjemce nesplňující žádnou z definic podniku či výzkumné organizace </w:t>
      </w:r>
      <w:r w:rsidR="00414538">
        <w:t>je popsána v</w:t>
      </w:r>
      <w:r w:rsidRPr="00CF06CF">
        <w:t> kap. 2</w:t>
      </w:r>
      <w:r w:rsidR="00414538">
        <w:t xml:space="preserve"> a dle toho bude postupováno</w:t>
      </w:r>
      <w:r w:rsidRPr="00CF06CF">
        <w:t>.</w:t>
      </w:r>
    </w:p>
    <w:p w14:paraId="48AF01A2" w14:textId="4DBACD25" w:rsidR="005A23DF" w:rsidRPr="00CF06CF" w:rsidRDefault="00CA09E1" w:rsidP="00C85475">
      <w:pPr>
        <w:spacing w:before="120" w:after="120" w:line="360" w:lineRule="auto"/>
        <w:ind w:firstLine="284"/>
        <w:contextualSpacing/>
        <w:jc w:val="both"/>
      </w:pPr>
      <w:r w:rsidRPr="00CF06CF">
        <w:t>Preferovaným modelem spolupráce je účast</w:t>
      </w:r>
      <w:r w:rsidR="007123CA" w:rsidRPr="00CF06CF">
        <w:t xml:space="preserve"> výzkumné organizace ve spolupráci s podnikem.</w:t>
      </w:r>
    </w:p>
    <w:p w14:paraId="56F9D6E8" w14:textId="77777777" w:rsidR="00CF06CF" w:rsidRDefault="00CF06CF">
      <w:pPr>
        <w:rPr>
          <w:b/>
          <w:sz w:val="32"/>
          <w:szCs w:val="40"/>
        </w:rPr>
      </w:pPr>
      <w:r>
        <w:br w:type="page"/>
      </w:r>
    </w:p>
    <w:p w14:paraId="7CDE887A" w14:textId="57B507D2" w:rsidR="005A23DF" w:rsidRPr="00CF06CF" w:rsidRDefault="00CA09E1" w:rsidP="001E034A">
      <w:pPr>
        <w:pStyle w:val="Nadpis1"/>
      </w:pPr>
      <w:r w:rsidRPr="00CF06CF">
        <w:lastRenderedPageBreak/>
        <w:t>12. Výdaje na program</w:t>
      </w:r>
    </w:p>
    <w:p w14:paraId="26B898A6" w14:textId="49B67765" w:rsidR="004810CB" w:rsidRPr="00CF06CF" w:rsidRDefault="007123CA" w:rsidP="007A5C2E">
      <w:pPr>
        <w:spacing w:before="120" w:after="120" w:line="360" w:lineRule="auto"/>
        <w:ind w:firstLine="284"/>
        <w:contextualSpacing/>
        <w:jc w:val="both"/>
        <w:rPr>
          <w:b/>
        </w:rPr>
      </w:pPr>
      <w:bookmarkStart w:id="15" w:name="_lnxbz9" w:colFirst="0" w:colLast="0"/>
      <w:bookmarkStart w:id="16" w:name="_Hlk114746183"/>
      <w:bookmarkEnd w:id="15"/>
      <w:r w:rsidRPr="00CF06CF">
        <w:t xml:space="preserve">Celkové výdaje na program vychází z analýzy absorpční kapacity, která zohledňuje vyhodnocení dosavadních veřejných soutěží v oblasti energetiky a jsou rozvrženy v souladu s postupným vyhlašováním veřejných soutěží. </w:t>
      </w:r>
      <w:r w:rsidR="00CA09E1" w:rsidRPr="00CF06CF">
        <w:t>Ze státního rozpočtu (SR) se jedná o částku 7</w:t>
      </w:r>
      <w:r w:rsidR="00F03D89" w:rsidRPr="00CF06CF">
        <w:t> </w:t>
      </w:r>
      <w:r w:rsidR="00CA09E1" w:rsidRPr="00CF06CF">
        <w:t>410 mil. Kč. Výše výdajů z ostatních zdrojů</w:t>
      </w:r>
      <w:r w:rsidRPr="00CF06CF">
        <w:t xml:space="preserve"> </w:t>
      </w:r>
      <w:r w:rsidR="00CA09E1" w:rsidRPr="00CF06CF">
        <w:t xml:space="preserve">je </w:t>
      </w:r>
      <w:r w:rsidR="003D0560" w:rsidRPr="00CF06CF">
        <w:t>3 211,7</w:t>
      </w:r>
      <w:r w:rsidR="00CA09E1" w:rsidRPr="00CF06CF">
        <w:t xml:space="preserve"> mil. Kč.</w:t>
      </w:r>
      <w:bookmarkEnd w:id="16"/>
    </w:p>
    <w:p w14:paraId="588DD4FF" w14:textId="31EB30B7" w:rsidR="005A23DF" w:rsidRPr="00CF06CF" w:rsidRDefault="00CA09E1" w:rsidP="00B61106">
      <w:pPr>
        <w:spacing w:before="120" w:line="240" w:lineRule="auto"/>
        <w:ind w:left="-851"/>
        <w:contextualSpacing/>
        <w:jc w:val="both"/>
        <w:rPr>
          <w:b/>
        </w:rPr>
      </w:pPr>
      <w:r w:rsidRPr="00CF06CF">
        <w:rPr>
          <w:b/>
        </w:rPr>
        <w:t xml:space="preserve">Navrhovaný rozpočet programu THÉTA 2 </w:t>
      </w:r>
      <w:r w:rsidR="00F03D89" w:rsidRPr="00CF06CF">
        <w:rPr>
          <w:b/>
        </w:rPr>
        <w:t>(</w:t>
      </w:r>
      <w:r w:rsidRPr="00CF06CF">
        <w:rPr>
          <w:b/>
        </w:rPr>
        <w:t>v mil. Kč</w:t>
      </w:r>
      <w:r w:rsidR="00F03D89" w:rsidRPr="00CF06CF">
        <w:rPr>
          <w:b/>
        </w:rPr>
        <w:t>)</w:t>
      </w:r>
    </w:p>
    <w:tbl>
      <w:tblPr>
        <w:tblStyle w:val="a0"/>
        <w:tblW w:w="10665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821"/>
        <w:gridCol w:w="966"/>
        <w:gridCol w:w="967"/>
        <w:gridCol w:w="967"/>
        <w:gridCol w:w="967"/>
        <w:gridCol w:w="967"/>
        <w:gridCol w:w="967"/>
        <w:gridCol w:w="967"/>
        <w:gridCol w:w="967"/>
        <w:gridCol w:w="1109"/>
      </w:tblGrid>
      <w:tr w:rsidR="005A23DF" w:rsidRPr="00CF06CF" w14:paraId="0E928627" w14:textId="77777777" w:rsidTr="00B61106">
        <w:trPr>
          <w:trHeight w:val="315"/>
          <w:jc w:val="center"/>
        </w:trPr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6666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4312A81" w14:textId="77777777" w:rsidR="005A23DF" w:rsidRPr="00CF06CF" w:rsidRDefault="005A23DF" w:rsidP="0091542A">
            <w:pPr>
              <w:widowControl w:val="0"/>
              <w:spacing w:line="240" w:lineRule="auto"/>
              <w:contextualSpacing/>
              <w:jc w:val="center"/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66666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D3877F8" w14:textId="77777777" w:rsidR="005A23DF" w:rsidRPr="00CF06CF" w:rsidRDefault="00CA09E1" w:rsidP="0091542A">
            <w:pPr>
              <w:widowControl w:val="0"/>
              <w:spacing w:line="240" w:lineRule="auto"/>
              <w:contextualSpacing/>
              <w:jc w:val="center"/>
            </w:pPr>
            <w:r w:rsidRPr="00CF06CF">
              <w:rPr>
                <w:b/>
                <w:color w:val="FFFFFF"/>
              </w:rPr>
              <w:t>2024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66666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A5F4E84" w14:textId="77777777" w:rsidR="005A23DF" w:rsidRPr="00CF06CF" w:rsidRDefault="00CA09E1" w:rsidP="0091542A">
            <w:pPr>
              <w:widowControl w:val="0"/>
              <w:spacing w:line="240" w:lineRule="auto"/>
              <w:contextualSpacing/>
              <w:jc w:val="center"/>
            </w:pPr>
            <w:r w:rsidRPr="00CF06CF">
              <w:rPr>
                <w:b/>
                <w:color w:val="FFFFFF"/>
              </w:rPr>
              <w:t>2025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66666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5540DAC" w14:textId="77777777" w:rsidR="005A23DF" w:rsidRPr="00CF06CF" w:rsidRDefault="00CA09E1" w:rsidP="0091542A">
            <w:pPr>
              <w:widowControl w:val="0"/>
              <w:spacing w:line="240" w:lineRule="auto"/>
              <w:contextualSpacing/>
              <w:jc w:val="center"/>
            </w:pPr>
            <w:r w:rsidRPr="00CF06CF">
              <w:rPr>
                <w:b/>
                <w:color w:val="FFFFFF"/>
              </w:rPr>
              <w:t>2026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66666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49D52BA" w14:textId="77777777" w:rsidR="005A23DF" w:rsidRPr="00CF06CF" w:rsidRDefault="00CA09E1" w:rsidP="0091542A">
            <w:pPr>
              <w:widowControl w:val="0"/>
              <w:spacing w:line="240" w:lineRule="auto"/>
              <w:contextualSpacing/>
              <w:jc w:val="center"/>
            </w:pPr>
            <w:r w:rsidRPr="00CF06CF">
              <w:rPr>
                <w:b/>
                <w:color w:val="FFFFFF"/>
              </w:rPr>
              <w:t>2027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66666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27BA234" w14:textId="77777777" w:rsidR="005A23DF" w:rsidRPr="00CF06CF" w:rsidRDefault="00CA09E1" w:rsidP="0091542A">
            <w:pPr>
              <w:widowControl w:val="0"/>
              <w:spacing w:line="240" w:lineRule="auto"/>
              <w:contextualSpacing/>
              <w:jc w:val="center"/>
            </w:pPr>
            <w:r w:rsidRPr="00CF06CF">
              <w:rPr>
                <w:b/>
                <w:color w:val="FFFFFF"/>
              </w:rPr>
              <w:t>2028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66666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C0A8FD0" w14:textId="77777777" w:rsidR="005A23DF" w:rsidRPr="00CF06CF" w:rsidRDefault="00CA09E1" w:rsidP="0091542A">
            <w:pPr>
              <w:widowControl w:val="0"/>
              <w:spacing w:line="240" w:lineRule="auto"/>
              <w:contextualSpacing/>
              <w:jc w:val="center"/>
            </w:pPr>
            <w:r w:rsidRPr="00CF06CF">
              <w:rPr>
                <w:b/>
                <w:color w:val="FFFFFF"/>
              </w:rPr>
              <w:t>2029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66666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C3C001E" w14:textId="77777777" w:rsidR="005A23DF" w:rsidRPr="00CF06CF" w:rsidRDefault="00CA09E1" w:rsidP="0091542A">
            <w:pPr>
              <w:widowControl w:val="0"/>
              <w:spacing w:line="240" w:lineRule="auto"/>
              <w:contextualSpacing/>
              <w:jc w:val="center"/>
            </w:pPr>
            <w:r w:rsidRPr="00CF06CF">
              <w:rPr>
                <w:b/>
                <w:color w:val="FFFFFF"/>
              </w:rPr>
              <w:t>2030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66666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4DD6BEB" w14:textId="77777777" w:rsidR="005A23DF" w:rsidRPr="00CF06CF" w:rsidRDefault="00CA09E1" w:rsidP="0091542A">
            <w:pPr>
              <w:widowControl w:val="0"/>
              <w:spacing w:line="240" w:lineRule="auto"/>
              <w:contextualSpacing/>
              <w:jc w:val="center"/>
            </w:pPr>
            <w:r w:rsidRPr="00CF06CF">
              <w:rPr>
                <w:b/>
                <w:color w:val="FFFFFF"/>
              </w:rPr>
              <w:t>2031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66666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D81FB4D" w14:textId="77777777" w:rsidR="005A23DF" w:rsidRPr="00CF06CF" w:rsidRDefault="00CA09E1" w:rsidP="0091542A">
            <w:pPr>
              <w:widowControl w:val="0"/>
              <w:spacing w:line="240" w:lineRule="auto"/>
              <w:contextualSpacing/>
              <w:jc w:val="center"/>
            </w:pPr>
            <w:r w:rsidRPr="00CF06CF">
              <w:rPr>
                <w:b/>
                <w:color w:val="FFFFFF"/>
              </w:rPr>
              <w:t>Celkem</w:t>
            </w:r>
          </w:p>
        </w:tc>
      </w:tr>
      <w:tr w:rsidR="005A23DF" w:rsidRPr="00CF06CF" w14:paraId="6A5046E3" w14:textId="77777777" w:rsidTr="00B61106">
        <w:trPr>
          <w:trHeight w:val="315"/>
          <w:jc w:val="center"/>
        </w:trPr>
        <w:tc>
          <w:tcPr>
            <w:tcW w:w="182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313D18" w14:textId="77777777" w:rsidR="005A23DF" w:rsidRPr="00CF06CF" w:rsidRDefault="00CA09E1" w:rsidP="0091542A">
            <w:pPr>
              <w:widowControl w:val="0"/>
              <w:spacing w:line="240" w:lineRule="auto"/>
              <w:ind w:left="113"/>
              <w:contextualSpacing/>
            </w:pPr>
            <w:r w:rsidRPr="00CF06CF">
              <w:t>Celkem</w:t>
            </w:r>
          </w:p>
        </w:tc>
        <w:tc>
          <w:tcPr>
            <w:tcW w:w="96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A017AAA" w14:textId="0DB4CF3D" w:rsidR="005A23DF" w:rsidRPr="00CF06CF" w:rsidRDefault="00CA09E1" w:rsidP="0091542A">
            <w:pPr>
              <w:widowControl w:val="0"/>
              <w:spacing w:line="240" w:lineRule="auto"/>
              <w:ind w:right="113"/>
              <w:contextualSpacing/>
              <w:jc w:val="right"/>
            </w:pPr>
            <w:r w:rsidRPr="00CF06CF">
              <w:t>77</w:t>
            </w:r>
            <w:r w:rsidR="0065507D" w:rsidRPr="00CF06CF">
              <w:t>4,0</w:t>
            </w:r>
          </w:p>
        </w:tc>
        <w:tc>
          <w:tcPr>
            <w:tcW w:w="9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5CBA765" w14:textId="6F8EE47D" w:rsidR="005A23DF" w:rsidRPr="00CF06CF" w:rsidRDefault="00CA09E1" w:rsidP="0091542A">
            <w:pPr>
              <w:widowControl w:val="0"/>
              <w:spacing w:line="240" w:lineRule="auto"/>
              <w:ind w:right="113"/>
              <w:contextualSpacing/>
              <w:jc w:val="right"/>
            </w:pPr>
            <w:r w:rsidRPr="00CF06CF">
              <w:t>1</w:t>
            </w:r>
            <w:r w:rsidR="0065507D" w:rsidRPr="00CF06CF">
              <w:t> </w:t>
            </w:r>
            <w:r w:rsidRPr="00CF06CF">
              <w:t>30</w:t>
            </w:r>
            <w:r w:rsidR="0065507D" w:rsidRPr="00CF06CF">
              <w:t>4,4</w:t>
            </w:r>
          </w:p>
        </w:tc>
        <w:tc>
          <w:tcPr>
            <w:tcW w:w="9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0E1AD26" w14:textId="32AD1362" w:rsidR="005A23DF" w:rsidRPr="00CF06CF" w:rsidRDefault="00CA09E1" w:rsidP="0091542A">
            <w:pPr>
              <w:widowControl w:val="0"/>
              <w:spacing w:line="240" w:lineRule="auto"/>
              <w:ind w:right="113"/>
              <w:contextualSpacing/>
              <w:jc w:val="right"/>
            </w:pPr>
            <w:r w:rsidRPr="00CF06CF">
              <w:t>1</w:t>
            </w:r>
            <w:r w:rsidR="0065507D" w:rsidRPr="00CF06CF">
              <w:t> </w:t>
            </w:r>
            <w:r w:rsidRPr="00CF06CF">
              <w:t>61</w:t>
            </w:r>
            <w:r w:rsidR="0065507D" w:rsidRPr="00CF06CF">
              <w:t>9,8</w:t>
            </w:r>
          </w:p>
        </w:tc>
        <w:tc>
          <w:tcPr>
            <w:tcW w:w="9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CBC7461" w14:textId="5719EE71" w:rsidR="005A23DF" w:rsidRPr="00CF06CF" w:rsidRDefault="0065507D" w:rsidP="0091542A">
            <w:pPr>
              <w:widowControl w:val="0"/>
              <w:spacing w:line="240" w:lineRule="auto"/>
              <w:ind w:right="113"/>
              <w:contextualSpacing/>
              <w:jc w:val="right"/>
            </w:pPr>
            <w:r w:rsidRPr="00CF06CF">
              <w:t>1 619,8</w:t>
            </w:r>
          </w:p>
        </w:tc>
        <w:tc>
          <w:tcPr>
            <w:tcW w:w="9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4C98474" w14:textId="79D9ACF9" w:rsidR="005A23DF" w:rsidRPr="00CF06CF" w:rsidRDefault="0065507D" w:rsidP="0091542A">
            <w:pPr>
              <w:widowControl w:val="0"/>
              <w:spacing w:line="240" w:lineRule="auto"/>
              <w:ind w:right="113"/>
              <w:contextualSpacing/>
              <w:jc w:val="right"/>
            </w:pPr>
            <w:r w:rsidRPr="00CF06CF">
              <w:t>1 619,8</w:t>
            </w:r>
          </w:p>
        </w:tc>
        <w:tc>
          <w:tcPr>
            <w:tcW w:w="9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1EB4076" w14:textId="266835A2" w:rsidR="005A23DF" w:rsidRPr="00CF06CF" w:rsidRDefault="0065507D" w:rsidP="0091542A">
            <w:pPr>
              <w:widowControl w:val="0"/>
              <w:spacing w:line="240" w:lineRule="auto"/>
              <w:ind w:right="113"/>
              <w:contextualSpacing/>
              <w:jc w:val="right"/>
            </w:pPr>
            <w:r w:rsidRPr="00CF06CF">
              <w:t>1 619,8</w:t>
            </w:r>
          </w:p>
        </w:tc>
        <w:tc>
          <w:tcPr>
            <w:tcW w:w="9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914E57A" w14:textId="4F3E6786" w:rsidR="005A23DF" w:rsidRPr="00CF06CF" w:rsidRDefault="00CA09E1" w:rsidP="0091542A">
            <w:pPr>
              <w:widowControl w:val="0"/>
              <w:spacing w:line="240" w:lineRule="auto"/>
              <w:ind w:right="113"/>
              <w:contextualSpacing/>
              <w:jc w:val="right"/>
            </w:pPr>
            <w:r w:rsidRPr="00CF06CF">
              <w:t>1</w:t>
            </w:r>
            <w:r w:rsidR="0065507D" w:rsidRPr="00CF06CF">
              <w:t> </w:t>
            </w:r>
            <w:r w:rsidRPr="00CF06CF">
              <w:t>2</w:t>
            </w:r>
            <w:r w:rsidR="0065507D" w:rsidRPr="00CF06CF">
              <w:t>90,1</w:t>
            </w:r>
          </w:p>
        </w:tc>
        <w:tc>
          <w:tcPr>
            <w:tcW w:w="9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1B467D6" w14:textId="3DF58A25" w:rsidR="005A23DF" w:rsidRPr="00CF06CF" w:rsidRDefault="00CA09E1" w:rsidP="0091542A">
            <w:pPr>
              <w:widowControl w:val="0"/>
              <w:spacing w:line="240" w:lineRule="auto"/>
              <w:ind w:right="113"/>
              <w:contextualSpacing/>
              <w:jc w:val="right"/>
            </w:pPr>
            <w:r w:rsidRPr="00CF06CF">
              <w:t>77</w:t>
            </w:r>
            <w:r w:rsidR="0065507D" w:rsidRPr="00CF06CF">
              <w:t>4,0</w:t>
            </w:r>
          </w:p>
        </w:tc>
        <w:tc>
          <w:tcPr>
            <w:tcW w:w="110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10079DF" w14:textId="3B142422" w:rsidR="005A23DF" w:rsidRPr="00CF06CF" w:rsidRDefault="00CA09E1" w:rsidP="0091542A">
            <w:pPr>
              <w:widowControl w:val="0"/>
              <w:spacing w:line="240" w:lineRule="auto"/>
              <w:ind w:right="113"/>
              <w:contextualSpacing/>
              <w:jc w:val="right"/>
            </w:pPr>
            <w:r w:rsidRPr="00CF06CF">
              <w:t>10</w:t>
            </w:r>
            <w:r w:rsidR="0065507D" w:rsidRPr="00CF06CF">
              <w:t> 621,7</w:t>
            </w:r>
          </w:p>
        </w:tc>
      </w:tr>
      <w:tr w:rsidR="005A23DF" w:rsidRPr="00CF06CF" w14:paraId="01ED8312" w14:textId="77777777" w:rsidTr="00B61106">
        <w:trPr>
          <w:trHeight w:val="315"/>
          <w:jc w:val="center"/>
        </w:trPr>
        <w:tc>
          <w:tcPr>
            <w:tcW w:w="182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4BC5B5E" w14:textId="131B7568" w:rsidR="005A23DF" w:rsidRPr="00CF06CF" w:rsidRDefault="00CA09E1" w:rsidP="0091542A">
            <w:pPr>
              <w:widowControl w:val="0"/>
              <w:spacing w:line="240" w:lineRule="auto"/>
              <w:ind w:left="113"/>
              <w:contextualSpacing/>
            </w:pPr>
            <w:r w:rsidRPr="00CF06CF">
              <w:t>Podpora</w:t>
            </w:r>
            <w:r w:rsidR="0091542A" w:rsidRPr="00CF06CF">
              <w:t xml:space="preserve"> </w:t>
            </w:r>
            <w:r w:rsidRPr="00CF06CF">
              <w:t>ze</w:t>
            </w:r>
            <w:r w:rsidR="0091542A" w:rsidRPr="00CF06CF">
              <w:t xml:space="preserve"> </w:t>
            </w:r>
            <w:r w:rsidRPr="00CF06CF">
              <w:t>SR</w:t>
            </w:r>
          </w:p>
        </w:tc>
        <w:tc>
          <w:tcPr>
            <w:tcW w:w="96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909E403" w14:textId="77777777" w:rsidR="005A23DF" w:rsidRPr="00CF06CF" w:rsidRDefault="00CA09E1" w:rsidP="0091542A">
            <w:pPr>
              <w:widowControl w:val="0"/>
              <w:spacing w:line="240" w:lineRule="auto"/>
              <w:ind w:right="113"/>
              <w:contextualSpacing/>
              <w:jc w:val="right"/>
            </w:pPr>
            <w:r w:rsidRPr="00CF06CF">
              <w:t>540,0</w:t>
            </w:r>
          </w:p>
        </w:tc>
        <w:tc>
          <w:tcPr>
            <w:tcW w:w="9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B7D3024" w14:textId="77777777" w:rsidR="005A23DF" w:rsidRPr="00CF06CF" w:rsidRDefault="00CA09E1" w:rsidP="0091542A">
            <w:pPr>
              <w:widowControl w:val="0"/>
              <w:spacing w:line="240" w:lineRule="auto"/>
              <w:ind w:right="113"/>
              <w:contextualSpacing/>
              <w:jc w:val="right"/>
            </w:pPr>
            <w:r w:rsidRPr="00CF06CF">
              <w:t>910,0</w:t>
            </w:r>
          </w:p>
        </w:tc>
        <w:tc>
          <w:tcPr>
            <w:tcW w:w="9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CACA1E1" w14:textId="77777777" w:rsidR="005A23DF" w:rsidRPr="00CF06CF" w:rsidRDefault="00CA09E1" w:rsidP="0091542A">
            <w:pPr>
              <w:widowControl w:val="0"/>
              <w:spacing w:line="240" w:lineRule="auto"/>
              <w:ind w:right="113"/>
              <w:contextualSpacing/>
              <w:jc w:val="right"/>
            </w:pPr>
            <w:r w:rsidRPr="00CF06CF">
              <w:t>1 130,0</w:t>
            </w:r>
          </w:p>
        </w:tc>
        <w:tc>
          <w:tcPr>
            <w:tcW w:w="9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5CB158C" w14:textId="77777777" w:rsidR="005A23DF" w:rsidRPr="00CF06CF" w:rsidRDefault="00CA09E1" w:rsidP="0091542A">
            <w:pPr>
              <w:widowControl w:val="0"/>
              <w:spacing w:line="240" w:lineRule="auto"/>
              <w:ind w:right="113"/>
              <w:contextualSpacing/>
              <w:jc w:val="right"/>
            </w:pPr>
            <w:r w:rsidRPr="00CF06CF">
              <w:t>1 130,0</w:t>
            </w:r>
          </w:p>
        </w:tc>
        <w:tc>
          <w:tcPr>
            <w:tcW w:w="9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B066969" w14:textId="77777777" w:rsidR="005A23DF" w:rsidRPr="00CF06CF" w:rsidRDefault="00CA09E1" w:rsidP="0091542A">
            <w:pPr>
              <w:widowControl w:val="0"/>
              <w:spacing w:line="240" w:lineRule="auto"/>
              <w:ind w:right="113"/>
              <w:contextualSpacing/>
              <w:jc w:val="right"/>
            </w:pPr>
            <w:r w:rsidRPr="00CF06CF">
              <w:t>1 130,0</w:t>
            </w:r>
          </w:p>
        </w:tc>
        <w:tc>
          <w:tcPr>
            <w:tcW w:w="9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006BAE9" w14:textId="77777777" w:rsidR="005A23DF" w:rsidRPr="00CF06CF" w:rsidRDefault="00CA09E1" w:rsidP="0091542A">
            <w:pPr>
              <w:widowControl w:val="0"/>
              <w:spacing w:line="240" w:lineRule="auto"/>
              <w:ind w:right="113"/>
              <w:contextualSpacing/>
              <w:jc w:val="right"/>
            </w:pPr>
            <w:r w:rsidRPr="00CF06CF">
              <w:t>1 130,0</w:t>
            </w:r>
          </w:p>
        </w:tc>
        <w:tc>
          <w:tcPr>
            <w:tcW w:w="9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D3D475A" w14:textId="77777777" w:rsidR="005A23DF" w:rsidRPr="00CF06CF" w:rsidRDefault="00CA09E1" w:rsidP="0091542A">
            <w:pPr>
              <w:widowControl w:val="0"/>
              <w:spacing w:line="240" w:lineRule="auto"/>
              <w:ind w:right="113"/>
              <w:contextualSpacing/>
              <w:jc w:val="right"/>
            </w:pPr>
            <w:r w:rsidRPr="00CF06CF">
              <w:t>900,0</w:t>
            </w:r>
          </w:p>
        </w:tc>
        <w:tc>
          <w:tcPr>
            <w:tcW w:w="9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2E6FED9" w14:textId="77777777" w:rsidR="005A23DF" w:rsidRPr="00CF06CF" w:rsidRDefault="00CA09E1" w:rsidP="0091542A">
            <w:pPr>
              <w:widowControl w:val="0"/>
              <w:spacing w:line="240" w:lineRule="auto"/>
              <w:ind w:right="113"/>
              <w:contextualSpacing/>
              <w:jc w:val="right"/>
            </w:pPr>
            <w:r w:rsidRPr="00CF06CF">
              <w:t>540,0</w:t>
            </w:r>
          </w:p>
        </w:tc>
        <w:tc>
          <w:tcPr>
            <w:tcW w:w="110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2CB7251" w14:textId="77777777" w:rsidR="005A23DF" w:rsidRPr="00CF06CF" w:rsidRDefault="00CA09E1" w:rsidP="0091542A">
            <w:pPr>
              <w:widowControl w:val="0"/>
              <w:spacing w:line="240" w:lineRule="auto"/>
              <w:ind w:right="113"/>
              <w:contextualSpacing/>
              <w:jc w:val="right"/>
            </w:pPr>
            <w:r w:rsidRPr="00CF06CF">
              <w:t>7 410,0</w:t>
            </w:r>
          </w:p>
        </w:tc>
      </w:tr>
      <w:tr w:rsidR="005A23DF" w:rsidRPr="00CF06CF" w14:paraId="6A90CEC8" w14:textId="77777777" w:rsidTr="00B61106">
        <w:trPr>
          <w:trHeight w:val="315"/>
          <w:jc w:val="center"/>
        </w:trPr>
        <w:tc>
          <w:tcPr>
            <w:tcW w:w="182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FC9F47A" w14:textId="77777777" w:rsidR="005A23DF" w:rsidRPr="00CF06CF" w:rsidRDefault="00CA09E1" w:rsidP="0091542A">
            <w:pPr>
              <w:widowControl w:val="0"/>
              <w:spacing w:line="240" w:lineRule="auto"/>
              <w:ind w:left="113"/>
              <w:contextualSpacing/>
            </w:pPr>
            <w:r w:rsidRPr="00CF06CF">
              <w:t>Ostatní zdroje</w:t>
            </w:r>
          </w:p>
        </w:tc>
        <w:tc>
          <w:tcPr>
            <w:tcW w:w="96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1B4A2DF" w14:textId="609CC2D3" w:rsidR="005A23DF" w:rsidRPr="00CF06CF" w:rsidRDefault="0065507D" w:rsidP="0091542A">
            <w:pPr>
              <w:widowControl w:val="0"/>
              <w:spacing w:line="240" w:lineRule="auto"/>
              <w:ind w:right="113"/>
              <w:contextualSpacing/>
              <w:jc w:val="right"/>
            </w:pPr>
            <w:r w:rsidRPr="00CF06CF">
              <w:t>234,0</w:t>
            </w:r>
          </w:p>
        </w:tc>
        <w:tc>
          <w:tcPr>
            <w:tcW w:w="9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9D9187C" w14:textId="6BB56C85" w:rsidR="005A23DF" w:rsidRPr="00CF06CF" w:rsidRDefault="0065507D" w:rsidP="0091542A">
            <w:pPr>
              <w:widowControl w:val="0"/>
              <w:spacing w:line="240" w:lineRule="auto"/>
              <w:ind w:right="113"/>
              <w:contextualSpacing/>
              <w:jc w:val="right"/>
            </w:pPr>
            <w:r w:rsidRPr="00CF06CF">
              <w:t>394,4</w:t>
            </w:r>
          </w:p>
        </w:tc>
        <w:tc>
          <w:tcPr>
            <w:tcW w:w="9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88D0DDC" w14:textId="342C5577" w:rsidR="005A23DF" w:rsidRPr="00CF06CF" w:rsidRDefault="0065507D" w:rsidP="0091542A">
            <w:pPr>
              <w:widowControl w:val="0"/>
              <w:spacing w:line="240" w:lineRule="auto"/>
              <w:ind w:right="113"/>
              <w:contextualSpacing/>
              <w:jc w:val="right"/>
            </w:pPr>
            <w:r w:rsidRPr="00CF06CF">
              <w:t>489,8</w:t>
            </w:r>
          </w:p>
        </w:tc>
        <w:tc>
          <w:tcPr>
            <w:tcW w:w="9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6598F56" w14:textId="38FF5F2E" w:rsidR="005A23DF" w:rsidRPr="00CF06CF" w:rsidRDefault="0065507D" w:rsidP="0091542A">
            <w:pPr>
              <w:widowControl w:val="0"/>
              <w:spacing w:line="240" w:lineRule="auto"/>
              <w:ind w:right="113"/>
              <w:contextualSpacing/>
              <w:jc w:val="right"/>
            </w:pPr>
            <w:r w:rsidRPr="00CF06CF">
              <w:t>489,8</w:t>
            </w:r>
          </w:p>
        </w:tc>
        <w:tc>
          <w:tcPr>
            <w:tcW w:w="9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4DC84A0" w14:textId="06CB1691" w:rsidR="005A23DF" w:rsidRPr="00CF06CF" w:rsidRDefault="0065507D" w:rsidP="0091542A">
            <w:pPr>
              <w:widowControl w:val="0"/>
              <w:spacing w:line="240" w:lineRule="auto"/>
              <w:ind w:right="113"/>
              <w:contextualSpacing/>
              <w:jc w:val="right"/>
            </w:pPr>
            <w:r w:rsidRPr="00CF06CF">
              <w:t>489,8</w:t>
            </w:r>
          </w:p>
        </w:tc>
        <w:tc>
          <w:tcPr>
            <w:tcW w:w="9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AD8B250" w14:textId="4238FEBA" w:rsidR="005A23DF" w:rsidRPr="00CF06CF" w:rsidRDefault="0065507D" w:rsidP="0091542A">
            <w:pPr>
              <w:widowControl w:val="0"/>
              <w:spacing w:line="240" w:lineRule="auto"/>
              <w:ind w:right="113"/>
              <w:contextualSpacing/>
              <w:jc w:val="right"/>
            </w:pPr>
            <w:r w:rsidRPr="00CF06CF">
              <w:t>489,8</w:t>
            </w:r>
          </w:p>
        </w:tc>
        <w:tc>
          <w:tcPr>
            <w:tcW w:w="9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63D65C8" w14:textId="6CEB1C3E" w:rsidR="005A23DF" w:rsidRPr="00CF06CF" w:rsidRDefault="0065507D" w:rsidP="0091542A">
            <w:pPr>
              <w:widowControl w:val="0"/>
              <w:spacing w:line="240" w:lineRule="auto"/>
              <w:ind w:right="113"/>
              <w:contextualSpacing/>
              <w:jc w:val="right"/>
            </w:pPr>
            <w:r w:rsidRPr="00CF06CF">
              <w:t>390,1</w:t>
            </w:r>
          </w:p>
        </w:tc>
        <w:tc>
          <w:tcPr>
            <w:tcW w:w="9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C765E67" w14:textId="387E8549" w:rsidR="005A23DF" w:rsidRPr="00CF06CF" w:rsidRDefault="0065507D" w:rsidP="0091542A">
            <w:pPr>
              <w:widowControl w:val="0"/>
              <w:spacing w:line="240" w:lineRule="auto"/>
              <w:ind w:right="113"/>
              <w:contextualSpacing/>
              <w:jc w:val="right"/>
            </w:pPr>
            <w:r w:rsidRPr="00CF06CF">
              <w:t>234,0</w:t>
            </w:r>
          </w:p>
        </w:tc>
        <w:tc>
          <w:tcPr>
            <w:tcW w:w="110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41090D3" w14:textId="019330BA" w:rsidR="005A23DF" w:rsidRPr="00CF06CF" w:rsidRDefault="0065507D" w:rsidP="0091542A">
            <w:pPr>
              <w:widowControl w:val="0"/>
              <w:spacing w:line="240" w:lineRule="auto"/>
              <w:ind w:right="113"/>
              <w:contextualSpacing/>
              <w:jc w:val="right"/>
            </w:pPr>
            <w:r w:rsidRPr="00CF06CF">
              <w:t>3 211,7</w:t>
            </w:r>
          </w:p>
        </w:tc>
      </w:tr>
    </w:tbl>
    <w:p w14:paraId="20A3BC9F" w14:textId="77777777" w:rsidR="005A23DF" w:rsidRPr="00CF06CF" w:rsidRDefault="00CA09E1" w:rsidP="001E034A">
      <w:pPr>
        <w:pStyle w:val="Nadpis1"/>
      </w:pPr>
      <w:bookmarkStart w:id="17" w:name="_qq449muc7qh4" w:colFirst="0" w:colLast="0"/>
      <w:bookmarkEnd w:id="17"/>
      <w:r w:rsidRPr="00CF06CF">
        <w:t>13. Intenzita podpory</w:t>
      </w:r>
    </w:p>
    <w:p w14:paraId="4487E718" w14:textId="77777777" w:rsidR="005A23DF" w:rsidRPr="00CF06CF" w:rsidRDefault="00CA09E1" w:rsidP="00C85475">
      <w:pPr>
        <w:widowControl w:val="0"/>
        <w:spacing w:before="120" w:after="120" w:line="360" w:lineRule="auto"/>
        <w:ind w:left="40" w:right="37" w:firstLine="244"/>
        <w:contextualSpacing/>
        <w:jc w:val="both"/>
      </w:pPr>
      <w:bookmarkStart w:id="18" w:name="_Hlk114746164"/>
      <w:r w:rsidRPr="00CF06CF">
        <w:t>Předpokládaná průměrná intenzita podpory celkově za program je 70 %. Intenzita podpory, stanovená jako procento uznaných nákladů projektu, bude vypočtena pro každý projekt i pro každého příjemce a dalšího účastníka samostatně. Pokud bude podpora poskytována podnikům dle Nařízení, musí být respektována v něm uvedená maximální intenzita podpory.</w:t>
      </w:r>
      <w:bookmarkEnd w:id="18"/>
      <w:r w:rsidRPr="00CF06CF">
        <w:t xml:space="preserve"> </w:t>
      </w:r>
    </w:p>
    <w:p w14:paraId="5DD40DCB" w14:textId="416A595D" w:rsidR="005A23DF" w:rsidRPr="00CF06CF" w:rsidRDefault="00CA09E1" w:rsidP="00F03D89">
      <w:pPr>
        <w:widowControl w:val="0"/>
        <w:spacing w:line="240" w:lineRule="auto"/>
        <w:ind w:left="-850" w:right="1287" w:hanging="6"/>
        <w:contextualSpacing/>
        <w:jc w:val="both"/>
        <w:rPr>
          <w:b/>
        </w:rPr>
      </w:pPr>
      <w:r w:rsidRPr="00CF06CF">
        <w:rPr>
          <w:b/>
        </w:rPr>
        <w:t>Tabulka č. 13.1: Nejvyšší povolené intenzity podpory pro průmyslový výzkum a</w:t>
      </w:r>
      <w:r w:rsidR="00F03D89" w:rsidRPr="00CF06CF">
        <w:rPr>
          <w:b/>
        </w:rPr>
        <w:t> e</w:t>
      </w:r>
      <w:r w:rsidRPr="00CF06CF">
        <w:rPr>
          <w:b/>
        </w:rPr>
        <w:t>xperimentální vývoj podle kategorie účastníků</w:t>
      </w:r>
    </w:p>
    <w:tbl>
      <w:tblPr>
        <w:tblStyle w:val="a1"/>
        <w:tblW w:w="10785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20"/>
        <w:gridCol w:w="1267"/>
        <w:gridCol w:w="1385"/>
        <w:gridCol w:w="1286"/>
        <w:gridCol w:w="1527"/>
      </w:tblGrid>
      <w:tr w:rsidR="005A23DF" w:rsidRPr="00CF06CF" w14:paraId="108C92B0" w14:textId="77777777" w:rsidTr="003F527B">
        <w:trPr>
          <w:trHeight w:val="20"/>
          <w:jc w:val="center"/>
        </w:trPr>
        <w:tc>
          <w:tcPr>
            <w:tcW w:w="532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220987" w14:textId="0AEEC81F" w:rsidR="005A23DF" w:rsidRPr="00CF06CF" w:rsidRDefault="00CA09E1" w:rsidP="003F527B">
            <w:pPr>
              <w:widowControl w:val="0"/>
              <w:spacing w:line="240" w:lineRule="auto"/>
              <w:ind w:left="151"/>
              <w:contextualSpacing/>
              <w:jc w:val="center"/>
              <w:rPr>
                <w:b/>
              </w:rPr>
            </w:pPr>
            <w:r w:rsidRPr="00CF06CF">
              <w:rPr>
                <w:b/>
              </w:rPr>
              <w:t>Kategorie činností</w:t>
            </w:r>
          </w:p>
        </w:tc>
        <w:tc>
          <w:tcPr>
            <w:tcW w:w="5465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D43F48" w14:textId="77777777" w:rsidR="005A23DF" w:rsidRPr="00CF06CF" w:rsidRDefault="00CA09E1" w:rsidP="003F527B">
            <w:pPr>
              <w:widowControl w:val="0"/>
              <w:spacing w:line="240" w:lineRule="auto"/>
              <w:contextualSpacing/>
              <w:jc w:val="center"/>
              <w:rPr>
                <w:b/>
              </w:rPr>
            </w:pPr>
            <w:r w:rsidRPr="00CF06CF">
              <w:rPr>
                <w:b/>
              </w:rPr>
              <w:t>Příjemci</w:t>
            </w:r>
          </w:p>
        </w:tc>
      </w:tr>
      <w:tr w:rsidR="005A23DF" w:rsidRPr="00CF06CF" w14:paraId="278DB0AB" w14:textId="77777777" w:rsidTr="003F527B">
        <w:trPr>
          <w:trHeight w:val="20"/>
          <w:jc w:val="center"/>
        </w:trPr>
        <w:tc>
          <w:tcPr>
            <w:tcW w:w="53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E42221" w14:textId="77777777" w:rsidR="005A23DF" w:rsidRPr="00CF06CF" w:rsidRDefault="005A23DF" w:rsidP="003F527B">
            <w:pPr>
              <w:widowControl w:val="0"/>
              <w:spacing w:line="240" w:lineRule="auto"/>
              <w:contextualSpacing/>
              <w:jc w:val="center"/>
              <w:rPr>
                <w:b/>
                <w:shd w:val="clear" w:color="auto" w:fill="D9D9D9"/>
              </w:rPr>
            </w:pPr>
          </w:p>
        </w:tc>
        <w:tc>
          <w:tcPr>
            <w:tcW w:w="12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10F64A" w14:textId="34F71B2F" w:rsidR="005A23DF" w:rsidRPr="00CF06CF" w:rsidRDefault="003F527B" w:rsidP="003F527B">
            <w:pPr>
              <w:widowControl w:val="0"/>
              <w:spacing w:line="240" w:lineRule="auto"/>
              <w:contextualSpacing/>
              <w:jc w:val="center"/>
            </w:pPr>
            <w:r w:rsidRPr="00CF06CF">
              <w:t>m</w:t>
            </w:r>
            <w:r w:rsidR="00CA09E1" w:rsidRPr="00CF06CF">
              <w:t>alý</w:t>
            </w:r>
            <w:r w:rsidRPr="00CF06CF">
              <w:t xml:space="preserve"> </w:t>
            </w:r>
            <w:r w:rsidR="00CA09E1" w:rsidRPr="00CF06CF">
              <w:t>podnik*</w:t>
            </w:r>
          </w:p>
        </w:tc>
        <w:tc>
          <w:tcPr>
            <w:tcW w:w="1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84423E" w14:textId="0F96A549" w:rsidR="005A23DF" w:rsidRPr="00CF06CF" w:rsidRDefault="003F527B" w:rsidP="003F527B">
            <w:pPr>
              <w:widowControl w:val="0"/>
              <w:spacing w:line="240" w:lineRule="auto"/>
              <w:contextualSpacing/>
              <w:jc w:val="center"/>
            </w:pPr>
            <w:r w:rsidRPr="00CF06CF">
              <w:t>s</w:t>
            </w:r>
            <w:r w:rsidR="00CA09E1" w:rsidRPr="00CF06CF">
              <w:t>třední</w:t>
            </w:r>
            <w:r w:rsidRPr="00CF06CF">
              <w:t xml:space="preserve"> </w:t>
            </w:r>
            <w:r w:rsidR="00CA09E1" w:rsidRPr="00CF06CF">
              <w:t>podnik*</w:t>
            </w:r>
          </w:p>
        </w:tc>
        <w:tc>
          <w:tcPr>
            <w:tcW w:w="12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1A78FA" w14:textId="07023611" w:rsidR="005A23DF" w:rsidRPr="00CF06CF" w:rsidRDefault="003F527B" w:rsidP="003F527B">
            <w:pPr>
              <w:widowControl w:val="0"/>
              <w:spacing w:line="240" w:lineRule="auto"/>
              <w:contextualSpacing/>
              <w:jc w:val="center"/>
            </w:pPr>
            <w:r w:rsidRPr="00CF06CF">
              <w:t>v</w:t>
            </w:r>
            <w:r w:rsidR="00CA09E1" w:rsidRPr="00CF06CF">
              <w:t>elký</w:t>
            </w:r>
            <w:r w:rsidRPr="00CF06CF">
              <w:t xml:space="preserve"> </w:t>
            </w:r>
            <w:r w:rsidR="00CA09E1" w:rsidRPr="00CF06CF">
              <w:t>podnik*</w:t>
            </w:r>
          </w:p>
        </w:tc>
        <w:tc>
          <w:tcPr>
            <w:tcW w:w="15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CAAE4E" w14:textId="22953F75" w:rsidR="005A23DF" w:rsidRPr="00CF06CF" w:rsidRDefault="003F527B" w:rsidP="003F527B">
            <w:pPr>
              <w:widowControl w:val="0"/>
              <w:spacing w:line="240" w:lineRule="auto"/>
              <w:contextualSpacing/>
              <w:jc w:val="center"/>
            </w:pPr>
            <w:r w:rsidRPr="00CF06CF">
              <w:t>v</w:t>
            </w:r>
            <w:r w:rsidR="00CA09E1" w:rsidRPr="00CF06CF">
              <w:t>ýzkumné</w:t>
            </w:r>
            <w:r w:rsidRPr="00CF06CF">
              <w:t xml:space="preserve"> </w:t>
            </w:r>
            <w:r w:rsidR="00CA09E1" w:rsidRPr="00CF06CF">
              <w:t>organizace**</w:t>
            </w:r>
          </w:p>
        </w:tc>
      </w:tr>
      <w:tr w:rsidR="005A23DF" w:rsidRPr="00CF06CF" w14:paraId="20D9F941" w14:textId="77777777" w:rsidTr="003F527B">
        <w:trPr>
          <w:trHeight w:val="25"/>
          <w:jc w:val="center"/>
        </w:trPr>
        <w:tc>
          <w:tcPr>
            <w:tcW w:w="5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BF4ACB" w14:textId="77777777" w:rsidR="005A23DF" w:rsidRPr="00CF06CF" w:rsidRDefault="00CA09E1" w:rsidP="0091542A">
            <w:pPr>
              <w:widowControl w:val="0"/>
              <w:spacing w:line="240" w:lineRule="auto"/>
              <w:ind w:left="170"/>
              <w:contextualSpacing/>
            </w:pPr>
            <w:r w:rsidRPr="00CF06CF">
              <w:t xml:space="preserve">Průmyslový výzkum </w:t>
            </w:r>
          </w:p>
        </w:tc>
        <w:tc>
          <w:tcPr>
            <w:tcW w:w="12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A509D7" w14:textId="77777777" w:rsidR="005A23DF" w:rsidRPr="00CF06CF" w:rsidRDefault="00CA09E1" w:rsidP="0091542A">
            <w:pPr>
              <w:widowControl w:val="0"/>
              <w:spacing w:line="240" w:lineRule="auto"/>
              <w:ind w:right="170"/>
              <w:contextualSpacing/>
              <w:jc w:val="right"/>
            </w:pPr>
            <w:r w:rsidRPr="00CF06CF">
              <w:t xml:space="preserve">70 % </w:t>
            </w:r>
          </w:p>
        </w:tc>
        <w:tc>
          <w:tcPr>
            <w:tcW w:w="1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774A83" w14:textId="77777777" w:rsidR="005A23DF" w:rsidRPr="00CF06CF" w:rsidRDefault="00CA09E1" w:rsidP="0091542A">
            <w:pPr>
              <w:widowControl w:val="0"/>
              <w:spacing w:line="240" w:lineRule="auto"/>
              <w:ind w:right="170"/>
              <w:contextualSpacing/>
              <w:jc w:val="right"/>
            </w:pPr>
            <w:r w:rsidRPr="00CF06CF">
              <w:t xml:space="preserve">60 % </w:t>
            </w:r>
          </w:p>
        </w:tc>
        <w:tc>
          <w:tcPr>
            <w:tcW w:w="12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72400E" w14:textId="77777777" w:rsidR="005A23DF" w:rsidRPr="00CF06CF" w:rsidRDefault="00CA09E1" w:rsidP="0091542A">
            <w:pPr>
              <w:widowControl w:val="0"/>
              <w:spacing w:line="240" w:lineRule="auto"/>
              <w:ind w:right="170"/>
              <w:contextualSpacing/>
              <w:jc w:val="right"/>
            </w:pPr>
            <w:r w:rsidRPr="00CF06CF">
              <w:t xml:space="preserve">50 % </w:t>
            </w:r>
          </w:p>
        </w:tc>
        <w:tc>
          <w:tcPr>
            <w:tcW w:w="15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104955" w14:textId="77777777" w:rsidR="005A23DF" w:rsidRPr="00CF06CF" w:rsidRDefault="00CA09E1" w:rsidP="0091542A">
            <w:pPr>
              <w:widowControl w:val="0"/>
              <w:spacing w:line="240" w:lineRule="auto"/>
              <w:ind w:right="170"/>
              <w:contextualSpacing/>
              <w:jc w:val="right"/>
            </w:pPr>
            <w:r w:rsidRPr="00CF06CF">
              <w:t>100 %</w:t>
            </w:r>
          </w:p>
        </w:tc>
      </w:tr>
      <w:tr w:rsidR="005A23DF" w:rsidRPr="00CF06CF" w14:paraId="3C7DECEA" w14:textId="77777777" w:rsidTr="003F527B">
        <w:trPr>
          <w:trHeight w:val="25"/>
          <w:jc w:val="center"/>
        </w:trPr>
        <w:tc>
          <w:tcPr>
            <w:tcW w:w="5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4CE2A3" w14:textId="4C34EA36" w:rsidR="005A23DF" w:rsidRPr="00CF06CF" w:rsidRDefault="00CA09E1" w:rsidP="0091542A">
            <w:pPr>
              <w:widowControl w:val="0"/>
              <w:spacing w:line="240" w:lineRule="auto"/>
              <w:ind w:left="170"/>
              <w:contextualSpacing/>
            </w:pPr>
            <w:r w:rsidRPr="00CF06CF">
              <w:t>Průmyslový výzkum</w:t>
            </w:r>
            <w:r w:rsidR="007123CA" w:rsidRPr="00CF06CF">
              <w:t xml:space="preserve"> v případě využití navýšení intenzity podpory****</w:t>
            </w:r>
          </w:p>
        </w:tc>
        <w:tc>
          <w:tcPr>
            <w:tcW w:w="12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9F68EB" w14:textId="77777777" w:rsidR="005A23DF" w:rsidRPr="00CF06CF" w:rsidRDefault="00CA09E1" w:rsidP="0091542A">
            <w:pPr>
              <w:widowControl w:val="0"/>
              <w:spacing w:line="240" w:lineRule="auto"/>
              <w:ind w:right="170"/>
              <w:contextualSpacing/>
              <w:jc w:val="right"/>
            </w:pPr>
            <w:r w:rsidRPr="00CF06CF">
              <w:t xml:space="preserve">80 % </w:t>
            </w:r>
          </w:p>
        </w:tc>
        <w:tc>
          <w:tcPr>
            <w:tcW w:w="1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88FA2D" w14:textId="77777777" w:rsidR="005A23DF" w:rsidRPr="00CF06CF" w:rsidRDefault="00CA09E1" w:rsidP="0091542A">
            <w:pPr>
              <w:widowControl w:val="0"/>
              <w:spacing w:line="240" w:lineRule="auto"/>
              <w:ind w:right="170"/>
              <w:contextualSpacing/>
              <w:jc w:val="right"/>
            </w:pPr>
            <w:r w:rsidRPr="00CF06CF">
              <w:t xml:space="preserve">75 % </w:t>
            </w:r>
          </w:p>
        </w:tc>
        <w:tc>
          <w:tcPr>
            <w:tcW w:w="12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F28575" w14:textId="77777777" w:rsidR="005A23DF" w:rsidRPr="00CF06CF" w:rsidRDefault="00CA09E1" w:rsidP="0091542A">
            <w:pPr>
              <w:widowControl w:val="0"/>
              <w:spacing w:line="240" w:lineRule="auto"/>
              <w:ind w:right="170"/>
              <w:contextualSpacing/>
              <w:jc w:val="right"/>
            </w:pPr>
            <w:r w:rsidRPr="00CF06CF">
              <w:t xml:space="preserve">65 % </w:t>
            </w:r>
          </w:p>
        </w:tc>
        <w:tc>
          <w:tcPr>
            <w:tcW w:w="15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F6D608" w14:textId="77777777" w:rsidR="005A23DF" w:rsidRPr="00CF06CF" w:rsidRDefault="00CA09E1" w:rsidP="0091542A">
            <w:pPr>
              <w:widowControl w:val="0"/>
              <w:spacing w:line="240" w:lineRule="auto"/>
              <w:ind w:right="170"/>
              <w:contextualSpacing/>
              <w:jc w:val="right"/>
            </w:pPr>
            <w:r w:rsidRPr="00CF06CF">
              <w:t>100 %</w:t>
            </w:r>
          </w:p>
        </w:tc>
      </w:tr>
      <w:tr w:rsidR="005A23DF" w:rsidRPr="00CF06CF" w14:paraId="576E8E3C" w14:textId="77777777" w:rsidTr="003F527B">
        <w:trPr>
          <w:trHeight w:val="25"/>
          <w:jc w:val="center"/>
        </w:trPr>
        <w:tc>
          <w:tcPr>
            <w:tcW w:w="5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F69829" w14:textId="77777777" w:rsidR="005A23DF" w:rsidRPr="00CF06CF" w:rsidRDefault="00CA09E1" w:rsidP="0091542A">
            <w:pPr>
              <w:widowControl w:val="0"/>
              <w:spacing w:line="240" w:lineRule="auto"/>
              <w:ind w:left="170"/>
              <w:contextualSpacing/>
            </w:pPr>
            <w:r w:rsidRPr="00CF06CF">
              <w:t xml:space="preserve">Experimentální vývoj </w:t>
            </w:r>
          </w:p>
        </w:tc>
        <w:tc>
          <w:tcPr>
            <w:tcW w:w="12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383DDB" w14:textId="77777777" w:rsidR="005A23DF" w:rsidRPr="00CF06CF" w:rsidRDefault="00CA09E1" w:rsidP="0091542A">
            <w:pPr>
              <w:widowControl w:val="0"/>
              <w:spacing w:line="240" w:lineRule="auto"/>
              <w:ind w:right="170"/>
              <w:contextualSpacing/>
              <w:jc w:val="right"/>
            </w:pPr>
            <w:r w:rsidRPr="00CF06CF">
              <w:t xml:space="preserve">45 % </w:t>
            </w:r>
          </w:p>
        </w:tc>
        <w:tc>
          <w:tcPr>
            <w:tcW w:w="1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A9AFAF" w14:textId="77777777" w:rsidR="005A23DF" w:rsidRPr="00CF06CF" w:rsidRDefault="00CA09E1" w:rsidP="0091542A">
            <w:pPr>
              <w:widowControl w:val="0"/>
              <w:spacing w:line="240" w:lineRule="auto"/>
              <w:ind w:right="170"/>
              <w:contextualSpacing/>
              <w:jc w:val="right"/>
            </w:pPr>
            <w:r w:rsidRPr="00CF06CF">
              <w:t xml:space="preserve">35 % </w:t>
            </w:r>
          </w:p>
        </w:tc>
        <w:tc>
          <w:tcPr>
            <w:tcW w:w="12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C59E19" w14:textId="77777777" w:rsidR="005A23DF" w:rsidRPr="00CF06CF" w:rsidRDefault="00CA09E1" w:rsidP="0091542A">
            <w:pPr>
              <w:widowControl w:val="0"/>
              <w:spacing w:line="240" w:lineRule="auto"/>
              <w:ind w:right="170"/>
              <w:contextualSpacing/>
              <w:jc w:val="right"/>
            </w:pPr>
            <w:r w:rsidRPr="00CF06CF">
              <w:t xml:space="preserve">25 % </w:t>
            </w:r>
          </w:p>
        </w:tc>
        <w:tc>
          <w:tcPr>
            <w:tcW w:w="15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4EF08A" w14:textId="77777777" w:rsidR="005A23DF" w:rsidRPr="00CF06CF" w:rsidRDefault="00CA09E1" w:rsidP="0091542A">
            <w:pPr>
              <w:widowControl w:val="0"/>
              <w:spacing w:line="240" w:lineRule="auto"/>
              <w:ind w:right="170"/>
              <w:contextualSpacing/>
              <w:jc w:val="right"/>
            </w:pPr>
            <w:r w:rsidRPr="00CF06CF">
              <w:t>100 %</w:t>
            </w:r>
          </w:p>
        </w:tc>
      </w:tr>
      <w:tr w:rsidR="005A23DF" w:rsidRPr="00CF06CF" w14:paraId="3D32BD89" w14:textId="77777777" w:rsidTr="003F527B">
        <w:trPr>
          <w:trHeight w:val="540"/>
          <w:jc w:val="center"/>
        </w:trPr>
        <w:tc>
          <w:tcPr>
            <w:tcW w:w="5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286F47" w14:textId="6EC393B2" w:rsidR="005A23DF" w:rsidRPr="00CF06CF" w:rsidRDefault="00CA09E1" w:rsidP="0091542A">
            <w:pPr>
              <w:widowControl w:val="0"/>
              <w:spacing w:line="240" w:lineRule="auto"/>
              <w:ind w:left="170"/>
              <w:contextualSpacing/>
            </w:pPr>
            <w:r w:rsidRPr="00CF06CF">
              <w:t>Experimentální vývoj</w:t>
            </w:r>
            <w:r w:rsidR="007123CA" w:rsidRPr="00CF06CF">
              <w:t xml:space="preserve"> v případě využití navýšení intenzity podpory****</w:t>
            </w:r>
          </w:p>
        </w:tc>
        <w:tc>
          <w:tcPr>
            <w:tcW w:w="12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41DA86" w14:textId="77777777" w:rsidR="005A23DF" w:rsidRPr="00CF06CF" w:rsidRDefault="00CA09E1" w:rsidP="0091542A">
            <w:pPr>
              <w:widowControl w:val="0"/>
              <w:spacing w:line="240" w:lineRule="auto"/>
              <w:ind w:right="170"/>
              <w:contextualSpacing/>
              <w:jc w:val="right"/>
            </w:pPr>
            <w:r w:rsidRPr="00CF06CF">
              <w:t xml:space="preserve">60 % </w:t>
            </w:r>
          </w:p>
        </w:tc>
        <w:tc>
          <w:tcPr>
            <w:tcW w:w="1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691773" w14:textId="77777777" w:rsidR="005A23DF" w:rsidRPr="00CF06CF" w:rsidRDefault="00CA09E1" w:rsidP="0091542A">
            <w:pPr>
              <w:widowControl w:val="0"/>
              <w:spacing w:line="240" w:lineRule="auto"/>
              <w:ind w:right="170"/>
              <w:contextualSpacing/>
              <w:jc w:val="right"/>
            </w:pPr>
            <w:r w:rsidRPr="00CF06CF">
              <w:t xml:space="preserve">50 % </w:t>
            </w:r>
          </w:p>
        </w:tc>
        <w:tc>
          <w:tcPr>
            <w:tcW w:w="12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B58FA3" w14:textId="77777777" w:rsidR="005A23DF" w:rsidRPr="00CF06CF" w:rsidRDefault="00CA09E1" w:rsidP="0091542A">
            <w:pPr>
              <w:widowControl w:val="0"/>
              <w:spacing w:line="240" w:lineRule="auto"/>
              <w:ind w:right="170"/>
              <w:contextualSpacing/>
              <w:jc w:val="right"/>
            </w:pPr>
            <w:r w:rsidRPr="00CF06CF">
              <w:t xml:space="preserve">40 % </w:t>
            </w:r>
          </w:p>
        </w:tc>
        <w:tc>
          <w:tcPr>
            <w:tcW w:w="15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54399A" w14:textId="77777777" w:rsidR="005A23DF" w:rsidRPr="00CF06CF" w:rsidRDefault="00CA09E1" w:rsidP="0091542A">
            <w:pPr>
              <w:widowControl w:val="0"/>
              <w:spacing w:line="240" w:lineRule="auto"/>
              <w:ind w:right="170"/>
              <w:contextualSpacing/>
              <w:jc w:val="right"/>
            </w:pPr>
            <w:r w:rsidRPr="00CF06CF">
              <w:t>100 %</w:t>
            </w:r>
          </w:p>
        </w:tc>
      </w:tr>
      <w:tr w:rsidR="005A23DF" w:rsidRPr="00CF06CF" w14:paraId="44FC04A5" w14:textId="77777777" w:rsidTr="003F527B">
        <w:trPr>
          <w:trHeight w:val="332"/>
          <w:jc w:val="center"/>
        </w:trPr>
        <w:tc>
          <w:tcPr>
            <w:tcW w:w="5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ED6CA8" w14:textId="1D3AB2AE" w:rsidR="005A23DF" w:rsidRPr="00CF06CF" w:rsidRDefault="00CA09E1" w:rsidP="003F527B">
            <w:pPr>
              <w:widowControl w:val="0"/>
              <w:spacing w:line="240" w:lineRule="auto"/>
              <w:ind w:left="170"/>
              <w:contextualSpacing/>
            </w:pPr>
            <w:r w:rsidRPr="00CF06CF">
              <w:t xml:space="preserve">Inovace určená malým a středním podnikům </w:t>
            </w:r>
          </w:p>
        </w:tc>
        <w:tc>
          <w:tcPr>
            <w:tcW w:w="12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6E49EA" w14:textId="77777777" w:rsidR="005A23DF" w:rsidRPr="00CF06CF" w:rsidRDefault="00CA09E1" w:rsidP="0091542A">
            <w:pPr>
              <w:widowControl w:val="0"/>
              <w:spacing w:line="240" w:lineRule="auto"/>
              <w:ind w:right="170"/>
              <w:contextualSpacing/>
              <w:jc w:val="right"/>
            </w:pPr>
            <w:r w:rsidRPr="00CF06CF">
              <w:t xml:space="preserve">50 % </w:t>
            </w:r>
          </w:p>
        </w:tc>
        <w:tc>
          <w:tcPr>
            <w:tcW w:w="1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166A9A" w14:textId="77777777" w:rsidR="005A23DF" w:rsidRPr="00CF06CF" w:rsidRDefault="00CA09E1" w:rsidP="0091542A">
            <w:pPr>
              <w:widowControl w:val="0"/>
              <w:spacing w:line="240" w:lineRule="auto"/>
              <w:ind w:right="170"/>
              <w:contextualSpacing/>
              <w:jc w:val="right"/>
            </w:pPr>
            <w:r w:rsidRPr="00CF06CF">
              <w:t xml:space="preserve">50 % </w:t>
            </w:r>
          </w:p>
        </w:tc>
        <w:tc>
          <w:tcPr>
            <w:tcW w:w="12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04728E" w14:textId="77777777" w:rsidR="005A23DF" w:rsidRPr="00CF06CF" w:rsidRDefault="00CA09E1" w:rsidP="0091542A">
            <w:pPr>
              <w:widowControl w:val="0"/>
              <w:spacing w:line="240" w:lineRule="auto"/>
              <w:ind w:right="170"/>
              <w:contextualSpacing/>
              <w:jc w:val="right"/>
            </w:pPr>
            <w:r w:rsidRPr="00CF06CF">
              <w:t xml:space="preserve">- </w:t>
            </w:r>
          </w:p>
        </w:tc>
        <w:tc>
          <w:tcPr>
            <w:tcW w:w="15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AB9EE9" w14:textId="77777777" w:rsidR="005A23DF" w:rsidRPr="00CF06CF" w:rsidRDefault="00CA09E1" w:rsidP="0091542A">
            <w:pPr>
              <w:widowControl w:val="0"/>
              <w:spacing w:line="240" w:lineRule="auto"/>
              <w:ind w:right="170"/>
              <w:contextualSpacing/>
              <w:jc w:val="right"/>
            </w:pPr>
            <w:r w:rsidRPr="00CF06CF">
              <w:t>-</w:t>
            </w:r>
          </w:p>
        </w:tc>
      </w:tr>
      <w:tr w:rsidR="005A23DF" w:rsidRPr="00CF06CF" w14:paraId="6174F759" w14:textId="77777777" w:rsidTr="003F527B">
        <w:trPr>
          <w:trHeight w:val="25"/>
          <w:jc w:val="center"/>
        </w:trPr>
        <w:tc>
          <w:tcPr>
            <w:tcW w:w="5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4B0A08" w14:textId="77777777" w:rsidR="005A23DF" w:rsidRPr="00CF06CF" w:rsidRDefault="00CA09E1" w:rsidP="0091542A">
            <w:pPr>
              <w:widowControl w:val="0"/>
              <w:spacing w:line="240" w:lineRule="auto"/>
              <w:ind w:left="170" w:right="115" w:firstLine="5"/>
              <w:contextualSpacing/>
            </w:pPr>
            <w:r w:rsidRPr="00CF06CF">
              <w:t xml:space="preserve">Inovace postupů a organizační inovace </w:t>
            </w:r>
          </w:p>
        </w:tc>
        <w:tc>
          <w:tcPr>
            <w:tcW w:w="12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CC9173" w14:textId="77777777" w:rsidR="005A23DF" w:rsidRPr="00CF06CF" w:rsidRDefault="00CA09E1" w:rsidP="0091542A">
            <w:pPr>
              <w:widowControl w:val="0"/>
              <w:spacing w:line="240" w:lineRule="auto"/>
              <w:ind w:right="170"/>
              <w:contextualSpacing/>
              <w:jc w:val="right"/>
            </w:pPr>
            <w:r w:rsidRPr="00CF06CF">
              <w:t xml:space="preserve">50 % </w:t>
            </w:r>
          </w:p>
        </w:tc>
        <w:tc>
          <w:tcPr>
            <w:tcW w:w="1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F4B9A1" w14:textId="77777777" w:rsidR="005A23DF" w:rsidRPr="00CF06CF" w:rsidRDefault="00CA09E1" w:rsidP="0091542A">
            <w:pPr>
              <w:widowControl w:val="0"/>
              <w:spacing w:line="240" w:lineRule="auto"/>
              <w:ind w:right="170"/>
              <w:contextualSpacing/>
              <w:jc w:val="right"/>
            </w:pPr>
            <w:r w:rsidRPr="00CF06CF">
              <w:t xml:space="preserve">50 % </w:t>
            </w:r>
          </w:p>
        </w:tc>
        <w:tc>
          <w:tcPr>
            <w:tcW w:w="12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820898" w14:textId="77777777" w:rsidR="005A23DF" w:rsidRPr="00CF06CF" w:rsidRDefault="00CA09E1" w:rsidP="0091542A">
            <w:pPr>
              <w:widowControl w:val="0"/>
              <w:spacing w:line="240" w:lineRule="auto"/>
              <w:ind w:right="170"/>
              <w:contextualSpacing/>
              <w:jc w:val="right"/>
            </w:pPr>
            <w:r w:rsidRPr="00CF06CF">
              <w:t xml:space="preserve">15 %*** </w:t>
            </w:r>
          </w:p>
        </w:tc>
        <w:tc>
          <w:tcPr>
            <w:tcW w:w="15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905E0C" w14:textId="4C4F5EF1" w:rsidR="005A23DF" w:rsidRPr="00CF06CF" w:rsidRDefault="0083057C" w:rsidP="0091542A">
            <w:pPr>
              <w:widowControl w:val="0"/>
              <w:spacing w:line="240" w:lineRule="auto"/>
              <w:ind w:right="170"/>
              <w:contextualSpacing/>
              <w:jc w:val="right"/>
            </w:pPr>
            <w:r w:rsidRPr="00CF06CF">
              <w:t>-</w:t>
            </w:r>
          </w:p>
        </w:tc>
      </w:tr>
    </w:tbl>
    <w:p w14:paraId="5F420E3C" w14:textId="77777777" w:rsidR="005A23DF" w:rsidRPr="00CF06CF" w:rsidRDefault="00CA09E1" w:rsidP="00F03D89">
      <w:pPr>
        <w:spacing w:before="120" w:after="120" w:line="360" w:lineRule="auto"/>
        <w:ind w:left="-851"/>
        <w:contextualSpacing/>
        <w:jc w:val="both"/>
        <w:rPr>
          <w:sz w:val="16"/>
          <w:szCs w:val="16"/>
        </w:rPr>
      </w:pPr>
      <w:r w:rsidRPr="00CF06CF">
        <w:rPr>
          <w:sz w:val="16"/>
          <w:szCs w:val="16"/>
        </w:rPr>
        <w:t xml:space="preserve">*Malý a střední podnik vymezuje definice uvedená v článku 2 odst. 2 a potažmo v Příloze 1 Nařízení a velký podnik vymezuje definice v článku 2 odst. 24 Nařízení. </w:t>
      </w:r>
    </w:p>
    <w:p w14:paraId="04290C23" w14:textId="64A8A00C" w:rsidR="005A23DF" w:rsidRPr="00CF06CF" w:rsidRDefault="00CA09E1" w:rsidP="00F03D89">
      <w:pPr>
        <w:spacing w:before="120" w:after="120" w:line="360" w:lineRule="auto"/>
        <w:ind w:left="-851"/>
        <w:contextualSpacing/>
        <w:jc w:val="both"/>
        <w:rPr>
          <w:sz w:val="16"/>
          <w:szCs w:val="16"/>
        </w:rPr>
      </w:pPr>
      <w:r w:rsidRPr="00CF06CF">
        <w:rPr>
          <w:sz w:val="16"/>
          <w:szCs w:val="16"/>
        </w:rPr>
        <w:t xml:space="preserve">**Výzkumná organizace je vymezena podle čl. 2 odst. 83 Nařízení. Uvedená intenzita podpory je určena pro </w:t>
      </w:r>
      <w:proofErr w:type="spellStart"/>
      <w:r w:rsidRPr="00CF06CF">
        <w:rPr>
          <w:sz w:val="16"/>
          <w:szCs w:val="16"/>
        </w:rPr>
        <w:t>nehospodářské</w:t>
      </w:r>
      <w:proofErr w:type="spellEnd"/>
      <w:r w:rsidRPr="00CF06CF">
        <w:rPr>
          <w:sz w:val="16"/>
          <w:szCs w:val="16"/>
        </w:rPr>
        <w:t xml:space="preserve"> činnosti výzkumných organizací, což jsou činnosti dle bodu </w:t>
      </w:r>
      <w:r w:rsidR="00AE4625" w:rsidRPr="00CF06CF">
        <w:rPr>
          <w:sz w:val="16"/>
          <w:szCs w:val="16"/>
        </w:rPr>
        <w:t>20</w:t>
      </w:r>
      <w:r w:rsidRPr="00CF06CF">
        <w:rPr>
          <w:sz w:val="16"/>
          <w:szCs w:val="16"/>
        </w:rPr>
        <w:t xml:space="preserve"> Rámce.</w:t>
      </w:r>
    </w:p>
    <w:p w14:paraId="35C34341" w14:textId="77777777" w:rsidR="005A23DF" w:rsidRPr="00CF06CF" w:rsidRDefault="00CA09E1" w:rsidP="00F03D89">
      <w:pPr>
        <w:spacing w:before="120" w:after="120" w:line="360" w:lineRule="auto"/>
        <w:ind w:left="-851"/>
        <w:contextualSpacing/>
        <w:jc w:val="both"/>
        <w:rPr>
          <w:sz w:val="16"/>
          <w:szCs w:val="16"/>
        </w:rPr>
      </w:pPr>
      <w:r w:rsidRPr="00CF06CF">
        <w:rPr>
          <w:sz w:val="16"/>
          <w:szCs w:val="16"/>
        </w:rPr>
        <w:t xml:space="preserve">***Podpora velkým podnikům na inovace postupů a organizační inovace je slučitelná pouze za podmínek uvedených </w:t>
      </w:r>
      <w:r w:rsidRPr="00CF06CF">
        <w:rPr>
          <w:sz w:val="16"/>
          <w:szCs w:val="16"/>
        </w:rPr>
        <w:br/>
        <w:t>v čl. 29 odst. 2 Nařízení.</w:t>
      </w:r>
    </w:p>
    <w:p w14:paraId="4AE0EB9C" w14:textId="44002453" w:rsidR="00F03D89" w:rsidRPr="00CF06CF" w:rsidRDefault="0083057C" w:rsidP="00F03D89">
      <w:pPr>
        <w:spacing w:before="120" w:after="120" w:line="360" w:lineRule="auto"/>
        <w:ind w:left="-851"/>
        <w:contextualSpacing/>
        <w:jc w:val="both"/>
        <w:rPr>
          <w:sz w:val="16"/>
          <w:szCs w:val="16"/>
        </w:rPr>
      </w:pPr>
      <w:r w:rsidRPr="00CF06CF">
        <w:rPr>
          <w:sz w:val="16"/>
          <w:szCs w:val="16"/>
        </w:rPr>
        <w:t>****</w:t>
      </w:r>
      <w:r w:rsidR="00CA09E1" w:rsidRPr="00CF06CF">
        <w:rPr>
          <w:sz w:val="16"/>
          <w:szCs w:val="16"/>
        </w:rPr>
        <w:t xml:space="preserve">Navýšení intenzity podpory je možné využít, je-li splněna jedna z podmínek článku 25 odst. 6, písm. b bodů i) a </w:t>
      </w:r>
      <w:proofErr w:type="spellStart"/>
      <w:r w:rsidR="00CA09E1" w:rsidRPr="00CF06CF">
        <w:rPr>
          <w:sz w:val="16"/>
          <w:szCs w:val="16"/>
        </w:rPr>
        <w:t>ii</w:t>
      </w:r>
      <w:proofErr w:type="spellEnd"/>
      <w:r w:rsidR="00CA09E1" w:rsidRPr="00CF06CF">
        <w:rPr>
          <w:sz w:val="16"/>
          <w:szCs w:val="16"/>
        </w:rPr>
        <w:t>) Nařízení. Konkrétní vymezení poskytovatel uvede v zadávací dokumentaci k příslušné veřejné soutěži.</w:t>
      </w:r>
    </w:p>
    <w:p w14:paraId="244DBA50" w14:textId="12C4ECAD" w:rsidR="005A23DF" w:rsidRPr="00CF06CF" w:rsidRDefault="00CA09E1" w:rsidP="001E034A">
      <w:pPr>
        <w:pStyle w:val="Nadpis1"/>
      </w:pPr>
      <w:bookmarkStart w:id="19" w:name="_x4j7q8bylq0c" w:colFirst="0" w:colLast="0"/>
      <w:bookmarkEnd w:id="19"/>
      <w:r w:rsidRPr="00CF06CF">
        <w:lastRenderedPageBreak/>
        <w:t>14. Způsobilé a uznané náklady</w:t>
      </w:r>
    </w:p>
    <w:p w14:paraId="10E5740F" w14:textId="5BF9E8C6" w:rsidR="00F03D89" w:rsidRPr="00CF06CF" w:rsidRDefault="00CA09E1" w:rsidP="004810CB">
      <w:pPr>
        <w:spacing w:before="120" w:after="120" w:line="360" w:lineRule="auto"/>
        <w:ind w:firstLine="284"/>
        <w:contextualSpacing/>
        <w:jc w:val="both"/>
      </w:pPr>
      <w:r w:rsidRPr="00CF06CF">
        <w:t>Podpora bude poskytována na uznané náklady projektu, tj. na ty způsobilé náklady, které jsou odůvodněné, které jsou v rozsahu nezbytném pro účely projektu, a které poskytovatel schválí. Uchazeč může jako způsobilé náklady navrhnout pouze náklady vymezené v souladu se zákonem o podpoře výzkumu, experimentálního vývoje a inovací, a dále v případě režimu veřejné podpory podle kategorie podpory, tj. v souladu s čl. 25, čl. 28 a čl. 29 Nařízení. Bližší specifikace způsobilých nákladů bude součástí zadávací dokumentace k příslušné veřejné soutěži.</w:t>
      </w:r>
      <w:bookmarkStart w:id="20" w:name="_mujeo8ua7urt" w:colFirst="0" w:colLast="0"/>
      <w:bookmarkEnd w:id="20"/>
    </w:p>
    <w:p w14:paraId="482207D4" w14:textId="547E6B41" w:rsidR="005A23DF" w:rsidRPr="00CF06CF" w:rsidRDefault="00CA09E1" w:rsidP="001E034A">
      <w:pPr>
        <w:pStyle w:val="Nadpis1"/>
      </w:pPr>
      <w:r w:rsidRPr="00CF06CF">
        <w:t>15. Motivační účinek</w:t>
      </w:r>
    </w:p>
    <w:p w14:paraId="5C932C07" w14:textId="77777777" w:rsidR="005A23DF" w:rsidRPr="00CF06CF" w:rsidRDefault="00CA09E1" w:rsidP="00C85475">
      <w:pPr>
        <w:spacing w:before="120" w:after="120" w:line="360" w:lineRule="auto"/>
        <w:ind w:firstLine="284"/>
        <w:contextualSpacing/>
        <w:jc w:val="both"/>
      </w:pPr>
      <w:r w:rsidRPr="00CF06CF">
        <w:t>Pro naplnění cílů programu a podmínek Nařízení bude poskytovatel v rámci procesu hodnocení návrhů projektů posuzovat motivační účinek podpory podle čl. 6 Nařízení. Pro splnění motivačního účinku dle čl. 6 Nařízení platí, že práce na projektu/činnosti nesmí být zahájeny</w:t>
      </w:r>
      <w:r w:rsidRPr="00CF06CF">
        <w:rPr>
          <w:vertAlign w:val="superscript"/>
        </w:rPr>
        <w:footnoteReference w:id="8"/>
      </w:r>
      <w:r w:rsidRPr="00CF06CF">
        <w:t xml:space="preserve"> před podáním žádosti o podporu.</w:t>
      </w:r>
    </w:p>
    <w:p w14:paraId="150CE47C" w14:textId="77777777" w:rsidR="005A23DF" w:rsidRPr="00CF06CF" w:rsidRDefault="00CA09E1" w:rsidP="001E034A">
      <w:pPr>
        <w:pStyle w:val="Nadpis1"/>
      </w:pPr>
      <w:bookmarkStart w:id="21" w:name="_ytadu8hx173b" w:colFirst="0" w:colLast="0"/>
      <w:bookmarkEnd w:id="21"/>
      <w:r w:rsidRPr="00CF06CF">
        <w:t>16. Způsob a obecná kritéria hodnocení návrhů projektů</w:t>
      </w:r>
    </w:p>
    <w:p w14:paraId="2AA617A7" w14:textId="77777777" w:rsidR="005A23DF" w:rsidRPr="00CF06CF" w:rsidRDefault="00CA09E1" w:rsidP="008A0C42">
      <w:pPr>
        <w:widowControl w:val="0"/>
        <w:spacing w:before="120" w:after="120" w:line="360" w:lineRule="auto"/>
        <w:ind w:left="15" w:right="6" w:firstLine="269"/>
        <w:contextualSpacing/>
        <w:jc w:val="both"/>
      </w:pPr>
      <w:r w:rsidRPr="00CF06CF">
        <w:t xml:space="preserve">Návrhy projektů bude poskytovatel komplexně hodnotit v souladu se zákonem o podpoře výzkumu, experimentálního vývoje a inovací. Každý návrh projektu budou hodnotit nejméně dva nezávislí oponenti. Pro hodnocení návrhů projektů přijatých do veřejné soutěže ustaví poskytovatel odborný poradní orgán. Navrhovaná obecná kritéria hodnocení: </w:t>
      </w:r>
    </w:p>
    <w:p w14:paraId="40E63AC2" w14:textId="67EDE2DB" w:rsidR="005A23DF" w:rsidRPr="00CF06CF" w:rsidRDefault="00CA09E1" w:rsidP="008A0C42">
      <w:pPr>
        <w:pStyle w:val="Odstavecseseznamem"/>
        <w:widowControl w:val="0"/>
        <w:numPr>
          <w:ilvl w:val="1"/>
          <w:numId w:val="19"/>
        </w:numPr>
        <w:spacing w:before="120" w:after="120" w:line="360" w:lineRule="auto"/>
        <w:ind w:left="993"/>
        <w:jc w:val="both"/>
      </w:pPr>
      <w:r w:rsidRPr="00CF06CF">
        <w:t xml:space="preserve">splnění podmínek veřejné soutěže; </w:t>
      </w:r>
    </w:p>
    <w:p w14:paraId="5B68FD31" w14:textId="626F7687" w:rsidR="005A23DF" w:rsidRPr="00CF06CF" w:rsidRDefault="00CA09E1" w:rsidP="008A0C42">
      <w:pPr>
        <w:pStyle w:val="Odstavecseseznamem"/>
        <w:widowControl w:val="0"/>
        <w:numPr>
          <w:ilvl w:val="1"/>
          <w:numId w:val="19"/>
        </w:numPr>
        <w:spacing w:before="120" w:after="120" w:line="360" w:lineRule="auto"/>
        <w:ind w:left="993"/>
        <w:jc w:val="both"/>
      </w:pPr>
      <w:r w:rsidRPr="00CF06CF">
        <w:t xml:space="preserve">potřebnost projektu a jeho přínos k naplňování cílů programu; </w:t>
      </w:r>
    </w:p>
    <w:p w14:paraId="65C61D09" w14:textId="1FD55C22" w:rsidR="005A23DF" w:rsidRPr="00CF06CF" w:rsidRDefault="00CA09E1" w:rsidP="008A0C42">
      <w:pPr>
        <w:pStyle w:val="Odstavecseseznamem"/>
        <w:widowControl w:val="0"/>
        <w:numPr>
          <w:ilvl w:val="1"/>
          <w:numId w:val="19"/>
        </w:numPr>
        <w:spacing w:before="120" w:after="120" w:line="360" w:lineRule="auto"/>
        <w:ind w:left="993"/>
        <w:jc w:val="both"/>
      </w:pPr>
      <w:r w:rsidRPr="00CF06CF">
        <w:t xml:space="preserve">očekávaný přínos a kvalita výsledku projektu; </w:t>
      </w:r>
    </w:p>
    <w:p w14:paraId="7C54D31C" w14:textId="78ADDF63" w:rsidR="005A23DF" w:rsidRPr="00CF06CF" w:rsidRDefault="00CA09E1" w:rsidP="008A0C42">
      <w:pPr>
        <w:pStyle w:val="Odstavecseseznamem"/>
        <w:widowControl w:val="0"/>
        <w:numPr>
          <w:ilvl w:val="1"/>
          <w:numId w:val="19"/>
        </w:numPr>
        <w:spacing w:before="120" w:after="120" w:line="360" w:lineRule="auto"/>
        <w:ind w:left="993"/>
        <w:jc w:val="both"/>
      </w:pPr>
      <w:r w:rsidRPr="00CF06CF">
        <w:t xml:space="preserve">proveditelnost a postup realizace projektu. </w:t>
      </w:r>
    </w:p>
    <w:p w14:paraId="5D33C824" w14:textId="77777777" w:rsidR="005A23DF" w:rsidRPr="00CF06CF" w:rsidRDefault="00CA09E1" w:rsidP="00E50C5F">
      <w:pPr>
        <w:widowControl w:val="0"/>
        <w:spacing w:before="120" w:after="120" w:line="360" w:lineRule="auto"/>
        <w:ind w:left="24" w:right="13" w:firstLine="260"/>
        <w:contextualSpacing/>
        <w:jc w:val="both"/>
      </w:pPr>
      <w:r w:rsidRPr="00CF06CF">
        <w:t xml:space="preserve">Podrobný způsob hodnocení návrhů projektu, bodové a prahové hodnoty jednotlivých kritérií hodnocení stanoví zadávací dokumentace k příslušné veřejné soutěži. </w:t>
      </w:r>
    </w:p>
    <w:p w14:paraId="2691E75E" w14:textId="5E30F573" w:rsidR="005A23DF" w:rsidRPr="00CF06CF" w:rsidRDefault="00CA09E1" w:rsidP="00B61106">
      <w:pPr>
        <w:widowControl w:val="0"/>
        <w:spacing w:before="120" w:after="120" w:line="360" w:lineRule="auto"/>
        <w:ind w:right="20" w:firstLine="284"/>
        <w:contextualSpacing/>
        <w:jc w:val="both"/>
      </w:pPr>
      <w:r w:rsidRPr="00CF06CF">
        <w:t>Pro hodnocení případných duplicit, návazností, komplementarit a synergií mezi různými již</w:t>
      </w:r>
      <w:r w:rsidR="00F03D89" w:rsidRPr="00CF06CF">
        <w:t> </w:t>
      </w:r>
      <w:r w:rsidRPr="00CF06CF">
        <w:t>realizovanými projekty a návrhy projektů využije poskytovatel datové a analytické nástroje.</w:t>
      </w:r>
    </w:p>
    <w:p w14:paraId="4665D644" w14:textId="77777777" w:rsidR="005A23DF" w:rsidRPr="00CF06CF" w:rsidRDefault="00CA09E1" w:rsidP="001E034A">
      <w:pPr>
        <w:pStyle w:val="Nadpis1"/>
      </w:pPr>
      <w:bookmarkStart w:id="22" w:name="_5kmuknz3f6pg" w:colFirst="0" w:colLast="0"/>
      <w:bookmarkEnd w:id="22"/>
      <w:r w:rsidRPr="00CF06CF">
        <w:lastRenderedPageBreak/>
        <w:t>17. Podprogramy</w:t>
      </w:r>
    </w:p>
    <w:p w14:paraId="7EE93767" w14:textId="166319C9" w:rsidR="005A23DF" w:rsidRPr="00CF06CF" w:rsidRDefault="00CA09E1" w:rsidP="00E50C5F">
      <w:pPr>
        <w:spacing w:before="120" w:after="120" w:line="360" w:lineRule="auto"/>
        <w:ind w:firstLine="426"/>
        <w:contextualSpacing/>
        <w:jc w:val="both"/>
      </w:pPr>
      <w:r w:rsidRPr="00CF06CF">
        <w:t xml:space="preserve">Pro účely dosažení cíle je program členěn na </w:t>
      </w:r>
      <w:r w:rsidR="005A324F" w:rsidRPr="00CF06CF">
        <w:t>tři</w:t>
      </w:r>
      <w:r w:rsidRPr="00CF06CF">
        <w:t xml:space="preserve"> podprogramy, které se podle zaměření a rozsahu vzájemně podporují a doplňují. Bližší specifikaci zaměření jednotlivých podprogramů stanoví zadávací dokumentace k příslušné veřejné soutěži.</w:t>
      </w:r>
    </w:p>
    <w:p w14:paraId="53FF6DC4" w14:textId="3801319D" w:rsidR="005A23DF" w:rsidRPr="00CF06CF" w:rsidRDefault="00CA09E1" w:rsidP="00E50C5F">
      <w:pPr>
        <w:spacing w:before="120" w:after="120" w:line="360" w:lineRule="auto"/>
        <w:ind w:firstLine="284"/>
        <w:contextualSpacing/>
        <w:jc w:val="both"/>
      </w:pPr>
      <w:r w:rsidRPr="00CF06CF">
        <w:t>Níže uvedené podprogramy navazují na podprogramy předcházejícího programu THÉTA a mají za cíl pokračovat v podpoře podobných projektů. Důležité je také posunutí výsledků výzkumu a inovací v tomto oboru blíže k naplňování závazků, které ČR v tomto ohledu má</w:t>
      </w:r>
      <w:r w:rsidR="00F03D89" w:rsidRPr="00CF06CF">
        <w:t> </w:t>
      </w:r>
      <w:r w:rsidRPr="00CF06CF">
        <w:t>(např. v oblastech dekarbonizace, efektivních “čistých” zdrojů energie, energetické účinnosti apod.).</w:t>
      </w:r>
    </w:p>
    <w:p w14:paraId="71983FA4" w14:textId="77777777" w:rsidR="005A23DF" w:rsidRPr="00CF06CF" w:rsidRDefault="00CA09E1" w:rsidP="001E034A">
      <w:pPr>
        <w:pStyle w:val="Nadpis2"/>
      </w:pPr>
      <w:r w:rsidRPr="00CF06CF">
        <w:t>Podprogram 1 – Výzkum ve veřejném zájmu</w:t>
      </w:r>
    </w:p>
    <w:p w14:paraId="78CE6B2A" w14:textId="77777777" w:rsidR="005A23DF" w:rsidRPr="00CF06CF" w:rsidRDefault="00CA09E1" w:rsidP="001E034A">
      <w:pPr>
        <w:pStyle w:val="Nadpis3"/>
      </w:pPr>
      <w:r w:rsidRPr="00CF06CF">
        <w:t>Cíl a zaměření podprogramu 1</w:t>
      </w:r>
    </w:p>
    <w:p w14:paraId="21F21C60" w14:textId="583674F6" w:rsidR="005A23DF" w:rsidRPr="00CF06CF" w:rsidRDefault="00CA09E1" w:rsidP="00E50C5F">
      <w:pPr>
        <w:spacing w:before="120" w:after="120" w:line="360" w:lineRule="auto"/>
        <w:ind w:firstLine="284"/>
        <w:contextualSpacing/>
        <w:jc w:val="both"/>
      </w:pPr>
      <w:r w:rsidRPr="00CF06CF">
        <w:t xml:space="preserve">Cílem podprogramu je přispět k tvorbě kvalitních podkladů (analýzy, modely, hodnocení variantních scénářů atd.) pro objektivní rozhodování veřejné správy při řízení energetického sektoru (strategie, politiky, legislativa, regulatorika a cenotvorba, normotvorba či stanovení podpor). A to prostřednictvím identifikace řešení, která jsou v podmínkách ČR realizovatelná a nákladově efektivní pro plnění strategie dosažení klimatické neutrality </w:t>
      </w:r>
      <w:r w:rsidR="0083057C" w:rsidRPr="00CF06CF">
        <w:t>a současně</w:t>
      </w:r>
      <w:r w:rsidRPr="00CF06CF">
        <w:t xml:space="preserve"> zajiš</w:t>
      </w:r>
      <w:r w:rsidR="0083057C" w:rsidRPr="00CF06CF">
        <w:t>ťují</w:t>
      </w:r>
      <w:r w:rsidRPr="00CF06CF">
        <w:t xml:space="preserve"> dodáv</w:t>
      </w:r>
      <w:r w:rsidR="0083057C" w:rsidRPr="00CF06CF">
        <w:t>ky</w:t>
      </w:r>
      <w:r w:rsidRPr="00CF06CF">
        <w:t xml:space="preserve"> energií v potřebném objemu, čase a kvalitě za přijatelných vlivů na životní prostředí a za ceny podporující konkurenceschopnost ČR. Podprogram přispěje k hodnocení integrálního a systémového pohledu na transformující se energetiku včetně vyhodnocení dopadů na společnost a k pochopení motivace a chování subjektů a aktérů v energetickém sektoru se zvláštním zaměřením na preference a chování konečných spotřebitelů včetně jejich postojů, hodnot a norem.</w:t>
      </w:r>
    </w:p>
    <w:p w14:paraId="46A81DF3" w14:textId="77F22C6B" w:rsidR="005A23DF" w:rsidRPr="00CF06CF" w:rsidRDefault="00CA09E1" w:rsidP="00E50C5F">
      <w:pPr>
        <w:spacing w:before="120" w:after="120" w:line="360" w:lineRule="auto"/>
        <w:ind w:firstLine="284"/>
        <w:contextualSpacing/>
        <w:jc w:val="both"/>
      </w:pPr>
      <w:r w:rsidRPr="00CF06CF">
        <w:t>Řešená témata budou zohledňovat základní a provázané trendy v energetice, kterými jsou dekarbonizace, decentralizace, digitalizace a demokratizace, a to z pohledu veřejného zájmu. Budou rovněž akcentovat mezioborové technické oblasti, tj. interakce a propojení energetiky s ostatními sektory (dopravou, průmyslem, péčí o krajinu, hospodařením s půdou, vodou či</w:t>
      </w:r>
      <w:r w:rsidR="00F03D89" w:rsidRPr="00CF06CF">
        <w:t> </w:t>
      </w:r>
      <w:r w:rsidRPr="00CF06CF">
        <w:t>odpady, zemědělstvím či lesnictvím).</w:t>
      </w:r>
      <w:r w:rsidR="0083057C" w:rsidRPr="00CF06CF">
        <w:t xml:space="preserve"> </w:t>
      </w:r>
    </w:p>
    <w:p w14:paraId="398CDB2C" w14:textId="77777777" w:rsidR="007A5C2E" w:rsidRPr="00CF06CF" w:rsidRDefault="007A5C2E">
      <w:pPr>
        <w:rPr>
          <w:b/>
          <w:sz w:val="26"/>
          <w:szCs w:val="28"/>
        </w:rPr>
      </w:pPr>
      <w:r w:rsidRPr="00CF06CF">
        <w:br w:type="page"/>
      </w:r>
    </w:p>
    <w:p w14:paraId="3A91C3AD" w14:textId="2E59793D" w:rsidR="005A23DF" w:rsidRPr="00CF06CF" w:rsidRDefault="00CA09E1" w:rsidP="001E034A">
      <w:pPr>
        <w:pStyle w:val="Nadpis3"/>
      </w:pPr>
      <w:r w:rsidRPr="00CF06CF">
        <w:lastRenderedPageBreak/>
        <w:t>Rozpočet podprogramu 1</w:t>
      </w:r>
    </w:p>
    <w:p w14:paraId="1B7D51D9" w14:textId="76630A3A" w:rsidR="004810CB" w:rsidRPr="00CF06CF" w:rsidRDefault="00CA09E1" w:rsidP="007A5C2E">
      <w:pPr>
        <w:spacing w:before="120" w:after="120" w:line="360" w:lineRule="auto"/>
        <w:ind w:firstLine="284"/>
        <w:contextualSpacing/>
        <w:jc w:val="both"/>
      </w:pPr>
      <w:r w:rsidRPr="00CF06CF">
        <w:t xml:space="preserve">Nejvyšší povolená intenzita podpory celkově za podprogram je 90 % z celkových způsobilých nákladů projektu. </w:t>
      </w:r>
    </w:p>
    <w:p w14:paraId="508C39A5" w14:textId="77777777" w:rsidR="007A5C2E" w:rsidRPr="00CF06CF" w:rsidRDefault="007A5C2E" w:rsidP="007A5C2E">
      <w:pPr>
        <w:spacing w:before="120" w:after="120" w:line="360" w:lineRule="auto"/>
        <w:ind w:firstLine="284"/>
        <w:contextualSpacing/>
        <w:jc w:val="both"/>
        <w:rPr>
          <w:b/>
        </w:rPr>
      </w:pPr>
    </w:p>
    <w:p w14:paraId="4F77A134" w14:textId="1D63DF61" w:rsidR="005A23DF" w:rsidRPr="00CF06CF" w:rsidRDefault="00CA09E1" w:rsidP="00E54B22">
      <w:pPr>
        <w:keepLines/>
        <w:spacing w:before="120" w:after="120" w:line="240" w:lineRule="auto"/>
        <w:ind w:left="-284"/>
        <w:contextualSpacing/>
        <w:jc w:val="both"/>
      </w:pPr>
      <w:r w:rsidRPr="00CF06CF">
        <w:rPr>
          <w:b/>
        </w:rPr>
        <w:t xml:space="preserve">Tabulka č. 17.1: Rozpočet podprogramu 1 </w:t>
      </w:r>
      <w:r w:rsidR="00F03D89" w:rsidRPr="00CF06CF">
        <w:rPr>
          <w:b/>
        </w:rPr>
        <w:t>(v mil. Kč)</w:t>
      </w:r>
    </w:p>
    <w:tbl>
      <w:tblPr>
        <w:tblStyle w:val="a2"/>
        <w:tblW w:w="9490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57"/>
        <w:gridCol w:w="855"/>
        <w:gridCol w:w="855"/>
        <w:gridCol w:w="856"/>
        <w:gridCol w:w="856"/>
        <w:gridCol w:w="856"/>
        <w:gridCol w:w="856"/>
        <w:gridCol w:w="856"/>
        <w:gridCol w:w="856"/>
        <w:gridCol w:w="887"/>
      </w:tblGrid>
      <w:tr w:rsidR="005A23DF" w:rsidRPr="00CF06CF" w14:paraId="7A9DBA00" w14:textId="77777777" w:rsidTr="003F527B">
        <w:trPr>
          <w:trHeight w:val="315"/>
          <w:jc w:val="center"/>
        </w:trPr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6666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B7033A3" w14:textId="77777777" w:rsidR="005A23DF" w:rsidRPr="00CF06CF" w:rsidRDefault="005A23DF" w:rsidP="003F527B">
            <w:pPr>
              <w:widowControl w:val="0"/>
              <w:spacing w:line="240" w:lineRule="auto"/>
              <w:contextualSpacing/>
              <w:jc w:val="center"/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66666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A79D5B2" w14:textId="77777777" w:rsidR="005A23DF" w:rsidRPr="00CF06CF" w:rsidRDefault="00CA09E1" w:rsidP="003F527B">
            <w:pPr>
              <w:widowControl w:val="0"/>
              <w:spacing w:line="240" w:lineRule="auto"/>
              <w:contextualSpacing/>
              <w:jc w:val="center"/>
            </w:pPr>
            <w:r w:rsidRPr="00CF06CF">
              <w:rPr>
                <w:b/>
                <w:color w:val="FFFFFF"/>
              </w:rPr>
              <w:t>2024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66666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F07F392" w14:textId="77777777" w:rsidR="005A23DF" w:rsidRPr="00CF06CF" w:rsidRDefault="00CA09E1" w:rsidP="003F527B">
            <w:pPr>
              <w:widowControl w:val="0"/>
              <w:spacing w:line="240" w:lineRule="auto"/>
              <w:contextualSpacing/>
              <w:jc w:val="center"/>
            </w:pPr>
            <w:r w:rsidRPr="00CF06CF">
              <w:rPr>
                <w:b/>
                <w:color w:val="FFFFFF"/>
              </w:rPr>
              <w:t>2025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66666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F17DCB7" w14:textId="77777777" w:rsidR="005A23DF" w:rsidRPr="00CF06CF" w:rsidRDefault="00CA09E1" w:rsidP="003F527B">
            <w:pPr>
              <w:widowControl w:val="0"/>
              <w:spacing w:line="240" w:lineRule="auto"/>
              <w:contextualSpacing/>
              <w:jc w:val="center"/>
            </w:pPr>
            <w:r w:rsidRPr="00CF06CF">
              <w:rPr>
                <w:b/>
                <w:color w:val="FFFFFF"/>
              </w:rPr>
              <w:t>2026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66666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17B268F" w14:textId="77777777" w:rsidR="005A23DF" w:rsidRPr="00CF06CF" w:rsidRDefault="00CA09E1" w:rsidP="003F527B">
            <w:pPr>
              <w:widowControl w:val="0"/>
              <w:spacing w:line="240" w:lineRule="auto"/>
              <w:contextualSpacing/>
              <w:jc w:val="center"/>
            </w:pPr>
            <w:r w:rsidRPr="00CF06CF">
              <w:rPr>
                <w:b/>
                <w:color w:val="FFFFFF"/>
              </w:rPr>
              <w:t>2027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66666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C82F9C4" w14:textId="77777777" w:rsidR="005A23DF" w:rsidRPr="00CF06CF" w:rsidRDefault="00CA09E1" w:rsidP="003F527B">
            <w:pPr>
              <w:widowControl w:val="0"/>
              <w:spacing w:line="240" w:lineRule="auto"/>
              <w:contextualSpacing/>
              <w:jc w:val="center"/>
            </w:pPr>
            <w:r w:rsidRPr="00CF06CF">
              <w:rPr>
                <w:b/>
                <w:color w:val="FFFFFF"/>
              </w:rPr>
              <w:t>2028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66666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7B4A86D" w14:textId="77777777" w:rsidR="005A23DF" w:rsidRPr="00CF06CF" w:rsidRDefault="00CA09E1" w:rsidP="003F527B">
            <w:pPr>
              <w:widowControl w:val="0"/>
              <w:spacing w:line="240" w:lineRule="auto"/>
              <w:contextualSpacing/>
              <w:jc w:val="center"/>
            </w:pPr>
            <w:r w:rsidRPr="00CF06CF">
              <w:rPr>
                <w:b/>
                <w:color w:val="FFFFFF"/>
              </w:rPr>
              <w:t>2029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66666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8AE175E" w14:textId="77777777" w:rsidR="005A23DF" w:rsidRPr="00CF06CF" w:rsidRDefault="00CA09E1" w:rsidP="003F527B">
            <w:pPr>
              <w:widowControl w:val="0"/>
              <w:spacing w:line="240" w:lineRule="auto"/>
              <w:contextualSpacing/>
              <w:jc w:val="center"/>
            </w:pPr>
            <w:r w:rsidRPr="00CF06CF">
              <w:rPr>
                <w:b/>
                <w:color w:val="FFFFFF"/>
              </w:rPr>
              <w:t>2030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66666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9C34CB7" w14:textId="77777777" w:rsidR="005A23DF" w:rsidRPr="00CF06CF" w:rsidRDefault="00CA09E1" w:rsidP="003F527B">
            <w:pPr>
              <w:widowControl w:val="0"/>
              <w:spacing w:line="240" w:lineRule="auto"/>
              <w:contextualSpacing/>
              <w:jc w:val="center"/>
            </w:pPr>
            <w:r w:rsidRPr="00CF06CF">
              <w:rPr>
                <w:b/>
                <w:color w:val="FFFFFF"/>
              </w:rPr>
              <w:t>2031</w:t>
            </w: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66666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462BA9C" w14:textId="77777777" w:rsidR="005A23DF" w:rsidRPr="00CF06CF" w:rsidRDefault="00CA09E1" w:rsidP="003F527B">
            <w:pPr>
              <w:widowControl w:val="0"/>
              <w:spacing w:line="240" w:lineRule="auto"/>
              <w:contextualSpacing/>
              <w:jc w:val="center"/>
            </w:pPr>
            <w:r w:rsidRPr="00CF06CF">
              <w:rPr>
                <w:b/>
                <w:color w:val="FFFFFF"/>
              </w:rPr>
              <w:t>Celkem</w:t>
            </w:r>
          </w:p>
        </w:tc>
      </w:tr>
      <w:tr w:rsidR="005A23DF" w:rsidRPr="00CF06CF" w14:paraId="00D98266" w14:textId="77777777" w:rsidTr="003F527B">
        <w:trPr>
          <w:trHeight w:val="315"/>
          <w:jc w:val="center"/>
        </w:trPr>
        <w:tc>
          <w:tcPr>
            <w:tcW w:w="175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FF58F35" w14:textId="77777777" w:rsidR="005A23DF" w:rsidRPr="00CF06CF" w:rsidRDefault="00CA09E1" w:rsidP="003F527B">
            <w:pPr>
              <w:widowControl w:val="0"/>
              <w:spacing w:line="240" w:lineRule="auto"/>
              <w:ind w:left="113"/>
              <w:contextualSpacing/>
            </w:pPr>
            <w:r w:rsidRPr="00CF06CF">
              <w:t>Celkem</w:t>
            </w:r>
          </w:p>
        </w:tc>
        <w:tc>
          <w:tcPr>
            <w:tcW w:w="8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A83ABCF" w14:textId="35093BC2" w:rsidR="005A23DF" w:rsidRPr="00CF06CF" w:rsidRDefault="0065507D" w:rsidP="00F03D89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7</w:t>
            </w:r>
            <w:r w:rsidR="00CA09E1" w:rsidRPr="00CF06CF">
              <w:t>9,0</w:t>
            </w:r>
          </w:p>
        </w:tc>
        <w:tc>
          <w:tcPr>
            <w:tcW w:w="8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8630FF3" w14:textId="5231F793" w:rsidR="005A23DF" w:rsidRPr="00CF06CF" w:rsidRDefault="0065507D" w:rsidP="00F03D89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133,1</w:t>
            </w:r>
          </w:p>
        </w:tc>
        <w:tc>
          <w:tcPr>
            <w:tcW w:w="85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B679865" w14:textId="29330F12" w:rsidR="005A23DF" w:rsidRPr="00CF06CF" w:rsidRDefault="0065507D" w:rsidP="00F03D89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165,2</w:t>
            </w:r>
          </w:p>
        </w:tc>
        <w:tc>
          <w:tcPr>
            <w:tcW w:w="85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04E4098" w14:textId="1C0CFD54" w:rsidR="005A23DF" w:rsidRPr="00CF06CF" w:rsidRDefault="0065507D" w:rsidP="00F03D89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165,2</w:t>
            </w:r>
          </w:p>
        </w:tc>
        <w:tc>
          <w:tcPr>
            <w:tcW w:w="85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510E242" w14:textId="15D4D932" w:rsidR="005A23DF" w:rsidRPr="00CF06CF" w:rsidRDefault="0065507D" w:rsidP="00F03D89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165,2</w:t>
            </w:r>
          </w:p>
        </w:tc>
        <w:tc>
          <w:tcPr>
            <w:tcW w:w="85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3C4CC0E" w14:textId="227317F7" w:rsidR="005A23DF" w:rsidRPr="00CF06CF" w:rsidRDefault="0065507D" w:rsidP="00F03D89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165,2</w:t>
            </w:r>
          </w:p>
        </w:tc>
        <w:tc>
          <w:tcPr>
            <w:tcW w:w="85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FD4F2E7" w14:textId="32E77B00" w:rsidR="005A23DF" w:rsidRPr="00CF06CF" w:rsidRDefault="0065507D" w:rsidP="00F03D89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131,7</w:t>
            </w:r>
          </w:p>
        </w:tc>
        <w:tc>
          <w:tcPr>
            <w:tcW w:w="85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7775C23" w14:textId="75D3BD5B" w:rsidR="005A23DF" w:rsidRPr="00CF06CF" w:rsidRDefault="0065507D" w:rsidP="00F03D89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7</w:t>
            </w:r>
            <w:r w:rsidR="00CA09E1" w:rsidRPr="00CF06CF">
              <w:t>9,0</w:t>
            </w:r>
          </w:p>
        </w:tc>
        <w:tc>
          <w:tcPr>
            <w:tcW w:w="8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9168AD9" w14:textId="76F185C7" w:rsidR="005A23DF" w:rsidRPr="00CF06CF" w:rsidRDefault="0065507D" w:rsidP="00F03D89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1 083,6</w:t>
            </w:r>
          </w:p>
        </w:tc>
      </w:tr>
      <w:tr w:rsidR="005A23DF" w:rsidRPr="00CF06CF" w14:paraId="4C8E61D7" w14:textId="77777777" w:rsidTr="003F527B">
        <w:trPr>
          <w:trHeight w:val="315"/>
          <w:jc w:val="center"/>
        </w:trPr>
        <w:tc>
          <w:tcPr>
            <w:tcW w:w="175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36C352F" w14:textId="77777777" w:rsidR="005A23DF" w:rsidRPr="00CF06CF" w:rsidRDefault="00CA09E1" w:rsidP="003F527B">
            <w:pPr>
              <w:widowControl w:val="0"/>
              <w:spacing w:line="240" w:lineRule="auto"/>
              <w:ind w:left="113"/>
              <w:contextualSpacing/>
            </w:pPr>
            <w:r w:rsidRPr="00CF06CF">
              <w:t>Podpora ze SR</w:t>
            </w:r>
          </w:p>
        </w:tc>
        <w:tc>
          <w:tcPr>
            <w:tcW w:w="8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9411368" w14:textId="35258DC5" w:rsidR="005A23DF" w:rsidRPr="00CF06CF" w:rsidRDefault="0065507D" w:rsidP="00F03D89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71,1</w:t>
            </w:r>
          </w:p>
        </w:tc>
        <w:tc>
          <w:tcPr>
            <w:tcW w:w="8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0925F20" w14:textId="27A3A2F6" w:rsidR="005A23DF" w:rsidRPr="00CF06CF" w:rsidRDefault="0065507D" w:rsidP="00F03D89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119,8</w:t>
            </w:r>
          </w:p>
        </w:tc>
        <w:tc>
          <w:tcPr>
            <w:tcW w:w="85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A5824CA" w14:textId="733AC0F2" w:rsidR="005A23DF" w:rsidRPr="00CF06CF" w:rsidRDefault="0065507D" w:rsidP="00F03D89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148,7</w:t>
            </w:r>
          </w:p>
        </w:tc>
        <w:tc>
          <w:tcPr>
            <w:tcW w:w="85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288553E" w14:textId="750B6421" w:rsidR="005A23DF" w:rsidRPr="00CF06CF" w:rsidRDefault="0065507D" w:rsidP="00F03D89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148,7</w:t>
            </w:r>
          </w:p>
        </w:tc>
        <w:tc>
          <w:tcPr>
            <w:tcW w:w="85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33AE8BD" w14:textId="05A97335" w:rsidR="005A23DF" w:rsidRPr="00CF06CF" w:rsidRDefault="0065507D" w:rsidP="00F03D89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148,7</w:t>
            </w:r>
          </w:p>
        </w:tc>
        <w:tc>
          <w:tcPr>
            <w:tcW w:w="85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5FF83DC" w14:textId="5D7F393F" w:rsidR="005A23DF" w:rsidRPr="00CF06CF" w:rsidRDefault="0065507D" w:rsidP="00F03D89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148,7</w:t>
            </w:r>
          </w:p>
        </w:tc>
        <w:tc>
          <w:tcPr>
            <w:tcW w:w="85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67269AA" w14:textId="15F7FAB4" w:rsidR="005A23DF" w:rsidRPr="00CF06CF" w:rsidRDefault="0065507D" w:rsidP="00F03D89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118,5</w:t>
            </w:r>
          </w:p>
        </w:tc>
        <w:tc>
          <w:tcPr>
            <w:tcW w:w="85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E4C50F6" w14:textId="4495CE43" w:rsidR="005A23DF" w:rsidRPr="00CF06CF" w:rsidRDefault="0065507D" w:rsidP="00F03D89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71,1</w:t>
            </w:r>
          </w:p>
        </w:tc>
        <w:tc>
          <w:tcPr>
            <w:tcW w:w="8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0CABBAC" w14:textId="7DE03808" w:rsidR="005A23DF" w:rsidRPr="00CF06CF" w:rsidRDefault="0065507D" w:rsidP="00F03D89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975,3</w:t>
            </w:r>
          </w:p>
        </w:tc>
      </w:tr>
      <w:tr w:rsidR="005A23DF" w:rsidRPr="00CF06CF" w14:paraId="4420D3A3" w14:textId="77777777" w:rsidTr="003F527B">
        <w:trPr>
          <w:trHeight w:val="315"/>
          <w:jc w:val="center"/>
        </w:trPr>
        <w:tc>
          <w:tcPr>
            <w:tcW w:w="175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D4C6354" w14:textId="77777777" w:rsidR="005A23DF" w:rsidRPr="00CF06CF" w:rsidRDefault="00CA09E1" w:rsidP="003F527B">
            <w:pPr>
              <w:widowControl w:val="0"/>
              <w:spacing w:line="240" w:lineRule="auto"/>
              <w:ind w:left="113"/>
              <w:contextualSpacing/>
            </w:pPr>
            <w:r w:rsidRPr="00CF06CF">
              <w:t>Ostatní zdroje</w:t>
            </w:r>
          </w:p>
        </w:tc>
        <w:tc>
          <w:tcPr>
            <w:tcW w:w="8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68B4869" w14:textId="3112C437" w:rsidR="005A23DF" w:rsidRPr="00CF06CF" w:rsidRDefault="0065507D" w:rsidP="00F03D89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7</w:t>
            </w:r>
            <w:r w:rsidR="00CA09E1" w:rsidRPr="00CF06CF">
              <w:t>,9</w:t>
            </w:r>
          </w:p>
        </w:tc>
        <w:tc>
          <w:tcPr>
            <w:tcW w:w="8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865B524" w14:textId="2A3730B8" w:rsidR="005A23DF" w:rsidRPr="00CF06CF" w:rsidRDefault="0065507D" w:rsidP="00F03D89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13,3</w:t>
            </w:r>
          </w:p>
        </w:tc>
        <w:tc>
          <w:tcPr>
            <w:tcW w:w="85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0E30D7B" w14:textId="2EA409FC" w:rsidR="005A23DF" w:rsidRPr="00CF06CF" w:rsidRDefault="0065507D" w:rsidP="00F03D89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16,5</w:t>
            </w:r>
          </w:p>
        </w:tc>
        <w:tc>
          <w:tcPr>
            <w:tcW w:w="85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188F4A3" w14:textId="589E4EE8" w:rsidR="005A23DF" w:rsidRPr="00CF06CF" w:rsidRDefault="0065507D" w:rsidP="00F03D89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16,5</w:t>
            </w:r>
          </w:p>
        </w:tc>
        <w:tc>
          <w:tcPr>
            <w:tcW w:w="85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E1DD999" w14:textId="34B883A8" w:rsidR="005A23DF" w:rsidRPr="00CF06CF" w:rsidRDefault="0065507D" w:rsidP="00F03D89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16,5</w:t>
            </w:r>
          </w:p>
        </w:tc>
        <w:tc>
          <w:tcPr>
            <w:tcW w:w="85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A3187E5" w14:textId="75789CB3" w:rsidR="005A23DF" w:rsidRPr="00CF06CF" w:rsidRDefault="0065507D" w:rsidP="00F03D89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16,5</w:t>
            </w:r>
          </w:p>
        </w:tc>
        <w:tc>
          <w:tcPr>
            <w:tcW w:w="85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9371057" w14:textId="73C4FCC6" w:rsidR="005A23DF" w:rsidRPr="00CF06CF" w:rsidRDefault="0065507D" w:rsidP="00F03D89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13,2</w:t>
            </w:r>
          </w:p>
        </w:tc>
        <w:tc>
          <w:tcPr>
            <w:tcW w:w="85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07AC3A1" w14:textId="24A85AEE" w:rsidR="005A23DF" w:rsidRPr="00CF06CF" w:rsidRDefault="0065507D" w:rsidP="00F03D89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7</w:t>
            </w:r>
            <w:r w:rsidR="00CA09E1" w:rsidRPr="00CF06CF">
              <w:t>,9</w:t>
            </w:r>
          </w:p>
        </w:tc>
        <w:tc>
          <w:tcPr>
            <w:tcW w:w="8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0AFD23B" w14:textId="0B16427D" w:rsidR="005A23DF" w:rsidRPr="00CF06CF" w:rsidRDefault="0065507D" w:rsidP="00F03D89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108,3</w:t>
            </w:r>
          </w:p>
        </w:tc>
      </w:tr>
    </w:tbl>
    <w:p w14:paraId="28B59CC5" w14:textId="31B9C1DB" w:rsidR="00F03D89" w:rsidRPr="00CF06CF" w:rsidRDefault="00F03D89">
      <w:pPr>
        <w:rPr>
          <w:b/>
          <w:sz w:val="28"/>
          <w:szCs w:val="32"/>
        </w:rPr>
      </w:pPr>
    </w:p>
    <w:p w14:paraId="3A63E284" w14:textId="3350400A" w:rsidR="005A23DF" w:rsidRPr="00CF06CF" w:rsidRDefault="00CA09E1" w:rsidP="001E034A">
      <w:pPr>
        <w:pStyle w:val="Nadpis2"/>
      </w:pPr>
      <w:r w:rsidRPr="00CF06CF">
        <w:t xml:space="preserve">Podprogram 2 – Energetické technologie pro konkurenceschopnost </w:t>
      </w:r>
    </w:p>
    <w:p w14:paraId="24F5B4AD" w14:textId="77777777" w:rsidR="005A23DF" w:rsidRPr="00CF06CF" w:rsidRDefault="00CA09E1" w:rsidP="001E034A">
      <w:pPr>
        <w:pStyle w:val="Nadpis3"/>
      </w:pPr>
      <w:r w:rsidRPr="00CF06CF">
        <w:t>Cíl a zaměření podprogramu 2</w:t>
      </w:r>
    </w:p>
    <w:p w14:paraId="012118B5" w14:textId="31199511" w:rsidR="005A23DF" w:rsidRPr="00CF06CF" w:rsidRDefault="00CA09E1" w:rsidP="00E50C5F">
      <w:pPr>
        <w:spacing w:before="120" w:after="120" w:line="360" w:lineRule="auto"/>
        <w:ind w:firstLine="284"/>
        <w:contextualSpacing/>
        <w:jc w:val="both"/>
      </w:pPr>
      <w:r w:rsidRPr="00CF06CF">
        <w:t>Projekty v podprogramu 2 přispějí k přípravě technologií a řešení s rychlým uplatněním v</w:t>
      </w:r>
      <w:r w:rsidR="00F03D89" w:rsidRPr="00CF06CF">
        <w:t> </w:t>
      </w:r>
      <w:r w:rsidRPr="00CF06CF">
        <w:t>praxi a podpoří tak konkurenceschopnost inovační sféry, výrobních a dodavatelských firem působících v ČR, včetně zvýšení jejich exportního potenciálu skrze výrobky a výrobní postupy s vysokou přidanou hodnotou a jejich zapojení do mezinárodních hodnotových řetězců. Podpořené technologie a technologická řešení by měla přispívat k plnění klimaticko-energetických a environmentálních cílů ČR, především v krátkodobém a střednědobém horizontu, ale v tomto ohledu se jedná spíše o druhotný cíl tohoto podprogramu.</w:t>
      </w:r>
    </w:p>
    <w:p w14:paraId="1CAFBB4E" w14:textId="549B4DB8" w:rsidR="005A23DF" w:rsidRPr="00CF06CF" w:rsidRDefault="00CA09E1" w:rsidP="004F4F08">
      <w:pPr>
        <w:spacing w:before="120" w:after="120" w:line="360" w:lineRule="auto"/>
        <w:contextualSpacing/>
        <w:jc w:val="both"/>
      </w:pPr>
      <w:r w:rsidRPr="00CF06CF">
        <w:t>Podpora se bude soustředit jak do nových oblastí (kde se pak předpokládá vznik start-upů či</w:t>
      </w:r>
      <w:r w:rsidR="00F03D89" w:rsidRPr="00CF06CF">
        <w:t> </w:t>
      </w:r>
      <w:r w:rsidRPr="00CF06CF">
        <w:t>rozšíření produktové řady firem o vysoce inovativní produkty a služby), tak do oblastí tradičních, v nichž je výzkum a vývoj v ČR již na evropské a světové úrovni nebo může významně využívat konkurenční výhody (tradice, know-how, geografické podmínky, existence infrastruktury, silné postavení na mezinárodním trhu apod.).</w:t>
      </w:r>
    </w:p>
    <w:p w14:paraId="5D889BC8" w14:textId="77777777" w:rsidR="005A23DF" w:rsidRPr="00CF06CF" w:rsidRDefault="00CA09E1" w:rsidP="001E034A">
      <w:pPr>
        <w:pStyle w:val="Nadpis3"/>
      </w:pPr>
      <w:r w:rsidRPr="00CF06CF">
        <w:t>Rozpočet podprogramu 2</w:t>
      </w:r>
    </w:p>
    <w:p w14:paraId="5CCD1D73" w14:textId="650165E8" w:rsidR="005A23DF" w:rsidRPr="00CF06CF" w:rsidRDefault="00CA09E1" w:rsidP="00E50C5F">
      <w:pPr>
        <w:keepLines/>
        <w:spacing w:before="120" w:after="120" w:line="360" w:lineRule="auto"/>
        <w:ind w:firstLine="284"/>
        <w:contextualSpacing/>
        <w:jc w:val="both"/>
      </w:pPr>
      <w:r w:rsidRPr="00CF06CF">
        <w:t>Nejvyšší povolená intenzita podpory u podprogramu 2 je 60 % z celkových způsobilých nákladů projektu.</w:t>
      </w:r>
    </w:p>
    <w:p w14:paraId="01AF5BDD" w14:textId="77777777" w:rsidR="00F03D89" w:rsidRPr="00CF06CF" w:rsidRDefault="00F03D89" w:rsidP="00E50C5F">
      <w:pPr>
        <w:keepLines/>
        <w:spacing w:before="120" w:after="120" w:line="360" w:lineRule="auto"/>
        <w:ind w:firstLine="284"/>
        <w:contextualSpacing/>
        <w:jc w:val="both"/>
      </w:pPr>
    </w:p>
    <w:p w14:paraId="43EF9DCB" w14:textId="0B64387D" w:rsidR="005A23DF" w:rsidRPr="00CF06CF" w:rsidRDefault="00CA09E1" w:rsidP="0065507D">
      <w:pPr>
        <w:keepLines/>
        <w:spacing w:before="120" w:after="120" w:line="240" w:lineRule="auto"/>
        <w:ind w:left="-567"/>
        <w:contextualSpacing/>
        <w:jc w:val="both"/>
      </w:pPr>
      <w:r w:rsidRPr="00CF06CF">
        <w:rPr>
          <w:b/>
        </w:rPr>
        <w:t xml:space="preserve">Tabulka č. 17.2: Rozpočet podprogramu 2 </w:t>
      </w:r>
      <w:r w:rsidR="00F03D89" w:rsidRPr="00CF06CF">
        <w:rPr>
          <w:b/>
        </w:rPr>
        <w:t>(v mil. Kč)</w:t>
      </w:r>
    </w:p>
    <w:tbl>
      <w:tblPr>
        <w:tblStyle w:val="a3"/>
        <w:tblW w:w="10088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010"/>
        <w:gridCol w:w="876"/>
        <w:gridCol w:w="877"/>
        <w:gridCol w:w="877"/>
        <w:gridCol w:w="877"/>
        <w:gridCol w:w="877"/>
        <w:gridCol w:w="877"/>
        <w:gridCol w:w="877"/>
        <w:gridCol w:w="877"/>
        <w:gridCol w:w="1063"/>
      </w:tblGrid>
      <w:tr w:rsidR="005A23DF" w:rsidRPr="00CF06CF" w14:paraId="604F5BB2" w14:textId="77777777" w:rsidTr="0065507D">
        <w:trPr>
          <w:trHeight w:val="340"/>
          <w:jc w:val="center"/>
        </w:trPr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6666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A85467E" w14:textId="77777777" w:rsidR="005A23DF" w:rsidRPr="00CF06CF" w:rsidRDefault="005A23DF" w:rsidP="003F527B">
            <w:pPr>
              <w:widowControl w:val="0"/>
              <w:spacing w:line="240" w:lineRule="auto"/>
              <w:contextualSpacing/>
              <w:jc w:val="center"/>
            </w:pP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66666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5EE3022" w14:textId="77777777" w:rsidR="005A23DF" w:rsidRPr="00CF06CF" w:rsidRDefault="00CA09E1" w:rsidP="003F527B">
            <w:pPr>
              <w:widowControl w:val="0"/>
              <w:spacing w:line="240" w:lineRule="auto"/>
              <w:contextualSpacing/>
              <w:jc w:val="center"/>
            </w:pPr>
            <w:r w:rsidRPr="00CF06CF">
              <w:rPr>
                <w:b/>
                <w:color w:val="FFFFFF"/>
              </w:rPr>
              <w:t>2024</w:t>
            </w: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66666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DB95274" w14:textId="77777777" w:rsidR="005A23DF" w:rsidRPr="00CF06CF" w:rsidRDefault="00CA09E1" w:rsidP="003F527B">
            <w:pPr>
              <w:widowControl w:val="0"/>
              <w:spacing w:line="240" w:lineRule="auto"/>
              <w:contextualSpacing/>
              <w:jc w:val="center"/>
            </w:pPr>
            <w:r w:rsidRPr="00CF06CF">
              <w:rPr>
                <w:b/>
                <w:color w:val="FFFFFF"/>
              </w:rPr>
              <w:t>2025</w:t>
            </w: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66666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99D1EA2" w14:textId="77777777" w:rsidR="005A23DF" w:rsidRPr="00CF06CF" w:rsidRDefault="00CA09E1" w:rsidP="003F527B">
            <w:pPr>
              <w:widowControl w:val="0"/>
              <w:spacing w:line="240" w:lineRule="auto"/>
              <w:contextualSpacing/>
              <w:jc w:val="center"/>
            </w:pPr>
            <w:r w:rsidRPr="00CF06CF">
              <w:rPr>
                <w:b/>
                <w:color w:val="FFFFFF"/>
              </w:rPr>
              <w:t>2026</w:t>
            </w: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66666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BACF550" w14:textId="77777777" w:rsidR="005A23DF" w:rsidRPr="00CF06CF" w:rsidRDefault="00CA09E1" w:rsidP="003F527B">
            <w:pPr>
              <w:widowControl w:val="0"/>
              <w:spacing w:line="240" w:lineRule="auto"/>
              <w:contextualSpacing/>
              <w:jc w:val="center"/>
            </w:pPr>
            <w:r w:rsidRPr="00CF06CF">
              <w:rPr>
                <w:b/>
                <w:color w:val="FFFFFF"/>
              </w:rPr>
              <w:t>2027</w:t>
            </w: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66666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54BA3FB" w14:textId="77777777" w:rsidR="005A23DF" w:rsidRPr="00CF06CF" w:rsidRDefault="00CA09E1" w:rsidP="003F527B">
            <w:pPr>
              <w:widowControl w:val="0"/>
              <w:spacing w:line="240" w:lineRule="auto"/>
              <w:contextualSpacing/>
              <w:jc w:val="center"/>
            </w:pPr>
            <w:r w:rsidRPr="00CF06CF">
              <w:rPr>
                <w:b/>
                <w:color w:val="FFFFFF"/>
              </w:rPr>
              <w:t>2028</w:t>
            </w: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66666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1DE8436" w14:textId="77777777" w:rsidR="005A23DF" w:rsidRPr="00CF06CF" w:rsidRDefault="00CA09E1" w:rsidP="003F527B">
            <w:pPr>
              <w:widowControl w:val="0"/>
              <w:spacing w:line="240" w:lineRule="auto"/>
              <w:contextualSpacing/>
              <w:jc w:val="center"/>
            </w:pPr>
            <w:r w:rsidRPr="00CF06CF">
              <w:rPr>
                <w:b/>
                <w:color w:val="FFFFFF"/>
              </w:rPr>
              <w:t>2029</w:t>
            </w: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66666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082F605" w14:textId="77777777" w:rsidR="005A23DF" w:rsidRPr="00CF06CF" w:rsidRDefault="00CA09E1" w:rsidP="003F527B">
            <w:pPr>
              <w:widowControl w:val="0"/>
              <w:spacing w:line="240" w:lineRule="auto"/>
              <w:contextualSpacing/>
              <w:jc w:val="center"/>
            </w:pPr>
            <w:r w:rsidRPr="00CF06CF">
              <w:rPr>
                <w:b/>
                <w:color w:val="FFFFFF"/>
              </w:rPr>
              <w:t>2030</w:t>
            </w: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66666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B24CE99" w14:textId="77777777" w:rsidR="005A23DF" w:rsidRPr="00CF06CF" w:rsidRDefault="00CA09E1" w:rsidP="003F527B">
            <w:pPr>
              <w:widowControl w:val="0"/>
              <w:spacing w:line="240" w:lineRule="auto"/>
              <w:contextualSpacing/>
              <w:jc w:val="center"/>
            </w:pPr>
            <w:r w:rsidRPr="00CF06CF">
              <w:rPr>
                <w:b/>
                <w:color w:val="FFFFFF"/>
              </w:rPr>
              <w:t>2031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66666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E168093" w14:textId="77777777" w:rsidR="005A23DF" w:rsidRPr="00CF06CF" w:rsidRDefault="00CA09E1" w:rsidP="003F527B">
            <w:pPr>
              <w:widowControl w:val="0"/>
              <w:spacing w:line="240" w:lineRule="auto"/>
              <w:contextualSpacing/>
              <w:jc w:val="center"/>
            </w:pPr>
            <w:r w:rsidRPr="00CF06CF">
              <w:rPr>
                <w:b/>
                <w:color w:val="FFFFFF"/>
              </w:rPr>
              <w:t>Celkem</w:t>
            </w:r>
          </w:p>
        </w:tc>
      </w:tr>
      <w:tr w:rsidR="005A23DF" w:rsidRPr="00CF06CF" w14:paraId="6846F3C1" w14:textId="77777777" w:rsidTr="0065507D">
        <w:trPr>
          <w:trHeight w:val="340"/>
          <w:jc w:val="center"/>
        </w:trPr>
        <w:tc>
          <w:tcPr>
            <w:tcW w:w="20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F7DA2C4" w14:textId="77777777" w:rsidR="005A23DF" w:rsidRPr="00CF06CF" w:rsidRDefault="00CA09E1" w:rsidP="003F527B">
            <w:pPr>
              <w:widowControl w:val="0"/>
              <w:spacing w:line="240" w:lineRule="auto"/>
              <w:ind w:left="113"/>
              <w:contextualSpacing/>
            </w:pPr>
            <w:r w:rsidRPr="00CF06CF">
              <w:t>Celkem</w:t>
            </w:r>
          </w:p>
        </w:tc>
        <w:tc>
          <w:tcPr>
            <w:tcW w:w="8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1DA10A4" w14:textId="36DF6D09" w:rsidR="005A23DF" w:rsidRPr="00CF06CF" w:rsidRDefault="0065507D" w:rsidP="003F527B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487,5</w:t>
            </w:r>
          </w:p>
        </w:tc>
        <w:tc>
          <w:tcPr>
            <w:tcW w:w="87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5BD62CE" w14:textId="6980B8B9" w:rsidR="005A23DF" w:rsidRPr="00CF06CF" w:rsidRDefault="0065507D" w:rsidP="003F527B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821,7</w:t>
            </w:r>
          </w:p>
        </w:tc>
        <w:tc>
          <w:tcPr>
            <w:tcW w:w="87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D846328" w14:textId="43B46068" w:rsidR="005A23DF" w:rsidRPr="00CF06CF" w:rsidRDefault="0065507D" w:rsidP="003F527B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1 020,2</w:t>
            </w:r>
          </w:p>
        </w:tc>
        <w:tc>
          <w:tcPr>
            <w:tcW w:w="87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ADCEC12" w14:textId="49BBB259" w:rsidR="005A23DF" w:rsidRPr="00CF06CF" w:rsidRDefault="0065507D" w:rsidP="003F527B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1 020,2</w:t>
            </w:r>
          </w:p>
        </w:tc>
        <w:tc>
          <w:tcPr>
            <w:tcW w:w="87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8592FA7" w14:textId="1DDE3760" w:rsidR="005A23DF" w:rsidRPr="00CF06CF" w:rsidRDefault="0065507D" w:rsidP="003F527B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1 020,2</w:t>
            </w:r>
          </w:p>
        </w:tc>
        <w:tc>
          <w:tcPr>
            <w:tcW w:w="87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085ED97" w14:textId="04C7F5AE" w:rsidR="005A23DF" w:rsidRPr="00CF06CF" w:rsidRDefault="0065507D" w:rsidP="003F527B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1 020,2</w:t>
            </w:r>
          </w:p>
        </w:tc>
        <w:tc>
          <w:tcPr>
            <w:tcW w:w="87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CF87E1D" w14:textId="7BECF644" w:rsidR="005A23DF" w:rsidRPr="00CF06CF" w:rsidRDefault="0065507D" w:rsidP="003F527B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812,5</w:t>
            </w:r>
          </w:p>
        </w:tc>
        <w:tc>
          <w:tcPr>
            <w:tcW w:w="87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40B0A94" w14:textId="7A71F048" w:rsidR="005A23DF" w:rsidRPr="00CF06CF" w:rsidRDefault="0065507D" w:rsidP="003F527B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487,5</w:t>
            </w:r>
          </w:p>
        </w:tc>
        <w:tc>
          <w:tcPr>
            <w:tcW w:w="106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6A1CD1E" w14:textId="36AA0E70" w:rsidR="005A23DF" w:rsidRPr="00CF06CF" w:rsidRDefault="00CA09E1" w:rsidP="003F527B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 xml:space="preserve">6 </w:t>
            </w:r>
            <w:r w:rsidR="0065507D" w:rsidRPr="00CF06CF">
              <w:t>690</w:t>
            </w:r>
            <w:r w:rsidRPr="00CF06CF">
              <w:t>,0</w:t>
            </w:r>
          </w:p>
        </w:tc>
      </w:tr>
      <w:tr w:rsidR="005A23DF" w:rsidRPr="00CF06CF" w14:paraId="3A8610B5" w14:textId="77777777" w:rsidTr="0065507D">
        <w:trPr>
          <w:trHeight w:val="340"/>
          <w:jc w:val="center"/>
        </w:trPr>
        <w:tc>
          <w:tcPr>
            <w:tcW w:w="20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502169F" w14:textId="77777777" w:rsidR="005A23DF" w:rsidRPr="00CF06CF" w:rsidRDefault="00CA09E1" w:rsidP="003F527B">
            <w:pPr>
              <w:widowControl w:val="0"/>
              <w:spacing w:line="240" w:lineRule="auto"/>
              <w:ind w:left="113"/>
              <w:contextualSpacing/>
            </w:pPr>
            <w:r w:rsidRPr="00CF06CF">
              <w:t>Podpora ze SR</w:t>
            </w:r>
          </w:p>
        </w:tc>
        <w:tc>
          <w:tcPr>
            <w:tcW w:w="8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C2A8DA1" w14:textId="58E21CC4" w:rsidR="005A23DF" w:rsidRPr="00CF06CF" w:rsidRDefault="0065507D" w:rsidP="003F527B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292,5</w:t>
            </w:r>
          </w:p>
        </w:tc>
        <w:tc>
          <w:tcPr>
            <w:tcW w:w="87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7883859" w14:textId="6D6F5C82" w:rsidR="005A23DF" w:rsidRPr="00CF06CF" w:rsidRDefault="0065507D" w:rsidP="003F527B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493,0</w:t>
            </w:r>
          </w:p>
        </w:tc>
        <w:tc>
          <w:tcPr>
            <w:tcW w:w="87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FE68686" w14:textId="6CE86CC2" w:rsidR="005A23DF" w:rsidRPr="00CF06CF" w:rsidRDefault="0065507D" w:rsidP="003F527B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612,1</w:t>
            </w:r>
          </w:p>
        </w:tc>
        <w:tc>
          <w:tcPr>
            <w:tcW w:w="87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9C39480" w14:textId="4AE9DDBD" w:rsidR="005A23DF" w:rsidRPr="00CF06CF" w:rsidRDefault="0065507D" w:rsidP="003F527B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612,1</w:t>
            </w:r>
          </w:p>
        </w:tc>
        <w:tc>
          <w:tcPr>
            <w:tcW w:w="87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F24D9D4" w14:textId="71A3E9D5" w:rsidR="005A23DF" w:rsidRPr="00CF06CF" w:rsidRDefault="0065507D" w:rsidP="003F527B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612,1</w:t>
            </w:r>
          </w:p>
        </w:tc>
        <w:tc>
          <w:tcPr>
            <w:tcW w:w="87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3C56001" w14:textId="3A1E89AA" w:rsidR="005A23DF" w:rsidRPr="00CF06CF" w:rsidRDefault="0065507D" w:rsidP="003F527B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612,1</w:t>
            </w:r>
          </w:p>
        </w:tc>
        <w:tc>
          <w:tcPr>
            <w:tcW w:w="87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600AC80" w14:textId="5392D08A" w:rsidR="005A23DF" w:rsidRPr="00CF06CF" w:rsidRDefault="00CA09E1" w:rsidP="003F527B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4</w:t>
            </w:r>
            <w:r w:rsidR="003F2D91" w:rsidRPr="00CF06CF">
              <w:t>87,5</w:t>
            </w:r>
          </w:p>
        </w:tc>
        <w:tc>
          <w:tcPr>
            <w:tcW w:w="87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2E695CD" w14:textId="1E82AB4B" w:rsidR="005A23DF" w:rsidRPr="00CF06CF" w:rsidRDefault="003F2D91" w:rsidP="003F527B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292,5</w:t>
            </w:r>
          </w:p>
        </w:tc>
        <w:tc>
          <w:tcPr>
            <w:tcW w:w="106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30D9126" w14:textId="263E829A" w:rsidR="005A23DF" w:rsidRPr="00CF06CF" w:rsidRDefault="003F2D91" w:rsidP="003F527B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4 013,9</w:t>
            </w:r>
          </w:p>
        </w:tc>
      </w:tr>
      <w:tr w:rsidR="005A23DF" w:rsidRPr="00CF06CF" w14:paraId="4F8B9A1F" w14:textId="77777777" w:rsidTr="0065507D">
        <w:trPr>
          <w:trHeight w:val="340"/>
          <w:jc w:val="center"/>
        </w:trPr>
        <w:tc>
          <w:tcPr>
            <w:tcW w:w="20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43BC88C" w14:textId="77777777" w:rsidR="005A23DF" w:rsidRPr="00CF06CF" w:rsidRDefault="00CA09E1" w:rsidP="003F527B">
            <w:pPr>
              <w:widowControl w:val="0"/>
              <w:spacing w:line="240" w:lineRule="auto"/>
              <w:ind w:left="113"/>
              <w:contextualSpacing/>
            </w:pPr>
            <w:r w:rsidRPr="00CF06CF">
              <w:t>Ostatní zdroje</w:t>
            </w:r>
          </w:p>
        </w:tc>
        <w:tc>
          <w:tcPr>
            <w:tcW w:w="8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48976B4" w14:textId="0A045098" w:rsidR="005A23DF" w:rsidRPr="00CF06CF" w:rsidRDefault="003F2D91" w:rsidP="003F527B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195,0</w:t>
            </w:r>
          </w:p>
        </w:tc>
        <w:tc>
          <w:tcPr>
            <w:tcW w:w="87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89BBB0B" w14:textId="3F0C85DB" w:rsidR="005A23DF" w:rsidRPr="00CF06CF" w:rsidRDefault="003F2D91" w:rsidP="003F527B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328,7</w:t>
            </w:r>
          </w:p>
        </w:tc>
        <w:tc>
          <w:tcPr>
            <w:tcW w:w="87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963852A" w14:textId="7A7AD565" w:rsidR="005A23DF" w:rsidRPr="00CF06CF" w:rsidRDefault="003F2D91" w:rsidP="003F527B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408,1</w:t>
            </w:r>
          </w:p>
        </w:tc>
        <w:tc>
          <w:tcPr>
            <w:tcW w:w="87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9F872E0" w14:textId="5D2E61C6" w:rsidR="005A23DF" w:rsidRPr="00CF06CF" w:rsidRDefault="003F2D91" w:rsidP="003F527B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408,1</w:t>
            </w:r>
          </w:p>
        </w:tc>
        <w:tc>
          <w:tcPr>
            <w:tcW w:w="87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B5BD452" w14:textId="10F71F02" w:rsidR="005A23DF" w:rsidRPr="00CF06CF" w:rsidRDefault="003F2D91" w:rsidP="003F527B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408,1</w:t>
            </w:r>
          </w:p>
        </w:tc>
        <w:tc>
          <w:tcPr>
            <w:tcW w:w="87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CECF234" w14:textId="40CF1E0A" w:rsidR="005A23DF" w:rsidRPr="00CF06CF" w:rsidRDefault="003F2D91" w:rsidP="003F527B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408,1</w:t>
            </w:r>
          </w:p>
        </w:tc>
        <w:tc>
          <w:tcPr>
            <w:tcW w:w="87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9149960" w14:textId="001448E3" w:rsidR="005A23DF" w:rsidRPr="00CF06CF" w:rsidRDefault="003F2D91" w:rsidP="003F527B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325</w:t>
            </w:r>
            <w:r w:rsidR="00CA09E1" w:rsidRPr="00CF06CF">
              <w:t>,0</w:t>
            </w:r>
          </w:p>
        </w:tc>
        <w:tc>
          <w:tcPr>
            <w:tcW w:w="87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64C9B3D" w14:textId="32A3F77A" w:rsidR="005A23DF" w:rsidRPr="00CF06CF" w:rsidRDefault="00CA09E1" w:rsidP="003F527B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1</w:t>
            </w:r>
            <w:r w:rsidR="003F2D91" w:rsidRPr="00CF06CF">
              <w:t>95</w:t>
            </w:r>
            <w:r w:rsidRPr="00CF06CF">
              <w:t>,0</w:t>
            </w:r>
          </w:p>
        </w:tc>
        <w:tc>
          <w:tcPr>
            <w:tcW w:w="106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3EC692B" w14:textId="1EB35427" w:rsidR="005A23DF" w:rsidRPr="00CF06CF" w:rsidRDefault="003F2D91" w:rsidP="003F527B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2 676,1</w:t>
            </w:r>
          </w:p>
        </w:tc>
      </w:tr>
    </w:tbl>
    <w:p w14:paraId="2E283500" w14:textId="77777777" w:rsidR="001E034A" w:rsidRPr="00CF06CF" w:rsidRDefault="001E034A" w:rsidP="004F4F08">
      <w:pPr>
        <w:spacing w:before="120" w:after="120" w:line="360" w:lineRule="auto"/>
        <w:contextualSpacing/>
        <w:jc w:val="both"/>
        <w:rPr>
          <w:b/>
        </w:rPr>
      </w:pPr>
    </w:p>
    <w:p w14:paraId="39A468B6" w14:textId="2853B3DF" w:rsidR="005A23DF" w:rsidRPr="00CF06CF" w:rsidRDefault="00CA09E1" w:rsidP="001E034A">
      <w:pPr>
        <w:pStyle w:val="Nadpis2"/>
      </w:pPr>
      <w:r w:rsidRPr="00CF06CF">
        <w:lastRenderedPageBreak/>
        <w:t>Podprogram 3 – Technologie k zajištění dlouhodobé udržitelnosti energetiky</w:t>
      </w:r>
    </w:p>
    <w:p w14:paraId="25093889" w14:textId="77777777" w:rsidR="005A23DF" w:rsidRPr="00CF06CF" w:rsidRDefault="00CA09E1" w:rsidP="001E034A">
      <w:pPr>
        <w:pStyle w:val="Nadpis3"/>
      </w:pPr>
      <w:r w:rsidRPr="00CF06CF">
        <w:t>Cíl a zaměření podprogramu 3</w:t>
      </w:r>
    </w:p>
    <w:p w14:paraId="525370E9" w14:textId="5AA80619" w:rsidR="004F4F08" w:rsidRPr="00CF06CF" w:rsidRDefault="00CA09E1" w:rsidP="00E50C5F">
      <w:pPr>
        <w:spacing w:before="120" w:after="120" w:line="360" w:lineRule="auto"/>
        <w:ind w:firstLine="284"/>
        <w:contextualSpacing/>
        <w:jc w:val="both"/>
      </w:pPr>
      <w:r w:rsidRPr="00CF06CF">
        <w:t>V podprogramu 3 budou podpořeny projekty připravující technologie a řešení, které se v</w:t>
      </w:r>
      <w:r w:rsidR="00F03D89" w:rsidRPr="00CF06CF">
        <w:t> </w:t>
      </w:r>
      <w:r w:rsidRPr="00CF06CF">
        <w:t>době návrhu projektu nacházejí v nižším stupni technologické připravenosti (TRL, typicky 3</w:t>
      </w:r>
      <w:r w:rsidR="00F03D89" w:rsidRPr="00CF06CF">
        <w:t> </w:t>
      </w:r>
      <w:r w:rsidRPr="00CF06CF">
        <w:t>až 5) a kde se tak primárně neočekává rychlá uplatnitelnost výsledků v praxi. Zpravidla se</w:t>
      </w:r>
      <w:r w:rsidR="00F03D89" w:rsidRPr="00CF06CF">
        <w:t> </w:t>
      </w:r>
      <w:r w:rsidRPr="00CF06CF">
        <w:t xml:space="preserve">jedná o projekty s vyšší mírou rizika z hlediska dosažení plánovaných cílů a parametrů </w:t>
      </w:r>
      <w:r w:rsidR="00F03D89" w:rsidRPr="00CF06CF">
        <w:br/>
      </w:r>
      <w:r w:rsidRPr="00CF06CF">
        <w:t>v</w:t>
      </w:r>
      <w:r w:rsidR="00F03D89" w:rsidRPr="00CF06CF">
        <w:t> </w:t>
      </w:r>
      <w:r w:rsidRPr="00CF06CF">
        <w:t>porovnání s projekty v podprogramu 2. Projekty mají směřovat k přípravě nových a</w:t>
      </w:r>
      <w:r w:rsidR="00F03D89" w:rsidRPr="00CF06CF">
        <w:t> </w:t>
      </w:r>
      <w:r w:rsidRPr="00CF06CF">
        <w:t>netradičních řešení</w:t>
      </w:r>
      <w:r w:rsidR="004F4F08" w:rsidRPr="00CF06CF">
        <w:t>,</w:t>
      </w:r>
      <w:r w:rsidRPr="00CF06CF">
        <w:t xml:space="preserve"> a tedy podpoře zásadních a průlomových inovací, které napomůžou Č</w:t>
      </w:r>
      <w:r w:rsidR="00F03D89" w:rsidRPr="00CF06CF">
        <w:t>eské republice</w:t>
      </w:r>
      <w:r w:rsidRPr="00CF06CF">
        <w:t>:</w:t>
      </w:r>
    </w:p>
    <w:p w14:paraId="734868E7" w14:textId="162EBDC1" w:rsidR="004F4F08" w:rsidRPr="00CF06CF" w:rsidRDefault="00CA09E1" w:rsidP="00E50C5F">
      <w:pPr>
        <w:pStyle w:val="Odstavecseseznamem"/>
        <w:numPr>
          <w:ilvl w:val="0"/>
          <w:numId w:val="24"/>
        </w:numPr>
        <w:spacing w:before="120" w:after="120" w:line="360" w:lineRule="auto"/>
        <w:ind w:left="993"/>
        <w:jc w:val="both"/>
      </w:pPr>
      <w:r w:rsidRPr="00CF06CF">
        <w:t>naplnit efektivně klimaticko-energetické a environmentální cíle, energetickou bezpečnost a zajistit přijatelné ceny energií ve střednědobém až dlouhodobém horizontu</w:t>
      </w:r>
      <w:r w:rsidR="00F03D89" w:rsidRPr="00CF06CF">
        <w:t>;</w:t>
      </w:r>
    </w:p>
    <w:p w14:paraId="6DCAAA78" w14:textId="2BD05B39" w:rsidR="005A23DF" w:rsidRPr="00CF06CF" w:rsidRDefault="00CA09E1" w:rsidP="00E50C5F">
      <w:pPr>
        <w:pStyle w:val="Odstavecseseznamem"/>
        <w:numPr>
          <w:ilvl w:val="0"/>
          <w:numId w:val="24"/>
        </w:numPr>
        <w:spacing w:before="120" w:after="120" w:line="360" w:lineRule="auto"/>
        <w:ind w:left="993"/>
        <w:jc w:val="both"/>
      </w:pPr>
      <w:r w:rsidRPr="00CF06CF">
        <w:t>posílit konkurenceschopnost v důsledku vývoje jedinečných produktů.</w:t>
      </w:r>
    </w:p>
    <w:p w14:paraId="12FAC178" w14:textId="381E2A4A" w:rsidR="005A23DF" w:rsidRPr="00CF06CF" w:rsidRDefault="00CA09E1" w:rsidP="00E50C5F">
      <w:pPr>
        <w:spacing w:before="120" w:after="120" w:line="360" w:lineRule="auto"/>
        <w:ind w:firstLine="284"/>
        <w:contextualSpacing/>
        <w:jc w:val="both"/>
      </w:pPr>
      <w:r w:rsidRPr="00CF06CF">
        <w:t>Ve zdůvodněných případech se může jednat o komplexní a dlouhodobější projekty, pokud</w:t>
      </w:r>
      <w:r w:rsidR="00F03D89" w:rsidRPr="00CF06CF">
        <w:t> </w:t>
      </w:r>
      <w:r w:rsidRPr="00CF06CF">
        <w:t>tyto projekty cílí na komplexní a integrální technologická řešení. V těchto případech se</w:t>
      </w:r>
      <w:r w:rsidR="00F03D89" w:rsidRPr="00CF06CF">
        <w:t> </w:t>
      </w:r>
      <w:r w:rsidRPr="00CF06CF">
        <w:t>předpokládá, že hlavními řešiteli budou především etablované výzkumné organizace s</w:t>
      </w:r>
      <w:r w:rsidR="00F03D89" w:rsidRPr="00CF06CF">
        <w:t> </w:t>
      </w:r>
      <w:r w:rsidRPr="00CF06CF">
        <w:t>rozsáhlými mezinárodními vazbami.</w:t>
      </w:r>
    </w:p>
    <w:p w14:paraId="3A19AA85" w14:textId="77777777" w:rsidR="005A23DF" w:rsidRPr="00CF06CF" w:rsidRDefault="00CA09E1" w:rsidP="001E034A">
      <w:pPr>
        <w:pStyle w:val="Nadpis3"/>
      </w:pPr>
      <w:r w:rsidRPr="00CF06CF">
        <w:t>Rozpočet podprogramu 3</w:t>
      </w:r>
    </w:p>
    <w:p w14:paraId="05AF8F54" w14:textId="78491C04" w:rsidR="005A23DF" w:rsidRPr="00CF06CF" w:rsidRDefault="00CA09E1" w:rsidP="00E50C5F">
      <w:pPr>
        <w:spacing w:before="120" w:after="120" w:line="360" w:lineRule="auto"/>
        <w:ind w:firstLine="284"/>
        <w:contextualSpacing/>
        <w:jc w:val="both"/>
      </w:pPr>
      <w:r w:rsidRPr="00CF06CF">
        <w:t>Nejvyšší povolená intenzita podpory v podprogramu 3 je 85 % z celkových způsobilých nákladů projektu.</w:t>
      </w:r>
    </w:p>
    <w:p w14:paraId="27C4BC11" w14:textId="77777777" w:rsidR="00F03D89" w:rsidRPr="00CF06CF" w:rsidRDefault="00F03D89" w:rsidP="00E50C5F">
      <w:pPr>
        <w:spacing w:before="120" w:after="120" w:line="360" w:lineRule="auto"/>
        <w:ind w:firstLine="284"/>
        <w:contextualSpacing/>
        <w:jc w:val="both"/>
      </w:pPr>
    </w:p>
    <w:p w14:paraId="3B1A4948" w14:textId="1E988901" w:rsidR="005A23DF" w:rsidRPr="00CF06CF" w:rsidRDefault="00CA09E1" w:rsidP="00E54B22">
      <w:pPr>
        <w:keepNext/>
        <w:keepLines/>
        <w:spacing w:before="120" w:after="120" w:line="240" w:lineRule="auto"/>
        <w:ind w:left="-284"/>
        <w:contextualSpacing/>
        <w:jc w:val="both"/>
      </w:pPr>
      <w:r w:rsidRPr="00CF06CF">
        <w:rPr>
          <w:b/>
        </w:rPr>
        <w:t xml:space="preserve">Tabulka č. 17.3: Rozpočet podprogramu 3 </w:t>
      </w:r>
      <w:r w:rsidR="00F03D89" w:rsidRPr="00CF06CF">
        <w:rPr>
          <w:b/>
        </w:rPr>
        <w:t>(v mil. Kč)</w:t>
      </w:r>
    </w:p>
    <w:tbl>
      <w:tblPr>
        <w:tblStyle w:val="a4"/>
        <w:tblW w:w="9490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853"/>
        <w:gridCol w:w="830"/>
        <w:gridCol w:w="830"/>
        <w:gridCol w:w="830"/>
        <w:gridCol w:w="829"/>
        <w:gridCol w:w="829"/>
        <w:gridCol w:w="829"/>
        <w:gridCol w:w="829"/>
        <w:gridCol w:w="829"/>
        <w:gridCol w:w="1002"/>
      </w:tblGrid>
      <w:tr w:rsidR="005A23DF" w:rsidRPr="00CF06CF" w14:paraId="0BE69C0B" w14:textId="77777777" w:rsidTr="003F527B">
        <w:trPr>
          <w:trHeight w:val="315"/>
          <w:jc w:val="center"/>
        </w:trPr>
        <w:tc>
          <w:tcPr>
            <w:tcW w:w="1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6666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A7A18BC" w14:textId="77777777" w:rsidR="005A23DF" w:rsidRPr="00CF06CF" w:rsidRDefault="005A23DF" w:rsidP="003F527B">
            <w:pPr>
              <w:widowControl w:val="0"/>
              <w:spacing w:line="240" w:lineRule="auto"/>
              <w:contextualSpacing/>
              <w:jc w:val="center"/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66666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913CC5F" w14:textId="77777777" w:rsidR="005A23DF" w:rsidRPr="00CF06CF" w:rsidRDefault="00CA09E1" w:rsidP="003F527B">
            <w:pPr>
              <w:widowControl w:val="0"/>
              <w:spacing w:line="240" w:lineRule="auto"/>
              <w:contextualSpacing/>
              <w:jc w:val="center"/>
            </w:pPr>
            <w:r w:rsidRPr="00CF06CF">
              <w:rPr>
                <w:b/>
                <w:color w:val="FFFFFF"/>
              </w:rPr>
              <w:t>2024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66666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7943DE4" w14:textId="77777777" w:rsidR="005A23DF" w:rsidRPr="00CF06CF" w:rsidRDefault="00CA09E1" w:rsidP="003F527B">
            <w:pPr>
              <w:widowControl w:val="0"/>
              <w:spacing w:line="240" w:lineRule="auto"/>
              <w:contextualSpacing/>
              <w:jc w:val="center"/>
            </w:pPr>
            <w:r w:rsidRPr="00CF06CF">
              <w:rPr>
                <w:b/>
                <w:color w:val="FFFFFF"/>
              </w:rPr>
              <w:t>2025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66666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D172474" w14:textId="77777777" w:rsidR="005A23DF" w:rsidRPr="00CF06CF" w:rsidRDefault="00CA09E1" w:rsidP="003F527B">
            <w:pPr>
              <w:widowControl w:val="0"/>
              <w:spacing w:line="240" w:lineRule="auto"/>
              <w:contextualSpacing/>
              <w:jc w:val="center"/>
            </w:pPr>
            <w:r w:rsidRPr="00CF06CF">
              <w:rPr>
                <w:b/>
                <w:color w:val="FFFFFF"/>
              </w:rPr>
              <w:t>2026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66666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BDE3AB4" w14:textId="77777777" w:rsidR="005A23DF" w:rsidRPr="00CF06CF" w:rsidRDefault="00CA09E1" w:rsidP="003F527B">
            <w:pPr>
              <w:widowControl w:val="0"/>
              <w:spacing w:line="240" w:lineRule="auto"/>
              <w:contextualSpacing/>
              <w:jc w:val="center"/>
            </w:pPr>
            <w:r w:rsidRPr="00CF06CF">
              <w:rPr>
                <w:b/>
                <w:color w:val="FFFFFF"/>
              </w:rPr>
              <w:t>2027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66666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77EC696" w14:textId="77777777" w:rsidR="005A23DF" w:rsidRPr="00CF06CF" w:rsidRDefault="00CA09E1" w:rsidP="003F527B">
            <w:pPr>
              <w:widowControl w:val="0"/>
              <w:spacing w:line="240" w:lineRule="auto"/>
              <w:contextualSpacing/>
              <w:jc w:val="center"/>
            </w:pPr>
            <w:r w:rsidRPr="00CF06CF">
              <w:rPr>
                <w:b/>
                <w:color w:val="FFFFFF"/>
              </w:rPr>
              <w:t>2028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66666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5952F01" w14:textId="77777777" w:rsidR="005A23DF" w:rsidRPr="00CF06CF" w:rsidRDefault="00CA09E1" w:rsidP="003F527B">
            <w:pPr>
              <w:widowControl w:val="0"/>
              <w:spacing w:line="240" w:lineRule="auto"/>
              <w:contextualSpacing/>
              <w:jc w:val="center"/>
            </w:pPr>
            <w:r w:rsidRPr="00CF06CF">
              <w:rPr>
                <w:b/>
                <w:color w:val="FFFFFF"/>
              </w:rPr>
              <w:t>2029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66666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738E9EB" w14:textId="77777777" w:rsidR="005A23DF" w:rsidRPr="00CF06CF" w:rsidRDefault="00CA09E1" w:rsidP="003F527B">
            <w:pPr>
              <w:widowControl w:val="0"/>
              <w:spacing w:line="240" w:lineRule="auto"/>
              <w:contextualSpacing/>
              <w:jc w:val="center"/>
            </w:pPr>
            <w:r w:rsidRPr="00CF06CF">
              <w:rPr>
                <w:b/>
                <w:color w:val="FFFFFF"/>
              </w:rPr>
              <w:t>2030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66666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D72AAD1" w14:textId="77777777" w:rsidR="005A23DF" w:rsidRPr="00CF06CF" w:rsidRDefault="00CA09E1" w:rsidP="003F527B">
            <w:pPr>
              <w:widowControl w:val="0"/>
              <w:spacing w:line="240" w:lineRule="auto"/>
              <w:contextualSpacing/>
              <w:jc w:val="center"/>
            </w:pPr>
            <w:r w:rsidRPr="00CF06CF">
              <w:rPr>
                <w:b/>
                <w:color w:val="FFFFFF"/>
              </w:rPr>
              <w:t>2031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66666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3101AF3" w14:textId="77777777" w:rsidR="005A23DF" w:rsidRPr="00CF06CF" w:rsidRDefault="00CA09E1" w:rsidP="003F527B">
            <w:pPr>
              <w:widowControl w:val="0"/>
              <w:spacing w:line="240" w:lineRule="auto"/>
              <w:contextualSpacing/>
              <w:jc w:val="center"/>
            </w:pPr>
            <w:r w:rsidRPr="00CF06CF">
              <w:rPr>
                <w:b/>
                <w:color w:val="FFFFFF"/>
              </w:rPr>
              <w:t>Celkem</w:t>
            </w:r>
          </w:p>
        </w:tc>
      </w:tr>
      <w:tr w:rsidR="005A23DF" w:rsidRPr="00CF06CF" w14:paraId="439FF547" w14:textId="77777777" w:rsidTr="003F527B">
        <w:trPr>
          <w:trHeight w:val="315"/>
          <w:jc w:val="center"/>
        </w:trPr>
        <w:tc>
          <w:tcPr>
            <w:tcW w:w="185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8FD1B94" w14:textId="77777777" w:rsidR="005A23DF" w:rsidRPr="00CF06CF" w:rsidRDefault="00CA09E1" w:rsidP="003F527B">
            <w:pPr>
              <w:widowControl w:val="0"/>
              <w:spacing w:line="240" w:lineRule="auto"/>
              <w:ind w:left="113"/>
              <w:contextualSpacing/>
            </w:pPr>
            <w:r w:rsidRPr="00CF06CF">
              <w:t>Celkem</w:t>
            </w:r>
          </w:p>
        </w:tc>
        <w:tc>
          <w:tcPr>
            <w:tcW w:w="8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117BE7B" w14:textId="6D8C720F" w:rsidR="005A23DF" w:rsidRPr="00CF06CF" w:rsidRDefault="003F2D91" w:rsidP="0033484E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207,5</w:t>
            </w:r>
          </w:p>
        </w:tc>
        <w:tc>
          <w:tcPr>
            <w:tcW w:w="8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6F3339F" w14:textId="39ED3051" w:rsidR="005A23DF" w:rsidRPr="00CF06CF" w:rsidRDefault="003F2D91" w:rsidP="0033484E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349,6</w:t>
            </w:r>
          </w:p>
        </w:tc>
        <w:tc>
          <w:tcPr>
            <w:tcW w:w="8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B104AC7" w14:textId="5C516FB8" w:rsidR="005A23DF" w:rsidRPr="00CF06CF" w:rsidRDefault="003F2D91" w:rsidP="0033484E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434,4</w:t>
            </w:r>
          </w:p>
        </w:tc>
        <w:tc>
          <w:tcPr>
            <w:tcW w:w="8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B11A356" w14:textId="5F520B32" w:rsidR="005A23DF" w:rsidRPr="00CF06CF" w:rsidRDefault="003F2D91" w:rsidP="0033484E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434,4</w:t>
            </w:r>
          </w:p>
        </w:tc>
        <w:tc>
          <w:tcPr>
            <w:tcW w:w="8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EB3FB6C" w14:textId="1954A1A3" w:rsidR="005A23DF" w:rsidRPr="00CF06CF" w:rsidRDefault="003F2D91" w:rsidP="0033484E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434,4</w:t>
            </w:r>
          </w:p>
        </w:tc>
        <w:tc>
          <w:tcPr>
            <w:tcW w:w="8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9C14EA0" w14:textId="776E6413" w:rsidR="005A23DF" w:rsidRPr="00CF06CF" w:rsidRDefault="003F2D91" w:rsidP="0033484E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434,4</w:t>
            </w:r>
          </w:p>
        </w:tc>
        <w:tc>
          <w:tcPr>
            <w:tcW w:w="8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7F23BA5" w14:textId="1B92D4A1" w:rsidR="005A23DF" w:rsidRPr="00CF06CF" w:rsidRDefault="00CA09E1" w:rsidP="0033484E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3</w:t>
            </w:r>
            <w:r w:rsidR="003F2D91" w:rsidRPr="00CF06CF">
              <w:t>45,9</w:t>
            </w:r>
          </w:p>
        </w:tc>
        <w:tc>
          <w:tcPr>
            <w:tcW w:w="8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2E71BE1" w14:textId="4624A431" w:rsidR="005A23DF" w:rsidRPr="00CF06CF" w:rsidRDefault="003F2D91" w:rsidP="0033484E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207,5</w:t>
            </w:r>
          </w:p>
        </w:tc>
        <w:tc>
          <w:tcPr>
            <w:tcW w:w="10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7257902" w14:textId="7BC35536" w:rsidR="005A23DF" w:rsidRPr="00CF06CF" w:rsidRDefault="003F2D91" w:rsidP="0033484E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2 848,1</w:t>
            </w:r>
          </w:p>
        </w:tc>
      </w:tr>
      <w:tr w:rsidR="005A23DF" w:rsidRPr="00CF06CF" w14:paraId="387E712F" w14:textId="77777777" w:rsidTr="003F527B">
        <w:trPr>
          <w:trHeight w:val="315"/>
          <w:jc w:val="center"/>
        </w:trPr>
        <w:tc>
          <w:tcPr>
            <w:tcW w:w="185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A917D6E" w14:textId="77777777" w:rsidR="005A23DF" w:rsidRPr="00CF06CF" w:rsidRDefault="00CA09E1" w:rsidP="003F527B">
            <w:pPr>
              <w:widowControl w:val="0"/>
              <w:spacing w:line="240" w:lineRule="auto"/>
              <w:ind w:left="113"/>
              <w:contextualSpacing/>
            </w:pPr>
            <w:r w:rsidRPr="00CF06CF">
              <w:t>Podpora ze SR</w:t>
            </w:r>
          </w:p>
        </w:tc>
        <w:tc>
          <w:tcPr>
            <w:tcW w:w="8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A85E097" w14:textId="41F5C890" w:rsidR="005A23DF" w:rsidRPr="00CF06CF" w:rsidRDefault="003F2D91" w:rsidP="0033484E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176,4</w:t>
            </w:r>
          </w:p>
        </w:tc>
        <w:tc>
          <w:tcPr>
            <w:tcW w:w="8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D05F5D2" w14:textId="6B4919C8" w:rsidR="005A23DF" w:rsidRPr="00CF06CF" w:rsidRDefault="003F2D91" w:rsidP="0033484E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297,2</w:t>
            </w:r>
          </w:p>
        </w:tc>
        <w:tc>
          <w:tcPr>
            <w:tcW w:w="8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8B44185" w14:textId="3CBE3721" w:rsidR="005A23DF" w:rsidRPr="00CF06CF" w:rsidRDefault="003F2D91" w:rsidP="0033484E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369,2</w:t>
            </w:r>
          </w:p>
        </w:tc>
        <w:tc>
          <w:tcPr>
            <w:tcW w:w="8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642690E" w14:textId="15717B59" w:rsidR="005A23DF" w:rsidRPr="00CF06CF" w:rsidRDefault="003F2D91" w:rsidP="0033484E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369,2</w:t>
            </w:r>
          </w:p>
        </w:tc>
        <w:tc>
          <w:tcPr>
            <w:tcW w:w="8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CC4FA7B" w14:textId="35389F5A" w:rsidR="005A23DF" w:rsidRPr="00CF06CF" w:rsidRDefault="003F2D91" w:rsidP="0033484E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369,2</w:t>
            </w:r>
          </w:p>
        </w:tc>
        <w:tc>
          <w:tcPr>
            <w:tcW w:w="8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BCA0397" w14:textId="14DE27FA" w:rsidR="005A23DF" w:rsidRPr="00CF06CF" w:rsidRDefault="003F2D91" w:rsidP="0033484E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369,2</w:t>
            </w:r>
          </w:p>
        </w:tc>
        <w:tc>
          <w:tcPr>
            <w:tcW w:w="8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FF8BFEE" w14:textId="51EC8413" w:rsidR="005A23DF" w:rsidRPr="00CF06CF" w:rsidRDefault="003F2D91" w:rsidP="0033484E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294,0</w:t>
            </w:r>
          </w:p>
        </w:tc>
        <w:tc>
          <w:tcPr>
            <w:tcW w:w="8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4E7BB8A" w14:textId="6627DA47" w:rsidR="005A23DF" w:rsidRPr="00CF06CF" w:rsidRDefault="003F2D91" w:rsidP="0033484E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176,4</w:t>
            </w:r>
          </w:p>
        </w:tc>
        <w:tc>
          <w:tcPr>
            <w:tcW w:w="10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912922B" w14:textId="3FFF9E42" w:rsidR="005A23DF" w:rsidRPr="00CF06CF" w:rsidRDefault="003F2D91" w:rsidP="0033484E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2 420,8</w:t>
            </w:r>
          </w:p>
        </w:tc>
      </w:tr>
      <w:tr w:rsidR="005A23DF" w:rsidRPr="00CF06CF" w14:paraId="4D0596CB" w14:textId="77777777" w:rsidTr="003F527B">
        <w:trPr>
          <w:trHeight w:val="315"/>
          <w:jc w:val="center"/>
        </w:trPr>
        <w:tc>
          <w:tcPr>
            <w:tcW w:w="185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5C8F1B0" w14:textId="77777777" w:rsidR="005A23DF" w:rsidRPr="00CF06CF" w:rsidRDefault="00CA09E1" w:rsidP="003F527B">
            <w:pPr>
              <w:widowControl w:val="0"/>
              <w:spacing w:line="240" w:lineRule="auto"/>
              <w:ind w:left="113"/>
              <w:contextualSpacing/>
            </w:pPr>
            <w:r w:rsidRPr="00CF06CF">
              <w:t>Ostatní zdroje</w:t>
            </w:r>
          </w:p>
        </w:tc>
        <w:tc>
          <w:tcPr>
            <w:tcW w:w="8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8ECD011" w14:textId="2A25F419" w:rsidR="005A23DF" w:rsidRPr="00CF06CF" w:rsidRDefault="003F2D91" w:rsidP="0033484E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31,1</w:t>
            </w:r>
          </w:p>
        </w:tc>
        <w:tc>
          <w:tcPr>
            <w:tcW w:w="8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FF701ED" w14:textId="091193D6" w:rsidR="005A23DF" w:rsidRPr="00CF06CF" w:rsidRDefault="003F2D91" w:rsidP="0033484E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52,4</w:t>
            </w:r>
          </w:p>
        </w:tc>
        <w:tc>
          <w:tcPr>
            <w:tcW w:w="8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211D490" w14:textId="4AAF4D9B" w:rsidR="005A23DF" w:rsidRPr="00CF06CF" w:rsidRDefault="003F2D91" w:rsidP="0033484E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65,2</w:t>
            </w:r>
          </w:p>
        </w:tc>
        <w:tc>
          <w:tcPr>
            <w:tcW w:w="8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1146EA2" w14:textId="07942D88" w:rsidR="005A23DF" w:rsidRPr="00CF06CF" w:rsidRDefault="003F2D91" w:rsidP="0033484E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65,2</w:t>
            </w:r>
          </w:p>
        </w:tc>
        <w:tc>
          <w:tcPr>
            <w:tcW w:w="8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7E4F9EB" w14:textId="12C81357" w:rsidR="005A23DF" w:rsidRPr="00CF06CF" w:rsidRDefault="003F2D91" w:rsidP="0033484E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65,2</w:t>
            </w:r>
          </w:p>
        </w:tc>
        <w:tc>
          <w:tcPr>
            <w:tcW w:w="8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65487A3" w14:textId="35EEFB41" w:rsidR="005A23DF" w:rsidRPr="00CF06CF" w:rsidRDefault="003F2D91" w:rsidP="0033484E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65,2</w:t>
            </w:r>
          </w:p>
        </w:tc>
        <w:tc>
          <w:tcPr>
            <w:tcW w:w="8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3E434D5" w14:textId="6622D84D" w:rsidR="005A23DF" w:rsidRPr="00CF06CF" w:rsidRDefault="003F2D91" w:rsidP="0033484E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51,9</w:t>
            </w:r>
          </w:p>
        </w:tc>
        <w:tc>
          <w:tcPr>
            <w:tcW w:w="8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4CBA732" w14:textId="366FC6B5" w:rsidR="005A23DF" w:rsidRPr="00CF06CF" w:rsidRDefault="003F2D91" w:rsidP="0033484E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31,1</w:t>
            </w:r>
          </w:p>
        </w:tc>
        <w:tc>
          <w:tcPr>
            <w:tcW w:w="10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3D9FE82" w14:textId="1424FF81" w:rsidR="005A23DF" w:rsidRPr="00CF06CF" w:rsidRDefault="003F2D91" w:rsidP="0033484E">
            <w:pPr>
              <w:widowControl w:val="0"/>
              <w:spacing w:line="240" w:lineRule="auto"/>
              <w:ind w:right="57"/>
              <w:contextualSpacing/>
              <w:jc w:val="right"/>
            </w:pPr>
            <w:r w:rsidRPr="00CF06CF">
              <w:t>427,3</w:t>
            </w:r>
          </w:p>
        </w:tc>
      </w:tr>
    </w:tbl>
    <w:p w14:paraId="6A76D438" w14:textId="77777777" w:rsidR="005A23DF" w:rsidRPr="00CF06CF" w:rsidRDefault="005A23DF" w:rsidP="004F4F08">
      <w:pPr>
        <w:spacing w:before="120" w:after="120" w:line="360" w:lineRule="auto"/>
        <w:contextualSpacing/>
        <w:jc w:val="both"/>
      </w:pPr>
    </w:p>
    <w:p w14:paraId="1C920CDB" w14:textId="77777777" w:rsidR="007A5C2E" w:rsidRPr="00CF06CF" w:rsidRDefault="007A5C2E">
      <w:pPr>
        <w:rPr>
          <w:b/>
          <w:sz w:val="32"/>
          <w:szCs w:val="40"/>
        </w:rPr>
      </w:pPr>
      <w:bookmarkStart w:id="23" w:name="_at6xzhudqc5" w:colFirst="0" w:colLast="0"/>
      <w:bookmarkEnd w:id="23"/>
      <w:r w:rsidRPr="00CF06CF">
        <w:br w:type="page"/>
      </w:r>
    </w:p>
    <w:p w14:paraId="7F87ABB9" w14:textId="7AFED082" w:rsidR="005A23DF" w:rsidRPr="00CF06CF" w:rsidRDefault="00CA09E1" w:rsidP="001E034A">
      <w:pPr>
        <w:pStyle w:val="Nadpis1"/>
      </w:pPr>
      <w:r w:rsidRPr="00CF06CF">
        <w:lastRenderedPageBreak/>
        <w:t>18. Srovnání současného stavu v České republice a</w:t>
      </w:r>
      <w:r w:rsidR="00E54B22" w:rsidRPr="00CF06CF">
        <w:t> </w:t>
      </w:r>
      <w:r w:rsidRPr="00CF06CF">
        <w:t>v</w:t>
      </w:r>
      <w:r w:rsidR="00E54B22" w:rsidRPr="00CF06CF">
        <w:t> </w:t>
      </w:r>
      <w:r w:rsidRPr="00CF06CF">
        <w:t>zahraničí</w:t>
      </w:r>
    </w:p>
    <w:p w14:paraId="12D3CFDF" w14:textId="31C39363" w:rsidR="005A23DF" w:rsidRPr="00CF06CF" w:rsidRDefault="00CA09E1" w:rsidP="00E50C5F">
      <w:pPr>
        <w:spacing w:before="120" w:after="120" w:line="360" w:lineRule="auto"/>
        <w:ind w:firstLine="284"/>
        <w:contextualSpacing/>
        <w:jc w:val="both"/>
      </w:pPr>
      <w:r w:rsidRPr="00CF06CF">
        <w:t xml:space="preserve">V ČR existuje </w:t>
      </w:r>
      <w:r w:rsidR="0083057C" w:rsidRPr="00CF06CF">
        <w:t>několik</w:t>
      </w:r>
      <w:r w:rsidRPr="00CF06CF">
        <w:t xml:space="preserve"> programů veřejného financování zaměřených na podporu transformace energetického sektoru. Níže jsou stručně uvedeny jejich </w:t>
      </w:r>
      <w:proofErr w:type="spellStart"/>
      <w:r w:rsidRPr="00CF06CF">
        <w:t>provazby</w:t>
      </w:r>
      <w:proofErr w:type="spellEnd"/>
      <w:r w:rsidRPr="00CF06CF">
        <w:t xml:space="preserve"> a</w:t>
      </w:r>
      <w:r w:rsidR="00F03D89" w:rsidRPr="00CF06CF">
        <w:t> </w:t>
      </w:r>
      <w:r w:rsidRPr="00CF06CF">
        <w:t>také</w:t>
      </w:r>
      <w:r w:rsidR="00F03D89" w:rsidRPr="00CF06CF">
        <w:t> </w:t>
      </w:r>
      <w:r w:rsidRPr="00CF06CF">
        <w:t>zhodnocení praxe v zahraničí. Jedná se však pouze o kontextuální informaci, detailnější informace je možné dohledat v příslušných dokumentech. V České republice TA</w:t>
      </w:r>
      <w:r w:rsidR="00F03D89" w:rsidRPr="00CF06CF">
        <w:t> </w:t>
      </w:r>
      <w:r w:rsidRPr="00CF06CF">
        <w:t>ČR realizovala program na podporu aplikovaného výzkumu a experimentálního vývoje EPSILON, jehož druhý podprogram byl zaměřen na dosažení dlouhodobě udržitelného energetického mixu a tím podporoval posun směrem ke společnosti méně náročné na zdroje. Ministerstvo průmyslu a obchodu v roce 2015 dále spustilo program TRIO, který se zaměřoval na podporu aplikovaného výzkumu mj. také v oblasti energetiky. Projekty však musely mít vazbu na tzv. klíčové technologie (</w:t>
      </w:r>
      <w:proofErr w:type="spellStart"/>
      <w:r w:rsidRPr="00CF06CF">
        <w:t>Key</w:t>
      </w:r>
      <w:proofErr w:type="spellEnd"/>
      <w:r w:rsidRPr="00CF06CF">
        <w:t xml:space="preserve"> </w:t>
      </w:r>
      <w:proofErr w:type="spellStart"/>
      <w:r w:rsidRPr="00CF06CF">
        <w:t>enabling</w:t>
      </w:r>
      <w:proofErr w:type="spellEnd"/>
      <w:r w:rsidRPr="00CF06CF">
        <w:t xml:space="preserve"> </w:t>
      </w:r>
      <w:proofErr w:type="spellStart"/>
      <w:r w:rsidRPr="00CF06CF">
        <w:t>technologies</w:t>
      </w:r>
      <w:proofErr w:type="spellEnd"/>
      <w:r w:rsidRPr="00CF06CF">
        <w:t>) a zároveň naplňovat programem stanovené cíle z</w:t>
      </w:r>
      <w:r w:rsidR="00E54B22" w:rsidRPr="00CF06CF">
        <w:t> </w:t>
      </w:r>
      <w:r w:rsidRPr="00CF06CF">
        <w:t>N</w:t>
      </w:r>
      <w:r w:rsidR="00E54B22" w:rsidRPr="00CF06CF">
        <w:t>árodních priorit orientovaného výzkumu</w:t>
      </w:r>
      <w:r w:rsidRPr="00CF06CF">
        <w:t xml:space="preserve">. </w:t>
      </w:r>
      <w:r w:rsidR="00376145" w:rsidRPr="00CF06CF">
        <w:t>Aktuálně je k podpoře využíván hlavně program</w:t>
      </w:r>
      <w:r w:rsidRPr="00CF06CF">
        <w:t xml:space="preserve"> </w:t>
      </w:r>
      <w:r w:rsidRPr="00CF06CF">
        <w:rPr>
          <w:b/>
        </w:rPr>
        <w:t>TREND</w:t>
      </w:r>
      <w:r w:rsidRPr="00CF06CF">
        <w:t>, který svým zaměřením navazuje na program EPSILON (TA</w:t>
      </w:r>
      <w:r w:rsidR="00E54B22" w:rsidRPr="00CF06CF">
        <w:t> </w:t>
      </w:r>
      <w:r w:rsidRPr="00CF06CF">
        <w:t>ČR) a program TRIO (MPO). Program je zaměřen na zvýšení mezinárodní konkurenceschopnosti podniků prostřednictvím podpory projektů průmyslového výzkumu a</w:t>
      </w:r>
      <w:r w:rsidR="00E54B22" w:rsidRPr="00CF06CF">
        <w:t> </w:t>
      </w:r>
      <w:r w:rsidRPr="00CF06CF">
        <w:t xml:space="preserve">experimentálního vývoje a zavedením jejich výsledků do praxe, zejména do průmyslové výroby a do nabídky produktů na trhu podle principů iniciativy Průmysl 4.0 v klíčových aplikačních odvětvích identifikovaných strategickými dokumenty a iniciativami České republiky a Evropské unie, především </w:t>
      </w:r>
      <w:r w:rsidRPr="00CF06CF">
        <w:rPr>
          <w:b/>
        </w:rPr>
        <w:t>Národní RIS3 strategií.</w:t>
      </w:r>
      <w:r w:rsidRPr="00CF06CF">
        <w:t xml:space="preserve"> V </w:t>
      </w:r>
      <w:r w:rsidR="00E54B22" w:rsidRPr="00CF06CF">
        <w:t>p</w:t>
      </w:r>
      <w:r w:rsidRPr="00CF06CF">
        <w:t>odprogramu 2 „Nováčci“ je</w:t>
      </w:r>
      <w:r w:rsidR="00E54B22" w:rsidRPr="00CF06CF">
        <w:t> </w:t>
      </w:r>
      <w:r w:rsidRPr="00CF06CF">
        <w:t>cílem nastartování vlastních výzkumných a</w:t>
      </w:r>
      <w:r w:rsidR="00F03D89" w:rsidRPr="00CF06CF">
        <w:t> </w:t>
      </w:r>
      <w:r w:rsidRPr="00CF06CF">
        <w:t>vývojových aktivit u podniků, které doposud pravidelně nerealizovaly vlastní výzkumné aktivity ani nákup služeb od výzkumných organizací. Hlavním uchazečem je podnik, který</w:t>
      </w:r>
      <w:r w:rsidR="00F03D89" w:rsidRPr="00CF06CF">
        <w:t> </w:t>
      </w:r>
      <w:r w:rsidRPr="00CF06CF">
        <w:t>v</w:t>
      </w:r>
      <w:r w:rsidR="00F03D89" w:rsidRPr="00CF06CF">
        <w:t> </w:t>
      </w:r>
      <w:r w:rsidRPr="00CF06CF">
        <w:t>posledních 5 letech čerpá podporu na</w:t>
      </w:r>
      <w:r w:rsidR="00E54B22" w:rsidRPr="00CF06CF">
        <w:t> </w:t>
      </w:r>
      <w:r w:rsidRPr="00CF06CF">
        <w:t>výzkum a vývoj maximálně 1 milion Kč. Výzkumná organizace se může zapojit pouze jako další účastník.</w:t>
      </w:r>
    </w:p>
    <w:p w14:paraId="1F208167" w14:textId="5034D2CB" w:rsidR="001E034A" w:rsidRPr="00CF06CF" w:rsidRDefault="00CA09E1" w:rsidP="00E50C5F">
      <w:pPr>
        <w:spacing w:before="120" w:after="120" w:line="360" w:lineRule="auto"/>
        <w:ind w:firstLine="284"/>
        <w:contextualSpacing/>
        <w:jc w:val="both"/>
      </w:pPr>
      <w:r w:rsidRPr="00CF06CF">
        <w:t xml:space="preserve">Dalším relevantním programem je </w:t>
      </w:r>
      <w:r w:rsidRPr="00CF06CF">
        <w:rPr>
          <w:b/>
        </w:rPr>
        <w:t>Operační program Technologie a aplikace pro</w:t>
      </w:r>
      <w:r w:rsidR="00F03D89" w:rsidRPr="00CF06CF">
        <w:rPr>
          <w:b/>
        </w:rPr>
        <w:t> </w:t>
      </w:r>
      <w:r w:rsidRPr="00CF06CF">
        <w:rPr>
          <w:b/>
        </w:rPr>
        <w:t>konkurenceschopnost na období 2021</w:t>
      </w:r>
      <w:r w:rsidR="00E54B22" w:rsidRPr="00CF06CF">
        <w:rPr>
          <w:b/>
        </w:rPr>
        <w:t>–</w:t>
      </w:r>
      <w:r w:rsidRPr="00CF06CF">
        <w:rPr>
          <w:b/>
        </w:rPr>
        <w:t>2027 (OP TAK)</w:t>
      </w:r>
      <w:r w:rsidRPr="00CF06CF">
        <w:t>. Cílem je mimo jiné:</w:t>
      </w:r>
    </w:p>
    <w:p w14:paraId="22480C29" w14:textId="77777777" w:rsidR="001E034A" w:rsidRPr="00CF06CF" w:rsidRDefault="00CA09E1" w:rsidP="00E50C5F">
      <w:pPr>
        <w:pStyle w:val="Odstavecseseznamem"/>
        <w:numPr>
          <w:ilvl w:val="0"/>
          <w:numId w:val="25"/>
        </w:numPr>
        <w:spacing w:before="120" w:after="120" w:line="360" w:lineRule="auto"/>
        <w:ind w:left="993"/>
        <w:jc w:val="both"/>
      </w:pPr>
      <w:r w:rsidRPr="00CF06CF">
        <w:t>zvýšit přidanou hodnotu a produktivitu zejména malých a středních podniků;</w:t>
      </w:r>
    </w:p>
    <w:p w14:paraId="3B2F72E5" w14:textId="77777777" w:rsidR="001E034A" w:rsidRPr="00CF06CF" w:rsidRDefault="00CA09E1" w:rsidP="00E50C5F">
      <w:pPr>
        <w:pStyle w:val="Odstavecseseznamem"/>
        <w:numPr>
          <w:ilvl w:val="0"/>
          <w:numId w:val="25"/>
        </w:numPr>
        <w:spacing w:before="120" w:after="120" w:line="360" w:lineRule="auto"/>
        <w:ind w:left="993"/>
        <w:jc w:val="both"/>
      </w:pPr>
      <w:r w:rsidRPr="00CF06CF">
        <w:t>rozvoj nových inovativních firem;</w:t>
      </w:r>
    </w:p>
    <w:p w14:paraId="49ADD9F5" w14:textId="77777777" w:rsidR="001E034A" w:rsidRPr="00CF06CF" w:rsidRDefault="00CA09E1" w:rsidP="00E50C5F">
      <w:pPr>
        <w:pStyle w:val="Odstavecseseznamem"/>
        <w:numPr>
          <w:ilvl w:val="0"/>
          <w:numId w:val="25"/>
        </w:numPr>
        <w:spacing w:before="120" w:after="120" w:line="360" w:lineRule="auto"/>
        <w:ind w:left="993"/>
        <w:jc w:val="both"/>
      </w:pPr>
      <w:r w:rsidRPr="00CF06CF">
        <w:t xml:space="preserve">usnadnění přechodu k udržitelné a digitální ekonomice, kam spadá moderní přístup v oblasti energetiky. </w:t>
      </w:r>
    </w:p>
    <w:p w14:paraId="67E05631" w14:textId="0656C41A" w:rsidR="005A23DF" w:rsidRPr="00CF06CF" w:rsidRDefault="00CA09E1" w:rsidP="00E50C5F">
      <w:pPr>
        <w:spacing w:before="120" w:after="120" w:line="360" w:lineRule="auto"/>
        <w:ind w:firstLine="284"/>
        <w:contextualSpacing/>
        <w:jc w:val="both"/>
      </w:pPr>
      <w:r w:rsidRPr="00CF06CF">
        <w:t>Na jednotlivé aktivity je připraveno celkem 81,5 miliard korun. Žádat o podporu z programu mohou firmy z celé ČR s výjimkou projektů realizovaných na území hl. m. Prahy.</w:t>
      </w:r>
    </w:p>
    <w:p w14:paraId="24577590" w14:textId="0C0C85A2" w:rsidR="005A23DF" w:rsidRPr="00CF06CF" w:rsidRDefault="00CA09E1" w:rsidP="004F4F08">
      <w:pPr>
        <w:spacing w:before="120" w:after="120" w:line="360" w:lineRule="auto"/>
        <w:contextualSpacing/>
        <w:jc w:val="both"/>
      </w:pPr>
      <w:r w:rsidRPr="00CF06CF">
        <w:rPr>
          <w:b/>
        </w:rPr>
        <w:t>Česko-norská spolupráce ve výzkumu a vývoji technologií CCS</w:t>
      </w:r>
      <w:r w:rsidRPr="00CF06CF">
        <w:t xml:space="preserve"> je důležitým nástrojem pro zmírnění změn klimatu. Jedná se o zachytávání a ukládání uhlíku, tzv. CCS (z anglického </w:t>
      </w:r>
      <w:proofErr w:type="spellStart"/>
      <w:r w:rsidRPr="00CF06CF">
        <w:lastRenderedPageBreak/>
        <w:t>Carbon</w:t>
      </w:r>
      <w:proofErr w:type="spellEnd"/>
      <w:r w:rsidRPr="00CF06CF">
        <w:t xml:space="preserve"> </w:t>
      </w:r>
      <w:proofErr w:type="spellStart"/>
      <w:r w:rsidRPr="00CF06CF">
        <w:t>Capture</w:t>
      </w:r>
      <w:proofErr w:type="spellEnd"/>
      <w:r w:rsidRPr="00CF06CF">
        <w:t xml:space="preserve"> and </w:t>
      </w:r>
      <w:proofErr w:type="spellStart"/>
      <w:r w:rsidRPr="00CF06CF">
        <w:t>Storage</w:t>
      </w:r>
      <w:proofErr w:type="spellEnd"/>
      <w:r w:rsidRPr="00CF06CF">
        <w:t xml:space="preserve">). Tato výzva je hrazena z programu KAPPA </w:t>
      </w:r>
      <w:r w:rsidR="0083057C" w:rsidRPr="00CF06CF">
        <w:t xml:space="preserve">(TA ČR) </w:t>
      </w:r>
      <w:r w:rsidRPr="00CF06CF">
        <w:t>a z Fondů EHP a Norska. Spolupráce s norskými subjekty je pro Českou republiku příležitostí získat zkušenosti a mezinárodní kontakty, které pak moho</w:t>
      </w:r>
      <w:r w:rsidR="00E21B90" w:rsidRPr="00CF06CF">
        <w:t>u</w:t>
      </w:r>
      <w:r w:rsidRPr="00CF06CF">
        <w:t xml:space="preserve"> výzkumníci využít například pro další spolupráce v rámci </w:t>
      </w:r>
      <w:r w:rsidR="00E54B22" w:rsidRPr="00CF06CF">
        <w:t>p</w:t>
      </w:r>
      <w:r w:rsidRPr="00CF06CF">
        <w:t>rogramu KAPPA a v dalších mezinárodních programech.</w:t>
      </w:r>
    </w:p>
    <w:p w14:paraId="4A45CE08" w14:textId="43345AA5" w:rsidR="005A23DF" w:rsidRPr="00CF06CF" w:rsidRDefault="00CA09E1" w:rsidP="00E50C5F">
      <w:pPr>
        <w:spacing w:before="120" w:after="120" w:line="360" w:lineRule="auto"/>
        <w:ind w:firstLine="284"/>
        <w:contextualSpacing/>
        <w:jc w:val="both"/>
      </w:pPr>
      <w:proofErr w:type="spellStart"/>
      <w:r w:rsidRPr="00CF06CF">
        <w:rPr>
          <w:b/>
        </w:rPr>
        <w:t>Horizon</w:t>
      </w:r>
      <w:proofErr w:type="spellEnd"/>
      <w:r w:rsidRPr="00CF06CF">
        <w:rPr>
          <w:b/>
        </w:rPr>
        <w:t xml:space="preserve"> </w:t>
      </w:r>
      <w:proofErr w:type="spellStart"/>
      <w:r w:rsidRPr="00CF06CF">
        <w:rPr>
          <w:b/>
        </w:rPr>
        <w:t>Europe</w:t>
      </w:r>
      <w:proofErr w:type="spellEnd"/>
      <w:r w:rsidRPr="00CF06CF">
        <w:rPr>
          <w:b/>
        </w:rPr>
        <w:t xml:space="preserve"> </w:t>
      </w:r>
      <w:r w:rsidRPr="00CF06CF">
        <w:t>(2021</w:t>
      </w:r>
      <w:r w:rsidR="00E54B22" w:rsidRPr="00CF06CF">
        <w:t>–</w:t>
      </w:r>
      <w:r w:rsidRPr="00CF06CF">
        <w:t>2027) je v současnosti klíčový program EU, navazující na program Horizon 2020, sloužící k financování výzkumu a inovací. Má pomoci v boji proti změně klimatu, při dosahování cílů OSN v oblasti udržitelného rozvoje a posilovat konkurenceschopnost a</w:t>
      </w:r>
      <w:r w:rsidR="00F03D89" w:rsidRPr="00CF06CF">
        <w:t> </w:t>
      </w:r>
      <w:r w:rsidRPr="00CF06CF">
        <w:t>růst EU. Program usnadňuje spolupráci a posiluje dopad výzkumu a inovací při rozvoji, podpoře a provádění politik EU při řešení globálních výzev. Má podpořit generování a šíření špičkových odborných poznatků a technologií. Vytváří pracovní místa, pomáhá plně zapojit nejtalentovanější lidi, podporovat hospodářský růst a konkurenceschopnost průmyslu a</w:t>
      </w:r>
      <w:r w:rsidR="00F03D89" w:rsidRPr="00CF06CF">
        <w:t> </w:t>
      </w:r>
      <w:r w:rsidRPr="00CF06CF">
        <w:t>optimalizovat investiční dopad v rámci posílení Evropského výzkumného prostoru. Zapojit se do něj mohou právní subjekty z EU a přidružených zemí.</w:t>
      </w:r>
      <w:r w:rsidR="005A324F" w:rsidRPr="00CF06CF">
        <w:t xml:space="preserve"> Jedním z nástrojů </w:t>
      </w:r>
      <w:proofErr w:type="spellStart"/>
      <w:r w:rsidR="005A324F" w:rsidRPr="00CF06CF">
        <w:t>Horizon</w:t>
      </w:r>
      <w:proofErr w:type="spellEnd"/>
      <w:r w:rsidR="005A324F" w:rsidRPr="00CF06CF">
        <w:t xml:space="preserve"> </w:t>
      </w:r>
      <w:proofErr w:type="spellStart"/>
      <w:r w:rsidR="005A324F" w:rsidRPr="00CF06CF">
        <w:t>Europe</w:t>
      </w:r>
      <w:proofErr w:type="spellEnd"/>
      <w:r w:rsidR="005A324F" w:rsidRPr="00CF06CF">
        <w:t xml:space="preserve"> s dosahem do oblasti energetiky jsou</w:t>
      </w:r>
      <w:r w:rsidRPr="00CF06CF">
        <w:rPr>
          <w:b/>
        </w:rPr>
        <w:t xml:space="preserve"> </w:t>
      </w:r>
      <w:r w:rsidR="005A324F" w:rsidRPr="00CF06CF">
        <w:rPr>
          <w:b/>
        </w:rPr>
        <w:t>E</w:t>
      </w:r>
      <w:r w:rsidRPr="00CF06CF">
        <w:rPr>
          <w:b/>
        </w:rPr>
        <w:t xml:space="preserve">vropská </w:t>
      </w:r>
      <w:r w:rsidR="005A324F" w:rsidRPr="00CF06CF">
        <w:rPr>
          <w:b/>
        </w:rPr>
        <w:t>p</w:t>
      </w:r>
      <w:r w:rsidRPr="00CF06CF">
        <w:rPr>
          <w:b/>
        </w:rPr>
        <w:t>artnerství</w:t>
      </w:r>
      <w:r w:rsidRPr="00CF06CF">
        <w:t>:</w:t>
      </w:r>
    </w:p>
    <w:p w14:paraId="72FDF600" w14:textId="338ADCCB" w:rsidR="005A23DF" w:rsidRPr="00CF06CF" w:rsidRDefault="00CA09E1" w:rsidP="00E50C5F">
      <w:pPr>
        <w:pStyle w:val="Odstavecseseznamem"/>
        <w:numPr>
          <w:ilvl w:val="0"/>
          <w:numId w:val="27"/>
        </w:numPr>
        <w:spacing w:before="120" w:after="120" w:line="360" w:lineRule="auto"/>
        <w:ind w:left="993"/>
        <w:jc w:val="both"/>
      </w:pPr>
      <w:proofErr w:type="spellStart"/>
      <w:r w:rsidRPr="00CF06CF">
        <w:t>Driving</w:t>
      </w:r>
      <w:proofErr w:type="spellEnd"/>
      <w:r w:rsidRPr="00CF06CF">
        <w:t xml:space="preserve"> </w:t>
      </w:r>
      <w:proofErr w:type="spellStart"/>
      <w:r w:rsidRPr="00CF06CF">
        <w:t>urban</w:t>
      </w:r>
      <w:proofErr w:type="spellEnd"/>
      <w:r w:rsidRPr="00CF06CF">
        <w:t xml:space="preserve"> </w:t>
      </w:r>
      <w:proofErr w:type="spellStart"/>
      <w:r w:rsidRPr="00CF06CF">
        <w:t>transition</w:t>
      </w:r>
      <w:proofErr w:type="spellEnd"/>
      <w:r w:rsidRPr="00CF06CF">
        <w:t xml:space="preserve"> </w:t>
      </w:r>
      <w:r w:rsidR="00376145" w:rsidRPr="00CF06CF">
        <w:t xml:space="preserve">– DUT </w:t>
      </w:r>
      <w:r w:rsidRPr="00CF06CF">
        <w:t xml:space="preserve">(neboli </w:t>
      </w:r>
      <w:proofErr w:type="spellStart"/>
      <w:r w:rsidRPr="00CF06CF">
        <w:t>Sustainable</w:t>
      </w:r>
      <w:proofErr w:type="spellEnd"/>
      <w:r w:rsidRPr="00CF06CF">
        <w:t xml:space="preserve">, </w:t>
      </w:r>
      <w:proofErr w:type="spellStart"/>
      <w:r w:rsidRPr="00CF06CF">
        <w:t>smart</w:t>
      </w:r>
      <w:proofErr w:type="spellEnd"/>
      <w:r w:rsidRPr="00CF06CF">
        <w:t xml:space="preserve"> and </w:t>
      </w:r>
      <w:proofErr w:type="spellStart"/>
      <w:r w:rsidRPr="00CF06CF">
        <w:t>inclusive</w:t>
      </w:r>
      <w:proofErr w:type="spellEnd"/>
      <w:r w:rsidRPr="00CF06CF">
        <w:t xml:space="preserve"> </w:t>
      </w:r>
      <w:proofErr w:type="spellStart"/>
      <w:r w:rsidRPr="00CF06CF">
        <w:t>cities</w:t>
      </w:r>
      <w:proofErr w:type="spellEnd"/>
      <w:r w:rsidRPr="00CF06CF">
        <w:t xml:space="preserve"> and</w:t>
      </w:r>
      <w:r w:rsidR="00F03D89" w:rsidRPr="00CF06CF">
        <w:t> </w:t>
      </w:r>
      <w:proofErr w:type="spellStart"/>
      <w:r w:rsidRPr="00CF06CF">
        <w:t>communities</w:t>
      </w:r>
      <w:proofErr w:type="spellEnd"/>
      <w:r w:rsidRPr="00CF06CF">
        <w:t xml:space="preserve"> SSI-CC): Partnerství (DUT) není zaměřené pouze na energetiku, a</w:t>
      </w:r>
      <w:r w:rsidR="005A324F" w:rsidRPr="00CF06CF">
        <w:t xml:space="preserve"> dříve</w:t>
      </w:r>
      <w:r w:rsidRPr="00CF06CF">
        <w:t xml:space="preserve"> z programu THÉTA </w:t>
      </w:r>
      <w:r w:rsidR="005A324F" w:rsidRPr="00CF06CF">
        <w:t>byla</w:t>
      </w:r>
      <w:r w:rsidRPr="00CF06CF">
        <w:t xml:space="preserve"> podpořena </w:t>
      </w:r>
      <w:r w:rsidR="005A324F" w:rsidRPr="00CF06CF">
        <w:t>pouze jeho</w:t>
      </w:r>
      <w:r w:rsidRPr="00CF06CF">
        <w:t xml:space="preserve"> energetická část. </w:t>
      </w:r>
      <w:r w:rsidR="005A324F" w:rsidRPr="00CF06CF">
        <w:t>Návazná podpora bude pokračovat z programu SIGMA.</w:t>
      </w:r>
    </w:p>
    <w:p w14:paraId="13D349D3" w14:textId="32AA13DA" w:rsidR="005A23DF" w:rsidRPr="00CF06CF" w:rsidRDefault="00CA09E1" w:rsidP="00E50C5F">
      <w:pPr>
        <w:pStyle w:val="Odstavecseseznamem"/>
        <w:numPr>
          <w:ilvl w:val="0"/>
          <w:numId w:val="27"/>
        </w:numPr>
        <w:spacing w:before="120" w:after="120" w:line="360" w:lineRule="auto"/>
        <w:ind w:left="993"/>
        <w:jc w:val="both"/>
      </w:pPr>
      <w:proofErr w:type="spellStart"/>
      <w:r w:rsidRPr="00CF06CF">
        <w:t>Clean</w:t>
      </w:r>
      <w:proofErr w:type="spellEnd"/>
      <w:r w:rsidRPr="00CF06CF">
        <w:t xml:space="preserve"> </w:t>
      </w:r>
      <w:proofErr w:type="spellStart"/>
      <w:r w:rsidRPr="00CF06CF">
        <w:t>Energy</w:t>
      </w:r>
      <w:proofErr w:type="spellEnd"/>
      <w:r w:rsidRPr="00CF06CF">
        <w:t xml:space="preserve"> </w:t>
      </w:r>
      <w:proofErr w:type="spellStart"/>
      <w:r w:rsidRPr="00CF06CF">
        <w:t>Transition</w:t>
      </w:r>
      <w:proofErr w:type="spellEnd"/>
      <w:r w:rsidRPr="00CF06CF">
        <w:t xml:space="preserve"> </w:t>
      </w:r>
      <w:r w:rsidR="00376145" w:rsidRPr="00CF06CF">
        <w:t>– CET</w:t>
      </w:r>
      <w:r w:rsidRPr="00CF06CF">
        <w:t>: Partnerství CET se skládá z tzv. „</w:t>
      </w:r>
      <w:proofErr w:type="spellStart"/>
      <w:r w:rsidRPr="00CF06CF">
        <w:t>Transition</w:t>
      </w:r>
      <w:proofErr w:type="spellEnd"/>
      <w:r w:rsidRPr="00CF06CF">
        <w:t xml:space="preserve"> </w:t>
      </w:r>
      <w:proofErr w:type="spellStart"/>
      <w:r w:rsidRPr="00CF06CF">
        <w:t>Initiatives</w:t>
      </w:r>
      <w:proofErr w:type="spellEnd"/>
      <w:r w:rsidRPr="00CF06CF">
        <w:t>“:</w:t>
      </w:r>
      <w:r w:rsidRPr="00CF06CF">
        <w:rPr>
          <w:rFonts w:eastAsia="Times New Roman"/>
        </w:rPr>
        <w:t xml:space="preserve"> </w:t>
      </w:r>
      <w:proofErr w:type="spellStart"/>
      <w:r w:rsidRPr="00CF06CF">
        <w:t>Transition</w:t>
      </w:r>
      <w:proofErr w:type="spellEnd"/>
      <w:r w:rsidRPr="00CF06CF">
        <w:t xml:space="preserve"> </w:t>
      </w:r>
      <w:proofErr w:type="spellStart"/>
      <w:r w:rsidRPr="00CF06CF">
        <w:t>Initiative</w:t>
      </w:r>
      <w:proofErr w:type="spellEnd"/>
      <w:r w:rsidRPr="00CF06CF">
        <w:t xml:space="preserve"> 1: </w:t>
      </w:r>
      <w:proofErr w:type="spellStart"/>
      <w:r w:rsidRPr="00CF06CF">
        <w:t>Optimised</w:t>
      </w:r>
      <w:proofErr w:type="spellEnd"/>
      <w:r w:rsidRPr="00CF06CF">
        <w:t xml:space="preserve"> </w:t>
      </w:r>
      <w:proofErr w:type="spellStart"/>
      <w:r w:rsidRPr="00CF06CF">
        <w:t>integrated</w:t>
      </w:r>
      <w:proofErr w:type="spellEnd"/>
      <w:r w:rsidRPr="00CF06CF">
        <w:t xml:space="preserve"> </w:t>
      </w:r>
      <w:proofErr w:type="spellStart"/>
      <w:r w:rsidRPr="00CF06CF">
        <w:t>European</w:t>
      </w:r>
      <w:proofErr w:type="spellEnd"/>
      <w:r w:rsidRPr="00CF06CF">
        <w:t xml:space="preserve"> </w:t>
      </w:r>
      <w:proofErr w:type="spellStart"/>
      <w:r w:rsidRPr="00CF06CF">
        <w:t>net-zero</w:t>
      </w:r>
      <w:proofErr w:type="spellEnd"/>
      <w:r w:rsidRPr="00CF06CF">
        <w:t xml:space="preserve"> </w:t>
      </w:r>
      <w:proofErr w:type="spellStart"/>
      <w:r w:rsidRPr="00CF06CF">
        <w:t>emissions</w:t>
      </w:r>
      <w:proofErr w:type="spellEnd"/>
      <w:r w:rsidRPr="00CF06CF">
        <w:t xml:space="preserve"> </w:t>
      </w:r>
      <w:proofErr w:type="spellStart"/>
      <w:r w:rsidRPr="00CF06CF">
        <w:t>Energy</w:t>
      </w:r>
      <w:proofErr w:type="spellEnd"/>
      <w:r w:rsidRPr="00CF06CF">
        <w:t xml:space="preserve"> </w:t>
      </w:r>
      <w:proofErr w:type="spellStart"/>
      <w:r w:rsidRPr="00CF06CF">
        <w:t>System</w:t>
      </w:r>
      <w:proofErr w:type="spellEnd"/>
      <w:r w:rsidRPr="00CF06CF">
        <w:t xml:space="preserve">; </w:t>
      </w:r>
      <w:proofErr w:type="spellStart"/>
      <w:r w:rsidRPr="00CF06CF">
        <w:t>Transition</w:t>
      </w:r>
      <w:proofErr w:type="spellEnd"/>
      <w:r w:rsidRPr="00CF06CF">
        <w:t xml:space="preserve"> </w:t>
      </w:r>
      <w:proofErr w:type="spellStart"/>
      <w:r w:rsidRPr="00CF06CF">
        <w:t>Initiative</w:t>
      </w:r>
      <w:proofErr w:type="spellEnd"/>
      <w:r w:rsidRPr="00CF06CF">
        <w:t xml:space="preserve"> 2: </w:t>
      </w:r>
      <w:proofErr w:type="spellStart"/>
      <w:r w:rsidRPr="00CF06CF">
        <w:t>Enhanced</w:t>
      </w:r>
      <w:proofErr w:type="spellEnd"/>
      <w:r w:rsidRPr="00CF06CF">
        <w:t xml:space="preserve"> </w:t>
      </w:r>
      <w:proofErr w:type="spellStart"/>
      <w:r w:rsidRPr="00CF06CF">
        <w:t>zero</w:t>
      </w:r>
      <w:proofErr w:type="spellEnd"/>
      <w:r w:rsidRPr="00CF06CF">
        <w:t xml:space="preserve"> </w:t>
      </w:r>
      <w:proofErr w:type="spellStart"/>
      <w:r w:rsidRPr="00CF06CF">
        <w:t>emission</w:t>
      </w:r>
      <w:proofErr w:type="spellEnd"/>
      <w:r w:rsidRPr="00CF06CF">
        <w:t xml:space="preserve"> </w:t>
      </w:r>
      <w:proofErr w:type="spellStart"/>
      <w:r w:rsidRPr="00CF06CF">
        <w:t>Power</w:t>
      </w:r>
      <w:proofErr w:type="spellEnd"/>
      <w:r w:rsidRPr="00CF06CF">
        <w:t xml:space="preserve"> Technologies; </w:t>
      </w:r>
      <w:proofErr w:type="spellStart"/>
      <w:r w:rsidRPr="00CF06CF">
        <w:t>Transition</w:t>
      </w:r>
      <w:proofErr w:type="spellEnd"/>
      <w:r w:rsidRPr="00CF06CF">
        <w:t xml:space="preserve"> </w:t>
      </w:r>
      <w:proofErr w:type="spellStart"/>
      <w:r w:rsidRPr="00CF06CF">
        <w:t>Initiative</w:t>
      </w:r>
      <w:proofErr w:type="spellEnd"/>
      <w:r w:rsidRPr="00CF06CF">
        <w:t xml:space="preserve"> 3: </w:t>
      </w:r>
      <w:proofErr w:type="spellStart"/>
      <w:r w:rsidRPr="00CF06CF">
        <w:t>Enabling</w:t>
      </w:r>
      <w:proofErr w:type="spellEnd"/>
      <w:r w:rsidRPr="00CF06CF">
        <w:t xml:space="preserve"> </w:t>
      </w:r>
      <w:proofErr w:type="spellStart"/>
      <w:r w:rsidRPr="00CF06CF">
        <w:t>Climate</w:t>
      </w:r>
      <w:proofErr w:type="spellEnd"/>
      <w:r w:rsidRPr="00CF06CF">
        <w:t xml:space="preserve"> Neutrality </w:t>
      </w:r>
      <w:proofErr w:type="spellStart"/>
      <w:r w:rsidRPr="00CF06CF">
        <w:t>with</w:t>
      </w:r>
      <w:proofErr w:type="spellEnd"/>
      <w:r w:rsidRPr="00CF06CF">
        <w:t xml:space="preserve"> </w:t>
      </w:r>
      <w:proofErr w:type="spellStart"/>
      <w:r w:rsidRPr="00CF06CF">
        <w:t>Storage</w:t>
      </w:r>
      <w:proofErr w:type="spellEnd"/>
      <w:r w:rsidRPr="00CF06CF">
        <w:t xml:space="preserve"> Technologies, </w:t>
      </w:r>
      <w:proofErr w:type="spellStart"/>
      <w:r w:rsidRPr="00CF06CF">
        <w:t>Renewable</w:t>
      </w:r>
      <w:proofErr w:type="spellEnd"/>
      <w:r w:rsidRPr="00CF06CF">
        <w:t xml:space="preserve"> </w:t>
      </w:r>
      <w:proofErr w:type="spellStart"/>
      <w:r w:rsidRPr="00CF06CF">
        <w:t>Fuels</w:t>
      </w:r>
      <w:proofErr w:type="spellEnd"/>
      <w:r w:rsidRPr="00CF06CF">
        <w:t xml:space="preserve"> and CCU/CCS; </w:t>
      </w:r>
      <w:proofErr w:type="spellStart"/>
      <w:r w:rsidRPr="00CF06CF">
        <w:t>Transition</w:t>
      </w:r>
      <w:proofErr w:type="spellEnd"/>
      <w:r w:rsidRPr="00CF06CF">
        <w:t xml:space="preserve"> </w:t>
      </w:r>
      <w:proofErr w:type="spellStart"/>
      <w:r w:rsidRPr="00CF06CF">
        <w:t>Initiative</w:t>
      </w:r>
      <w:proofErr w:type="spellEnd"/>
      <w:r w:rsidRPr="00CF06CF">
        <w:t xml:space="preserve"> 4: </w:t>
      </w:r>
      <w:proofErr w:type="spellStart"/>
      <w:r w:rsidRPr="00CF06CF">
        <w:t>Efficient</w:t>
      </w:r>
      <w:proofErr w:type="spellEnd"/>
      <w:r w:rsidRPr="00CF06CF">
        <w:t xml:space="preserve"> </w:t>
      </w:r>
      <w:proofErr w:type="spellStart"/>
      <w:r w:rsidRPr="00CF06CF">
        <w:t>zero</w:t>
      </w:r>
      <w:proofErr w:type="spellEnd"/>
      <w:r w:rsidRPr="00CF06CF">
        <w:t xml:space="preserve"> </w:t>
      </w:r>
      <w:proofErr w:type="spellStart"/>
      <w:r w:rsidRPr="00CF06CF">
        <w:t>emission</w:t>
      </w:r>
      <w:proofErr w:type="spellEnd"/>
      <w:r w:rsidRPr="00CF06CF">
        <w:t xml:space="preserve"> </w:t>
      </w:r>
      <w:proofErr w:type="spellStart"/>
      <w:r w:rsidRPr="00CF06CF">
        <w:t>Heating</w:t>
      </w:r>
      <w:proofErr w:type="spellEnd"/>
      <w:r w:rsidRPr="00CF06CF">
        <w:t xml:space="preserve"> and </w:t>
      </w:r>
      <w:proofErr w:type="spellStart"/>
      <w:r w:rsidRPr="00CF06CF">
        <w:t>Cooling</w:t>
      </w:r>
      <w:proofErr w:type="spellEnd"/>
      <w:r w:rsidRPr="00CF06CF">
        <w:t xml:space="preserve"> </w:t>
      </w:r>
      <w:proofErr w:type="spellStart"/>
      <w:r w:rsidRPr="00CF06CF">
        <w:t>Solutions</w:t>
      </w:r>
      <w:proofErr w:type="spellEnd"/>
      <w:r w:rsidRPr="00CF06CF">
        <w:t xml:space="preserve">; </w:t>
      </w:r>
      <w:proofErr w:type="spellStart"/>
      <w:r w:rsidRPr="00CF06CF">
        <w:t>Transition</w:t>
      </w:r>
      <w:proofErr w:type="spellEnd"/>
      <w:r w:rsidRPr="00CF06CF">
        <w:t xml:space="preserve"> </w:t>
      </w:r>
      <w:proofErr w:type="spellStart"/>
      <w:r w:rsidRPr="00CF06CF">
        <w:t>Initiative</w:t>
      </w:r>
      <w:proofErr w:type="spellEnd"/>
      <w:r w:rsidRPr="00CF06CF">
        <w:t xml:space="preserve"> 5: </w:t>
      </w:r>
      <w:proofErr w:type="spellStart"/>
      <w:r w:rsidRPr="00CF06CF">
        <w:t>Integrated</w:t>
      </w:r>
      <w:proofErr w:type="spellEnd"/>
      <w:r w:rsidRPr="00CF06CF">
        <w:t xml:space="preserve"> </w:t>
      </w:r>
      <w:proofErr w:type="spellStart"/>
      <w:r w:rsidRPr="00CF06CF">
        <w:t>Regional</w:t>
      </w:r>
      <w:proofErr w:type="spellEnd"/>
      <w:r w:rsidRPr="00CF06CF">
        <w:t xml:space="preserve"> </w:t>
      </w:r>
      <w:proofErr w:type="spellStart"/>
      <w:r w:rsidRPr="00CF06CF">
        <w:t>Energy</w:t>
      </w:r>
      <w:proofErr w:type="spellEnd"/>
      <w:r w:rsidRPr="00CF06CF">
        <w:t xml:space="preserve"> Systems; </w:t>
      </w:r>
      <w:proofErr w:type="spellStart"/>
      <w:r w:rsidRPr="00CF06CF">
        <w:t>Transition</w:t>
      </w:r>
      <w:proofErr w:type="spellEnd"/>
      <w:r w:rsidRPr="00CF06CF">
        <w:t xml:space="preserve"> </w:t>
      </w:r>
      <w:proofErr w:type="spellStart"/>
      <w:r w:rsidRPr="00CF06CF">
        <w:t>Initiative</w:t>
      </w:r>
      <w:proofErr w:type="spellEnd"/>
      <w:r w:rsidRPr="00CF06CF">
        <w:t xml:space="preserve"> 6: </w:t>
      </w:r>
      <w:proofErr w:type="spellStart"/>
      <w:r w:rsidRPr="00CF06CF">
        <w:t>Integrated</w:t>
      </w:r>
      <w:proofErr w:type="spellEnd"/>
      <w:r w:rsidRPr="00CF06CF">
        <w:t xml:space="preserve"> </w:t>
      </w:r>
      <w:proofErr w:type="spellStart"/>
      <w:r w:rsidRPr="00CF06CF">
        <w:t>Industrial</w:t>
      </w:r>
      <w:proofErr w:type="spellEnd"/>
      <w:r w:rsidRPr="00CF06CF">
        <w:t xml:space="preserve"> </w:t>
      </w:r>
      <w:proofErr w:type="spellStart"/>
      <w:r w:rsidRPr="00CF06CF">
        <w:t>Energy</w:t>
      </w:r>
      <w:proofErr w:type="spellEnd"/>
      <w:r w:rsidRPr="00CF06CF">
        <w:t xml:space="preserve"> Systems; </w:t>
      </w:r>
      <w:proofErr w:type="spellStart"/>
      <w:r w:rsidRPr="00CF06CF">
        <w:t>Transition</w:t>
      </w:r>
      <w:proofErr w:type="spellEnd"/>
      <w:r w:rsidRPr="00CF06CF">
        <w:t xml:space="preserve"> </w:t>
      </w:r>
      <w:proofErr w:type="spellStart"/>
      <w:r w:rsidRPr="00CF06CF">
        <w:t>Initiative</w:t>
      </w:r>
      <w:proofErr w:type="spellEnd"/>
      <w:r w:rsidRPr="00CF06CF">
        <w:t xml:space="preserve"> 7: </w:t>
      </w:r>
      <w:proofErr w:type="spellStart"/>
      <w:r w:rsidRPr="00CF06CF">
        <w:t>Integration</w:t>
      </w:r>
      <w:proofErr w:type="spellEnd"/>
      <w:r w:rsidRPr="00CF06CF">
        <w:t xml:space="preserve"> in </w:t>
      </w:r>
      <w:proofErr w:type="spellStart"/>
      <w:r w:rsidRPr="00CF06CF">
        <w:t>the</w:t>
      </w:r>
      <w:proofErr w:type="spellEnd"/>
      <w:r w:rsidRPr="00CF06CF">
        <w:t xml:space="preserve"> </w:t>
      </w:r>
      <w:proofErr w:type="spellStart"/>
      <w:r w:rsidRPr="00CF06CF">
        <w:t>built</w:t>
      </w:r>
      <w:proofErr w:type="spellEnd"/>
      <w:r w:rsidRPr="00CF06CF">
        <w:t xml:space="preserve"> </w:t>
      </w:r>
      <w:proofErr w:type="spellStart"/>
      <w:r w:rsidRPr="00CF06CF">
        <w:t>Environment</w:t>
      </w:r>
      <w:proofErr w:type="spellEnd"/>
      <w:r w:rsidR="005A324F" w:rsidRPr="00CF06CF">
        <w:t>. Podpora CET se rovněž předpokládá z programu SIGMA.</w:t>
      </w:r>
    </w:p>
    <w:p w14:paraId="15544551" w14:textId="0360DC21" w:rsidR="005A23DF" w:rsidRPr="00CF06CF" w:rsidRDefault="00CA09E1" w:rsidP="00E50C5F">
      <w:pPr>
        <w:spacing w:before="120" w:after="120" w:line="360" w:lineRule="auto"/>
        <w:ind w:firstLine="284"/>
        <w:contextualSpacing/>
        <w:jc w:val="both"/>
      </w:pPr>
      <w:r w:rsidRPr="00CF06CF">
        <w:t>Programy podpory výzkumu a vývoje podobné programu THÉTA 2 existují v řadě evropských zemí. Například v Rakousku jsou základní cíle pro energetický výzkum a vývoj definovány s cílem plnění klimaticko-energetických závazků. Hlavní zdrojem finančních prostředků pro energetický výzkum a vývoj je od roku 2007 „</w:t>
      </w:r>
      <w:proofErr w:type="spellStart"/>
      <w:r w:rsidRPr="00CF06CF">
        <w:rPr>
          <w:b/>
        </w:rPr>
        <w:t>Climate</w:t>
      </w:r>
      <w:proofErr w:type="spellEnd"/>
      <w:r w:rsidRPr="00CF06CF">
        <w:rPr>
          <w:b/>
        </w:rPr>
        <w:t xml:space="preserve"> and </w:t>
      </w:r>
      <w:proofErr w:type="spellStart"/>
      <w:r w:rsidRPr="00CF06CF">
        <w:rPr>
          <w:b/>
        </w:rPr>
        <w:t>Energy</w:t>
      </w:r>
      <w:proofErr w:type="spellEnd"/>
      <w:r w:rsidRPr="00CF06CF">
        <w:rPr>
          <w:b/>
        </w:rPr>
        <w:t xml:space="preserve"> </w:t>
      </w:r>
      <w:proofErr w:type="spellStart"/>
      <w:r w:rsidRPr="00CF06CF">
        <w:rPr>
          <w:b/>
        </w:rPr>
        <w:t>Fund</w:t>
      </w:r>
      <w:proofErr w:type="spellEnd"/>
      <w:r w:rsidRPr="00CF06CF">
        <w:rPr>
          <w:b/>
        </w:rPr>
        <w:t>“</w:t>
      </w:r>
      <w:r w:rsidRPr="00CF06CF">
        <w:t xml:space="preserve"> (spravovaný společně ministerstvy BMVIT – doprava, inovace a technologie a BMLFUW – věda, výzkum a ekonomika). Tento program podporuje projekty v oblasti budov, mobility, výroby a dodávek energie, které se zaměřují konkrétně na sektory, </w:t>
      </w:r>
      <w:r w:rsidR="00E54B22" w:rsidRPr="00CF06CF">
        <w:t>jež</w:t>
      </w:r>
      <w:r w:rsidRPr="00CF06CF">
        <w:t xml:space="preserve"> jsou v současnosti odpovědné za většinu emisí skleníkových plynů. Rakousko je velice aktivní při přípravě a</w:t>
      </w:r>
      <w:r w:rsidR="00765C02" w:rsidRPr="00CF06CF">
        <w:t> </w:t>
      </w:r>
      <w:r w:rsidRPr="00CF06CF">
        <w:t xml:space="preserve">implementaci </w:t>
      </w:r>
      <w:r w:rsidR="00E54B22" w:rsidRPr="00CF06CF">
        <w:t>p</w:t>
      </w:r>
      <w:r w:rsidRPr="00CF06CF">
        <w:t>artnerství CET.</w:t>
      </w:r>
    </w:p>
    <w:p w14:paraId="5CF3E55A" w14:textId="728031EB" w:rsidR="005A23DF" w:rsidRPr="00CF06CF" w:rsidRDefault="00CA09E1" w:rsidP="00E50C5F">
      <w:pPr>
        <w:spacing w:before="120" w:after="120" w:line="360" w:lineRule="auto"/>
        <w:ind w:firstLine="284"/>
        <w:contextualSpacing/>
        <w:jc w:val="both"/>
      </w:pPr>
      <w:r w:rsidRPr="00CF06CF">
        <w:lastRenderedPageBreak/>
        <w:t xml:space="preserve">V Německu podpora výzkumu a vývoje (včetně energetického </w:t>
      </w:r>
      <w:proofErr w:type="spellStart"/>
      <w:r w:rsidRPr="00CF06CF">
        <w:t>VaVaI</w:t>
      </w:r>
      <w:proofErr w:type="spellEnd"/>
      <w:r w:rsidRPr="00CF06CF">
        <w:t>) byla vždy na</w:t>
      </w:r>
      <w:r w:rsidR="00765C02" w:rsidRPr="00CF06CF">
        <w:t> </w:t>
      </w:r>
      <w:r w:rsidRPr="00CF06CF">
        <w:t xml:space="preserve">vysoké úrovni s ohledem na průmyslový charakter Německa. Podpora v oblasti energetiky se re-alokovala v souvislosti s </w:t>
      </w:r>
      <w:proofErr w:type="spellStart"/>
      <w:r w:rsidRPr="00CF06CF">
        <w:t>Energiewende</w:t>
      </w:r>
      <w:proofErr w:type="spellEnd"/>
      <w:r w:rsidRPr="00CF06CF">
        <w:t>. Německo vyhlásí v roce 2022 první tender na</w:t>
      </w:r>
      <w:r w:rsidR="00765C02" w:rsidRPr="00CF06CF">
        <w:t> </w:t>
      </w:r>
      <w:r w:rsidRPr="00CF06CF">
        <w:t xml:space="preserve">světě zaměřený na výrobu vodíku z větrné </w:t>
      </w:r>
      <w:proofErr w:type="spellStart"/>
      <w:r w:rsidRPr="00CF06CF">
        <w:t>offshore</w:t>
      </w:r>
      <w:proofErr w:type="spellEnd"/>
      <w:r w:rsidRPr="00CF06CF">
        <w:t xml:space="preserve"> energie. Podporu ve výši 50 milionů </w:t>
      </w:r>
      <w:r w:rsidR="00E54B22" w:rsidRPr="00CF06CF">
        <w:t>EUR</w:t>
      </w:r>
      <w:r w:rsidRPr="00CF06CF">
        <w:t xml:space="preserve"> dostanou výrobci ve výlučné ekonomické zóně Německa v Severním moři. Spolková vláda obecně podporuje výzkum a vývoj v oblasti perspektivních energetických technologií. Využívá pro to zejména </w:t>
      </w:r>
      <w:r w:rsidRPr="00CF06CF">
        <w:rPr>
          <w:b/>
        </w:rPr>
        <w:t xml:space="preserve">„7th </w:t>
      </w:r>
      <w:proofErr w:type="spellStart"/>
      <w:r w:rsidRPr="00CF06CF">
        <w:rPr>
          <w:b/>
        </w:rPr>
        <w:t>Energy</w:t>
      </w:r>
      <w:proofErr w:type="spellEnd"/>
      <w:r w:rsidRPr="00CF06CF">
        <w:rPr>
          <w:b/>
        </w:rPr>
        <w:t xml:space="preserve"> </w:t>
      </w:r>
      <w:proofErr w:type="spellStart"/>
      <w:r w:rsidRPr="00CF06CF">
        <w:rPr>
          <w:b/>
        </w:rPr>
        <w:t>Research</w:t>
      </w:r>
      <w:proofErr w:type="spellEnd"/>
      <w:r w:rsidRPr="00CF06CF">
        <w:rPr>
          <w:b/>
        </w:rPr>
        <w:t xml:space="preserve"> </w:t>
      </w:r>
      <w:proofErr w:type="spellStart"/>
      <w:r w:rsidRPr="00CF06CF">
        <w:rPr>
          <w:b/>
        </w:rPr>
        <w:t>Programme</w:t>
      </w:r>
      <w:proofErr w:type="spellEnd"/>
      <w:r w:rsidRPr="00CF06CF">
        <w:rPr>
          <w:b/>
        </w:rPr>
        <w:t xml:space="preserve"> Program“</w:t>
      </w:r>
      <w:r w:rsidRPr="00CF06CF">
        <w:t xml:space="preserve"> energetického výzkumu. Program je strategickým prvkem energetické politiky federální vlády, jehož cílem je</w:t>
      </w:r>
      <w:r w:rsidR="00765C02" w:rsidRPr="00CF06CF">
        <w:t> </w:t>
      </w:r>
      <w:r w:rsidRPr="00CF06CF">
        <w:t>podporovat tento nepřetržitý výzkum a inovační proces. V této souvislosti je pomoc zaměřena především na technologie, které splňují požadavky energetické transformace. Pokud jde o tematické priority energetické účinnosti a obnovitelných energií, důraz je kladen na financování opatření pro technologie v oblasti výroby větrné a solární energie, vyšší podíl obnovitelných zdrojů v teplárenství prostřednictvím biomasy a geotermální energie, energeticky optimalizované budovy a sousedství a energetické účinnosti v průmyslovém sektoru. Zvláštní význam mají otázky spojené s rozvojem sítí, skladováním energie a</w:t>
      </w:r>
      <w:r w:rsidR="00765C02" w:rsidRPr="00CF06CF">
        <w:t> </w:t>
      </w:r>
      <w:r w:rsidRPr="00CF06CF">
        <w:t>sektorovým propojením integrací nových technologií do energetického systému.</w:t>
      </w:r>
    </w:p>
    <w:p w14:paraId="13B29EFD" w14:textId="41941380" w:rsidR="00857F15" w:rsidRPr="005A324F" w:rsidRDefault="00CA09E1" w:rsidP="00E50C5F">
      <w:pPr>
        <w:spacing w:before="120" w:after="120" w:line="360" w:lineRule="auto"/>
        <w:ind w:firstLine="284"/>
        <w:contextualSpacing/>
        <w:jc w:val="both"/>
      </w:pPr>
      <w:r w:rsidRPr="00CF06CF">
        <w:t xml:space="preserve">Švédsko se stalo inovačním lídrem v několika oblastech jako </w:t>
      </w:r>
      <w:proofErr w:type="spellStart"/>
      <w:r w:rsidRPr="00CF06CF">
        <w:t>smart</w:t>
      </w:r>
      <w:proofErr w:type="spellEnd"/>
      <w:r w:rsidRPr="00CF06CF">
        <w:t xml:space="preserve"> </w:t>
      </w:r>
      <w:proofErr w:type="spellStart"/>
      <w:r w:rsidRPr="00CF06CF">
        <w:t>grids</w:t>
      </w:r>
      <w:proofErr w:type="spellEnd"/>
      <w:r w:rsidRPr="00CF06CF">
        <w:t xml:space="preserve">, druhá generace kapalných biopaliv a rovněž separace a ukládání CO2 do geologického podloží (technologie CCS). Švédská energetická agentura má mnoho programů pokrývajících </w:t>
      </w:r>
      <w:proofErr w:type="spellStart"/>
      <w:r w:rsidRPr="00CF06CF">
        <w:t>elektromobilitu</w:t>
      </w:r>
      <w:proofErr w:type="spellEnd"/>
      <w:r w:rsidRPr="00CF06CF">
        <w:t xml:space="preserve">, </w:t>
      </w:r>
      <w:proofErr w:type="spellStart"/>
      <w:r w:rsidRPr="00CF06CF">
        <w:t>smart</w:t>
      </w:r>
      <w:proofErr w:type="spellEnd"/>
      <w:r w:rsidRPr="00CF06CF">
        <w:t xml:space="preserve"> </w:t>
      </w:r>
      <w:proofErr w:type="spellStart"/>
      <w:r w:rsidRPr="00CF06CF">
        <w:t>grids</w:t>
      </w:r>
      <w:proofErr w:type="spellEnd"/>
      <w:r w:rsidRPr="00CF06CF">
        <w:t>, systémové studie, obnovitelné zdroje (biomasa, vodní energie, v minulosti rovněž solární energie, což bylo následně shledáno jako nepříliš efektivní cesta) či energetické úspory.</w:t>
      </w:r>
    </w:p>
    <w:p w14:paraId="5FECBA35" w14:textId="77777777" w:rsidR="00857F15" w:rsidRPr="005A324F" w:rsidRDefault="00857F15" w:rsidP="00857F15"/>
    <w:p w14:paraId="68BCE24D" w14:textId="17B05D05" w:rsidR="00857F15" w:rsidRPr="005A324F" w:rsidRDefault="00857F15" w:rsidP="00857F15"/>
    <w:p w14:paraId="63ED5385" w14:textId="22A9F2D4" w:rsidR="00857F15" w:rsidRPr="005A324F" w:rsidRDefault="00857F15" w:rsidP="00857F15"/>
    <w:p w14:paraId="6CD57CDD" w14:textId="55241FEC" w:rsidR="005A23DF" w:rsidRPr="005A324F" w:rsidRDefault="00857F15" w:rsidP="00857F15">
      <w:pPr>
        <w:tabs>
          <w:tab w:val="left" w:pos="2130"/>
        </w:tabs>
      </w:pPr>
      <w:r w:rsidRPr="005A324F">
        <w:tab/>
      </w:r>
    </w:p>
    <w:sectPr w:rsidR="005A23DF" w:rsidRPr="005A324F" w:rsidSect="00716028">
      <w:headerReference w:type="default" r:id="rId8"/>
      <w:footerReference w:type="default" r:id="rId9"/>
      <w:headerReference w:type="first" r:id="rId10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5EF768" w14:textId="77777777" w:rsidR="002755E5" w:rsidRDefault="002755E5">
      <w:pPr>
        <w:spacing w:line="240" w:lineRule="auto"/>
      </w:pPr>
      <w:r>
        <w:separator/>
      </w:r>
    </w:p>
  </w:endnote>
  <w:endnote w:type="continuationSeparator" w:id="0">
    <w:p w14:paraId="2A53C222" w14:textId="77777777" w:rsidR="002755E5" w:rsidRDefault="002755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016137"/>
      <w:docPartObj>
        <w:docPartGallery w:val="Page Numbers (Bottom of Page)"/>
        <w:docPartUnique/>
      </w:docPartObj>
    </w:sdtPr>
    <w:sdtEndPr/>
    <w:sdtContent>
      <w:p w14:paraId="6E537C37" w14:textId="5F375D79" w:rsidR="00B61106" w:rsidRDefault="00B6110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512D7C64" w14:textId="77777777" w:rsidR="00B61106" w:rsidRDefault="00B6110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D3158C" w14:textId="77777777" w:rsidR="002755E5" w:rsidRDefault="002755E5">
      <w:pPr>
        <w:spacing w:line="240" w:lineRule="auto"/>
      </w:pPr>
      <w:r>
        <w:separator/>
      </w:r>
    </w:p>
  </w:footnote>
  <w:footnote w:type="continuationSeparator" w:id="0">
    <w:p w14:paraId="28AA08CF" w14:textId="77777777" w:rsidR="002755E5" w:rsidRDefault="002755E5">
      <w:pPr>
        <w:spacing w:line="240" w:lineRule="auto"/>
      </w:pPr>
      <w:r>
        <w:continuationSeparator/>
      </w:r>
    </w:p>
  </w:footnote>
  <w:footnote w:id="1">
    <w:p w14:paraId="4F76664E" w14:textId="77777777" w:rsidR="0033484E" w:rsidRPr="0033484E" w:rsidRDefault="0033484E">
      <w:pPr>
        <w:spacing w:line="240" w:lineRule="auto"/>
        <w:jc w:val="both"/>
        <w:rPr>
          <w:sz w:val="16"/>
          <w:szCs w:val="16"/>
          <w:highlight w:val="yellow"/>
        </w:rPr>
      </w:pPr>
      <w:r w:rsidRPr="0033484E">
        <w:rPr>
          <w:sz w:val="16"/>
          <w:szCs w:val="16"/>
          <w:vertAlign w:val="superscript"/>
        </w:rPr>
        <w:footnoteRef/>
      </w:r>
      <w:r w:rsidRPr="0033484E">
        <w:rPr>
          <w:sz w:val="16"/>
          <w:szCs w:val="16"/>
        </w:rPr>
        <w:t xml:space="preserve"> V současné době probíhá příprava nového Nařízení. Úpravy v částech týkajících se programu se nepředpokládají. Dojde-li přesto k zásadním změnám, program bude upraven v souladu s novou právní úpravou. TA ČR bude změnu konzultovat s ÚOHS. </w:t>
      </w:r>
    </w:p>
  </w:footnote>
  <w:footnote w:id="2">
    <w:p w14:paraId="49132648" w14:textId="3AC72691" w:rsidR="001E0A51" w:rsidRPr="001E0A51" w:rsidRDefault="001E0A51">
      <w:pPr>
        <w:pStyle w:val="Textpoznpodarou"/>
        <w:rPr>
          <w:sz w:val="16"/>
          <w:szCs w:val="16"/>
          <w:lang w:val="cs-CZ"/>
        </w:rPr>
      </w:pPr>
      <w:r w:rsidRPr="001E0A51">
        <w:rPr>
          <w:rStyle w:val="Znakapoznpodarou"/>
          <w:sz w:val="16"/>
          <w:szCs w:val="16"/>
        </w:rPr>
        <w:footnoteRef/>
      </w:r>
      <w:r w:rsidRPr="001E0A51">
        <w:rPr>
          <w:sz w:val="16"/>
          <w:szCs w:val="16"/>
        </w:rPr>
        <w:t xml:space="preserve"> </w:t>
      </w:r>
      <w:r w:rsidRPr="001E0A51">
        <w:rPr>
          <w:sz w:val="16"/>
          <w:szCs w:val="16"/>
          <w:lang w:val="cs-CZ"/>
        </w:rPr>
        <w:t>In: Úřad pro ochranu hospodářské soutěže. [online]. 2012–2022. [cit. 8. listopadu 2022].</w:t>
      </w:r>
    </w:p>
  </w:footnote>
  <w:footnote w:id="3">
    <w:p w14:paraId="0C3F9256" w14:textId="6785B33D" w:rsidR="0033484E" w:rsidRPr="0033484E" w:rsidRDefault="0033484E">
      <w:pPr>
        <w:spacing w:line="240" w:lineRule="auto"/>
        <w:jc w:val="both"/>
        <w:rPr>
          <w:sz w:val="16"/>
          <w:szCs w:val="16"/>
        </w:rPr>
      </w:pPr>
      <w:r w:rsidRPr="0033484E">
        <w:rPr>
          <w:sz w:val="16"/>
          <w:szCs w:val="16"/>
          <w:vertAlign w:val="superscript"/>
        </w:rPr>
        <w:footnoteRef/>
      </w:r>
      <w:r w:rsidRPr="0033484E">
        <w:rPr>
          <w:sz w:val="16"/>
          <w:szCs w:val="16"/>
        </w:rPr>
        <w:t xml:space="preserve"> Dle definice bodu 1</w:t>
      </w:r>
      <w:r w:rsidR="00AE4625">
        <w:rPr>
          <w:sz w:val="16"/>
          <w:szCs w:val="16"/>
        </w:rPr>
        <w:t>6</w:t>
      </w:r>
      <w:r w:rsidRPr="0033484E">
        <w:rPr>
          <w:sz w:val="16"/>
          <w:szCs w:val="16"/>
        </w:rPr>
        <w:t xml:space="preserve"> písm. </w:t>
      </w:r>
      <w:r w:rsidR="00AE4625">
        <w:rPr>
          <w:sz w:val="16"/>
          <w:szCs w:val="16"/>
        </w:rPr>
        <w:t>ff</w:t>
      </w:r>
      <w:r w:rsidRPr="0033484E">
        <w:rPr>
          <w:sz w:val="16"/>
          <w:szCs w:val="16"/>
        </w:rPr>
        <w:t>) Rámce.</w:t>
      </w:r>
    </w:p>
  </w:footnote>
  <w:footnote w:id="4">
    <w:p w14:paraId="7DDD921A" w14:textId="77777777" w:rsidR="0033484E" w:rsidRDefault="0033484E">
      <w:pPr>
        <w:spacing w:line="240" w:lineRule="auto"/>
        <w:jc w:val="both"/>
        <w:rPr>
          <w:sz w:val="16"/>
          <w:szCs w:val="16"/>
        </w:rPr>
      </w:pPr>
      <w:r w:rsidRPr="0033484E">
        <w:rPr>
          <w:sz w:val="16"/>
          <w:szCs w:val="16"/>
          <w:vertAlign w:val="superscript"/>
        </w:rPr>
        <w:footnoteRef/>
      </w:r>
      <w:r w:rsidRPr="0033484E">
        <w:rPr>
          <w:sz w:val="16"/>
          <w:szCs w:val="16"/>
        </w:rPr>
        <w:t xml:space="preserve"> Ekonomickou činností se rozumí nabízení zboží/služeb na trhu bez ohledu na (ne)ziskovost této činnosti.</w:t>
      </w:r>
    </w:p>
  </w:footnote>
  <w:footnote w:id="5">
    <w:p w14:paraId="1D51C6BD" w14:textId="3C738AEE" w:rsidR="0033484E" w:rsidRPr="0033484E" w:rsidRDefault="0033484E">
      <w:pPr>
        <w:pStyle w:val="Textpoznpodarou"/>
        <w:rPr>
          <w:sz w:val="16"/>
          <w:szCs w:val="16"/>
          <w:lang w:val="cs-CZ"/>
        </w:rPr>
      </w:pPr>
      <w:r w:rsidRPr="0033484E">
        <w:rPr>
          <w:rStyle w:val="Znakapoznpodarou"/>
          <w:sz w:val="16"/>
          <w:szCs w:val="16"/>
        </w:rPr>
        <w:footnoteRef/>
      </w:r>
      <w:r w:rsidRPr="0033484E">
        <w:rPr>
          <w:sz w:val="16"/>
          <w:szCs w:val="16"/>
        </w:rPr>
        <w:t xml:space="preserve"> </w:t>
      </w:r>
      <w:r w:rsidRPr="0033484E">
        <w:rPr>
          <w:sz w:val="16"/>
          <w:szCs w:val="16"/>
          <w:lang w:val="cs-CZ"/>
        </w:rPr>
        <w:t>Přesněji se jedná o strategie a legislativní návrhy, které z tzv. Zelené dohody vycházejí. V dalších letech se budou implementovat do národní legislativy a strategických dokumentů.</w:t>
      </w:r>
    </w:p>
  </w:footnote>
  <w:footnote w:id="6">
    <w:p w14:paraId="37C73154" w14:textId="21E2B87F" w:rsidR="0017377B" w:rsidRPr="0017377B" w:rsidRDefault="0017377B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lang w:val="cs-CZ"/>
        </w:rPr>
        <w:t>Schváleno usnesením vlády č. 552 ze dne 19. července 2012.</w:t>
      </w:r>
    </w:p>
  </w:footnote>
  <w:footnote w:id="7">
    <w:p w14:paraId="56591B14" w14:textId="5807933E" w:rsidR="000D4E45" w:rsidRPr="000D4E45" w:rsidRDefault="000D4E45">
      <w:pPr>
        <w:pStyle w:val="Textpoznpodarou"/>
        <w:rPr>
          <w:lang w:val="cs-CZ"/>
        </w:rPr>
      </w:pPr>
      <w:r w:rsidRPr="00CF06CF">
        <w:rPr>
          <w:rStyle w:val="Znakapoznpodarou"/>
        </w:rPr>
        <w:footnoteRef/>
      </w:r>
      <w:r w:rsidRPr="00CF06CF">
        <w:t xml:space="preserve"> </w:t>
      </w:r>
      <w:r w:rsidRPr="00CF06CF">
        <w:rPr>
          <w:lang w:val="cs-CZ"/>
        </w:rPr>
        <w:t>Více viz Příloha 1: Analýza řešené problematiky programu THÉTA 2.</w:t>
      </w:r>
    </w:p>
  </w:footnote>
  <w:footnote w:id="8">
    <w:p w14:paraId="4A24ECBD" w14:textId="77777777" w:rsidR="0033484E" w:rsidRPr="00F03D89" w:rsidRDefault="0033484E">
      <w:pPr>
        <w:spacing w:line="240" w:lineRule="auto"/>
        <w:jc w:val="both"/>
        <w:rPr>
          <w:sz w:val="16"/>
          <w:szCs w:val="16"/>
        </w:rPr>
      </w:pPr>
      <w:r w:rsidRPr="00F03D89">
        <w:rPr>
          <w:sz w:val="16"/>
          <w:szCs w:val="16"/>
          <w:vertAlign w:val="superscript"/>
        </w:rPr>
        <w:footnoteRef/>
      </w:r>
      <w:r w:rsidRPr="00F03D89">
        <w:rPr>
          <w:sz w:val="16"/>
          <w:szCs w:val="16"/>
        </w:rPr>
        <w:t xml:space="preserve"> Dle čl. 2. odst. 23 se „zahájením prací“ rozumí buď zahájení stavebních prací v rámci investice, nebo první právně vymahatelný závazek objednávky zařízení či jiný závazek, v jehož důsledku se investice stává nezvratnou, podle toho, která událost nastane dříve. Za zahájení prací se nepovažují nákup pozemků a přípravné práce, jako je získání povolení a zpracování studií proveditelnosti. V případě převzetí se „zahájením prací“ rozumí okamžik, kdy je pořízen majetek přímo související s pořízenou provozovnou.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B600ED" w14:textId="50302E6D" w:rsidR="00857F15" w:rsidRDefault="00857F1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9C67B0" w14:textId="76E0250B" w:rsidR="00AC488E" w:rsidRDefault="00716028" w:rsidP="00716028">
    <w:pPr>
      <w:pStyle w:val="Zhlav"/>
      <w:jc w:val="right"/>
    </w:pPr>
    <w:r>
      <w:t>III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32B85"/>
    <w:multiLevelType w:val="hybridMultilevel"/>
    <w:tmpl w:val="90D6E95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A4113"/>
    <w:multiLevelType w:val="hybridMultilevel"/>
    <w:tmpl w:val="86C6C78C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" w15:restartNumberingAfterBreak="0">
    <w:nsid w:val="06BF0E5B"/>
    <w:multiLevelType w:val="multilevel"/>
    <w:tmpl w:val="BB6A501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9A77E93"/>
    <w:multiLevelType w:val="hybridMultilevel"/>
    <w:tmpl w:val="5DC24E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33696"/>
    <w:multiLevelType w:val="hybridMultilevel"/>
    <w:tmpl w:val="08EA6788"/>
    <w:lvl w:ilvl="0" w:tplc="ED9640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84B4C"/>
    <w:multiLevelType w:val="hybridMultilevel"/>
    <w:tmpl w:val="B26A2A5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577331"/>
    <w:multiLevelType w:val="multilevel"/>
    <w:tmpl w:val="D2907B8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59117C7"/>
    <w:multiLevelType w:val="hybridMultilevel"/>
    <w:tmpl w:val="A5FE9648"/>
    <w:lvl w:ilvl="0" w:tplc="04050001">
      <w:start w:val="1"/>
      <w:numFmt w:val="bullet"/>
      <w:lvlText w:val=""/>
      <w:lvlJc w:val="left"/>
      <w:pPr>
        <w:ind w:left="11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61" w:hanging="360"/>
      </w:pPr>
      <w:rPr>
        <w:rFonts w:ascii="Wingdings" w:hAnsi="Wingdings" w:hint="default"/>
      </w:rPr>
    </w:lvl>
  </w:abstractNum>
  <w:abstractNum w:abstractNumId="8" w15:restartNumberingAfterBreak="0">
    <w:nsid w:val="2469174A"/>
    <w:multiLevelType w:val="hybridMultilevel"/>
    <w:tmpl w:val="58483E5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66C561C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D8F7383"/>
    <w:multiLevelType w:val="hybridMultilevel"/>
    <w:tmpl w:val="8618D2FA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25027"/>
    <w:multiLevelType w:val="hybridMultilevel"/>
    <w:tmpl w:val="A6323FAA"/>
    <w:lvl w:ilvl="0" w:tplc="0405001B">
      <w:start w:val="1"/>
      <w:numFmt w:val="lowerRoman"/>
      <w:lvlText w:val="%1."/>
      <w:lvlJc w:val="right"/>
      <w:pPr>
        <w:ind w:left="1446" w:hanging="360"/>
      </w:pPr>
    </w:lvl>
    <w:lvl w:ilvl="1" w:tplc="04050019" w:tentative="1">
      <w:start w:val="1"/>
      <w:numFmt w:val="lowerLetter"/>
      <w:lvlText w:val="%2."/>
      <w:lvlJc w:val="left"/>
      <w:pPr>
        <w:ind w:left="2166" w:hanging="360"/>
      </w:pPr>
    </w:lvl>
    <w:lvl w:ilvl="2" w:tplc="0405001B" w:tentative="1">
      <w:start w:val="1"/>
      <w:numFmt w:val="lowerRoman"/>
      <w:lvlText w:val="%3."/>
      <w:lvlJc w:val="right"/>
      <w:pPr>
        <w:ind w:left="2886" w:hanging="180"/>
      </w:pPr>
    </w:lvl>
    <w:lvl w:ilvl="3" w:tplc="0405000F" w:tentative="1">
      <w:start w:val="1"/>
      <w:numFmt w:val="decimal"/>
      <w:lvlText w:val="%4."/>
      <w:lvlJc w:val="left"/>
      <w:pPr>
        <w:ind w:left="3606" w:hanging="360"/>
      </w:pPr>
    </w:lvl>
    <w:lvl w:ilvl="4" w:tplc="04050019" w:tentative="1">
      <w:start w:val="1"/>
      <w:numFmt w:val="lowerLetter"/>
      <w:lvlText w:val="%5."/>
      <w:lvlJc w:val="left"/>
      <w:pPr>
        <w:ind w:left="4326" w:hanging="360"/>
      </w:pPr>
    </w:lvl>
    <w:lvl w:ilvl="5" w:tplc="0405001B" w:tentative="1">
      <w:start w:val="1"/>
      <w:numFmt w:val="lowerRoman"/>
      <w:lvlText w:val="%6."/>
      <w:lvlJc w:val="right"/>
      <w:pPr>
        <w:ind w:left="5046" w:hanging="180"/>
      </w:pPr>
    </w:lvl>
    <w:lvl w:ilvl="6" w:tplc="0405000F" w:tentative="1">
      <w:start w:val="1"/>
      <w:numFmt w:val="decimal"/>
      <w:lvlText w:val="%7."/>
      <w:lvlJc w:val="left"/>
      <w:pPr>
        <w:ind w:left="5766" w:hanging="360"/>
      </w:pPr>
    </w:lvl>
    <w:lvl w:ilvl="7" w:tplc="04050019" w:tentative="1">
      <w:start w:val="1"/>
      <w:numFmt w:val="lowerLetter"/>
      <w:lvlText w:val="%8."/>
      <w:lvlJc w:val="left"/>
      <w:pPr>
        <w:ind w:left="6486" w:hanging="360"/>
      </w:pPr>
    </w:lvl>
    <w:lvl w:ilvl="8" w:tplc="0405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11" w15:restartNumberingAfterBreak="0">
    <w:nsid w:val="330747D2"/>
    <w:multiLevelType w:val="hybridMultilevel"/>
    <w:tmpl w:val="1F4056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45A0DE5"/>
    <w:multiLevelType w:val="hybridMultilevel"/>
    <w:tmpl w:val="5E80AC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EC761E"/>
    <w:multiLevelType w:val="hybridMultilevel"/>
    <w:tmpl w:val="82E04BD6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9F2E0B"/>
    <w:multiLevelType w:val="hybridMultilevel"/>
    <w:tmpl w:val="34D069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BEC1D6A"/>
    <w:multiLevelType w:val="hybridMultilevel"/>
    <w:tmpl w:val="51D81E80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963768"/>
    <w:multiLevelType w:val="multilevel"/>
    <w:tmpl w:val="C02AB2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498361DF"/>
    <w:multiLevelType w:val="multilevel"/>
    <w:tmpl w:val="F7E8315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8" w15:restartNumberingAfterBreak="0">
    <w:nsid w:val="4A2D5381"/>
    <w:multiLevelType w:val="hybridMultilevel"/>
    <w:tmpl w:val="632282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A57CE3"/>
    <w:multiLevelType w:val="hybridMultilevel"/>
    <w:tmpl w:val="3C1A0BA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50B4FC0"/>
    <w:multiLevelType w:val="hybridMultilevel"/>
    <w:tmpl w:val="71B8002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8A75A39"/>
    <w:multiLevelType w:val="multilevel"/>
    <w:tmpl w:val="2B40AD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5AC03045"/>
    <w:multiLevelType w:val="multilevel"/>
    <w:tmpl w:val="247E71F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63C12069"/>
    <w:multiLevelType w:val="hybridMultilevel"/>
    <w:tmpl w:val="2D2AF906"/>
    <w:lvl w:ilvl="0" w:tplc="040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4" w15:restartNumberingAfterBreak="0">
    <w:nsid w:val="71F63C89"/>
    <w:multiLevelType w:val="multilevel"/>
    <w:tmpl w:val="4B824E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749D76C2"/>
    <w:multiLevelType w:val="hybridMultilevel"/>
    <w:tmpl w:val="6FBC1C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142019"/>
    <w:multiLevelType w:val="multilevel"/>
    <w:tmpl w:val="0E3C96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26"/>
  </w:num>
  <w:num w:numId="3">
    <w:abstractNumId w:val="22"/>
  </w:num>
  <w:num w:numId="4">
    <w:abstractNumId w:val="24"/>
  </w:num>
  <w:num w:numId="5">
    <w:abstractNumId w:val="21"/>
  </w:num>
  <w:num w:numId="6">
    <w:abstractNumId w:val="6"/>
  </w:num>
  <w:num w:numId="7">
    <w:abstractNumId w:val="16"/>
  </w:num>
  <w:num w:numId="8">
    <w:abstractNumId w:val="17"/>
  </w:num>
  <w:num w:numId="9">
    <w:abstractNumId w:val="10"/>
  </w:num>
  <w:num w:numId="10">
    <w:abstractNumId w:val="15"/>
  </w:num>
  <w:num w:numId="11">
    <w:abstractNumId w:val="0"/>
  </w:num>
  <w:num w:numId="12">
    <w:abstractNumId w:val="9"/>
  </w:num>
  <w:num w:numId="13">
    <w:abstractNumId w:val="3"/>
  </w:num>
  <w:num w:numId="14">
    <w:abstractNumId w:val="12"/>
  </w:num>
  <w:num w:numId="15">
    <w:abstractNumId w:val="23"/>
  </w:num>
  <w:num w:numId="16">
    <w:abstractNumId w:val="1"/>
  </w:num>
  <w:num w:numId="17">
    <w:abstractNumId w:val="20"/>
  </w:num>
  <w:num w:numId="18">
    <w:abstractNumId w:val="19"/>
  </w:num>
  <w:num w:numId="19">
    <w:abstractNumId w:val="8"/>
  </w:num>
  <w:num w:numId="20">
    <w:abstractNumId w:val="14"/>
  </w:num>
  <w:num w:numId="21">
    <w:abstractNumId w:val="5"/>
  </w:num>
  <w:num w:numId="22">
    <w:abstractNumId w:val="11"/>
  </w:num>
  <w:num w:numId="23">
    <w:abstractNumId w:val="7"/>
  </w:num>
  <w:num w:numId="24">
    <w:abstractNumId w:val="25"/>
  </w:num>
  <w:num w:numId="25">
    <w:abstractNumId w:val="18"/>
  </w:num>
  <w:num w:numId="26">
    <w:abstractNumId w:val="13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3DF"/>
    <w:rsid w:val="000A75B7"/>
    <w:rsid w:val="000C48B0"/>
    <w:rsid w:val="000C5B69"/>
    <w:rsid w:val="000D4E45"/>
    <w:rsid w:val="000D6DA7"/>
    <w:rsid w:val="00132FBA"/>
    <w:rsid w:val="0014068C"/>
    <w:rsid w:val="0017377B"/>
    <w:rsid w:val="00185C3F"/>
    <w:rsid w:val="001E034A"/>
    <w:rsid w:val="001E0A51"/>
    <w:rsid w:val="002261E2"/>
    <w:rsid w:val="002755E5"/>
    <w:rsid w:val="0028266F"/>
    <w:rsid w:val="00292A4B"/>
    <w:rsid w:val="002C3A65"/>
    <w:rsid w:val="00320A02"/>
    <w:rsid w:val="0033007A"/>
    <w:rsid w:val="0033484E"/>
    <w:rsid w:val="00375F11"/>
    <w:rsid w:val="00376145"/>
    <w:rsid w:val="003D0560"/>
    <w:rsid w:val="003E46C5"/>
    <w:rsid w:val="003F2D91"/>
    <w:rsid w:val="003F527B"/>
    <w:rsid w:val="00405CF6"/>
    <w:rsid w:val="00413832"/>
    <w:rsid w:val="00414538"/>
    <w:rsid w:val="00467398"/>
    <w:rsid w:val="004810CB"/>
    <w:rsid w:val="004E2898"/>
    <w:rsid w:val="004F4F08"/>
    <w:rsid w:val="005A23DF"/>
    <w:rsid w:val="005A324F"/>
    <w:rsid w:val="0065507D"/>
    <w:rsid w:val="0067098B"/>
    <w:rsid w:val="00685EC4"/>
    <w:rsid w:val="006953D9"/>
    <w:rsid w:val="006A1698"/>
    <w:rsid w:val="006C1B4E"/>
    <w:rsid w:val="006D7B90"/>
    <w:rsid w:val="006E1184"/>
    <w:rsid w:val="006E19EC"/>
    <w:rsid w:val="007123CA"/>
    <w:rsid w:val="00716028"/>
    <w:rsid w:val="00757BF7"/>
    <w:rsid w:val="00765C02"/>
    <w:rsid w:val="007A5C2E"/>
    <w:rsid w:val="0083057C"/>
    <w:rsid w:val="0083157E"/>
    <w:rsid w:val="00833A4E"/>
    <w:rsid w:val="00853EAE"/>
    <w:rsid w:val="00857F15"/>
    <w:rsid w:val="00896092"/>
    <w:rsid w:val="008A0C42"/>
    <w:rsid w:val="008D0F7D"/>
    <w:rsid w:val="00912F5F"/>
    <w:rsid w:val="0091542A"/>
    <w:rsid w:val="00945922"/>
    <w:rsid w:val="00947702"/>
    <w:rsid w:val="00951FD3"/>
    <w:rsid w:val="00974294"/>
    <w:rsid w:val="00A279DA"/>
    <w:rsid w:val="00AC488E"/>
    <w:rsid w:val="00AC6F84"/>
    <w:rsid w:val="00AE4625"/>
    <w:rsid w:val="00AE7F81"/>
    <w:rsid w:val="00AF0454"/>
    <w:rsid w:val="00B61106"/>
    <w:rsid w:val="00BB6A90"/>
    <w:rsid w:val="00BD1ECE"/>
    <w:rsid w:val="00C0318E"/>
    <w:rsid w:val="00C5123C"/>
    <w:rsid w:val="00C57AC9"/>
    <w:rsid w:val="00C736D6"/>
    <w:rsid w:val="00C81D42"/>
    <w:rsid w:val="00C85475"/>
    <w:rsid w:val="00CA09E1"/>
    <w:rsid w:val="00CE4133"/>
    <w:rsid w:val="00CF06CF"/>
    <w:rsid w:val="00D11E20"/>
    <w:rsid w:val="00D563E5"/>
    <w:rsid w:val="00DB4D10"/>
    <w:rsid w:val="00DC4D9E"/>
    <w:rsid w:val="00E21B90"/>
    <w:rsid w:val="00E50C5F"/>
    <w:rsid w:val="00E54B22"/>
    <w:rsid w:val="00ED2863"/>
    <w:rsid w:val="00ED7C10"/>
    <w:rsid w:val="00F03D89"/>
    <w:rsid w:val="00F23B27"/>
    <w:rsid w:val="00FF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641186"/>
  <w15:docId w15:val="{23A4D10A-27C1-490A-8677-6DB38274A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rsid w:val="001E034A"/>
    <w:pPr>
      <w:keepNext/>
      <w:keepLines/>
      <w:spacing w:before="240" w:after="120" w:line="360" w:lineRule="auto"/>
      <w:outlineLvl w:val="0"/>
    </w:pPr>
    <w:rPr>
      <w:b/>
      <w:sz w:val="32"/>
      <w:szCs w:val="40"/>
    </w:rPr>
  </w:style>
  <w:style w:type="paragraph" w:styleId="Nadpis2">
    <w:name w:val="heading 2"/>
    <w:basedOn w:val="Normln"/>
    <w:next w:val="Normln"/>
    <w:uiPriority w:val="9"/>
    <w:unhideWhenUsed/>
    <w:qFormat/>
    <w:rsid w:val="001E034A"/>
    <w:pPr>
      <w:keepNext/>
      <w:keepLines/>
      <w:spacing w:before="120" w:after="120" w:line="360" w:lineRule="auto"/>
      <w:contextualSpacing/>
      <w:jc w:val="both"/>
      <w:outlineLvl w:val="1"/>
    </w:pPr>
    <w:rPr>
      <w:b/>
      <w:sz w:val="28"/>
      <w:szCs w:val="32"/>
    </w:rPr>
  </w:style>
  <w:style w:type="paragraph" w:styleId="Nadpis3">
    <w:name w:val="heading 3"/>
    <w:basedOn w:val="Normln"/>
    <w:next w:val="Normln"/>
    <w:uiPriority w:val="9"/>
    <w:unhideWhenUsed/>
    <w:qFormat/>
    <w:rsid w:val="001E034A"/>
    <w:pPr>
      <w:keepNext/>
      <w:keepLines/>
      <w:spacing w:before="120" w:after="120" w:line="360" w:lineRule="auto"/>
      <w:contextualSpacing/>
      <w:jc w:val="both"/>
      <w:outlineLvl w:val="2"/>
    </w:pPr>
    <w:rPr>
      <w:b/>
      <w:sz w:val="26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7614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6145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20A02"/>
    <w:pPr>
      <w:spacing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20A0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20A02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4F4F0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6110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1106"/>
  </w:style>
  <w:style w:type="paragraph" w:styleId="Zpat">
    <w:name w:val="footer"/>
    <w:basedOn w:val="Normln"/>
    <w:link w:val="ZpatChar"/>
    <w:uiPriority w:val="99"/>
    <w:unhideWhenUsed/>
    <w:rsid w:val="00B6110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11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FEFB9A-DA1C-41FE-A57C-EF35E0E88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</Pages>
  <Words>5174</Words>
  <Characters>30529</Characters>
  <Application>Microsoft Office Word</Application>
  <DocSecurity>0</DocSecurity>
  <Lines>254</Lines>
  <Paragraphs>71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Technologická agentura ČR</Company>
  <LinksUpToDate>false</LinksUpToDate>
  <CharactersWithSpaces>35632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Kmoníček</dc:creator>
  <cp:lastModifiedBy>Václav Kmoníček</cp:lastModifiedBy>
  <cp:revision>45</cp:revision>
  <cp:lastPrinted>2023-01-18T09:02:00Z</cp:lastPrinted>
  <dcterms:created xsi:type="dcterms:W3CDTF">2022-03-27T18:45:00Z</dcterms:created>
  <dcterms:modified xsi:type="dcterms:W3CDTF">2023-01-18T09:02:00Z</dcterms:modified>
</cp:coreProperties>
</file>