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622"/>
        <w:gridCol w:w="666"/>
        <w:gridCol w:w="8175"/>
        <w:gridCol w:w="3429"/>
      </w:tblGrid>
      <w:tr w:rsidR="00007AAB" w:rsidRPr="00F16827" w:rsidTr="00AE7EB0">
        <w:trPr>
          <w:trHeight w:val="340"/>
        </w:trPr>
        <w:tc>
          <w:tcPr>
            <w:tcW w:w="1622" w:type="dxa"/>
            <w:vMerge w:val="restart"/>
            <w:tcBorders>
              <w:left w:val="single" w:sz="4" w:space="0" w:color="auto"/>
              <w:right w:val="single" w:sz="4" w:space="0" w:color="auto"/>
            </w:tcBorders>
            <w:shd w:val="clear" w:color="auto" w:fill="auto"/>
          </w:tcPr>
          <w:p w:rsidR="00007AAB" w:rsidRPr="00F16827" w:rsidRDefault="00007AAB" w:rsidP="00AE7EB0">
            <w:pPr>
              <w:jc w:val="both"/>
              <w:rPr>
                <w:rFonts w:eastAsia="Arial"/>
                <w:b/>
                <w:bCs/>
                <w:sz w:val="20"/>
                <w:szCs w:val="20"/>
              </w:rPr>
            </w:pPr>
            <w:r w:rsidRPr="19C01E12">
              <w:rPr>
                <w:rFonts w:eastAsia="Arial"/>
                <w:b/>
                <w:bCs/>
                <w:sz w:val="20"/>
                <w:szCs w:val="20"/>
              </w:rPr>
              <w:t>Úřad vlády – ministryně pro vědu, výzkum a inovace a předsedkyně Rady pro výzkum, vývoj a inovace</w:t>
            </w:r>
          </w:p>
        </w:tc>
        <w:tc>
          <w:tcPr>
            <w:tcW w:w="666" w:type="dxa"/>
            <w:tcBorders>
              <w:left w:val="single" w:sz="4" w:space="0" w:color="auto"/>
              <w:right w:val="single" w:sz="4" w:space="0" w:color="auto"/>
            </w:tcBorders>
          </w:tcPr>
          <w:p w:rsidR="00007AAB" w:rsidRPr="00F16827" w:rsidRDefault="00007AAB" w:rsidP="00AE7EB0">
            <w:pPr>
              <w:jc w:val="both"/>
              <w:rPr>
                <w:rFonts w:eastAsia="Arial"/>
                <w:sz w:val="20"/>
                <w:szCs w:val="20"/>
              </w:rPr>
            </w:pPr>
            <w:r w:rsidRPr="19C01E12">
              <w:rPr>
                <w:rFonts w:eastAsia="Arial"/>
                <w:sz w:val="20"/>
                <w:szCs w:val="20"/>
              </w:rPr>
              <w:t>155</w:t>
            </w:r>
          </w:p>
        </w:tc>
        <w:tc>
          <w:tcPr>
            <w:tcW w:w="8175" w:type="dxa"/>
            <w:tcBorders>
              <w:top w:val="single" w:sz="4" w:space="0" w:color="auto"/>
              <w:left w:val="single" w:sz="4" w:space="0" w:color="auto"/>
              <w:bottom w:val="single" w:sz="4" w:space="0" w:color="auto"/>
              <w:right w:val="single" w:sz="4" w:space="0" w:color="auto"/>
            </w:tcBorders>
            <w:shd w:val="clear" w:color="auto" w:fill="auto"/>
          </w:tcPr>
          <w:p w:rsidR="00007AAB" w:rsidRPr="009026CC" w:rsidRDefault="00007AAB" w:rsidP="00AE7EB0">
            <w:pPr>
              <w:spacing w:after="160" w:line="259" w:lineRule="auto"/>
              <w:rPr>
                <w:rFonts w:eastAsia="Arial"/>
                <w:b/>
                <w:bCs/>
                <w:sz w:val="20"/>
                <w:szCs w:val="20"/>
              </w:rPr>
            </w:pPr>
            <w:r w:rsidRPr="19C01E12">
              <w:rPr>
                <w:rFonts w:eastAsia="Arial"/>
                <w:b/>
                <w:bCs/>
                <w:sz w:val="20"/>
                <w:szCs w:val="20"/>
              </w:rPr>
              <w:t>Zásadní připomínka</w:t>
            </w:r>
          </w:p>
          <w:p w:rsidR="00007AAB" w:rsidRPr="00F16827" w:rsidRDefault="00007AAB" w:rsidP="00AE7EB0">
            <w:pPr>
              <w:spacing w:after="160" w:line="259" w:lineRule="auto"/>
              <w:rPr>
                <w:rFonts w:eastAsia="Arial"/>
                <w:sz w:val="20"/>
                <w:szCs w:val="20"/>
              </w:rPr>
            </w:pPr>
            <w:r w:rsidRPr="19C01E12">
              <w:rPr>
                <w:rFonts w:eastAsia="Arial"/>
                <w:sz w:val="20"/>
                <w:szCs w:val="20"/>
              </w:rPr>
              <w:t>K materiálu jako celku:</w:t>
            </w:r>
          </w:p>
          <w:p w:rsidR="00007AAB" w:rsidRPr="00F16827" w:rsidRDefault="00007AAB" w:rsidP="00AE7EB0">
            <w:pPr>
              <w:spacing w:after="160" w:line="259" w:lineRule="auto"/>
              <w:rPr>
                <w:rFonts w:eastAsia="Arial"/>
                <w:b/>
                <w:bCs/>
                <w:sz w:val="20"/>
                <w:szCs w:val="20"/>
              </w:rPr>
            </w:pPr>
            <w:r w:rsidRPr="19C01E12">
              <w:rPr>
                <w:rFonts w:eastAsia="Arial"/>
                <w:sz w:val="20"/>
                <w:szCs w:val="20"/>
              </w:rPr>
              <w:t>Předkládaný materiál není zpracován dostatečně přehledně. Postrádáme např. souhrnnou tabulku, kde by bylo jednoznačně uvedeno, která komponenta a její části jsou hrazené z grantů či půjčky, či se nepožadují žádné finanční prostředky (ať už z RRF, nebo se SR).</w:t>
            </w:r>
          </w:p>
        </w:tc>
        <w:tc>
          <w:tcPr>
            <w:tcW w:w="3429" w:type="dxa"/>
            <w:tcBorders>
              <w:left w:val="single" w:sz="4" w:space="0" w:color="auto"/>
              <w:right w:val="single" w:sz="4" w:space="0" w:color="auto"/>
            </w:tcBorders>
            <w:shd w:val="clear" w:color="auto" w:fill="auto"/>
          </w:tcPr>
          <w:p w:rsidR="00007AAB" w:rsidRPr="009026CC" w:rsidRDefault="00007AAB" w:rsidP="00AE7EB0">
            <w:pPr>
              <w:jc w:val="both"/>
              <w:rPr>
                <w:rFonts w:eastAsia="Arial"/>
                <w:b/>
                <w:bCs/>
                <w:sz w:val="20"/>
                <w:szCs w:val="20"/>
              </w:rPr>
            </w:pPr>
            <w:r w:rsidRPr="19C01E12">
              <w:rPr>
                <w:rFonts w:eastAsia="Arial"/>
                <w:b/>
                <w:bCs/>
                <w:sz w:val="20"/>
                <w:szCs w:val="20"/>
              </w:rPr>
              <w:t xml:space="preserve">Vysvětleno </w:t>
            </w:r>
          </w:p>
          <w:p w:rsidR="00007AAB" w:rsidRPr="00F16827" w:rsidRDefault="00007AAB" w:rsidP="00AE7EB0">
            <w:pPr>
              <w:jc w:val="both"/>
              <w:rPr>
                <w:rFonts w:eastAsia="Arial"/>
                <w:sz w:val="20"/>
                <w:szCs w:val="20"/>
              </w:rPr>
            </w:pPr>
          </w:p>
          <w:p w:rsidR="00007AAB" w:rsidRPr="00F16827" w:rsidRDefault="00007AAB" w:rsidP="00AE7EB0">
            <w:pPr>
              <w:jc w:val="both"/>
              <w:rPr>
                <w:rFonts w:eastAsia="Arial"/>
                <w:sz w:val="20"/>
                <w:szCs w:val="20"/>
              </w:rPr>
            </w:pPr>
            <w:r w:rsidRPr="19C01E12">
              <w:rPr>
                <w:rFonts w:eastAsia="Arial"/>
                <w:sz w:val="20"/>
                <w:szCs w:val="20"/>
              </w:rPr>
              <w:t xml:space="preserve">V tabulce </w:t>
            </w:r>
            <w:proofErr w:type="spellStart"/>
            <w:r w:rsidRPr="19C01E12">
              <w:rPr>
                <w:rFonts w:eastAsia="Arial"/>
                <w:sz w:val="20"/>
                <w:szCs w:val="20"/>
              </w:rPr>
              <w:t>costing</w:t>
            </w:r>
            <w:proofErr w:type="spellEnd"/>
            <w:r w:rsidRPr="19C01E12">
              <w:rPr>
                <w:rFonts w:eastAsia="Arial"/>
                <w:sz w:val="20"/>
                <w:szCs w:val="20"/>
              </w:rPr>
              <w:t xml:space="preserve"> je uvedeno na listu T2 financování z půjčky či z grantu.</w:t>
            </w:r>
          </w:p>
          <w:p w:rsidR="00007AAB" w:rsidRPr="00F16827" w:rsidRDefault="00007AAB" w:rsidP="00AE7EB0">
            <w:pPr>
              <w:jc w:val="both"/>
              <w:rPr>
                <w:rFonts w:eastAsia="Arial"/>
                <w:sz w:val="20"/>
                <w:szCs w:val="20"/>
              </w:rPr>
            </w:pPr>
          </w:p>
          <w:p w:rsidR="00007AAB" w:rsidRPr="00F16827" w:rsidRDefault="00007AAB" w:rsidP="00AE7EB0">
            <w:pPr>
              <w:jc w:val="both"/>
              <w:rPr>
                <w:rFonts w:eastAsia="Arial"/>
                <w:sz w:val="20"/>
                <w:szCs w:val="20"/>
              </w:rPr>
            </w:pPr>
            <w:r w:rsidRPr="19C01E12">
              <w:rPr>
                <w:rFonts w:eastAsia="Arial"/>
                <w:sz w:val="20"/>
                <w:szCs w:val="20"/>
              </w:rPr>
              <w:t>Zároveň v příloze základní rozčlenění alokace je uveden zdroj financování u všech nových opatření.</w:t>
            </w:r>
          </w:p>
          <w:p w:rsidR="00007AAB" w:rsidRPr="00F16827" w:rsidRDefault="00007AAB" w:rsidP="00AE7EB0">
            <w:pPr>
              <w:jc w:val="both"/>
              <w:rPr>
                <w:rFonts w:eastAsia="Arial"/>
                <w:b/>
                <w:bCs/>
                <w:sz w:val="20"/>
                <w:szCs w:val="20"/>
              </w:rPr>
            </w:pPr>
          </w:p>
        </w:tc>
      </w:tr>
      <w:tr w:rsidR="00007AAB" w:rsidRPr="00F16827" w:rsidTr="00AE7EB0">
        <w:trPr>
          <w:trHeight w:val="340"/>
        </w:trPr>
        <w:tc>
          <w:tcPr>
            <w:tcW w:w="1622" w:type="dxa"/>
            <w:vMerge/>
          </w:tcPr>
          <w:p w:rsidR="00007AAB" w:rsidRPr="00F16827" w:rsidRDefault="00007AAB" w:rsidP="00AE7EB0">
            <w:pPr>
              <w:rPr>
                <w:b/>
                <w:bCs/>
                <w:sz w:val="20"/>
                <w:szCs w:val="20"/>
              </w:rPr>
            </w:pPr>
          </w:p>
        </w:tc>
        <w:tc>
          <w:tcPr>
            <w:tcW w:w="666" w:type="dxa"/>
            <w:tcBorders>
              <w:left w:val="single" w:sz="4" w:space="0" w:color="auto"/>
              <w:right w:val="single" w:sz="4" w:space="0" w:color="auto"/>
            </w:tcBorders>
          </w:tcPr>
          <w:p w:rsidR="00007AAB" w:rsidRPr="00F16827" w:rsidRDefault="00007AAB" w:rsidP="00AE7EB0">
            <w:pPr>
              <w:jc w:val="both"/>
              <w:rPr>
                <w:rFonts w:eastAsia="Arial"/>
                <w:sz w:val="20"/>
                <w:szCs w:val="20"/>
              </w:rPr>
            </w:pPr>
            <w:r w:rsidRPr="19C01E12">
              <w:rPr>
                <w:rFonts w:eastAsia="Arial"/>
                <w:sz w:val="20"/>
                <w:szCs w:val="20"/>
              </w:rPr>
              <w:t>156</w:t>
            </w:r>
          </w:p>
        </w:tc>
        <w:tc>
          <w:tcPr>
            <w:tcW w:w="8175" w:type="dxa"/>
            <w:tcBorders>
              <w:top w:val="single" w:sz="4" w:space="0" w:color="auto"/>
              <w:left w:val="single" w:sz="4" w:space="0" w:color="auto"/>
              <w:bottom w:val="single" w:sz="4" w:space="0" w:color="auto"/>
              <w:right w:val="single" w:sz="4" w:space="0" w:color="auto"/>
            </w:tcBorders>
            <w:shd w:val="clear" w:color="auto" w:fill="auto"/>
          </w:tcPr>
          <w:p w:rsidR="00007AAB" w:rsidRPr="009026CC" w:rsidRDefault="00007AAB" w:rsidP="00AE7EB0">
            <w:pPr>
              <w:widowControl w:val="0"/>
              <w:autoSpaceDE w:val="0"/>
              <w:autoSpaceDN w:val="0"/>
              <w:adjustRightInd w:val="0"/>
              <w:spacing w:before="120" w:after="120"/>
              <w:rPr>
                <w:rFonts w:eastAsia="Arial"/>
                <w:b/>
                <w:bCs/>
                <w:sz w:val="20"/>
                <w:szCs w:val="20"/>
              </w:rPr>
            </w:pPr>
            <w:r w:rsidRPr="19C01E12">
              <w:rPr>
                <w:rFonts w:eastAsia="Arial"/>
                <w:b/>
                <w:bCs/>
                <w:sz w:val="20"/>
                <w:szCs w:val="20"/>
              </w:rPr>
              <w:t>Zásadní připomínka</w:t>
            </w:r>
          </w:p>
          <w:p w:rsidR="00007AAB" w:rsidRPr="00F16827" w:rsidRDefault="00007AAB" w:rsidP="00AE7EB0">
            <w:pPr>
              <w:widowControl w:val="0"/>
              <w:autoSpaceDE w:val="0"/>
              <w:autoSpaceDN w:val="0"/>
              <w:adjustRightInd w:val="0"/>
              <w:spacing w:after="120"/>
              <w:rPr>
                <w:rFonts w:eastAsia="Arial"/>
                <w:sz w:val="20"/>
                <w:szCs w:val="20"/>
              </w:rPr>
            </w:pPr>
            <w:r w:rsidRPr="19C01E12">
              <w:rPr>
                <w:rFonts w:eastAsia="Arial"/>
                <w:sz w:val="20"/>
                <w:szCs w:val="20"/>
              </w:rPr>
              <w:t>K materiálu jako celku:</w:t>
            </w:r>
          </w:p>
          <w:p w:rsidR="00007AAB" w:rsidRPr="00F16827" w:rsidRDefault="00007AAB" w:rsidP="00AE7EB0">
            <w:pPr>
              <w:widowControl w:val="0"/>
              <w:autoSpaceDE w:val="0"/>
              <w:autoSpaceDN w:val="0"/>
              <w:adjustRightInd w:val="0"/>
              <w:spacing w:after="120"/>
              <w:rPr>
                <w:rFonts w:eastAsia="Arial"/>
                <w:sz w:val="20"/>
                <w:szCs w:val="20"/>
              </w:rPr>
            </w:pPr>
            <w:r w:rsidRPr="19C01E12">
              <w:rPr>
                <w:rFonts w:eastAsia="Arial"/>
                <w:sz w:val="20"/>
                <w:szCs w:val="20"/>
              </w:rPr>
              <w:t xml:space="preserve">Požadujeme vhodným způsobem doplnit do dokumentu celkový přehled jednotlivých komponent, které podporují oblast </w:t>
            </w:r>
            <w:proofErr w:type="spellStart"/>
            <w:r w:rsidRPr="19C01E12">
              <w:rPr>
                <w:rFonts w:eastAsia="Arial"/>
                <w:sz w:val="20"/>
                <w:szCs w:val="20"/>
              </w:rPr>
              <w:t>VaVaI</w:t>
            </w:r>
            <w:proofErr w:type="spellEnd"/>
            <w:r w:rsidRPr="19C01E12">
              <w:rPr>
                <w:rFonts w:eastAsia="Arial"/>
                <w:sz w:val="20"/>
                <w:szCs w:val="20"/>
              </w:rPr>
              <w:t xml:space="preserve">, a celkové sumy finančních prostředků podporujících </w:t>
            </w:r>
            <w:proofErr w:type="spellStart"/>
            <w:r w:rsidRPr="19C01E12">
              <w:rPr>
                <w:rFonts w:eastAsia="Arial"/>
                <w:sz w:val="20"/>
                <w:szCs w:val="20"/>
              </w:rPr>
              <w:t>VaVaI</w:t>
            </w:r>
            <w:proofErr w:type="spellEnd"/>
            <w:r w:rsidRPr="19C01E12">
              <w:rPr>
                <w:rFonts w:eastAsia="Arial"/>
                <w:sz w:val="20"/>
                <w:szCs w:val="20"/>
              </w:rPr>
              <w:t xml:space="preserve"> v aktualizované verzi NPO, jak budou vykazovány vůči EK jako podpora oblasti </w:t>
            </w:r>
            <w:proofErr w:type="spellStart"/>
            <w:r w:rsidRPr="19C01E12">
              <w:rPr>
                <w:rFonts w:eastAsia="Arial"/>
                <w:sz w:val="20"/>
                <w:szCs w:val="20"/>
              </w:rPr>
              <w:t>VaVaI</w:t>
            </w:r>
            <w:proofErr w:type="spellEnd"/>
            <w:r w:rsidRPr="19C01E12">
              <w:rPr>
                <w:rFonts w:eastAsia="Arial"/>
                <w:sz w:val="20"/>
                <w:szCs w:val="20"/>
              </w:rPr>
              <w:t>.</w:t>
            </w:r>
          </w:p>
        </w:tc>
        <w:tc>
          <w:tcPr>
            <w:tcW w:w="3429" w:type="dxa"/>
            <w:tcBorders>
              <w:left w:val="single" w:sz="4" w:space="0" w:color="auto"/>
              <w:right w:val="single" w:sz="4" w:space="0" w:color="auto"/>
            </w:tcBorders>
            <w:shd w:val="clear" w:color="auto" w:fill="auto"/>
          </w:tcPr>
          <w:p w:rsidR="00007AAB" w:rsidRDefault="00007AAB" w:rsidP="00AE7EB0">
            <w:pPr>
              <w:jc w:val="both"/>
              <w:rPr>
                <w:rFonts w:eastAsia="Arial"/>
                <w:b/>
                <w:bCs/>
                <w:sz w:val="20"/>
                <w:szCs w:val="20"/>
              </w:rPr>
            </w:pPr>
            <w:r w:rsidRPr="19C01E12">
              <w:rPr>
                <w:rFonts w:eastAsia="Arial"/>
                <w:b/>
                <w:bCs/>
                <w:sz w:val="20"/>
                <w:szCs w:val="20"/>
              </w:rPr>
              <w:t>Neakceptováno, vysvětleno</w:t>
            </w:r>
          </w:p>
          <w:p w:rsidR="00007AAB" w:rsidRDefault="00007AAB" w:rsidP="00AE7EB0">
            <w:pPr>
              <w:jc w:val="both"/>
              <w:rPr>
                <w:rFonts w:eastAsia="Arial"/>
                <w:b/>
                <w:bCs/>
                <w:sz w:val="20"/>
                <w:szCs w:val="20"/>
              </w:rPr>
            </w:pPr>
          </w:p>
          <w:p w:rsidR="00007AAB" w:rsidRPr="0018631C" w:rsidRDefault="00007AAB" w:rsidP="00AE7EB0">
            <w:pPr>
              <w:jc w:val="both"/>
              <w:rPr>
                <w:rFonts w:eastAsia="Arial"/>
                <w:sz w:val="20"/>
                <w:szCs w:val="20"/>
              </w:rPr>
            </w:pPr>
            <w:r w:rsidRPr="19C01E12">
              <w:rPr>
                <w:rFonts w:eastAsia="Arial"/>
                <w:sz w:val="20"/>
                <w:szCs w:val="20"/>
              </w:rPr>
              <w:t>Přehled všech komponent je uveden v </w:t>
            </w:r>
            <w:proofErr w:type="spellStart"/>
            <w:r w:rsidRPr="19C01E12">
              <w:rPr>
                <w:rFonts w:eastAsia="Arial"/>
                <w:sz w:val="20"/>
                <w:szCs w:val="20"/>
              </w:rPr>
              <w:t>costingu</w:t>
            </w:r>
            <w:proofErr w:type="spellEnd"/>
            <w:r w:rsidRPr="19C01E12">
              <w:rPr>
                <w:rFonts w:eastAsia="Arial"/>
                <w:sz w:val="20"/>
                <w:szCs w:val="20"/>
              </w:rPr>
              <w:t xml:space="preserve">. Samostatná komponenta zaměřená na </w:t>
            </w:r>
            <w:proofErr w:type="spellStart"/>
            <w:r w:rsidRPr="19C01E12">
              <w:rPr>
                <w:rFonts w:eastAsia="Arial"/>
                <w:sz w:val="20"/>
                <w:szCs w:val="20"/>
              </w:rPr>
              <w:t>VaV</w:t>
            </w:r>
            <w:proofErr w:type="spellEnd"/>
            <w:r w:rsidRPr="19C01E12">
              <w:rPr>
                <w:rFonts w:eastAsia="Arial"/>
                <w:sz w:val="20"/>
                <w:szCs w:val="20"/>
              </w:rPr>
              <w:t xml:space="preserve"> je pouze 5.2 a 5.3. Investice v dalších komponentách mohou napomáhat k rozvoji </w:t>
            </w:r>
            <w:proofErr w:type="spellStart"/>
            <w:r w:rsidRPr="19C01E12">
              <w:rPr>
                <w:rFonts w:eastAsia="Arial"/>
                <w:sz w:val="20"/>
                <w:szCs w:val="20"/>
              </w:rPr>
              <w:t>VaV</w:t>
            </w:r>
            <w:proofErr w:type="spellEnd"/>
            <w:r w:rsidRPr="19C01E12">
              <w:rPr>
                <w:rFonts w:eastAsia="Arial"/>
                <w:sz w:val="20"/>
                <w:szCs w:val="20"/>
              </w:rPr>
              <w:t>, ale nejedná se o celkové komponenty.</w:t>
            </w:r>
          </w:p>
        </w:tc>
      </w:tr>
      <w:tr w:rsidR="00007AAB" w:rsidRPr="00F16827" w:rsidTr="00AE7EB0">
        <w:trPr>
          <w:trHeight w:val="340"/>
        </w:trPr>
        <w:tc>
          <w:tcPr>
            <w:tcW w:w="1622" w:type="dxa"/>
            <w:vMerge/>
          </w:tcPr>
          <w:p w:rsidR="00007AAB" w:rsidRPr="00F16827" w:rsidRDefault="00007AAB" w:rsidP="00AE7EB0">
            <w:pPr>
              <w:rPr>
                <w:b/>
                <w:bCs/>
                <w:sz w:val="20"/>
                <w:szCs w:val="20"/>
              </w:rPr>
            </w:pPr>
          </w:p>
        </w:tc>
        <w:tc>
          <w:tcPr>
            <w:tcW w:w="666" w:type="dxa"/>
            <w:tcBorders>
              <w:left w:val="single" w:sz="4" w:space="0" w:color="auto"/>
              <w:right w:val="single" w:sz="4" w:space="0" w:color="auto"/>
            </w:tcBorders>
          </w:tcPr>
          <w:p w:rsidR="00007AAB" w:rsidRPr="00F16827" w:rsidRDefault="00007AAB" w:rsidP="00AE7EB0">
            <w:pPr>
              <w:jc w:val="both"/>
              <w:rPr>
                <w:rFonts w:eastAsia="Arial"/>
                <w:sz w:val="20"/>
                <w:szCs w:val="20"/>
              </w:rPr>
            </w:pPr>
            <w:r w:rsidRPr="19C01E12">
              <w:rPr>
                <w:rFonts w:eastAsia="Arial"/>
                <w:sz w:val="20"/>
                <w:szCs w:val="20"/>
              </w:rPr>
              <w:t>157</w:t>
            </w:r>
          </w:p>
        </w:tc>
        <w:tc>
          <w:tcPr>
            <w:tcW w:w="8175" w:type="dxa"/>
            <w:tcBorders>
              <w:top w:val="single" w:sz="4" w:space="0" w:color="auto"/>
              <w:left w:val="single" w:sz="4" w:space="0" w:color="auto"/>
              <w:bottom w:val="single" w:sz="4" w:space="0" w:color="auto"/>
              <w:right w:val="single" w:sz="4" w:space="0" w:color="auto"/>
            </w:tcBorders>
            <w:shd w:val="clear" w:color="auto" w:fill="auto"/>
          </w:tcPr>
          <w:p w:rsidR="00007AAB" w:rsidRPr="009026CC" w:rsidRDefault="00007AAB" w:rsidP="00AE7EB0">
            <w:pPr>
              <w:widowControl w:val="0"/>
              <w:autoSpaceDE w:val="0"/>
              <w:autoSpaceDN w:val="0"/>
              <w:adjustRightInd w:val="0"/>
              <w:spacing w:before="120" w:after="120"/>
              <w:rPr>
                <w:rFonts w:eastAsia="Arial"/>
                <w:b/>
                <w:bCs/>
                <w:sz w:val="20"/>
                <w:szCs w:val="20"/>
              </w:rPr>
            </w:pPr>
            <w:r w:rsidRPr="19C01E12">
              <w:rPr>
                <w:rFonts w:eastAsia="Arial"/>
                <w:b/>
                <w:bCs/>
                <w:sz w:val="20"/>
                <w:szCs w:val="20"/>
              </w:rPr>
              <w:t>Zásadní připomínka</w:t>
            </w:r>
          </w:p>
          <w:p w:rsidR="00007AAB" w:rsidRPr="00F16827" w:rsidRDefault="00007AAB" w:rsidP="00AE7EB0">
            <w:pPr>
              <w:widowControl w:val="0"/>
              <w:autoSpaceDE w:val="0"/>
              <w:autoSpaceDN w:val="0"/>
              <w:adjustRightInd w:val="0"/>
              <w:spacing w:after="120"/>
              <w:rPr>
                <w:rFonts w:eastAsia="Arial"/>
                <w:sz w:val="20"/>
                <w:szCs w:val="20"/>
              </w:rPr>
            </w:pPr>
            <w:r w:rsidRPr="19C01E12">
              <w:rPr>
                <w:rFonts w:eastAsia="Arial"/>
                <w:sz w:val="20"/>
                <w:szCs w:val="20"/>
              </w:rPr>
              <w:t>Ke Kapitole 1. Obecný cíl v „materiálu – Aktualizace a změna NPO“:</w:t>
            </w:r>
          </w:p>
          <w:p w:rsidR="00007AAB" w:rsidRPr="00F16827" w:rsidRDefault="00007AAB" w:rsidP="00AE7EB0">
            <w:pPr>
              <w:widowControl w:val="0"/>
              <w:autoSpaceDE w:val="0"/>
              <w:autoSpaceDN w:val="0"/>
              <w:adjustRightInd w:val="0"/>
              <w:spacing w:after="120"/>
              <w:rPr>
                <w:rFonts w:eastAsia="Arial"/>
                <w:b/>
                <w:bCs/>
                <w:sz w:val="20"/>
                <w:szCs w:val="20"/>
              </w:rPr>
            </w:pPr>
            <w:r w:rsidRPr="19C01E12">
              <w:rPr>
                <w:rFonts w:eastAsia="Arial"/>
                <w:sz w:val="20"/>
                <w:szCs w:val="20"/>
              </w:rPr>
              <w:t xml:space="preserve">Žádáme, aby do přehledu pilířů byly doplněny finanční nároky dotčené navrhovanou aktualizací NPO. Suma alokace podpory </w:t>
            </w:r>
            <w:proofErr w:type="spellStart"/>
            <w:r w:rsidRPr="19C01E12">
              <w:rPr>
                <w:rFonts w:eastAsia="Arial"/>
                <w:sz w:val="20"/>
                <w:szCs w:val="20"/>
              </w:rPr>
              <w:t>VaVaI</w:t>
            </w:r>
            <w:proofErr w:type="spellEnd"/>
            <w:r w:rsidRPr="19C01E12">
              <w:rPr>
                <w:rFonts w:eastAsia="Arial"/>
                <w:sz w:val="20"/>
                <w:szCs w:val="20"/>
              </w:rPr>
              <w:t xml:space="preserve"> by měla souhlasit s tabulkou „1. </w:t>
            </w:r>
            <w:proofErr w:type="spellStart"/>
            <w:r w:rsidRPr="19C01E12">
              <w:rPr>
                <w:rFonts w:eastAsia="Arial"/>
                <w:sz w:val="20"/>
                <w:szCs w:val="20"/>
              </w:rPr>
              <w:t>Costing</w:t>
            </w:r>
            <w:proofErr w:type="spellEnd"/>
            <w:r w:rsidRPr="19C01E12">
              <w:rPr>
                <w:rFonts w:eastAsia="Arial"/>
                <w:sz w:val="20"/>
                <w:szCs w:val="20"/>
              </w:rPr>
              <w:t xml:space="preserve"> 2023 </w:t>
            </w:r>
            <w:proofErr w:type="spellStart"/>
            <w:r w:rsidRPr="19C01E12">
              <w:rPr>
                <w:rFonts w:eastAsia="Arial"/>
                <w:sz w:val="20"/>
                <w:szCs w:val="20"/>
              </w:rPr>
              <w:t>revisions</w:t>
            </w:r>
            <w:proofErr w:type="spellEnd"/>
            <w:r w:rsidRPr="19C01E12">
              <w:rPr>
                <w:rFonts w:eastAsia="Arial"/>
                <w:sz w:val="20"/>
                <w:szCs w:val="20"/>
              </w:rPr>
              <w:t>“. Navrhujeme, aby byl případně doplněn sloupec s příznakem „R&amp;D support“ do této tabulky.</w:t>
            </w:r>
          </w:p>
        </w:tc>
        <w:tc>
          <w:tcPr>
            <w:tcW w:w="3429" w:type="dxa"/>
            <w:tcBorders>
              <w:left w:val="single" w:sz="4" w:space="0" w:color="auto"/>
              <w:right w:val="single" w:sz="4" w:space="0" w:color="auto"/>
            </w:tcBorders>
            <w:shd w:val="clear" w:color="auto" w:fill="auto"/>
          </w:tcPr>
          <w:p w:rsidR="00007AAB" w:rsidRPr="0018631C" w:rsidRDefault="00007AAB" w:rsidP="00AE7EB0">
            <w:pPr>
              <w:jc w:val="both"/>
              <w:rPr>
                <w:rFonts w:eastAsia="Arial"/>
                <w:b/>
                <w:bCs/>
                <w:sz w:val="20"/>
                <w:szCs w:val="20"/>
              </w:rPr>
            </w:pPr>
            <w:r w:rsidRPr="19C01E12">
              <w:rPr>
                <w:rFonts w:eastAsia="Arial"/>
                <w:b/>
                <w:bCs/>
                <w:sz w:val="20"/>
                <w:szCs w:val="20"/>
              </w:rPr>
              <w:t>Částečně akceptováno</w:t>
            </w:r>
          </w:p>
          <w:p w:rsidR="00007AAB" w:rsidRPr="00F16827" w:rsidRDefault="00007AAB" w:rsidP="00AE7EB0">
            <w:pPr>
              <w:jc w:val="both"/>
              <w:rPr>
                <w:rFonts w:eastAsia="Arial"/>
                <w:sz w:val="20"/>
                <w:szCs w:val="20"/>
              </w:rPr>
            </w:pPr>
          </w:p>
          <w:p w:rsidR="00007AAB" w:rsidRPr="00F16827" w:rsidRDefault="00007AAB" w:rsidP="00AE7EB0">
            <w:pPr>
              <w:jc w:val="both"/>
              <w:rPr>
                <w:rFonts w:eastAsia="Arial"/>
                <w:sz w:val="20"/>
                <w:szCs w:val="20"/>
              </w:rPr>
            </w:pPr>
            <w:r w:rsidRPr="19C01E12">
              <w:rPr>
                <w:rFonts w:eastAsia="Arial"/>
                <w:sz w:val="20"/>
                <w:szCs w:val="20"/>
              </w:rPr>
              <w:t xml:space="preserve">Částky budou aktualizovány. Členění vychází z jednotlivých pilířů. Nový sloupec pro oblast </w:t>
            </w:r>
            <w:proofErr w:type="spellStart"/>
            <w:r w:rsidRPr="19C01E12">
              <w:rPr>
                <w:rFonts w:eastAsia="Arial"/>
                <w:sz w:val="20"/>
                <w:szCs w:val="20"/>
              </w:rPr>
              <w:t>VaV</w:t>
            </w:r>
            <w:proofErr w:type="spellEnd"/>
            <w:r w:rsidRPr="19C01E12">
              <w:rPr>
                <w:rFonts w:eastAsia="Arial"/>
                <w:sz w:val="20"/>
                <w:szCs w:val="20"/>
              </w:rPr>
              <w:t xml:space="preserve"> neodpovídá struktuře členění pilířů. Tento údaj je možné získat z </w:t>
            </w:r>
            <w:proofErr w:type="spellStart"/>
            <w:r w:rsidRPr="19C01E12">
              <w:rPr>
                <w:rFonts w:eastAsia="Arial"/>
                <w:sz w:val="20"/>
                <w:szCs w:val="20"/>
              </w:rPr>
              <w:t>costingu</w:t>
            </w:r>
            <w:proofErr w:type="spellEnd"/>
            <w:r w:rsidRPr="19C01E12">
              <w:rPr>
                <w:rFonts w:eastAsia="Arial"/>
                <w:sz w:val="20"/>
                <w:szCs w:val="20"/>
              </w:rPr>
              <w:t>.</w:t>
            </w:r>
          </w:p>
        </w:tc>
      </w:tr>
      <w:tr w:rsidR="00007AAB" w:rsidRPr="00F16827" w:rsidTr="00AE7EB0">
        <w:trPr>
          <w:trHeight w:val="340"/>
        </w:trPr>
        <w:tc>
          <w:tcPr>
            <w:tcW w:w="1622" w:type="dxa"/>
            <w:vMerge/>
          </w:tcPr>
          <w:p w:rsidR="00007AAB" w:rsidRPr="00F16827" w:rsidRDefault="00007AAB" w:rsidP="00AE7EB0">
            <w:pPr>
              <w:rPr>
                <w:b/>
                <w:bCs/>
                <w:sz w:val="20"/>
                <w:szCs w:val="20"/>
              </w:rPr>
            </w:pPr>
          </w:p>
        </w:tc>
        <w:tc>
          <w:tcPr>
            <w:tcW w:w="666" w:type="dxa"/>
            <w:tcBorders>
              <w:left w:val="single" w:sz="4" w:space="0" w:color="auto"/>
              <w:right w:val="single" w:sz="4" w:space="0" w:color="auto"/>
            </w:tcBorders>
          </w:tcPr>
          <w:p w:rsidR="00007AAB" w:rsidRPr="00F16827" w:rsidRDefault="00007AAB" w:rsidP="00AE7EB0">
            <w:pPr>
              <w:jc w:val="both"/>
              <w:rPr>
                <w:rFonts w:eastAsia="Arial"/>
                <w:sz w:val="20"/>
                <w:szCs w:val="20"/>
              </w:rPr>
            </w:pPr>
            <w:r w:rsidRPr="19C01E12">
              <w:rPr>
                <w:rFonts w:eastAsia="Arial"/>
                <w:sz w:val="20"/>
                <w:szCs w:val="20"/>
              </w:rPr>
              <w:t>158</w:t>
            </w:r>
          </w:p>
        </w:tc>
        <w:tc>
          <w:tcPr>
            <w:tcW w:w="8175" w:type="dxa"/>
            <w:tcBorders>
              <w:top w:val="single" w:sz="4" w:space="0" w:color="auto"/>
              <w:left w:val="single" w:sz="4" w:space="0" w:color="auto"/>
              <w:bottom w:val="single" w:sz="4" w:space="0" w:color="auto"/>
              <w:right w:val="single" w:sz="4" w:space="0" w:color="auto"/>
            </w:tcBorders>
            <w:shd w:val="clear" w:color="auto" w:fill="auto"/>
          </w:tcPr>
          <w:p w:rsidR="00007AAB" w:rsidRPr="009026CC" w:rsidRDefault="00007AAB" w:rsidP="00AE7EB0">
            <w:pPr>
              <w:widowControl w:val="0"/>
              <w:autoSpaceDE w:val="0"/>
              <w:autoSpaceDN w:val="0"/>
              <w:adjustRightInd w:val="0"/>
              <w:spacing w:before="120" w:after="120"/>
              <w:rPr>
                <w:rFonts w:eastAsia="Arial"/>
                <w:b/>
                <w:bCs/>
                <w:sz w:val="20"/>
                <w:szCs w:val="20"/>
              </w:rPr>
            </w:pPr>
            <w:r w:rsidRPr="19C01E12">
              <w:rPr>
                <w:rFonts w:eastAsia="Arial"/>
                <w:b/>
                <w:bCs/>
                <w:sz w:val="20"/>
                <w:szCs w:val="20"/>
              </w:rPr>
              <w:t>Zásadní připomínka</w:t>
            </w:r>
          </w:p>
          <w:p w:rsidR="00007AAB" w:rsidRPr="00F16827" w:rsidRDefault="00007AAB" w:rsidP="00AE7EB0">
            <w:pPr>
              <w:widowControl w:val="0"/>
              <w:autoSpaceDE w:val="0"/>
              <w:autoSpaceDN w:val="0"/>
              <w:adjustRightInd w:val="0"/>
              <w:spacing w:after="120"/>
              <w:rPr>
                <w:rFonts w:eastAsia="Arial"/>
                <w:sz w:val="20"/>
                <w:szCs w:val="20"/>
              </w:rPr>
            </w:pPr>
            <w:r w:rsidRPr="19C01E12">
              <w:rPr>
                <w:rFonts w:eastAsia="Arial"/>
                <w:sz w:val="20"/>
                <w:szCs w:val="20"/>
              </w:rPr>
              <w:t>K dokumentu „</w:t>
            </w:r>
            <w:proofErr w:type="spellStart"/>
            <w:r w:rsidRPr="19C01E12">
              <w:rPr>
                <w:rFonts w:eastAsia="Arial"/>
                <w:i/>
                <w:iCs/>
                <w:sz w:val="20"/>
                <w:szCs w:val="20"/>
              </w:rPr>
              <w:t>Component</w:t>
            </w:r>
            <w:proofErr w:type="spellEnd"/>
            <w:r w:rsidRPr="19C01E12">
              <w:rPr>
                <w:rFonts w:eastAsia="Arial"/>
                <w:i/>
                <w:iCs/>
                <w:sz w:val="20"/>
                <w:szCs w:val="20"/>
              </w:rPr>
              <w:t xml:space="preserve"> 5.2: SUPPORT FOR RESEARCH AND DEVELOPMENT IN COMPANIES AND INTRODUCTION OF INNOVATIONS BUSINESS PRACTISE“:</w:t>
            </w:r>
          </w:p>
          <w:p w:rsidR="00007AAB" w:rsidRPr="00F16827" w:rsidRDefault="00007AAB" w:rsidP="00AE7EB0">
            <w:pPr>
              <w:widowControl w:val="0"/>
              <w:autoSpaceDE w:val="0"/>
              <w:autoSpaceDN w:val="0"/>
              <w:adjustRightInd w:val="0"/>
              <w:spacing w:after="120"/>
              <w:rPr>
                <w:rFonts w:eastAsia="Arial"/>
                <w:sz w:val="20"/>
                <w:szCs w:val="20"/>
              </w:rPr>
            </w:pPr>
            <w:r w:rsidRPr="19C01E12">
              <w:rPr>
                <w:rFonts w:eastAsia="Arial"/>
                <w:sz w:val="20"/>
                <w:szCs w:val="20"/>
              </w:rPr>
              <w:t>V dokumentu chybí doplnění rozšíření komponenty 5.2 v anglické verzi, žádáme o doplnění.</w:t>
            </w:r>
          </w:p>
          <w:p w:rsidR="00007AAB" w:rsidRPr="00F16827" w:rsidRDefault="00007AAB" w:rsidP="00AE7EB0">
            <w:pPr>
              <w:widowControl w:val="0"/>
              <w:autoSpaceDE w:val="0"/>
              <w:autoSpaceDN w:val="0"/>
              <w:adjustRightInd w:val="0"/>
              <w:spacing w:after="120"/>
              <w:rPr>
                <w:rFonts w:eastAsia="Arial"/>
                <w:sz w:val="20"/>
                <w:szCs w:val="20"/>
              </w:rPr>
            </w:pPr>
          </w:p>
        </w:tc>
        <w:tc>
          <w:tcPr>
            <w:tcW w:w="3429" w:type="dxa"/>
            <w:tcBorders>
              <w:left w:val="single" w:sz="4" w:space="0" w:color="auto"/>
              <w:right w:val="single" w:sz="4" w:space="0" w:color="auto"/>
            </w:tcBorders>
            <w:shd w:val="clear" w:color="auto" w:fill="auto"/>
          </w:tcPr>
          <w:p w:rsidR="00007AAB" w:rsidRPr="0018631C" w:rsidRDefault="00007AAB" w:rsidP="00AE7EB0">
            <w:pPr>
              <w:jc w:val="both"/>
              <w:rPr>
                <w:b/>
                <w:bCs/>
                <w:sz w:val="20"/>
                <w:szCs w:val="20"/>
              </w:rPr>
            </w:pPr>
            <w:r w:rsidRPr="19C01E12">
              <w:rPr>
                <w:rFonts w:eastAsia="Calibri"/>
                <w:b/>
                <w:bCs/>
                <w:sz w:val="20"/>
                <w:szCs w:val="20"/>
              </w:rPr>
              <w:t>Neakceptováno</w:t>
            </w:r>
          </w:p>
          <w:p w:rsidR="00007AAB" w:rsidRPr="00F16827" w:rsidRDefault="00007AAB" w:rsidP="00AE7EB0">
            <w:pPr>
              <w:jc w:val="both"/>
              <w:rPr>
                <w:sz w:val="20"/>
                <w:szCs w:val="20"/>
              </w:rPr>
            </w:pPr>
            <w:r w:rsidRPr="19C01E12">
              <w:rPr>
                <w:rFonts w:eastAsia="Calibri"/>
                <w:sz w:val="20"/>
                <w:szCs w:val="20"/>
              </w:rPr>
              <w:t xml:space="preserve"> </w:t>
            </w:r>
          </w:p>
          <w:p w:rsidR="00007AAB" w:rsidRPr="00F16827" w:rsidRDefault="00007AAB" w:rsidP="00AE7EB0">
            <w:pPr>
              <w:jc w:val="both"/>
              <w:rPr>
                <w:sz w:val="20"/>
                <w:szCs w:val="20"/>
              </w:rPr>
            </w:pPr>
            <w:r w:rsidRPr="19C01E12">
              <w:rPr>
                <w:rFonts w:eastAsia="Calibri"/>
                <w:sz w:val="20"/>
                <w:szCs w:val="20"/>
              </w:rPr>
              <w:t>Materiál pro jednání vlády obsahuje české verze.</w:t>
            </w:r>
          </w:p>
          <w:p w:rsidR="00007AAB" w:rsidRPr="00F16827" w:rsidRDefault="00007AAB" w:rsidP="00AE7EB0">
            <w:pPr>
              <w:jc w:val="both"/>
              <w:rPr>
                <w:rFonts w:eastAsia="Arial"/>
                <w:b/>
                <w:bCs/>
                <w:sz w:val="20"/>
                <w:szCs w:val="20"/>
              </w:rPr>
            </w:pPr>
          </w:p>
        </w:tc>
      </w:tr>
      <w:tr w:rsidR="00007AAB" w:rsidRPr="00F16827" w:rsidTr="00AE7EB0">
        <w:trPr>
          <w:trHeight w:val="340"/>
        </w:trPr>
        <w:tc>
          <w:tcPr>
            <w:tcW w:w="1622" w:type="dxa"/>
            <w:vMerge/>
          </w:tcPr>
          <w:p w:rsidR="00007AAB" w:rsidRPr="00F16827" w:rsidRDefault="00007AAB" w:rsidP="00AE7EB0">
            <w:pPr>
              <w:rPr>
                <w:b/>
                <w:bCs/>
                <w:sz w:val="20"/>
                <w:szCs w:val="20"/>
              </w:rPr>
            </w:pPr>
          </w:p>
        </w:tc>
        <w:tc>
          <w:tcPr>
            <w:tcW w:w="666" w:type="dxa"/>
            <w:tcBorders>
              <w:left w:val="single" w:sz="4" w:space="0" w:color="auto"/>
              <w:right w:val="single" w:sz="4" w:space="0" w:color="auto"/>
            </w:tcBorders>
          </w:tcPr>
          <w:p w:rsidR="00007AAB" w:rsidRPr="00F16827" w:rsidRDefault="00007AAB" w:rsidP="00AE7EB0">
            <w:pPr>
              <w:jc w:val="both"/>
              <w:rPr>
                <w:rFonts w:eastAsia="Arial"/>
                <w:sz w:val="20"/>
                <w:szCs w:val="20"/>
              </w:rPr>
            </w:pPr>
            <w:r w:rsidRPr="19C01E12">
              <w:rPr>
                <w:rFonts w:eastAsia="Arial"/>
                <w:sz w:val="20"/>
                <w:szCs w:val="20"/>
              </w:rPr>
              <w:t>159</w:t>
            </w:r>
          </w:p>
        </w:tc>
        <w:tc>
          <w:tcPr>
            <w:tcW w:w="8175" w:type="dxa"/>
            <w:tcBorders>
              <w:top w:val="single" w:sz="4" w:space="0" w:color="auto"/>
              <w:left w:val="single" w:sz="4" w:space="0" w:color="auto"/>
              <w:bottom w:val="single" w:sz="4" w:space="0" w:color="auto"/>
              <w:right w:val="single" w:sz="4" w:space="0" w:color="auto"/>
            </w:tcBorders>
            <w:shd w:val="clear" w:color="auto" w:fill="auto"/>
          </w:tcPr>
          <w:p w:rsidR="00007AAB" w:rsidRPr="009026CC" w:rsidRDefault="00007AAB" w:rsidP="00AE7EB0">
            <w:pPr>
              <w:widowControl w:val="0"/>
              <w:autoSpaceDE w:val="0"/>
              <w:autoSpaceDN w:val="0"/>
              <w:adjustRightInd w:val="0"/>
              <w:spacing w:after="120"/>
              <w:rPr>
                <w:rFonts w:eastAsia="Arial"/>
                <w:b/>
                <w:bCs/>
                <w:sz w:val="20"/>
                <w:szCs w:val="20"/>
              </w:rPr>
            </w:pPr>
            <w:r w:rsidRPr="19C01E12">
              <w:rPr>
                <w:rFonts w:eastAsia="Arial"/>
                <w:b/>
                <w:bCs/>
                <w:sz w:val="20"/>
                <w:szCs w:val="20"/>
              </w:rPr>
              <w:t>Zásadní připomínka</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 xml:space="preserve">K dokumentu </w:t>
            </w:r>
            <w:r w:rsidRPr="19C01E12">
              <w:rPr>
                <w:rFonts w:eastAsia="Arial"/>
                <w:i/>
                <w:iCs/>
                <w:sz w:val="20"/>
                <w:szCs w:val="20"/>
              </w:rPr>
              <w:t xml:space="preserve">Komponenta 5.3 Strategicky řízený a mezinárodně konkurenceschopný ekosystém </w:t>
            </w:r>
            <w:proofErr w:type="spellStart"/>
            <w:r w:rsidRPr="19C01E12">
              <w:rPr>
                <w:rFonts w:eastAsia="Arial"/>
                <w:i/>
                <w:iCs/>
                <w:sz w:val="20"/>
                <w:szCs w:val="20"/>
              </w:rPr>
              <w:t>VaV</w:t>
            </w:r>
            <w:proofErr w:type="spellEnd"/>
            <w:r w:rsidRPr="19C01E12">
              <w:rPr>
                <w:rFonts w:eastAsia="Arial"/>
                <w:sz w:val="20"/>
                <w:szCs w:val="20"/>
              </w:rPr>
              <w:t xml:space="preserve">, který je přílohou a obsažen ve složce </w:t>
            </w:r>
            <w:r w:rsidRPr="19C01E12">
              <w:rPr>
                <w:rFonts w:eastAsia="Arial"/>
                <w:i/>
                <w:iCs/>
                <w:sz w:val="20"/>
                <w:szCs w:val="20"/>
              </w:rPr>
              <w:t xml:space="preserve">4. ČÁST II, KAPITOLA 3 Nové </w:t>
            </w:r>
            <w:r w:rsidRPr="19C01E12">
              <w:rPr>
                <w:rFonts w:eastAsia="Arial"/>
                <w:i/>
                <w:iCs/>
                <w:sz w:val="20"/>
                <w:szCs w:val="20"/>
              </w:rPr>
              <w:lastRenderedPageBreak/>
              <w:t>investice a reformy</w:t>
            </w:r>
            <w:r w:rsidRPr="19C01E12">
              <w:rPr>
                <w:rFonts w:eastAsia="Arial"/>
                <w:sz w:val="20"/>
                <w:szCs w:val="20"/>
              </w:rPr>
              <w:t>:</w:t>
            </w:r>
          </w:p>
          <w:p w:rsidR="00007AAB" w:rsidRPr="00F16827" w:rsidRDefault="00007AAB" w:rsidP="00AE7EB0">
            <w:pPr>
              <w:widowControl w:val="0"/>
              <w:autoSpaceDE w:val="0"/>
              <w:autoSpaceDN w:val="0"/>
              <w:adjustRightInd w:val="0"/>
              <w:spacing w:after="120"/>
              <w:rPr>
                <w:rFonts w:eastAsia="Arial"/>
                <w:sz w:val="20"/>
                <w:szCs w:val="20"/>
              </w:rPr>
            </w:pPr>
            <w:r w:rsidRPr="19C01E12">
              <w:rPr>
                <w:rFonts w:eastAsia="Arial"/>
                <w:sz w:val="20"/>
                <w:szCs w:val="20"/>
              </w:rPr>
              <w:t xml:space="preserve">Návrh reforem v komponentě 5.3 předpokládá realizaci širokého spektra činností, které vstupují do kompetencí vyhrazených zákonem č. 130/2002 Sb. Radě pro výzkum, vývoj a inovace (RVVI).  </w:t>
            </w:r>
          </w:p>
          <w:p w:rsidR="00007AAB" w:rsidRPr="00F16827" w:rsidRDefault="00007AAB" w:rsidP="00AE7EB0">
            <w:pPr>
              <w:widowControl w:val="0"/>
              <w:autoSpaceDE w:val="0"/>
              <w:autoSpaceDN w:val="0"/>
              <w:adjustRightInd w:val="0"/>
              <w:spacing w:after="120"/>
              <w:rPr>
                <w:rFonts w:eastAsia="Arial"/>
                <w:sz w:val="20"/>
                <w:szCs w:val="20"/>
              </w:rPr>
            </w:pPr>
            <w:r w:rsidRPr="19C01E12">
              <w:rPr>
                <w:rFonts w:eastAsia="Arial"/>
                <w:sz w:val="20"/>
                <w:szCs w:val="20"/>
              </w:rPr>
              <w:t xml:space="preserve">Považujeme proto za nepřijatelné, že byla komponenta připravena bez spolupráce s RVVI. Zároveň upozorňujeme, že dle zákona má RVVI zpracovávat stanoviska k materiálům předkládaným vládě za oblast </w:t>
            </w:r>
            <w:proofErr w:type="spellStart"/>
            <w:r w:rsidRPr="19C01E12">
              <w:rPr>
                <w:rFonts w:eastAsia="Arial"/>
                <w:sz w:val="20"/>
                <w:szCs w:val="20"/>
              </w:rPr>
              <w:t>VaVaI</w:t>
            </w:r>
            <w:proofErr w:type="spellEnd"/>
            <w:r w:rsidRPr="19C01E12">
              <w:rPr>
                <w:rFonts w:eastAsia="Arial"/>
                <w:sz w:val="20"/>
                <w:szCs w:val="20"/>
              </w:rPr>
              <w:t xml:space="preserve"> a že ani to nebylo při přípravě návrhu komponenty 5.3 zohledněno. </w:t>
            </w:r>
          </w:p>
          <w:p w:rsidR="00007AAB" w:rsidRPr="00F16827" w:rsidRDefault="00007AAB" w:rsidP="00AE7EB0">
            <w:pPr>
              <w:widowControl w:val="0"/>
              <w:autoSpaceDE w:val="0"/>
              <w:autoSpaceDN w:val="0"/>
              <w:adjustRightInd w:val="0"/>
              <w:spacing w:after="120"/>
              <w:rPr>
                <w:rFonts w:eastAsia="Arial"/>
                <w:sz w:val="20"/>
                <w:szCs w:val="20"/>
              </w:rPr>
            </w:pPr>
            <w:r w:rsidRPr="19C01E12">
              <w:rPr>
                <w:rFonts w:eastAsia="Arial"/>
                <w:b/>
                <w:bCs/>
                <w:sz w:val="20"/>
                <w:szCs w:val="20"/>
              </w:rPr>
              <w:t>Trváme na dodržení zákonných pravidel a řádném projednání materiálu s RVVI.</w:t>
            </w:r>
          </w:p>
        </w:tc>
        <w:tc>
          <w:tcPr>
            <w:tcW w:w="3429" w:type="dxa"/>
            <w:tcBorders>
              <w:left w:val="single" w:sz="4" w:space="0" w:color="auto"/>
              <w:right w:val="single" w:sz="4" w:space="0" w:color="auto"/>
            </w:tcBorders>
            <w:shd w:val="clear" w:color="auto" w:fill="auto"/>
          </w:tcPr>
          <w:p w:rsidR="00007AAB" w:rsidRPr="00F16827" w:rsidRDefault="00007AAB" w:rsidP="00AE7EB0">
            <w:pPr>
              <w:rPr>
                <w:rFonts w:eastAsia="Arial"/>
                <w:sz w:val="20"/>
                <w:szCs w:val="20"/>
              </w:rPr>
            </w:pPr>
            <w:r w:rsidRPr="78C2199D">
              <w:rPr>
                <w:rFonts w:eastAsia="Arial"/>
                <w:sz w:val="20"/>
                <w:szCs w:val="20"/>
              </w:rPr>
              <w:lastRenderedPageBreak/>
              <w:t xml:space="preserve">Připomínka byla vypořádána v rámci jednání s útvarem ministryně pro vědu, výzkum a inovace a </w:t>
            </w:r>
            <w:r w:rsidRPr="78C2199D">
              <w:rPr>
                <w:rFonts w:eastAsia="Arial"/>
                <w:sz w:val="20"/>
                <w:szCs w:val="20"/>
              </w:rPr>
              <w:lastRenderedPageBreak/>
              <w:t>předsednictvem RVVI, které se uskutečnilo dne 1. června 2023.</w:t>
            </w:r>
          </w:p>
        </w:tc>
      </w:tr>
      <w:tr w:rsidR="00007AAB" w:rsidRPr="00F16827" w:rsidTr="00AE7EB0">
        <w:trPr>
          <w:trHeight w:val="340"/>
        </w:trPr>
        <w:tc>
          <w:tcPr>
            <w:tcW w:w="1622" w:type="dxa"/>
            <w:vMerge/>
          </w:tcPr>
          <w:p w:rsidR="00007AAB" w:rsidRPr="00F16827" w:rsidRDefault="00007AAB" w:rsidP="00AE7EB0">
            <w:pPr>
              <w:rPr>
                <w:b/>
                <w:bCs/>
                <w:sz w:val="20"/>
                <w:szCs w:val="20"/>
              </w:rPr>
            </w:pPr>
          </w:p>
        </w:tc>
        <w:tc>
          <w:tcPr>
            <w:tcW w:w="666" w:type="dxa"/>
            <w:tcBorders>
              <w:left w:val="single" w:sz="4" w:space="0" w:color="auto"/>
              <w:right w:val="single" w:sz="4" w:space="0" w:color="auto"/>
            </w:tcBorders>
          </w:tcPr>
          <w:p w:rsidR="00007AAB" w:rsidRPr="00F16827" w:rsidRDefault="00007AAB" w:rsidP="00AE7EB0">
            <w:pPr>
              <w:jc w:val="both"/>
              <w:rPr>
                <w:rFonts w:eastAsia="Arial"/>
                <w:sz w:val="20"/>
                <w:szCs w:val="20"/>
              </w:rPr>
            </w:pPr>
            <w:r w:rsidRPr="19C01E12">
              <w:rPr>
                <w:rFonts w:eastAsia="Arial"/>
                <w:sz w:val="20"/>
                <w:szCs w:val="20"/>
              </w:rPr>
              <w:t>160</w:t>
            </w:r>
          </w:p>
        </w:tc>
        <w:tc>
          <w:tcPr>
            <w:tcW w:w="8175" w:type="dxa"/>
            <w:tcBorders>
              <w:top w:val="single" w:sz="4" w:space="0" w:color="auto"/>
              <w:left w:val="single" w:sz="4" w:space="0" w:color="auto"/>
              <w:bottom w:val="single" w:sz="4" w:space="0" w:color="auto"/>
              <w:right w:val="single" w:sz="4" w:space="0" w:color="auto"/>
            </w:tcBorders>
            <w:shd w:val="clear" w:color="auto" w:fill="auto"/>
          </w:tcPr>
          <w:p w:rsidR="00007AAB" w:rsidRPr="0018631C" w:rsidRDefault="00007AAB" w:rsidP="00AE7EB0">
            <w:pPr>
              <w:widowControl w:val="0"/>
              <w:autoSpaceDE w:val="0"/>
              <w:autoSpaceDN w:val="0"/>
              <w:adjustRightInd w:val="0"/>
              <w:spacing w:after="120"/>
              <w:rPr>
                <w:rFonts w:eastAsia="Arial"/>
                <w:b/>
                <w:bCs/>
                <w:sz w:val="20"/>
                <w:szCs w:val="20"/>
              </w:rPr>
            </w:pPr>
            <w:r w:rsidRPr="19C01E12">
              <w:rPr>
                <w:rFonts w:eastAsia="Arial"/>
                <w:b/>
                <w:bCs/>
                <w:sz w:val="20"/>
                <w:szCs w:val="20"/>
              </w:rPr>
              <w:t>Zásadní připomínka</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 xml:space="preserve">K dokumentu </w:t>
            </w:r>
            <w:r w:rsidRPr="19C01E12">
              <w:rPr>
                <w:rFonts w:eastAsia="Arial"/>
                <w:i/>
                <w:iCs/>
                <w:sz w:val="20"/>
                <w:szCs w:val="20"/>
              </w:rPr>
              <w:t xml:space="preserve">Komponenta 5.3 Strategicky řízený a mezinárodně konkurenceschopný ekosystém </w:t>
            </w:r>
            <w:proofErr w:type="spellStart"/>
            <w:r w:rsidRPr="19C01E12">
              <w:rPr>
                <w:rFonts w:eastAsia="Arial"/>
                <w:i/>
                <w:iCs/>
                <w:sz w:val="20"/>
                <w:szCs w:val="20"/>
              </w:rPr>
              <w:t>VaV</w:t>
            </w:r>
            <w:proofErr w:type="spellEnd"/>
            <w:r w:rsidRPr="19C01E12">
              <w:rPr>
                <w:rFonts w:eastAsia="Arial"/>
                <w:sz w:val="20"/>
                <w:szCs w:val="20"/>
              </w:rPr>
              <w:t xml:space="preserve">, který je přílohou a obsažen ve složce </w:t>
            </w:r>
            <w:r w:rsidRPr="19C01E12">
              <w:rPr>
                <w:rFonts w:eastAsia="Arial"/>
                <w:i/>
                <w:iCs/>
                <w:sz w:val="20"/>
                <w:szCs w:val="20"/>
              </w:rPr>
              <w:t>4. ČÁST II, KAPITOLA 3 Nové investice a reformy</w:t>
            </w:r>
            <w:r w:rsidRPr="19C01E12">
              <w:rPr>
                <w:rFonts w:eastAsia="Arial"/>
                <w:sz w:val="20"/>
                <w:szCs w:val="20"/>
              </w:rPr>
              <w:t>:</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 xml:space="preserve">Poněvadž financování Komponenty 5.3 není požadováno ze zdrojů RRF, není možné tímto dokumentem předjímat </w:t>
            </w:r>
            <w:proofErr w:type="spellStart"/>
            <w:r w:rsidRPr="19C01E12">
              <w:rPr>
                <w:rFonts w:eastAsia="Arial"/>
                <w:sz w:val="20"/>
                <w:szCs w:val="20"/>
              </w:rPr>
              <w:t>závazkování</w:t>
            </w:r>
            <w:proofErr w:type="spellEnd"/>
            <w:r w:rsidRPr="19C01E12">
              <w:rPr>
                <w:rFonts w:eastAsia="Arial"/>
                <w:sz w:val="20"/>
                <w:szCs w:val="20"/>
              </w:rPr>
              <w:t xml:space="preserve"> zdrojů státního rozpočtu. V dokumentu nejsou uvedeny nároky na státní rozpočet </w:t>
            </w:r>
            <w:proofErr w:type="spellStart"/>
            <w:r w:rsidRPr="19C01E12">
              <w:rPr>
                <w:rFonts w:eastAsia="Arial"/>
                <w:sz w:val="20"/>
                <w:szCs w:val="20"/>
              </w:rPr>
              <w:t>VaVaI</w:t>
            </w:r>
            <w:proofErr w:type="spellEnd"/>
            <w:r w:rsidRPr="19C01E12">
              <w:rPr>
                <w:rFonts w:eastAsia="Arial"/>
                <w:sz w:val="20"/>
                <w:szCs w:val="20"/>
              </w:rPr>
              <w:t xml:space="preserve"> v letech (náklady celkem, podpora ze SR a podpora z EU) a prosté konstatování o částce není v souladu s aktuální situací řešené v rámci konsolidace veřejných financí.</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 xml:space="preserve">Důležité je také poznamenat, že implementace míří na rozšíření kapacit projektu sdílených činností STRATIN+, jehož řešení je aktuálně schváleno vládou do roku 2024. Proto není možné, aby se hovořilo o rozšíření projektu STRATIN+, který bude tou dobou již ukončen. Pokud se plánuje nový projekt sdílených činností, mělo by to být řešeno v rámci přípravy návrhu rozpočtu na rok 2024, popřípadě rok 2025 a je nutné postupovat dle § 5 odst. 2 (věty první až třetí) zák. č. 130/2002 Sb., přičemž schválení této komponenty nemůže předcházet řádným postupům, které vyplývají ze zákona 130/2002 Sb. Zároveň by pokračování projektu mělo být diskutováno v kontextu potřeb řízení systému </w:t>
            </w:r>
            <w:proofErr w:type="spellStart"/>
            <w:r w:rsidRPr="19C01E12">
              <w:rPr>
                <w:rFonts w:eastAsia="Arial"/>
                <w:sz w:val="20"/>
                <w:szCs w:val="20"/>
              </w:rPr>
              <w:t>VaVaI</w:t>
            </w:r>
            <w:proofErr w:type="spellEnd"/>
            <w:r w:rsidRPr="19C01E12">
              <w:rPr>
                <w:rFonts w:eastAsia="Arial"/>
                <w:sz w:val="20"/>
                <w:szCs w:val="20"/>
              </w:rPr>
              <w:t xml:space="preserve"> a jeho analytické podpory, a to včetně vyhodnocení dosavadních přínosů projektu STRATIN+.</w:t>
            </w:r>
          </w:p>
          <w:p w:rsidR="00007AAB" w:rsidRPr="00F16827" w:rsidRDefault="00007AAB" w:rsidP="00AE7EB0">
            <w:pPr>
              <w:widowControl w:val="0"/>
              <w:autoSpaceDE w:val="0"/>
              <w:autoSpaceDN w:val="0"/>
              <w:adjustRightInd w:val="0"/>
              <w:spacing w:after="240"/>
              <w:rPr>
                <w:rFonts w:eastAsia="Arial"/>
                <w:b/>
                <w:bCs/>
                <w:sz w:val="20"/>
                <w:szCs w:val="20"/>
              </w:rPr>
            </w:pPr>
            <w:r w:rsidRPr="19C01E12">
              <w:rPr>
                <w:rFonts w:eastAsia="Arial"/>
                <w:b/>
                <w:bCs/>
                <w:sz w:val="20"/>
                <w:szCs w:val="20"/>
              </w:rPr>
              <w:t xml:space="preserve">Žádáme o vypuštění příslušných částí dokumentů, které předjímají závazky státního rozpočtu v oblasti </w:t>
            </w:r>
            <w:proofErr w:type="spellStart"/>
            <w:r w:rsidRPr="19C01E12">
              <w:rPr>
                <w:rFonts w:eastAsia="Arial"/>
                <w:b/>
                <w:bCs/>
                <w:sz w:val="20"/>
                <w:szCs w:val="20"/>
              </w:rPr>
              <w:t>VaVaI</w:t>
            </w:r>
            <w:proofErr w:type="spellEnd"/>
            <w:r w:rsidRPr="19C01E12">
              <w:rPr>
                <w:rFonts w:eastAsia="Arial"/>
                <w:b/>
                <w:bCs/>
                <w:sz w:val="20"/>
                <w:szCs w:val="20"/>
              </w:rPr>
              <w:t xml:space="preserve"> (projekt STRATIN). </w:t>
            </w:r>
          </w:p>
        </w:tc>
        <w:tc>
          <w:tcPr>
            <w:tcW w:w="3429" w:type="dxa"/>
            <w:tcBorders>
              <w:left w:val="single" w:sz="4" w:space="0" w:color="auto"/>
              <w:right w:val="single" w:sz="4" w:space="0" w:color="auto"/>
            </w:tcBorders>
            <w:shd w:val="clear" w:color="auto" w:fill="auto"/>
          </w:tcPr>
          <w:p w:rsidR="00007AAB" w:rsidRPr="00F16827" w:rsidRDefault="00007AAB" w:rsidP="00AE7EB0">
            <w:pPr>
              <w:rPr>
                <w:rFonts w:eastAsia="Arial"/>
                <w:sz w:val="20"/>
                <w:szCs w:val="20"/>
              </w:rPr>
            </w:pPr>
            <w:r w:rsidRPr="78C2199D">
              <w:rPr>
                <w:rFonts w:eastAsia="Arial"/>
                <w:sz w:val="20"/>
                <w:szCs w:val="20"/>
              </w:rPr>
              <w:t>Připomínka byla vypořádána v rámci jednání s útvarem ministryně pro vědu, výzkum a inovace a předsednictvem RVVI, které se uskutečnilo dne 1. června 2023.</w:t>
            </w:r>
          </w:p>
          <w:p w:rsidR="00007AAB" w:rsidRPr="00F16827" w:rsidRDefault="00007AAB" w:rsidP="00AE7EB0"/>
        </w:tc>
      </w:tr>
      <w:tr w:rsidR="00007AAB" w:rsidRPr="00F16827" w:rsidTr="00AE7EB0">
        <w:trPr>
          <w:trHeight w:val="340"/>
        </w:trPr>
        <w:tc>
          <w:tcPr>
            <w:tcW w:w="1622" w:type="dxa"/>
            <w:vMerge/>
          </w:tcPr>
          <w:p w:rsidR="00007AAB" w:rsidRPr="00F16827" w:rsidRDefault="00007AAB" w:rsidP="00AE7EB0">
            <w:pPr>
              <w:rPr>
                <w:b/>
                <w:bCs/>
                <w:sz w:val="20"/>
                <w:szCs w:val="20"/>
              </w:rPr>
            </w:pPr>
          </w:p>
        </w:tc>
        <w:tc>
          <w:tcPr>
            <w:tcW w:w="666" w:type="dxa"/>
            <w:tcBorders>
              <w:left w:val="single" w:sz="4" w:space="0" w:color="auto"/>
              <w:right w:val="single" w:sz="4" w:space="0" w:color="auto"/>
            </w:tcBorders>
          </w:tcPr>
          <w:p w:rsidR="00007AAB" w:rsidRPr="00F16827" w:rsidRDefault="00007AAB" w:rsidP="00AE7EB0">
            <w:pPr>
              <w:jc w:val="both"/>
              <w:rPr>
                <w:rFonts w:eastAsia="Arial"/>
                <w:sz w:val="20"/>
                <w:szCs w:val="20"/>
              </w:rPr>
            </w:pPr>
            <w:r w:rsidRPr="19C01E12">
              <w:rPr>
                <w:rFonts w:eastAsia="Arial"/>
                <w:sz w:val="20"/>
                <w:szCs w:val="20"/>
              </w:rPr>
              <w:t>161</w:t>
            </w:r>
          </w:p>
        </w:tc>
        <w:tc>
          <w:tcPr>
            <w:tcW w:w="8175" w:type="dxa"/>
            <w:tcBorders>
              <w:top w:val="single" w:sz="4" w:space="0" w:color="auto"/>
              <w:left w:val="single" w:sz="4" w:space="0" w:color="auto"/>
              <w:bottom w:val="single" w:sz="4" w:space="0" w:color="auto"/>
              <w:right w:val="single" w:sz="4" w:space="0" w:color="auto"/>
            </w:tcBorders>
            <w:shd w:val="clear" w:color="auto" w:fill="auto"/>
          </w:tcPr>
          <w:p w:rsidR="00007AAB" w:rsidRPr="0018631C" w:rsidRDefault="00007AAB" w:rsidP="00AE7EB0">
            <w:pPr>
              <w:widowControl w:val="0"/>
              <w:autoSpaceDE w:val="0"/>
              <w:autoSpaceDN w:val="0"/>
              <w:adjustRightInd w:val="0"/>
              <w:spacing w:before="120" w:after="120"/>
              <w:rPr>
                <w:rFonts w:eastAsia="Arial"/>
                <w:b/>
                <w:bCs/>
                <w:sz w:val="20"/>
                <w:szCs w:val="20"/>
              </w:rPr>
            </w:pPr>
            <w:r w:rsidRPr="19C01E12">
              <w:rPr>
                <w:rFonts w:eastAsia="Arial"/>
                <w:b/>
                <w:bCs/>
                <w:sz w:val="20"/>
                <w:szCs w:val="20"/>
              </w:rPr>
              <w:t>Zásadní připomínka</w:t>
            </w:r>
          </w:p>
          <w:p w:rsidR="00007AAB" w:rsidRPr="00F16827" w:rsidRDefault="00007AAB" w:rsidP="00AE7EB0">
            <w:pPr>
              <w:spacing w:after="160" w:line="259" w:lineRule="auto"/>
              <w:rPr>
                <w:rFonts w:eastAsia="Arial"/>
                <w:sz w:val="20"/>
                <w:szCs w:val="20"/>
              </w:rPr>
            </w:pPr>
            <w:r w:rsidRPr="19C01E12">
              <w:rPr>
                <w:rFonts w:eastAsia="Arial"/>
                <w:sz w:val="20"/>
                <w:szCs w:val="20"/>
              </w:rPr>
              <w:t>K materiálu jako celku:</w:t>
            </w:r>
          </w:p>
          <w:p w:rsidR="00007AAB" w:rsidRPr="00F16827" w:rsidRDefault="00007AAB" w:rsidP="00AE7EB0">
            <w:pPr>
              <w:spacing w:after="160" w:line="259" w:lineRule="auto"/>
              <w:rPr>
                <w:rFonts w:eastAsia="Arial"/>
                <w:sz w:val="20"/>
                <w:szCs w:val="20"/>
              </w:rPr>
            </w:pPr>
            <w:r w:rsidRPr="19C01E12">
              <w:rPr>
                <w:rFonts w:eastAsia="Arial"/>
                <w:sz w:val="20"/>
                <w:szCs w:val="20"/>
              </w:rPr>
              <w:t xml:space="preserve">Za zásadní nedostatek materiálu považujeme neuvedení makroekonomického, sociálního a institucionálního dopadu, který zatím není zpracován, jak uvádějí předkladatelé materiálu. Proto navrhujeme, aby finálnímu odsouhlasení konkrétního využití navýšení alokace NPO předcházelo zpracování dopadů navýšení, včetně problematiky financování po roce 2026, resp. i po skončení možnosti financování z kohezních fondů. </w:t>
            </w:r>
          </w:p>
          <w:p w:rsidR="00007AAB" w:rsidRPr="00F16827" w:rsidRDefault="00007AAB" w:rsidP="00AE7EB0">
            <w:pPr>
              <w:spacing w:after="160" w:line="259" w:lineRule="auto"/>
              <w:rPr>
                <w:rFonts w:eastAsia="Arial"/>
                <w:b/>
                <w:bCs/>
                <w:sz w:val="20"/>
                <w:szCs w:val="20"/>
              </w:rPr>
            </w:pPr>
          </w:p>
        </w:tc>
        <w:tc>
          <w:tcPr>
            <w:tcW w:w="3429" w:type="dxa"/>
            <w:tcBorders>
              <w:left w:val="single" w:sz="4" w:space="0" w:color="auto"/>
              <w:right w:val="single" w:sz="4" w:space="0" w:color="auto"/>
            </w:tcBorders>
            <w:shd w:val="clear" w:color="auto" w:fill="auto"/>
          </w:tcPr>
          <w:p w:rsidR="00007AAB" w:rsidRPr="0018631C" w:rsidRDefault="00007AAB" w:rsidP="00AE7EB0">
            <w:pPr>
              <w:jc w:val="both"/>
              <w:rPr>
                <w:rFonts w:eastAsia="Arial"/>
                <w:b/>
                <w:bCs/>
                <w:sz w:val="20"/>
                <w:szCs w:val="20"/>
              </w:rPr>
            </w:pPr>
            <w:r w:rsidRPr="19C01E12">
              <w:rPr>
                <w:rFonts w:eastAsia="Arial"/>
                <w:b/>
                <w:bCs/>
                <w:sz w:val="20"/>
                <w:szCs w:val="20"/>
              </w:rPr>
              <w:t>Akceptováno</w:t>
            </w:r>
          </w:p>
          <w:p w:rsidR="00007AAB" w:rsidRPr="00F16827" w:rsidRDefault="00007AAB" w:rsidP="00AE7EB0">
            <w:pPr>
              <w:jc w:val="both"/>
              <w:rPr>
                <w:rFonts w:eastAsia="Arial"/>
                <w:sz w:val="20"/>
                <w:szCs w:val="20"/>
              </w:rPr>
            </w:pPr>
          </w:p>
          <w:p w:rsidR="00007AAB" w:rsidRPr="00F16827" w:rsidRDefault="00007AAB" w:rsidP="00AE7EB0">
            <w:pPr>
              <w:jc w:val="both"/>
              <w:rPr>
                <w:rFonts w:eastAsia="Arial"/>
                <w:sz w:val="20"/>
                <w:szCs w:val="20"/>
              </w:rPr>
            </w:pPr>
            <w:r w:rsidRPr="19C01E12">
              <w:rPr>
                <w:rFonts w:eastAsia="Arial"/>
                <w:sz w:val="20"/>
                <w:szCs w:val="20"/>
              </w:rPr>
              <w:t>Tento přehled bude zpracován a doplněn před zasláním EK.</w:t>
            </w:r>
          </w:p>
        </w:tc>
      </w:tr>
      <w:tr w:rsidR="00007AAB" w:rsidRPr="00F16827" w:rsidTr="00AE7EB0">
        <w:trPr>
          <w:trHeight w:val="340"/>
        </w:trPr>
        <w:tc>
          <w:tcPr>
            <w:tcW w:w="1622" w:type="dxa"/>
            <w:vMerge/>
          </w:tcPr>
          <w:p w:rsidR="00007AAB" w:rsidRPr="00F16827" w:rsidRDefault="00007AAB" w:rsidP="00AE7EB0">
            <w:pPr>
              <w:rPr>
                <w:b/>
                <w:bCs/>
                <w:sz w:val="20"/>
                <w:szCs w:val="20"/>
              </w:rPr>
            </w:pPr>
          </w:p>
        </w:tc>
        <w:tc>
          <w:tcPr>
            <w:tcW w:w="666" w:type="dxa"/>
            <w:tcBorders>
              <w:left w:val="single" w:sz="4" w:space="0" w:color="auto"/>
              <w:right w:val="single" w:sz="4" w:space="0" w:color="auto"/>
            </w:tcBorders>
          </w:tcPr>
          <w:p w:rsidR="00007AAB" w:rsidRPr="00F16827" w:rsidRDefault="00007AAB" w:rsidP="00AE7EB0">
            <w:pPr>
              <w:jc w:val="both"/>
              <w:rPr>
                <w:rFonts w:eastAsia="Arial"/>
                <w:sz w:val="20"/>
                <w:szCs w:val="20"/>
              </w:rPr>
            </w:pPr>
            <w:r w:rsidRPr="19C01E12">
              <w:rPr>
                <w:rFonts w:eastAsia="Arial"/>
                <w:sz w:val="20"/>
                <w:szCs w:val="20"/>
              </w:rPr>
              <w:t>162</w:t>
            </w:r>
          </w:p>
        </w:tc>
        <w:tc>
          <w:tcPr>
            <w:tcW w:w="8175" w:type="dxa"/>
            <w:tcBorders>
              <w:top w:val="single" w:sz="4" w:space="0" w:color="auto"/>
              <w:left w:val="single" w:sz="4" w:space="0" w:color="auto"/>
              <w:bottom w:val="single" w:sz="4" w:space="0" w:color="auto"/>
              <w:right w:val="single" w:sz="4" w:space="0" w:color="auto"/>
            </w:tcBorders>
            <w:shd w:val="clear" w:color="auto" w:fill="auto"/>
          </w:tcPr>
          <w:p w:rsidR="00007AAB" w:rsidRPr="0018631C" w:rsidRDefault="00007AAB" w:rsidP="00AE7EB0">
            <w:pPr>
              <w:spacing w:after="160" w:line="259" w:lineRule="auto"/>
              <w:rPr>
                <w:rFonts w:eastAsia="Arial"/>
                <w:b/>
                <w:bCs/>
                <w:sz w:val="20"/>
                <w:szCs w:val="20"/>
              </w:rPr>
            </w:pPr>
            <w:r w:rsidRPr="19C01E12">
              <w:rPr>
                <w:rFonts w:eastAsia="Arial"/>
                <w:b/>
                <w:bCs/>
                <w:sz w:val="20"/>
                <w:szCs w:val="20"/>
              </w:rPr>
              <w:t>Zásadní připomínka</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 xml:space="preserve">K dokumentu </w:t>
            </w:r>
            <w:r w:rsidRPr="19C01E12">
              <w:rPr>
                <w:rFonts w:eastAsia="Arial"/>
                <w:i/>
                <w:iCs/>
                <w:sz w:val="20"/>
                <w:szCs w:val="20"/>
              </w:rPr>
              <w:t xml:space="preserve">Komponenta 5.3 Strategicky řízený a mezinárodně konkurenceschopný ekosystém </w:t>
            </w:r>
            <w:proofErr w:type="spellStart"/>
            <w:r w:rsidRPr="19C01E12">
              <w:rPr>
                <w:rFonts w:eastAsia="Arial"/>
                <w:i/>
                <w:iCs/>
                <w:sz w:val="20"/>
                <w:szCs w:val="20"/>
              </w:rPr>
              <w:t>VaV</w:t>
            </w:r>
            <w:proofErr w:type="spellEnd"/>
            <w:r w:rsidRPr="19C01E12">
              <w:rPr>
                <w:rFonts w:eastAsia="Arial"/>
                <w:sz w:val="20"/>
                <w:szCs w:val="20"/>
              </w:rPr>
              <w:t xml:space="preserve">, který je přílohou a obsažen ve složce </w:t>
            </w:r>
            <w:r w:rsidRPr="19C01E12">
              <w:rPr>
                <w:rFonts w:eastAsia="Arial"/>
                <w:i/>
                <w:iCs/>
                <w:sz w:val="20"/>
                <w:szCs w:val="20"/>
              </w:rPr>
              <w:t>4. ČÁST II, KAPITOLA 3 Nové investice a reformy</w:t>
            </w:r>
            <w:r w:rsidRPr="19C01E12">
              <w:rPr>
                <w:rFonts w:eastAsia="Arial"/>
                <w:sz w:val="20"/>
                <w:szCs w:val="20"/>
              </w:rPr>
              <w:t>.</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Žádáme doplnění investice č. 1 (Zvýšit intenzitu a kvalitu zapojení ekosystému výzkumu, vývoje a inovací do mezinárodní spolupráce a posílit jeho odolnost vůči nedostatečnému a pro-cyklickému způsobu financování z národních zdrojů a evropských zdrojů s tzv. národní obálkou) o části, které zohlední širší zacílení v následujícím smyslu:</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 xml:space="preserve">Cílem intervence by mělo být nejen posílení odolnosti vůči nedostatečnému a pro-cyklickému způsobu financování u nositelů excelentní výzkumné agendy, kteří již v ČR působí, ale i navyšování intenzity čerpání nad již dosaženou úroveň a vědně-oborovou strukturu pomocí navyšování počtu samostatných nositelů excelentní výzkumné agendy v ČR působících a to ideálně v širokém spektru vědních oborů. </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Toho lze dosáhnout podporou mateřských pracovišť, na kterých působí týmy, které v minulosti prokázaly schopnost dosahovat excelentního výzkumu, a podporou zaměřenou i na potřebu rozvoje excelence na nadějných pracovištích ve vědních oborech, které prozatím v této oblasti zaostávají.</w:t>
            </w:r>
          </w:p>
        </w:tc>
        <w:tc>
          <w:tcPr>
            <w:tcW w:w="3429" w:type="dxa"/>
            <w:tcBorders>
              <w:left w:val="single" w:sz="4" w:space="0" w:color="auto"/>
              <w:right w:val="single" w:sz="4" w:space="0" w:color="auto"/>
            </w:tcBorders>
            <w:shd w:val="clear" w:color="auto" w:fill="auto"/>
          </w:tcPr>
          <w:p w:rsidR="00007AAB" w:rsidRPr="0018631C" w:rsidRDefault="00007AAB" w:rsidP="00AE7EB0">
            <w:pPr>
              <w:rPr>
                <w:rFonts w:eastAsia="Arial"/>
                <w:sz w:val="20"/>
                <w:szCs w:val="20"/>
              </w:rPr>
            </w:pPr>
            <w:r w:rsidRPr="78C2199D">
              <w:rPr>
                <w:rFonts w:eastAsia="Arial"/>
                <w:sz w:val="20"/>
                <w:szCs w:val="20"/>
              </w:rPr>
              <w:t>Připomínka byla vypořádána v rámci jednání s útvarem ministryně pro vědu, výzkum a inovace a předsednictvem RVVI, které se uskutečnilo dne 1. června 2023.</w:t>
            </w:r>
          </w:p>
          <w:p w:rsidR="00007AAB" w:rsidRPr="0018631C" w:rsidRDefault="00007AAB" w:rsidP="00AE7EB0">
            <w:pPr>
              <w:jc w:val="both"/>
              <w:rPr>
                <w:rFonts w:eastAsia="Arial"/>
                <w:sz w:val="20"/>
                <w:szCs w:val="20"/>
              </w:rPr>
            </w:pPr>
          </w:p>
        </w:tc>
      </w:tr>
      <w:tr w:rsidR="00007AAB" w:rsidRPr="00F16827" w:rsidTr="00AE7EB0">
        <w:trPr>
          <w:trHeight w:val="340"/>
        </w:trPr>
        <w:tc>
          <w:tcPr>
            <w:tcW w:w="1622" w:type="dxa"/>
            <w:tcBorders>
              <w:left w:val="single" w:sz="4" w:space="0" w:color="auto"/>
              <w:right w:val="single" w:sz="4" w:space="0" w:color="auto"/>
            </w:tcBorders>
            <w:shd w:val="clear" w:color="auto" w:fill="auto"/>
          </w:tcPr>
          <w:p w:rsidR="00007AAB" w:rsidRPr="00F16827" w:rsidRDefault="00007AAB" w:rsidP="00AE7EB0">
            <w:pPr>
              <w:jc w:val="both"/>
              <w:rPr>
                <w:rFonts w:eastAsia="Arial"/>
                <w:b/>
                <w:bCs/>
                <w:sz w:val="20"/>
                <w:szCs w:val="20"/>
              </w:rPr>
            </w:pPr>
            <w:r w:rsidRPr="19C01E12">
              <w:rPr>
                <w:rFonts w:eastAsia="Arial"/>
                <w:b/>
                <w:bCs/>
                <w:sz w:val="20"/>
                <w:szCs w:val="20"/>
              </w:rPr>
              <w:t xml:space="preserve">Úřad vlády – ministryně pro vědu, výzkum a inovace a předsedkyně </w:t>
            </w:r>
            <w:r w:rsidRPr="19C01E12">
              <w:rPr>
                <w:rFonts w:eastAsia="Arial"/>
                <w:b/>
                <w:bCs/>
                <w:sz w:val="20"/>
                <w:szCs w:val="20"/>
              </w:rPr>
              <w:lastRenderedPageBreak/>
              <w:t>Rady pro výzkum, vývoj a inovace</w:t>
            </w:r>
          </w:p>
        </w:tc>
        <w:tc>
          <w:tcPr>
            <w:tcW w:w="666" w:type="dxa"/>
            <w:tcBorders>
              <w:left w:val="single" w:sz="4" w:space="0" w:color="auto"/>
              <w:right w:val="single" w:sz="4" w:space="0" w:color="auto"/>
            </w:tcBorders>
          </w:tcPr>
          <w:p w:rsidR="00007AAB" w:rsidRPr="00F16827" w:rsidRDefault="00007AAB" w:rsidP="00AE7EB0">
            <w:pPr>
              <w:jc w:val="both"/>
              <w:rPr>
                <w:rFonts w:eastAsia="Arial"/>
                <w:sz w:val="20"/>
                <w:szCs w:val="20"/>
              </w:rPr>
            </w:pPr>
            <w:r w:rsidRPr="19C01E12">
              <w:rPr>
                <w:rFonts w:eastAsia="Arial"/>
                <w:sz w:val="20"/>
                <w:szCs w:val="20"/>
              </w:rPr>
              <w:lastRenderedPageBreak/>
              <w:t>163</w:t>
            </w:r>
          </w:p>
        </w:tc>
        <w:tc>
          <w:tcPr>
            <w:tcW w:w="8175" w:type="dxa"/>
            <w:tcBorders>
              <w:top w:val="single" w:sz="4" w:space="0" w:color="auto"/>
              <w:left w:val="single" w:sz="4" w:space="0" w:color="auto"/>
              <w:bottom w:val="single" w:sz="4" w:space="0" w:color="auto"/>
              <w:right w:val="single" w:sz="4" w:space="0" w:color="auto"/>
            </w:tcBorders>
            <w:shd w:val="clear" w:color="auto" w:fill="auto"/>
          </w:tcPr>
          <w:p w:rsidR="00007AAB" w:rsidRPr="00F16827" w:rsidRDefault="00007AAB" w:rsidP="00AE7EB0">
            <w:pPr>
              <w:spacing w:after="160" w:line="259" w:lineRule="auto"/>
              <w:rPr>
                <w:rFonts w:eastAsia="Arial"/>
                <w:b/>
                <w:bCs/>
                <w:sz w:val="20"/>
                <w:szCs w:val="20"/>
              </w:rPr>
            </w:pPr>
            <w:r w:rsidRPr="19C01E12">
              <w:rPr>
                <w:rFonts w:eastAsia="Arial"/>
                <w:b/>
                <w:bCs/>
                <w:sz w:val="20"/>
                <w:szCs w:val="20"/>
              </w:rPr>
              <w:t>Zásadní připomínka</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 xml:space="preserve">K dokumentu </w:t>
            </w:r>
            <w:r w:rsidRPr="19C01E12">
              <w:rPr>
                <w:rFonts w:eastAsia="Arial"/>
                <w:i/>
                <w:iCs/>
                <w:sz w:val="20"/>
                <w:szCs w:val="20"/>
              </w:rPr>
              <w:t xml:space="preserve">Komponenta 5.3 Strategicky řízený a mezinárodně konkurenceschopný ekosystém </w:t>
            </w:r>
            <w:proofErr w:type="spellStart"/>
            <w:r w:rsidRPr="19C01E12">
              <w:rPr>
                <w:rFonts w:eastAsia="Arial"/>
                <w:i/>
                <w:iCs/>
                <w:sz w:val="20"/>
                <w:szCs w:val="20"/>
              </w:rPr>
              <w:t>VaV</w:t>
            </w:r>
            <w:proofErr w:type="spellEnd"/>
            <w:r w:rsidRPr="19C01E12">
              <w:rPr>
                <w:rFonts w:eastAsia="Arial"/>
                <w:sz w:val="20"/>
                <w:szCs w:val="20"/>
              </w:rPr>
              <w:t xml:space="preserve">, který je přílohou a obsažen ve složce </w:t>
            </w:r>
            <w:r w:rsidRPr="19C01E12">
              <w:rPr>
                <w:rFonts w:eastAsia="Arial"/>
                <w:i/>
                <w:iCs/>
                <w:sz w:val="20"/>
                <w:szCs w:val="20"/>
              </w:rPr>
              <w:t xml:space="preserve">4. ČÁST II, KAPITOLA 3 Nové </w:t>
            </w:r>
            <w:r w:rsidRPr="19C01E12">
              <w:rPr>
                <w:rFonts w:eastAsia="Arial"/>
                <w:i/>
                <w:iCs/>
                <w:sz w:val="20"/>
                <w:szCs w:val="20"/>
              </w:rPr>
              <w:lastRenderedPageBreak/>
              <w:t>investice a reformy</w:t>
            </w:r>
            <w:r w:rsidRPr="19C01E12">
              <w:rPr>
                <w:rFonts w:eastAsia="Arial"/>
                <w:sz w:val="20"/>
                <w:szCs w:val="20"/>
              </w:rPr>
              <w:t>.</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Žádáme doplnění investice č. 1 (Zvýšit intenzitu a kvalitu zapojení ekosystému výzkumu, vývoje a inovací do mezinárodní spolupráce a posílit jeho odolnost vůči nedostatečnému a pro-cyklickému způsobu financování z národních zdrojů a evropských zdrojů s tzv. národní obálkou) o části, které zohlední širší zacílení v následujícím smyslu:</w:t>
            </w:r>
          </w:p>
          <w:p w:rsidR="00007AAB" w:rsidRPr="00F16827" w:rsidRDefault="00007AAB" w:rsidP="00AE7EB0">
            <w:pPr>
              <w:widowControl w:val="0"/>
              <w:autoSpaceDE w:val="0"/>
              <w:autoSpaceDN w:val="0"/>
              <w:adjustRightInd w:val="0"/>
              <w:spacing w:after="240"/>
              <w:rPr>
                <w:rFonts w:eastAsia="Arial"/>
                <w:sz w:val="20"/>
                <w:szCs w:val="20"/>
              </w:rPr>
            </w:pPr>
            <w:r w:rsidRPr="19C01E12">
              <w:rPr>
                <w:rFonts w:eastAsia="Arial"/>
                <w:sz w:val="20"/>
                <w:szCs w:val="20"/>
              </w:rPr>
              <w:t xml:space="preserve">Cílem intervence by mělo být nejen posílení odolnosti vůči nedostatečnému a pro-cyklickému způsobu financování u nositelů excelentní výzkumné agendy, kteří již v ČR působí, ale i navyšování intenzity čerpání nad již dosaženou úroveň a vědně-oborovou strukturu pomocí navyšování počtu samostatných nositelů excelentní výzkumné agendy v ČR působících a to ideálně v širokém spektru vědních oborů. </w:t>
            </w:r>
          </w:p>
          <w:p w:rsidR="00007AAB" w:rsidRPr="00F16827" w:rsidRDefault="00007AAB" w:rsidP="00AE7EB0">
            <w:pPr>
              <w:spacing w:line="276" w:lineRule="auto"/>
              <w:jc w:val="both"/>
              <w:rPr>
                <w:rFonts w:eastAsia="Arial"/>
                <w:b/>
                <w:bCs/>
                <w:sz w:val="20"/>
                <w:szCs w:val="20"/>
                <w:lang w:val="cs"/>
              </w:rPr>
            </w:pPr>
            <w:r w:rsidRPr="19C01E12">
              <w:rPr>
                <w:rFonts w:eastAsia="Arial"/>
                <w:sz w:val="20"/>
                <w:szCs w:val="20"/>
              </w:rPr>
              <w:t>Toho lze dosáhnout podporou mateřských pracovišť, na kterých působí týmy, které v minulosti prokázaly schopnost dosahovat excelentního výzkumu, a podporou zaměřenou i na potřebu rozvoje excelence na nadějných pracovištích ve vědních oborech, které prozatím v této oblasti zaostávají.</w:t>
            </w:r>
          </w:p>
        </w:tc>
        <w:tc>
          <w:tcPr>
            <w:tcW w:w="3429" w:type="dxa"/>
            <w:tcBorders>
              <w:left w:val="single" w:sz="4" w:space="0" w:color="auto"/>
              <w:right w:val="single" w:sz="4" w:space="0" w:color="auto"/>
            </w:tcBorders>
            <w:shd w:val="clear" w:color="auto" w:fill="auto"/>
          </w:tcPr>
          <w:p w:rsidR="00007AAB" w:rsidRDefault="00007AAB" w:rsidP="00AE7EB0">
            <w:pPr>
              <w:rPr>
                <w:rFonts w:eastAsia="Arial"/>
                <w:sz w:val="20"/>
                <w:szCs w:val="20"/>
              </w:rPr>
            </w:pPr>
            <w:r w:rsidRPr="78C2199D">
              <w:rPr>
                <w:rFonts w:eastAsia="Arial"/>
                <w:sz w:val="20"/>
                <w:szCs w:val="20"/>
              </w:rPr>
              <w:lastRenderedPageBreak/>
              <w:t>Připomínka byla vypořádána v rámci jednání s útvarem ministryně pro vědu, výzkum a inovace a předsednictvem RVVI, které se uskutečnilo dne 1. června 2023.</w:t>
            </w:r>
          </w:p>
          <w:p w:rsidR="00007AAB" w:rsidRDefault="00007AAB" w:rsidP="00AE7EB0"/>
          <w:p w:rsidR="00007AAB" w:rsidRPr="0018631C" w:rsidRDefault="00007AAB" w:rsidP="00AE7EB0">
            <w:pPr>
              <w:jc w:val="both"/>
              <w:rPr>
                <w:rFonts w:eastAsia="Arial"/>
                <w:sz w:val="20"/>
                <w:szCs w:val="20"/>
              </w:rPr>
            </w:pPr>
          </w:p>
        </w:tc>
      </w:tr>
    </w:tbl>
    <w:p w:rsidR="00D40DB7" w:rsidRDefault="00D40DB7">
      <w:bookmarkStart w:id="0" w:name="_GoBack"/>
      <w:bookmarkEnd w:id="0"/>
    </w:p>
    <w:sectPr w:rsidR="00D40DB7" w:rsidSect="00007AA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AAB"/>
    <w:rsid w:val="00007AAB"/>
    <w:rsid w:val="00D40D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0AD7D7-5871-425B-9A05-DFAC68548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7AAB"/>
    <w:pPr>
      <w:spacing w:after="0" w:line="240" w:lineRule="auto"/>
    </w:pPr>
    <w:rPr>
      <w:rFonts w:ascii="Arial" w:eastAsia="Times New Roman" w:hAnsi="Arial" w:cs="Arial"/>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1146</Words>
  <Characters>6764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Lysý Petr</dc:creator>
  <cp:keywords/>
  <dc:description/>
  <cp:lastModifiedBy>Lysý Petr</cp:lastModifiedBy>
  <cp:revision>1</cp:revision>
  <dcterms:created xsi:type="dcterms:W3CDTF">2023-06-07T06:11:00Z</dcterms:created>
  <dcterms:modified xsi:type="dcterms:W3CDTF">2023-06-07T06:12:00Z</dcterms:modified>
</cp:coreProperties>
</file>