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13" w:rsidRDefault="007D2338" w:rsidP="007D2338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7D2338">
        <w:rPr>
          <w:rFonts w:ascii="Arial" w:hAnsi="Arial" w:cs="Arial"/>
          <w:b/>
          <w:color w:val="0070C0"/>
          <w:sz w:val="28"/>
          <w:szCs w:val="28"/>
        </w:rPr>
        <w:t>SAPEA zpráva/report: "</w:t>
      </w:r>
      <w:proofErr w:type="spellStart"/>
      <w:r w:rsidRPr="007D2338">
        <w:rPr>
          <w:rFonts w:ascii="Arial" w:hAnsi="Arial" w:cs="Arial"/>
          <w:b/>
          <w:color w:val="0070C0"/>
          <w:sz w:val="28"/>
          <w:szCs w:val="28"/>
        </w:rPr>
        <w:t>Towards</w:t>
      </w:r>
      <w:proofErr w:type="spellEnd"/>
      <w:r w:rsidRPr="007D2338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r w:rsidRPr="007D2338">
        <w:rPr>
          <w:rFonts w:ascii="Arial" w:hAnsi="Arial" w:cs="Arial"/>
          <w:b/>
          <w:color w:val="0070C0"/>
          <w:sz w:val="28"/>
          <w:szCs w:val="28"/>
        </w:rPr>
        <w:t>Sustainable</w:t>
      </w:r>
      <w:proofErr w:type="spellEnd"/>
      <w:r w:rsidRPr="007D2338">
        <w:rPr>
          <w:rFonts w:ascii="Arial" w:hAnsi="Arial" w:cs="Arial"/>
          <w:b/>
          <w:color w:val="0070C0"/>
          <w:sz w:val="28"/>
          <w:szCs w:val="28"/>
        </w:rPr>
        <w:t xml:space="preserve"> Food </w:t>
      </w:r>
      <w:proofErr w:type="spellStart"/>
      <w:r w:rsidRPr="007D2338">
        <w:rPr>
          <w:rFonts w:ascii="Arial" w:hAnsi="Arial" w:cs="Arial"/>
          <w:b/>
          <w:color w:val="0070C0"/>
          <w:sz w:val="28"/>
          <w:szCs w:val="28"/>
        </w:rPr>
        <w:t>Consumption</w:t>
      </w:r>
      <w:proofErr w:type="spellEnd"/>
      <w:r w:rsidRPr="007D2338">
        <w:rPr>
          <w:rFonts w:ascii="Arial" w:hAnsi="Arial" w:cs="Arial"/>
          <w:b/>
          <w:color w:val="0070C0"/>
          <w:sz w:val="28"/>
          <w:szCs w:val="28"/>
        </w:rPr>
        <w:t>"</w:t>
      </w:r>
    </w:p>
    <w:p w:rsidR="00B631EE" w:rsidRDefault="00B631EE" w:rsidP="00B631EE">
      <w:pPr>
        <w:autoSpaceDE w:val="0"/>
        <w:autoSpaceDN w:val="0"/>
        <w:adjustRightInd w:val="0"/>
        <w:ind w:left="1440" w:hanging="144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  <w:proofErr w:type="gramStart"/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>Od</w:t>
      </w:r>
      <w:proofErr w:type="gramEnd"/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>:</w:t>
      </w: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ab/>
      </w:r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>"Šámalová Klára" &lt;samalova@kav.cas.cz&gt;</w:t>
      </w:r>
    </w:p>
    <w:p w:rsidR="00B631EE" w:rsidRDefault="00B631EE" w:rsidP="00B631EE">
      <w:pPr>
        <w:autoSpaceDE w:val="0"/>
        <w:autoSpaceDN w:val="0"/>
        <w:adjustRightInd w:val="0"/>
        <w:ind w:left="1440" w:hanging="144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>Komu:</w:t>
      </w: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ab/>
      </w:r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>"rvv@vlada.cz" &lt;rvv@vlada.cz&gt;</w:t>
      </w:r>
    </w:p>
    <w:p w:rsidR="00B631EE" w:rsidRDefault="00B631EE" w:rsidP="00B631EE">
      <w:pPr>
        <w:autoSpaceDE w:val="0"/>
        <w:autoSpaceDN w:val="0"/>
        <w:adjustRightInd w:val="0"/>
        <w:ind w:left="1440" w:hanging="144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>Datum:</w:t>
      </w: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ab/>
      </w:r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>06.09.2023 09:19</w:t>
      </w:r>
    </w:p>
    <w:p w:rsidR="00B631EE" w:rsidRDefault="00B631EE" w:rsidP="00B631EE">
      <w:pPr>
        <w:autoSpaceDE w:val="0"/>
        <w:autoSpaceDN w:val="0"/>
        <w:adjustRightInd w:val="0"/>
        <w:ind w:left="1440" w:hanging="144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>Předmět:</w:t>
      </w: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ab/>
      </w:r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>SAPEA zpráva/report: "</w:t>
      </w:r>
      <w:proofErr w:type="spellStart"/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>Towards</w:t>
      </w:r>
      <w:proofErr w:type="spellEnd"/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>Sustainable</w:t>
      </w:r>
      <w:proofErr w:type="spellEnd"/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 xml:space="preserve"> Food </w:t>
      </w:r>
      <w:proofErr w:type="spellStart"/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>Consumption</w:t>
      </w:r>
      <w:proofErr w:type="spellEnd"/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 xml:space="preserve">" </w:t>
      </w:r>
    </w:p>
    <w:p w:rsidR="00B631EE" w:rsidRDefault="00B631EE" w:rsidP="00B631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</w:p>
    <w:p w:rsidR="00B631EE" w:rsidRDefault="00B631EE" w:rsidP="00B631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</w:p>
    <w:p w:rsidR="00B631EE" w:rsidRDefault="00B631EE" w:rsidP="00B631EE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Vážená členky, vážení členové Rady pro výzkum, vývoj a inovace,</w:t>
      </w:r>
    </w:p>
    <w:p w:rsidR="00B631EE" w:rsidRDefault="00B631EE" w:rsidP="00B631E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jménem Prof. Davida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Honyse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, předsedy Rady pro zahraniční styky Akademie věd ČR, si Vás dovoluji informovat o vydání </w:t>
      </w:r>
      <w:r>
        <w:rPr>
          <w:rFonts w:ascii="Calibri" w:eastAsiaTheme="minorHAnsi" w:hAnsi="Calibri" w:cs="Calibri"/>
          <w:b/>
          <w:bCs/>
          <w:color w:val="000000"/>
          <w:lang w:eastAsia="en-US"/>
        </w:rPr>
        <w:t>nové zprávy SAPEA</w:t>
      </w:r>
      <w:r>
        <w:rPr>
          <w:rFonts w:ascii="Calibri" w:eastAsiaTheme="minorHAnsi" w:hAnsi="Calibri" w:cs="Calibri"/>
          <w:color w:val="000000"/>
          <w:lang w:eastAsia="en-US"/>
        </w:rPr>
        <w:t xml:space="preserve"> s názvem </w:t>
      </w:r>
      <w:r>
        <w:rPr>
          <w:rFonts w:ascii="Calibri" w:eastAsiaTheme="minorHAnsi" w:hAnsi="Calibri" w:cs="Calibri"/>
          <w:b/>
          <w:bCs/>
          <w:color w:val="000000"/>
          <w:lang w:eastAsia="en-US"/>
        </w:rPr>
        <w:t>"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Towards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Sustainable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Food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Consumption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>"</w:t>
      </w:r>
      <w:r>
        <w:rPr>
          <w:rFonts w:ascii="Calibri" w:eastAsiaTheme="minorHAnsi" w:hAnsi="Calibri" w:cs="Calibri"/>
          <w:color w:val="000000"/>
          <w:lang w:eastAsia="en-US"/>
        </w:rPr>
        <w:t xml:space="preserve"> a zveřejnění příslušného vědeckého stanoviska skupiny hlavních vědeckých poradců Evropské komise.</w:t>
      </w:r>
    </w:p>
    <w:p w:rsidR="00B631EE" w:rsidRDefault="00B631EE" w:rsidP="00B631E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B631EE" w:rsidRDefault="00B631EE" w:rsidP="00B631E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Zpráva, na které se podílel sociální geograf </w:t>
      </w:r>
      <w:r>
        <w:rPr>
          <w:rFonts w:ascii="Calibri" w:eastAsiaTheme="minorHAnsi" w:hAnsi="Calibri" w:cs="Calibri"/>
          <w:b/>
          <w:bCs/>
          <w:color w:val="000000"/>
          <w:lang w:eastAsia="en-US"/>
        </w:rPr>
        <w:t>doc.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>
        <w:rPr>
          <w:rFonts w:ascii="Calibri" w:eastAsiaTheme="minorHAnsi" w:hAnsi="Calibri" w:cs="Calibri"/>
          <w:b/>
          <w:bCs/>
          <w:color w:val="000000"/>
          <w:lang w:eastAsia="en-US"/>
        </w:rPr>
        <w:t>Petr Jehlička z Etnologického ústavu a</w:t>
      </w:r>
      <w:r w:rsidR="00587513">
        <w:rPr>
          <w:rFonts w:ascii="Calibri" w:eastAsiaTheme="minorHAnsi" w:hAnsi="Calibri" w:cs="Calibri"/>
          <w:b/>
          <w:bCs/>
          <w:color w:val="000000"/>
          <w:lang w:eastAsia="en-US"/>
        </w:rPr>
        <w:t> </w:t>
      </w:r>
      <w:r>
        <w:rPr>
          <w:rFonts w:ascii="Calibri" w:eastAsiaTheme="minorHAnsi" w:hAnsi="Calibri" w:cs="Calibri"/>
          <w:b/>
          <w:bCs/>
          <w:color w:val="000000"/>
          <w:lang w:eastAsia="en-US"/>
        </w:rPr>
        <w:t>Sociologického ústavu AV ČR</w:t>
      </w:r>
      <w:r>
        <w:rPr>
          <w:rFonts w:ascii="Calibri" w:eastAsiaTheme="minorHAnsi" w:hAnsi="Calibri" w:cs="Calibri"/>
          <w:color w:val="000000"/>
          <w:lang w:eastAsia="en-US"/>
        </w:rPr>
        <w:t>, poukazuje na to, že se musí v Evropě změnit způsob výroby a</w:t>
      </w:r>
      <w:r w:rsidR="00587513">
        <w:rPr>
          <w:rFonts w:ascii="Calibri" w:eastAsiaTheme="minorHAnsi" w:hAnsi="Calibri" w:cs="Calibri"/>
          <w:color w:val="000000"/>
          <w:lang w:eastAsia="en-US"/>
        </w:rPr>
        <w:t> </w:t>
      </w:r>
      <w:r>
        <w:rPr>
          <w:rFonts w:ascii="Calibri" w:eastAsiaTheme="minorHAnsi" w:hAnsi="Calibri" w:cs="Calibri"/>
          <w:color w:val="000000"/>
          <w:lang w:eastAsia="en-US"/>
        </w:rPr>
        <w:t xml:space="preserve">spotřeby, aby se dosáhlo vytyčených cílů v oblasti zdraví a udržitelnosti. Současný potravinový systém má zásadní dopad na životní prostředí a nekvalitní strava je rovněž spojena s rizikem řady onemocnění, obezitou a nadváhou evropské populace. Zpráva zmiňuje 5 klíčových prvků, které mohou pomoci tento negativní trend změnit. </w:t>
      </w:r>
    </w:p>
    <w:p w:rsidR="00B631EE" w:rsidRDefault="00B631EE" w:rsidP="00B631E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Kompletní zprávu a vědecké stanovisko naleznete zde: </w:t>
      </w:r>
      <w:hyperlink r:id="rId8" w:history="1">
        <w:r>
          <w:rPr>
            <w:rFonts w:ascii="Calibri" w:eastAsiaTheme="minorHAnsi" w:hAnsi="Calibri" w:cs="Calibri"/>
            <w:color w:val="0082BF"/>
            <w:u w:val="single"/>
            <w:lang w:eastAsia="en-US"/>
          </w:rPr>
          <w:t xml:space="preserve">SAPEA Report + </w:t>
        </w:r>
        <w:proofErr w:type="spellStart"/>
        <w:r>
          <w:rPr>
            <w:rFonts w:ascii="Calibri" w:eastAsiaTheme="minorHAnsi" w:hAnsi="Calibri" w:cs="Calibri"/>
            <w:color w:val="0082BF"/>
            <w:u w:val="single"/>
            <w:lang w:eastAsia="en-US"/>
          </w:rPr>
          <w:t>Scientific</w:t>
        </w:r>
        <w:proofErr w:type="spellEnd"/>
        <w:r>
          <w:rPr>
            <w:rFonts w:ascii="Calibri" w:eastAsiaTheme="minorHAnsi" w:hAnsi="Calibri" w:cs="Calibri"/>
            <w:color w:val="0082BF"/>
            <w:u w:val="single"/>
            <w:lang w:eastAsia="en-US"/>
          </w:rPr>
          <w:t xml:space="preserve"> </w:t>
        </w:r>
        <w:proofErr w:type="spellStart"/>
        <w:r>
          <w:rPr>
            <w:rFonts w:ascii="Calibri" w:eastAsiaTheme="minorHAnsi" w:hAnsi="Calibri" w:cs="Calibri"/>
            <w:color w:val="0082BF"/>
            <w:u w:val="single"/>
            <w:lang w:eastAsia="en-US"/>
          </w:rPr>
          <w:t>Opinion</w:t>
        </w:r>
        <w:proofErr w:type="spellEnd"/>
      </w:hyperlink>
      <w:r>
        <w:rPr>
          <w:rFonts w:ascii="Calibri" w:eastAsiaTheme="minorHAnsi" w:hAnsi="Calibri" w:cs="Calibri"/>
          <w:color w:val="000000"/>
          <w:lang w:eastAsia="en-US"/>
        </w:rPr>
        <w:t>. Dokument je volně šiřitelný.</w:t>
      </w:r>
    </w:p>
    <w:p w:rsidR="00B631EE" w:rsidRDefault="00B631EE" w:rsidP="00B631E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B631EE" w:rsidRDefault="00B631EE" w:rsidP="00B631E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K tématu udržitelnosti v zemědělství přikládám odkaz na PODCAST AV ČR s Petrem Jehličkou: </w:t>
      </w:r>
      <w:hyperlink r:id="rId9" w:history="1">
        <w:r>
          <w:rPr>
            <w:rFonts w:ascii="Calibri" w:eastAsiaTheme="minorHAnsi" w:hAnsi="Calibri" w:cs="Calibri"/>
            <w:color w:val="0082BF"/>
            <w:u w:val="single"/>
            <w:lang w:eastAsia="en-US"/>
          </w:rPr>
          <w:t xml:space="preserve">Jak si nesníst planetu. S Petrem Jehličkou o nutných změnách zemědělství </w:t>
        </w:r>
      </w:hyperlink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Věříme, že uvedené informace pro Vás budou přínosné a že poslouží při řešení klíčových záležitostí v dané problematice. Zároveň si Vás dovolujeme požádat o jejich šíření dalším potenciálním zájemcům o toto téma.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V případě jakýchkoli dotazů mě prosím neváhejte kontaktovat.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Se srdečným pozdravem,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Klára Šámalová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Odbor mezinárodní spolupráce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KAV ČR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B631EE" w:rsidRDefault="00B631EE" w:rsidP="00B631E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***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proofErr w:type="spellStart"/>
      <w:r>
        <w:rPr>
          <w:rFonts w:ascii="Calibri" w:eastAsiaTheme="minorHAnsi" w:hAnsi="Calibri" w:cs="Calibri"/>
          <w:color w:val="000000"/>
          <w:lang w:eastAsia="en-US"/>
        </w:rPr>
        <w:t>Dear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members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Research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Development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and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Innovation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Council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>,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on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behalf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Prof. David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Honys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, President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International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Affairs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Council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Czech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Academy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Sciences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, I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would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like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inform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you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about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release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new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SAPEA report "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Towards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Sustainable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Food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Consumption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>"</w:t>
      </w:r>
      <w:r>
        <w:rPr>
          <w:rFonts w:ascii="Calibri" w:eastAsiaTheme="minorHAnsi" w:hAnsi="Calibri" w:cs="Calibri"/>
          <w:color w:val="000000"/>
          <w:lang w:eastAsia="en-US"/>
        </w:rPr>
        <w:t xml:space="preserve"> and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relevant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scientific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opinion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Group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Chief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Scientific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Advisors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>.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report, co-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authored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by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social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geographer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Assoc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. Prof. Petr Jehlička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from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Institute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of</w:t>
      </w:r>
      <w:proofErr w:type="spellEnd"/>
      <w:r w:rsidR="00587513">
        <w:rPr>
          <w:rFonts w:ascii="Calibri" w:eastAsiaTheme="minorHAnsi" w:hAnsi="Calibri" w:cs="Calibri"/>
          <w:b/>
          <w:bCs/>
          <w:color w:val="000000"/>
          <w:lang w:eastAsia="en-US"/>
        </w:rPr>
        <w:t> 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Ethnology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and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Institute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Sociology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CAS</w:t>
      </w:r>
      <w:r>
        <w:rPr>
          <w:rFonts w:ascii="Calibri" w:eastAsiaTheme="minorHAnsi" w:hAnsi="Calibri" w:cs="Calibri"/>
          <w:color w:val="000000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points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out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that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for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Europe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achieve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its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health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and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sustainability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goals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way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we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produce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and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consume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food has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change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.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current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food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system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has a major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impact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on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environment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and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poor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quality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diets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are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lastRenderedPageBreak/>
        <w:t>also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linked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risk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disease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, obesity and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overweight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in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European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population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.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report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identifies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5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key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elements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that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can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help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change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this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negative trend. 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full report and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scientific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opinion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can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be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found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here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: </w:t>
      </w:r>
      <w:hyperlink r:id="rId10" w:history="1">
        <w:r>
          <w:rPr>
            <w:rFonts w:ascii="Calibri" w:eastAsiaTheme="minorHAnsi" w:hAnsi="Calibri" w:cs="Calibri"/>
            <w:color w:val="0082BF"/>
            <w:u w:val="single"/>
            <w:lang w:eastAsia="en-US"/>
          </w:rPr>
          <w:t xml:space="preserve">SAPEA Report + </w:t>
        </w:r>
        <w:proofErr w:type="spellStart"/>
        <w:r>
          <w:rPr>
            <w:rFonts w:ascii="Calibri" w:eastAsiaTheme="minorHAnsi" w:hAnsi="Calibri" w:cs="Calibri"/>
            <w:color w:val="0082BF"/>
            <w:u w:val="single"/>
            <w:lang w:eastAsia="en-US"/>
          </w:rPr>
          <w:t>Scientific</w:t>
        </w:r>
        <w:proofErr w:type="spellEnd"/>
        <w:r>
          <w:rPr>
            <w:rFonts w:ascii="Calibri" w:eastAsiaTheme="minorHAnsi" w:hAnsi="Calibri" w:cs="Calibri"/>
            <w:color w:val="0082BF"/>
            <w:u w:val="single"/>
            <w:lang w:eastAsia="en-US"/>
          </w:rPr>
          <w:t xml:space="preserve"> </w:t>
        </w:r>
        <w:proofErr w:type="spellStart"/>
        <w:r>
          <w:rPr>
            <w:rFonts w:ascii="Calibri" w:eastAsiaTheme="minorHAnsi" w:hAnsi="Calibri" w:cs="Calibri"/>
            <w:color w:val="0082BF"/>
            <w:u w:val="single"/>
            <w:lang w:eastAsia="en-US"/>
          </w:rPr>
          <w:t>Opinion</w:t>
        </w:r>
        <w:proofErr w:type="spellEnd"/>
      </w:hyperlink>
      <w:r>
        <w:rPr>
          <w:rFonts w:ascii="Calibri" w:eastAsiaTheme="minorHAnsi" w:hAnsi="Calibri" w:cs="Calibri"/>
          <w:color w:val="000000"/>
          <w:lang w:eastAsia="en-US"/>
        </w:rPr>
        <w:t xml:space="preserve">.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document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is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free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distribute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>.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In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context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sustainable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agriculture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we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also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attach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a link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PODCAST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with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Petr Jehlička: </w:t>
      </w:r>
      <w:hyperlink r:id="rId11" w:history="1">
        <w:r>
          <w:rPr>
            <w:rFonts w:ascii="Calibri" w:eastAsiaTheme="minorHAnsi" w:hAnsi="Calibri" w:cs="Calibri"/>
            <w:color w:val="0082BF"/>
            <w:u w:val="single"/>
            <w:lang w:eastAsia="en-US"/>
          </w:rPr>
          <w:t xml:space="preserve">Jak si nesníst planetu. S Petrem Jehličkou o nutných změnách zemědělství </w:t>
        </w:r>
      </w:hyperlink>
      <w:r>
        <w:rPr>
          <w:rFonts w:ascii="Calibri" w:eastAsiaTheme="minorHAnsi" w:hAnsi="Calibri" w:cs="Calibri"/>
          <w:color w:val="000000"/>
          <w:lang w:eastAsia="en-US"/>
        </w:rPr>
        <w:t>(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available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only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in Czech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language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>)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proofErr w:type="spellStart"/>
      <w:r>
        <w:rPr>
          <w:rFonts w:ascii="Calibri" w:eastAsiaTheme="minorHAnsi" w:hAnsi="Calibri" w:cs="Calibri"/>
          <w:color w:val="000000"/>
          <w:lang w:eastAsia="en-US"/>
        </w:rPr>
        <w:t>We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hope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that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information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provided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will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be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useful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you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and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will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help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you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resolve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key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issues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in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this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matter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. At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same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time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we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would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like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ask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you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distribute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it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others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who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may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be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interested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in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this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topic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>.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_________________________</w:t>
      </w:r>
    </w:p>
    <w:p w:rsidR="00B631EE" w:rsidRDefault="008F7673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hyperlink r:id="rId12" w:history="1">
        <w:r w:rsidR="00B631EE">
          <w:rPr>
            <w:rFonts w:ascii="Calibri" w:eastAsiaTheme="minorHAnsi" w:hAnsi="Calibri" w:cs="Calibri"/>
            <w:color w:val="0082BF"/>
            <w:u w:val="single"/>
            <w:lang w:eastAsia="en-US"/>
          </w:rPr>
          <w:t>SAPEA</w:t>
        </w:r>
      </w:hyperlink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is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part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of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European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Commission’s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Scientific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Advice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Mechanism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.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Together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with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hyperlink r:id="rId13" w:history="1">
        <w:r w:rsidR="00B631EE">
          <w:rPr>
            <w:rFonts w:ascii="Calibri" w:eastAsiaTheme="minorHAnsi" w:hAnsi="Calibri" w:cs="Calibri"/>
            <w:color w:val="0082BF"/>
            <w:u w:val="single"/>
            <w:lang w:eastAsia="en-US"/>
          </w:rPr>
          <w:t xml:space="preserve">Group </w:t>
        </w:r>
        <w:proofErr w:type="spellStart"/>
        <w:r w:rsidR="00B631EE">
          <w:rPr>
            <w:rFonts w:ascii="Calibri" w:eastAsiaTheme="minorHAnsi" w:hAnsi="Calibri" w:cs="Calibri"/>
            <w:color w:val="0082BF"/>
            <w:u w:val="single"/>
            <w:lang w:eastAsia="en-US"/>
          </w:rPr>
          <w:t>of</w:t>
        </w:r>
        <w:proofErr w:type="spellEnd"/>
        <w:r w:rsidR="00B631EE">
          <w:rPr>
            <w:rFonts w:ascii="Calibri" w:eastAsiaTheme="minorHAnsi" w:hAnsi="Calibri" w:cs="Calibri"/>
            <w:color w:val="0082BF"/>
            <w:u w:val="single"/>
            <w:lang w:eastAsia="en-US"/>
          </w:rPr>
          <w:t xml:space="preserve"> </w:t>
        </w:r>
        <w:proofErr w:type="spellStart"/>
        <w:r w:rsidR="00B631EE">
          <w:rPr>
            <w:rFonts w:ascii="Calibri" w:eastAsiaTheme="minorHAnsi" w:hAnsi="Calibri" w:cs="Calibri"/>
            <w:color w:val="0082BF"/>
            <w:u w:val="single"/>
            <w:lang w:eastAsia="en-US"/>
          </w:rPr>
          <w:t>Chief</w:t>
        </w:r>
        <w:proofErr w:type="spellEnd"/>
        <w:r w:rsidR="00B631EE">
          <w:rPr>
            <w:rFonts w:ascii="Calibri" w:eastAsiaTheme="minorHAnsi" w:hAnsi="Calibri" w:cs="Calibri"/>
            <w:color w:val="0082BF"/>
            <w:u w:val="single"/>
            <w:lang w:eastAsia="en-US"/>
          </w:rPr>
          <w:t xml:space="preserve"> </w:t>
        </w:r>
        <w:proofErr w:type="spellStart"/>
        <w:r w:rsidR="00B631EE">
          <w:rPr>
            <w:rFonts w:ascii="Calibri" w:eastAsiaTheme="minorHAnsi" w:hAnsi="Calibri" w:cs="Calibri"/>
            <w:color w:val="0082BF"/>
            <w:u w:val="single"/>
            <w:lang w:eastAsia="en-US"/>
          </w:rPr>
          <w:t>Scientific</w:t>
        </w:r>
        <w:proofErr w:type="spellEnd"/>
        <w:r w:rsidR="00B631EE">
          <w:rPr>
            <w:rFonts w:ascii="Calibri" w:eastAsiaTheme="minorHAnsi" w:hAnsi="Calibri" w:cs="Calibri"/>
            <w:color w:val="0082BF"/>
            <w:u w:val="single"/>
            <w:lang w:eastAsia="en-US"/>
          </w:rPr>
          <w:t xml:space="preserve"> </w:t>
        </w:r>
        <w:proofErr w:type="spellStart"/>
        <w:r w:rsidR="00B631EE">
          <w:rPr>
            <w:rFonts w:ascii="Calibri" w:eastAsiaTheme="minorHAnsi" w:hAnsi="Calibri" w:cs="Calibri"/>
            <w:color w:val="0082BF"/>
            <w:u w:val="single"/>
            <w:lang w:eastAsia="en-US"/>
          </w:rPr>
          <w:t>Advisors</w:t>
        </w:r>
        <w:proofErr w:type="spellEnd"/>
      </w:hyperlink>
      <w:r w:rsidR="00B631EE">
        <w:rPr>
          <w:rFonts w:ascii="Calibri" w:eastAsiaTheme="minorHAnsi" w:hAnsi="Calibri" w:cs="Calibri"/>
          <w:color w:val="000000"/>
          <w:lang w:eastAsia="en-US"/>
        </w:rPr>
        <w:t xml:space="preserve"> to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the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European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Commission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(GCSA), SAPEA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provides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independent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scientific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advice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to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European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Commissioners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to support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their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 w:rsidR="00B631EE">
        <w:rPr>
          <w:rFonts w:ascii="Calibri" w:eastAsiaTheme="minorHAnsi" w:hAnsi="Calibri" w:cs="Calibri"/>
          <w:color w:val="000000"/>
          <w:lang w:eastAsia="en-US"/>
        </w:rPr>
        <w:t>decision-making</w:t>
      </w:r>
      <w:proofErr w:type="spellEnd"/>
      <w:r w:rsidR="00B631EE">
        <w:rPr>
          <w:rFonts w:ascii="Calibri" w:eastAsiaTheme="minorHAnsi" w:hAnsi="Calibri" w:cs="Calibri"/>
          <w:color w:val="000000"/>
          <w:lang w:eastAsia="en-US"/>
        </w:rPr>
        <w:t xml:space="preserve">. 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_________________________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proofErr w:type="spellStart"/>
      <w:r>
        <w:rPr>
          <w:rFonts w:ascii="Calibri" w:eastAsiaTheme="minorHAnsi" w:hAnsi="Calibri" w:cs="Calibri"/>
          <w:color w:val="000000"/>
          <w:lang w:eastAsia="en-US"/>
        </w:rPr>
        <w:t>If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you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have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any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questions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please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do not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hesitate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to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contact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me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>.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Best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regards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>,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proofErr w:type="spellStart"/>
      <w:r>
        <w:rPr>
          <w:rFonts w:ascii="Calibri" w:eastAsiaTheme="minorHAnsi" w:hAnsi="Calibri" w:cs="Calibri"/>
          <w:color w:val="000000"/>
          <w:lang w:eastAsia="en-US"/>
        </w:rPr>
        <w:t>Klara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Samalova</w:t>
      </w:r>
      <w:proofErr w:type="spellEnd"/>
    </w:p>
    <w:p w:rsidR="00B631EE" w:rsidRDefault="00B631EE" w:rsidP="00B631E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B631EE" w:rsidRDefault="00B631EE" w:rsidP="00B631E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br/>
        <w:t>PhDr. Klára Šámalová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br/>
        <w:t xml:space="preserve">samostatná odborná referentka </w:t>
      </w:r>
      <w:r>
        <w:rPr>
          <w:rFonts w:ascii="Arial" w:eastAsiaTheme="minorHAnsi" w:hAnsi="Arial" w:cs="Arial"/>
          <w:color w:val="000000"/>
          <w:lang w:eastAsia="en-US"/>
        </w:rPr>
        <w:br/>
      </w:r>
      <w:r>
        <w:rPr>
          <w:rFonts w:ascii="Arial" w:eastAsiaTheme="minorHAnsi" w:hAnsi="Arial" w:cs="Arial"/>
          <w:color w:val="000000"/>
          <w:lang w:eastAsia="en-US"/>
        </w:rPr>
        <w:br/>
        <w:t xml:space="preserve">Odbor mezinárodní spolupráce </w:t>
      </w:r>
      <w:r>
        <w:rPr>
          <w:rFonts w:ascii="Arial" w:eastAsiaTheme="minorHAnsi" w:hAnsi="Arial" w:cs="Arial"/>
          <w:color w:val="000000"/>
          <w:lang w:eastAsia="en-US"/>
        </w:rPr>
        <w:br/>
        <w:t xml:space="preserve">Kancelář Akademie věd ČR </w:t>
      </w:r>
      <w:r>
        <w:rPr>
          <w:rFonts w:ascii="Arial" w:eastAsiaTheme="minorHAnsi" w:hAnsi="Arial" w:cs="Arial"/>
          <w:color w:val="000000"/>
          <w:lang w:eastAsia="en-US"/>
        </w:rPr>
        <w:br/>
        <w:t xml:space="preserve">Národní 3, 110 00 Praha </w:t>
      </w:r>
      <w:r>
        <w:rPr>
          <w:rFonts w:ascii="Calibri" w:eastAsiaTheme="minorHAnsi" w:hAnsi="Calibri" w:cs="Calibri"/>
          <w:color w:val="0082BF"/>
          <w:u w:val="single"/>
          <w:lang w:eastAsia="en-US"/>
        </w:rPr>
        <w:br/>
      </w:r>
      <w:hyperlink r:id="rId14" w:history="1">
        <w:r>
          <w:rPr>
            <w:rFonts w:ascii="Arial" w:eastAsiaTheme="minorHAnsi" w:hAnsi="Arial" w:cs="Arial"/>
            <w:color w:val="0000FF"/>
            <w:u w:val="single"/>
            <w:lang w:eastAsia="en-US"/>
          </w:rPr>
          <w:t>samalova@kav.cas.cz</w:t>
        </w:r>
      </w:hyperlink>
      <w:r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B631EE" w:rsidRDefault="00B631EE" w:rsidP="00B631EE">
      <w:pPr>
        <w:autoSpaceDE w:val="0"/>
        <w:autoSpaceDN w:val="0"/>
        <w:adjustRightInd w:val="0"/>
        <w:spacing w:before="240"/>
        <w:rPr>
          <w:rFonts w:ascii="Arial" w:eastAsiaTheme="minorHAnsi" w:hAnsi="Arial" w:cs="Arial"/>
          <w:color w:val="000000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5"/>
        <w:gridCol w:w="1335"/>
      </w:tblGrid>
      <w:tr w:rsidR="00B631EE">
        <w:tc>
          <w:tcPr>
            <w:tcW w:w="195" w:type="dxa"/>
            <w:vAlign w:val="center"/>
          </w:tcPr>
          <w:p w:rsidR="00B631EE" w:rsidRDefault="00B631EE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T:</w:t>
            </w:r>
          </w:p>
        </w:tc>
        <w:tc>
          <w:tcPr>
            <w:tcW w:w="1335" w:type="dxa"/>
            <w:vAlign w:val="center"/>
          </w:tcPr>
          <w:p w:rsidR="00B631EE" w:rsidRDefault="00B631EE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221 403 310</w:t>
            </w:r>
          </w:p>
        </w:tc>
      </w:tr>
    </w:tbl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82BF"/>
          <w:u w:val="single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br/>
      </w:r>
      <w:r>
        <w:rPr>
          <w:rFonts w:ascii="Calibri" w:eastAsiaTheme="minorHAnsi" w:hAnsi="Calibri" w:cs="Calibri"/>
          <w:color w:val="0082BF"/>
          <w:u w:val="single"/>
          <w:lang w:eastAsia="en-US"/>
        </w:rPr>
        <w:br/>
      </w:r>
      <w:hyperlink r:id="rId15" w:history="1">
        <w:r w:rsidRPr="00602FEB">
          <w:rPr>
            <w:rStyle w:val="Hypertextovodkaz"/>
          </w:rPr>
          <w:t>http://www.avcr.cz/</w:t>
        </w:r>
      </w:hyperlink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lang w:eastAsia="en-US"/>
        </w:rPr>
        <w:t>V CR 5247/2023 OMS</w:t>
      </w:r>
    </w:p>
    <w:p w:rsidR="00B631EE" w:rsidRDefault="00B631EE" w:rsidP="00B631EE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B631EE" w:rsidRDefault="00B631EE" w:rsidP="00B631EE">
      <w:pPr>
        <w:spacing w:after="240"/>
        <w:rPr>
          <w:rFonts w:ascii="Arial" w:hAnsi="Arial" w:cs="Arial"/>
          <w:b/>
          <w:color w:val="0070C0"/>
          <w:sz w:val="28"/>
          <w:szCs w:val="28"/>
        </w:rPr>
      </w:pPr>
    </w:p>
    <w:p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0C7099" w:rsidRPr="00A658BE" w:rsidRDefault="000C7099" w:rsidP="000C7099">
      <w:pPr>
        <w:autoSpaceDE w:val="0"/>
        <w:autoSpaceDN w:val="0"/>
        <w:adjustRightInd w:val="0"/>
        <w:spacing w:before="240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sectPr w:rsidR="000C7099" w:rsidRPr="00A658BE" w:rsidSect="009758E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CD" w:rsidRDefault="00B120CD" w:rsidP="008F77F6">
      <w:r>
        <w:separator/>
      </w:r>
    </w:p>
  </w:endnote>
  <w:endnote w:type="continuationSeparator" w:id="0">
    <w:p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73" w:rsidRDefault="008F76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7673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7673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767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7673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8F7673">
          <w:rPr>
            <w:rFonts w:ascii="Arial" w:hAnsi="Arial" w:cs="Arial"/>
            <w:sz w:val="18"/>
            <w:szCs w:val="18"/>
          </w:rPr>
          <w:t xml:space="preserve">Ing. </w:t>
        </w:r>
        <w:r w:rsidR="008F7673">
          <w:rPr>
            <w:rFonts w:ascii="Arial" w:hAnsi="Arial" w:cs="Arial"/>
            <w:sz w:val="18"/>
            <w:szCs w:val="18"/>
          </w:rPr>
          <w:t xml:space="preserve">Schäfer (Moravcová) </w:t>
        </w:r>
        <w:r w:rsidR="008F7673">
          <w:rPr>
            <w:rFonts w:ascii="Arial" w:hAnsi="Arial" w:cs="Arial"/>
            <w:sz w:val="18"/>
            <w:szCs w:val="18"/>
          </w:rPr>
          <w:t>15.09.2023</w:t>
        </w:r>
      </w:p>
      <w:bookmarkStart w:id="0" w:name="_GoBack" w:displacedByCustomXml="next"/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CD" w:rsidRDefault="00B120CD" w:rsidP="008F77F6">
      <w:r>
        <w:separator/>
      </w:r>
    </w:p>
  </w:footnote>
  <w:footnote w:type="continuationSeparator" w:id="0">
    <w:p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73" w:rsidRDefault="008F76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120CD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B120CD" w:rsidRPr="009758E5" w:rsidRDefault="00B120CD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419188B4" wp14:editId="073645C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B120CD" w:rsidRPr="00C12F55" w:rsidRDefault="00CA0FF1" w:rsidP="004511D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393/C3</w:t>
          </w:r>
        </w:p>
      </w:tc>
    </w:tr>
  </w:tbl>
  <w:p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3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7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19"/>
  </w:num>
  <w:num w:numId="13">
    <w:abstractNumId w:val="15"/>
  </w:num>
  <w:num w:numId="14">
    <w:abstractNumId w:val="22"/>
  </w:num>
  <w:num w:numId="15">
    <w:abstractNumId w:val="11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23"/>
  </w:num>
  <w:num w:numId="19">
    <w:abstractNumId w:val="1"/>
  </w:num>
  <w:num w:numId="20">
    <w:abstractNumId w:val="4"/>
  </w:num>
  <w:num w:numId="21">
    <w:abstractNumId w:val="21"/>
  </w:num>
  <w:num w:numId="22">
    <w:abstractNumId w:val="20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511DF"/>
    <w:rsid w:val="0045567B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87513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00DD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2338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1FB5"/>
    <w:rsid w:val="008D2E30"/>
    <w:rsid w:val="008D3453"/>
    <w:rsid w:val="008E0DAB"/>
    <w:rsid w:val="008E2BFC"/>
    <w:rsid w:val="008F1A79"/>
    <w:rsid w:val="008F262B"/>
    <w:rsid w:val="008F330B"/>
    <w:rsid w:val="008F7673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1EE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0FF1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01DF8C8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ea.info/topic/food-consumption/" TargetMode="External"/><Relationship Id="rId13" Type="http://schemas.openxmlformats.org/officeDocument/2006/relationships/hyperlink" Target="https://ec.europa.eu/info/research-and-innovation/strategy/support-policy-making/scientific-support-eu-policies/group-chief-scientific-advisors_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apea.info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vcr.cz/cs/veda-a-vyzkum/socialne-ekonomicke-vedy/PODCAST-Jak-si-nesnist-planetu.-S-Petrem-Jehlickou-o-nutnych-zmenach-zemedelstv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vcr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apea.info/topic/food-consumption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avcr.cz/cs/veda-a-vyzkum/socialne-ekonomicke-vedy/PODCAST-Jak-si-nesnist-planetu.-S-Petrem-Jehlickou-o-nutnych-zmenach-zemedelstvi/" TargetMode="External"/><Relationship Id="rId14" Type="http://schemas.openxmlformats.org/officeDocument/2006/relationships/hyperlink" Target="mailto:samalova@kav.cas.cz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46A0-B7D3-4DC8-8720-241D0A46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7</cp:revision>
  <cp:lastPrinted>2020-10-29T10:28:00Z</cp:lastPrinted>
  <dcterms:created xsi:type="dcterms:W3CDTF">2023-09-08T07:43:00Z</dcterms:created>
  <dcterms:modified xsi:type="dcterms:W3CDTF">2023-09-15T09:43:00Z</dcterms:modified>
</cp:coreProperties>
</file>