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EC" w:rsidRPr="002269F4" w:rsidRDefault="002269F4" w:rsidP="002269F4">
      <w:pPr>
        <w:spacing w:after="36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2269F4">
        <w:rPr>
          <w:rFonts w:ascii="Arial" w:hAnsi="Arial" w:cs="Arial"/>
          <w:b/>
          <w:color w:val="0070C0"/>
          <w:sz w:val="28"/>
          <w:szCs w:val="28"/>
        </w:rPr>
        <w:t>Informace o programu DIOSCURI</w:t>
      </w:r>
    </w:p>
    <w:p w:rsidR="00231FEC" w:rsidRPr="00231FEC" w:rsidRDefault="00231FEC" w:rsidP="002269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PROGRAM DIOSCURI V ČESKÉ REPUBLICE</w:t>
      </w:r>
    </w:p>
    <w:p w:rsidR="00231FEC" w:rsidRPr="00231FEC" w:rsidRDefault="00231FEC" w:rsidP="002269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O PROGRAMU DIOSCURI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Program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je program iniciovaný Společností Maxe Plancka (dále jen „MPG“), společně řízený MPG a českým Ministerstvem školství, mládeže a tělovýchovy (dále jen MŠMT“) a</w:t>
      </w:r>
      <w:r w:rsidR="002269F4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společně financovaný MŠMT a německým Spolkovým ministerstvem pro vzdělávání a</w:t>
      </w:r>
      <w:r w:rsidR="002269F4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 xml:space="preserve">výzkum (dále jen „BMBF“).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centrum je projekt výzkumné skupiny trvající po dobu 5 let a složený ze tří komponentů, kterými jsou hostitelská instituce, lídr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a partner ze</w:t>
      </w:r>
      <w:r w:rsidR="001F0256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SRN.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CÍLE PROGRAMU DIOSCURI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Cílem vzniku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 je posílit mezinárodní standardy vědecké excelence v regionu střední a výhodní Evropy, posílit a rozšířit  vědeckou excelenci a její spolupráci v regionu střední a východní Evropy, podpořit probíhající transformační procesy v zemích EU-13 a</w:t>
      </w:r>
      <w:r w:rsidR="00B42F92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rozšířit tak základy dlouhodobé hospodářské a sociální prosperity v Evropě. To bude přispívat k překovávání stávajících rozdílů ve výkonnosti mezi západoevropskou a</w:t>
      </w:r>
      <w:r w:rsidR="00B42F92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východoevropskou vědou a celkovému posílení Evropského výzkumného prostoru a</w:t>
      </w:r>
      <w:r w:rsidR="00B42F92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rovnoměrnějšímu rozložení vědecké excelence.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Účelem dotace je realizace projektu výzkumné skupiny vedené lídrem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na</w:t>
      </w:r>
      <w:r w:rsidR="00B42F92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 xml:space="preserve">české vědecké instituci s podporou partnera ze SRN v podobně konkrétního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centra. V České republice se plánuje otevření celkem 5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PRÁVNÍ ZÁKLAD SPOLUPRÁCE MEZI MŠMT A MPG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Právní základ programu tvoří Memorandum </w:t>
      </w:r>
      <w:proofErr w:type="spellStart"/>
      <w:r w:rsidRPr="00231FEC">
        <w:rPr>
          <w:rFonts w:ascii="Arial" w:hAnsi="Arial" w:cs="Arial"/>
          <w:sz w:val="22"/>
          <w:szCs w:val="22"/>
        </w:rPr>
        <w:t>of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Cooperation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231FEC">
        <w:rPr>
          <w:rFonts w:ascii="Arial" w:hAnsi="Arial" w:cs="Arial"/>
          <w:sz w:val="22"/>
          <w:szCs w:val="22"/>
        </w:rPr>
        <w:t>the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establishment </w:t>
      </w:r>
      <w:proofErr w:type="spellStart"/>
      <w:r w:rsidRPr="00231FEC">
        <w:rPr>
          <w:rFonts w:ascii="Arial" w:hAnsi="Arial" w:cs="Arial"/>
          <w:sz w:val="22"/>
          <w:szCs w:val="22"/>
        </w:rPr>
        <w:t>of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the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Programme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31FEC">
        <w:rPr>
          <w:rFonts w:ascii="Arial" w:hAnsi="Arial" w:cs="Arial"/>
          <w:sz w:val="22"/>
          <w:szCs w:val="22"/>
        </w:rPr>
        <w:t>the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Czech Republic (dále jen „</w:t>
      </w:r>
      <w:proofErr w:type="spellStart"/>
      <w:r w:rsidRPr="00231FEC">
        <w:rPr>
          <w:rFonts w:ascii="Arial" w:hAnsi="Arial" w:cs="Arial"/>
          <w:sz w:val="22"/>
          <w:szCs w:val="22"/>
        </w:rPr>
        <w:t>MoU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“), které bylo podepsáno 2. září 2021 při online schůzce tehdejším panem ministrem </w:t>
      </w:r>
      <w:proofErr w:type="spellStart"/>
      <w:r w:rsidRPr="00231FEC">
        <w:rPr>
          <w:rFonts w:ascii="Arial" w:hAnsi="Arial" w:cs="Arial"/>
          <w:sz w:val="22"/>
          <w:szCs w:val="22"/>
        </w:rPr>
        <w:t>Plagou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a tehdejším prezidentem MPG </w:t>
      </w:r>
      <w:proofErr w:type="spellStart"/>
      <w:r w:rsidRPr="00231FEC">
        <w:rPr>
          <w:rFonts w:ascii="Arial" w:hAnsi="Arial" w:cs="Arial"/>
          <w:sz w:val="22"/>
          <w:szCs w:val="22"/>
        </w:rPr>
        <w:t>Stratmannem</w:t>
      </w:r>
      <w:proofErr w:type="spellEnd"/>
      <w:r w:rsidRPr="00231FEC">
        <w:rPr>
          <w:rFonts w:ascii="Arial" w:hAnsi="Arial" w:cs="Arial"/>
          <w:sz w:val="22"/>
          <w:szCs w:val="22"/>
        </w:rPr>
        <w:t>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Dle </w:t>
      </w:r>
      <w:proofErr w:type="spellStart"/>
      <w:proofErr w:type="gramStart"/>
      <w:r w:rsidRPr="00231FEC">
        <w:rPr>
          <w:rFonts w:ascii="Arial" w:hAnsi="Arial" w:cs="Arial"/>
          <w:sz w:val="22"/>
          <w:szCs w:val="22"/>
        </w:rPr>
        <w:t>MoU</w:t>
      </w:r>
      <w:proofErr w:type="spellEnd"/>
      <w:proofErr w:type="gramEnd"/>
      <w:r w:rsidRPr="00231FEC">
        <w:rPr>
          <w:rFonts w:ascii="Arial" w:hAnsi="Arial" w:cs="Arial"/>
          <w:sz w:val="22"/>
          <w:szCs w:val="22"/>
        </w:rPr>
        <w:t xml:space="preserve"> se obě strany budou podílet na řešení aktuálních společenských potřeb prostřednictvím plánování, vyhlašování a provádění společných výzev v oblasti humanitních a</w:t>
      </w:r>
      <w:r w:rsidR="00F13CEC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 xml:space="preserve">společenských věd, biologických věd nebo přírodních věd a technologií. 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>Záznam ceremonie podpi</w:t>
      </w:r>
      <w:r w:rsidR="00F13CEC">
        <w:rPr>
          <w:rFonts w:ascii="Arial" w:hAnsi="Arial" w:cs="Arial"/>
          <w:sz w:val="22"/>
          <w:szCs w:val="22"/>
        </w:rPr>
        <w:t xml:space="preserve">su </w:t>
      </w:r>
      <w:proofErr w:type="spellStart"/>
      <w:r w:rsidR="00F13CEC">
        <w:rPr>
          <w:rFonts w:ascii="Arial" w:hAnsi="Arial" w:cs="Arial"/>
          <w:sz w:val="22"/>
          <w:szCs w:val="22"/>
        </w:rPr>
        <w:t>MoZ</w:t>
      </w:r>
      <w:proofErr w:type="spellEnd"/>
      <w:r w:rsidR="00F13CEC">
        <w:rPr>
          <w:rFonts w:ascii="Arial" w:hAnsi="Arial" w:cs="Arial"/>
          <w:sz w:val="22"/>
          <w:szCs w:val="22"/>
        </w:rPr>
        <w:t xml:space="preserve"> je veřejně přístupný na </w:t>
      </w:r>
      <w:r w:rsidRPr="00231FEC">
        <w:rPr>
          <w:rFonts w:ascii="Arial" w:hAnsi="Arial" w:cs="Arial"/>
          <w:sz w:val="22"/>
          <w:szCs w:val="22"/>
        </w:rPr>
        <w:t xml:space="preserve">oficiálním účtu MŠMT na platformě </w:t>
      </w:r>
      <w:proofErr w:type="spellStart"/>
      <w:r w:rsidRPr="00231FEC">
        <w:rPr>
          <w:rFonts w:ascii="Arial" w:hAnsi="Arial" w:cs="Arial"/>
          <w:sz w:val="22"/>
          <w:szCs w:val="22"/>
        </w:rPr>
        <w:t>YouTube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Videozáznam z podpisu memoranda - Program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Dioscuri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-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YouTube</w:t>
        </w:r>
        <w:proofErr w:type="spellEnd"/>
      </w:hyperlink>
      <w:r w:rsidRPr="00231FEC">
        <w:rPr>
          <w:rFonts w:ascii="Arial" w:hAnsi="Arial" w:cs="Arial"/>
          <w:sz w:val="22"/>
          <w:szCs w:val="22"/>
        </w:rPr>
        <w:t xml:space="preserve"> 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PŘEHLED FINANCOVÁNÍ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Maximální výše dotace na 1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centrum je 1 500 000 Eur na celou dobu realizace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(5 let), tj. 300 000  EUR na 1 rok realizace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jsou financována z 50 % prostředků MŠMT a 50 % prostředků BMBF. Celá dotace (část MŠMT i část BMB) je vyplácena v CZK dle průměrného směnného kurzu za</w:t>
      </w:r>
      <w:r w:rsidR="00920E8E">
        <w:rPr>
          <w:rFonts w:ascii="Arial" w:hAnsi="Arial" w:cs="Arial"/>
          <w:sz w:val="22"/>
          <w:szCs w:val="22"/>
        </w:rPr>
        <w:t> </w:t>
      </w:r>
      <w:r w:rsidRPr="00231FEC">
        <w:rPr>
          <w:rFonts w:ascii="Arial" w:hAnsi="Arial" w:cs="Arial"/>
          <w:sz w:val="22"/>
          <w:szCs w:val="22"/>
        </w:rPr>
        <w:t>období leden až říjen předchozího roku stanoveného Českou národní bankou a uvedeného na webových stránkách České národní banky. Kurz pro násled</w:t>
      </w:r>
      <w:bookmarkStart w:id="0" w:name="_GoBack"/>
      <w:bookmarkEnd w:id="0"/>
      <w:r w:rsidRPr="00231FEC">
        <w:rPr>
          <w:rFonts w:ascii="Arial" w:hAnsi="Arial" w:cs="Arial"/>
          <w:sz w:val="22"/>
          <w:szCs w:val="22"/>
        </w:rPr>
        <w:t xml:space="preserve">ující rok realizace projektu je tedy určen vždy v listopadu a pro každý rok realizace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se liší.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Podmínkou pro otevření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je nad rámec dotace také příspěvek z vlastních zdrojů hostitelské instituce, který je ve výši nejméně 125 000 EUR na celou dobu realizace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(5 let, tj. 25 000 EUR na 1 rok realizace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</w:t>
      </w:r>
      <w:r w:rsidR="00920E8E">
        <w:rPr>
          <w:rFonts w:ascii="Arial" w:hAnsi="Arial" w:cs="Arial"/>
          <w:sz w:val="22"/>
          <w:szCs w:val="22"/>
        </w:rPr>
        <w:t>)</w:t>
      </w:r>
      <w:r w:rsidRPr="00231FEC">
        <w:rPr>
          <w:rFonts w:ascii="Arial" w:hAnsi="Arial" w:cs="Arial"/>
          <w:sz w:val="22"/>
          <w:szCs w:val="22"/>
        </w:rPr>
        <w:t>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lastRenderedPageBreak/>
        <w:t xml:space="preserve">Pokud jsou vlastní zdroje hostitelské instituce využívány v CZK, pro přepočet je v daném roce použit stejný kurz jako pro dotaci. 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PROCES HODNOCENÍ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>Hodnocení žádosti je formální a věcné.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>Formální ho</w:t>
      </w:r>
      <w:r w:rsidR="00C25137">
        <w:rPr>
          <w:rFonts w:ascii="Arial" w:hAnsi="Arial" w:cs="Arial"/>
          <w:sz w:val="22"/>
          <w:szCs w:val="22"/>
        </w:rPr>
        <w:t>dnocení žádostí o poskytnutí do</w:t>
      </w:r>
      <w:r w:rsidRPr="00231FEC">
        <w:rPr>
          <w:rFonts w:ascii="Arial" w:hAnsi="Arial" w:cs="Arial"/>
          <w:sz w:val="22"/>
          <w:szCs w:val="22"/>
        </w:rPr>
        <w:t xml:space="preserve">tace provádí Oddělení řízení mezinárodních programů </w:t>
      </w:r>
      <w:proofErr w:type="spellStart"/>
      <w:r w:rsidRPr="00231FEC">
        <w:rPr>
          <w:rFonts w:ascii="Arial" w:hAnsi="Arial" w:cs="Arial"/>
          <w:sz w:val="22"/>
          <w:szCs w:val="22"/>
        </w:rPr>
        <w:t>VaVaI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MŠMT.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Věcné hodnocení návrhů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 je zastřešeno Výborem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Committee</w:t>
      </w:r>
      <w:proofErr w:type="spellEnd"/>
      <w:r w:rsidRPr="00231FEC">
        <w:rPr>
          <w:rFonts w:ascii="Arial" w:hAnsi="Arial" w:cs="Arial"/>
          <w:sz w:val="22"/>
          <w:szCs w:val="22"/>
        </w:rPr>
        <w:t>), který je složen z renomovaných mezinárodních vědců, a je uskutečněno ve třech kolech: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1st </w:t>
      </w:r>
      <w:proofErr w:type="spellStart"/>
      <w:r w:rsidRPr="00231FEC">
        <w:rPr>
          <w:rFonts w:ascii="Arial" w:hAnsi="Arial" w:cs="Arial"/>
          <w:sz w:val="22"/>
          <w:szCs w:val="22"/>
        </w:rPr>
        <w:t>Stage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Evaluation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: přezkoumání vědeckých výsledků lídra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a krátké koncepce výzkumu Výborem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a doporučení žadatelů k dalšímu posouzení.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2ng </w:t>
      </w:r>
      <w:proofErr w:type="spellStart"/>
      <w:r w:rsidRPr="00231FEC">
        <w:rPr>
          <w:rFonts w:ascii="Arial" w:hAnsi="Arial" w:cs="Arial"/>
          <w:sz w:val="22"/>
          <w:szCs w:val="22"/>
        </w:rPr>
        <w:t>Stage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Evaluation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: externí hodnocení vědeckých výsledků lídra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a celého konceptu výzkumu odborníky, poté posouzení celého konceptu výzkumu a externího hodnocení Výborem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a doporučení uchazečů k dalšímu posouzení.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3rd </w:t>
      </w:r>
      <w:proofErr w:type="spellStart"/>
      <w:r w:rsidRPr="00231FEC">
        <w:rPr>
          <w:rFonts w:ascii="Arial" w:hAnsi="Arial" w:cs="Arial"/>
          <w:sz w:val="22"/>
          <w:szCs w:val="22"/>
        </w:rPr>
        <w:t>Stage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1FEC">
        <w:rPr>
          <w:rFonts w:ascii="Arial" w:hAnsi="Arial" w:cs="Arial"/>
          <w:sz w:val="22"/>
          <w:szCs w:val="22"/>
        </w:rPr>
        <w:t>Evaluation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: osobní pohovory Výboru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s lídrem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a zástupci hostitelských institucí; doporučení 3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 k financování.</w:t>
      </w:r>
    </w:p>
    <w:p w:rsidR="002269F4" w:rsidRPr="002269F4" w:rsidRDefault="002269F4" w:rsidP="002269F4">
      <w:pPr>
        <w:spacing w:after="1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25137" w:rsidRDefault="00231FEC" w:rsidP="00C2513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69F4">
        <w:rPr>
          <w:rFonts w:ascii="Arial" w:hAnsi="Arial" w:cs="Arial"/>
          <w:b/>
          <w:sz w:val="22"/>
          <w:szCs w:val="22"/>
        </w:rPr>
        <w:t>VÝZVA A JEJÍ VÝSLEDKY</w:t>
      </w:r>
    </w:p>
    <w:p w:rsidR="00231FEC" w:rsidRPr="00C25137" w:rsidRDefault="00231FEC" w:rsidP="00C25137">
      <w:pPr>
        <w:spacing w:after="1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>Výzva určená k otevře</w:t>
      </w:r>
      <w:r w:rsidR="00C25137">
        <w:rPr>
          <w:rFonts w:ascii="Arial" w:hAnsi="Arial" w:cs="Arial"/>
          <w:sz w:val="22"/>
          <w:szCs w:val="22"/>
        </w:rPr>
        <w:t xml:space="preserve">ní prvních 3 </w:t>
      </w:r>
      <w:proofErr w:type="spellStart"/>
      <w:r w:rsidR="00C25137">
        <w:rPr>
          <w:rFonts w:ascii="Arial" w:hAnsi="Arial" w:cs="Arial"/>
          <w:sz w:val="22"/>
          <w:szCs w:val="22"/>
        </w:rPr>
        <w:t>Dioscuri</w:t>
      </w:r>
      <w:proofErr w:type="spellEnd"/>
      <w:r w:rsidR="00C25137">
        <w:rPr>
          <w:rFonts w:ascii="Arial" w:hAnsi="Arial" w:cs="Arial"/>
          <w:sz w:val="22"/>
          <w:szCs w:val="22"/>
        </w:rPr>
        <w:t xml:space="preserve"> center v Č</w:t>
      </w:r>
      <w:r w:rsidRPr="00231FEC">
        <w:rPr>
          <w:rFonts w:ascii="Arial" w:hAnsi="Arial" w:cs="Arial"/>
          <w:sz w:val="22"/>
          <w:szCs w:val="22"/>
        </w:rPr>
        <w:t>eské republice byla vyhlášena 12. dubna 2022.</w:t>
      </w:r>
    </w:p>
    <w:p w:rsidR="00231FEC" w:rsidRPr="00231FEC" w:rsidRDefault="00C25137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 výzvy se podařilo naplnit;</w:t>
      </w:r>
      <w:r w:rsidR="00231FEC" w:rsidRPr="00231FEC">
        <w:rPr>
          <w:rFonts w:ascii="Arial" w:hAnsi="Arial" w:cs="Arial"/>
          <w:sz w:val="22"/>
          <w:szCs w:val="22"/>
        </w:rPr>
        <w:t xml:space="preserve"> Výbor </w:t>
      </w:r>
      <w:proofErr w:type="spellStart"/>
      <w:r w:rsidR="00231FEC"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="00231FEC" w:rsidRPr="00231FEC">
        <w:rPr>
          <w:rFonts w:ascii="Arial" w:hAnsi="Arial" w:cs="Arial"/>
          <w:sz w:val="22"/>
          <w:szCs w:val="22"/>
        </w:rPr>
        <w:t xml:space="preserve"> po osobních pohovorech v Praze na jaře 2023 doporučil k financování 3 </w:t>
      </w:r>
      <w:proofErr w:type="spellStart"/>
      <w:r w:rsidR="00231FEC"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="00231FEC" w:rsidRPr="00231FEC">
        <w:rPr>
          <w:rFonts w:ascii="Arial" w:hAnsi="Arial" w:cs="Arial"/>
          <w:sz w:val="22"/>
          <w:szCs w:val="22"/>
        </w:rPr>
        <w:t xml:space="preserve"> centra – více informací o doporučených </w:t>
      </w:r>
      <w:proofErr w:type="spellStart"/>
      <w:r w:rsidR="00231FEC"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="00231FEC" w:rsidRPr="00231FEC">
        <w:rPr>
          <w:rFonts w:ascii="Arial" w:hAnsi="Arial" w:cs="Arial"/>
          <w:sz w:val="22"/>
          <w:szCs w:val="22"/>
        </w:rPr>
        <w:t xml:space="preserve"> centrech naleznete na </w:t>
      </w:r>
      <w:hyperlink r:id="rId9" w:history="1"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Three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new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Dioscuri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leaders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in </w:t>
        </w:r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the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Czech Republic | Max-Planck-</w:t>
        </w:r>
        <w:proofErr w:type="spellStart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>Gesellschaft</w:t>
        </w:r>
        <w:proofErr w:type="spellEnd"/>
        <w:r w:rsidR="00231FEC" w:rsidRPr="00231FEC">
          <w:rPr>
            <w:rStyle w:val="Hypertextovodkaz"/>
            <w:rFonts w:ascii="Arial" w:hAnsi="Arial" w:cs="Arial"/>
            <w:sz w:val="22"/>
            <w:szCs w:val="22"/>
          </w:rPr>
          <w:t xml:space="preserve"> (mpg.de)</w:t>
        </w:r>
      </w:hyperlink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Nyní je otevřeno již první z těchto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center; 1. října 2023 zahájilo činnost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Centre </w:t>
      </w:r>
      <w:proofErr w:type="spellStart"/>
      <w:r w:rsidRPr="00231FEC">
        <w:rPr>
          <w:rFonts w:ascii="Arial" w:hAnsi="Arial" w:cs="Arial"/>
          <w:sz w:val="22"/>
          <w:szCs w:val="22"/>
        </w:rPr>
        <w:t>for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Spin </w:t>
      </w:r>
      <w:proofErr w:type="spellStart"/>
      <w:r w:rsidRPr="00231FEC">
        <w:rPr>
          <w:rFonts w:ascii="Arial" w:hAnsi="Arial" w:cs="Arial"/>
          <w:sz w:val="22"/>
          <w:szCs w:val="22"/>
        </w:rPr>
        <w:t>Caloritronics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231FEC">
        <w:rPr>
          <w:rFonts w:ascii="Arial" w:hAnsi="Arial" w:cs="Arial"/>
          <w:sz w:val="22"/>
          <w:szCs w:val="22"/>
        </w:rPr>
        <w:t>Magnonics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vedené Helenou Reichlovou na Fyzikálním ústavu AV ČR jako hostitelské instituci (více zde: </w:t>
      </w:r>
      <w:hyperlink r:id="rId10" w:history="1"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Helena Reichlova to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become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leader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of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the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first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Dioscuri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Centre in 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the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Czech Republic | Max-Planck-</w:t>
        </w:r>
        <w:proofErr w:type="spellStart"/>
        <w:r w:rsidRPr="00231FEC">
          <w:rPr>
            <w:rStyle w:val="Hypertextovodkaz"/>
            <w:rFonts w:ascii="Arial" w:hAnsi="Arial" w:cs="Arial"/>
            <w:sz w:val="22"/>
            <w:szCs w:val="22"/>
          </w:rPr>
          <w:t>Gesellschaft</w:t>
        </w:r>
        <w:proofErr w:type="spellEnd"/>
        <w:r w:rsidRPr="00231FEC">
          <w:rPr>
            <w:rStyle w:val="Hypertextovodkaz"/>
            <w:rFonts w:ascii="Arial" w:hAnsi="Arial" w:cs="Arial"/>
            <w:sz w:val="22"/>
            <w:szCs w:val="22"/>
          </w:rPr>
          <w:t xml:space="preserve"> (mpg.de)</w:t>
        </w:r>
      </w:hyperlink>
      <w:r w:rsidRPr="00231FEC">
        <w:rPr>
          <w:rFonts w:ascii="Arial" w:hAnsi="Arial" w:cs="Arial"/>
          <w:sz w:val="22"/>
          <w:szCs w:val="22"/>
        </w:rPr>
        <w:t>).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FEC">
        <w:rPr>
          <w:rFonts w:ascii="Arial" w:hAnsi="Arial" w:cs="Arial"/>
          <w:b/>
          <w:sz w:val="22"/>
          <w:szCs w:val="22"/>
        </w:rPr>
        <w:t>VÝHLED DO BUDOUCNA</w:t>
      </w:r>
    </w:p>
    <w:p w:rsidR="00231FEC" w:rsidRPr="00231FEC" w:rsidRDefault="00231FEC" w:rsidP="002269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FEC">
        <w:rPr>
          <w:rFonts w:ascii="Arial" w:hAnsi="Arial" w:cs="Arial"/>
          <w:sz w:val="22"/>
          <w:szCs w:val="22"/>
        </w:rPr>
        <w:t xml:space="preserve">Další výzva pro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v České republice je naplánována na podzim 2024. Tato výzva bude určena k výběru další 2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center. Alokace na jednotlivá </w:t>
      </w:r>
      <w:proofErr w:type="spellStart"/>
      <w:r w:rsidRPr="00231FEC">
        <w:rPr>
          <w:rFonts w:ascii="Arial" w:hAnsi="Arial" w:cs="Arial"/>
          <w:sz w:val="22"/>
          <w:szCs w:val="22"/>
        </w:rPr>
        <w:t>Dioscuri</w:t>
      </w:r>
      <w:proofErr w:type="spellEnd"/>
      <w:r w:rsidRPr="00231FEC">
        <w:rPr>
          <w:rFonts w:ascii="Arial" w:hAnsi="Arial" w:cs="Arial"/>
          <w:sz w:val="22"/>
          <w:szCs w:val="22"/>
        </w:rPr>
        <w:t xml:space="preserve"> centra zůstane stejná.</w:t>
      </w:r>
    </w:p>
    <w:p w:rsidR="008D4308" w:rsidRPr="00231FEC" w:rsidRDefault="008D4308" w:rsidP="002269F4">
      <w:pPr>
        <w:autoSpaceDE w:val="0"/>
        <w:autoSpaceDN w:val="0"/>
        <w:adjustRightInd w:val="0"/>
        <w:spacing w:before="24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31FE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</w:p>
    <w:p w:rsidR="008D4308" w:rsidRPr="00231FEC" w:rsidRDefault="008D4308" w:rsidP="002269F4">
      <w:pPr>
        <w:autoSpaceDE w:val="0"/>
        <w:autoSpaceDN w:val="0"/>
        <w:adjustRightInd w:val="0"/>
        <w:spacing w:before="24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31FE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</w:p>
    <w:p w:rsidR="008D4308" w:rsidRPr="00231FEC" w:rsidRDefault="008D4308" w:rsidP="002269F4">
      <w:pPr>
        <w:spacing w:after="240" w:line="276" w:lineRule="auto"/>
        <w:rPr>
          <w:rFonts w:ascii="Arial" w:hAnsi="Arial" w:cs="Arial"/>
          <w:b/>
          <w:color w:val="0070C0"/>
          <w:sz w:val="22"/>
          <w:szCs w:val="22"/>
        </w:rPr>
      </w:pPr>
      <w:r w:rsidRPr="00231FE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</w:p>
    <w:p w:rsidR="000C7099" w:rsidRPr="00231FEC" w:rsidRDefault="000C7099" w:rsidP="002269F4">
      <w:pPr>
        <w:spacing w:after="240" w:line="276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0C7099" w:rsidRPr="00231FEC" w:rsidRDefault="000C7099" w:rsidP="002269F4">
      <w:pPr>
        <w:autoSpaceDE w:val="0"/>
        <w:autoSpaceDN w:val="0"/>
        <w:adjustRightInd w:val="0"/>
        <w:spacing w:before="24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ectPr w:rsidR="000C7099" w:rsidRPr="00231FEC" w:rsidSect="009758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10E2A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10E2A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10E2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10E2A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E10E2A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Zpracoval: dr. Doleček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1125CD" w:rsidP="00231FEC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31FEC">
            <w:rPr>
              <w:rFonts w:ascii="Arial" w:hAnsi="Arial" w:cs="Arial"/>
              <w:b/>
              <w:color w:val="0070C0"/>
              <w:sz w:val="28"/>
              <w:szCs w:val="28"/>
            </w:rPr>
            <w:t>94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231FEC">
            <w:rPr>
              <w:rFonts w:ascii="Arial" w:hAnsi="Arial" w:cs="Arial"/>
              <w:b/>
              <w:color w:val="0070C0"/>
              <w:sz w:val="28"/>
              <w:szCs w:val="28"/>
            </w:rPr>
            <w:t>D2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F3F23"/>
    <w:multiLevelType w:val="hybridMultilevel"/>
    <w:tmpl w:val="46EC4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8"/>
  </w:num>
  <w:num w:numId="5">
    <w:abstractNumId w:val="15"/>
  </w:num>
  <w:num w:numId="6">
    <w:abstractNumId w:val="0"/>
  </w:num>
  <w:num w:numId="7">
    <w:abstractNumId w:val="6"/>
  </w:num>
  <w:num w:numId="8">
    <w:abstractNumId w:val="19"/>
  </w:num>
  <w:num w:numId="9">
    <w:abstractNumId w:val="9"/>
  </w:num>
  <w:num w:numId="10">
    <w:abstractNumId w:val="20"/>
  </w:num>
  <w:num w:numId="11">
    <w:abstractNumId w:val="17"/>
  </w:num>
  <w:num w:numId="12">
    <w:abstractNumId w:val="21"/>
  </w:num>
  <w:num w:numId="13">
    <w:abstractNumId w:val="16"/>
  </w:num>
  <w:num w:numId="14">
    <w:abstractNumId w:val="24"/>
  </w:num>
  <w:num w:numId="15">
    <w:abstractNumId w:val="12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5"/>
  </w:num>
  <w:num w:numId="19">
    <w:abstractNumId w:val="2"/>
  </w:num>
  <w:num w:numId="20">
    <w:abstractNumId w:val="5"/>
  </w:num>
  <w:num w:numId="21">
    <w:abstractNumId w:val="23"/>
  </w:num>
  <w:num w:numId="22">
    <w:abstractNumId w:val="22"/>
  </w:num>
  <w:num w:numId="23">
    <w:abstractNumId w:val="4"/>
  </w:num>
  <w:num w:numId="24">
    <w:abstractNumId w:val="11"/>
  </w:num>
  <w:num w:numId="2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B7954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0256"/>
    <w:rsid w:val="001F190C"/>
    <w:rsid w:val="001F25B2"/>
    <w:rsid w:val="001F38CB"/>
    <w:rsid w:val="00200490"/>
    <w:rsid w:val="00215834"/>
    <w:rsid w:val="00215F97"/>
    <w:rsid w:val="00225149"/>
    <w:rsid w:val="0022699E"/>
    <w:rsid w:val="002269F4"/>
    <w:rsid w:val="002276E6"/>
    <w:rsid w:val="00227993"/>
    <w:rsid w:val="00230132"/>
    <w:rsid w:val="00231FEC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20E8E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172E"/>
    <w:rsid w:val="00B345DF"/>
    <w:rsid w:val="00B41026"/>
    <w:rsid w:val="00B413FF"/>
    <w:rsid w:val="00B42F92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0B28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5137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E2A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13CEC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14DA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5DCAFC5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13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nbjtT_Pqq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g.de/20437617/helena-reichlova-to-become-leader-dioscuri-centre-czech-re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pg.de/20878166/three-new-dioscuri-centres-in-czech-republi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C00B-9F71-4B67-BB1A-60C35A24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12</cp:revision>
  <cp:lastPrinted>2020-10-29T10:28:00Z</cp:lastPrinted>
  <dcterms:created xsi:type="dcterms:W3CDTF">2023-10-20T10:04:00Z</dcterms:created>
  <dcterms:modified xsi:type="dcterms:W3CDTF">2023-10-20T10:46:00Z</dcterms:modified>
</cp:coreProperties>
</file>