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8"/>
        <w:gridCol w:w="2246"/>
        <w:gridCol w:w="2948"/>
      </w:tblGrid>
      <w:tr w:rsidR="00925644" w:rsidRPr="005B4BF6" w:rsidTr="00A6718F">
        <w:trPr>
          <w:trHeight w:val="1105"/>
        </w:trPr>
        <w:tc>
          <w:tcPr>
            <w:tcW w:w="609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710320" w:rsidRPr="005A46EC" w:rsidRDefault="00297C29" w:rsidP="003D0984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297C29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na uspořádání Kulatého stolu pracovní skupiny Lidé ve vědě „Rovné příležitosti jako cesta k excelenci“</w:t>
            </w:r>
          </w:p>
        </w:tc>
        <w:tc>
          <w:tcPr>
            <w:tcW w:w="294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5B4BF6" w:rsidRDefault="00806025" w:rsidP="003D098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A46EC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86392E" w:rsidRPr="005A46EC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  <w:r w:rsidR="00AA6446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  <w:r w:rsidR="00783AA1" w:rsidRPr="005A46EC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297C29">
              <w:rPr>
                <w:rFonts w:ascii="Arial" w:hAnsi="Arial" w:cs="Arial"/>
                <w:b/>
                <w:color w:val="0070C0"/>
                <w:sz w:val="28"/>
                <w:szCs w:val="28"/>
              </w:rPr>
              <w:t>B1</w:t>
            </w:r>
          </w:p>
        </w:tc>
      </w:tr>
      <w:tr w:rsidR="00925644" w:rsidRPr="005B4BF6" w:rsidTr="00A6718F">
        <w:tc>
          <w:tcPr>
            <w:tcW w:w="384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5B4B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4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5B4BF6" w:rsidRDefault="0090277D" w:rsidP="00B30D5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277D">
              <w:rPr>
                <w:rFonts w:ascii="Arial" w:hAnsi="Arial" w:cs="Arial"/>
                <w:i/>
                <w:sz w:val="22"/>
                <w:szCs w:val="22"/>
              </w:rPr>
              <w:t>PhDr. Adéla Gjuričová, Ph.D.</w:t>
            </w:r>
          </w:p>
        </w:tc>
      </w:tr>
      <w:tr w:rsidR="00925644" w:rsidRPr="005B4BF6" w:rsidTr="00A6718F">
        <w:trPr>
          <w:trHeight w:val="788"/>
        </w:trPr>
        <w:tc>
          <w:tcPr>
            <w:tcW w:w="3848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5B4B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297C29" w:rsidRPr="005B4BF6" w:rsidRDefault="0090277D" w:rsidP="00AE61A2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Mgr. Kateřina Bumanová, </w:t>
            </w:r>
            <w:r>
              <w:t xml:space="preserve"> </w:t>
            </w:r>
            <w:r w:rsidRPr="0090277D">
              <w:rPr>
                <w:rFonts w:ascii="Arial" w:hAnsi="Arial" w:cs="Arial"/>
                <w:i/>
                <w:sz w:val="22"/>
                <w:szCs w:val="22"/>
              </w:rPr>
              <w:t>Odbor koordinace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výzkumu, vývoje a inovací, 6. listopadu 2023</w:t>
            </w:r>
          </w:p>
        </w:tc>
      </w:tr>
      <w:tr w:rsidR="008F77F6" w:rsidRPr="005B4BF6" w:rsidTr="00A6718F">
        <w:trPr>
          <w:trHeight w:val="1982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F7050" w:rsidRPr="00AB734E" w:rsidRDefault="00DF7050" w:rsidP="00DF7050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925644" w:rsidRDefault="00F46E2F" w:rsidP="00DF7050">
            <w:pPr>
              <w:keepNext/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Radě pro výzkum, vývoj a inovace (dále je „Rada“) se předkládá ke schválení záměr </w:t>
            </w:r>
            <w:r w:rsidR="00BE75AB">
              <w:rPr>
                <w:rFonts w:ascii="Arial" w:hAnsi="Arial" w:cs="Arial"/>
                <w:bCs/>
                <w:sz w:val="22"/>
                <w:szCs w:val="22"/>
              </w:rPr>
              <w:t xml:space="preserve">na uspořádání </w:t>
            </w:r>
            <w:r>
              <w:rPr>
                <w:rFonts w:ascii="Arial" w:hAnsi="Arial" w:cs="Arial"/>
                <w:bCs/>
                <w:sz w:val="22"/>
                <w:szCs w:val="22"/>
              </w:rPr>
              <w:t>Kulat</w:t>
            </w:r>
            <w:r w:rsidR="00BE75AB">
              <w:rPr>
                <w:rFonts w:ascii="Arial" w:hAnsi="Arial" w:cs="Arial"/>
                <w:bCs/>
                <w:sz w:val="22"/>
                <w:szCs w:val="22"/>
              </w:rPr>
              <w:t>ého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st</w:t>
            </w:r>
            <w:r w:rsidR="00BE75AB">
              <w:rPr>
                <w:rFonts w:ascii="Arial" w:hAnsi="Arial" w:cs="Arial"/>
                <w:bCs/>
                <w:sz w:val="22"/>
                <w:szCs w:val="22"/>
              </w:rPr>
              <w:t>olu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pracovní skupiny Lidé ve vědě. Plánovaný termín konání Kulatého stolu je 5. prosince 2023 od 14.00 hodin. Setkání se zúčastní paní ministryně a předsedkyně Rady Mgr. Helena Langšádlová, členové Rady a řečníci (viz program v příloze). Akci bude moderovat zpravodajka PS Lidé ve vědě </w:t>
            </w:r>
            <w:r w:rsidR="0090277D">
              <w:t xml:space="preserve"> </w:t>
            </w:r>
            <w:r w:rsidR="0090277D" w:rsidRPr="0090277D">
              <w:rPr>
                <w:rFonts w:ascii="Arial" w:hAnsi="Arial" w:cs="Arial"/>
                <w:bCs/>
                <w:sz w:val="22"/>
                <w:szCs w:val="22"/>
              </w:rPr>
              <w:t>PhDr. Adéla Gjuričová, Ph.D.</w:t>
            </w:r>
          </w:p>
          <w:p w:rsidR="0090277D" w:rsidRDefault="0090277D" w:rsidP="00925644">
            <w:pPr>
              <w:keepNext/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0277D">
              <w:rPr>
                <w:rFonts w:ascii="Arial" w:hAnsi="Arial" w:cs="Arial"/>
                <w:bCs/>
                <w:sz w:val="22"/>
                <w:szCs w:val="22"/>
              </w:rPr>
              <w:t xml:space="preserve">Agenda </w:t>
            </w:r>
            <w:r w:rsidR="00BE75AB" w:rsidRPr="0090277D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="00BE75AB">
              <w:rPr>
                <w:rFonts w:ascii="Arial" w:hAnsi="Arial" w:cs="Arial"/>
                <w:bCs/>
                <w:sz w:val="22"/>
                <w:szCs w:val="22"/>
              </w:rPr>
              <w:t>ady</w:t>
            </w:r>
            <w:r w:rsidR="00BE75AB" w:rsidRPr="0090277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0277D">
              <w:rPr>
                <w:rFonts w:ascii="Arial" w:hAnsi="Arial" w:cs="Arial"/>
                <w:bCs/>
                <w:sz w:val="22"/>
                <w:szCs w:val="22"/>
              </w:rPr>
              <w:t>Lidé ve vědě se zaměřuje na zlepšování podmínek vědců a vědkyň v českém výzkumném prostoru, a to zejména ve smyslu odstraňování překážek v</w:t>
            </w:r>
            <w:r w:rsidR="00E16778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90277D">
              <w:rPr>
                <w:rFonts w:ascii="Arial" w:hAnsi="Arial" w:cs="Arial"/>
                <w:bCs/>
                <w:sz w:val="22"/>
                <w:szCs w:val="22"/>
              </w:rPr>
              <w:t>internacionalizované výzkumné praxi a dosahování rovnosti příležitostí pro genderové, generační a vědeckostatusové skupiny.</w:t>
            </w:r>
          </w:p>
          <w:p w:rsidR="00F46E2F" w:rsidRPr="00F46E2F" w:rsidRDefault="00F46E2F" w:rsidP="00F46E2F">
            <w:pPr>
              <w:keepNext/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46E2F">
              <w:rPr>
                <w:rFonts w:ascii="Arial" w:hAnsi="Arial" w:cs="Arial"/>
                <w:bCs/>
                <w:sz w:val="22"/>
                <w:szCs w:val="22"/>
              </w:rPr>
              <w:t>Národní politika výzkumu, vývoje a inovací se hlásí k představě České republiky jako země, jejíž ekonomika je založena na znalostech a inovacích. Naplnění této představy je závislé na schopnosti zajistit kvalitní vědeckou přípravu budoucích výzkumníků a výzkumnic a</w:t>
            </w:r>
            <w:r w:rsidR="00E16778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F46E2F">
              <w:rPr>
                <w:rFonts w:ascii="Arial" w:hAnsi="Arial" w:cs="Arial"/>
                <w:bCs/>
                <w:sz w:val="22"/>
                <w:szCs w:val="22"/>
              </w:rPr>
              <w:t>vytvořit takové pracovní podmínky, které umožní ve vědecké dráze pokračovat. To zahrnuje zajištění kvality doktorského studia, transparentní možnosti kariérního růstu, bezpečné pracovní prostředí a zajištění podmínek pro kombinaci výzkumné práce a</w:t>
            </w:r>
            <w:r w:rsidR="00E16778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F46E2F">
              <w:rPr>
                <w:rFonts w:ascii="Arial" w:hAnsi="Arial" w:cs="Arial"/>
                <w:bCs/>
                <w:sz w:val="22"/>
                <w:szCs w:val="22"/>
              </w:rPr>
              <w:t xml:space="preserve">rodičovství. Bez řešení těchto systémových otázek česká věda bude obtížně schopná vytvářet prostředí pro tvůrčí vědeckou práci, a tím udržet kvalitní výzkumníky a výzkumnice. </w:t>
            </w:r>
          </w:p>
          <w:p w:rsidR="00F46E2F" w:rsidRPr="00F46E2F" w:rsidRDefault="00F46E2F" w:rsidP="00F46E2F">
            <w:pPr>
              <w:keepNext/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46E2F">
              <w:rPr>
                <w:rFonts w:ascii="Arial" w:hAnsi="Arial" w:cs="Arial"/>
                <w:bCs/>
                <w:sz w:val="22"/>
                <w:szCs w:val="22"/>
              </w:rPr>
              <w:t>Právě tyto otázky vláda v aktuálním programovém prohlášení řadí mezi své priority. Specificky jde o slaďování profesního a rodinného života, zvýšení podílu žen ve vědě, posilování motivace mladých vědců k výzkumné kariéře, vytvoření atraktivního pracovního prostředí pro špičkové české i zahraniční výzkumné pracovníky, podporu mezinárodní i</w:t>
            </w:r>
            <w:r w:rsidR="00E16778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F46E2F">
              <w:rPr>
                <w:rFonts w:ascii="Arial" w:hAnsi="Arial" w:cs="Arial"/>
                <w:bCs/>
                <w:sz w:val="22"/>
                <w:szCs w:val="22"/>
              </w:rPr>
              <w:t xml:space="preserve">národní mobility i návratovou politika. Vláda se zároveň zavázala klást důraz na kvalitu řízení lidských zdrojů v oblasti vědy, výzkumu, vývoje a inovací a rozvoj jejich potenciálu. </w:t>
            </w:r>
          </w:p>
          <w:p w:rsidR="00F46E2F" w:rsidRPr="00F46E2F" w:rsidRDefault="00F46E2F" w:rsidP="00F46E2F">
            <w:pPr>
              <w:keepNext/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46E2F">
              <w:rPr>
                <w:rFonts w:ascii="Arial" w:hAnsi="Arial" w:cs="Arial"/>
                <w:bCs/>
                <w:sz w:val="22"/>
                <w:szCs w:val="22"/>
              </w:rPr>
              <w:t xml:space="preserve">Co by tedy pomohlo zvýšit atraktivitu vědecké profese a míru diverzity ve vědě? Jaké jsou potřeby nastupující generace českých vědkyň a vědců? Co brání v návratu českým vědcům a vědkyním, kteří uspěli v zahraničí? Proč český systém není schopný udržet výzkumné pracovnice, které získají doktorský titul? A jaké jsou překážky důslednějšího tvorby kvalitních pracovních podmínek včetně rovných příležitostí jako jedné ze základních podmínek excelence ve vědě a výzkumu? </w:t>
            </w:r>
          </w:p>
          <w:p w:rsidR="00322C1C" w:rsidRPr="00925644" w:rsidRDefault="00F46E2F" w:rsidP="00226D57">
            <w:pPr>
              <w:keepNext/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46E2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Cílem kulatého stolu je vytvořit prostor pro diskuzi členů a členek RVVI o aktuálních výzvách a nejbližších krocích na národní i institucionální úrovni v oblasti rovných příležitostí. </w:t>
            </w:r>
          </w:p>
        </w:tc>
      </w:tr>
      <w:tr w:rsidR="008F77F6" w:rsidRPr="005B4BF6" w:rsidTr="00A6718F">
        <w:trPr>
          <w:trHeight w:val="836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5B4BF6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:rsidR="003535D7" w:rsidRPr="005B4BF6" w:rsidRDefault="00F52BB1" w:rsidP="003D0984">
            <w:pPr>
              <w:pStyle w:val="Odstavecseseznamem"/>
              <w:numPr>
                <w:ilvl w:val="0"/>
                <w:numId w:val="25"/>
              </w:numPr>
              <w:rPr>
                <w:b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Návrh programu</w:t>
            </w:r>
          </w:p>
        </w:tc>
      </w:tr>
      <w:tr w:rsidR="00F5110F" w:rsidRPr="00DE2BC0" w:rsidTr="00A6718F">
        <w:trPr>
          <w:trHeight w:val="964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8" w:space="0" w:color="auto"/>
              <w:right w:val="single" w:sz="12" w:space="0" w:color="000000" w:themeColor="text1"/>
            </w:tcBorders>
            <w:shd w:val="clear" w:color="auto" w:fill="auto"/>
          </w:tcPr>
          <w:p w:rsidR="0001738C" w:rsidRPr="002A0541" w:rsidRDefault="0001738C" w:rsidP="0001738C">
            <w:pPr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bookmarkStart w:id="0" w:name="_GoBack"/>
            <w:bookmarkEnd w:id="0"/>
            <w:r w:rsidRPr="002A0541">
              <w:rPr>
                <w:rFonts w:ascii="Arial" w:hAnsi="Arial" w:cs="Arial"/>
                <w:b/>
                <w:i/>
                <w:sz w:val="22"/>
                <w:szCs w:val="22"/>
              </w:rPr>
              <w:t>Provede</w:t>
            </w:r>
          </w:p>
          <w:p w:rsidR="00F5110F" w:rsidRPr="002A0541" w:rsidRDefault="00925644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Sekce pro vědu, výzkum a inovace</w:t>
            </w:r>
          </w:p>
        </w:tc>
      </w:tr>
    </w:tbl>
    <w:p w:rsidR="00F86D54" w:rsidRDefault="0062799C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99C" w:rsidRDefault="0062799C" w:rsidP="008F77F6">
      <w:r>
        <w:separator/>
      </w:r>
    </w:p>
  </w:endnote>
  <w:endnote w:type="continuationSeparator" w:id="0">
    <w:p w:rsidR="0062799C" w:rsidRDefault="0062799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99C" w:rsidRDefault="0062799C" w:rsidP="008F77F6">
      <w:r>
        <w:separator/>
      </w:r>
    </w:p>
  </w:footnote>
  <w:footnote w:type="continuationSeparator" w:id="0">
    <w:p w:rsidR="0062799C" w:rsidRDefault="0062799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83057"/>
    <w:multiLevelType w:val="hybridMultilevel"/>
    <w:tmpl w:val="80AA92EC"/>
    <w:lvl w:ilvl="0" w:tplc="034CEA98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03A5F"/>
    <w:multiLevelType w:val="hybridMultilevel"/>
    <w:tmpl w:val="BBD8D7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F143F"/>
    <w:multiLevelType w:val="hybridMultilevel"/>
    <w:tmpl w:val="850ED2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7E6DA7"/>
    <w:multiLevelType w:val="hybridMultilevel"/>
    <w:tmpl w:val="72EE91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170843"/>
    <w:multiLevelType w:val="hybridMultilevel"/>
    <w:tmpl w:val="284A19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AD72B8"/>
    <w:multiLevelType w:val="hybridMultilevel"/>
    <w:tmpl w:val="8D8E05B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38728DE"/>
    <w:multiLevelType w:val="hybridMultilevel"/>
    <w:tmpl w:val="49BC3E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20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1168A8"/>
    <w:multiLevelType w:val="hybridMultilevel"/>
    <w:tmpl w:val="7F94E1D8"/>
    <w:lvl w:ilvl="0" w:tplc="C6E4A5D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0"/>
  </w:num>
  <w:num w:numId="4">
    <w:abstractNumId w:val="21"/>
  </w:num>
  <w:num w:numId="5">
    <w:abstractNumId w:val="22"/>
  </w:num>
  <w:num w:numId="6">
    <w:abstractNumId w:val="10"/>
  </w:num>
  <w:num w:numId="7">
    <w:abstractNumId w:val="19"/>
  </w:num>
  <w:num w:numId="8">
    <w:abstractNumId w:val="12"/>
  </w:num>
  <w:num w:numId="9">
    <w:abstractNumId w:val="3"/>
  </w:num>
  <w:num w:numId="10">
    <w:abstractNumId w:val="15"/>
  </w:num>
  <w:num w:numId="11">
    <w:abstractNumId w:val="16"/>
  </w:num>
  <w:num w:numId="12">
    <w:abstractNumId w:val="5"/>
  </w:num>
  <w:num w:numId="13">
    <w:abstractNumId w:val="25"/>
  </w:num>
  <w:num w:numId="14">
    <w:abstractNumId w:val="2"/>
  </w:num>
  <w:num w:numId="15">
    <w:abstractNumId w:val="7"/>
  </w:num>
  <w:num w:numId="16">
    <w:abstractNumId w:val="11"/>
  </w:num>
  <w:num w:numId="17">
    <w:abstractNumId w:val="14"/>
  </w:num>
  <w:num w:numId="18">
    <w:abstractNumId w:val="23"/>
  </w:num>
  <w:num w:numId="19">
    <w:abstractNumId w:val="13"/>
  </w:num>
  <w:num w:numId="20">
    <w:abstractNumId w:val="1"/>
  </w:num>
  <w:num w:numId="21">
    <w:abstractNumId w:val="4"/>
  </w:num>
  <w:num w:numId="22">
    <w:abstractNumId w:val="18"/>
  </w:num>
  <w:num w:numId="23">
    <w:abstractNumId w:val="17"/>
  </w:num>
  <w:num w:numId="24">
    <w:abstractNumId w:val="8"/>
  </w:num>
  <w:num w:numId="25">
    <w:abstractNumId w:val="24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86584"/>
    <w:rsid w:val="00095B2C"/>
    <w:rsid w:val="000A463E"/>
    <w:rsid w:val="000A7002"/>
    <w:rsid w:val="000B221A"/>
    <w:rsid w:val="000B374F"/>
    <w:rsid w:val="000C4A33"/>
    <w:rsid w:val="000D0C8C"/>
    <w:rsid w:val="000D2A61"/>
    <w:rsid w:val="000D6C28"/>
    <w:rsid w:val="000E553E"/>
    <w:rsid w:val="000F499B"/>
    <w:rsid w:val="00102FC4"/>
    <w:rsid w:val="0011391A"/>
    <w:rsid w:val="00115DD5"/>
    <w:rsid w:val="00123745"/>
    <w:rsid w:val="0014301C"/>
    <w:rsid w:val="00143088"/>
    <w:rsid w:val="00151B3F"/>
    <w:rsid w:val="001528E0"/>
    <w:rsid w:val="00166727"/>
    <w:rsid w:val="00171C4D"/>
    <w:rsid w:val="001A0E30"/>
    <w:rsid w:val="001D5092"/>
    <w:rsid w:val="001F03C7"/>
    <w:rsid w:val="00206A41"/>
    <w:rsid w:val="00226D57"/>
    <w:rsid w:val="00237006"/>
    <w:rsid w:val="002405C0"/>
    <w:rsid w:val="00242103"/>
    <w:rsid w:val="002511EB"/>
    <w:rsid w:val="0026386E"/>
    <w:rsid w:val="0027582C"/>
    <w:rsid w:val="002778BB"/>
    <w:rsid w:val="00283C5B"/>
    <w:rsid w:val="00291599"/>
    <w:rsid w:val="002917C8"/>
    <w:rsid w:val="00297C29"/>
    <w:rsid w:val="002A0541"/>
    <w:rsid w:val="002A18DA"/>
    <w:rsid w:val="002A6EF1"/>
    <w:rsid w:val="002A7323"/>
    <w:rsid w:val="002B27FE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2C1C"/>
    <w:rsid w:val="00325A0D"/>
    <w:rsid w:val="00331C5A"/>
    <w:rsid w:val="00332ADC"/>
    <w:rsid w:val="00343AF5"/>
    <w:rsid w:val="003535D7"/>
    <w:rsid w:val="00353C02"/>
    <w:rsid w:val="00357544"/>
    <w:rsid w:val="00360293"/>
    <w:rsid w:val="00375749"/>
    <w:rsid w:val="00387B05"/>
    <w:rsid w:val="003916A7"/>
    <w:rsid w:val="00393625"/>
    <w:rsid w:val="003A775B"/>
    <w:rsid w:val="003B16E0"/>
    <w:rsid w:val="003C5D13"/>
    <w:rsid w:val="003C6FA0"/>
    <w:rsid w:val="003D0984"/>
    <w:rsid w:val="003D2395"/>
    <w:rsid w:val="003E5A9B"/>
    <w:rsid w:val="003F0A5D"/>
    <w:rsid w:val="003F17E1"/>
    <w:rsid w:val="00426F04"/>
    <w:rsid w:val="00445353"/>
    <w:rsid w:val="00460F48"/>
    <w:rsid w:val="0046524D"/>
    <w:rsid w:val="00492E38"/>
    <w:rsid w:val="00494A1F"/>
    <w:rsid w:val="00497917"/>
    <w:rsid w:val="004A1EB6"/>
    <w:rsid w:val="004C0481"/>
    <w:rsid w:val="004C5843"/>
    <w:rsid w:val="004D1F1A"/>
    <w:rsid w:val="004E1CF9"/>
    <w:rsid w:val="004E639F"/>
    <w:rsid w:val="005333AC"/>
    <w:rsid w:val="00543506"/>
    <w:rsid w:val="00553297"/>
    <w:rsid w:val="00580EFA"/>
    <w:rsid w:val="0058471A"/>
    <w:rsid w:val="005926F9"/>
    <w:rsid w:val="005964E4"/>
    <w:rsid w:val="005A36C1"/>
    <w:rsid w:val="005A3DC0"/>
    <w:rsid w:val="005A46EC"/>
    <w:rsid w:val="005B38B3"/>
    <w:rsid w:val="005B4BF6"/>
    <w:rsid w:val="005B77E6"/>
    <w:rsid w:val="005C4ABF"/>
    <w:rsid w:val="005C67D1"/>
    <w:rsid w:val="005D257D"/>
    <w:rsid w:val="005D379A"/>
    <w:rsid w:val="005D4C13"/>
    <w:rsid w:val="005E1E50"/>
    <w:rsid w:val="005E39B9"/>
    <w:rsid w:val="005F277C"/>
    <w:rsid w:val="005F7293"/>
    <w:rsid w:val="00622CC4"/>
    <w:rsid w:val="0062799C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036DC"/>
    <w:rsid w:val="00710320"/>
    <w:rsid w:val="00713180"/>
    <w:rsid w:val="00727D11"/>
    <w:rsid w:val="00734526"/>
    <w:rsid w:val="007358CA"/>
    <w:rsid w:val="00735A50"/>
    <w:rsid w:val="00742394"/>
    <w:rsid w:val="00751548"/>
    <w:rsid w:val="007556CA"/>
    <w:rsid w:val="00757A2B"/>
    <w:rsid w:val="00763D95"/>
    <w:rsid w:val="00766139"/>
    <w:rsid w:val="00783AA1"/>
    <w:rsid w:val="00784126"/>
    <w:rsid w:val="0078472B"/>
    <w:rsid w:val="00796678"/>
    <w:rsid w:val="007A09F2"/>
    <w:rsid w:val="007A76BD"/>
    <w:rsid w:val="007B1248"/>
    <w:rsid w:val="007B6AEA"/>
    <w:rsid w:val="007C57FF"/>
    <w:rsid w:val="007D1B2D"/>
    <w:rsid w:val="007E1E31"/>
    <w:rsid w:val="007E2E6C"/>
    <w:rsid w:val="007F0705"/>
    <w:rsid w:val="007F66DC"/>
    <w:rsid w:val="008051EB"/>
    <w:rsid w:val="00806025"/>
    <w:rsid w:val="00810AA0"/>
    <w:rsid w:val="00811A10"/>
    <w:rsid w:val="00813099"/>
    <w:rsid w:val="00813243"/>
    <w:rsid w:val="00813E34"/>
    <w:rsid w:val="00826B2F"/>
    <w:rsid w:val="00832C6E"/>
    <w:rsid w:val="00834E8A"/>
    <w:rsid w:val="008451B2"/>
    <w:rsid w:val="00855086"/>
    <w:rsid w:val="00856344"/>
    <w:rsid w:val="00863126"/>
    <w:rsid w:val="0086392E"/>
    <w:rsid w:val="008762B1"/>
    <w:rsid w:val="00882E29"/>
    <w:rsid w:val="00890541"/>
    <w:rsid w:val="008C2D20"/>
    <w:rsid w:val="008D475C"/>
    <w:rsid w:val="008D71C5"/>
    <w:rsid w:val="008F1999"/>
    <w:rsid w:val="008F35D6"/>
    <w:rsid w:val="008F77F6"/>
    <w:rsid w:val="0090277D"/>
    <w:rsid w:val="00911F8C"/>
    <w:rsid w:val="00925644"/>
    <w:rsid w:val="00925EA0"/>
    <w:rsid w:val="00926DD1"/>
    <w:rsid w:val="009271CD"/>
    <w:rsid w:val="00932DF2"/>
    <w:rsid w:val="00940EF6"/>
    <w:rsid w:val="009434A3"/>
    <w:rsid w:val="009434DB"/>
    <w:rsid w:val="00944E08"/>
    <w:rsid w:val="009704D2"/>
    <w:rsid w:val="00980E3E"/>
    <w:rsid w:val="009830E4"/>
    <w:rsid w:val="009870E8"/>
    <w:rsid w:val="009926F2"/>
    <w:rsid w:val="009B577B"/>
    <w:rsid w:val="009C0869"/>
    <w:rsid w:val="009D1AC6"/>
    <w:rsid w:val="009D6D4B"/>
    <w:rsid w:val="009E1C79"/>
    <w:rsid w:val="009F753F"/>
    <w:rsid w:val="00A11B06"/>
    <w:rsid w:val="00A220CF"/>
    <w:rsid w:val="00A3416C"/>
    <w:rsid w:val="00A51417"/>
    <w:rsid w:val="00A64E61"/>
    <w:rsid w:val="00A66952"/>
    <w:rsid w:val="00A6718F"/>
    <w:rsid w:val="00A72F76"/>
    <w:rsid w:val="00A754EB"/>
    <w:rsid w:val="00A805E4"/>
    <w:rsid w:val="00AA1350"/>
    <w:rsid w:val="00AA1B8F"/>
    <w:rsid w:val="00AA51BE"/>
    <w:rsid w:val="00AA6446"/>
    <w:rsid w:val="00AA7217"/>
    <w:rsid w:val="00AB734E"/>
    <w:rsid w:val="00AD7E5C"/>
    <w:rsid w:val="00AE53B7"/>
    <w:rsid w:val="00AE61A2"/>
    <w:rsid w:val="00AE7D40"/>
    <w:rsid w:val="00B02193"/>
    <w:rsid w:val="00B16359"/>
    <w:rsid w:val="00B178A3"/>
    <w:rsid w:val="00B30D57"/>
    <w:rsid w:val="00B40BB1"/>
    <w:rsid w:val="00B476E7"/>
    <w:rsid w:val="00B554E8"/>
    <w:rsid w:val="00B65A4C"/>
    <w:rsid w:val="00B70A52"/>
    <w:rsid w:val="00B70F04"/>
    <w:rsid w:val="00B75712"/>
    <w:rsid w:val="00B833E2"/>
    <w:rsid w:val="00BA148D"/>
    <w:rsid w:val="00BA79EA"/>
    <w:rsid w:val="00BB4115"/>
    <w:rsid w:val="00BC66E7"/>
    <w:rsid w:val="00BE75AB"/>
    <w:rsid w:val="00BF1C46"/>
    <w:rsid w:val="00C01E06"/>
    <w:rsid w:val="00C20639"/>
    <w:rsid w:val="00C31587"/>
    <w:rsid w:val="00C341FB"/>
    <w:rsid w:val="00C45CB1"/>
    <w:rsid w:val="00C623EE"/>
    <w:rsid w:val="00C720F5"/>
    <w:rsid w:val="00C7303D"/>
    <w:rsid w:val="00C75AE1"/>
    <w:rsid w:val="00C760D4"/>
    <w:rsid w:val="00C92F11"/>
    <w:rsid w:val="00CA4F05"/>
    <w:rsid w:val="00CC0B7D"/>
    <w:rsid w:val="00CC463E"/>
    <w:rsid w:val="00CD5D7A"/>
    <w:rsid w:val="00CE7925"/>
    <w:rsid w:val="00CF190B"/>
    <w:rsid w:val="00D01FEB"/>
    <w:rsid w:val="00D109B0"/>
    <w:rsid w:val="00D264FE"/>
    <w:rsid w:val="00D27C56"/>
    <w:rsid w:val="00D32B4C"/>
    <w:rsid w:val="00D42690"/>
    <w:rsid w:val="00D4395B"/>
    <w:rsid w:val="00D64AB8"/>
    <w:rsid w:val="00D8534E"/>
    <w:rsid w:val="00D930C1"/>
    <w:rsid w:val="00D94E77"/>
    <w:rsid w:val="00DA08B5"/>
    <w:rsid w:val="00DA1E2B"/>
    <w:rsid w:val="00DB3447"/>
    <w:rsid w:val="00DB730A"/>
    <w:rsid w:val="00DB7501"/>
    <w:rsid w:val="00DC5FE9"/>
    <w:rsid w:val="00DC7211"/>
    <w:rsid w:val="00DD1785"/>
    <w:rsid w:val="00DD4DFD"/>
    <w:rsid w:val="00DD7C8D"/>
    <w:rsid w:val="00DE43AD"/>
    <w:rsid w:val="00DF06AB"/>
    <w:rsid w:val="00DF1C58"/>
    <w:rsid w:val="00DF7050"/>
    <w:rsid w:val="00E13557"/>
    <w:rsid w:val="00E16778"/>
    <w:rsid w:val="00E21A89"/>
    <w:rsid w:val="00E21EF3"/>
    <w:rsid w:val="00E4153D"/>
    <w:rsid w:val="00E52D50"/>
    <w:rsid w:val="00E52DA0"/>
    <w:rsid w:val="00E877A2"/>
    <w:rsid w:val="00E910E2"/>
    <w:rsid w:val="00EA095A"/>
    <w:rsid w:val="00EB41B7"/>
    <w:rsid w:val="00EC17F8"/>
    <w:rsid w:val="00EC2EC0"/>
    <w:rsid w:val="00EC70A1"/>
    <w:rsid w:val="00ED03A3"/>
    <w:rsid w:val="00F01F87"/>
    <w:rsid w:val="00F165C8"/>
    <w:rsid w:val="00F16A3D"/>
    <w:rsid w:val="00F24D60"/>
    <w:rsid w:val="00F2506B"/>
    <w:rsid w:val="00F45272"/>
    <w:rsid w:val="00F460CB"/>
    <w:rsid w:val="00F46E2F"/>
    <w:rsid w:val="00F5110F"/>
    <w:rsid w:val="00F52BB1"/>
    <w:rsid w:val="00F56D24"/>
    <w:rsid w:val="00F570DF"/>
    <w:rsid w:val="00F600BE"/>
    <w:rsid w:val="00F620E6"/>
    <w:rsid w:val="00F72FCA"/>
    <w:rsid w:val="00F829B9"/>
    <w:rsid w:val="00F84F17"/>
    <w:rsid w:val="00F92E8B"/>
    <w:rsid w:val="00F930CE"/>
    <w:rsid w:val="00FB0A0A"/>
    <w:rsid w:val="00FC0439"/>
    <w:rsid w:val="00FD4CA8"/>
    <w:rsid w:val="00FD58EC"/>
    <w:rsid w:val="00FD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9A910E-FD4C-432F-9D73-11779B81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2506B"/>
    <w:rPr>
      <w:color w:val="0000FF" w:themeColor="hyperlink"/>
      <w:u w:val="single"/>
    </w:rPr>
  </w:style>
  <w:style w:type="character" w:styleId="Siln">
    <w:name w:val="Strong"/>
    <w:uiPriority w:val="22"/>
    <w:qFormat/>
    <w:rsid w:val="00DE43AD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86392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D041F-771F-4B9D-B923-85815DD70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422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13</cp:revision>
  <cp:lastPrinted>2019-02-07T12:43:00Z</cp:lastPrinted>
  <dcterms:created xsi:type="dcterms:W3CDTF">2023-11-06T08:17:00Z</dcterms:created>
  <dcterms:modified xsi:type="dcterms:W3CDTF">2023-11-27T08:30:00Z</dcterms:modified>
</cp:coreProperties>
</file>