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370F" w:rsidRDefault="005F2E4B" w:rsidP="00B36C42">
      <w:pPr>
        <w:tabs>
          <w:tab w:val="left" w:pos="3493"/>
          <w:tab w:val="center" w:pos="4536"/>
        </w:tabs>
        <w:rPr>
          <w:rFonts w:ascii="Arial" w:hAnsi="Arial" w:cs="Arial"/>
          <w:b/>
          <w:color w:val="0070C0"/>
        </w:rPr>
      </w:pPr>
      <w:r w:rsidRPr="00072BCD">
        <w:rPr>
          <w:rFonts w:ascii="Arial" w:hAnsi="Arial" w:cs="Arial"/>
          <w:b/>
          <w:color w:val="0070C0"/>
        </w:rPr>
        <w:t>Návrh stanoviska</w:t>
      </w:r>
      <w:r w:rsidR="00B36C42">
        <w:rPr>
          <w:rFonts w:ascii="Arial" w:hAnsi="Arial" w:cs="Arial"/>
          <w:b/>
          <w:color w:val="0070C0"/>
        </w:rPr>
        <w:t xml:space="preserve"> </w:t>
      </w:r>
      <w:r w:rsidR="00D34CFA" w:rsidRPr="00072BCD">
        <w:rPr>
          <w:rFonts w:ascii="Arial" w:hAnsi="Arial" w:cs="Arial"/>
          <w:b/>
          <w:color w:val="0070C0"/>
        </w:rPr>
        <w:t xml:space="preserve">Rady </w:t>
      </w:r>
      <w:r w:rsidR="005C0139" w:rsidRPr="00072BCD">
        <w:rPr>
          <w:rFonts w:ascii="Arial" w:hAnsi="Arial" w:cs="Arial"/>
          <w:b/>
          <w:color w:val="0070C0"/>
        </w:rPr>
        <w:t>pro</w:t>
      </w:r>
      <w:r w:rsidR="00F8101A" w:rsidRPr="00072BCD">
        <w:rPr>
          <w:rFonts w:ascii="Arial" w:hAnsi="Arial" w:cs="Arial"/>
          <w:b/>
          <w:color w:val="0070C0"/>
        </w:rPr>
        <w:t xml:space="preserve"> výzkum, vývoj a inovace </w:t>
      </w:r>
      <w:r w:rsidR="00110A97" w:rsidRPr="00072BCD">
        <w:rPr>
          <w:rFonts w:ascii="Arial" w:hAnsi="Arial" w:cs="Arial"/>
          <w:b/>
          <w:color w:val="0070C0"/>
        </w:rPr>
        <w:t>k</w:t>
      </w:r>
      <w:r w:rsidR="00B36C42">
        <w:rPr>
          <w:rFonts w:ascii="Arial" w:hAnsi="Arial" w:cs="Arial"/>
          <w:b/>
          <w:color w:val="0070C0"/>
        </w:rPr>
        <w:t> materiálům</w:t>
      </w:r>
      <w:r w:rsidR="001F7CF5" w:rsidRPr="00072BCD">
        <w:rPr>
          <w:rFonts w:ascii="Arial" w:hAnsi="Arial" w:cs="Arial"/>
          <w:b/>
          <w:color w:val="0070C0"/>
        </w:rPr>
        <w:t xml:space="preserve"> </w:t>
      </w:r>
      <w:r w:rsidR="00B36C42" w:rsidRPr="00B36C42">
        <w:rPr>
          <w:rFonts w:ascii="Arial" w:hAnsi="Arial" w:cs="Arial"/>
          <w:b/>
          <w:color w:val="0070C0"/>
        </w:rPr>
        <w:t xml:space="preserve">Metodický rámec mezinárodního hodnocení velkých </w:t>
      </w:r>
      <w:r w:rsidR="00B36C42">
        <w:rPr>
          <w:rFonts w:ascii="Arial" w:hAnsi="Arial" w:cs="Arial"/>
          <w:b/>
          <w:color w:val="0070C0"/>
        </w:rPr>
        <w:t xml:space="preserve">výzkumných infrastruktur </w:t>
      </w:r>
      <w:r w:rsidR="00767AF8">
        <w:rPr>
          <w:rFonts w:ascii="Arial" w:hAnsi="Arial" w:cs="Arial"/>
          <w:b/>
          <w:color w:val="0070C0"/>
        </w:rPr>
        <w:br/>
      </w:r>
      <w:r w:rsidR="00B36C42">
        <w:rPr>
          <w:rFonts w:ascii="Arial" w:hAnsi="Arial" w:cs="Arial"/>
          <w:b/>
          <w:color w:val="0070C0"/>
        </w:rPr>
        <w:t xml:space="preserve">a </w:t>
      </w:r>
      <w:r w:rsidR="00B36C42" w:rsidRPr="00B36C42">
        <w:rPr>
          <w:rFonts w:ascii="Arial" w:hAnsi="Arial" w:cs="Arial"/>
          <w:b/>
          <w:color w:val="0070C0"/>
        </w:rPr>
        <w:t>Metodické postupy pro posuzování socioekonomických dopadů velkých výzkumných infrastruktur ČR</w:t>
      </w:r>
    </w:p>
    <w:p w:rsidR="00B36C42" w:rsidRPr="00B36C42" w:rsidRDefault="00B36C42" w:rsidP="00B36C42">
      <w:pPr>
        <w:rPr>
          <w:rFonts w:ascii="Arial" w:hAnsi="Arial" w:cs="Arial"/>
          <w:b/>
          <w:color w:val="0070C0"/>
        </w:rPr>
      </w:pPr>
    </w:p>
    <w:p w:rsidR="00D34CFA" w:rsidRPr="00072BCD" w:rsidRDefault="00B36B15" w:rsidP="00B36B15">
      <w:pPr>
        <w:pStyle w:val="Odstavecseseznamem"/>
        <w:numPr>
          <w:ilvl w:val="0"/>
          <w:numId w:val="3"/>
        </w:numPr>
        <w:spacing w:after="240"/>
        <w:ind w:left="567" w:hanging="567"/>
        <w:jc w:val="both"/>
        <w:rPr>
          <w:rFonts w:ascii="Arial" w:hAnsi="Arial" w:cs="Arial"/>
        </w:rPr>
      </w:pPr>
      <w:r w:rsidRPr="00072BCD">
        <w:rPr>
          <w:rFonts w:ascii="Arial" w:hAnsi="Arial" w:cs="Arial"/>
          <w:b/>
          <w:color w:val="0070C0"/>
        </w:rPr>
        <w:t>Způsob předložení materiálu</w:t>
      </w:r>
    </w:p>
    <w:p w:rsidR="00A32DC9" w:rsidRPr="00A32DC9" w:rsidRDefault="00A32DC9" w:rsidP="00A32DC9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A32DC9">
        <w:rPr>
          <w:rFonts w:ascii="Arial" w:hAnsi="Arial" w:cs="Arial"/>
        </w:rPr>
        <w:t>Dne 14. 12. 2022 vláda svým usnesením č. 1043, o návrzích velkých výzkumných infrastruktur ke schválení poskytování účelové podpory v letech 2023–2026, v bodu II. 1. c) uložila ministru školství, mládeže a tělovýchovy:</w:t>
      </w:r>
      <w:r>
        <w:rPr>
          <w:rFonts w:ascii="Arial" w:hAnsi="Arial" w:cs="Arial"/>
        </w:rPr>
        <w:t xml:space="preserve"> </w:t>
      </w:r>
    </w:p>
    <w:p w:rsidR="00A32DC9" w:rsidRDefault="00A32DC9" w:rsidP="00A32DC9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A32DC9">
        <w:rPr>
          <w:rFonts w:ascii="Arial" w:hAnsi="Arial" w:cs="Arial"/>
        </w:rPr>
        <w:t>„c) vypracovat aktualizaci metodického rámce pro mezinárodní hodnocení velkých výzkumných infrastruktur tak, aby nově zahrnoval rovněž nástroje pro pokročilé vyhodnocení výsledků výzkumu, vývoje a inovací dosažených velkými výzkumnými infrastrukturami a jejich uživateli v režimu otevřeného přístupu na principu sběru dat z Informačního systému výzkumu, vývoje a inovací, a zohlednit v něm dále také nástroje pro pokročilé vyhodnocení socioekonomických přínosů a dopadů velkých výzkumných infrastruktur a předložit takto aktualizovaný metodický rámec ke stanovisku Radě pro výzkum, vývoj a inovace, a to nejpozději do 31. října 2023,“.</w:t>
      </w:r>
    </w:p>
    <w:p w:rsidR="00C843ED" w:rsidRDefault="00194611" w:rsidP="00BE2C43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072BCD">
        <w:rPr>
          <w:rFonts w:ascii="Arial" w:hAnsi="Arial" w:cs="Arial"/>
        </w:rPr>
        <w:t xml:space="preserve">Materiál </w:t>
      </w:r>
      <w:r w:rsidR="00347645">
        <w:rPr>
          <w:rFonts w:ascii="Arial" w:hAnsi="Arial" w:cs="Arial"/>
        </w:rPr>
        <w:t>Metodický rámec mezinárodního hodnocení velkých výzkumných infrastruktur spolu s</w:t>
      </w:r>
      <w:r w:rsidR="00C843ED">
        <w:rPr>
          <w:rFonts w:ascii="Arial" w:hAnsi="Arial" w:cs="Arial"/>
        </w:rPr>
        <w:t> </w:t>
      </w:r>
      <w:r w:rsidR="00E50F5F">
        <w:rPr>
          <w:rFonts w:ascii="Arial" w:hAnsi="Arial" w:cs="Arial"/>
        </w:rPr>
        <w:t>analýzou</w:t>
      </w:r>
      <w:r w:rsidR="00C843ED">
        <w:rPr>
          <w:rFonts w:ascii="Arial" w:hAnsi="Arial" w:cs="Arial"/>
        </w:rPr>
        <w:t xml:space="preserve"> Metodické postupy</w:t>
      </w:r>
      <w:r w:rsidR="00C843ED" w:rsidRPr="00C843ED">
        <w:t xml:space="preserve"> </w:t>
      </w:r>
      <w:r w:rsidR="00C843ED" w:rsidRPr="00C843ED">
        <w:rPr>
          <w:rFonts w:ascii="Arial" w:hAnsi="Arial" w:cs="Arial"/>
        </w:rPr>
        <w:t>pro posuzování socioekonomických dopadů velkých výzkumných infrastruktur ČR</w:t>
      </w:r>
      <w:r w:rsidR="00C843ED">
        <w:rPr>
          <w:rFonts w:ascii="Arial" w:hAnsi="Arial" w:cs="Arial"/>
        </w:rPr>
        <w:t xml:space="preserve"> (dále jen VVI)</w:t>
      </w:r>
      <w:r w:rsidR="00C843ED" w:rsidRPr="00C843ED">
        <w:rPr>
          <w:rFonts w:ascii="Arial" w:hAnsi="Arial" w:cs="Arial"/>
        </w:rPr>
        <w:t xml:space="preserve"> </w:t>
      </w:r>
      <w:r w:rsidR="00347645">
        <w:rPr>
          <w:rFonts w:ascii="Arial" w:hAnsi="Arial" w:cs="Arial"/>
        </w:rPr>
        <w:t>byl</w:t>
      </w:r>
      <w:r w:rsidR="00C843ED">
        <w:rPr>
          <w:rFonts w:ascii="Arial" w:hAnsi="Arial" w:cs="Arial"/>
        </w:rPr>
        <w:t xml:space="preserve"> zaslán</w:t>
      </w:r>
      <w:r w:rsidR="00347645">
        <w:rPr>
          <w:rFonts w:ascii="Arial" w:hAnsi="Arial" w:cs="Arial"/>
        </w:rPr>
        <w:t xml:space="preserve"> </w:t>
      </w:r>
      <w:r w:rsidR="00E50F5F">
        <w:rPr>
          <w:rFonts w:ascii="Arial" w:hAnsi="Arial" w:cs="Arial"/>
        </w:rPr>
        <w:t>n</w:t>
      </w:r>
      <w:r w:rsidR="00E50F5F" w:rsidRPr="00347645">
        <w:rPr>
          <w:rFonts w:ascii="Arial" w:hAnsi="Arial" w:cs="Arial"/>
        </w:rPr>
        <w:t>áměstko</w:t>
      </w:r>
      <w:r w:rsidR="00E50F5F">
        <w:rPr>
          <w:rFonts w:ascii="Arial" w:hAnsi="Arial" w:cs="Arial"/>
        </w:rPr>
        <w:t>vi</w:t>
      </w:r>
      <w:r w:rsidR="00347645" w:rsidRPr="00347645">
        <w:rPr>
          <w:rFonts w:ascii="Arial" w:hAnsi="Arial" w:cs="Arial"/>
        </w:rPr>
        <w:t xml:space="preserve"> ministryně pro vědu, výzkum a inovace </w:t>
      </w:r>
      <w:r w:rsidR="00347645">
        <w:rPr>
          <w:rFonts w:ascii="Arial" w:hAnsi="Arial" w:cs="Arial"/>
        </w:rPr>
        <w:t xml:space="preserve">a vrchní ředitelce </w:t>
      </w:r>
      <w:r w:rsidR="00347645" w:rsidRPr="00347645">
        <w:rPr>
          <w:rFonts w:ascii="Arial" w:hAnsi="Arial" w:cs="Arial"/>
        </w:rPr>
        <w:t>Sekce pro vědu, výzkum a inovace</w:t>
      </w:r>
      <w:r w:rsidR="00347645">
        <w:rPr>
          <w:rFonts w:ascii="Arial" w:hAnsi="Arial" w:cs="Arial"/>
        </w:rPr>
        <w:t xml:space="preserve"> mailem dne 17. ledna 2024. </w:t>
      </w:r>
    </w:p>
    <w:p w:rsidR="00BE2C43" w:rsidRPr="00072BCD" w:rsidRDefault="00347645" w:rsidP="00A32DC9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 dohodě mezi MŠMT a zástupci Úřadu vlády ČR (dále jen ÚV ČR) </w:t>
      </w:r>
      <w:r w:rsidRPr="00347645">
        <w:rPr>
          <w:rFonts w:ascii="Arial" w:hAnsi="Arial" w:cs="Arial"/>
        </w:rPr>
        <w:t>byla obnovena a</w:t>
      </w:r>
      <w:r w:rsidR="007A5409">
        <w:rPr>
          <w:rFonts w:ascii="Arial" w:hAnsi="Arial" w:cs="Arial"/>
        </w:rPr>
        <w:t> </w:t>
      </w:r>
      <w:r w:rsidRPr="00347645">
        <w:rPr>
          <w:rFonts w:ascii="Arial" w:hAnsi="Arial" w:cs="Arial"/>
        </w:rPr>
        <w:t>svolána platforma</w:t>
      </w:r>
      <w:r>
        <w:rPr>
          <w:rFonts w:ascii="Arial" w:hAnsi="Arial" w:cs="Arial"/>
        </w:rPr>
        <w:t>,</w:t>
      </w:r>
      <w:r w:rsidRPr="00347645">
        <w:rPr>
          <w:rFonts w:ascii="Arial" w:hAnsi="Arial" w:cs="Arial"/>
        </w:rPr>
        <w:t xml:space="preserve"> v rámci které byl materiál řešen a v rámci které bude průběžně vedena diskuse nad agendou velkých výzkumných infrastruktur. Platformu koordinuje za </w:t>
      </w:r>
      <w:r>
        <w:rPr>
          <w:rFonts w:ascii="Arial" w:hAnsi="Arial" w:cs="Arial"/>
        </w:rPr>
        <w:t>Ministerstvo školství, mládež</w:t>
      </w:r>
      <w:r w:rsidR="007A5409">
        <w:rPr>
          <w:rFonts w:ascii="Arial" w:hAnsi="Arial" w:cs="Arial"/>
        </w:rPr>
        <w:t>e a tělovýchovy (dále jen MŠMT)</w:t>
      </w:r>
      <w:r w:rsidRPr="00347645">
        <w:rPr>
          <w:rFonts w:ascii="Arial" w:hAnsi="Arial" w:cs="Arial"/>
        </w:rPr>
        <w:t xml:space="preserve"> náměstek J</w:t>
      </w:r>
      <w:r>
        <w:rPr>
          <w:rFonts w:ascii="Arial" w:hAnsi="Arial" w:cs="Arial"/>
        </w:rPr>
        <w:t>iří</w:t>
      </w:r>
      <w:r w:rsidR="00E50F5F">
        <w:rPr>
          <w:rFonts w:ascii="Arial" w:hAnsi="Arial" w:cs="Arial"/>
        </w:rPr>
        <w:t xml:space="preserve"> </w:t>
      </w:r>
      <w:proofErr w:type="spellStart"/>
      <w:r w:rsidRPr="00347645">
        <w:rPr>
          <w:rFonts w:ascii="Arial" w:hAnsi="Arial" w:cs="Arial"/>
        </w:rPr>
        <w:t>Nantl</w:t>
      </w:r>
      <w:proofErr w:type="spellEnd"/>
      <w:r w:rsidRPr="00347645">
        <w:rPr>
          <w:rFonts w:ascii="Arial" w:hAnsi="Arial" w:cs="Arial"/>
        </w:rPr>
        <w:t>, za ÚV</w:t>
      </w:r>
      <w:r>
        <w:rPr>
          <w:rFonts w:ascii="Arial" w:hAnsi="Arial" w:cs="Arial"/>
        </w:rPr>
        <w:t xml:space="preserve"> ČR</w:t>
      </w:r>
      <w:r w:rsidRPr="00347645">
        <w:rPr>
          <w:rFonts w:ascii="Arial" w:hAnsi="Arial" w:cs="Arial"/>
        </w:rPr>
        <w:t xml:space="preserve"> se účastní náměstek P</w:t>
      </w:r>
      <w:r>
        <w:rPr>
          <w:rFonts w:ascii="Arial" w:hAnsi="Arial" w:cs="Arial"/>
        </w:rPr>
        <w:t>avel</w:t>
      </w:r>
      <w:r w:rsidRPr="00347645">
        <w:rPr>
          <w:rFonts w:ascii="Arial" w:hAnsi="Arial" w:cs="Arial"/>
        </w:rPr>
        <w:t xml:space="preserve"> Doleček a za </w:t>
      </w:r>
      <w:r>
        <w:rPr>
          <w:rFonts w:ascii="Arial" w:hAnsi="Arial" w:cs="Arial"/>
        </w:rPr>
        <w:t>Radu pro výzkum, vývoj a inovace (dále jen Rada)</w:t>
      </w:r>
      <w:r w:rsidRPr="0034764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se účastní </w:t>
      </w:r>
      <w:r w:rsidRPr="00347645">
        <w:rPr>
          <w:rFonts w:ascii="Arial" w:hAnsi="Arial" w:cs="Arial"/>
        </w:rPr>
        <w:t>zpravodajové M</w:t>
      </w:r>
      <w:r>
        <w:rPr>
          <w:rFonts w:ascii="Arial" w:hAnsi="Arial" w:cs="Arial"/>
        </w:rPr>
        <w:t>arián</w:t>
      </w:r>
      <w:r w:rsidRPr="00347645">
        <w:rPr>
          <w:rFonts w:ascii="Arial" w:hAnsi="Arial" w:cs="Arial"/>
        </w:rPr>
        <w:t xml:space="preserve"> Hajduch a J</w:t>
      </w:r>
      <w:r>
        <w:rPr>
          <w:rFonts w:ascii="Arial" w:hAnsi="Arial" w:cs="Arial"/>
        </w:rPr>
        <w:t>iří</w:t>
      </w:r>
      <w:r w:rsidRPr="00347645">
        <w:rPr>
          <w:rFonts w:ascii="Arial" w:hAnsi="Arial" w:cs="Arial"/>
        </w:rPr>
        <w:t xml:space="preserve"> Holoubek a předseda KHV/místopředseda </w:t>
      </w:r>
      <w:r>
        <w:rPr>
          <w:rFonts w:ascii="Arial" w:hAnsi="Arial" w:cs="Arial"/>
        </w:rPr>
        <w:t>R</w:t>
      </w:r>
      <w:r w:rsidR="00E50F5F">
        <w:rPr>
          <w:rFonts w:ascii="Arial" w:hAnsi="Arial" w:cs="Arial"/>
        </w:rPr>
        <w:t>a</w:t>
      </w:r>
      <w:r>
        <w:rPr>
          <w:rFonts w:ascii="Arial" w:hAnsi="Arial" w:cs="Arial"/>
        </w:rPr>
        <w:t>dy</w:t>
      </w:r>
      <w:r w:rsidRPr="00347645">
        <w:rPr>
          <w:rFonts w:ascii="Arial" w:hAnsi="Arial" w:cs="Arial"/>
        </w:rPr>
        <w:t xml:space="preserve"> T</w:t>
      </w:r>
      <w:r>
        <w:rPr>
          <w:rFonts w:ascii="Arial" w:hAnsi="Arial" w:cs="Arial"/>
        </w:rPr>
        <w:t>omáš</w:t>
      </w:r>
      <w:r w:rsidRPr="00347645">
        <w:rPr>
          <w:rFonts w:ascii="Arial" w:hAnsi="Arial" w:cs="Arial"/>
        </w:rPr>
        <w:t xml:space="preserve"> Polívka</w:t>
      </w:r>
      <w:r>
        <w:rPr>
          <w:rFonts w:ascii="Arial" w:hAnsi="Arial" w:cs="Arial"/>
        </w:rPr>
        <w:t>.</w:t>
      </w:r>
    </w:p>
    <w:p w:rsidR="00B36B15" w:rsidRPr="00072BCD" w:rsidRDefault="00B36B15" w:rsidP="00D477A6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</w:p>
    <w:p w:rsidR="00D34CFA" w:rsidRPr="00072BCD" w:rsidRDefault="00D34CFA" w:rsidP="00B36B15">
      <w:pPr>
        <w:pStyle w:val="Odstavecseseznamem"/>
        <w:numPr>
          <w:ilvl w:val="0"/>
          <w:numId w:val="3"/>
        </w:numPr>
        <w:spacing w:after="240"/>
        <w:ind w:left="567" w:hanging="567"/>
        <w:jc w:val="both"/>
        <w:rPr>
          <w:rFonts w:ascii="Arial" w:hAnsi="Arial" w:cs="Arial"/>
          <w:b/>
          <w:color w:val="0070C0"/>
        </w:rPr>
      </w:pPr>
      <w:r w:rsidRPr="00072BCD">
        <w:rPr>
          <w:rFonts w:ascii="Arial" w:hAnsi="Arial" w:cs="Arial"/>
          <w:b/>
          <w:color w:val="0070C0"/>
        </w:rPr>
        <w:t>K</w:t>
      </w:r>
      <w:r w:rsidR="00347645">
        <w:rPr>
          <w:rFonts w:ascii="Arial" w:hAnsi="Arial" w:cs="Arial"/>
          <w:b/>
          <w:color w:val="0070C0"/>
        </w:rPr>
        <w:t> </w:t>
      </w:r>
      <w:r w:rsidRPr="00072BCD">
        <w:rPr>
          <w:rFonts w:ascii="Arial" w:hAnsi="Arial" w:cs="Arial"/>
          <w:b/>
          <w:color w:val="0070C0"/>
        </w:rPr>
        <w:t>předložen</w:t>
      </w:r>
      <w:r w:rsidR="00347645">
        <w:rPr>
          <w:rFonts w:ascii="Arial" w:hAnsi="Arial" w:cs="Arial"/>
          <w:b/>
          <w:color w:val="0070C0"/>
        </w:rPr>
        <w:t>ým dokumentům</w:t>
      </w:r>
    </w:p>
    <w:p w:rsidR="00C843ED" w:rsidRDefault="00C843ED" w:rsidP="00347645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M</w:t>
      </w:r>
      <w:r w:rsidR="00347645" w:rsidRPr="00347645">
        <w:rPr>
          <w:rFonts w:ascii="Arial" w:hAnsi="Arial" w:cs="Arial"/>
          <w:bCs/>
        </w:rPr>
        <w:t xml:space="preserve">etodický rámec mezinárodního hodnocení </w:t>
      </w:r>
      <w:r>
        <w:rPr>
          <w:rFonts w:ascii="Arial" w:hAnsi="Arial" w:cs="Arial"/>
          <w:bCs/>
        </w:rPr>
        <w:t xml:space="preserve">velkých výzkumných </w:t>
      </w:r>
      <w:r w:rsidR="00E50F5F">
        <w:rPr>
          <w:rFonts w:ascii="Arial" w:hAnsi="Arial" w:cs="Arial"/>
          <w:bCs/>
        </w:rPr>
        <w:t>infrastruktur</w:t>
      </w:r>
      <w:r>
        <w:rPr>
          <w:rFonts w:ascii="Arial" w:hAnsi="Arial" w:cs="Arial"/>
          <w:bCs/>
        </w:rPr>
        <w:t xml:space="preserve"> popisuje proces hodnocení </w:t>
      </w:r>
      <w:r w:rsidR="00E50F5F">
        <w:rPr>
          <w:rFonts w:ascii="Arial" w:hAnsi="Arial" w:cs="Arial"/>
          <w:bCs/>
        </w:rPr>
        <w:t>mezinárodního</w:t>
      </w:r>
      <w:r>
        <w:rPr>
          <w:rFonts w:ascii="Arial" w:hAnsi="Arial" w:cs="Arial"/>
          <w:bCs/>
        </w:rPr>
        <w:t xml:space="preserve"> peer-</w:t>
      </w:r>
      <w:proofErr w:type="spellStart"/>
      <w:r>
        <w:rPr>
          <w:rFonts w:ascii="Arial" w:hAnsi="Arial" w:cs="Arial"/>
          <w:bCs/>
        </w:rPr>
        <w:t>review</w:t>
      </w:r>
      <w:proofErr w:type="spellEnd"/>
      <w:r>
        <w:rPr>
          <w:rFonts w:ascii="Arial" w:hAnsi="Arial" w:cs="Arial"/>
          <w:bCs/>
        </w:rPr>
        <w:t xml:space="preserve"> hodnocení velkých výzkumných infrastruktur a představuje aktualizace tohoto procesu.</w:t>
      </w:r>
    </w:p>
    <w:p w:rsidR="00C843ED" w:rsidRDefault="00E50F5F" w:rsidP="00347645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Aktualizacemi</w:t>
      </w:r>
      <w:r w:rsidR="00C843ED">
        <w:rPr>
          <w:rFonts w:ascii="Arial" w:hAnsi="Arial" w:cs="Arial"/>
          <w:bCs/>
        </w:rPr>
        <w:t xml:space="preserve"> v procesu hodnocení jsou:</w:t>
      </w:r>
    </w:p>
    <w:p w:rsidR="00313916" w:rsidRDefault="00313916" w:rsidP="00347645">
      <w:pPr>
        <w:jc w:val="both"/>
        <w:rPr>
          <w:rFonts w:ascii="Arial" w:hAnsi="Arial" w:cs="Arial"/>
          <w:bCs/>
        </w:rPr>
      </w:pPr>
    </w:p>
    <w:p w:rsidR="00420E83" w:rsidRDefault="00C843ED" w:rsidP="00347645">
      <w:pPr>
        <w:jc w:val="both"/>
        <w:rPr>
          <w:rFonts w:ascii="Arial" w:hAnsi="Arial" w:cs="Arial"/>
          <w:bCs/>
        </w:rPr>
      </w:pPr>
      <w:proofErr w:type="spellStart"/>
      <w:r w:rsidRPr="00420E83">
        <w:rPr>
          <w:rFonts w:ascii="Arial" w:hAnsi="Arial" w:cs="Arial"/>
          <w:bCs/>
          <w:u w:val="single"/>
        </w:rPr>
        <w:t>Bibliometrie</w:t>
      </w:r>
      <w:proofErr w:type="spellEnd"/>
      <w:r w:rsidRPr="00420E83">
        <w:rPr>
          <w:rFonts w:ascii="Arial" w:hAnsi="Arial" w:cs="Arial"/>
          <w:bCs/>
          <w:u w:val="single"/>
        </w:rPr>
        <w:t xml:space="preserve"> výsledků:</w:t>
      </w:r>
      <w:r>
        <w:rPr>
          <w:rFonts w:ascii="Arial" w:hAnsi="Arial" w:cs="Arial"/>
          <w:bCs/>
        </w:rPr>
        <w:t xml:space="preserve"> </w:t>
      </w:r>
    </w:p>
    <w:p w:rsidR="00C843ED" w:rsidRDefault="00C843ED" w:rsidP="00347645">
      <w:pPr>
        <w:jc w:val="both"/>
        <w:rPr>
          <w:rFonts w:ascii="Arial" w:hAnsi="Arial" w:cs="Arial"/>
          <w:bCs/>
        </w:rPr>
      </w:pPr>
      <w:r w:rsidRPr="00C843ED">
        <w:rPr>
          <w:rFonts w:ascii="Arial" w:hAnsi="Arial" w:cs="Arial"/>
          <w:bCs/>
        </w:rPr>
        <w:t>Od roku 2020 byla zavedena povinnost do Rejstříku informací o výsledcích</w:t>
      </w:r>
      <w:r>
        <w:rPr>
          <w:rFonts w:ascii="Arial" w:hAnsi="Arial" w:cs="Arial"/>
          <w:bCs/>
        </w:rPr>
        <w:t xml:space="preserve"> (dále jen RIV)</w:t>
      </w:r>
      <w:r w:rsidRPr="00C843ED">
        <w:rPr>
          <w:rFonts w:ascii="Arial" w:hAnsi="Arial" w:cs="Arial"/>
          <w:bCs/>
        </w:rPr>
        <w:t xml:space="preserve"> uvádět k evidovaným výsledkům případné využití velké výzkumné infrastruktury, což umožňuje lépe sledovat výsledky uživatelů VVI. S ohledem na to, že smyslem existence VVI není produkovat vlastní výsledky, ale sloužit uživatelům k tvorbě jejich výsledků, umožní využití informací z RIV lepší monitoring výkonu VVI z hlediska uživatelského. Byť dosud nebyly vyřešeny všechny obtíže spojené se zavedením evidence uživatelských výsledků (zejména zahraničních uživatelů, kteří nemají povinnost evidovat své výsledky v RIV), lze očekávat, že pro příští hodnocení bude již </w:t>
      </w:r>
      <w:r w:rsidRPr="00C843ED">
        <w:rPr>
          <w:rFonts w:ascii="Arial" w:hAnsi="Arial" w:cs="Arial"/>
          <w:bCs/>
        </w:rPr>
        <w:lastRenderedPageBreak/>
        <w:t>báze evidovaných výsledků dostatečně robustní k využití jejich analýzy pro hodnocení.</w:t>
      </w:r>
      <w:r>
        <w:rPr>
          <w:rFonts w:ascii="Arial" w:hAnsi="Arial" w:cs="Arial"/>
          <w:bCs/>
        </w:rPr>
        <w:t xml:space="preserve"> </w:t>
      </w:r>
      <w:proofErr w:type="spellStart"/>
      <w:r w:rsidR="00420E83">
        <w:rPr>
          <w:rFonts w:ascii="Arial" w:hAnsi="Arial" w:cs="Arial"/>
          <w:bCs/>
        </w:rPr>
        <w:t>B</w:t>
      </w:r>
      <w:r w:rsidRPr="00C843ED">
        <w:rPr>
          <w:rFonts w:ascii="Arial" w:hAnsi="Arial" w:cs="Arial"/>
          <w:bCs/>
        </w:rPr>
        <w:t>ibliometrická</w:t>
      </w:r>
      <w:proofErr w:type="spellEnd"/>
      <w:r w:rsidRPr="00C843ED">
        <w:rPr>
          <w:rFonts w:ascii="Arial" w:hAnsi="Arial" w:cs="Arial"/>
          <w:bCs/>
        </w:rPr>
        <w:t xml:space="preserve"> část</w:t>
      </w:r>
      <w:r w:rsidR="00420E83">
        <w:rPr>
          <w:rFonts w:ascii="Arial" w:hAnsi="Arial" w:cs="Arial"/>
          <w:bCs/>
        </w:rPr>
        <w:t xml:space="preserve"> bude zařazena </w:t>
      </w:r>
      <w:r w:rsidRPr="00C843ED">
        <w:rPr>
          <w:rFonts w:ascii="Arial" w:hAnsi="Arial" w:cs="Arial"/>
          <w:bCs/>
        </w:rPr>
        <w:t xml:space="preserve">do hodnocení, jako rozšíření bodu 11 (Využití kapacity a vědecké výsledky). </w:t>
      </w:r>
    </w:p>
    <w:p w:rsidR="00313916" w:rsidRDefault="00313916" w:rsidP="00347645">
      <w:pPr>
        <w:jc w:val="both"/>
        <w:rPr>
          <w:rFonts w:ascii="Arial" w:hAnsi="Arial" w:cs="Arial"/>
          <w:bCs/>
        </w:rPr>
      </w:pPr>
    </w:p>
    <w:p w:rsidR="00420E83" w:rsidRPr="00420E83" w:rsidRDefault="00420E83" w:rsidP="00420E83">
      <w:pPr>
        <w:jc w:val="both"/>
        <w:rPr>
          <w:rFonts w:ascii="Arial" w:hAnsi="Arial" w:cs="Arial"/>
          <w:bCs/>
          <w:u w:val="single"/>
        </w:rPr>
      </w:pPr>
      <w:r w:rsidRPr="00420E83">
        <w:rPr>
          <w:rFonts w:ascii="Arial" w:hAnsi="Arial" w:cs="Arial"/>
          <w:bCs/>
          <w:u w:val="single"/>
        </w:rPr>
        <w:t>Socioekonomické přínosy a dopady:</w:t>
      </w:r>
    </w:p>
    <w:p w:rsidR="00420E83" w:rsidRPr="00420E83" w:rsidRDefault="00420E83" w:rsidP="00420E83">
      <w:pPr>
        <w:jc w:val="both"/>
        <w:rPr>
          <w:rFonts w:ascii="Arial" w:hAnsi="Arial" w:cs="Arial"/>
          <w:bCs/>
        </w:rPr>
      </w:pPr>
      <w:r w:rsidRPr="00420E83">
        <w:rPr>
          <w:rFonts w:ascii="Arial" w:hAnsi="Arial" w:cs="Arial"/>
          <w:bCs/>
        </w:rPr>
        <w:t>Hodnocení socioekonomických přínosů je zavedeno již v současné podobě metodiky</w:t>
      </w:r>
      <w:r w:rsidR="00E50F5F">
        <w:rPr>
          <w:rFonts w:ascii="Arial" w:hAnsi="Arial" w:cs="Arial"/>
          <w:bCs/>
        </w:rPr>
        <w:t>,</w:t>
      </w:r>
      <w:r w:rsidRPr="00420E83">
        <w:rPr>
          <w:rFonts w:ascii="Arial" w:hAnsi="Arial" w:cs="Arial"/>
          <w:bCs/>
        </w:rPr>
        <w:t xml:space="preserve"> nicméně samotný termín socioekonomických přínosů a dopadů není ani v odborné literatuře ani v evaluační praxi jednoznačně definován, což s sebou přináší rozdílné pochopení termínu jak ze strany předkladatelů hodnotících formulářů, tak i samotných hodnotících panelů a další článků projednávajících výsledky hodnocení. Z toho důvodu byla v rámci projektu STRATIN+ provedena studie k metodickým postupům pro posuzování socioekonomických dopadů VVI v ČR. Ta navrhuje následující definici:</w:t>
      </w:r>
    </w:p>
    <w:p w:rsidR="00420E83" w:rsidRPr="00420E83" w:rsidRDefault="00420E83" w:rsidP="00420E83">
      <w:pPr>
        <w:jc w:val="both"/>
        <w:rPr>
          <w:rFonts w:ascii="Arial" w:hAnsi="Arial" w:cs="Arial"/>
          <w:bCs/>
        </w:rPr>
      </w:pPr>
      <w:r w:rsidRPr="00420E83">
        <w:rPr>
          <w:rFonts w:ascii="Arial" w:hAnsi="Arial" w:cs="Arial"/>
          <w:bCs/>
        </w:rPr>
        <w:t>Socioekonomický dopad výzkumných infrastruktur zahrnuje změny nebo vlivy, které mohou výzkumné infrastruktury a přeneseně i výzkum realizovaný na těchto infrastrukturách mít na různé oblasti rozvoje společnosti a ekonomiky. Tyto oblasti zahrnují rozvoj vědeckého poznání, rozvoj technologií a inovací, rozvoj lidského potenciálu, rozvoj regionální či národní ekonomiky a rozvoj společnosti, sociálních struktur a veřejných politik.</w:t>
      </w:r>
    </w:p>
    <w:p w:rsidR="00420E83" w:rsidRPr="00420E83" w:rsidRDefault="00420E83" w:rsidP="00420E83">
      <w:pPr>
        <w:jc w:val="both"/>
        <w:rPr>
          <w:rFonts w:ascii="Arial" w:hAnsi="Arial" w:cs="Arial"/>
          <w:bCs/>
        </w:rPr>
      </w:pPr>
      <w:r w:rsidRPr="00420E83">
        <w:rPr>
          <w:rFonts w:ascii="Arial" w:hAnsi="Arial" w:cs="Arial"/>
          <w:bCs/>
        </w:rPr>
        <w:t>Pro každou VVI bude připraven návrh dílčích drah dopadů a individuální soustava indikátorů, a to v 5 oblastech: Věda, Inovace a technologie, Lidský kapitál, Ekonomika, Společnost. Bude nastaven systém monitoringu těchto indikátorů a součástí hodnotícího formuláře se stane přehled vývoje těchto indikátorů za uplynulé období.</w:t>
      </w:r>
    </w:p>
    <w:p w:rsidR="00420E83" w:rsidRPr="00420E83" w:rsidRDefault="00420E83" w:rsidP="00420E83">
      <w:pPr>
        <w:jc w:val="both"/>
        <w:rPr>
          <w:rFonts w:ascii="Arial" w:hAnsi="Arial" w:cs="Arial"/>
          <w:bCs/>
        </w:rPr>
      </w:pPr>
      <w:r w:rsidRPr="00420E83">
        <w:rPr>
          <w:rFonts w:ascii="Arial" w:hAnsi="Arial" w:cs="Arial"/>
          <w:bCs/>
        </w:rPr>
        <w:t>V případě nových návrhů VVI bude k hodnocení předložena adekvátní analýza založená na dosavadním řešení projektů aspirujících na statut VVI, případně odhadovaný scénář možného dopadu.</w:t>
      </w:r>
    </w:p>
    <w:p w:rsidR="00313916" w:rsidRDefault="00313916" w:rsidP="00420E83">
      <w:pPr>
        <w:jc w:val="both"/>
        <w:rPr>
          <w:rFonts w:ascii="Arial" w:hAnsi="Arial" w:cs="Arial"/>
          <w:bCs/>
          <w:u w:val="single"/>
        </w:rPr>
      </w:pPr>
    </w:p>
    <w:p w:rsidR="00420E83" w:rsidRPr="00420E83" w:rsidRDefault="00420E83" w:rsidP="00420E83">
      <w:pPr>
        <w:jc w:val="both"/>
        <w:rPr>
          <w:rFonts w:ascii="Arial" w:hAnsi="Arial" w:cs="Arial"/>
          <w:bCs/>
          <w:u w:val="single"/>
        </w:rPr>
      </w:pPr>
      <w:r w:rsidRPr="00420E83">
        <w:rPr>
          <w:rFonts w:ascii="Arial" w:hAnsi="Arial" w:cs="Arial"/>
          <w:bCs/>
          <w:u w:val="single"/>
        </w:rPr>
        <w:t>Potřeba využití e-infrastruktur</w:t>
      </w:r>
    </w:p>
    <w:p w:rsidR="00420E83" w:rsidRPr="00420E83" w:rsidRDefault="00420E83" w:rsidP="00420E83">
      <w:pPr>
        <w:jc w:val="both"/>
        <w:rPr>
          <w:rFonts w:ascii="Arial" w:hAnsi="Arial" w:cs="Arial"/>
          <w:bCs/>
        </w:rPr>
      </w:pPr>
      <w:r w:rsidRPr="00420E83">
        <w:rPr>
          <w:rFonts w:ascii="Arial" w:hAnsi="Arial" w:cs="Arial"/>
          <w:bCs/>
        </w:rPr>
        <w:t>V následujícím hodnocení bude tento bod vypuštěn. Měl sloužit ke zmapování potřeb, které mají jednotlivé infrastruktury z hlediska využití e-infrastruktur (datové přenosy, ukládání dat, výkonné výpočty), nicméně se tento způsob příliš neosvědčil a pro samotné hodnocení nemá příliš význam.</w:t>
      </w:r>
    </w:p>
    <w:p w:rsidR="00420E83" w:rsidRDefault="00420E83" w:rsidP="00347645">
      <w:pPr>
        <w:jc w:val="both"/>
        <w:rPr>
          <w:rFonts w:ascii="Arial" w:hAnsi="Arial" w:cs="Arial"/>
          <w:bCs/>
        </w:rPr>
      </w:pPr>
    </w:p>
    <w:p w:rsidR="00347645" w:rsidRDefault="00C843ED" w:rsidP="00347645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</w:t>
      </w:r>
      <w:r w:rsidR="00347645" w:rsidRPr="00347645">
        <w:rPr>
          <w:rFonts w:ascii="Arial" w:hAnsi="Arial" w:cs="Arial"/>
          <w:bCs/>
        </w:rPr>
        <w:t>nalýzu</w:t>
      </w:r>
      <w:r>
        <w:rPr>
          <w:rFonts w:ascii="Arial" w:hAnsi="Arial" w:cs="Arial"/>
          <w:bCs/>
        </w:rPr>
        <w:t xml:space="preserve"> </w:t>
      </w:r>
      <w:r w:rsidRPr="00C843ED">
        <w:rPr>
          <w:rFonts w:ascii="Arial" w:hAnsi="Arial" w:cs="Arial"/>
          <w:bCs/>
        </w:rPr>
        <w:t>Metodické postupy pro posuzování socioekonomických dopadů velkých výzkumných infrastruktur ČR</w:t>
      </w:r>
      <w:r w:rsidR="00347645" w:rsidRPr="00347645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vypracovalo Technologické centrum</w:t>
      </w:r>
      <w:r w:rsidR="00347645" w:rsidRPr="00347645">
        <w:rPr>
          <w:rFonts w:ascii="Arial" w:hAnsi="Arial" w:cs="Arial"/>
          <w:bCs/>
        </w:rPr>
        <w:t xml:space="preserve"> Praha, a to v návaznosti na plnění usnesení vlády ČR ze dne 14. prosince 2022 č. 1043, kterým je MŠMT uloženo vypracovat aktualizaci metodického rámce</w:t>
      </w:r>
      <w:r>
        <w:rPr>
          <w:rFonts w:ascii="Arial" w:hAnsi="Arial" w:cs="Arial"/>
          <w:bCs/>
        </w:rPr>
        <w:t xml:space="preserve"> hodnocení velkých výzkumných infrastruktur</w:t>
      </w:r>
      <w:r w:rsidR="00347645" w:rsidRPr="00347645">
        <w:rPr>
          <w:rFonts w:ascii="Arial" w:hAnsi="Arial" w:cs="Arial"/>
          <w:bCs/>
        </w:rPr>
        <w:t xml:space="preserve"> tak, aby nově zahrnoval nástroje pro pokročilé vyhodnocení výsledků výzkumu, vývoje a inovací dosažených velkými výzkumnými infrastrukturami a jejich uživateli v režimu otevřeného přístupu na principu sběru dat z Informačního systému výzkumu, vývoje a inovací a aby zohledňoval nástroje pro pokročilé vyhodnocení socioekonomických přínosů a dopadů velkých výzkumných infrastruktur. </w:t>
      </w:r>
    </w:p>
    <w:p w:rsidR="00330D3A" w:rsidRDefault="00C843ED" w:rsidP="00C843ED">
      <w:pPr>
        <w:jc w:val="both"/>
        <w:rPr>
          <w:rFonts w:ascii="Arial" w:hAnsi="Arial" w:cs="Arial"/>
          <w:bCs/>
        </w:rPr>
      </w:pPr>
      <w:r w:rsidRPr="00C843ED">
        <w:rPr>
          <w:rFonts w:ascii="Arial" w:hAnsi="Arial" w:cs="Arial"/>
          <w:bCs/>
        </w:rPr>
        <w:t>Cílem tohoto dokumentu je vytvořit rámec metodických postupů, které budou využitelné pro posuzování socioekonomických dopadů existence a činnosti velkých výzkumných infrastruktur ČR (dále rovněž „VVI“), při zohlednění různorodosti množiny VVI v ČR.</w:t>
      </w:r>
    </w:p>
    <w:p w:rsidR="00330D3A" w:rsidRDefault="00330D3A">
      <w:pPr>
        <w:spacing w:after="200"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br w:type="page"/>
      </w:r>
    </w:p>
    <w:p w:rsidR="00C843ED" w:rsidRPr="00C843ED" w:rsidRDefault="00C843ED" w:rsidP="00C843ED">
      <w:pPr>
        <w:jc w:val="both"/>
        <w:rPr>
          <w:rFonts w:ascii="Arial" w:hAnsi="Arial" w:cs="Arial"/>
          <w:bCs/>
        </w:rPr>
      </w:pPr>
    </w:p>
    <w:p w:rsidR="00C843ED" w:rsidRDefault="00347645" w:rsidP="00C843ED">
      <w:pPr>
        <w:jc w:val="both"/>
        <w:rPr>
          <w:rFonts w:ascii="Arial" w:hAnsi="Arial" w:cs="Arial"/>
          <w:bCs/>
        </w:rPr>
      </w:pPr>
      <w:r w:rsidRPr="00347645">
        <w:rPr>
          <w:rFonts w:ascii="Arial" w:hAnsi="Arial" w:cs="Arial"/>
          <w:bCs/>
        </w:rPr>
        <w:t xml:space="preserve"> </w:t>
      </w:r>
    </w:p>
    <w:p w:rsidR="00437FAE" w:rsidRDefault="00C31F9C" w:rsidP="00C843ED">
      <w:pPr>
        <w:jc w:val="both"/>
        <w:rPr>
          <w:rFonts w:ascii="Arial" w:hAnsi="Arial" w:cs="Arial"/>
          <w:b/>
          <w:color w:val="0070C0"/>
        </w:rPr>
      </w:pPr>
      <w:r w:rsidRPr="00072BCD">
        <w:rPr>
          <w:rFonts w:ascii="Arial" w:hAnsi="Arial" w:cs="Arial"/>
          <w:b/>
          <w:color w:val="0070C0"/>
        </w:rPr>
        <w:t>P</w:t>
      </w:r>
      <w:r w:rsidR="00D34CFA" w:rsidRPr="00072BCD">
        <w:rPr>
          <w:rFonts w:ascii="Arial" w:hAnsi="Arial" w:cs="Arial"/>
          <w:b/>
          <w:color w:val="0070C0"/>
        </w:rPr>
        <w:t>řipomínky</w:t>
      </w:r>
    </w:p>
    <w:p w:rsidR="00650489" w:rsidRPr="00072BCD" w:rsidRDefault="00650489" w:rsidP="00C843ED">
      <w:pPr>
        <w:jc w:val="both"/>
        <w:rPr>
          <w:rFonts w:ascii="Arial" w:hAnsi="Arial" w:cs="Arial"/>
          <w:b/>
          <w:color w:val="0070C0"/>
        </w:rPr>
      </w:pPr>
    </w:p>
    <w:p w:rsidR="00330D3A" w:rsidRPr="00330D3A" w:rsidRDefault="00A2623A" w:rsidP="002A7D72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240"/>
        <w:ind w:left="357" w:hanging="357"/>
        <w:contextualSpacing w:val="0"/>
        <w:jc w:val="both"/>
        <w:rPr>
          <w:rFonts w:ascii="Arial" w:hAnsi="Arial" w:cs="Arial"/>
          <w:bCs/>
        </w:rPr>
      </w:pPr>
      <w:r w:rsidRPr="00330D3A">
        <w:rPr>
          <w:rFonts w:ascii="Arial" w:hAnsi="Arial" w:cs="Arial"/>
          <w:b/>
        </w:rPr>
        <w:t>Zásadní připomínka</w:t>
      </w:r>
      <w:r w:rsidR="00330D3A">
        <w:rPr>
          <w:rFonts w:ascii="Arial" w:hAnsi="Arial" w:cs="Arial"/>
          <w:b/>
        </w:rPr>
        <w:t xml:space="preserve"> </w:t>
      </w:r>
    </w:p>
    <w:p w:rsidR="00330D3A" w:rsidRPr="00330D3A" w:rsidRDefault="00330D3A" w:rsidP="004426CE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bCs/>
        </w:rPr>
      </w:pPr>
      <w:r w:rsidRPr="004426CE">
        <w:rPr>
          <w:rFonts w:ascii="Arial" w:hAnsi="Arial" w:cs="Arial"/>
          <w:b/>
        </w:rPr>
        <w:t>K</w:t>
      </w:r>
      <w:r w:rsidRPr="004426CE">
        <w:rPr>
          <w:rFonts w:ascii="Arial" w:hAnsi="Arial" w:cs="Arial"/>
          <w:b/>
          <w:bCs/>
        </w:rPr>
        <w:t xml:space="preserve">e způsobu předložení materiálu </w:t>
      </w:r>
      <w:r w:rsidRPr="00330D3A">
        <w:rPr>
          <w:rFonts w:ascii="Arial" w:hAnsi="Arial" w:cs="Arial"/>
          <w:bCs/>
        </w:rPr>
        <w:t xml:space="preserve">Rada </w:t>
      </w:r>
      <w:r w:rsidR="0014491D">
        <w:rPr>
          <w:rFonts w:ascii="Arial" w:hAnsi="Arial" w:cs="Arial"/>
          <w:bCs/>
        </w:rPr>
        <w:t>konstatuje, že byl předložen</w:t>
      </w:r>
      <w:r w:rsidRPr="00330D3A">
        <w:rPr>
          <w:rFonts w:ascii="Arial" w:hAnsi="Arial" w:cs="Arial"/>
          <w:bCs/>
        </w:rPr>
        <w:t xml:space="preserve"> </w:t>
      </w:r>
      <w:r w:rsidR="0014491D">
        <w:rPr>
          <w:rFonts w:ascii="Arial" w:hAnsi="Arial" w:cs="Arial"/>
          <w:bCs/>
        </w:rPr>
        <w:t>materiál</w:t>
      </w:r>
      <w:r w:rsidRPr="00330D3A">
        <w:rPr>
          <w:rFonts w:ascii="Arial" w:hAnsi="Arial" w:cs="Arial"/>
          <w:bCs/>
        </w:rPr>
        <w:t xml:space="preserve"> „Aktualizace metodického rámce pro mezinárodní hodnocení vel</w:t>
      </w:r>
      <w:r w:rsidR="00DD16C4">
        <w:rPr>
          <w:rFonts w:ascii="Arial" w:hAnsi="Arial" w:cs="Arial"/>
          <w:bCs/>
        </w:rPr>
        <w:t>kých výzkumných infrastruktur“, nicméně materiál byl předložen se zpožděním (po termínu daném usnesením vlády).</w:t>
      </w:r>
    </w:p>
    <w:p w:rsidR="00330D3A" w:rsidRPr="00330D3A" w:rsidRDefault="00330D3A" w:rsidP="00330D3A">
      <w:pPr>
        <w:jc w:val="both"/>
        <w:rPr>
          <w:rFonts w:ascii="Arial" w:hAnsi="Arial" w:cs="Arial"/>
          <w:bCs/>
        </w:rPr>
      </w:pPr>
    </w:p>
    <w:p w:rsidR="00330D3A" w:rsidRPr="00330D3A" w:rsidRDefault="00330D3A" w:rsidP="00330D3A">
      <w:pPr>
        <w:jc w:val="both"/>
        <w:rPr>
          <w:rFonts w:ascii="Arial" w:hAnsi="Arial" w:cs="Arial"/>
          <w:bCs/>
          <w:u w:val="single"/>
        </w:rPr>
      </w:pPr>
      <w:r w:rsidRPr="00330D3A">
        <w:rPr>
          <w:rFonts w:ascii="Arial" w:hAnsi="Arial" w:cs="Arial"/>
          <w:bCs/>
          <w:u w:val="single"/>
        </w:rPr>
        <w:t>Zdůvodnění:</w:t>
      </w:r>
    </w:p>
    <w:p w:rsidR="00330D3A" w:rsidRDefault="00330D3A" w:rsidP="00330D3A">
      <w:pPr>
        <w:jc w:val="both"/>
        <w:rPr>
          <w:rFonts w:ascii="Arial" w:hAnsi="Arial" w:cs="Arial"/>
          <w:bCs/>
        </w:rPr>
      </w:pPr>
      <w:r w:rsidRPr="00330D3A">
        <w:rPr>
          <w:rFonts w:ascii="Arial" w:hAnsi="Arial" w:cs="Arial"/>
          <w:bCs/>
        </w:rPr>
        <w:t xml:space="preserve">S tříměsíčním zpožděním byl Radě předložen stručný dokument „Metodický rámec pro hodnocení velkých výzkumných infrastruktur (MŠMT)“, kde je aktualizaci věnováno 1,5 stránky a heslovitě zmiňuje i další změny metodického rámce (vypuštění bodu „Potřeba využití e-infrastruktur“). </w:t>
      </w:r>
    </w:p>
    <w:p w:rsidR="0049755F" w:rsidRDefault="0049755F" w:rsidP="00330D3A">
      <w:pPr>
        <w:jc w:val="both"/>
        <w:rPr>
          <w:rFonts w:ascii="Arial" w:hAnsi="Arial" w:cs="Arial"/>
          <w:bCs/>
        </w:rPr>
      </w:pPr>
    </w:p>
    <w:p w:rsidR="00330D3A" w:rsidRPr="00330D3A" w:rsidRDefault="00330D3A" w:rsidP="00330D3A">
      <w:pPr>
        <w:jc w:val="both"/>
        <w:rPr>
          <w:rFonts w:ascii="Arial" w:hAnsi="Arial" w:cs="Arial"/>
          <w:bCs/>
        </w:rPr>
      </w:pPr>
    </w:p>
    <w:p w:rsidR="00330D3A" w:rsidRPr="004426CE" w:rsidRDefault="004426CE" w:rsidP="004426CE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240"/>
        <w:ind w:left="357" w:hanging="357"/>
        <w:contextualSpacing w:val="0"/>
        <w:jc w:val="both"/>
        <w:rPr>
          <w:rFonts w:ascii="Arial" w:hAnsi="Arial" w:cs="Arial"/>
          <w:b/>
        </w:rPr>
      </w:pPr>
      <w:r w:rsidRPr="004426CE">
        <w:rPr>
          <w:rFonts w:ascii="Arial" w:hAnsi="Arial" w:cs="Arial"/>
          <w:b/>
        </w:rPr>
        <w:t>Zásadní p</w:t>
      </w:r>
      <w:r w:rsidR="00BF3EEE">
        <w:rPr>
          <w:rFonts w:ascii="Arial" w:hAnsi="Arial" w:cs="Arial"/>
          <w:b/>
        </w:rPr>
        <w:t>řipomínka</w:t>
      </w:r>
    </w:p>
    <w:p w:rsidR="00330D3A" w:rsidRPr="004426CE" w:rsidRDefault="00330D3A" w:rsidP="004426C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4426CE">
        <w:rPr>
          <w:rFonts w:ascii="Arial" w:eastAsia="Calibri" w:hAnsi="Arial" w:cs="Arial"/>
          <w:b/>
          <w:bCs/>
          <w:color w:val="000000"/>
        </w:rPr>
        <w:t xml:space="preserve">K části </w:t>
      </w:r>
      <w:proofErr w:type="spellStart"/>
      <w:r w:rsidRPr="004426CE">
        <w:rPr>
          <w:rFonts w:ascii="Arial" w:eastAsia="Calibri" w:hAnsi="Arial" w:cs="Arial"/>
          <w:b/>
          <w:bCs/>
          <w:color w:val="000000"/>
        </w:rPr>
        <w:t>Bibliometrie</w:t>
      </w:r>
      <w:proofErr w:type="spellEnd"/>
      <w:r w:rsidRPr="004426CE">
        <w:rPr>
          <w:rFonts w:ascii="Arial" w:eastAsia="Calibri" w:hAnsi="Arial" w:cs="Arial"/>
          <w:b/>
          <w:bCs/>
          <w:color w:val="000000"/>
        </w:rPr>
        <w:t xml:space="preserve"> výsledků </w:t>
      </w:r>
    </w:p>
    <w:p w:rsidR="00330D3A" w:rsidRPr="004426CE" w:rsidRDefault="00330D3A" w:rsidP="00330D3A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4426CE">
        <w:rPr>
          <w:rFonts w:ascii="Arial" w:hAnsi="Arial" w:cs="Arial"/>
        </w:rPr>
        <w:t xml:space="preserve">Rada žádá o </w:t>
      </w:r>
      <w:r w:rsidR="002F2272">
        <w:rPr>
          <w:rFonts w:ascii="Arial" w:hAnsi="Arial" w:cs="Arial"/>
        </w:rPr>
        <w:t>dopracování</w:t>
      </w:r>
      <w:r w:rsidR="002F2272" w:rsidRPr="004426CE">
        <w:rPr>
          <w:rFonts w:ascii="Arial" w:hAnsi="Arial" w:cs="Arial"/>
        </w:rPr>
        <w:t xml:space="preserve"> </w:t>
      </w:r>
      <w:r w:rsidRPr="004426CE">
        <w:rPr>
          <w:rFonts w:ascii="Arial" w:hAnsi="Arial" w:cs="Arial"/>
        </w:rPr>
        <w:t xml:space="preserve">této části dokumentu tak, aby dokument </w:t>
      </w:r>
      <w:r w:rsidRPr="004426CE">
        <w:rPr>
          <w:rFonts w:ascii="Arial" w:eastAsia="Calibri" w:hAnsi="Arial" w:cs="Arial"/>
          <w:color w:val="000000"/>
        </w:rPr>
        <w:t>„Aktualizace metodického rámce pro mezinárodní hodnocení velkých výzkumných infrastruktur“</w:t>
      </w:r>
      <w:r w:rsidR="00257A35">
        <w:rPr>
          <w:rFonts w:ascii="Arial" w:eastAsia="Calibri" w:hAnsi="Arial" w:cs="Arial"/>
          <w:color w:val="000000"/>
        </w:rPr>
        <w:t xml:space="preserve">, </w:t>
      </w:r>
      <w:r w:rsidRPr="004426CE">
        <w:rPr>
          <w:rFonts w:ascii="Arial" w:eastAsia="Calibri" w:hAnsi="Arial" w:cs="Arial"/>
          <w:color w:val="000000"/>
        </w:rPr>
        <w:t>jak vláda uložila</w:t>
      </w:r>
      <w:r w:rsidR="00257A35">
        <w:rPr>
          <w:rFonts w:ascii="Arial" w:eastAsia="Calibri" w:hAnsi="Arial" w:cs="Arial"/>
          <w:color w:val="000000"/>
        </w:rPr>
        <w:t>:</w:t>
      </w:r>
      <w:r w:rsidRPr="004426CE">
        <w:rPr>
          <w:rFonts w:ascii="Arial" w:hAnsi="Arial" w:cs="Arial"/>
        </w:rPr>
        <w:t xml:space="preserve"> „</w:t>
      </w:r>
      <w:r w:rsidRPr="004426CE">
        <w:rPr>
          <w:rFonts w:ascii="Arial" w:eastAsia="Calibri" w:hAnsi="Arial" w:cs="Arial"/>
          <w:color w:val="000000"/>
        </w:rPr>
        <w:t>nově zahrnoval rovněž nástroje pro pokročilé vyhodnocení výsledků výzkumu, vývoje a inovací dosažených velkými výzkumnými infrastrukturami a jejich uživateli v režimu otevřeného přístupu na principu sběru dat z Informačního systému výzkumu, vývoje a inovací“.</w:t>
      </w:r>
      <w:r w:rsidR="002F2272">
        <w:rPr>
          <w:rFonts w:ascii="Arial" w:eastAsia="Calibri" w:hAnsi="Arial" w:cs="Arial"/>
          <w:color w:val="000000"/>
        </w:rPr>
        <w:t xml:space="preserve"> Konkrétně</w:t>
      </w:r>
      <w:r w:rsidR="007A5409">
        <w:rPr>
          <w:rFonts w:ascii="Arial" w:eastAsia="Calibri" w:hAnsi="Arial" w:cs="Arial"/>
          <w:color w:val="000000"/>
        </w:rPr>
        <w:t xml:space="preserve"> Rada žádá MŠMT</w:t>
      </w:r>
      <w:r w:rsidR="005F70DC">
        <w:rPr>
          <w:rFonts w:ascii="Arial" w:eastAsia="Calibri" w:hAnsi="Arial" w:cs="Arial"/>
          <w:color w:val="000000"/>
        </w:rPr>
        <w:t>, aby u každé VVI byly uvedeny výsledky a současně projekty účelové podpory</w:t>
      </w:r>
      <w:r w:rsidR="004F6834">
        <w:rPr>
          <w:rFonts w:ascii="Arial" w:eastAsia="Calibri" w:hAnsi="Arial" w:cs="Arial"/>
          <w:color w:val="000000"/>
        </w:rPr>
        <w:t xml:space="preserve"> </w:t>
      </w:r>
      <w:r w:rsidR="004F6834" w:rsidRPr="002334A9">
        <w:rPr>
          <w:rFonts w:ascii="Arial" w:eastAsia="Calibri" w:hAnsi="Arial" w:cs="Arial"/>
        </w:rPr>
        <w:t>a v relevantních případech institucionální podpory z národních zdrojů</w:t>
      </w:r>
      <w:r w:rsidR="005F70DC" w:rsidRPr="004F6834">
        <w:rPr>
          <w:rFonts w:ascii="Arial" w:eastAsia="Calibri" w:hAnsi="Arial" w:cs="Arial"/>
          <w:color w:val="FF0000"/>
        </w:rPr>
        <w:t xml:space="preserve">. </w:t>
      </w:r>
    </w:p>
    <w:p w:rsidR="00330D3A" w:rsidRPr="004426CE" w:rsidRDefault="00330D3A" w:rsidP="00330D3A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30D3A" w:rsidRPr="004426CE" w:rsidRDefault="00330D3A" w:rsidP="00330D3A">
      <w:pPr>
        <w:keepNext/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</w:rPr>
      </w:pPr>
      <w:r w:rsidRPr="004426CE">
        <w:rPr>
          <w:rFonts w:ascii="Arial" w:eastAsia="Calibri" w:hAnsi="Arial" w:cs="Arial"/>
          <w:color w:val="000000"/>
          <w:u w:val="single"/>
        </w:rPr>
        <w:t>Zdůvodnění:</w:t>
      </w:r>
    </w:p>
    <w:p w:rsidR="00330D3A" w:rsidRDefault="00330D3A" w:rsidP="00330D3A">
      <w:pPr>
        <w:jc w:val="both"/>
        <w:rPr>
          <w:rFonts w:ascii="Arial" w:hAnsi="Arial" w:cs="Arial"/>
        </w:rPr>
      </w:pPr>
      <w:r w:rsidRPr="004426CE">
        <w:rPr>
          <w:rFonts w:ascii="Arial" w:hAnsi="Arial" w:cs="Arial"/>
        </w:rPr>
        <w:t xml:space="preserve">Pokročilého vyhodnocení výsledků velkých výzkumných infrastruktur má být dosaženo využitím </w:t>
      </w:r>
      <w:hyperlink r:id="rId8" w:history="1">
        <w:r w:rsidRPr="004426CE">
          <w:rPr>
            <w:rStyle w:val="Hypertextovodkaz"/>
            <w:rFonts w:ascii="Arial" w:hAnsi="Arial" w:cs="Arial"/>
          </w:rPr>
          <w:t>nástroje Rady k analýze výsledků</w:t>
        </w:r>
        <w:r w:rsidR="003743BB">
          <w:rPr>
            <w:rStyle w:val="Hypertextovodkaz"/>
            <w:rFonts w:ascii="Arial" w:hAnsi="Arial" w:cs="Arial"/>
          </w:rPr>
          <w:t>, který již připravila Sekce VVI v součinnosti s KHV</w:t>
        </w:r>
        <w:r w:rsidRPr="004426CE">
          <w:rPr>
            <w:rStyle w:val="Hypertextovodkaz"/>
            <w:rFonts w:ascii="Arial" w:hAnsi="Arial" w:cs="Arial"/>
          </w:rPr>
          <w:t xml:space="preserve"> </w:t>
        </w:r>
      </w:hyperlink>
      <w:r w:rsidRPr="004426CE">
        <w:rPr>
          <w:rFonts w:ascii="Arial" w:hAnsi="Arial" w:cs="Arial"/>
        </w:rPr>
        <w:t xml:space="preserve">. Hodnoticí panel bude s tímto nástrojem seznámen a bude jej tak moci využít při hodnocení, dále bude požadován příslušný výpis </w:t>
      </w:r>
      <w:r w:rsidR="00622404">
        <w:rPr>
          <w:rFonts w:ascii="Arial" w:hAnsi="Arial" w:cs="Arial"/>
        </w:rPr>
        <w:t xml:space="preserve">výsledků pro hodnocenou infrastrukturu </w:t>
      </w:r>
      <w:r w:rsidRPr="004426CE">
        <w:rPr>
          <w:rFonts w:ascii="Arial" w:hAnsi="Arial" w:cs="Arial"/>
        </w:rPr>
        <w:t>přímo do hodnot</w:t>
      </w:r>
      <w:r w:rsidR="00DD16C4">
        <w:rPr>
          <w:rFonts w:ascii="Arial" w:hAnsi="Arial" w:cs="Arial"/>
        </w:rPr>
        <w:t>í</w:t>
      </w:r>
      <w:r w:rsidRPr="004426CE">
        <w:rPr>
          <w:rFonts w:ascii="Arial" w:hAnsi="Arial" w:cs="Arial"/>
        </w:rPr>
        <w:t xml:space="preserve">cího formuláře. </w:t>
      </w:r>
      <w:r w:rsidR="008D2543">
        <w:rPr>
          <w:rFonts w:ascii="Arial" w:hAnsi="Arial" w:cs="Arial"/>
        </w:rPr>
        <w:t xml:space="preserve"> Pro hodnocení nákladové efektivity a udržitelnosti VVI je nezbytné posouzení případných vazeb na projekty účelové podpory</w:t>
      </w:r>
      <w:r w:rsidR="00BF3EEE">
        <w:rPr>
          <w:rFonts w:ascii="Arial" w:hAnsi="Arial" w:cs="Arial"/>
        </w:rPr>
        <w:t>.</w:t>
      </w:r>
    </w:p>
    <w:p w:rsidR="0049755F" w:rsidRDefault="0049755F" w:rsidP="00330D3A">
      <w:pPr>
        <w:jc w:val="both"/>
        <w:rPr>
          <w:rFonts w:ascii="Arial" w:hAnsi="Arial" w:cs="Arial"/>
        </w:rPr>
      </w:pPr>
    </w:p>
    <w:p w:rsidR="00330D3A" w:rsidRPr="004426CE" w:rsidRDefault="00330D3A" w:rsidP="00330D3A">
      <w:pPr>
        <w:jc w:val="both"/>
        <w:rPr>
          <w:rFonts w:ascii="Arial" w:hAnsi="Arial" w:cs="Arial"/>
          <w:b/>
          <w:bCs/>
        </w:rPr>
      </w:pPr>
    </w:p>
    <w:p w:rsidR="004426CE" w:rsidRPr="004426CE" w:rsidRDefault="004426CE" w:rsidP="005936B5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240"/>
        <w:ind w:left="357" w:hanging="357"/>
        <w:contextualSpacing w:val="0"/>
        <w:jc w:val="both"/>
        <w:rPr>
          <w:rFonts w:ascii="Arial" w:eastAsia="Calibri" w:hAnsi="Arial" w:cs="Arial"/>
          <w:b/>
          <w:bCs/>
          <w:color w:val="000000"/>
        </w:rPr>
      </w:pPr>
      <w:r w:rsidRPr="004426CE">
        <w:rPr>
          <w:rFonts w:ascii="Arial" w:hAnsi="Arial" w:cs="Arial"/>
          <w:b/>
        </w:rPr>
        <w:t xml:space="preserve">Zásadní připomínka </w:t>
      </w:r>
    </w:p>
    <w:p w:rsidR="004426CE" w:rsidRDefault="00330D3A" w:rsidP="004426CE">
      <w:pPr>
        <w:autoSpaceDE w:val="0"/>
        <w:autoSpaceDN w:val="0"/>
        <w:adjustRightInd w:val="0"/>
        <w:spacing w:after="240"/>
        <w:jc w:val="both"/>
        <w:rPr>
          <w:rFonts w:ascii="Arial" w:eastAsia="Calibri" w:hAnsi="Arial" w:cs="Arial"/>
          <w:b/>
          <w:bCs/>
          <w:color w:val="000000"/>
        </w:rPr>
      </w:pPr>
      <w:r w:rsidRPr="004426CE">
        <w:rPr>
          <w:rFonts w:ascii="Arial" w:eastAsia="Calibri" w:hAnsi="Arial" w:cs="Arial"/>
          <w:b/>
          <w:bCs/>
          <w:color w:val="000000"/>
        </w:rPr>
        <w:t>K Hodnocení dopadů na EKONOMIKU</w:t>
      </w:r>
    </w:p>
    <w:p w:rsidR="00330D3A" w:rsidRPr="004426CE" w:rsidRDefault="00330D3A" w:rsidP="004426CE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</w:rPr>
      </w:pPr>
      <w:r w:rsidRPr="004426CE">
        <w:rPr>
          <w:rFonts w:ascii="Arial" w:hAnsi="Arial" w:cs="Arial"/>
        </w:rPr>
        <w:t xml:space="preserve">Rada žádá, aby </w:t>
      </w:r>
      <w:r w:rsidR="00544663">
        <w:rPr>
          <w:rFonts w:ascii="Arial" w:hAnsi="Arial" w:cs="Arial"/>
        </w:rPr>
        <w:t xml:space="preserve">Metodický rámec obsahoval indikátory relevantní k posouzení socioekonomického dopadu, aby nedošlo k duplicitám s jinými částmi mezinárodního hodnocení VVI.  </w:t>
      </w:r>
    </w:p>
    <w:p w:rsidR="00330D3A" w:rsidRPr="004426CE" w:rsidRDefault="00330D3A" w:rsidP="00330D3A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30D3A" w:rsidRPr="004426CE" w:rsidRDefault="00330D3A" w:rsidP="00330D3A">
      <w:p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</w:rPr>
      </w:pPr>
      <w:r w:rsidRPr="004426CE">
        <w:rPr>
          <w:rFonts w:ascii="Arial" w:eastAsia="Calibri" w:hAnsi="Arial" w:cs="Arial"/>
          <w:color w:val="000000"/>
          <w:u w:val="single"/>
        </w:rPr>
        <w:lastRenderedPageBreak/>
        <w:t>Zdůvodnění:</w:t>
      </w:r>
    </w:p>
    <w:p w:rsidR="00330D3A" w:rsidRDefault="00544663" w:rsidP="00330D3A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Požadavek souvisí s potřebou stanovit relevantní a jasné a měřitelné indikátory</w:t>
      </w:r>
      <w:r w:rsidR="008B19CB">
        <w:rPr>
          <w:rFonts w:ascii="Arial" w:hAnsi="Arial" w:cs="Arial"/>
        </w:rPr>
        <w:t xml:space="preserve"> v</w:t>
      </w:r>
      <w:r w:rsidR="00CF547B">
        <w:rPr>
          <w:rFonts w:ascii="Arial" w:hAnsi="Arial" w:cs="Arial"/>
        </w:rPr>
        <w:t>e finální</w:t>
      </w:r>
      <w:r w:rsidR="008B19CB">
        <w:rPr>
          <w:rFonts w:ascii="Arial" w:hAnsi="Arial" w:cs="Arial"/>
        </w:rPr>
        <w:t> Metodice hodnocení VVI.</w:t>
      </w:r>
    </w:p>
    <w:p w:rsidR="00330D3A" w:rsidRPr="004426CE" w:rsidRDefault="00330D3A" w:rsidP="00330D3A">
      <w:pPr>
        <w:jc w:val="both"/>
        <w:rPr>
          <w:rFonts w:ascii="Arial" w:hAnsi="Arial" w:cs="Arial"/>
          <w:b/>
          <w:bCs/>
        </w:rPr>
      </w:pPr>
    </w:p>
    <w:p w:rsidR="00330D3A" w:rsidRPr="004426CE" w:rsidRDefault="00330D3A" w:rsidP="00330D3A">
      <w:pPr>
        <w:jc w:val="both"/>
        <w:rPr>
          <w:rFonts w:ascii="Arial" w:hAnsi="Arial" w:cs="Arial"/>
          <w:b/>
          <w:bCs/>
        </w:rPr>
      </w:pPr>
    </w:p>
    <w:p w:rsidR="00330D3A" w:rsidRPr="004426CE" w:rsidRDefault="004426CE" w:rsidP="004426CE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240"/>
        <w:ind w:left="357" w:hanging="35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Zásadní připomínka</w:t>
      </w:r>
    </w:p>
    <w:p w:rsidR="00330D3A" w:rsidRPr="004426CE" w:rsidRDefault="00330D3A" w:rsidP="00330D3A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4426CE">
        <w:rPr>
          <w:rFonts w:ascii="Arial" w:hAnsi="Arial" w:cs="Arial"/>
          <w:b/>
        </w:rPr>
        <w:t>K procesu hodnocení a kodexu hodnotitele</w:t>
      </w:r>
    </w:p>
    <w:p w:rsidR="00330D3A" w:rsidRPr="004426CE" w:rsidRDefault="00330D3A" w:rsidP="00330D3A">
      <w:pPr>
        <w:overflowPunct w:val="0"/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</w:rPr>
      </w:pPr>
      <w:r w:rsidRPr="004426CE">
        <w:rPr>
          <w:rFonts w:ascii="Arial" w:hAnsi="Arial" w:cs="Arial"/>
        </w:rPr>
        <w:t xml:space="preserve">Rada žádá, aby </w:t>
      </w:r>
      <w:r w:rsidRPr="004426CE">
        <w:rPr>
          <w:rFonts w:ascii="Arial" w:eastAsia="Calibri" w:hAnsi="Arial" w:cs="Arial"/>
          <w:color w:val="000000"/>
        </w:rPr>
        <w:t>dokument „Aktualizace metodického rámce pro mezinárodní hodnocení velkých výzkumných infrastruktur“ podle připomínky č. 1 byl doplněn o</w:t>
      </w:r>
      <w:r w:rsidR="007A5409">
        <w:rPr>
          <w:rFonts w:ascii="Arial" w:eastAsia="Calibri" w:hAnsi="Arial" w:cs="Arial"/>
          <w:color w:val="000000"/>
        </w:rPr>
        <w:t> </w:t>
      </w:r>
      <w:r w:rsidRPr="004426CE">
        <w:rPr>
          <w:rFonts w:ascii="Arial" w:eastAsia="Calibri" w:hAnsi="Arial" w:cs="Arial"/>
          <w:color w:val="000000"/>
        </w:rPr>
        <w:t>proce</w:t>
      </w:r>
      <w:r w:rsidR="001069B6">
        <w:rPr>
          <w:rFonts w:ascii="Arial" w:eastAsia="Calibri" w:hAnsi="Arial" w:cs="Arial"/>
          <w:color w:val="000000"/>
        </w:rPr>
        <w:t xml:space="preserve">s hodnocení a kodex hodnotitele. </w:t>
      </w:r>
    </w:p>
    <w:p w:rsidR="00330D3A" w:rsidRPr="004426CE" w:rsidRDefault="00330D3A" w:rsidP="00330D3A">
      <w:pPr>
        <w:overflowPunct w:val="0"/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</w:rPr>
      </w:pPr>
    </w:p>
    <w:p w:rsidR="00330D3A" w:rsidRPr="004426CE" w:rsidRDefault="00330D3A" w:rsidP="00330D3A">
      <w:p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</w:rPr>
      </w:pPr>
      <w:r w:rsidRPr="004426CE">
        <w:rPr>
          <w:rFonts w:ascii="Arial" w:eastAsia="Calibri" w:hAnsi="Arial" w:cs="Arial"/>
          <w:color w:val="000000"/>
          <w:u w:val="single"/>
        </w:rPr>
        <w:t>Zdůvodnění:</w:t>
      </w:r>
    </w:p>
    <w:p w:rsidR="00330D3A" w:rsidRDefault="00330D3A" w:rsidP="00330D3A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4426CE">
        <w:rPr>
          <w:rFonts w:ascii="Arial" w:hAnsi="Arial" w:cs="Arial"/>
        </w:rPr>
        <w:t>Hodnotit socioekonomické dopady na české prostředí, jakožto jeden z pilířů hodnocení velkých výzkumných infrastruktur</w:t>
      </w:r>
      <w:r w:rsidR="007A5409">
        <w:rPr>
          <w:rFonts w:ascii="Arial" w:hAnsi="Arial" w:cs="Arial"/>
        </w:rPr>
        <w:t>,</w:t>
      </w:r>
      <w:r w:rsidRPr="004426CE">
        <w:rPr>
          <w:rFonts w:ascii="Arial" w:hAnsi="Arial" w:cs="Arial"/>
        </w:rPr>
        <w:t xml:space="preserve"> nepřísluší zahraničním hodnotitelům. S ohledem na hodnotitele a velké riziko střetu zájmů při hodnocení jednotlivých velkých výzkumných infrastruktur je třeba vypracovat jednoduchý a jasn</w:t>
      </w:r>
      <w:r w:rsidR="000E1F37">
        <w:rPr>
          <w:rFonts w:ascii="Arial" w:hAnsi="Arial" w:cs="Arial"/>
        </w:rPr>
        <w:t xml:space="preserve">ý Kodex hodnotitele </w:t>
      </w:r>
      <w:r w:rsidR="00A03AE9">
        <w:rPr>
          <w:rFonts w:ascii="Arial" w:hAnsi="Arial" w:cs="Arial"/>
        </w:rPr>
        <w:t xml:space="preserve">s důrazem na jeho odbornost a střety zájmů </w:t>
      </w:r>
      <w:r w:rsidR="000E1F37">
        <w:rPr>
          <w:rFonts w:ascii="Arial" w:hAnsi="Arial" w:cs="Arial"/>
        </w:rPr>
        <w:t>a detailně specifikovat způsob, dle jakých kritérií budou hodnotitelé vybíráni a jak budou sestavovány panely.</w:t>
      </w:r>
      <w:r w:rsidR="00A03AE9">
        <w:rPr>
          <w:rFonts w:ascii="Arial" w:hAnsi="Arial" w:cs="Arial"/>
        </w:rPr>
        <w:t xml:space="preserve"> Rada </w:t>
      </w:r>
      <w:r w:rsidR="00680DC6">
        <w:rPr>
          <w:rFonts w:ascii="Arial" w:hAnsi="Arial" w:cs="Arial"/>
        </w:rPr>
        <w:t xml:space="preserve">například </w:t>
      </w:r>
      <w:r w:rsidR="00A03AE9">
        <w:rPr>
          <w:rFonts w:ascii="Arial" w:hAnsi="Arial" w:cs="Arial"/>
        </w:rPr>
        <w:t>doporučuje sestavit smíšené panely (zahraniční i ČR zástupci), ve kterých bude možné současně posoudit excelenci VVI a její socioekonomický přínos pro ČR.</w:t>
      </w:r>
    </w:p>
    <w:p w:rsidR="00D5450B" w:rsidRDefault="00D5450B" w:rsidP="00330D3A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30D3A" w:rsidRDefault="000E1F37" w:rsidP="00B36B15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240"/>
        <w:ind w:left="357" w:hanging="35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Zásadní připomínka</w:t>
      </w:r>
    </w:p>
    <w:p w:rsidR="00126B11" w:rsidRDefault="000E1F37" w:rsidP="00126B1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Rada </w:t>
      </w:r>
      <w:r w:rsidR="00126B11">
        <w:rPr>
          <w:rFonts w:ascii="Arial" w:hAnsi="Arial" w:cs="Arial"/>
        </w:rPr>
        <w:t>souhlasí s</w:t>
      </w:r>
      <w:r w:rsidR="005E5751">
        <w:rPr>
          <w:rFonts w:ascii="Arial" w:hAnsi="Arial" w:cs="Arial"/>
        </w:rPr>
        <w:t xml:space="preserve"> vypuštěním </w:t>
      </w:r>
      <w:r w:rsidR="00126B11">
        <w:rPr>
          <w:rFonts w:ascii="Arial" w:hAnsi="Arial" w:cs="Arial"/>
        </w:rPr>
        <w:t xml:space="preserve">bodu potřeba využití e-infrastruktur v nadcházejícím hodnocení. Místo toho Rada požaduje doplnit do hodnocení bod, který sleduje plnění </w:t>
      </w:r>
      <w:r w:rsidR="00E80800">
        <w:rPr>
          <w:rFonts w:ascii="Arial" w:hAnsi="Arial" w:cs="Arial"/>
        </w:rPr>
        <w:t xml:space="preserve">principu </w:t>
      </w:r>
      <w:r w:rsidR="005E5751">
        <w:rPr>
          <w:rFonts w:ascii="Arial" w:hAnsi="Arial" w:cs="Arial"/>
        </w:rPr>
        <w:t xml:space="preserve">otevřeného přístupu k vědeckým informacím. </w:t>
      </w:r>
    </w:p>
    <w:p w:rsidR="009B5EFA" w:rsidRPr="00E60969" w:rsidRDefault="009B5EFA" w:rsidP="00E60969">
      <w:pPr>
        <w:pStyle w:val="Odstavecseseznamem"/>
        <w:autoSpaceDE w:val="0"/>
        <w:autoSpaceDN w:val="0"/>
        <w:adjustRightInd w:val="0"/>
        <w:spacing w:after="240"/>
        <w:ind w:left="357"/>
        <w:contextualSpacing w:val="0"/>
        <w:jc w:val="both"/>
        <w:rPr>
          <w:rFonts w:ascii="Arial" w:hAnsi="Arial" w:cs="Arial"/>
          <w:b/>
        </w:rPr>
      </w:pPr>
    </w:p>
    <w:p w:rsidR="00EA65F3" w:rsidRPr="00E60969" w:rsidRDefault="00E60969" w:rsidP="00E60969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spacing w:after="240"/>
        <w:ind w:left="357" w:hanging="35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Zásadní připomínka</w:t>
      </w:r>
    </w:p>
    <w:p w:rsidR="00EA65F3" w:rsidRPr="00E60969" w:rsidRDefault="00E53558" w:rsidP="00E60969">
      <w:pPr>
        <w:jc w:val="both"/>
        <w:rPr>
          <w:rFonts w:ascii="Arial" w:hAnsi="Arial" w:cs="Arial"/>
        </w:rPr>
      </w:pPr>
      <w:r w:rsidRPr="00E60969">
        <w:rPr>
          <w:rFonts w:ascii="Arial" w:hAnsi="Arial" w:cs="Arial"/>
        </w:rPr>
        <w:t xml:space="preserve">Rada doporučuje zvážit v případě velkých panelů rozdělení do dílčích </w:t>
      </w:r>
      <w:proofErr w:type="spellStart"/>
      <w:r w:rsidRPr="00E60969">
        <w:rPr>
          <w:rFonts w:ascii="Arial" w:hAnsi="Arial" w:cs="Arial"/>
        </w:rPr>
        <w:t>podpanelů</w:t>
      </w:r>
      <w:proofErr w:type="spellEnd"/>
      <w:r w:rsidRPr="00E60969">
        <w:rPr>
          <w:rFonts w:ascii="Arial" w:hAnsi="Arial" w:cs="Arial"/>
        </w:rPr>
        <w:t xml:space="preserve"> tak, aby bylo možné posoudit jednotlivé obory.</w:t>
      </w:r>
    </w:p>
    <w:p w:rsidR="00E53558" w:rsidRPr="00E60969" w:rsidRDefault="00E53558" w:rsidP="00E60969">
      <w:p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u w:val="single"/>
        </w:rPr>
      </w:pPr>
    </w:p>
    <w:p w:rsidR="00E53558" w:rsidRPr="00E60969" w:rsidRDefault="00E53558" w:rsidP="00E60969">
      <w:p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u w:val="single"/>
        </w:rPr>
      </w:pPr>
      <w:r w:rsidRPr="00E60969">
        <w:rPr>
          <w:rFonts w:ascii="Arial" w:eastAsia="Calibri" w:hAnsi="Arial" w:cs="Arial"/>
          <w:color w:val="000000"/>
          <w:u w:val="single"/>
        </w:rPr>
        <w:t>Zdůvodnění:</w:t>
      </w:r>
    </w:p>
    <w:p w:rsidR="00E53558" w:rsidRPr="00E60969" w:rsidRDefault="00E53558" w:rsidP="00E60969">
      <w:pPr>
        <w:jc w:val="both"/>
        <w:rPr>
          <w:rFonts w:ascii="Arial" w:hAnsi="Arial" w:cs="Arial"/>
        </w:rPr>
      </w:pPr>
      <w:r w:rsidRPr="00E60969">
        <w:rPr>
          <w:rFonts w:ascii="Arial" w:hAnsi="Arial" w:cs="Arial"/>
        </w:rPr>
        <w:t>Toto doporučení navrhuje Rada za účelem objektivního posouzení jednotlivých VVI s ohledem na odbornou šíři posuzovaných oblastí.</w:t>
      </w:r>
    </w:p>
    <w:p w:rsidR="00614974" w:rsidRDefault="00614974" w:rsidP="00614974">
      <w:pPr>
        <w:jc w:val="both"/>
        <w:rPr>
          <w:rFonts w:ascii="Arial" w:eastAsia="Calibri" w:hAnsi="Arial" w:cs="Arial"/>
        </w:rPr>
      </w:pPr>
    </w:p>
    <w:p w:rsidR="00BF3EEE" w:rsidRPr="00072BCD" w:rsidRDefault="00BF3EEE" w:rsidP="00614974">
      <w:pPr>
        <w:jc w:val="both"/>
        <w:rPr>
          <w:rFonts w:ascii="Arial" w:eastAsia="Calibri" w:hAnsi="Arial" w:cs="Arial"/>
        </w:rPr>
      </w:pPr>
    </w:p>
    <w:p w:rsidR="00D34CFA" w:rsidRPr="00072BCD" w:rsidRDefault="00B36B15" w:rsidP="00B36B15">
      <w:pPr>
        <w:pStyle w:val="Odstavecseseznamem"/>
        <w:numPr>
          <w:ilvl w:val="0"/>
          <w:numId w:val="3"/>
        </w:numPr>
        <w:spacing w:after="240"/>
        <w:ind w:left="567" w:hanging="567"/>
        <w:contextualSpacing w:val="0"/>
        <w:jc w:val="both"/>
        <w:rPr>
          <w:rFonts w:ascii="Arial" w:hAnsi="Arial" w:cs="Arial"/>
          <w:b/>
          <w:color w:val="0070C0"/>
        </w:rPr>
      </w:pPr>
      <w:r w:rsidRPr="00072BCD">
        <w:rPr>
          <w:rFonts w:ascii="Arial" w:hAnsi="Arial" w:cs="Arial"/>
          <w:b/>
          <w:color w:val="0070C0"/>
        </w:rPr>
        <w:t>Závěr</w:t>
      </w:r>
    </w:p>
    <w:p w:rsidR="002F1FE7" w:rsidRPr="00072BCD" w:rsidRDefault="007566C8" w:rsidP="002F1FE7">
      <w:pPr>
        <w:pStyle w:val="Zkladntext2"/>
        <w:spacing w:after="120"/>
        <w:jc w:val="both"/>
        <w:rPr>
          <w:rFonts w:ascii="Arial" w:hAnsi="Arial" w:cs="Arial"/>
          <w:szCs w:val="24"/>
        </w:rPr>
      </w:pPr>
      <w:bookmarkStart w:id="0" w:name="OLE_LINK1"/>
      <w:r w:rsidRPr="00072BCD">
        <w:rPr>
          <w:rFonts w:ascii="Arial" w:hAnsi="Arial" w:cs="Arial"/>
          <w:szCs w:val="24"/>
        </w:rPr>
        <w:t>Rada</w:t>
      </w:r>
    </w:p>
    <w:p w:rsidR="0037475C" w:rsidRDefault="00E70614" w:rsidP="00843E03">
      <w:pPr>
        <w:pStyle w:val="Odstavecseseznamem"/>
        <w:numPr>
          <w:ilvl w:val="0"/>
          <w:numId w:val="43"/>
        </w:numPr>
        <w:spacing w:after="120"/>
        <w:ind w:left="714" w:hanging="357"/>
        <w:contextualSpacing w:val="0"/>
        <w:jc w:val="both"/>
        <w:rPr>
          <w:rFonts w:ascii="Arial" w:hAnsi="Arial" w:cs="Arial"/>
          <w:color w:val="000000"/>
        </w:rPr>
      </w:pPr>
      <w:r w:rsidRPr="00072BCD">
        <w:rPr>
          <w:rFonts w:ascii="Arial" w:hAnsi="Arial" w:cs="Arial"/>
          <w:color w:val="000000"/>
        </w:rPr>
        <w:t xml:space="preserve">žádá </w:t>
      </w:r>
      <w:r w:rsidR="001F0106" w:rsidRPr="00072BCD">
        <w:rPr>
          <w:rFonts w:ascii="Arial" w:hAnsi="Arial" w:cs="Arial"/>
          <w:color w:val="000000"/>
        </w:rPr>
        <w:t>Ministerstvo školství, mládeže a tělovýchovy</w:t>
      </w:r>
      <w:r w:rsidR="0041165C" w:rsidRPr="00072BCD">
        <w:rPr>
          <w:rFonts w:ascii="Arial" w:hAnsi="Arial" w:cs="Arial"/>
          <w:color w:val="000000"/>
        </w:rPr>
        <w:t xml:space="preserve">, aby </w:t>
      </w:r>
      <w:r w:rsidR="004B0D04" w:rsidRPr="00072BCD">
        <w:rPr>
          <w:rFonts w:ascii="Arial" w:hAnsi="Arial" w:cs="Arial"/>
          <w:color w:val="000000"/>
        </w:rPr>
        <w:t>zohlednil</w:t>
      </w:r>
      <w:r w:rsidR="001F0106" w:rsidRPr="00072BCD">
        <w:rPr>
          <w:rFonts w:ascii="Arial" w:hAnsi="Arial" w:cs="Arial"/>
          <w:color w:val="000000"/>
        </w:rPr>
        <w:t>o</w:t>
      </w:r>
      <w:r w:rsidR="00B36B15" w:rsidRPr="00072BCD">
        <w:rPr>
          <w:rFonts w:ascii="Arial" w:hAnsi="Arial" w:cs="Arial"/>
          <w:color w:val="000000"/>
        </w:rPr>
        <w:t xml:space="preserve"> a </w:t>
      </w:r>
      <w:r w:rsidR="004B0D04" w:rsidRPr="00072BCD">
        <w:rPr>
          <w:rFonts w:ascii="Arial" w:hAnsi="Arial" w:cs="Arial"/>
          <w:color w:val="000000"/>
        </w:rPr>
        <w:t>zapracoval</w:t>
      </w:r>
      <w:r w:rsidR="001F0106" w:rsidRPr="00072BCD">
        <w:rPr>
          <w:rFonts w:ascii="Arial" w:hAnsi="Arial" w:cs="Arial"/>
          <w:color w:val="000000"/>
        </w:rPr>
        <w:t>o</w:t>
      </w:r>
      <w:r w:rsidR="004B0D04" w:rsidRPr="00072BCD">
        <w:rPr>
          <w:rFonts w:ascii="Arial" w:hAnsi="Arial" w:cs="Arial"/>
          <w:color w:val="000000"/>
        </w:rPr>
        <w:t xml:space="preserve"> připomínky</w:t>
      </w:r>
      <w:r w:rsidR="002334A9">
        <w:rPr>
          <w:rFonts w:ascii="Arial" w:hAnsi="Arial" w:cs="Arial"/>
          <w:color w:val="000000"/>
        </w:rPr>
        <w:t>.</w:t>
      </w:r>
      <w:bookmarkStart w:id="1" w:name="_GoBack"/>
      <w:bookmarkEnd w:id="1"/>
      <w:r w:rsidR="004B0D04" w:rsidRPr="00072BCD">
        <w:rPr>
          <w:rFonts w:ascii="Arial" w:hAnsi="Arial" w:cs="Arial"/>
          <w:color w:val="000000"/>
        </w:rPr>
        <w:t xml:space="preserve"> </w:t>
      </w:r>
    </w:p>
    <w:p w:rsidR="005E5751" w:rsidRDefault="005E5751" w:rsidP="005E5751">
      <w:pPr>
        <w:pStyle w:val="Odstavecseseznamem"/>
        <w:spacing w:after="120"/>
        <w:ind w:left="714"/>
        <w:contextualSpacing w:val="0"/>
        <w:jc w:val="both"/>
        <w:rPr>
          <w:rFonts w:ascii="Arial" w:hAnsi="Arial" w:cs="Arial"/>
          <w:color w:val="000000"/>
        </w:rPr>
      </w:pPr>
    </w:p>
    <w:p w:rsidR="00E50F5F" w:rsidRPr="00072BCD" w:rsidRDefault="00E50F5F" w:rsidP="00E50F5F">
      <w:pPr>
        <w:pStyle w:val="Odstavecseseznamem"/>
        <w:spacing w:after="120"/>
        <w:ind w:left="714"/>
        <w:contextualSpacing w:val="0"/>
        <w:jc w:val="both"/>
        <w:rPr>
          <w:rFonts w:ascii="Arial" w:hAnsi="Arial" w:cs="Arial"/>
          <w:color w:val="000000"/>
        </w:rPr>
      </w:pPr>
    </w:p>
    <w:bookmarkEnd w:id="0"/>
    <w:p w:rsidR="00D34CFA" w:rsidRPr="00072BCD" w:rsidRDefault="00D34CFA" w:rsidP="00817392">
      <w:pPr>
        <w:pStyle w:val="Zkladntext2"/>
        <w:spacing w:after="120"/>
        <w:jc w:val="both"/>
        <w:rPr>
          <w:rFonts w:ascii="Arial" w:hAnsi="Arial" w:cs="Arial"/>
          <w:szCs w:val="24"/>
        </w:rPr>
      </w:pPr>
      <w:r w:rsidRPr="00072BCD">
        <w:rPr>
          <w:rFonts w:ascii="Arial" w:hAnsi="Arial" w:cs="Arial"/>
          <w:szCs w:val="24"/>
        </w:rPr>
        <w:t xml:space="preserve">V Praze </w:t>
      </w:r>
      <w:r w:rsidR="00BE21E7" w:rsidRPr="00072BCD">
        <w:rPr>
          <w:rFonts w:ascii="Arial" w:hAnsi="Arial" w:cs="Arial"/>
          <w:szCs w:val="24"/>
        </w:rPr>
        <w:t xml:space="preserve">dne </w:t>
      </w:r>
      <w:r w:rsidR="00196AC1">
        <w:rPr>
          <w:rFonts w:ascii="Arial" w:hAnsi="Arial" w:cs="Arial"/>
          <w:szCs w:val="24"/>
        </w:rPr>
        <w:t>27</w:t>
      </w:r>
      <w:r w:rsidR="00BE21E7">
        <w:rPr>
          <w:rFonts w:ascii="Arial" w:hAnsi="Arial" w:cs="Arial"/>
          <w:szCs w:val="24"/>
        </w:rPr>
        <w:t>. února</w:t>
      </w:r>
      <w:r w:rsidR="00E50F5F">
        <w:rPr>
          <w:rFonts w:ascii="Arial" w:hAnsi="Arial" w:cs="Arial"/>
          <w:szCs w:val="24"/>
        </w:rPr>
        <w:t xml:space="preserve"> 2024</w:t>
      </w:r>
    </w:p>
    <w:sectPr w:rsidR="00D34CFA" w:rsidRPr="00072BCD" w:rsidSect="00ED096A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692" w:rsidRDefault="002C6692" w:rsidP="008F77F6">
      <w:r>
        <w:separator/>
      </w:r>
    </w:p>
  </w:endnote>
  <w:endnote w:type="continuationSeparator" w:id="0">
    <w:p w:rsidR="002C6692" w:rsidRDefault="002C6692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34A9" w:rsidRPr="00CC370F" w:rsidRDefault="00420E83" w:rsidP="002334A9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Metodický rámec mezinárodního </w:t>
    </w:r>
    <w:r w:rsidR="00E50F5F">
      <w:rPr>
        <w:rFonts w:ascii="Arial" w:hAnsi="Arial" w:cs="Arial"/>
        <w:sz w:val="18"/>
        <w:szCs w:val="18"/>
      </w:rPr>
      <w:t>hodnocení</w:t>
    </w:r>
    <w:r>
      <w:rPr>
        <w:rFonts w:ascii="Arial" w:hAnsi="Arial" w:cs="Arial"/>
        <w:sz w:val="18"/>
        <w:szCs w:val="18"/>
      </w:rPr>
      <w:t xml:space="preserve"> VVI</w:t>
    </w:r>
    <w:r w:rsidR="00A35EB6">
      <w:rPr>
        <w:rFonts w:ascii="Arial" w:hAnsi="Arial" w:cs="Arial"/>
        <w:sz w:val="18"/>
        <w:szCs w:val="18"/>
      </w:rPr>
      <w:t xml:space="preserve"> a </w:t>
    </w:r>
    <w:r>
      <w:rPr>
        <w:rFonts w:ascii="Arial" w:hAnsi="Arial" w:cs="Arial"/>
        <w:sz w:val="18"/>
        <w:szCs w:val="18"/>
      </w:rPr>
      <w:t xml:space="preserve"> </w:t>
    </w:r>
    <w:r w:rsidRPr="00420E83">
      <w:rPr>
        <w:rFonts w:ascii="Arial" w:hAnsi="Arial" w:cs="Arial"/>
        <w:sz w:val="18"/>
        <w:szCs w:val="18"/>
      </w:rPr>
      <w:t>Metodické postupy pro posuzování socioekonomických dopadů velkých výzkumných infrastruktur ČR</w:t>
    </w:r>
    <w:r w:rsidR="002334A9">
      <w:rPr>
        <w:rFonts w:ascii="Arial" w:hAnsi="Arial" w:cs="Arial"/>
        <w:sz w:val="18"/>
        <w:szCs w:val="18"/>
      </w:rPr>
      <w:t xml:space="preserve"> </w:t>
    </w:r>
    <w:r w:rsidR="002334A9">
      <w:rPr>
        <w:rFonts w:ascii="Arial" w:hAnsi="Arial" w:cs="Arial"/>
        <w:sz w:val="18"/>
        <w:szCs w:val="18"/>
      </w:rPr>
      <w:tab/>
    </w:r>
    <w:r w:rsidR="002334A9">
      <w:rPr>
        <w:rFonts w:ascii="Arial" w:hAnsi="Arial" w:cs="Arial"/>
        <w:sz w:val="18"/>
        <w:szCs w:val="18"/>
      </w:rPr>
      <w:tab/>
    </w:r>
    <w:r w:rsidR="002334A9" w:rsidRPr="002334A9">
      <w:rPr>
        <w:rFonts w:ascii="Arial" w:hAnsi="Arial" w:cs="Arial"/>
        <w:sz w:val="18"/>
        <w:szCs w:val="18"/>
      </w:rPr>
      <w:t xml:space="preserve"> </w:t>
    </w:r>
    <w:sdt>
      <w:sdtPr>
        <w:rPr>
          <w:rFonts w:ascii="Arial" w:hAnsi="Arial" w:cs="Arial"/>
          <w:sz w:val="18"/>
          <w:szCs w:val="18"/>
        </w:rPr>
        <w:id w:val="137166889"/>
        <w:docPartObj>
          <w:docPartGallery w:val="Page Numbers (Bottom of Page)"/>
          <w:docPartUnique/>
        </w:docPartObj>
      </w:sdtPr>
      <w:sdtContent>
        <w:r w:rsidR="002334A9" w:rsidRPr="00CC370F">
          <w:rPr>
            <w:rFonts w:ascii="Arial" w:hAnsi="Arial" w:cs="Arial"/>
            <w:sz w:val="18"/>
            <w:szCs w:val="18"/>
          </w:rPr>
          <w:fldChar w:fldCharType="begin"/>
        </w:r>
        <w:r w:rsidR="002334A9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2334A9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2334A9">
          <w:rPr>
            <w:rFonts w:ascii="Arial" w:hAnsi="Arial" w:cs="Arial"/>
            <w:noProof/>
            <w:sz w:val="18"/>
            <w:szCs w:val="18"/>
          </w:rPr>
          <w:t>4</w:t>
        </w:r>
        <w:r w:rsidR="002334A9" w:rsidRPr="00CC370F">
          <w:rPr>
            <w:rFonts w:ascii="Arial" w:hAnsi="Arial" w:cs="Arial"/>
            <w:sz w:val="18"/>
            <w:szCs w:val="18"/>
          </w:rPr>
          <w:fldChar w:fldCharType="end"/>
        </w:r>
        <w:r w:rsidR="002334A9" w:rsidRPr="00CC370F">
          <w:rPr>
            <w:rFonts w:ascii="Arial" w:hAnsi="Arial" w:cs="Arial"/>
            <w:sz w:val="18"/>
            <w:szCs w:val="18"/>
          </w:rPr>
          <w:t xml:space="preserve"> / </w:t>
        </w:r>
        <w:r w:rsidR="002334A9" w:rsidRPr="00CC370F">
          <w:rPr>
            <w:rFonts w:ascii="Arial" w:hAnsi="Arial" w:cs="Arial"/>
            <w:sz w:val="18"/>
            <w:szCs w:val="18"/>
          </w:rPr>
          <w:fldChar w:fldCharType="begin"/>
        </w:r>
        <w:r w:rsidR="002334A9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2334A9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2334A9">
          <w:rPr>
            <w:rFonts w:ascii="Arial" w:hAnsi="Arial" w:cs="Arial"/>
            <w:noProof/>
            <w:sz w:val="18"/>
            <w:szCs w:val="18"/>
          </w:rPr>
          <w:t>4</w:t>
        </w:r>
        <w:r w:rsidR="002334A9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  <w:p w:rsidR="00CC370F" w:rsidRPr="00420E83" w:rsidRDefault="00CC370F" w:rsidP="00420E83">
    <w:pPr>
      <w:pStyle w:val="Zpat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2334A9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2334A9">
          <w:rPr>
            <w:rFonts w:ascii="Arial" w:hAnsi="Arial" w:cs="Arial"/>
            <w:noProof/>
            <w:sz w:val="18"/>
            <w:szCs w:val="18"/>
          </w:rPr>
          <w:t>4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692" w:rsidRDefault="002C6692" w:rsidP="008F77F6">
      <w:r>
        <w:separator/>
      </w:r>
    </w:p>
  </w:footnote>
  <w:footnote w:type="continuationSeparator" w:id="0">
    <w:p w:rsidR="002C6692" w:rsidRDefault="002C6692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6C411D27" wp14:editId="190846EC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153264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8240" behindDoc="0" locked="0" layoutInCell="1" allowOverlap="1" wp14:anchorId="6D9598FC" wp14:editId="1F1ADFCE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DBE5F1" w:themeFill="accent1" w:themeFillTint="33"/>
          <w:vAlign w:val="center"/>
        </w:tcPr>
        <w:p w:rsidR="00265A36" w:rsidRPr="003C2A8E" w:rsidRDefault="009758E5" w:rsidP="00FE5AC9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7A5409">
            <w:rPr>
              <w:rFonts w:ascii="Arial" w:hAnsi="Arial" w:cs="Arial"/>
              <w:b/>
              <w:color w:val="0070C0"/>
              <w:sz w:val="28"/>
              <w:szCs w:val="28"/>
            </w:rPr>
            <w:t>99</w:t>
          </w:r>
          <w:r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FE5AC9">
            <w:rPr>
              <w:rFonts w:ascii="Arial" w:hAnsi="Arial" w:cs="Arial"/>
              <w:b/>
              <w:color w:val="0070C0"/>
              <w:sz w:val="28"/>
              <w:szCs w:val="28"/>
            </w:rPr>
            <w:t>A</w:t>
          </w:r>
          <w:r w:rsidR="00C23222">
            <w:rPr>
              <w:rFonts w:ascii="Arial" w:hAnsi="Arial" w:cs="Arial"/>
              <w:b/>
              <w:color w:val="0070C0"/>
              <w:sz w:val="28"/>
              <w:szCs w:val="28"/>
            </w:rPr>
            <w:t>2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F3A43"/>
    <w:multiLevelType w:val="hybridMultilevel"/>
    <w:tmpl w:val="A4B8D5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0A7E10"/>
    <w:multiLevelType w:val="hybridMultilevel"/>
    <w:tmpl w:val="BF129328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5BE7196"/>
    <w:multiLevelType w:val="hybridMultilevel"/>
    <w:tmpl w:val="D50E0ABC"/>
    <w:lvl w:ilvl="0" w:tplc="23862848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84B625F"/>
    <w:multiLevelType w:val="hybridMultilevel"/>
    <w:tmpl w:val="46661ED4"/>
    <w:lvl w:ilvl="0" w:tplc="E6B8AB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6719E9"/>
    <w:multiLevelType w:val="hybridMultilevel"/>
    <w:tmpl w:val="770C84E2"/>
    <w:lvl w:ilvl="0" w:tplc="0405001B">
      <w:start w:val="1"/>
      <w:numFmt w:val="lowerRoman"/>
      <w:lvlText w:val="%1."/>
      <w:lvlJc w:val="righ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A53564F"/>
    <w:multiLevelType w:val="multilevel"/>
    <w:tmpl w:val="397CB09E"/>
    <w:styleLink w:val="StylSodrkami"/>
    <w:lvl w:ilvl="0">
      <w:start w:val="1"/>
      <w:numFmt w:val="bullet"/>
      <w:lvlText w:val="o"/>
      <w:lvlJc w:val="left"/>
      <w:pPr>
        <w:tabs>
          <w:tab w:val="num" w:pos="1117"/>
        </w:tabs>
        <w:ind w:left="1117" w:hanging="360"/>
      </w:pPr>
      <w:rPr>
        <w:rFonts w:ascii="Times New Roman" w:hAnsi="Times New Roman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8" w15:restartNumberingAfterBreak="0">
    <w:nsid w:val="0B1F57BE"/>
    <w:multiLevelType w:val="hybridMultilevel"/>
    <w:tmpl w:val="C2A271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1A5813"/>
    <w:multiLevelType w:val="hybridMultilevel"/>
    <w:tmpl w:val="CCE85DBC"/>
    <w:lvl w:ilvl="0" w:tplc="5DD09158">
      <w:start w:val="1"/>
      <w:numFmt w:val="upperRoman"/>
      <w:lvlText w:val="%1)"/>
      <w:lvlJc w:val="left"/>
      <w:pPr>
        <w:ind w:left="720" w:hanging="36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697011"/>
    <w:multiLevelType w:val="hybridMultilevel"/>
    <w:tmpl w:val="FD00AAD0"/>
    <w:lvl w:ilvl="0" w:tplc="6C403B0C">
      <w:start w:val="1"/>
      <w:numFmt w:val="decimal"/>
      <w:lvlText w:val="%1)"/>
      <w:lvlJc w:val="left"/>
      <w:pPr>
        <w:ind w:left="1440" w:hanging="360"/>
      </w:pPr>
      <w:rPr>
        <w:rFonts w:ascii="Arial" w:eastAsia="Times New Roman" w:hAnsi="Arial" w:cs="Arial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B57490"/>
    <w:multiLevelType w:val="hybridMultilevel"/>
    <w:tmpl w:val="1A14F750"/>
    <w:lvl w:ilvl="0" w:tplc="9A16D20E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98377D"/>
    <w:multiLevelType w:val="hybridMultilevel"/>
    <w:tmpl w:val="988822E2"/>
    <w:lvl w:ilvl="0" w:tplc="0405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E137916"/>
    <w:multiLevelType w:val="hybridMultilevel"/>
    <w:tmpl w:val="0FEE8992"/>
    <w:lvl w:ilvl="0" w:tplc="270C4792">
      <w:start w:val="1"/>
      <w:numFmt w:val="lowerRoman"/>
      <w:lvlText w:val="%1."/>
      <w:lvlJc w:val="righ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2C63172"/>
    <w:multiLevelType w:val="hybridMultilevel"/>
    <w:tmpl w:val="325A19DA"/>
    <w:lvl w:ilvl="0" w:tplc="55EC984E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/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730" w:hanging="360"/>
      </w:pPr>
    </w:lvl>
    <w:lvl w:ilvl="2" w:tplc="0405001B" w:tentative="1">
      <w:start w:val="1"/>
      <w:numFmt w:val="lowerRoman"/>
      <w:lvlText w:val="%3."/>
      <w:lvlJc w:val="right"/>
      <w:pPr>
        <w:ind w:left="1450" w:hanging="180"/>
      </w:pPr>
    </w:lvl>
    <w:lvl w:ilvl="3" w:tplc="0405000F" w:tentative="1">
      <w:start w:val="1"/>
      <w:numFmt w:val="decimal"/>
      <w:lvlText w:val="%4."/>
      <w:lvlJc w:val="left"/>
      <w:pPr>
        <w:ind w:left="2170" w:hanging="360"/>
      </w:pPr>
    </w:lvl>
    <w:lvl w:ilvl="4" w:tplc="04050019" w:tentative="1">
      <w:start w:val="1"/>
      <w:numFmt w:val="lowerLetter"/>
      <w:lvlText w:val="%5."/>
      <w:lvlJc w:val="left"/>
      <w:pPr>
        <w:ind w:left="2890" w:hanging="360"/>
      </w:pPr>
    </w:lvl>
    <w:lvl w:ilvl="5" w:tplc="0405001B" w:tentative="1">
      <w:start w:val="1"/>
      <w:numFmt w:val="lowerRoman"/>
      <w:lvlText w:val="%6."/>
      <w:lvlJc w:val="right"/>
      <w:pPr>
        <w:ind w:left="3610" w:hanging="180"/>
      </w:pPr>
    </w:lvl>
    <w:lvl w:ilvl="6" w:tplc="0405000F" w:tentative="1">
      <w:start w:val="1"/>
      <w:numFmt w:val="decimal"/>
      <w:lvlText w:val="%7."/>
      <w:lvlJc w:val="left"/>
      <w:pPr>
        <w:ind w:left="4330" w:hanging="360"/>
      </w:pPr>
    </w:lvl>
    <w:lvl w:ilvl="7" w:tplc="04050019" w:tentative="1">
      <w:start w:val="1"/>
      <w:numFmt w:val="lowerLetter"/>
      <w:lvlText w:val="%8."/>
      <w:lvlJc w:val="left"/>
      <w:pPr>
        <w:ind w:left="5050" w:hanging="360"/>
      </w:pPr>
    </w:lvl>
    <w:lvl w:ilvl="8" w:tplc="0405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15" w15:restartNumberingAfterBreak="0">
    <w:nsid w:val="234C43E6"/>
    <w:multiLevelType w:val="hybridMultilevel"/>
    <w:tmpl w:val="3566DE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9551DB"/>
    <w:multiLevelType w:val="hybridMultilevel"/>
    <w:tmpl w:val="01D007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006C20"/>
    <w:multiLevelType w:val="hybridMultilevel"/>
    <w:tmpl w:val="93DABAA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82A12FC"/>
    <w:multiLevelType w:val="hybridMultilevel"/>
    <w:tmpl w:val="EF42354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290975AE"/>
    <w:multiLevelType w:val="hybridMultilevel"/>
    <w:tmpl w:val="EBC466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B44D97"/>
    <w:multiLevelType w:val="hybridMultilevel"/>
    <w:tmpl w:val="4A0873D6"/>
    <w:lvl w:ilvl="0" w:tplc="15A82C9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70C0"/>
        <w:sz w:val="28"/>
      </w:rPr>
    </w:lvl>
    <w:lvl w:ilvl="1" w:tplc="55EC984E">
      <w:start w:val="1"/>
      <w:numFmt w:val="decimal"/>
      <w:lvlText w:val="%2)"/>
      <w:lvlJc w:val="left"/>
      <w:pPr>
        <w:ind w:left="1778" w:hanging="360"/>
      </w:pPr>
      <w:rPr>
        <w:rFonts w:ascii="Arial" w:eastAsia="Times New Roman" w:hAnsi="Arial" w:cs="Arial"/>
        <w:b w:val="0"/>
        <w:i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846036"/>
    <w:multiLevelType w:val="hybridMultilevel"/>
    <w:tmpl w:val="CCE85DBC"/>
    <w:lvl w:ilvl="0" w:tplc="5DD09158">
      <w:start w:val="1"/>
      <w:numFmt w:val="upperRoman"/>
      <w:lvlText w:val="%1)"/>
      <w:lvlJc w:val="left"/>
      <w:pPr>
        <w:ind w:left="720" w:hanging="36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756E6B"/>
    <w:multiLevelType w:val="hybridMultilevel"/>
    <w:tmpl w:val="654EF61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32" w:hanging="360"/>
      </w:pPr>
    </w:lvl>
    <w:lvl w:ilvl="2" w:tplc="0405001B" w:tentative="1">
      <w:start w:val="1"/>
      <w:numFmt w:val="lowerRoman"/>
      <w:lvlText w:val="%3."/>
      <w:lvlJc w:val="right"/>
      <w:pPr>
        <w:ind w:left="1452" w:hanging="180"/>
      </w:pPr>
    </w:lvl>
    <w:lvl w:ilvl="3" w:tplc="0405000F" w:tentative="1">
      <w:start w:val="1"/>
      <w:numFmt w:val="decimal"/>
      <w:lvlText w:val="%4."/>
      <w:lvlJc w:val="left"/>
      <w:pPr>
        <w:ind w:left="2172" w:hanging="360"/>
      </w:pPr>
    </w:lvl>
    <w:lvl w:ilvl="4" w:tplc="04050019" w:tentative="1">
      <w:start w:val="1"/>
      <w:numFmt w:val="lowerLetter"/>
      <w:lvlText w:val="%5."/>
      <w:lvlJc w:val="left"/>
      <w:pPr>
        <w:ind w:left="2892" w:hanging="360"/>
      </w:pPr>
    </w:lvl>
    <w:lvl w:ilvl="5" w:tplc="0405001B" w:tentative="1">
      <w:start w:val="1"/>
      <w:numFmt w:val="lowerRoman"/>
      <w:lvlText w:val="%6."/>
      <w:lvlJc w:val="right"/>
      <w:pPr>
        <w:ind w:left="3612" w:hanging="180"/>
      </w:pPr>
    </w:lvl>
    <w:lvl w:ilvl="6" w:tplc="0405000F" w:tentative="1">
      <w:start w:val="1"/>
      <w:numFmt w:val="decimal"/>
      <w:lvlText w:val="%7."/>
      <w:lvlJc w:val="left"/>
      <w:pPr>
        <w:ind w:left="4332" w:hanging="360"/>
      </w:pPr>
    </w:lvl>
    <w:lvl w:ilvl="7" w:tplc="04050019" w:tentative="1">
      <w:start w:val="1"/>
      <w:numFmt w:val="lowerLetter"/>
      <w:lvlText w:val="%8."/>
      <w:lvlJc w:val="left"/>
      <w:pPr>
        <w:ind w:left="5052" w:hanging="360"/>
      </w:pPr>
    </w:lvl>
    <w:lvl w:ilvl="8" w:tplc="040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23" w15:restartNumberingAfterBreak="0">
    <w:nsid w:val="399958CC"/>
    <w:multiLevelType w:val="hybridMultilevel"/>
    <w:tmpl w:val="E94CA1BE"/>
    <w:lvl w:ilvl="0" w:tplc="ED20643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B96CC6"/>
    <w:multiLevelType w:val="hybridMultilevel"/>
    <w:tmpl w:val="6534D7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8C111F"/>
    <w:multiLevelType w:val="hybridMultilevel"/>
    <w:tmpl w:val="FCD41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76245D"/>
    <w:multiLevelType w:val="hybridMultilevel"/>
    <w:tmpl w:val="7A6A9A98"/>
    <w:lvl w:ilvl="0" w:tplc="13B0CB9A">
      <w:start w:val="1"/>
      <w:numFmt w:val="lowerRoman"/>
      <w:lvlText w:val="%1."/>
      <w:lvlJc w:val="righ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4F303604"/>
    <w:multiLevelType w:val="hybridMultilevel"/>
    <w:tmpl w:val="DDC2E18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547479"/>
    <w:multiLevelType w:val="hybridMultilevel"/>
    <w:tmpl w:val="CE34591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6E141CD"/>
    <w:multiLevelType w:val="hybridMultilevel"/>
    <w:tmpl w:val="68CCB6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5B463C"/>
    <w:multiLevelType w:val="hybridMultilevel"/>
    <w:tmpl w:val="AFB2CF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9625078"/>
    <w:multiLevelType w:val="hybridMultilevel"/>
    <w:tmpl w:val="00646F10"/>
    <w:lvl w:ilvl="0" w:tplc="B6F67BEC">
      <w:start w:val="1"/>
      <w:numFmt w:val="bullet"/>
      <w:pStyle w:val="normln-odr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88EFC8C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ascii="Arial" w:eastAsia="Times New Roman" w:hAnsi="Arial" w:cs="Arial"/>
        <w:b w:val="0"/>
        <w:i w:val="0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E67649A"/>
    <w:multiLevelType w:val="hybridMultilevel"/>
    <w:tmpl w:val="35D0BB6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862911"/>
    <w:multiLevelType w:val="hybridMultilevel"/>
    <w:tmpl w:val="784A0A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3CE0FD3"/>
    <w:multiLevelType w:val="hybridMultilevel"/>
    <w:tmpl w:val="9CF85F6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58D1772"/>
    <w:multiLevelType w:val="hybridMultilevel"/>
    <w:tmpl w:val="6AACDD62"/>
    <w:lvl w:ilvl="0" w:tplc="0106B2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866DA0"/>
    <w:multiLevelType w:val="hybridMultilevel"/>
    <w:tmpl w:val="E728AC18"/>
    <w:lvl w:ilvl="0" w:tplc="ACEE950C">
      <w:start w:val="1"/>
      <w:numFmt w:val="decimal"/>
      <w:pStyle w:val="Styl1"/>
      <w:lvlText w:val="%1."/>
      <w:lvlJc w:val="left"/>
      <w:pPr>
        <w:ind w:left="357" w:hanging="357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DD1BB1"/>
    <w:multiLevelType w:val="hybridMultilevel"/>
    <w:tmpl w:val="6D3C30E6"/>
    <w:lvl w:ilvl="0" w:tplc="C6842B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970B81"/>
    <w:multiLevelType w:val="hybridMultilevel"/>
    <w:tmpl w:val="3CA4C1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2E6354"/>
    <w:multiLevelType w:val="hybridMultilevel"/>
    <w:tmpl w:val="B5D437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71680C"/>
    <w:multiLevelType w:val="hybridMultilevel"/>
    <w:tmpl w:val="962EE5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F01B67"/>
    <w:multiLevelType w:val="hybridMultilevel"/>
    <w:tmpl w:val="E47C2446"/>
    <w:lvl w:ilvl="0" w:tplc="8C2E3440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99B71AD"/>
    <w:multiLevelType w:val="hybridMultilevel"/>
    <w:tmpl w:val="70CCA278"/>
    <w:lvl w:ilvl="0" w:tplc="D8C6B1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AA55645"/>
    <w:multiLevelType w:val="hybridMultilevel"/>
    <w:tmpl w:val="CE7ADD78"/>
    <w:lvl w:ilvl="0" w:tplc="E6B43D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714CCF"/>
    <w:multiLevelType w:val="hybridMultilevel"/>
    <w:tmpl w:val="6542F9A6"/>
    <w:lvl w:ilvl="0" w:tplc="D2D611D4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0"/>
  </w:num>
  <w:num w:numId="2">
    <w:abstractNumId w:val="18"/>
  </w:num>
  <w:num w:numId="3">
    <w:abstractNumId w:val="20"/>
  </w:num>
  <w:num w:numId="4">
    <w:abstractNumId w:val="31"/>
  </w:num>
  <w:num w:numId="5">
    <w:abstractNumId w:val="3"/>
  </w:num>
  <w:num w:numId="6">
    <w:abstractNumId w:val="1"/>
  </w:num>
  <w:num w:numId="7">
    <w:abstractNumId w:val="44"/>
  </w:num>
  <w:num w:numId="8">
    <w:abstractNumId w:val="25"/>
  </w:num>
  <w:num w:numId="9">
    <w:abstractNumId w:val="30"/>
  </w:num>
  <w:num w:numId="10">
    <w:abstractNumId w:val="10"/>
  </w:num>
  <w:num w:numId="11">
    <w:abstractNumId w:val="14"/>
  </w:num>
  <w:num w:numId="12">
    <w:abstractNumId w:val="41"/>
  </w:num>
  <w:num w:numId="13">
    <w:abstractNumId w:val="42"/>
  </w:num>
  <w:num w:numId="14">
    <w:abstractNumId w:val="28"/>
  </w:num>
  <w:num w:numId="15">
    <w:abstractNumId w:val="40"/>
  </w:num>
  <w:num w:numId="16">
    <w:abstractNumId w:val="34"/>
  </w:num>
  <w:num w:numId="17">
    <w:abstractNumId w:val="38"/>
  </w:num>
  <w:num w:numId="18">
    <w:abstractNumId w:val="12"/>
  </w:num>
  <w:num w:numId="19">
    <w:abstractNumId w:val="8"/>
  </w:num>
  <w:num w:numId="20">
    <w:abstractNumId w:val="4"/>
  </w:num>
  <w:num w:numId="21">
    <w:abstractNumId w:val="6"/>
  </w:num>
  <w:num w:numId="22">
    <w:abstractNumId w:val="17"/>
  </w:num>
  <w:num w:numId="23">
    <w:abstractNumId w:val="23"/>
  </w:num>
  <w:num w:numId="24">
    <w:abstractNumId w:val="39"/>
  </w:num>
  <w:num w:numId="25">
    <w:abstractNumId w:val="26"/>
  </w:num>
  <w:num w:numId="26">
    <w:abstractNumId w:val="22"/>
  </w:num>
  <w:num w:numId="27">
    <w:abstractNumId w:val="5"/>
  </w:num>
  <w:num w:numId="28">
    <w:abstractNumId w:val="11"/>
  </w:num>
  <w:num w:numId="29">
    <w:abstractNumId w:val="43"/>
  </w:num>
  <w:num w:numId="30">
    <w:abstractNumId w:val="13"/>
  </w:num>
  <w:num w:numId="31">
    <w:abstractNumId w:val="33"/>
  </w:num>
  <w:num w:numId="32">
    <w:abstractNumId w:val="35"/>
  </w:num>
  <w:num w:numId="33">
    <w:abstractNumId w:val="29"/>
  </w:num>
  <w:num w:numId="34">
    <w:abstractNumId w:val="21"/>
  </w:num>
  <w:num w:numId="35">
    <w:abstractNumId w:val="9"/>
  </w:num>
  <w:num w:numId="36">
    <w:abstractNumId w:val="7"/>
  </w:num>
  <w:num w:numId="37">
    <w:abstractNumId w:val="19"/>
  </w:num>
  <w:num w:numId="38">
    <w:abstractNumId w:val="15"/>
  </w:num>
  <w:num w:numId="39">
    <w:abstractNumId w:val="32"/>
  </w:num>
  <w:num w:numId="40">
    <w:abstractNumId w:val="27"/>
  </w:num>
  <w:num w:numId="41">
    <w:abstractNumId w:val="16"/>
  </w:num>
  <w:num w:numId="42">
    <w:abstractNumId w:val="37"/>
  </w:num>
  <w:num w:numId="43">
    <w:abstractNumId w:val="24"/>
  </w:num>
  <w:num w:numId="44">
    <w:abstractNumId w:val="2"/>
  </w:num>
  <w:num w:numId="4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1554"/>
    <w:rsid w:val="00001947"/>
    <w:rsid w:val="00004F56"/>
    <w:rsid w:val="0000704E"/>
    <w:rsid w:val="00007077"/>
    <w:rsid w:val="00010094"/>
    <w:rsid w:val="0001134B"/>
    <w:rsid w:val="00012D3F"/>
    <w:rsid w:val="000133E6"/>
    <w:rsid w:val="00015E5D"/>
    <w:rsid w:val="000160EF"/>
    <w:rsid w:val="00016576"/>
    <w:rsid w:val="00020C06"/>
    <w:rsid w:val="0002110B"/>
    <w:rsid w:val="00021994"/>
    <w:rsid w:val="0002249D"/>
    <w:rsid w:val="000307D4"/>
    <w:rsid w:val="00030E68"/>
    <w:rsid w:val="000322F6"/>
    <w:rsid w:val="000329FF"/>
    <w:rsid w:val="000351CE"/>
    <w:rsid w:val="000364BF"/>
    <w:rsid w:val="00040CD2"/>
    <w:rsid w:val="000429DC"/>
    <w:rsid w:val="000430A4"/>
    <w:rsid w:val="00043BFD"/>
    <w:rsid w:val="00043D9D"/>
    <w:rsid w:val="0004544F"/>
    <w:rsid w:val="000455FB"/>
    <w:rsid w:val="0005012A"/>
    <w:rsid w:val="00050439"/>
    <w:rsid w:val="0005161E"/>
    <w:rsid w:val="0005350D"/>
    <w:rsid w:val="00054B23"/>
    <w:rsid w:val="0005583A"/>
    <w:rsid w:val="000614EF"/>
    <w:rsid w:val="000617AC"/>
    <w:rsid w:val="0006258F"/>
    <w:rsid w:val="00062FA0"/>
    <w:rsid w:val="0006532E"/>
    <w:rsid w:val="00065396"/>
    <w:rsid w:val="00065EF3"/>
    <w:rsid w:val="00065EFD"/>
    <w:rsid w:val="00066D7B"/>
    <w:rsid w:val="00066FD7"/>
    <w:rsid w:val="000701EA"/>
    <w:rsid w:val="00070512"/>
    <w:rsid w:val="00070BAF"/>
    <w:rsid w:val="000710A5"/>
    <w:rsid w:val="0007180B"/>
    <w:rsid w:val="00072BCD"/>
    <w:rsid w:val="00075BD0"/>
    <w:rsid w:val="000770DF"/>
    <w:rsid w:val="00077465"/>
    <w:rsid w:val="00080564"/>
    <w:rsid w:val="000838A9"/>
    <w:rsid w:val="00085C7A"/>
    <w:rsid w:val="000876BB"/>
    <w:rsid w:val="00091335"/>
    <w:rsid w:val="00091404"/>
    <w:rsid w:val="00092A95"/>
    <w:rsid w:val="00092D90"/>
    <w:rsid w:val="00093B57"/>
    <w:rsid w:val="000944AE"/>
    <w:rsid w:val="000949B8"/>
    <w:rsid w:val="00094F80"/>
    <w:rsid w:val="000A5A84"/>
    <w:rsid w:val="000A6508"/>
    <w:rsid w:val="000A6D3C"/>
    <w:rsid w:val="000B2780"/>
    <w:rsid w:val="000B2D07"/>
    <w:rsid w:val="000B3D84"/>
    <w:rsid w:val="000B3E2B"/>
    <w:rsid w:val="000B55AF"/>
    <w:rsid w:val="000C2343"/>
    <w:rsid w:val="000C4A33"/>
    <w:rsid w:val="000C69BB"/>
    <w:rsid w:val="000C7CF4"/>
    <w:rsid w:val="000D15F1"/>
    <w:rsid w:val="000D4BF7"/>
    <w:rsid w:val="000D50B5"/>
    <w:rsid w:val="000D7CE8"/>
    <w:rsid w:val="000D7F79"/>
    <w:rsid w:val="000E1F37"/>
    <w:rsid w:val="000E2B24"/>
    <w:rsid w:val="000E4068"/>
    <w:rsid w:val="000E4ADA"/>
    <w:rsid w:val="000E5EF4"/>
    <w:rsid w:val="000E7BDB"/>
    <w:rsid w:val="000F03D5"/>
    <w:rsid w:val="000F04C9"/>
    <w:rsid w:val="000F5C14"/>
    <w:rsid w:val="001069B6"/>
    <w:rsid w:val="00106A6A"/>
    <w:rsid w:val="001103F3"/>
    <w:rsid w:val="00110A97"/>
    <w:rsid w:val="00111E9F"/>
    <w:rsid w:val="00114555"/>
    <w:rsid w:val="001242A4"/>
    <w:rsid w:val="001242ED"/>
    <w:rsid w:val="001245FD"/>
    <w:rsid w:val="00126B11"/>
    <w:rsid w:val="00127CBE"/>
    <w:rsid w:val="00130B16"/>
    <w:rsid w:val="001370C3"/>
    <w:rsid w:val="00140B78"/>
    <w:rsid w:val="0014491D"/>
    <w:rsid w:val="00152215"/>
    <w:rsid w:val="00152B54"/>
    <w:rsid w:val="00152BF2"/>
    <w:rsid w:val="00153264"/>
    <w:rsid w:val="00161082"/>
    <w:rsid w:val="001636FB"/>
    <w:rsid w:val="00163ECA"/>
    <w:rsid w:val="001677F4"/>
    <w:rsid w:val="00167D9C"/>
    <w:rsid w:val="001722B0"/>
    <w:rsid w:val="0017246A"/>
    <w:rsid w:val="00180DAC"/>
    <w:rsid w:val="001812FA"/>
    <w:rsid w:val="00181F8B"/>
    <w:rsid w:val="00182044"/>
    <w:rsid w:val="001833D0"/>
    <w:rsid w:val="00184322"/>
    <w:rsid w:val="00184F31"/>
    <w:rsid w:val="00185D1F"/>
    <w:rsid w:val="00186668"/>
    <w:rsid w:val="00190269"/>
    <w:rsid w:val="00190924"/>
    <w:rsid w:val="00193888"/>
    <w:rsid w:val="00194611"/>
    <w:rsid w:val="00196AC1"/>
    <w:rsid w:val="00196F68"/>
    <w:rsid w:val="00196FC6"/>
    <w:rsid w:val="001A0DD2"/>
    <w:rsid w:val="001A1676"/>
    <w:rsid w:val="001A46AD"/>
    <w:rsid w:val="001A6456"/>
    <w:rsid w:val="001B3A9B"/>
    <w:rsid w:val="001B4064"/>
    <w:rsid w:val="001B4532"/>
    <w:rsid w:val="001B4CEF"/>
    <w:rsid w:val="001B6318"/>
    <w:rsid w:val="001C0774"/>
    <w:rsid w:val="001C1F3E"/>
    <w:rsid w:val="001C22B3"/>
    <w:rsid w:val="001C2B1A"/>
    <w:rsid w:val="001D3091"/>
    <w:rsid w:val="001D35DB"/>
    <w:rsid w:val="001D40C5"/>
    <w:rsid w:val="001E2DAA"/>
    <w:rsid w:val="001E4A34"/>
    <w:rsid w:val="001F0106"/>
    <w:rsid w:val="001F1965"/>
    <w:rsid w:val="001F23E0"/>
    <w:rsid w:val="001F37FE"/>
    <w:rsid w:val="001F532E"/>
    <w:rsid w:val="001F6F7C"/>
    <w:rsid w:val="001F7CF5"/>
    <w:rsid w:val="00202087"/>
    <w:rsid w:val="0020434F"/>
    <w:rsid w:val="00213D9E"/>
    <w:rsid w:val="00215688"/>
    <w:rsid w:val="00226133"/>
    <w:rsid w:val="00231775"/>
    <w:rsid w:val="002325E9"/>
    <w:rsid w:val="002334A9"/>
    <w:rsid w:val="00236827"/>
    <w:rsid w:val="00237006"/>
    <w:rsid w:val="00237618"/>
    <w:rsid w:val="00251352"/>
    <w:rsid w:val="00251F89"/>
    <w:rsid w:val="00257A35"/>
    <w:rsid w:val="00263EF2"/>
    <w:rsid w:val="00265A36"/>
    <w:rsid w:val="00280586"/>
    <w:rsid w:val="002807FC"/>
    <w:rsid w:val="00281D46"/>
    <w:rsid w:val="0028211A"/>
    <w:rsid w:val="00285B23"/>
    <w:rsid w:val="00286ADE"/>
    <w:rsid w:val="00290303"/>
    <w:rsid w:val="002937C8"/>
    <w:rsid w:val="00293A94"/>
    <w:rsid w:val="00294C9E"/>
    <w:rsid w:val="002953DA"/>
    <w:rsid w:val="002A590B"/>
    <w:rsid w:val="002A5EDC"/>
    <w:rsid w:val="002A63C3"/>
    <w:rsid w:val="002A6C05"/>
    <w:rsid w:val="002A6E4E"/>
    <w:rsid w:val="002A766E"/>
    <w:rsid w:val="002B131D"/>
    <w:rsid w:val="002B2230"/>
    <w:rsid w:val="002B2F8F"/>
    <w:rsid w:val="002B31C8"/>
    <w:rsid w:val="002C1732"/>
    <w:rsid w:val="002C1D52"/>
    <w:rsid w:val="002C3EA8"/>
    <w:rsid w:val="002C6692"/>
    <w:rsid w:val="002D0869"/>
    <w:rsid w:val="002D4393"/>
    <w:rsid w:val="002D6D62"/>
    <w:rsid w:val="002E2591"/>
    <w:rsid w:val="002E25E1"/>
    <w:rsid w:val="002E61F3"/>
    <w:rsid w:val="002F1FE7"/>
    <w:rsid w:val="002F2272"/>
    <w:rsid w:val="002F282F"/>
    <w:rsid w:val="002F2B2D"/>
    <w:rsid w:val="002F36E6"/>
    <w:rsid w:val="002F40C8"/>
    <w:rsid w:val="0030134E"/>
    <w:rsid w:val="00304753"/>
    <w:rsid w:val="00306196"/>
    <w:rsid w:val="0030629C"/>
    <w:rsid w:val="00307AE8"/>
    <w:rsid w:val="0031155D"/>
    <w:rsid w:val="00313916"/>
    <w:rsid w:val="00314A8D"/>
    <w:rsid w:val="00314F2F"/>
    <w:rsid w:val="0031511B"/>
    <w:rsid w:val="00320023"/>
    <w:rsid w:val="00322E8A"/>
    <w:rsid w:val="003233B2"/>
    <w:rsid w:val="00325D31"/>
    <w:rsid w:val="00330D3A"/>
    <w:rsid w:val="003313E5"/>
    <w:rsid w:val="00336CDF"/>
    <w:rsid w:val="003415EB"/>
    <w:rsid w:val="003441A0"/>
    <w:rsid w:val="0034625D"/>
    <w:rsid w:val="0034669E"/>
    <w:rsid w:val="00347645"/>
    <w:rsid w:val="00350B05"/>
    <w:rsid w:val="003529FE"/>
    <w:rsid w:val="003535FD"/>
    <w:rsid w:val="0035504E"/>
    <w:rsid w:val="003573BA"/>
    <w:rsid w:val="00360293"/>
    <w:rsid w:val="00360345"/>
    <w:rsid w:val="00361B3F"/>
    <w:rsid w:val="00362CC5"/>
    <w:rsid w:val="003634EE"/>
    <w:rsid w:val="0036476D"/>
    <w:rsid w:val="00365269"/>
    <w:rsid w:val="00365ABB"/>
    <w:rsid w:val="00371E90"/>
    <w:rsid w:val="003743BB"/>
    <w:rsid w:val="0037475C"/>
    <w:rsid w:val="00374984"/>
    <w:rsid w:val="0037509B"/>
    <w:rsid w:val="0037726B"/>
    <w:rsid w:val="00377B37"/>
    <w:rsid w:val="00382645"/>
    <w:rsid w:val="00383525"/>
    <w:rsid w:val="003841DF"/>
    <w:rsid w:val="003866D2"/>
    <w:rsid w:val="00387B05"/>
    <w:rsid w:val="003909D2"/>
    <w:rsid w:val="00392976"/>
    <w:rsid w:val="003A14B7"/>
    <w:rsid w:val="003A1A9A"/>
    <w:rsid w:val="003B1660"/>
    <w:rsid w:val="003B31C7"/>
    <w:rsid w:val="003B40D6"/>
    <w:rsid w:val="003B5996"/>
    <w:rsid w:val="003B6008"/>
    <w:rsid w:val="003B77F7"/>
    <w:rsid w:val="003B79AF"/>
    <w:rsid w:val="003C1A86"/>
    <w:rsid w:val="003C2A8E"/>
    <w:rsid w:val="003C5E20"/>
    <w:rsid w:val="003C68BE"/>
    <w:rsid w:val="003C6FEC"/>
    <w:rsid w:val="003D7024"/>
    <w:rsid w:val="003E126C"/>
    <w:rsid w:val="003E7EA3"/>
    <w:rsid w:val="003F004B"/>
    <w:rsid w:val="003F0E23"/>
    <w:rsid w:val="003F255A"/>
    <w:rsid w:val="003F2EC5"/>
    <w:rsid w:val="003F4B05"/>
    <w:rsid w:val="003F584E"/>
    <w:rsid w:val="003F5F5D"/>
    <w:rsid w:val="003F6C5C"/>
    <w:rsid w:val="003F733A"/>
    <w:rsid w:val="00403A3A"/>
    <w:rsid w:val="0040412F"/>
    <w:rsid w:val="004043A7"/>
    <w:rsid w:val="00407D5A"/>
    <w:rsid w:val="00410AAF"/>
    <w:rsid w:val="0041165C"/>
    <w:rsid w:val="0041219D"/>
    <w:rsid w:val="00416DC1"/>
    <w:rsid w:val="00420E83"/>
    <w:rsid w:val="004213DE"/>
    <w:rsid w:val="00421ED8"/>
    <w:rsid w:val="0042258C"/>
    <w:rsid w:val="004227EF"/>
    <w:rsid w:val="00425D54"/>
    <w:rsid w:val="00426CE4"/>
    <w:rsid w:val="004334A6"/>
    <w:rsid w:val="00433EE9"/>
    <w:rsid w:val="0043401E"/>
    <w:rsid w:val="00437FAE"/>
    <w:rsid w:val="004426CE"/>
    <w:rsid w:val="00443D5F"/>
    <w:rsid w:val="00444D72"/>
    <w:rsid w:val="00446D21"/>
    <w:rsid w:val="00447D69"/>
    <w:rsid w:val="00447F47"/>
    <w:rsid w:val="004529D1"/>
    <w:rsid w:val="004544D8"/>
    <w:rsid w:val="00455DE7"/>
    <w:rsid w:val="00456832"/>
    <w:rsid w:val="004606E9"/>
    <w:rsid w:val="004622BF"/>
    <w:rsid w:val="0046318D"/>
    <w:rsid w:val="0046471D"/>
    <w:rsid w:val="0047005B"/>
    <w:rsid w:val="0047212F"/>
    <w:rsid w:val="004730DD"/>
    <w:rsid w:val="00473EF2"/>
    <w:rsid w:val="0047450C"/>
    <w:rsid w:val="00480116"/>
    <w:rsid w:val="00481332"/>
    <w:rsid w:val="004818EA"/>
    <w:rsid w:val="00486C38"/>
    <w:rsid w:val="004900D1"/>
    <w:rsid w:val="004930EF"/>
    <w:rsid w:val="00494FB8"/>
    <w:rsid w:val="0049755F"/>
    <w:rsid w:val="004A1647"/>
    <w:rsid w:val="004A2B41"/>
    <w:rsid w:val="004A2E63"/>
    <w:rsid w:val="004A3183"/>
    <w:rsid w:val="004A4C61"/>
    <w:rsid w:val="004B0112"/>
    <w:rsid w:val="004B0D04"/>
    <w:rsid w:val="004B2008"/>
    <w:rsid w:val="004B361F"/>
    <w:rsid w:val="004B4842"/>
    <w:rsid w:val="004B5DED"/>
    <w:rsid w:val="004C0564"/>
    <w:rsid w:val="004C1415"/>
    <w:rsid w:val="004C4883"/>
    <w:rsid w:val="004D01E9"/>
    <w:rsid w:val="004D03F8"/>
    <w:rsid w:val="004D1577"/>
    <w:rsid w:val="004D328D"/>
    <w:rsid w:val="004D45DB"/>
    <w:rsid w:val="004D6E60"/>
    <w:rsid w:val="004E7557"/>
    <w:rsid w:val="004F1565"/>
    <w:rsid w:val="004F2597"/>
    <w:rsid w:val="004F539F"/>
    <w:rsid w:val="004F5D80"/>
    <w:rsid w:val="004F6834"/>
    <w:rsid w:val="004F7E43"/>
    <w:rsid w:val="0050097D"/>
    <w:rsid w:val="00501776"/>
    <w:rsid w:val="00501A26"/>
    <w:rsid w:val="00501F34"/>
    <w:rsid w:val="0050262D"/>
    <w:rsid w:val="00504FF0"/>
    <w:rsid w:val="00506A85"/>
    <w:rsid w:val="005111C4"/>
    <w:rsid w:val="00521894"/>
    <w:rsid w:val="00524B3D"/>
    <w:rsid w:val="00537443"/>
    <w:rsid w:val="00541B58"/>
    <w:rsid w:val="005432EC"/>
    <w:rsid w:val="0054436C"/>
    <w:rsid w:val="00544663"/>
    <w:rsid w:val="00545D99"/>
    <w:rsid w:val="005465B2"/>
    <w:rsid w:val="00547918"/>
    <w:rsid w:val="005506EE"/>
    <w:rsid w:val="00550752"/>
    <w:rsid w:val="00553209"/>
    <w:rsid w:val="00555D9E"/>
    <w:rsid w:val="00556E15"/>
    <w:rsid w:val="00560F09"/>
    <w:rsid w:val="005654D8"/>
    <w:rsid w:val="00570A36"/>
    <w:rsid w:val="00573759"/>
    <w:rsid w:val="00573A6C"/>
    <w:rsid w:val="005747BD"/>
    <w:rsid w:val="00574DF7"/>
    <w:rsid w:val="005765F5"/>
    <w:rsid w:val="005810A4"/>
    <w:rsid w:val="005820AA"/>
    <w:rsid w:val="00584AC4"/>
    <w:rsid w:val="0058507B"/>
    <w:rsid w:val="00586024"/>
    <w:rsid w:val="005872CA"/>
    <w:rsid w:val="0059081D"/>
    <w:rsid w:val="005910A1"/>
    <w:rsid w:val="005921B5"/>
    <w:rsid w:val="00592513"/>
    <w:rsid w:val="00593ADC"/>
    <w:rsid w:val="00594215"/>
    <w:rsid w:val="005A099B"/>
    <w:rsid w:val="005A6B2D"/>
    <w:rsid w:val="005B2141"/>
    <w:rsid w:val="005B39F2"/>
    <w:rsid w:val="005B42BC"/>
    <w:rsid w:val="005B42D1"/>
    <w:rsid w:val="005C0139"/>
    <w:rsid w:val="005C0CD9"/>
    <w:rsid w:val="005C1D24"/>
    <w:rsid w:val="005C27E2"/>
    <w:rsid w:val="005C4C50"/>
    <w:rsid w:val="005C69C5"/>
    <w:rsid w:val="005C749E"/>
    <w:rsid w:val="005D15AC"/>
    <w:rsid w:val="005D7C50"/>
    <w:rsid w:val="005D7F87"/>
    <w:rsid w:val="005E160B"/>
    <w:rsid w:val="005E4397"/>
    <w:rsid w:val="005E43C2"/>
    <w:rsid w:val="005E4607"/>
    <w:rsid w:val="005E4961"/>
    <w:rsid w:val="005E4E73"/>
    <w:rsid w:val="005E5751"/>
    <w:rsid w:val="005F0F19"/>
    <w:rsid w:val="005F29EA"/>
    <w:rsid w:val="005F2E4B"/>
    <w:rsid w:val="005F2EBA"/>
    <w:rsid w:val="005F59A8"/>
    <w:rsid w:val="005F70DC"/>
    <w:rsid w:val="00601E02"/>
    <w:rsid w:val="006047D8"/>
    <w:rsid w:val="00606A65"/>
    <w:rsid w:val="0061052D"/>
    <w:rsid w:val="00614974"/>
    <w:rsid w:val="00616978"/>
    <w:rsid w:val="00622404"/>
    <w:rsid w:val="00624B30"/>
    <w:rsid w:val="006308BE"/>
    <w:rsid w:val="0063109B"/>
    <w:rsid w:val="006311CA"/>
    <w:rsid w:val="006340EF"/>
    <w:rsid w:val="00635691"/>
    <w:rsid w:val="0063686D"/>
    <w:rsid w:val="006403F3"/>
    <w:rsid w:val="00641A93"/>
    <w:rsid w:val="006424C9"/>
    <w:rsid w:val="00643104"/>
    <w:rsid w:val="00650489"/>
    <w:rsid w:val="0065341B"/>
    <w:rsid w:val="00653EB4"/>
    <w:rsid w:val="006628C7"/>
    <w:rsid w:val="00667C58"/>
    <w:rsid w:val="00671DA8"/>
    <w:rsid w:val="00673F37"/>
    <w:rsid w:val="0068071B"/>
    <w:rsid w:val="00680C65"/>
    <w:rsid w:val="00680DC6"/>
    <w:rsid w:val="00682A2F"/>
    <w:rsid w:val="006849C2"/>
    <w:rsid w:val="0068629B"/>
    <w:rsid w:val="0069134F"/>
    <w:rsid w:val="00695D64"/>
    <w:rsid w:val="00696158"/>
    <w:rsid w:val="0069624A"/>
    <w:rsid w:val="00696ECC"/>
    <w:rsid w:val="006A4FD0"/>
    <w:rsid w:val="006A5B5A"/>
    <w:rsid w:val="006B08CF"/>
    <w:rsid w:val="006B0A2A"/>
    <w:rsid w:val="006B3385"/>
    <w:rsid w:val="006B461A"/>
    <w:rsid w:val="006B4F45"/>
    <w:rsid w:val="006B6357"/>
    <w:rsid w:val="006C0702"/>
    <w:rsid w:val="006C48FD"/>
    <w:rsid w:val="006C5693"/>
    <w:rsid w:val="006D1B06"/>
    <w:rsid w:val="006D3E22"/>
    <w:rsid w:val="006D6682"/>
    <w:rsid w:val="006E159B"/>
    <w:rsid w:val="006E513F"/>
    <w:rsid w:val="006F16DB"/>
    <w:rsid w:val="006F219F"/>
    <w:rsid w:val="006F3210"/>
    <w:rsid w:val="006F34D9"/>
    <w:rsid w:val="006F5075"/>
    <w:rsid w:val="006F7330"/>
    <w:rsid w:val="00700340"/>
    <w:rsid w:val="007065E5"/>
    <w:rsid w:val="0070663C"/>
    <w:rsid w:val="00710342"/>
    <w:rsid w:val="00712D21"/>
    <w:rsid w:val="00720627"/>
    <w:rsid w:val="00720790"/>
    <w:rsid w:val="00722B41"/>
    <w:rsid w:val="00724072"/>
    <w:rsid w:val="00730B5D"/>
    <w:rsid w:val="00731893"/>
    <w:rsid w:val="00732DFE"/>
    <w:rsid w:val="007336B6"/>
    <w:rsid w:val="00734A88"/>
    <w:rsid w:val="00735FE3"/>
    <w:rsid w:val="00740AE8"/>
    <w:rsid w:val="00741339"/>
    <w:rsid w:val="007443D2"/>
    <w:rsid w:val="0074628F"/>
    <w:rsid w:val="00750FEC"/>
    <w:rsid w:val="00753484"/>
    <w:rsid w:val="007566C8"/>
    <w:rsid w:val="00760E75"/>
    <w:rsid w:val="00762E74"/>
    <w:rsid w:val="00767AF8"/>
    <w:rsid w:val="007714AA"/>
    <w:rsid w:val="00772D7C"/>
    <w:rsid w:val="0077662E"/>
    <w:rsid w:val="0078058C"/>
    <w:rsid w:val="00780919"/>
    <w:rsid w:val="00780941"/>
    <w:rsid w:val="0078363A"/>
    <w:rsid w:val="007868F4"/>
    <w:rsid w:val="00787F57"/>
    <w:rsid w:val="007906E0"/>
    <w:rsid w:val="007911A9"/>
    <w:rsid w:val="00791605"/>
    <w:rsid w:val="00792BA3"/>
    <w:rsid w:val="007A0233"/>
    <w:rsid w:val="007A10FD"/>
    <w:rsid w:val="007A1827"/>
    <w:rsid w:val="007A1E61"/>
    <w:rsid w:val="007A304B"/>
    <w:rsid w:val="007A4C4C"/>
    <w:rsid w:val="007A5409"/>
    <w:rsid w:val="007A645B"/>
    <w:rsid w:val="007B10C1"/>
    <w:rsid w:val="007B178D"/>
    <w:rsid w:val="007B18DC"/>
    <w:rsid w:val="007B6D46"/>
    <w:rsid w:val="007B6D77"/>
    <w:rsid w:val="007C25B8"/>
    <w:rsid w:val="007C3061"/>
    <w:rsid w:val="007C3661"/>
    <w:rsid w:val="007C36AB"/>
    <w:rsid w:val="007C4C05"/>
    <w:rsid w:val="007C4E21"/>
    <w:rsid w:val="007D2D04"/>
    <w:rsid w:val="007D48E8"/>
    <w:rsid w:val="007E0254"/>
    <w:rsid w:val="007E0B6F"/>
    <w:rsid w:val="007E1196"/>
    <w:rsid w:val="007E293D"/>
    <w:rsid w:val="007E4ECD"/>
    <w:rsid w:val="007E7C1C"/>
    <w:rsid w:val="007F0E24"/>
    <w:rsid w:val="007F19D7"/>
    <w:rsid w:val="007F4160"/>
    <w:rsid w:val="007F438A"/>
    <w:rsid w:val="007F4B9F"/>
    <w:rsid w:val="008004FC"/>
    <w:rsid w:val="00801957"/>
    <w:rsid w:val="00804F8D"/>
    <w:rsid w:val="00810AA0"/>
    <w:rsid w:val="00816E40"/>
    <w:rsid w:val="00817392"/>
    <w:rsid w:val="008259B7"/>
    <w:rsid w:val="008305C4"/>
    <w:rsid w:val="00831406"/>
    <w:rsid w:val="00832EFE"/>
    <w:rsid w:val="00835B7A"/>
    <w:rsid w:val="0083781E"/>
    <w:rsid w:val="0084379E"/>
    <w:rsid w:val="00843E03"/>
    <w:rsid w:val="00845823"/>
    <w:rsid w:val="00850DF2"/>
    <w:rsid w:val="00851DB5"/>
    <w:rsid w:val="0085381A"/>
    <w:rsid w:val="0085507C"/>
    <w:rsid w:val="00856280"/>
    <w:rsid w:val="00856E01"/>
    <w:rsid w:val="00857720"/>
    <w:rsid w:val="00861051"/>
    <w:rsid w:val="008711DD"/>
    <w:rsid w:val="00871BE6"/>
    <w:rsid w:val="00873042"/>
    <w:rsid w:val="00874E3A"/>
    <w:rsid w:val="008756F6"/>
    <w:rsid w:val="008858F2"/>
    <w:rsid w:val="008865F7"/>
    <w:rsid w:val="008869F7"/>
    <w:rsid w:val="008876FB"/>
    <w:rsid w:val="00892A78"/>
    <w:rsid w:val="00895A75"/>
    <w:rsid w:val="00897402"/>
    <w:rsid w:val="008A076C"/>
    <w:rsid w:val="008A203D"/>
    <w:rsid w:val="008A3D90"/>
    <w:rsid w:val="008A47BF"/>
    <w:rsid w:val="008A581A"/>
    <w:rsid w:val="008A5E8C"/>
    <w:rsid w:val="008B0D06"/>
    <w:rsid w:val="008B111A"/>
    <w:rsid w:val="008B19A7"/>
    <w:rsid w:val="008B19CB"/>
    <w:rsid w:val="008B24F6"/>
    <w:rsid w:val="008B2768"/>
    <w:rsid w:val="008B3784"/>
    <w:rsid w:val="008B6B6D"/>
    <w:rsid w:val="008C271D"/>
    <w:rsid w:val="008C416C"/>
    <w:rsid w:val="008C6556"/>
    <w:rsid w:val="008C7C4A"/>
    <w:rsid w:val="008D0383"/>
    <w:rsid w:val="008D2543"/>
    <w:rsid w:val="008D4124"/>
    <w:rsid w:val="008D4DA4"/>
    <w:rsid w:val="008D571E"/>
    <w:rsid w:val="008D5941"/>
    <w:rsid w:val="008E0833"/>
    <w:rsid w:val="008E143E"/>
    <w:rsid w:val="008E1875"/>
    <w:rsid w:val="008E397D"/>
    <w:rsid w:val="008E57BD"/>
    <w:rsid w:val="008E6D31"/>
    <w:rsid w:val="008E73E6"/>
    <w:rsid w:val="008E7BE2"/>
    <w:rsid w:val="008F1114"/>
    <w:rsid w:val="008F3382"/>
    <w:rsid w:val="008F77F6"/>
    <w:rsid w:val="009021EA"/>
    <w:rsid w:val="00906BE4"/>
    <w:rsid w:val="00910B1F"/>
    <w:rsid w:val="009111E6"/>
    <w:rsid w:val="00912F0C"/>
    <w:rsid w:val="0091677A"/>
    <w:rsid w:val="00916D26"/>
    <w:rsid w:val="00917C12"/>
    <w:rsid w:val="00920A07"/>
    <w:rsid w:val="00921F88"/>
    <w:rsid w:val="009224F3"/>
    <w:rsid w:val="0093210F"/>
    <w:rsid w:val="00932B99"/>
    <w:rsid w:val="00933363"/>
    <w:rsid w:val="00933786"/>
    <w:rsid w:val="009406BB"/>
    <w:rsid w:val="009413E8"/>
    <w:rsid w:val="00942FFE"/>
    <w:rsid w:val="00943393"/>
    <w:rsid w:val="00943537"/>
    <w:rsid w:val="00944EA3"/>
    <w:rsid w:val="009457B1"/>
    <w:rsid w:val="009504AD"/>
    <w:rsid w:val="0095154A"/>
    <w:rsid w:val="009515BB"/>
    <w:rsid w:val="009520BB"/>
    <w:rsid w:val="009527EF"/>
    <w:rsid w:val="0095292D"/>
    <w:rsid w:val="0095476B"/>
    <w:rsid w:val="009561E5"/>
    <w:rsid w:val="00957C24"/>
    <w:rsid w:val="00960BE7"/>
    <w:rsid w:val="00964272"/>
    <w:rsid w:val="00966678"/>
    <w:rsid w:val="00970300"/>
    <w:rsid w:val="00971DB1"/>
    <w:rsid w:val="0097419F"/>
    <w:rsid w:val="009758E5"/>
    <w:rsid w:val="0098461C"/>
    <w:rsid w:val="009867C6"/>
    <w:rsid w:val="00991551"/>
    <w:rsid w:val="00991B8D"/>
    <w:rsid w:val="009926B9"/>
    <w:rsid w:val="009A168D"/>
    <w:rsid w:val="009B2AEE"/>
    <w:rsid w:val="009B302C"/>
    <w:rsid w:val="009B5EFA"/>
    <w:rsid w:val="009B65FE"/>
    <w:rsid w:val="009C115A"/>
    <w:rsid w:val="009C32C7"/>
    <w:rsid w:val="009C7518"/>
    <w:rsid w:val="009D0590"/>
    <w:rsid w:val="009D0A50"/>
    <w:rsid w:val="009D1FDA"/>
    <w:rsid w:val="009D2D79"/>
    <w:rsid w:val="009D3C76"/>
    <w:rsid w:val="009D3F45"/>
    <w:rsid w:val="009E054C"/>
    <w:rsid w:val="009E0F3E"/>
    <w:rsid w:val="009E1D0D"/>
    <w:rsid w:val="009E1F19"/>
    <w:rsid w:val="009E2AF8"/>
    <w:rsid w:val="009E51AD"/>
    <w:rsid w:val="009F119A"/>
    <w:rsid w:val="009F1299"/>
    <w:rsid w:val="009F1B63"/>
    <w:rsid w:val="009F3B71"/>
    <w:rsid w:val="009F50D3"/>
    <w:rsid w:val="009F60FC"/>
    <w:rsid w:val="009F76E9"/>
    <w:rsid w:val="00A00ACC"/>
    <w:rsid w:val="00A0212E"/>
    <w:rsid w:val="00A03AE9"/>
    <w:rsid w:val="00A045C9"/>
    <w:rsid w:val="00A0521C"/>
    <w:rsid w:val="00A07060"/>
    <w:rsid w:val="00A07A86"/>
    <w:rsid w:val="00A07CF8"/>
    <w:rsid w:val="00A07DA5"/>
    <w:rsid w:val="00A07E58"/>
    <w:rsid w:val="00A139E8"/>
    <w:rsid w:val="00A1434B"/>
    <w:rsid w:val="00A20F17"/>
    <w:rsid w:val="00A2250B"/>
    <w:rsid w:val="00A23268"/>
    <w:rsid w:val="00A238B5"/>
    <w:rsid w:val="00A23E77"/>
    <w:rsid w:val="00A24977"/>
    <w:rsid w:val="00A2609A"/>
    <w:rsid w:val="00A2623A"/>
    <w:rsid w:val="00A27DD1"/>
    <w:rsid w:val="00A32DC9"/>
    <w:rsid w:val="00A33138"/>
    <w:rsid w:val="00A35EB6"/>
    <w:rsid w:val="00A4091D"/>
    <w:rsid w:val="00A41F79"/>
    <w:rsid w:val="00A42026"/>
    <w:rsid w:val="00A45F19"/>
    <w:rsid w:val="00A50988"/>
    <w:rsid w:val="00A5172A"/>
    <w:rsid w:val="00A51874"/>
    <w:rsid w:val="00A52E3D"/>
    <w:rsid w:val="00A53FE4"/>
    <w:rsid w:val="00A5408F"/>
    <w:rsid w:val="00A55B3A"/>
    <w:rsid w:val="00A600B0"/>
    <w:rsid w:val="00A62535"/>
    <w:rsid w:val="00A62CCD"/>
    <w:rsid w:val="00A62CEE"/>
    <w:rsid w:val="00A63760"/>
    <w:rsid w:val="00A64CE0"/>
    <w:rsid w:val="00A651ED"/>
    <w:rsid w:val="00A7077F"/>
    <w:rsid w:val="00A70C58"/>
    <w:rsid w:val="00A7108C"/>
    <w:rsid w:val="00A71F63"/>
    <w:rsid w:val="00A72324"/>
    <w:rsid w:val="00A72DE7"/>
    <w:rsid w:val="00A75DCA"/>
    <w:rsid w:val="00A85329"/>
    <w:rsid w:val="00A855F6"/>
    <w:rsid w:val="00A85EC4"/>
    <w:rsid w:val="00A87851"/>
    <w:rsid w:val="00A87F13"/>
    <w:rsid w:val="00A93EDC"/>
    <w:rsid w:val="00A956CC"/>
    <w:rsid w:val="00A95A08"/>
    <w:rsid w:val="00A9684D"/>
    <w:rsid w:val="00A96BB1"/>
    <w:rsid w:val="00AA0833"/>
    <w:rsid w:val="00AA1B72"/>
    <w:rsid w:val="00AA41FE"/>
    <w:rsid w:val="00AA6345"/>
    <w:rsid w:val="00AA6A69"/>
    <w:rsid w:val="00AB1EFD"/>
    <w:rsid w:val="00AB307C"/>
    <w:rsid w:val="00AB33A7"/>
    <w:rsid w:val="00AB3834"/>
    <w:rsid w:val="00AB3E49"/>
    <w:rsid w:val="00AB4586"/>
    <w:rsid w:val="00AB6ED8"/>
    <w:rsid w:val="00AC278B"/>
    <w:rsid w:val="00AC5502"/>
    <w:rsid w:val="00AC5DFC"/>
    <w:rsid w:val="00AC7236"/>
    <w:rsid w:val="00AD1545"/>
    <w:rsid w:val="00AD1A38"/>
    <w:rsid w:val="00AD1B74"/>
    <w:rsid w:val="00AD3B75"/>
    <w:rsid w:val="00AD5458"/>
    <w:rsid w:val="00AD709D"/>
    <w:rsid w:val="00AE4A6C"/>
    <w:rsid w:val="00AE5A06"/>
    <w:rsid w:val="00AE7471"/>
    <w:rsid w:val="00AE7A1F"/>
    <w:rsid w:val="00AF0F25"/>
    <w:rsid w:val="00AF1206"/>
    <w:rsid w:val="00AF1CAE"/>
    <w:rsid w:val="00AF2281"/>
    <w:rsid w:val="00AF4815"/>
    <w:rsid w:val="00AF6ADE"/>
    <w:rsid w:val="00AF70B7"/>
    <w:rsid w:val="00B04708"/>
    <w:rsid w:val="00B11580"/>
    <w:rsid w:val="00B12CC7"/>
    <w:rsid w:val="00B13C0C"/>
    <w:rsid w:val="00B13F1C"/>
    <w:rsid w:val="00B13F46"/>
    <w:rsid w:val="00B142E6"/>
    <w:rsid w:val="00B16976"/>
    <w:rsid w:val="00B201D3"/>
    <w:rsid w:val="00B2120B"/>
    <w:rsid w:val="00B24EAB"/>
    <w:rsid w:val="00B25B1E"/>
    <w:rsid w:val="00B26B43"/>
    <w:rsid w:val="00B3036E"/>
    <w:rsid w:val="00B3055C"/>
    <w:rsid w:val="00B32310"/>
    <w:rsid w:val="00B33F0F"/>
    <w:rsid w:val="00B3568B"/>
    <w:rsid w:val="00B36B15"/>
    <w:rsid w:val="00B36C42"/>
    <w:rsid w:val="00B37A2A"/>
    <w:rsid w:val="00B37A6F"/>
    <w:rsid w:val="00B41629"/>
    <w:rsid w:val="00B43161"/>
    <w:rsid w:val="00B45689"/>
    <w:rsid w:val="00B54BE5"/>
    <w:rsid w:val="00B54D61"/>
    <w:rsid w:val="00B60AD2"/>
    <w:rsid w:val="00B66469"/>
    <w:rsid w:val="00B67DBD"/>
    <w:rsid w:val="00B71C13"/>
    <w:rsid w:val="00B71E63"/>
    <w:rsid w:val="00B72020"/>
    <w:rsid w:val="00B75636"/>
    <w:rsid w:val="00B769E9"/>
    <w:rsid w:val="00B776E5"/>
    <w:rsid w:val="00B81941"/>
    <w:rsid w:val="00B85B84"/>
    <w:rsid w:val="00B86F23"/>
    <w:rsid w:val="00B873F9"/>
    <w:rsid w:val="00B909F6"/>
    <w:rsid w:val="00B9243E"/>
    <w:rsid w:val="00B92B63"/>
    <w:rsid w:val="00B96849"/>
    <w:rsid w:val="00BA0320"/>
    <w:rsid w:val="00BA0452"/>
    <w:rsid w:val="00BA2505"/>
    <w:rsid w:val="00BA3F68"/>
    <w:rsid w:val="00BA68EA"/>
    <w:rsid w:val="00BA6C05"/>
    <w:rsid w:val="00BB12B7"/>
    <w:rsid w:val="00BB381B"/>
    <w:rsid w:val="00BB5806"/>
    <w:rsid w:val="00BB70CC"/>
    <w:rsid w:val="00BC137C"/>
    <w:rsid w:val="00BC1F20"/>
    <w:rsid w:val="00BC4B41"/>
    <w:rsid w:val="00BD1070"/>
    <w:rsid w:val="00BD2C08"/>
    <w:rsid w:val="00BD331D"/>
    <w:rsid w:val="00BE21E7"/>
    <w:rsid w:val="00BE2C43"/>
    <w:rsid w:val="00BE3959"/>
    <w:rsid w:val="00BE55CB"/>
    <w:rsid w:val="00BF014C"/>
    <w:rsid w:val="00BF3EEE"/>
    <w:rsid w:val="00C0193B"/>
    <w:rsid w:val="00C021B3"/>
    <w:rsid w:val="00C0297D"/>
    <w:rsid w:val="00C02D34"/>
    <w:rsid w:val="00C03C57"/>
    <w:rsid w:val="00C0670F"/>
    <w:rsid w:val="00C07578"/>
    <w:rsid w:val="00C0757C"/>
    <w:rsid w:val="00C076CD"/>
    <w:rsid w:val="00C11A9B"/>
    <w:rsid w:val="00C12A14"/>
    <w:rsid w:val="00C157AA"/>
    <w:rsid w:val="00C23222"/>
    <w:rsid w:val="00C27E4D"/>
    <w:rsid w:val="00C30DA4"/>
    <w:rsid w:val="00C31F9C"/>
    <w:rsid w:val="00C33097"/>
    <w:rsid w:val="00C34CE7"/>
    <w:rsid w:val="00C3713A"/>
    <w:rsid w:val="00C376B2"/>
    <w:rsid w:val="00C40F34"/>
    <w:rsid w:val="00C41933"/>
    <w:rsid w:val="00C42797"/>
    <w:rsid w:val="00C43FD3"/>
    <w:rsid w:val="00C4443F"/>
    <w:rsid w:val="00C454E2"/>
    <w:rsid w:val="00C455AC"/>
    <w:rsid w:val="00C5382A"/>
    <w:rsid w:val="00C54867"/>
    <w:rsid w:val="00C55D99"/>
    <w:rsid w:val="00C5658B"/>
    <w:rsid w:val="00C601FD"/>
    <w:rsid w:val="00C61B50"/>
    <w:rsid w:val="00C61B7A"/>
    <w:rsid w:val="00C654CC"/>
    <w:rsid w:val="00C65C6F"/>
    <w:rsid w:val="00C7435E"/>
    <w:rsid w:val="00C75A67"/>
    <w:rsid w:val="00C768F6"/>
    <w:rsid w:val="00C778AF"/>
    <w:rsid w:val="00C77DE0"/>
    <w:rsid w:val="00C808E3"/>
    <w:rsid w:val="00C831B3"/>
    <w:rsid w:val="00C83E54"/>
    <w:rsid w:val="00C843ED"/>
    <w:rsid w:val="00C858A5"/>
    <w:rsid w:val="00C858E5"/>
    <w:rsid w:val="00C859E6"/>
    <w:rsid w:val="00C85AEF"/>
    <w:rsid w:val="00C91406"/>
    <w:rsid w:val="00C9263D"/>
    <w:rsid w:val="00C92C8B"/>
    <w:rsid w:val="00C92DCD"/>
    <w:rsid w:val="00C94CC4"/>
    <w:rsid w:val="00C94F66"/>
    <w:rsid w:val="00C96B46"/>
    <w:rsid w:val="00CA0276"/>
    <w:rsid w:val="00CA0320"/>
    <w:rsid w:val="00CA0B52"/>
    <w:rsid w:val="00CA15A4"/>
    <w:rsid w:val="00CA2D0A"/>
    <w:rsid w:val="00CA44DF"/>
    <w:rsid w:val="00CA713E"/>
    <w:rsid w:val="00CA7313"/>
    <w:rsid w:val="00CB2433"/>
    <w:rsid w:val="00CB4C6E"/>
    <w:rsid w:val="00CB4CAA"/>
    <w:rsid w:val="00CB4D9D"/>
    <w:rsid w:val="00CB55ED"/>
    <w:rsid w:val="00CB6958"/>
    <w:rsid w:val="00CB6E5C"/>
    <w:rsid w:val="00CC0B2F"/>
    <w:rsid w:val="00CC1377"/>
    <w:rsid w:val="00CC2F17"/>
    <w:rsid w:val="00CC33B2"/>
    <w:rsid w:val="00CC370F"/>
    <w:rsid w:val="00CC652C"/>
    <w:rsid w:val="00CC683B"/>
    <w:rsid w:val="00CC6D5B"/>
    <w:rsid w:val="00CD0C85"/>
    <w:rsid w:val="00CD2FE3"/>
    <w:rsid w:val="00CD6E70"/>
    <w:rsid w:val="00CE20EC"/>
    <w:rsid w:val="00CE2624"/>
    <w:rsid w:val="00CE2978"/>
    <w:rsid w:val="00CE5B82"/>
    <w:rsid w:val="00CE713B"/>
    <w:rsid w:val="00CF0185"/>
    <w:rsid w:val="00CF0431"/>
    <w:rsid w:val="00CF2648"/>
    <w:rsid w:val="00CF28D4"/>
    <w:rsid w:val="00CF2F9F"/>
    <w:rsid w:val="00CF5287"/>
    <w:rsid w:val="00CF547B"/>
    <w:rsid w:val="00D02E32"/>
    <w:rsid w:val="00D03B61"/>
    <w:rsid w:val="00D145C1"/>
    <w:rsid w:val="00D1522E"/>
    <w:rsid w:val="00D162F1"/>
    <w:rsid w:val="00D23214"/>
    <w:rsid w:val="00D24A46"/>
    <w:rsid w:val="00D26A33"/>
    <w:rsid w:val="00D278E9"/>
    <w:rsid w:val="00D309AF"/>
    <w:rsid w:val="00D322E7"/>
    <w:rsid w:val="00D34CFA"/>
    <w:rsid w:val="00D3555C"/>
    <w:rsid w:val="00D377DA"/>
    <w:rsid w:val="00D40BD8"/>
    <w:rsid w:val="00D41512"/>
    <w:rsid w:val="00D41CC2"/>
    <w:rsid w:val="00D41E14"/>
    <w:rsid w:val="00D42833"/>
    <w:rsid w:val="00D455BE"/>
    <w:rsid w:val="00D46DEB"/>
    <w:rsid w:val="00D477A6"/>
    <w:rsid w:val="00D50282"/>
    <w:rsid w:val="00D52017"/>
    <w:rsid w:val="00D52418"/>
    <w:rsid w:val="00D529B9"/>
    <w:rsid w:val="00D5450B"/>
    <w:rsid w:val="00D57387"/>
    <w:rsid w:val="00D60411"/>
    <w:rsid w:val="00D627BD"/>
    <w:rsid w:val="00D63151"/>
    <w:rsid w:val="00D63849"/>
    <w:rsid w:val="00D67CE8"/>
    <w:rsid w:val="00D737C5"/>
    <w:rsid w:val="00D74A13"/>
    <w:rsid w:val="00D76AC0"/>
    <w:rsid w:val="00D76ED1"/>
    <w:rsid w:val="00D80C39"/>
    <w:rsid w:val="00D82FF5"/>
    <w:rsid w:val="00D86BE0"/>
    <w:rsid w:val="00D87DCE"/>
    <w:rsid w:val="00DA09C6"/>
    <w:rsid w:val="00DA43AA"/>
    <w:rsid w:val="00DA579F"/>
    <w:rsid w:val="00DA5D0D"/>
    <w:rsid w:val="00DA7753"/>
    <w:rsid w:val="00DB0443"/>
    <w:rsid w:val="00DB214F"/>
    <w:rsid w:val="00DB398F"/>
    <w:rsid w:val="00DC12E2"/>
    <w:rsid w:val="00DC25E3"/>
    <w:rsid w:val="00DC3453"/>
    <w:rsid w:val="00DC37D7"/>
    <w:rsid w:val="00DC5FE9"/>
    <w:rsid w:val="00DD0263"/>
    <w:rsid w:val="00DD16C4"/>
    <w:rsid w:val="00DD296A"/>
    <w:rsid w:val="00DD2F51"/>
    <w:rsid w:val="00DD5AD7"/>
    <w:rsid w:val="00DD603C"/>
    <w:rsid w:val="00DE149E"/>
    <w:rsid w:val="00DE16A0"/>
    <w:rsid w:val="00DE2739"/>
    <w:rsid w:val="00DE3487"/>
    <w:rsid w:val="00DE3852"/>
    <w:rsid w:val="00DE5487"/>
    <w:rsid w:val="00DE5E92"/>
    <w:rsid w:val="00DF0492"/>
    <w:rsid w:val="00DF0DEC"/>
    <w:rsid w:val="00DF33F8"/>
    <w:rsid w:val="00E01774"/>
    <w:rsid w:val="00E01EE3"/>
    <w:rsid w:val="00E03A2F"/>
    <w:rsid w:val="00E047BB"/>
    <w:rsid w:val="00E100C5"/>
    <w:rsid w:val="00E10B8B"/>
    <w:rsid w:val="00E10CA0"/>
    <w:rsid w:val="00E118BA"/>
    <w:rsid w:val="00E1309A"/>
    <w:rsid w:val="00E13439"/>
    <w:rsid w:val="00E13D89"/>
    <w:rsid w:val="00E16EFF"/>
    <w:rsid w:val="00E179B8"/>
    <w:rsid w:val="00E27120"/>
    <w:rsid w:val="00E32B32"/>
    <w:rsid w:val="00E34959"/>
    <w:rsid w:val="00E358CC"/>
    <w:rsid w:val="00E3795A"/>
    <w:rsid w:val="00E4031F"/>
    <w:rsid w:val="00E40E5A"/>
    <w:rsid w:val="00E4336E"/>
    <w:rsid w:val="00E44842"/>
    <w:rsid w:val="00E44CDC"/>
    <w:rsid w:val="00E50494"/>
    <w:rsid w:val="00E50F5F"/>
    <w:rsid w:val="00E52141"/>
    <w:rsid w:val="00E53558"/>
    <w:rsid w:val="00E5391C"/>
    <w:rsid w:val="00E60969"/>
    <w:rsid w:val="00E61231"/>
    <w:rsid w:val="00E62B5D"/>
    <w:rsid w:val="00E63066"/>
    <w:rsid w:val="00E70519"/>
    <w:rsid w:val="00E70614"/>
    <w:rsid w:val="00E70BBD"/>
    <w:rsid w:val="00E74B1F"/>
    <w:rsid w:val="00E74D0F"/>
    <w:rsid w:val="00E75212"/>
    <w:rsid w:val="00E7665E"/>
    <w:rsid w:val="00E80800"/>
    <w:rsid w:val="00E811B4"/>
    <w:rsid w:val="00E82464"/>
    <w:rsid w:val="00E82C93"/>
    <w:rsid w:val="00E83FA8"/>
    <w:rsid w:val="00E87F8C"/>
    <w:rsid w:val="00E90863"/>
    <w:rsid w:val="00E90B62"/>
    <w:rsid w:val="00E90F18"/>
    <w:rsid w:val="00E9303E"/>
    <w:rsid w:val="00E93E53"/>
    <w:rsid w:val="00E94BDA"/>
    <w:rsid w:val="00EA2070"/>
    <w:rsid w:val="00EA5244"/>
    <w:rsid w:val="00EA5B5A"/>
    <w:rsid w:val="00EA6324"/>
    <w:rsid w:val="00EA65F3"/>
    <w:rsid w:val="00EA7108"/>
    <w:rsid w:val="00EB39FB"/>
    <w:rsid w:val="00EB421D"/>
    <w:rsid w:val="00EC1576"/>
    <w:rsid w:val="00EC1ADE"/>
    <w:rsid w:val="00EC30CA"/>
    <w:rsid w:val="00EC4F6C"/>
    <w:rsid w:val="00EC6B22"/>
    <w:rsid w:val="00ED096A"/>
    <w:rsid w:val="00ED1337"/>
    <w:rsid w:val="00ED1365"/>
    <w:rsid w:val="00ED3CD3"/>
    <w:rsid w:val="00ED4BA5"/>
    <w:rsid w:val="00ED54B2"/>
    <w:rsid w:val="00ED648A"/>
    <w:rsid w:val="00EE0571"/>
    <w:rsid w:val="00EE20AD"/>
    <w:rsid w:val="00EE443D"/>
    <w:rsid w:val="00EE6AAE"/>
    <w:rsid w:val="00EF478D"/>
    <w:rsid w:val="00F00D97"/>
    <w:rsid w:val="00F01234"/>
    <w:rsid w:val="00F0670F"/>
    <w:rsid w:val="00F13C94"/>
    <w:rsid w:val="00F173F1"/>
    <w:rsid w:val="00F17AC4"/>
    <w:rsid w:val="00F20CD4"/>
    <w:rsid w:val="00F20E39"/>
    <w:rsid w:val="00F22BEB"/>
    <w:rsid w:val="00F26506"/>
    <w:rsid w:val="00F26778"/>
    <w:rsid w:val="00F36208"/>
    <w:rsid w:val="00F407FC"/>
    <w:rsid w:val="00F4221D"/>
    <w:rsid w:val="00F42E25"/>
    <w:rsid w:val="00F44668"/>
    <w:rsid w:val="00F50C7E"/>
    <w:rsid w:val="00F5104A"/>
    <w:rsid w:val="00F5213C"/>
    <w:rsid w:val="00F54A73"/>
    <w:rsid w:val="00F565FD"/>
    <w:rsid w:val="00F61BAD"/>
    <w:rsid w:val="00F644BD"/>
    <w:rsid w:val="00F65144"/>
    <w:rsid w:val="00F659EA"/>
    <w:rsid w:val="00F66A89"/>
    <w:rsid w:val="00F73194"/>
    <w:rsid w:val="00F74660"/>
    <w:rsid w:val="00F759AD"/>
    <w:rsid w:val="00F764A7"/>
    <w:rsid w:val="00F775AD"/>
    <w:rsid w:val="00F80D1A"/>
    <w:rsid w:val="00F8101A"/>
    <w:rsid w:val="00F8568E"/>
    <w:rsid w:val="00F85F64"/>
    <w:rsid w:val="00F9208C"/>
    <w:rsid w:val="00F9369C"/>
    <w:rsid w:val="00F95229"/>
    <w:rsid w:val="00F97069"/>
    <w:rsid w:val="00F976F7"/>
    <w:rsid w:val="00FA036F"/>
    <w:rsid w:val="00FA05CD"/>
    <w:rsid w:val="00FA6324"/>
    <w:rsid w:val="00FA7E22"/>
    <w:rsid w:val="00FB412D"/>
    <w:rsid w:val="00FB4178"/>
    <w:rsid w:val="00FB513E"/>
    <w:rsid w:val="00FB5702"/>
    <w:rsid w:val="00FC3AB9"/>
    <w:rsid w:val="00FD0261"/>
    <w:rsid w:val="00FD05D2"/>
    <w:rsid w:val="00FD0F31"/>
    <w:rsid w:val="00FD4AEB"/>
    <w:rsid w:val="00FD506B"/>
    <w:rsid w:val="00FD5BA2"/>
    <w:rsid w:val="00FD7938"/>
    <w:rsid w:val="00FE4EF9"/>
    <w:rsid w:val="00FE5AC9"/>
    <w:rsid w:val="00FE6F90"/>
    <w:rsid w:val="00FE7EA6"/>
    <w:rsid w:val="00FF5664"/>
    <w:rsid w:val="00FF5974"/>
    <w:rsid w:val="00FF6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77DC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35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3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rsid w:val="00D34CFA"/>
    <w:pPr>
      <w:jc w:val="center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D34CF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D34CFA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D34CF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aliases w:val="Nad,Odstavec_muj,Název grafu,nad 1,Conclusion de partie,_Odstavec se seznamem,List Paragraph (Czech Tourism)"/>
    <w:basedOn w:val="Normln"/>
    <w:link w:val="OdstavecseseznamemChar"/>
    <w:qFormat/>
    <w:rsid w:val="00D34CFA"/>
    <w:pPr>
      <w:ind w:left="720"/>
      <w:contextualSpacing/>
    </w:pPr>
  </w:style>
  <w:style w:type="paragraph" w:customStyle="1" w:styleId="normln-odrky">
    <w:name w:val="normální - odrážky"/>
    <w:basedOn w:val="Normln"/>
    <w:uiPriority w:val="99"/>
    <w:rsid w:val="00D34CFA"/>
    <w:pPr>
      <w:numPr>
        <w:numId w:val="4"/>
      </w:numPr>
      <w:spacing w:before="60" w:after="60" w:line="288" w:lineRule="auto"/>
      <w:ind w:right="170"/>
      <w:contextualSpacing/>
      <w:jc w:val="both"/>
    </w:pPr>
    <w:rPr>
      <w:rFonts w:ascii="Calibri" w:eastAsia="MS Mincho" w:hAnsi="Calibri"/>
      <w:sz w:val="22"/>
      <w:lang w:val="en-GB" w:eastAsia="ja-JP"/>
    </w:rPr>
  </w:style>
  <w:style w:type="paragraph" w:styleId="Normlnweb">
    <w:name w:val="Normal (Web)"/>
    <w:basedOn w:val="Normln"/>
    <w:uiPriority w:val="99"/>
    <w:unhideWhenUsed/>
    <w:rsid w:val="00D34CFA"/>
    <w:pPr>
      <w:spacing w:before="100" w:beforeAutospacing="1" w:after="100" w:afterAutospacing="1"/>
    </w:pPr>
  </w:style>
  <w:style w:type="paragraph" w:customStyle="1" w:styleId="Default">
    <w:name w:val="Default"/>
    <w:rsid w:val="00D34C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B24EAB"/>
    <w:rPr>
      <w:color w:val="153B88"/>
      <w:u w:val="single"/>
    </w:rPr>
  </w:style>
  <w:style w:type="character" w:customStyle="1" w:styleId="material-noaccess-link">
    <w:name w:val="material-noaccess-link"/>
    <w:basedOn w:val="Standardnpsmoodstavce"/>
    <w:rsid w:val="00B24EAB"/>
  </w:style>
  <w:style w:type="character" w:customStyle="1" w:styleId="OdstavecseseznamemChar">
    <w:name w:val="Odstavec se seznamem Char"/>
    <w:aliases w:val="Nad Char,Odstavec_muj Char,Název grafu Char,nad 1 Char,Conclusion de partie Char,_Odstavec se seznamem Char,List Paragraph (Czech Tourism) Char"/>
    <w:link w:val="Odstavecseseznamem"/>
    <w:locked/>
    <w:rsid w:val="007566C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F20CD4"/>
    <w:rPr>
      <w:color w:val="800080" w:themeColor="followedHyperlink"/>
      <w:u w:val="single"/>
    </w:rPr>
  </w:style>
  <w:style w:type="paragraph" w:styleId="Textpoznpodarou">
    <w:name w:val="footnote text"/>
    <w:aliases w:val="Schriftart: 9 pt,Schriftart: 10 pt,Schriftart: 8 pt,WB-Fußnotentext,fn,Footnotes,Footnote ak,Footnote Text Char,FoodNote,ft,Footnote,Footnote Text Char1,Footnote Text Char Char,Footnote Text Char1 Char Char"/>
    <w:basedOn w:val="Normln"/>
    <w:link w:val="TextpoznpodarouChar"/>
    <w:uiPriority w:val="99"/>
    <w:semiHidden/>
    <w:unhideWhenUsed/>
    <w:rsid w:val="00C157AA"/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WB-Fußnotentext Char,fn Char,Footnotes Char,Footnote ak Char,Footnote Text Char Char1,FoodNote Char,ft Char,Footnote Char,Footnote Text Char1 Char"/>
    <w:basedOn w:val="Standardnpsmoodstavce"/>
    <w:link w:val="Textpoznpodarou"/>
    <w:uiPriority w:val="99"/>
    <w:rsid w:val="00C157A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Footnote symbol,Times 10 Point,Exposant 3 Point"/>
    <w:basedOn w:val="Standardnpsmoodstavce"/>
    <w:uiPriority w:val="99"/>
    <w:semiHidden/>
    <w:unhideWhenUsed/>
    <w:rsid w:val="00C157AA"/>
    <w:rPr>
      <w:vertAlign w:val="superscript"/>
    </w:rPr>
  </w:style>
  <w:style w:type="character" w:styleId="Siln">
    <w:name w:val="Strong"/>
    <w:basedOn w:val="Standardnpsmoodstavce"/>
    <w:uiPriority w:val="22"/>
    <w:qFormat/>
    <w:rsid w:val="0031511B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9561E5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9561E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9561E5"/>
    <w:rPr>
      <w:rFonts w:ascii="Times New Roman" w:eastAsia="Times New Roman" w:hAnsi="Times New Roman" w:cs="Times New Roman"/>
      <w:sz w:val="20"/>
      <w:szCs w:val="20"/>
      <w:lang w:eastAsia="cs-CZ"/>
    </w:rPr>
  </w:style>
  <w:style w:type="numbering" w:customStyle="1" w:styleId="StylSodrkami">
    <w:name w:val="Styl S odrážkami"/>
    <w:rsid w:val="009561E5"/>
    <w:pPr>
      <w:numPr>
        <w:numId w:val="36"/>
      </w:numPr>
    </w:pPr>
  </w:style>
  <w:style w:type="paragraph" w:customStyle="1" w:styleId="Tlotextu">
    <w:name w:val="Tělo textu"/>
    <w:basedOn w:val="Normln"/>
    <w:uiPriority w:val="99"/>
    <w:rsid w:val="00C601F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paragraph" w:customStyle="1" w:styleId="CharCharCharCharCharCharCharCharCharCharCharChar">
    <w:name w:val="Char Char Char Char Char Char Char Char Char Char Char Char"/>
    <w:basedOn w:val="Normln"/>
    <w:rsid w:val="001242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BnCharCharCharChar">
    <w:name w:val="Běžný Char Char Char Char"/>
    <w:basedOn w:val="Normln"/>
    <w:link w:val="BnCharCharCharCharChar"/>
    <w:rsid w:val="00C83E54"/>
    <w:pPr>
      <w:spacing w:before="120" w:after="120"/>
      <w:ind w:firstLine="340"/>
      <w:jc w:val="both"/>
    </w:pPr>
    <w:rPr>
      <w:rFonts w:eastAsia="Batang"/>
    </w:rPr>
  </w:style>
  <w:style w:type="character" w:customStyle="1" w:styleId="BnCharCharCharCharChar">
    <w:name w:val="Běžný Char Char Char Char Char"/>
    <w:link w:val="BnCharCharCharChar"/>
    <w:rsid w:val="00C83E54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730D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730D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CharCharCharCharCharCharCharCharCharCharCharChar0">
    <w:name w:val="Char Char Char Char Char Char Char Char Char Char Char Char"/>
    <w:basedOn w:val="Normln"/>
    <w:rsid w:val="0000704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Styl1Char">
    <w:name w:val="Styl   1. Char"/>
    <w:link w:val="Styl1"/>
    <w:locked/>
    <w:rsid w:val="0002249D"/>
    <w:rPr>
      <w:rFonts w:ascii="Arial" w:hAnsi="Arial" w:cs="Arial"/>
    </w:rPr>
  </w:style>
  <w:style w:type="paragraph" w:customStyle="1" w:styleId="Styl1">
    <w:name w:val="Styl   1."/>
    <w:basedOn w:val="Normln"/>
    <w:link w:val="Styl1Char"/>
    <w:qFormat/>
    <w:rsid w:val="0002249D"/>
    <w:pPr>
      <w:numPr>
        <w:numId w:val="45"/>
      </w:numPr>
      <w:spacing w:before="120" w:after="240"/>
      <w:jc w:val="both"/>
    </w:pPr>
    <w:rPr>
      <w:rFonts w:ascii="Arial" w:eastAsiaTheme="minorHAnsi" w:hAnsi="Arial" w:cs="Arial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641A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61052D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61052D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9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37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724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52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11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698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32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691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5391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277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0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6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19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8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54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204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036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3380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86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9892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1809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34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.powerbi.com/view?r=eyJrIjoiZmUxNjJiMzctYjgyYS00OWVlLWI2OGQtZTU4N2JlMmI2MzJkIiwidCI6IjZjNmIzYTI4LWQ2MzEtNDgxMi1hMTQzLWNhNWY2NzFjNTVhYyIsImMiOjl9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FA2006-C42D-4DDB-9F51-1D3DC2EF5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1423</Words>
  <Characters>8400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2024-03-05T13:29:00Z</dcterms:created>
  <dcterms:modified xsi:type="dcterms:W3CDTF">2024-03-26T13:47:00Z</dcterms:modified>
</cp:coreProperties>
</file>