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80EE6" w14:textId="77777777" w:rsidR="00770260" w:rsidRPr="00517E12" w:rsidRDefault="00061A30" w:rsidP="00770260">
      <w:pPr>
        <w:jc w:val="right"/>
        <w:rPr>
          <w:szCs w:val="32"/>
        </w:rPr>
      </w:pPr>
      <w:r w:rsidRPr="00517E12">
        <w:rPr>
          <w:szCs w:val="32"/>
        </w:rPr>
        <w:t>I</w:t>
      </w:r>
      <w:r w:rsidR="00770260" w:rsidRPr="00517E12">
        <w:rPr>
          <w:szCs w:val="32"/>
        </w:rPr>
        <w:t>.</w:t>
      </w:r>
    </w:p>
    <w:p w14:paraId="6FA063B8" w14:textId="77777777" w:rsidR="00770260" w:rsidRPr="00BE247D" w:rsidRDefault="00770260" w:rsidP="008E32E4">
      <w:pPr>
        <w:jc w:val="both"/>
        <w:rPr>
          <w:bCs/>
          <w:szCs w:val="32"/>
        </w:rPr>
      </w:pPr>
    </w:p>
    <w:p w14:paraId="771E85B2" w14:textId="77777777" w:rsidR="00770260" w:rsidRDefault="00770260" w:rsidP="00770260">
      <w:pPr>
        <w:jc w:val="center"/>
        <w:rPr>
          <w:b/>
          <w:bCs/>
          <w:szCs w:val="32"/>
        </w:rPr>
      </w:pPr>
      <w:r w:rsidRPr="00BE247D">
        <w:rPr>
          <w:b/>
          <w:bCs/>
          <w:szCs w:val="32"/>
        </w:rPr>
        <w:t>Předkládací zpráva</w:t>
      </w:r>
    </w:p>
    <w:p w14:paraId="68FC079B" w14:textId="77777777" w:rsidR="001956DE" w:rsidRPr="001956DE" w:rsidRDefault="001956DE" w:rsidP="001956DE">
      <w:pPr>
        <w:rPr>
          <w:bCs/>
          <w:szCs w:val="32"/>
        </w:rPr>
      </w:pPr>
    </w:p>
    <w:p w14:paraId="27BCAE96" w14:textId="28573A8C" w:rsidR="008E0132" w:rsidRPr="002B4C79" w:rsidRDefault="00E03E8A" w:rsidP="008E0132">
      <w:pPr>
        <w:spacing w:before="240" w:line="276" w:lineRule="auto"/>
        <w:jc w:val="both"/>
      </w:pPr>
      <w:r>
        <w:t>Ministerstvo zdravotnictví ČR (dále jen „MZ“)</w:t>
      </w:r>
      <w:r w:rsidR="00EE78F3" w:rsidRPr="00BE247D">
        <w:t xml:space="preserve"> </w:t>
      </w:r>
      <w:r w:rsidR="00F318F0" w:rsidRPr="00BE247D">
        <w:t xml:space="preserve">předkládá </w:t>
      </w:r>
      <w:r w:rsidR="004F2A9E">
        <w:t xml:space="preserve">vládě ke schválení </w:t>
      </w:r>
      <w:r w:rsidR="004F2A9E" w:rsidRPr="004F2A9E">
        <w:rPr>
          <w:b/>
          <w:bCs/>
        </w:rPr>
        <w:t>Podprogram 3 zdravotnického aplikovaného výzkumu „Evropská partnerství v oblasti zdraví“</w:t>
      </w:r>
      <w:r w:rsidR="002B4C79">
        <w:rPr>
          <w:b/>
          <w:bCs/>
        </w:rPr>
        <w:t xml:space="preserve"> </w:t>
      </w:r>
      <w:r w:rsidR="002B4C79" w:rsidRPr="002B4C79">
        <w:t>(dále jen „Podprogram 3“)</w:t>
      </w:r>
      <w:r w:rsidR="002B4C79">
        <w:t xml:space="preserve">. </w:t>
      </w:r>
    </w:p>
    <w:p w14:paraId="4A15F168" w14:textId="2E44B2D1" w:rsidR="008F7D8C" w:rsidRPr="00B67AA1" w:rsidRDefault="008F7D8C" w:rsidP="008F7D8C">
      <w:pPr>
        <w:spacing w:before="120" w:after="120" w:line="288" w:lineRule="auto"/>
        <w:jc w:val="both"/>
        <w:rPr>
          <w:rFonts w:eastAsia="Arial"/>
        </w:rPr>
      </w:pPr>
      <w:r w:rsidRPr="00B67AA1">
        <w:rPr>
          <w:rFonts w:eastAsia="Arial"/>
        </w:rPr>
        <w:t>P</w:t>
      </w:r>
      <w:r>
        <w:rPr>
          <w:rFonts w:eastAsia="Arial"/>
        </w:rPr>
        <w:t>odp</w:t>
      </w:r>
      <w:r w:rsidRPr="00B67AA1">
        <w:rPr>
          <w:rFonts w:eastAsia="Arial"/>
        </w:rPr>
        <w:t>rogram</w:t>
      </w:r>
      <w:r>
        <w:rPr>
          <w:rFonts w:eastAsia="Arial"/>
        </w:rPr>
        <w:t xml:space="preserve"> 3</w:t>
      </w:r>
      <w:r w:rsidRPr="00B67AA1">
        <w:rPr>
          <w:rFonts w:eastAsia="Arial"/>
        </w:rPr>
        <w:t xml:space="preserve"> je zpracován v souladu se zákonem č. 130/2002 Sb., o podpoře výzkumu, experimentálního vývoje a inovací z veřejných prostředků a o změně některých souvisejících zákonů (zákon o podpoře výzkumu, experimentálního vývoje a inovací), ve znění pozdějších předpisů (dále jen „zákon č. 130/2002 Sb.“); nařízením Komise (EU) č. 651/2014 </w:t>
      </w:r>
      <w:r w:rsidR="00F72AF3">
        <w:rPr>
          <w:rFonts w:eastAsia="Arial"/>
        </w:rPr>
        <w:br/>
      </w:r>
      <w:r w:rsidRPr="00B67AA1">
        <w:rPr>
          <w:rFonts w:eastAsia="Arial"/>
        </w:rPr>
        <w:t>ze dne 17. června 2014, kterým se v souladu s články 107 a 108 Smlouvy o fungování EU prohlašují určité kategorie podpory za slučitelné s vnitřním trhem, Úřední věstník EU L 187 ze dne 26. 6. 2014, str. 1</w:t>
      </w:r>
      <w:r>
        <w:rPr>
          <w:rFonts w:eastAsia="Arial"/>
        </w:rPr>
        <w:t xml:space="preserve"> (dále jen „nařízení Komise“)</w:t>
      </w:r>
      <w:r w:rsidRPr="00B67AA1">
        <w:rPr>
          <w:rFonts w:eastAsia="Arial"/>
        </w:rPr>
        <w:t>; Rámcem pro státní podporu výzkumu, vývoje a inovací - Úřední věstník Evropské unie ze dne 27. 6. 2014, (2014/C 198/01) a podle ostatních souvisejících předpisů. P</w:t>
      </w:r>
      <w:r>
        <w:rPr>
          <w:rFonts w:eastAsia="Arial"/>
        </w:rPr>
        <w:t>odp</w:t>
      </w:r>
      <w:r w:rsidRPr="00B67AA1">
        <w:rPr>
          <w:rFonts w:eastAsia="Arial"/>
        </w:rPr>
        <w:t>rogram</w:t>
      </w:r>
      <w:r>
        <w:rPr>
          <w:rFonts w:eastAsia="Arial"/>
        </w:rPr>
        <w:t xml:space="preserve"> 3</w:t>
      </w:r>
      <w:r w:rsidRPr="00B67AA1">
        <w:rPr>
          <w:rFonts w:eastAsia="Arial"/>
        </w:rPr>
        <w:t xml:space="preserve"> je podle článku 108 odst. 3 Smlouvy </w:t>
      </w:r>
      <w:r w:rsidR="00F72AF3">
        <w:rPr>
          <w:rFonts w:eastAsia="Arial"/>
        </w:rPr>
        <w:br/>
      </w:r>
      <w:r w:rsidRPr="00B67AA1">
        <w:rPr>
          <w:rFonts w:eastAsia="Arial"/>
        </w:rPr>
        <w:t>o fungování EU vyňat z oznamovací povinnosti, neboť splňuje podmínky nařízení Komise.</w:t>
      </w:r>
    </w:p>
    <w:p w14:paraId="3FF920EA" w14:textId="2CA8B130" w:rsidR="0027469F" w:rsidRDefault="00D76A74" w:rsidP="00E07B54">
      <w:pPr>
        <w:spacing w:before="120" w:after="120" w:line="288" w:lineRule="auto"/>
        <w:jc w:val="both"/>
        <w:rPr>
          <w:rFonts w:eastAsia="Arial"/>
        </w:rPr>
      </w:pPr>
      <w:r w:rsidRPr="00E07B54">
        <w:rPr>
          <w:rFonts w:eastAsia="Arial"/>
        </w:rPr>
        <w:t xml:space="preserve">Po odborné stránce byl Program připraven ve spolupráci s Agenturou pro zdravotnický výzkum ČR a konzultován s odborníky v oblasti evropské </w:t>
      </w:r>
      <w:r w:rsidR="00DE0126" w:rsidRPr="00E07B54">
        <w:rPr>
          <w:rFonts w:eastAsia="Arial"/>
        </w:rPr>
        <w:t xml:space="preserve">politiky a </w:t>
      </w:r>
      <w:r w:rsidRPr="00E07B54">
        <w:rPr>
          <w:rFonts w:eastAsia="Arial"/>
        </w:rPr>
        <w:t xml:space="preserve">spolupráce. </w:t>
      </w:r>
    </w:p>
    <w:p w14:paraId="14CB3159" w14:textId="1C8CCF19" w:rsidR="00F741A7" w:rsidRDefault="00F741A7" w:rsidP="00F741A7">
      <w:pPr>
        <w:spacing w:line="276" w:lineRule="auto"/>
        <w:jc w:val="both"/>
      </w:pPr>
      <w:r w:rsidRPr="00D06AF1">
        <w:t>9. rámcový program EU pro výzkum a inovace Horizont Evropa (dále jen „rámcový program Horizont Evropa“) podporuje E</w:t>
      </w:r>
      <w:r>
        <w:t>vropská partnerství (dále jen „EP“)</w:t>
      </w:r>
      <w:r w:rsidRPr="00D06AF1">
        <w:t xml:space="preserve"> při řešení globálních výzev a</w:t>
      </w:r>
      <w:r>
        <w:t> </w:t>
      </w:r>
      <w:r w:rsidRPr="00D06AF1">
        <w:t xml:space="preserve">modernizaci průmyslu prostřednictvím společného úsilí v oblasti výzkumu a inovací s členskými státy, soukromým sektorem, nadacemi a dalšími zúčastněnými stranami. V rámci tvorby evropské politiky v oblasti výzkumu a inovací se koncept partnerství používá </w:t>
      </w:r>
      <w:r w:rsidR="00F72AF3">
        <w:br/>
      </w:r>
      <w:r w:rsidRPr="00D06AF1">
        <w:t xml:space="preserve">od 6. rámcového programu EU. </w:t>
      </w:r>
      <w:r>
        <w:t xml:space="preserve"> </w:t>
      </w:r>
      <w:r w:rsidRPr="00D06AF1">
        <w:t>V průběhu přípravy rámcového programu Horizontu Evropa vyústily diskuse na neformálním zasedání ministrů v červenci 2017 ve všeobecné uznání významu partnerství ze strany členských států/asociovaných zemí a výzvy k reformovanému přístupu, který by řešil složitost prostředí a</w:t>
      </w:r>
      <w:r>
        <w:t> </w:t>
      </w:r>
      <w:r w:rsidRPr="00D06AF1">
        <w:t>zajistil jeho soudržnost a optimální koordinaci.</w:t>
      </w:r>
    </w:p>
    <w:p w14:paraId="5230DEE6" w14:textId="77777777" w:rsidR="00F741A7" w:rsidRPr="00D06AF1" w:rsidRDefault="00F741A7" w:rsidP="00F741A7">
      <w:pPr>
        <w:spacing w:line="276" w:lineRule="auto"/>
        <w:jc w:val="both"/>
      </w:pPr>
    </w:p>
    <w:p w14:paraId="37E406E8" w14:textId="60F1BD62" w:rsidR="00F741A7" w:rsidRPr="00D06AF1" w:rsidRDefault="00F741A7" w:rsidP="00F741A7">
      <w:pPr>
        <w:spacing w:line="276" w:lineRule="auto"/>
        <w:jc w:val="both"/>
      </w:pPr>
      <w:r w:rsidRPr="00D06AF1">
        <w:t xml:space="preserve">Závěry Rady ze dne 1. prosince 2017 poskytly pokyny pro racionalizaci partnerského prostředí: </w:t>
      </w:r>
      <w:r w:rsidRPr="00D06AF1">
        <w:rPr>
          <w:i/>
          <w:iCs/>
        </w:rPr>
        <w:t xml:space="preserve">„Partnerství v oblasti výzkumu a inovací v rámcovém programu Horizontu Evropa by měla být prováděna na základě zásad přidané hodnoty EU, transparentnosti, otevřenosti, dopadu, dlouhodobého finančního závazku všech zúčastněných stran, flexibility, soudržnosti </w:t>
      </w:r>
      <w:r w:rsidR="00F72AF3">
        <w:rPr>
          <w:i/>
          <w:iCs/>
        </w:rPr>
        <w:br/>
      </w:r>
      <w:r w:rsidRPr="00D06AF1">
        <w:rPr>
          <w:i/>
          <w:iCs/>
        </w:rPr>
        <w:t>a doplňkovosti s iniciativami EU, vnitrostátními a regionálními iniciativami“.</w:t>
      </w:r>
      <w:r w:rsidRPr="00D06AF1">
        <w:t xml:space="preserve"> Na základě navazující </w:t>
      </w:r>
      <w:proofErr w:type="gramStart"/>
      <w:r w:rsidRPr="00D06AF1">
        <w:t>diskuze</w:t>
      </w:r>
      <w:proofErr w:type="gramEnd"/>
      <w:r w:rsidRPr="00D06AF1">
        <w:t xml:space="preserve"> na úrovni pracovní skupiny Evropského výzkumného prostoru (</w:t>
      </w:r>
      <w:proofErr w:type="spellStart"/>
      <w:r w:rsidRPr="00D06AF1">
        <w:t>European</w:t>
      </w:r>
      <w:proofErr w:type="spellEnd"/>
      <w:r w:rsidRPr="00D06AF1">
        <w:t xml:space="preserve"> </w:t>
      </w:r>
      <w:proofErr w:type="spellStart"/>
      <w:r w:rsidRPr="00D06AF1">
        <w:t>Research</w:t>
      </w:r>
      <w:proofErr w:type="spellEnd"/>
      <w:r w:rsidRPr="00D06AF1">
        <w:t xml:space="preserve"> Area; ERA), EP byla ustanovena v roce 2018.</w:t>
      </w:r>
    </w:p>
    <w:p w14:paraId="41E9B498" w14:textId="77777777" w:rsidR="00F741A7" w:rsidRDefault="00F741A7" w:rsidP="00F741A7">
      <w:pPr>
        <w:spacing w:after="120" w:line="276" w:lineRule="auto"/>
        <w:jc w:val="both"/>
        <w:rPr>
          <w:color w:val="000000"/>
          <w:shd w:val="clear" w:color="auto" w:fill="FFFFFF"/>
        </w:rPr>
      </w:pPr>
    </w:p>
    <w:p w14:paraId="3DC1FB8B" w14:textId="34FB477F" w:rsidR="00F741A7" w:rsidRDefault="00F741A7" w:rsidP="00F741A7">
      <w:pPr>
        <w:tabs>
          <w:tab w:val="num" w:pos="360"/>
          <w:tab w:val="left" w:pos="5940"/>
        </w:tabs>
        <w:spacing w:line="276" w:lineRule="auto"/>
        <w:jc w:val="both"/>
        <w:rPr>
          <w:rFonts w:cstheme="minorHAnsi"/>
          <w:noProof/>
          <w:color w:val="444444"/>
        </w:rPr>
      </w:pPr>
      <w:r w:rsidRPr="00D1668D">
        <w:t>V květnu 2019</w:t>
      </w:r>
      <w:r w:rsidRPr="000F0B49">
        <w:t xml:space="preserve"> EK zahájila konzultace s členskými státy/asociovanými zeměmi o možných návrzích </w:t>
      </w:r>
      <w:r w:rsidRPr="000F0B49">
        <w:rPr>
          <w:i/>
          <w:iCs/>
        </w:rPr>
        <w:t>tzv. „kandidátech“</w:t>
      </w:r>
      <w:r w:rsidRPr="000F0B49">
        <w:t xml:space="preserve"> na EP jako část strategického koordinačního procesu. </w:t>
      </w:r>
      <w:r w:rsidRPr="000F0B49">
        <w:rPr>
          <w:b/>
          <w:bCs/>
        </w:rPr>
        <w:t>EK identifikovala celkem 49 kandidátů na EP jako část 1. Strategického plánu Horizontu Evropa (2021-2024)</w:t>
      </w:r>
      <w:r>
        <w:rPr>
          <w:b/>
          <w:bCs/>
        </w:rPr>
        <w:t xml:space="preserve">, </w:t>
      </w:r>
      <w:r>
        <w:t xml:space="preserve">přičemž 6 spolufinancovaných EP, do kterých je v zájmu MZ </w:t>
      </w:r>
      <w:r w:rsidR="00F72AF3">
        <w:br/>
      </w:r>
      <w:r>
        <w:t xml:space="preserve">se zapojit, bylo schváleno pro oblast zdraví (EP ERA4Health, EP THCS, EP </w:t>
      </w:r>
      <w:proofErr w:type="spellStart"/>
      <w:r>
        <w:t>PerMed</w:t>
      </w:r>
      <w:proofErr w:type="spellEnd"/>
      <w:r>
        <w:t>, ERDERA, EP OHAMR, EP BE-READY).</w:t>
      </w:r>
      <w:r>
        <w:rPr>
          <w:b/>
          <w:bCs/>
        </w:rPr>
        <w:t xml:space="preserve"> </w:t>
      </w:r>
      <w:r w:rsidRPr="000F0B49">
        <w:rPr>
          <w:rFonts w:cstheme="minorHAnsi"/>
          <w:b/>
          <w:bCs/>
        </w:rPr>
        <w:t>V květnu 2020</w:t>
      </w:r>
      <w:r w:rsidRPr="000F0B49">
        <w:rPr>
          <w:rFonts w:cstheme="minorHAnsi"/>
        </w:rPr>
        <w:t xml:space="preserve"> EK publikovala návrhy EP.</w:t>
      </w:r>
      <w:r w:rsidRPr="000F0B49">
        <w:rPr>
          <w:rFonts w:cstheme="minorHAnsi"/>
          <w:noProof/>
          <w:color w:val="444444"/>
        </w:rPr>
        <w:t xml:space="preserve"> </w:t>
      </w:r>
    </w:p>
    <w:p w14:paraId="55DBD28B" w14:textId="77777777" w:rsidR="00F741A7" w:rsidRDefault="00F741A7" w:rsidP="00F741A7">
      <w:pPr>
        <w:tabs>
          <w:tab w:val="num" w:pos="360"/>
          <w:tab w:val="left" w:pos="5940"/>
        </w:tabs>
        <w:spacing w:line="276" w:lineRule="auto"/>
        <w:jc w:val="both"/>
        <w:rPr>
          <w:rFonts w:cstheme="minorHAnsi"/>
          <w:noProof/>
          <w:color w:val="444444"/>
        </w:rPr>
      </w:pPr>
    </w:p>
    <w:p w14:paraId="6D291089" w14:textId="77777777" w:rsidR="00F741A7" w:rsidRDefault="00F741A7" w:rsidP="00F741A7">
      <w:pPr>
        <w:tabs>
          <w:tab w:val="num" w:pos="360"/>
          <w:tab w:val="left" w:pos="5940"/>
        </w:tabs>
        <w:spacing w:line="276" w:lineRule="auto"/>
        <w:jc w:val="both"/>
        <w:rPr>
          <w:rFonts w:cstheme="minorHAnsi"/>
          <w:noProof/>
        </w:rPr>
      </w:pPr>
      <w:r>
        <w:rPr>
          <w:rFonts w:cstheme="minorHAnsi"/>
          <w:noProof/>
        </w:rPr>
        <w:t>Od roku 2023 probíhají diskuze o portfoliu</w:t>
      </w:r>
      <w:r w:rsidRPr="003D5EDE">
        <w:rPr>
          <w:rFonts w:cstheme="minorHAnsi"/>
          <w:b/>
          <w:bCs/>
          <w:noProof/>
        </w:rPr>
        <w:t xml:space="preserve"> 10ti EP pro 2. polovinu trvání rámcového programu Horizontu Evropa v rámci přípravy 2. Strategického plánu (2025-2027),</w:t>
      </w:r>
      <w:r>
        <w:rPr>
          <w:rFonts w:cstheme="minorHAnsi"/>
          <w:noProof/>
        </w:rPr>
        <w:t xml:space="preserve"> přičemž jedno z nich je navrženo pro oblast zdraví (EP Brain Health). </w:t>
      </w:r>
    </w:p>
    <w:p w14:paraId="5B6C4324" w14:textId="77777777" w:rsidR="00F741A7" w:rsidRDefault="00F741A7" w:rsidP="00F741A7">
      <w:pPr>
        <w:tabs>
          <w:tab w:val="num" w:pos="360"/>
          <w:tab w:val="left" w:pos="5940"/>
        </w:tabs>
        <w:spacing w:line="276" w:lineRule="auto"/>
        <w:jc w:val="both"/>
        <w:rPr>
          <w:rFonts w:cstheme="minorHAnsi"/>
          <w:noProof/>
        </w:rPr>
      </w:pPr>
    </w:p>
    <w:p w14:paraId="6358A128" w14:textId="26F2A662" w:rsidR="00F741A7" w:rsidRDefault="00F741A7" w:rsidP="00F741A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B37423">
        <w:rPr>
          <w:rFonts w:ascii="Times New Roman" w:hAnsi="Times New Roman" w:cs="Times New Roman"/>
        </w:rPr>
        <w:t xml:space="preserve">EP jsou tzv. „novou generací“, která nahrazují předchozí formu partnerství, např. ERA-NET nebo Iniciativy společného programování (Joint </w:t>
      </w:r>
      <w:proofErr w:type="spellStart"/>
      <w:r w:rsidRPr="00B37423">
        <w:rPr>
          <w:rFonts w:ascii="Times New Roman" w:hAnsi="Times New Roman" w:cs="Times New Roman"/>
        </w:rPr>
        <w:t>Programming</w:t>
      </w:r>
      <w:proofErr w:type="spellEnd"/>
      <w:r w:rsidRPr="00B37423">
        <w:rPr>
          <w:rFonts w:ascii="Times New Roman" w:hAnsi="Times New Roman" w:cs="Times New Roman"/>
        </w:rPr>
        <w:t xml:space="preserve"> </w:t>
      </w:r>
      <w:proofErr w:type="spellStart"/>
      <w:r w:rsidRPr="00B37423">
        <w:rPr>
          <w:rFonts w:ascii="Times New Roman" w:hAnsi="Times New Roman" w:cs="Times New Roman"/>
        </w:rPr>
        <w:t>Initiatives</w:t>
      </w:r>
      <w:proofErr w:type="spellEnd"/>
      <w:r w:rsidRPr="00B37423">
        <w:rPr>
          <w:rFonts w:ascii="Times New Roman" w:hAnsi="Times New Roman" w:cs="Times New Roman"/>
        </w:rPr>
        <w:t xml:space="preserve">; </w:t>
      </w:r>
      <w:proofErr w:type="spellStart"/>
      <w:r w:rsidRPr="00B37423">
        <w:rPr>
          <w:rFonts w:ascii="Times New Roman" w:hAnsi="Times New Roman" w:cs="Times New Roman"/>
        </w:rPr>
        <w:t>JPIs</w:t>
      </w:r>
      <w:proofErr w:type="spellEnd"/>
      <w:r w:rsidRPr="00B37423">
        <w:rPr>
          <w:rFonts w:ascii="Times New Roman" w:hAnsi="Times New Roman" w:cs="Times New Roman"/>
        </w:rPr>
        <w:t xml:space="preserve">), které plnily podobný účel a fungování v předchozím rámcovém programu Horizontu 2020. Od roku 2021 se tak ERA-NET </w:t>
      </w:r>
      <w:proofErr w:type="spellStart"/>
      <w:r w:rsidRPr="00B37423">
        <w:rPr>
          <w:rFonts w:ascii="Times New Roman" w:hAnsi="Times New Roman" w:cs="Times New Roman"/>
        </w:rPr>
        <w:t>Cofundy</w:t>
      </w:r>
      <w:proofErr w:type="spellEnd"/>
      <w:r w:rsidRPr="00B37423">
        <w:rPr>
          <w:rFonts w:ascii="Times New Roman" w:hAnsi="Times New Roman" w:cs="Times New Roman"/>
        </w:rPr>
        <w:t xml:space="preserve"> začaly řídit pravidly rámcového programu Horizont Evropa. </w:t>
      </w:r>
      <w:r w:rsidR="00F72AF3">
        <w:rPr>
          <w:rFonts w:ascii="Times New Roman" w:hAnsi="Times New Roman" w:cs="Times New Roman"/>
        </w:rPr>
        <w:br/>
      </w:r>
      <w:r w:rsidRPr="00B37423">
        <w:rPr>
          <w:rFonts w:ascii="Times New Roman" w:hAnsi="Times New Roman" w:cs="Times New Roman"/>
        </w:rPr>
        <w:t xml:space="preserve">V tomto novém legislativním nařízení se ERA-NET </w:t>
      </w:r>
      <w:proofErr w:type="spellStart"/>
      <w:r w:rsidRPr="00B37423">
        <w:rPr>
          <w:rFonts w:ascii="Times New Roman" w:hAnsi="Times New Roman" w:cs="Times New Roman"/>
        </w:rPr>
        <w:t>Cofundy</w:t>
      </w:r>
      <w:proofErr w:type="spellEnd"/>
      <w:r w:rsidRPr="00B37423">
        <w:rPr>
          <w:rFonts w:ascii="Times New Roman" w:hAnsi="Times New Roman" w:cs="Times New Roman"/>
        </w:rPr>
        <w:t xml:space="preserve"> spolu s Iniciativami zřízenými podle čl. 185 a 187 (</w:t>
      </w:r>
      <w:proofErr w:type="spellStart"/>
      <w:r w:rsidRPr="00B37423">
        <w:rPr>
          <w:rFonts w:ascii="Times New Roman" w:hAnsi="Times New Roman" w:cs="Times New Roman"/>
        </w:rPr>
        <w:t>JPIs</w:t>
      </w:r>
      <w:proofErr w:type="spellEnd"/>
      <w:r w:rsidRPr="00B37423">
        <w:rPr>
          <w:rFonts w:ascii="Times New Roman" w:hAnsi="Times New Roman" w:cs="Times New Roman"/>
        </w:rPr>
        <w:t xml:space="preserve">, JTI, Joint </w:t>
      </w:r>
      <w:proofErr w:type="spellStart"/>
      <w:r w:rsidRPr="00B37423">
        <w:rPr>
          <w:rFonts w:ascii="Times New Roman" w:hAnsi="Times New Roman" w:cs="Times New Roman"/>
        </w:rPr>
        <w:t>Undertaking</w:t>
      </w:r>
      <w:proofErr w:type="spellEnd"/>
      <w:r w:rsidRPr="00B37423">
        <w:rPr>
          <w:rFonts w:ascii="Times New Roman" w:hAnsi="Times New Roman" w:cs="Times New Roman"/>
        </w:rPr>
        <w:t xml:space="preserve">) transformovaly do nového formátu podpory mezinárodní spolupráce – </w:t>
      </w:r>
      <w:r w:rsidRPr="00B37423">
        <w:rPr>
          <w:rFonts w:ascii="Times New Roman" w:hAnsi="Times New Roman" w:cs="Times New Roman"/>
          <w:b/>
          <w:bCs/>
        </w:rPr>
        <w:t>EP</w:t>
      </w:r>
      <w:r>
        <w:rPr>
          <w:rFonts w:ascii="Times New Roman" w:hAnsi="Times New Roman" w:cs="Times New Roman"/>
        </w:rPr>
        <w:t xml:space="preserve">, která jsou </w:t>
      </w:r>
      <w:r w:rsidRPr="00B37423">
        <w:rPr>
          <w:rFonts w:ascii="Times New Roman" w:hAnsi="Times New Roman" w:cs="Times New Roman"/>
        </w:rPr>
        <w:t xml:space="preserve">zpravidla </w:t>
      </w:r>
      <w:r w:rsidRPr="00B37423">
        <w:rPr>
          <w:rFonts w:ascii="Times New Roman" w:hAnsi="Times New Roman" w:cs="Times New Roman"/>
          <w:b/>
          <w:bCs/>
        </w:rPr>
        <w:t>větší (z hlediska počtu zapojených poskytovatelů i rozpočtu)</w:t>
      </w:r>
      <w:r w:rsidRPr="00B37423">
        <w:rPr>
          <w:rFonts w:ascii="Times New Roman" w:hAnsi="Times New Roman" w:cs="Times New Roman"/>
        </w:rPr>
        <w:t xml:space="preserve">, </w:t>
      </w:r>
      <w:r w:rsidRPr="00B37423">
        <w:rPr>
          <w:rFonts w:ascii="Times New Roman" w:hAnsi="Times New Roman" w:cs="Times New Roman"/>
          <w:b/>
          <w:bCs/>
        </w:rPr>
        <w:t xml:space="preserve">dlouhodobější a komplexnější (z hlediska postupů, typů aktivit portfolia témat) než ERA-NET </w:t>
      </w:r>
      <w:proofErr w:type="spellStart"/>
      <w:r w:rsidRPr="00B37423">
        <w:rPr>
          <w:rFonts w:ascii="Times New Roman" w:hAnsi="Times New Roman" w:cs="Times New Roman"/>
          <w:b/>
          <w:bCs/>
        </w:rPr>
        <w:t>Cofundy</w:t>
      </w:r>
      <w:proofErr w:type="spellEnd"/>
      <w:r w:rsidRPr="00B37423">
        <w:rPr>
          <w:rFonts w:ascii="Times New Roman" w:hAnsi="Times New Roman" w:cs="Times New Roman"/>
        </w:rPr>
        <w:t xml:space="preserve">. EK koordinuje EP novým způsobem, jehož koncept je součástí právního rámce Horizont Evropa. Tento nový způsob umožňuje, aby jejich aktivity byly </w:t>
      </w:r>
      <w:r w:rsidRPr="00B37423">
        <w:rPr>
          <w:rFonts w:ascii="Times New Roman" w:hAnsi="Times New Roman" w:cs="Times New Roman"/>
          <w:b/>
          <w:bCs/>
        </w:rPr>
        <w:t xml:space="preserve">naplánované strategičtějším způsobem s přihlédnutím k celému portfoliu plánovaných iniciativ, o kterém rozhoduje EK. </w:t>
      </w:r>
    </w:p>
    <w:p w14:paraId="5A2B56A5" w14:textId="77777777" w:rsidR="00F741A7" w:rsidRDefault="00F741A7" w:rsidP="00F741A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4BA7CCFC" w14:textId="393029C3" w:rsidR="00F741A7" w:rsidRPr="00212917" w:rsidRDefault="00F741A7" w:rsidP="00F741A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B37423">
        <w:rPr>
          <w:rFonts w:ascii="Times New Roman" w:hAnsi="Times New Roman" w:cs="Times New Roman"/>
        </w:rPr>
        <w:t xml:space="preserve">Z výše uvedeného vyplývá, že EP rozšiřují původní nástroje Horizontu 2020. Zatímco v rámci ERA-NET </w:t>
      </w:r>
      <w:proofErr w:type="spellStart"/>
      <w:r w:rsidRPr="00B37423">
        <w:rPr>
          <w:rFonts w:ascii="Times New Roman" w:hAnsi="Times New Roman" w:cs="Times New Roman"/>
        </w:rPr>
        <w:t>Cofund</w:t>
      </w:r>
      <w:proofErr w:type="spellEnd"/>
      <w:r w:rsidRPr="00B37423">
        <w:rPr>
          <w:rFonts w:ascii="Times New Roman" w:hAnsi="Times New Roman" w:cs="Times New Roman"/>
        </w:rPr>
        <w:t xml:space="preserve"> byla vyhlášena pouze jedna spolufinancovaná výzva s příspěvkem EK a</w:t>
      </w:r>
      <w:r>
        <w:rPr>
          <w:rFonts w:ascii="Times New Roman" w:hAnsi="Times New Roman" w:cs="Times New Roman"/>
        </w:rPr>
        <w:t> </w:t>
      </w:r>
      <w:r w:rsidRPr="00B37423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 </w:t>
      </w:r>
      <w:r w:rsidRPr="00B37423">
        <w:rPr>
          <w:rFonts w:ascii="Times New Roman" w:hAnsi="Times New Roman" w:cs="Times New Roman"/>
        </w:rPr>
        <w:t xml:space="preserve">dobou trvání v realizaci 5 let, </w:t>
      </w:r>
      <w:r w:rsidRPr="00B37423">
        <w:rPr>
          <w:rFonts w:ascii="Times New Roman" w:hAnsi="Times New Roman" w:cs="Times New Roman"/>
          <w:b/>
          <w:bCs/>
        </w:rPr>
        <w:t>EP trvají v základu až 10 let a vyhlašují až sedm výzev s</w:t>
      </w:r>
      <w:r>
        <w:rPr>
          <w:rFonts w:ascii="Times New Roman" w:hAnsi="Times New Roman" w:cs="Times New Roman"/>
          <w:b/>
          <w:bCs/>
        </w:rPr>
        <w:t> </w:t>
      </w:r>
      <w:r w:rsidRPr="00B37423">
        <w:rPr>
          <w:rFonts w:ascii="Times New Roman" w:hAnsi="Times New Roman" w:cs="Times New Roman"/>
          <w:b/>
          <w:bCs/>
        </w:rPr>
        <w:t xml:space="preserve">příspěvkem EK. </w:t>
      </w:r>
      <w:r w:rsidRPr="00B37423">
        <w:rPr>
          <w:rFonts w:ascii="Times New Roman" w:hAnsi="Times New Roman" w:cs="Times New Roman"/>
        </w:rPr>
        <w:t xml:space="preserve">Dlouhodobější působení umožňuje mj. také dlouhodobější a strategičtější plánování. </w:t>
      </w:r>
      <w:r>
        <w:rPr>
          <w:rFonts w:ascii="Times New Roman" w:hAnsi="Times New Roman" w:cs="Times New Roman"/>
        </w:rPr>
        <w:t xml:space="preserve"> </w:t>
      </w:r>
      <w:r w:rsidRPr="00212917">
        <w:rPr>
          <w:rFonts w:ascii="Times New Roman" w:hAnsi="Times New Roman" w:cs="Times New Roman"/>
        </w:rPr>
        <w:t xml:space="preserve">Jejich </w:t>
      </w:r>
      <w:r w:rsidRPr="00212917">
        <w:rPr>
          <w:rFonts w:ascii="Times New Roman" w:hAnsi="Times New Roman" w:cs="Times New Roman"/>
          <w:noProof/>
        </w:rPr>
        <w:t xml:space="preserve">prostřednictvím EU v součinnosti s veřejnými i soukromými partnery podporuje rozvoj a implementaci programu na podporu výzkumu a inovací. Hrají rozhodující roli v dosažení strategických cílů v přechodu k ekologické, klimaticky šetrné a digitální Evropě při zachování odolnosti a konkurenceschopnosti evropského průmyslu. Jsou hlavním prostředkem v řešení složitých problémů, které potřebují integrovaný přístup za součinnosti velkého počtu aktérů z různých částí hodnotvých řetězců a zemí. Vychazejí přitom </w:t>
      </w:r>
      <w:r w:rsidR="00002126">
        <w:rPr>
          <w:rFonts w:ascii="Times New Roman" w:hAnsi="Times New Roman" w:cs="Times New Roman"/>
          <w:noProof/>
        </w:rPr>
        <w:br/>
      </w:r>
      <w:r w:rsidRPr="00212917">
        <w:rPr>
          <w:rFonts w:ascii="Times New Roman" w:hAnsi="Times New Roman" w:cs="Times New Roman"/>
          <w:noProof/>
        </w:rPr>
        <w:t xml:space="preserve">ze společných vizí zakotvených ve strategických dokumentech podpořených všemi partnery. Jinými slovy, EP představují významný mechanismus pro zacílení podpory a koordinaci veřejných a soukromých investic do výzkumných a inovačních aktiviti v prioritních oblastech EU. Jakožto </w:t>
      </w:r>
      <w:r w:rsidRPr="00212917">
        <w:rPr>
          <w:rFonts w:ascii="Times New Roman" w:hAnsi="Times New Roman" w:cs="Times New Roman"/>
        </w:rPr>
        <w:t xml:space="preserve">klíčový implementační nástroj rámcového programu Horizontu Evropa je rozdělujeme na tři typy – </w:t>
      </w:r>
      <w:r w:rsidRPr="00212917">
        <w:rPr>
          <w:rFonts w:ascii="Times New Roman" w:hAnsi="Times New Roman" w:cs="Times New Roman"/>
          <w:b/>
          <w:bCs/>
        </w:rPr>
        <w:t>spolufinancovaná (co-</w:t>
      </w:r>
      <w:proofErr w:type="spellStart"/>
      <w:r w:rsidRPr="00212917">
        <w:rPr>
          <w:rFonts w:ascii="Times New Roman" w:hAnsi="Times New Roman" w:cs="Times New Roman"/>
          <w:b/>
          <w:bCs/>
        </w:rPr>
        <w:t>funded</w:t>
      </w:r>
      <w:proofErr w:type="spellEnd"/>
      <w:r w:rsidRPr="00212917">
        <w:rPr>
          <w:rFonts w:ascii="Times New Roman" w:hAnsi="Times New Roman" w:cs="Times New Roman"/>
          <w:b/>
          <w:bCs/>
        </w:rPr>
        <w:t>),</w:t>
      </w:r>
      <w:r w:rsidRPr="00212917">
        <w:rPr>
          <w:rFonts w:ascii="Times New Roman" w:hAnsi="Times New Roman" w:cs="Times New Roman"/>
        </w:rPr>
        <w:t xml:space="preserve"> </w:t>
      </w:r>
      <w:r w:rsidRPr="00212917">
        <w:rPr>
          <w:rFonts w:ascii="Times New Roman" w:hAnsi="Times New Roman" w:cs="Times New Roman"/>
          <w:b/>
          <w:bCs/>
        </w:rPr>
        <w:t>společně programovaná (co-</w:t>
      </w:r>
      <w:proofErr w:type="spellStart"/>
      <w:r w:rsidRPr="00212917">
        <w:rPr>
          <w:rFonts w:ascii="Times New Roman" w:hAnsi="Times New Roman" w:cs="Times New Roman"/>
          <w:b/>
          <w:bCs/>
        </w:rPr>
        <w:t>programmed</w:t>
      </w:r>
      <w:proofErr w:type="spellEnd"/>
      <w:r w:rsidRPr="00212917">
        <w:rPr>
          <w:rFonts w:ascii="Times New Roman" w:hAnsi="Times New Roman" w:cs="Times New Roman"/>
          <w:b/>
          <w:bCs/>
        </w:rPr>
        <w:t>)</w:t>
      </w:r>
      <w:r w:rsidRPr="00212917">
        <w:rPr>
          <w:rFonts w:ascii="Times New Roman" w:hAnsi="Times New Roman" w:cs="Times New Roman"/>
        </w:rPr>
        <w:t xml:space="preserve"> a </w:t>
      </w:r>
      <w:r w:rsidRPr="00212917">
        <w:rPr>
          <w:rFonts w:ascii="Times New Roman" w:hAnsi="Times New Roman" w:cs="Times New Roman"/>
          <w:b/>
          <w:bCs/>
        </w:rPr>
        <w:t>institucionalizovaná (</w:t>
      </w:r>
      <w:proofErr w:type="spellStart"/>
      <w:r w:rsidRPr="00212917">
        <w:rPr>
          <w:rFonts w:ascii="Times New Roman" w:hAnsi="Times New Roman" w:cs="Times New Roman"/>
          <w:b/>
          <w:bCs/>
        </w:rPr>
        <w:t>institutionalized</w:t>
      </w:r>
      <w:proofErr w:type="spellEnd"/>
      <w:r w:rsidRPr="00212917">
        <w:rPr>
          <w:rFonts w:ascii="Times New Roman" w:hAnsi="Times New Roman" w:cs="Times New Roman"/>
          <w:b/>
          <w:bCs/>
        </w:rPr>
        <w:t>).</w:t>
      </w:r>
      <w:r w:rsidRPr="00212917">
        <w:rPr>
          <w:rFonts w:ascii="Times New Roman" w:hAnsi="Times New Roman" w:cs="Times New Roman"/>
        </w:rPr>
        <w:t xml:space="preserve"> Do EP investuje rámcový program Horizont Evropa až 50 % pilíře II, tj. až 26,5 mld. EUR.</w:t>
      </w:r>
    </w:p>
    <w:p w14:paraId="7F6FBF9A" w14:textId="77777777" w:rsidR="00F741A7" w:rsidRDefault="00F741A7" w:rsidP="00F741A7">
      <w:pPr>
        <w:tabs>
          <w:tab w:val="num" w:pos="360"/>
          <w:tab w:val="left" w:pos="5940"/>
        </w:tabs>
        <w:spacing w:line="276" w:lineRule="auto"/>
        <w:jc w:val="both"/>
        <w:rPr>
          <w:rFonts w:cs="Arial"/>
        </w:rPr>
      </w:pPr>
    </w:p>
    <w:p w14:paraId="7D1671E6" w14:textId="45E5CFDF" w:rsidR="00F741A7" w:rsidRPr="00954D41" w:rsidRDefault="00F741A7" w:rsidP="00F741A7">
      <w:pPr>
        <w:spacing w:line="276" w:lineRule="auto"/>
        <w:jc w:val="both"/>
        <w:rPr>
          <w:b/>
          <w:bCs/>
        </w:rPr>
      </w:pPr>
      <w:r w:rsidRPr="00954D41">
        <w:rPr>
          <w:b/>
          <w:bCs/>
        </w:rPr>
        <w:t xml:space="preserve">Prioritou MZ je zapojit se do spolufinancovaného typu EP, neboť bez zapojení členského státu by nebylo umožněno českým vědeckým týmům </w:t>
      </w:r>
      <w:r w:rsidR="00F72AF3">
        <w:rPr>
          <w:b/>
          <w:bCs/>
        </w:rPr>
        <w:br/>
      </w:r>
      <w:r w:rsidRPr="00954D41">
        <w:rPr>
          <w:b/>
          <w:bCs/>
        </w:rPr>
        <w:t xml:space="preserve">zapojovat se do vyhlašovaných nadnárodních výzev. </w:t>
      </w:r>
    </w:p>
    <w:p w14:paraId="611C879A" w14:textId="77777777" w:rsidR="00F741A7" w:rsidRPr="00F05919" w:rsidRDefault="00F741A7" w:rsidP="00F741A7">
      <w:pPr>
        <w:tabs>
          <w:tab w:val="num" w:pos="360"/>
          <w:tab w:val="left" w:pos="5940"/>
        </w:tabs>
        <w:spacing w:line="276" w:lineRule="auto"/>
        <w:jc w:val="both"/>
        <w:rPr>
          <w:rFonts w:cs="Arial"/>
        </w:rPr>
      </w:pPr>
    </w:p>
    <w:p w14:paraId="1E8B1350" w14:textId="57E05AA3" w:rsidR="00F741A7" w:rsidRDefault="00F741A7" w:rsidP="00F741A7">
      <w:pPr>
        <w:spacing w:after="120" w:line="276" w:lineRule="auto"/>
        <w:jc w:val="both"/>
      </w:pPr>
      <w:r w:rsidRPr="00F05919">
        <w:t xml:space="preserve">Zapojení do těchto </w:t>
      </w:r>
      <w:r>
        <w:t>EP</w:t>
      </w:r>
      <w:r w:rsidRPr="00F05919">
        <w:t xml:space="preserve"> jednak posiluje pozici členských zemí a jednotlivých výzkumných a</w:t>
      </w:r>
      <w:r>
        <w:t> </w:t>
      </w:r>
      <w:r w:rsidRPr="00F05919">
        <w:t xml:space="preserve">inovačních subjektů v </w:t>
      </w:r>
      <w:r>
        <w:t>ERA</w:t>
      </w:r>
      <w:r w:rsidRPr="00F05919">
        <w:t xml:space="preserve">, jednak </w:t>
      </w:r>
      <w:proofErr w:type="gramStart"/>
      <w:r w:rsidRPr="00F05919">
        <w:t>vytváří</w:t>
      </w:r>
      <w:proofErr w:type="gramEnd"/>
      <w:r w:rsidRPr="00F05919">
        <w:t xml:space="preserve"> lepší výchozí pozici pro zapojení do konkrétních výzev vyhlašovaných v</w:t>
      </w:r>
      <w:r>
        <w:t> rámcovém programu</w:t>
      </w:r>
      <w:r w:rsidRPr="00F05919">
        <w:t xml:space="preserve"> Horizontu Evropa.</w:t>
      </w:r>
      <w:r>
        <w:t xml:space="preserve"> Celkové zapojení ČR do EP je podle veřejně dostupných analýz a statistik nedostatečné, v oblasti zdravotnictví vysoce podprůměrné oproti jiným zastoupeným vědním oblastem. Důležité je konstatovat, </w:t>
      </w:r>
      <w:r w:rsidR="00F72AF3">
        <w:br/>
      </w:r>
      <w:r>
        <w:t xml:space="preserve">že potenciál příslušné výzkumné komunity zaznamenává přetrvávající zájem na národní </w:t>
      </w:r>
      <w:r>
        <w:lastRenderedPageBreak/>
        <w:t xml:space="preserve">úrovni. Specifické podmínky dané tímto typem spolufinancovaných EP jim však jejich zapojení a vstup do zahraničních konsorcií znemožňuje, což v konečném důsledku vede k celkovému snížení míry zapojení do výzev vyhlašovaných jako součást rámcového programu Horizontu Evropa. Za účelem náležitě reflektovat zájmy české výzkumné obce </w:t>
      </w:r>
      <w:r w:rsidR="00F72AF3">
        <w:br/>
      </w:r>
      <w:r>
        <w:t xml:space="preserve">a podpořit jejich zapojení do EP je zapotřebí vyčlenit národní rozpočtové prostředky, které jim umožní vstupovat do širokých konsorcií, jež budou základem pro vytváření vzájemných úzkých vztahů ve vztahu k další spolupráci na jiných typech projektů rámcového programu Horizontu Evropa. Zapojení se do EP tak představuje významnou příležitost pro české žadatele povznést svůj výzkum na vyšší úroveň, což současně znamená i významný přínos pro ČR jakožto členského státu EU. </w:t>
      </w:r>
    </w:p>
    <w:p w14:paraId="58709AE9" w14:textId="417EBEEC" w:rsidR="00F741A7" w:rsidRDefault="00F741A7" w:rsidP="00F741A7">
      <w:pPr>
        <w:spacing w:after="120" w:line="288" w:lineRule="auto"/>
        <w:jc w:val="both"/>
        <w:rPr>
          <w:color w:val="000000"/>
          <w:shd w:val="clear" w:color="auto" w:fill="FFFFFF"/>
        </w:rPr>
      </w:pPr>
      <w:r w:rsidRPr="00BF7C22">
        <w:rPr>
          <w:b/>
          <w:color w:val="000000"/>
          <w:shd w:val="clear" w:color="auto" w:fill="FFFFFF"/>
        </w:rPr>
        <w:t>Cílem P</w:t>
      </w:r>
      <w:r>
        <w:rPr>
          <w:b/>
          <w:color w:val="000000"/>
          <w:shd w:val="clear" w:color="auto" w:fill="FFFFFF"/>
        </w:rPr>
        <w:t>odp</w:t>
      </w:r>
      <w:r w:rsidRPr="00BF7C22">
        <w:rPr>
          <w:b/>
          <w:color w:val="000000"/>
          <w:shd w:val="clear" w:color="auto" w:fill="FFFFFF"/>
        </w:rPr>
        <w:t>rogramu</w:t>
      </w:r>
      <w:r>
        <w:rPr>
          <w:b/>
          <w:color w:val="000000"/>
          <w:shd w:val="clear" w:color="auto" w:fill="FFFFFF"/>
        </w:rPr>
        <w:t xml:space="preserve"> 3</w:t>
      </w:r>
      <w:r w:rsidRPr="00DB758A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je umožnit české výzkumné komunitě zapojovat se nadnárodních výzev vyhlašovaných v rámci EP v oblasti zdraví zahrnujících témata, jež nejsou obsažena v jiných programech rámcového programu Horizontu Evropa a tím vstupovat do širokých konsorcií, která se ucházejí o podporu v ostatních implementačních nástrojích rámcového programu Horizontu Evropa s cílem řešit složité problémy vyžadující součinnost velkého počtu aktérů a zemí. Kromě toho je cílem získat finanční prostředky dedikované EK </w:t>
      </w:r>
      <w:r w:rsidR="00002126">
        <w:rPr>
          <w:color w:val="000000"/>
          <w:shd w:val="clear" w:color="auto" w:fill="FFFFFF"/>
        </w:rPr>
        <w:br/>
      </w:r>
      <w:r>
        <w:rPr>
          <w:color w:val="000000"/>
          <w:shd w:val="clear" w:color="auto" w:fill="FFFFFF"/>
        </w:rPr>
        <w:t xml:space="preserve">na implementaci EP, jakož i na finanční příspěvek pro nadnárodní spolufinancované výzvy. Období řešení projektů je zpravidla určeno na dobu 36 měsíců. Dílčí cíle vycházejí </w:t>
      </w:r>
      <w:r w:rsidR="00002126">
        <w:rPr>
          <w:color w:val="000000"/>
          <w:shd w:val="clear" w:color="auto" w:fill="FFFFFF"/>
        </w:rPr>
        <w:br/>
      </w:r>
      <w:r>
        <w:rPr>
          <w:color w:val="000000"/>
          <w:shd w:val="clear" w:color="auto" w:fill="FFFFFF"/>
        </w:rPr>
        <w:t>ze strategických dokumentů jako jsou Strategické výzkumné a inovační agendy či Cestovní mapy vypracované za součinnosti zapojených partnerů v rámci EP, které jsou v souladu s Národními prioritami orientovaného výzkumu, experimentálního vývoje a inovací.</w:t>
      </w:r>
    </w:p>
    <w:p w14:paraId="72F3B4FB" w14:textId="55021454" w:rsidR="00F741A7" w:rsidRDefault="00F741A7" w:rsidP="00F741A7">
      <w:pPr>
        <w:tabs>
          <w:tab w:val="center" w:pos="4677"/>
        </w:tabs>
        <w:spacing w:after="120" w:line="288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Navrhované indikátory Podprogramu 3 jsou především kvantitativního charakteru. Proces hodnocení návrhů projektů bude probíhat pouze na nadnárodní úrovni a posuzovány nejméně dvěma mezinárodními hodnotícími experty/nezávislými odborníky z hlediska kvality </w:t>
      </w:r>
      <w:r w:rsidR="00F72AF3">
        <w:rPr>
          <w:color w:val="000000"/>
          <w:shd w:val="clear" w:color="auto" w:fill="FFFFFF"/>
        </w:rPr>
        <w:br/>
      </w:r>
      <w:r>
        <w:rPr>
          <w:color w:val="000000"/>
          <w:shd w:val="clear" w:color="auto" w:fill="FFFFFF"/>
        </w:rPr>
        <w:t>a obsahu daného projektu. Na národní úrovni bude probíhat pouze formální kontrola způsobilosti projektových návrhů podle předem definovaných národních podmínek stanovených MZ.</w:t>
      </w:r>
    </w:p>
    <w:p w14:paraId="5EA25607" w14:textId="4BD2B0AF" w:rsidR="00F741A7" w:rsidRPr="00F741A7" w:rsidRDefault="00F741A7" w:rsidP="00F741A7">
      <w:pPr>
        <w:spacing w:after="120" w:line="288" w:lineRule="auto"/>
        <w:jc w:val="both"/>
        <w:rPr>
          <w:color w:val="000000"/>
        </w:rPr>
      </w:pPr>
      <w:r w:rsidRPr="00364C41">
        <w:rPr>
          <w:color w:val="000000"/>
        </w:rPr>
        <w:t xml:space="preserve">Zdrojem financování </w:t>
      </w:r>
      <w:r>
        <w:rPr>
          <w:color w:val="000000"/>
        </w:rPr>
        <w:t>Podprogramu 3</w:t>
      </w:r>
      <w:r w:rsidRPr="00364C41">
        <w:rPr>
          <w:color w:val="000000"/>
        </w:rPr>
        <w:t xml:space="preserve"> budou výdaje státního rozpočtu na výzkum</w:t>
      </w:r>
      <w:r>
        <w:rPr>
          <w:color w:val="000000"/>
        </w:rPr>
        <w:t xml:space="preserve">, vývoj </w:t>
      </w:r>
      <w:r w:rsidR="00F72AF3">
        <w:rPr>
          <w:color w:val="000000"/>
        </w:rPr>
        <w:br/>
      </w:r>
      <w:r>
        <w:rPr>
          <w:color w:val="000000"/>
        </w:rPr>
        <w:t>a inovace dle z</w:t>
      </w:r>
      <w:r w:rsidRPr="00364C41">
        <w:rPr>
          <w:color w:val="000000"/>
        </w:rPr>
        <w:t>ákona č.</w:t>
      </w:r>
      <w:r>
        <w:rPr>
          <w:color w:val="000000"/>
        </w:rPr>
        <w:t> </w:t>
      </w:r>
      <w:r w:rsidRPr="00364C41">
        <w:rPr>
          <w:color w:val="000000"/>
        </w:rPr>
        <w:t xml:space="preserve">130/2002 Sb. </w:t>
      </w:r>
      <w:r>
        <w:rPr>
          <w:color w:val="000000"/>
        </w:rPr>
        <w:t xml:space="preserve">V letech 2025-2030 (tj. období, ve kterém budou vyhlašovány nadnárodní spolufinancované výzvy) bude realizován výdaji na výzkum a vývoj z rozpočtové kapitoly MZ a za doplňkového financování ze strany EK. Celkové výdaje státního rozpočtu za dobu trvání Podprogramu 3 se předpokládají ve výši 337,5 mil. Kč. Rozpočet na Podprogram 3 bude zajištěn z výdajů na výzkum, vývoj a inovace v letech </w:t>
      </w:r>
      <w:proofErr w:type="gramStart"/>
      <w:r>
        <w:rPr>
          <w:color w:val="000000"/>
        </w:rPr>
        <w:t>2025 – 2030</w:t>
      </w:r>
      <w:proofErr w:type="gramEnd"/>
      <w:r>
        <w:rPr>
          <w:color w:val="000000"/>
        </w:rPr>
        <w:t xml:space="preserve">. </w:t>
      </w:r>
    </w:p>
    <w:p w14:paraId="1AA7F258" w14:textId="6E3ECD90" w:rsidR="0071223A" w:rsidRDefault="0071223A" w:rsidP="0071223A">
      <w:pPr>
        <w:tabs>
          <w:tab w:val="left" w:pos="0"/>
        </w:tabs>
        <w:spacing w:after="120" w:line="288" w:lineRule="auto"/>
        <w:jc w:val="both"/>
        <w:rPr>
          <w:i/>
        </w:rPr>
      </w:pPr>
      <w:r>
        <w:t xml:space="preserve">Předkládaný materiál </w:t>
      </w:r>
      <w:r w:rsidR="0017694E">
        <w:t xml:space="preserve">má dopad na veřejné rozpočty a může vyvolat nároky na zvýšení výdajů státního rozpočtu na výzkum, vývoj a inovace. </w:t>
      </w:r>
      <w:r w:rsidR="00F741A7">
        <w:rPr>
          <w:color w:val="000000"/>
        </w:rPr>
        <w:t>Podprogram 3 navrhuje meziroční zvyšování výdajů na výzkum a vývoj, neboť v případě vyšší národní rozpočtové alokace na jednotlivé nadnárodní spolufinancované výzvy by bylo umožněno podpořit vyšší počet českých projektů, které by uspěly v těchto výzvách</w:t>
      </w:r>
      <w:r w:rsidR="00002126">
        <w:rPr>
          <w:color w:val="000000"/>
        </w:rPr>
        <w:t>,</w:t>
      </w:r>
      <w:r w:rsidR="00F741A7">
        <w:rPr>
          <w:color w:val="000000"/>
        </w:rPr>
        <w:t xml:space="preserve"> a tím by došlo k celkovému zvýšení úspěšnosti české výzkumné komunity v oblasti zdraví v rámcovém programu Horizontu Evropa. </w:t>
      </w:r>
      <w:r w:rsidR="0017694E">
        <w:t xml:space="preserve">Výdaje na realizaci Podprogramu 3 budou MZ uplatňovány v závislosti na možnostech státního rozpočtu ČR v příslušných obdobích v návrh výdajů státního rozpočtu na výzkum, vývoj </w:t>
      </w:r>
      <w:r w:rsidR="00F72AF3">
        <w:br/>
      </w:r>
      <w:r w:rsidR="0017694E">
        <w:t xml:space="preserve">a inovace. </w:t>
      </w:r>
    </w:p>
    <w:p w14:paraId="3808D696" w14:textId="7A60F4A3" w:rsidR="0071223A" w:rsidRDefault="0071223A" w:rsidP="0071223A">
      <w:pPr>
        <w:spacing w:after="120" w:line="288" w:lineRule="auto"/>
        <w:jc w:val="both"/>
      </w:pPr>
      <w:r>
        <w:lastRenderedPageBreak/>
        <w:t xml:space="preserve">Předkládaný materiál nemá dopady na otázku rovnosti mužů a žen, netýká se postavení fyzických osob, nemá přímé dopady na podnikatelské prostředí České republiky ani dopady na životní prostředí a jeho realizace nevyžaduje přípravu materiálů legislativní povahy </w:t>
      </w:r>
      <w:r w:rsidR="00002126">
        <w:br/>
      </w:r>
      <w:r>
        <w:t>pro schůzi vlády ve smyslu čl. IV. odst. 7 Jednacího řádu vlády.</w:t>
      </w:r>
    </w:p>
    <w:p w14:paraId="461D104F" w14:textId="7495FDA2" w:rsidR="0071223A" w:rsidRDefault="0071223A" w:rsidP="0071223A">
      <w:pPr>
        <w:spacing w:after="120" w:line="288" w:lineRule="auto"/>
        <w:jc w:val="both"/>
      </w:pPr>
      <w:r>
        <w:t xml:space="preserve">Stanovisko k materiálu schválila Rada pro výzkum, vývoj a inovace na svém </w:t>
      </w:r>
      <w:r>
        <w:rPr>
          <w:highlight w:val="yellow"/>
        </w:rPr>
        <w:t>…</w:t>
      </w:r>
      <w:r>
        <w:t xml:space="preserve">. zasedání konaném dne </w:t>
      </w:r>
      <w:r>
        <w:rPr>
          <w:highlight w:val="yellow"/>
        </w:rPr>
        <w:t>…</w:t>
      </w:r>
      <w:r>
        <w:t xml:space="preserve"> 202</w:t>
      </w:r>
      <w:r w:rsidR="0017694E">
        <w:t>4</w:t>
      </w:r>
      <w:r>
        <w:t xml:space="preserve"> a je uvedeno v příloze č. IV. Připomínky Rady pro výzkum, vývoj </w:t>
      </w:r>
      <w:r w:rsidR="00002126">
        <w:br/>
      </w:r>
      <w:r>
        <w:t>a inovace byly do materiálu zapracovány.</w:t>
      </w:r>
    </w:p>
    <w:p w14:paraId="64077C0A" w14:textId="5B6B2F58" w:rsidR="0071223A" w:rsidRDefault="0071223A" w:rsidP="0071223A">
      <w:pPr>
        <w:spacing w:after="120" w:line="288" w:lineRule="auto"/>
        <w:jc w:val="both"/>
      </w:pPr>
      <w:r>
        <w:t xml:space="preserve">Podle Jednacího řádu vlády byl materiál rozeslán do meziresortního připomínkového řízení dopisem ministra zdravotnictví, toto připomínkové řízení proběhlo v termínu od </w:t>
      </w:r>
      <w:r>
        <w:rPr>
          <w:highlight w:val="yellow"/>
        </w:rPr>
        <w:t>...</w:t>
      </w:r>
      <w:r>
        <w:t xml:space="preserve"> do </w:t>
      </w:r>
      <w:r>
        <w:rPr>
          <w:highlight w:val="yellow"/>
        </w:rPr>
        <w:t>…</w:t>
      </w:r>
      <w:r>
        <w:t xml:space="preserve"> 202</w:t>
      </w:r>
      <w:r w:rsidR="00866FD2">
        <w:t>4</w:t>
      </w:r>
      <w:r>
        <w:t>. K materiálu bylo v termínu zasláno celkem</w:t>
      </w:r>
      <w:proofErr w:type="gramStart"/>
      <w:r>
        <w:t xml:space="preserve"> </w:t>
      </w:r>
      <w:r>
        <w:rPr>
          <w:highlight w:val="yellow"/>
        </w:rPr>
        <w:t>..</w:t>
      </w:r>
      <w:proofErr w:type="gramEnd"/>
      <w:r>
        <w:t xml:space="preserve"> připomínek, z toho</w:t>
      </w:r>
      <w:proofErr w:type="gramStart"/>
      <w:r>
        <w:t xml:space="preserve"> </w:t>
      </w:r>
      <w:r>
        <w:rPr>
          <w:highlight w:val="yellow"/>
        </w:rPr>
        <w:t>..</w:t>
      </w:r>
      <w:proofErr w:type="gramEnd"/>
      <w:r>
        <w:t xml:space="preserve"> bylo označeno jako zásadní. Vyhodnocení tohoto řízení je uvedeno v příloze VI. Připomínková místa vyslovila s vypořádáním připomínek souhlas. Materiál je vládě předkládán </w:t>
      </w:r>
      <w:r>
        <w:rPr>
          <w:highlight w:val="yellow"/>
        </w:rPr>
        <w:t>bez rozporu / s rozporem</w:t>
      </w:r>
      <w:r>
        <w:t>.</w:t>
      </w:r>
    </w:p>
    <w:p w14:paraId="31F52B13" w14:textId="77777777" w:rsidR="00D76A74" w:rsidRPr="00E07B54" w:rsidRDefault="00D76A74" w:rsidP="00E07B54">
      <w:pPr>
        <w:spacing w:before="120" w:after="120" w:line="288" w:lineRule="auto"/>
        <w:jc w:val="both"/>
        <w:rPr>
          <w:rFonts w:eastAsia="Arial"/>
        </w:rPr>
      </w:pPr>
    </w:p>
    <w:sectPr w:rsidR="00D76A74" w:rsidRPr="00E07B54" w:rsidSect="00174415"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260"/>
    <w:rsid w:val="00002126"/>
    <w:rsid w:val="00011B39"/>
    <w:rsid w:val="00014F55"/>
    <w:rsid w:val="00044F54"/>
    <w:rsid w:val="0005117A"/>
    <w:rsid w:val="00061A30"/>
    <w:rsid w:val="000A5639"/>
    <w:rsid w:val="000C3AD1"/>
    <w:rsid w:val="000D30BC"/>
    <w:rsid w:val="00114067"/>
    <w:rsid w:val="00121485"/>
    <w:rsid w:val="00126896"/>
    <w:rsid w:val="00126B50"/>
    <w:rsid w:val="001321E3"/>
    <w:rsid w:val="00174415"/>
    <w:rsid w:val="0017694E"/>
    <w:rsid w:val="00182352"/>
    <w:rsid w:val="00184744"/>
    <w:rsid w:val="00186FD2"/>
    <w:rsid w:val="001956DE"/>
    <w:rsid w:val="001E3797"/>
    <w:rsid w:val="002043D4"/>
    <w:rsid w:val="002501B8"/>
    <w:rsid w:val="0027469F"/>
    <w:rsid w:val="002818D2"/>
    <w:rsid w:val="002A6AB4"/>
    <w:rsid w:val="002B2A3F"/>
    <w:rsid w:val="002B4C79"/>
    <w:rsid w:val="002B7F42"/>
    <w:rsid w:val="002D7A2F"/>
    <w:rsid w:val="003143DB"/>
    <w:rsid w:val="00327426"/>
    <w:rsid w:val="003411C9"/>
    <w:rsid w:val="00343AA8"/>
    <w:rsid w:val="00353172"/>
    <w:rsid w:val="00365324"/>
    <w:rsid w:val="003823F8"/>
    <w:rsid w:val="0038565D"/>
    <w:rsid w:val="0041167A"/>
    <w:rsid w:val="00413E81"/>
    <w:rsid w:val="004234DA"/>
    <w:rsid w:val="00433CFC"/>
    <w:rsid w:val="00465A18"/>
    <w:rsid w:val="00480688"/>
    <w:rsid w:val="004949B8"/>
    <w:rsid w:val="004B2BBC"/>
    <w:rsid w:val="004C4244"/>
    <w:rsid w:val="004D52D4"/>
    <w:rsid w:val="004F2A9E"/>
    <w:rsid w:val="00506DA8"/>
    <w:rsid w:val="00517E12"/>
    <w:rsid w:val="005212B3"/>
    <w:rsid w:val="005246C9"/>
    <w:rsid w:val="00547A92"/>
    <w:rsid w:val="00556CAA"/>
    <w:rsid w:val="00567741"/>
    <w:rsid w:val="005E0D60"/>
    <w:rsid w:val="005F5425"/>
    <w:rsid w:val="0065682A"/>
    <w:rsid w:val="006822F9"/>
    <w:rsid w:val="006A6776"/>
    <w:rsid w:val="006C647D"/>
    <w:rsid w:val="006D598A"/>
    <w:rsid w:val="006E218E"/>
    <w:rsid w:val="00703651"/>
    <w:rsid w:val="0071223A"/>
    <w:rsid w:val="00721FB3"/>
    <w:rsid w:val="007272FC"/>
    <w:rsid w:val="007340E9"/>
    <w:rsid w:val="00770260"/>
    <w:rsid w:val="007A1A02"/>
    <w:rsid w:val="007D5734"/>
    <w:rsid w:val="007F1558"/>
    <w:rsid w:val="007F68A1"/>
    <w:rsid w:val="0080397D"/>
    <w:rsid w:val="00821B8C"/>
    <w:rsid w:val="008329D9"/>
    <w:rsid w:val="00843827"/>
    <w:rsid w:val="008622F5"/>
    <w:rsid w:val="00866FD2"/>
    <w:rsid w:val="008B473D"/>
    <w:rsid w:val="008C4C66"/>
    <w:rsid w:val="008E0132"/>
    <w:rsid w:val="008E32E4"/>
    <w:rsid w:val="008E5E7E"/>
    <w:rsid w:val="008F7D8C"/>
    <w:rsid w:val="00925D0A"/>
    <w:rsid w:val="00962172"/>
    <w:rsid w:val="009C4AD8"/>
    <w:rsid w:val="00A658B4"/>
    <w:rsid w:val="00A74ED9"/>
    <w:rsid w:val="00A82530"/>
    <w:rsid w:val="00A90350"/>
    <w:rsid w:val="00A9775F"/>
    <w:rsid w:val="00AC312F"/>
    <w:rsid w:val="00AE1418"/>
    <w:rsid w:val="00AE6CA2"/>
    <w:rsid w:val="00AF66AD"/>
    <w:rsid w:val="00B347B9"/>
    <w:rsid w:val="00B34DD6"/>
    <w:rsid w:val="00B61DAD"/>
    <w:rsid w:val="00B65802"/>
    <w:rsid w:val="00B9332B"/>
    <w:rsid w:val="00B976EB"/>
    <w:rsid w:val="00BD18C9"/>
    <w:rsid w:val="00BD6979"/>
    <w:rsid w:val="00BE247D"/>
    <w:rsid w:val="00C11793"/>
    <w:rsid w:val="00C63952"/>
    <w:rsid w:val="00C764BD"/>
    <w:rsid w:val="00C802F9"/>
    <w:rsid w:val="00C87027"/>
    <w:rsid w:val="00C968EE"/>
    <w:rsid w:val="00C97443"/>
    <w:rsid w:val="00CB5F51"/>
    <w:rsid w:val="00CC3034"/>
    <w:rsid w:val="00CC6D99"/>
    <w:rsid w:val="00CF57BB"/>
    <w:rsid w:val="00CF5E04"/>
    <w:rsid w:val="00D22C46"/>
    <w:rsid w:val="00D40269"/>
    <w:rsid w:val="00D52642"/>
    <w:rsid w:val="00D76A74"/>
    <w:rsid w:val="00D922A2"/>
    <w:rsid w:val="00DC3146"/>
    <w:rsid w:val="00DE0126"/>
    <w:rsid w:val="00DF7B79"/>
    <w:rsid w:val="00E00032"/>
    <w:rsid w:val="00E03E8A"/>
    <w:rsid w:val="00E07B54"/>
    <w:rsid w:val="00E507A8"/>
    <w:rsid w:val="00EE78F3"/>
    <w:rsid w:val="00EF5798"/>
    <w:rsid w:val="00F13342"/>
    <w:rsid w:val="00F15345"/>
    <w:rsid w:val="00F318F0"/>
    <w:rsid w:val="00F72AF3"/>
    <w:rsid w:val="00F741A7"/>
    <w:rsid w:val="00F765C9"/>
    <w:rsid w:val="00F76C4B"/>
    <w:rsid w:val="00F83B06"/>
    <w:rsid w:val="00F9069C"/>
    <w:rsid w:val="00FB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4181E"/>
  <w15:docId w15:val="{04EB0A7F-6942-4388-AB05-81AD43B0F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0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EF57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F579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F579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57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579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57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579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F7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D0036-976E-42C9-A5B5-409229D43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1580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Laubová Lenka, Mgr. (MPSV)</dc:creator>
  <cp:lastModifiedBy>Rzehulková Martina, Mgr.et Mgr.</cp:lastModifiedBy>
  <cp:revision>27</cp:revision>
  <cp:lastPrinted>2021-06-25T12:39:00Z</cp:lastPrinted>
  <dcterms:created xsi:type="dcterms:W3CDTF">2021-06-25T12:25:00Z</dcterms:created>
  <dcterms:modified xsi:type="dcterms:W3CDTF">2024-02-14T13:45:00Z</dcterms:modified>
</cp:coreProperties>
</file>