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99A6B" w14:textId="77777777" w:rsidR="00A56CC7" w:rsidRDefault="00A56CC7" w:rsidP="00A56CC7">
      <w:pPr>
        <w:jc w:val="right"/>
        <w:rPr>
          <w:rFonts w:ascii="Arial" w:hAnsi="Arial" w:cs="Arial"/>
          <w:b/>
        </w:rPr>
      </w:pPr>
      <w:r>
        <w:rPr>
          <w:rFonts w:ascii="Arial" w:hAnsi="Arial" w:cs="Arial"/>
          <w:b/>
        </w:rPr>
        <w:t>II.</w:t>
      </w:r>
    </w:p>
    <w:p w14:paraId="14F5C427" w14:textId="77777777" w:rsidR="00A56CC7" w:rsidRDefault="00A56CC7" w:rsidP="00A56CC7">
      <w:pPr>
        <w:jc w:val="right"/>
        <w:rPr>
          <w:rFonts w:ascii="Arial" w:hAnsi="Arial" w:cs="Arial"/>
          <w:b/>
        </w:rPr>
      </w:pPr>
    </w:p>
    <w:p w14:paraId="3372D85F" w14:textId="77777777" w:rsidR="00A56CC7" w:rsidRDefault="00A56CC7" w:rsidP="00A56CC7">
      <w:pPr>
        <w:jc w:val="center"/>
        <w:rPr>
          <w:rFonts w:ascii="Arial" w:hAnsi="Arial" w:cs="Arial"/>
          <w:b/>
        </w:rPr>
      </w:pPr>
      <w:r>
        <w:rPr>
          <w:rFonts w:ascii="Arial" w:hAnsi="Arial" w:cs="Arial"/>
          <w:b/>
        </w:rPr>
        <w:t>PŘEDKLÁDACÍ ZPRÁVA</w:t>
      </w:r>
    </w:p>
    <w:p w14:paraId="17489572" w14:textId="77777777" w:rsidR="00A56CC7" w:rsidRDefault="00A56CC7" w:rsidP="00A56CC7">
      <w:pPr>
        <w:jc w:val="both"/>
        <w:rPr>
          <w:rFonts w:ascii="Arial" w:eastAsia="Calibri" w:hAnsi="Arial" w:cs="Arial"/>
          <w:sz w:val="22"/>
        </w:rPr>
      </w:pPr>
    </w:p>
    <w:p w14:paraId="18ABBE26" w14:textId="437C6C03" w:rsidR="00A56CC7" w:rsidRDefault="00A56CC7" w:rsidP="00A56CC7">
      <w:pPr>
        <w:jc w:val="both"/>
        <w:rPr>
          <w:rFonts w:ascii="Arial" w:eastAsia="Calibri" w:hAnsi="Arial" w:cs="Arial"/>
          <w:sz w:val="22"/>
        </w:rPr>
      </w:pPr>
      <w:r>
        <w:rPr>
          <w:rFonts w:ascii="Arial" w:eastAsia="Calibri" w:hAnsi="Arial" w:cs="Arial"/>
          <w:sz w:val="22"/>
        </w:rPr>
        <w:t xml:space="preserve">Materiál předkládaný Ministerstvem školství, mládeže a tělovýchovy (dále jen „MŠMT“) pro schůzi vlády ČR představuje návrh začlenění výzkumné infrastruktury „Český národní uzel pro výzkum rodiny“ (akronym: GGP-CZ; Gender and </w:t>
      </w:r>
      <w:r w:rsidRPr="00A56CC7">
        <w:rPr>
          <w:rFonts w:ascii="Arial" w:eastAsia="Calibri" w:hAnsi="Arial" w:cs="Arial"/>
          <w:sz w:val="22"/>
        </w:rPr>
        <w:t>Generation Programme</w:t>
      </w:r>
      <w:r>
        <w:rPr>
          <w:rFonts w:ascii="Arial" w:eastAsia="Calibri" w:hAnsi="Arial" w:cs="Arial"/>
          <w:sz w:val="22"/>
        </w:rPr>
        <w:t> – CZ) na Cestovní mapu velkých výzkumných infrastruktur ČR.</w:t>
      </w:r>
    </w:p>
    <w:p w14:paraId="0FAA727A" w14:textId="77777777" w:rsidR="00A56CC7" w:rsidRDefault="00A56CC7" w:rsidP="00A56CC7">
      <w:pPr>
        <w:jc w:val="both"/>
        <w:rPr>
          <w:rFonts w:ascii="Arial" w:eastAsia="Calibri" w:hAnsi="Arial" w:cs="Arial"/>
          <w:sz w:val="22"/>
        </w:rPr>
      </w:pPr>
    </w:p>
    <w:p w14:paraId="18F66E6A" w14:textId="77777777" w:rsidR="00A56CC7" w:rsidRDefault="00A56CC7" w:rsidP="00A56CC7">
      <w:pPr>
        <w:jc w:val="both"/>
        <w:rPr>
          <w:rFonts w:ascii="Arial" w:eastAsia="Calibri" w:hAnsi="Arial" w:cs="Arial"/>
          <w:bCs/>
          <w:sz w:val="22"/>
        </w:rPr>
      </w:pPr>
      <w:r>
        <w:rPr>
          <w:rFonts w:ascii="Arial" w:eastAsia="Calibri" w:hAnsi="Arial" w:cs="Arial"/>
          <w:bCs/>
          <w:sz w:val="22"/>
        </w:rPr>
        <w:t>Velká výzkumná infrastruktura je dle ust. § 2 odst. 2 písm. d) zákona č. 130/2002 Sb., o podpoře výzkumu, experimentálního vývoje a inovací z veřejných prostředků a o změně některých souvisejících zákonů (zákon o podpoře výzkumu, experimentálního vývoje a inovací), ve znění pozdějších předpisů, právně definována jako „</w:t>
      </w:r>
      <w:r>
        <w:rPr>
          <w:rFonts w:ascii="Arial" w:eastAsia="Calibri" w:hAnsi="Arial" w:cs="Arial"/>
          <w:bCs/>
          <w:i/>
          <w:sz w:val="22"/>
        </w:rPr>
        <w:t>výzkumná infrastruktura, která je výzkumným zařízením nezbytným pro ucelenou výzkumnou a vývojovou činnost s vysokou finanční a technologickou náročností, která je schvalována vládou a zřizována pro využití též dalšími výzkumnými organizacemi.</w:t>
      </w:r>
      <w:r>
        <w:rPr>
          <w:rFonts w:ascii="Arial" w:eastAsia="Calibri" w:hAnsi="Arial" w:cs="Arial"/>
          <w:bCs/>
          <w:sz w:val="22"/>
        </w:rPr>
        <w:t>“ Při vymezení pojmu „</w:t>
      </w:r>
      <w:r>
        <w:rPr>
          <w:rFonts w:ascii="Arial" w:eastAsia="Calibri" w:hAnsi="Arial" w:cs="Arial"/>
          <w:bCs/>
          <w:i/>
          <w:sz w:val="22"/>
        </w:rPr>
        <w:t>výzkumná infrastruktura</w:t>
      </w:r>
      <w:r>
        <w:rPr>
          <w:rFonts w:ascii="Arial" w:eastAsia="Calibri" w:hAnsi="Arial" w:cs="Arial"/>
          <w:bCs/>
          <w:sz w:val="22"/>
        </w:rPr>
        <w:t>“ je přitom odkázáno na definici výzkumné infrastruktury stanovenou Rámcem pro státní podporu výzkumu, vývoje a inovací (2022/C 414/01), resp. Nařízením Komise (EU) č. 651/2014 ze dne 17. června 2014, kterým se v souladu s čl. 107 a 108 Smlouvy prohlašují určité kategorie podpory za slučitelné s vnitřním trhem.</w:t>
      </w:r>
    </w:p>
    <w:p w14:paraId="40F6A5E9" w14:textId="77777777" w:rsidR="00A56CC7" w:rsidRDefault="00A56CC7" w:rsidP="00A56CC7">
      <w:pPr>
        <w:jc w:val="both"/>
        <w:rPr>
          <w:rFonts w:ascii="Arial" w:eastAsia="Calibri" w:hAnsi="Arial" w:cs="Arial"/>
          <w:bCs/>
          <w:sz w:val="22"/>
        </w:rPr>
      </w:pPr>
    </w:p>
    <w:p w14:paraId="5147A779" w14:textId="77777777" w:rsidR="00A56CC7" w:rsidRDefault="00A56CC7" w:rsidP="00A56CC7">
      <w:pPr>
        <w:jc w:val="both"/>
        <w:rPr>
          <w:rFonts w:ascii="Arial" w:eastAsia="Calibri" w:hAnsi="Arial" w:cs="Arial"/>
          <w:bCs/>
          <w:sz w:val="22"/>
        </w:rPr>
      </w:pPr>
      <w:r>
        <w:rPr>
          <w:rFonts w:ascii="Arial" w:eastAsia="Calibri" w:hAnsi="Arial" w:cs="Arial"/>
          <w:bCs/>
          <w:sz w:val="22"/>
        </w:rPr>
        <w:t>Gestorem agendy velkých výzkumných infrastruktur je MŠMT, které stanovuje koncepci jejich podpory z veřejných prostředků ČR a poskytuje velkým výzkumným infrastrukturám i účelovou podporu z výdajů státního rozpočtu ČR na výzkum, vývoj a inovace (dále jen „VaVaI“), a to na základě ust. § 33 odst. 2 písm. b), § 3 odst. 2 písm. d) a § 4 odst. 1 písm. e) zákona o podpoře výzkumu, experimentálního vývoje a inovací. V postavení gestora mezinárodní spolupráce ČR ve výzkumu a vývoji v souladu s ust. § 7 odst. 1 zákona č. 2/1969 Sb., o zřízení ministerstev a jiných ústředních orgánů státní správy ČR, ve znění pozdějších předpisů, a ust. § 33 odst. 2 zákona o podpoře výzkumu, experimentálního vývoje a inovací MŠMT podporuje dále rovněž internacionalizaci a mezinárodní spolupráci velkých výzkumných infrastruktur, i jejich integraci do mezinárodních právních subjektů, zejména konsorcií evropských výzkumných infrastruktur (</w:t>
      </w:r>
      <w:r>
        <w:rPr>
          <w:rFonts w:ascii="Arial" w:eastAsia="Calibri" w:hAnsi="Arial" w:cs="Arial"/>
          <w:bCs/>
          <w:i/>
          <w:iCs/>
          <w:sz w:val="22"/>
        </w:rPr>
        <w:t>European Research Infrastructure Consortium</w:t>
      </w:r>
      <w:r>
        <w:rPr>
          <w:rFonts w:ascii="Arial" w:eastAsia="Calibri" w:hAnsi="Arial" w:cs="Arial"/>
          <w:bCs/>
          <w:sz w:val="22"/>
        </w:rPr>
        <w:t>), ustavovaných podle právního rámce EU.</w:t>
      </w:r>
    </w:p>
    <w:p w14:paraId="44F09FE7" w14:textId="77777777" w:rsidR="00A56CC7" w:rsidRDefault="00A56CC7" w:rsidP="00A56CC7">
      <w:pPr>
        <w:jc w:val="both"/>
        <w:rPr>
          <w:rFonts w:ascii="Arial" w:eastAsia="Calibri" w:hAnsi="Arial" w:cs="Arial"/>
          <w:bCs/>
          <w:sz w:val="22"/>
        </w:rPr>
      </w:pPr>
    </w:p>
    <w:p w14:paraId="5E333DAD" w14:textId="77777777" w:rsidR="00A56CC7" w:rsidRDefault="00A56CC7" w:rsidP="00A56CC7">
      <w:pPr>
        <w:jc w:val="both"/>
        <w:rPr>
          <w:rFonts w:ascii="Arial" w:eastAsia="Calibri" w:hAnsi="Arial" w:cs="Arial"/>
          <w:bCs/>
          <w:sz w:val="22"/>
        </w:rPr>
      </w:pPr>
      <w:r>
        <w:rPr>
          <w:rFonts w:ascii="Arial" w:eastAsia="Calibri" w:hAnsi="Arial" w:cs="Arial"/>
          <w:bCs/>
          <w:sz w:val="22"/>
        </w:rPr>
        <w:t>V souladu s usnesením vlády ČR ze dne 14. prosince 2022 č. 1043 bylo zahájeno poskytování účelové podpory velkým výzkumným infrastrukturám na období let 2023–2026. Dle unesení získaly podporu velké výzkumné infrastruktury hodnocené „interim“ (provozující své služby vědecké komunitě v módu velké výzkumné infrastruktury již v předchozím období), jimž byla v mezinárodním hodnocení udělena nejvyšší (5) a druhá nejvyšší známka (4).</w:t>
      </w:r>
    </w:p>
    <w:p w14:paraId="6ED2111A" w14:textId="77777777" w:rsidR="00A56CC7" w:rsidRDefault="00A56CC7" w:rsidP="00A56CC7">
      <w:pPr>
        <w:jc w:val="both"/>
        <w:rPr>
          <w:rFonts w:ascii="Arial" w:eastAsia="Calibri" w:hAnsi="Arial" w:cs="Arial"/>
          <w:bCs/>
          <w:sz w:val="22"/>
        </w:rPr>
      </w:pPr>
    </w:p>
    <w:p w14:paraId="0BE70AEF" w14:textId="77777777" w:rsidR="00A56CC7" w:rsidRDefault="00A56CC7" w:rsidP="00A56CC7">
      <w:pPr>
        <w:jc w:val="both"/>
        <w:rPr>
          <w:rFonts w:ascii="Arial" w:eastAsia="Calibri" w:hAnsi="Arial" w:cs="Arial"/>
          <w:iCs/>
          <w:sz w:val="22"/>
        </w:rPr>
      </w:pPr>
      <w:r>
        <w:rPr>
          <w:rFonts w:ascii="Arial" w:eastAsia="Calibri" w:hAnsi="Arial" w:cs="Arial"/>
          <w:bCs/>
          <w:sz w:val="22"/>
        </w:rPr>
        <w:t xml:space="preserve">Ze 44 vládou schválených projektů bylo uzavřeno 43 smluv o podpoře – ORLEN UniCRE a.s., hostující instituce projektu </w:t>
      </w:r>
      <w:r>
        <w:rPr>
          <w:rFonts w:ascii="Arial" w:eastAsia="Calibri" w:hAnsi="Arial" w:cs="Arial"/>
          <w:i/>
          <w:sz w:val="22"/>
        </w:rPr>
        <w:t>Katalytické procesy pro efektivní využití uhlíkatých energetických surovin</w:t>
      </w:r>
      <w:r>
        <w:rPr>
          <w:rFonts w:ascii="Arial" w:eastAsia="Calibri" w:hAnsi="Arial" w:cs="Arial"/>
          <w:b/>
          <w:bCs/>
          <w:i/>
          <w:sz w:val="22"/>
        </w:rPr>
        <w:t xml:space="preserve"> </w:t>
      </w:r>
      <w:r>
        <w:rPr>
          <w:rFonts w:ascii="Arial" w:eastAsia="Calibri" w:hAnsi="Arial" w:cs="Arial"/>
          <w:bCs/>
          <w:iCs/>
          <w:sz w:val="22"/>
        </w:rPr>
        <w:t xml:space="preserve">(akronym: </w:t>
      </w:r>
      <w:r>
        <w:rPr>
          <w:rFonts w:ascii="Arial" w:eastAsia="Calibri" w:hAnsi="Arial" w:cs="Arial"/>
          <w:iCs/>
          <w:sz w:val="22"/>
        </w:rPr>
        <w:t xml:space="preserve">CATPRO), přehodnotil svou vnitřní strategii a rozhodl se velkou výzkumnou infrastrukturu neprovozovat. Finanční náročnost infrastruktury měla po krácení rozpočtu uplatňovaném pro „interim“ hodnocené infrastruktury se známkou 4 dosahovat za léta </w:t>
      </w:r>
      <w:r>
        <w:rPr>
          <w:rFonts w:ascii="Arial" w:eastAsia="Calibri" w:hAnsi="Arial" w:cs="Arial"/>
          <w:bCs/>
          <w:sz w:val="22"/>
        </w:rPr>
        <w:t xml:space="preserve">2023–2026 </w:t>
      </w:r>
      <w:r>
        <w:rPr>
          <w:rFonts w:ascii="Arial" w:eastAsia="Calibri" w:hAnsi="Arial" w:cs="Arial"/>
          <w:iCs/>
          <w:sz w:val="22"/>
        </w:rPr>
        <w:t>celkové podpory 46 531 tis. Kč.</w:t>
      </w:r>
    </w:p>
    <w:p w14:paraId="399B294C" w14:textId="77777777" w:rsidR="00A56CC7" w:rsidRDefault="00A56CC7" w:rsidP="00A56CC7">
      <w:pPr>
        <w:jc w:val="both"/>
        <w:rPr>
          <w:rFonts w:ascii="Arial" w:eastAsia="Calibri" w:hAnsi="Arial" w:cs="Arial"/>
          <w:iCs/>
          <w:sz w:val="22"/>
        </w:rPr>
      </w:pPr>
    </w:p>
    <w:p w14:paraId="108C247A" w14:textId="77777777" w:rsidR="00A56CC7" w:rsidRDefault="00A56CC7" w:rsidP="00A56CC7">
      <w:pPr>
        <w:tabs>
          <w:tab w:val="center" w:pos="4535"/>
        </w:tabs>
        <w:jc w:val="both"/>
        <w:rPr>
          <w:rFonts w:ascii="Arial" w:eastAsia="Calibri" w:hAnsi="Arial" w:cs="Arial"/>
          <w:iCs/>
          <w:sz w:val="22"/>
        </w:rPr>
      </w:pPr>
      <w:r>
        <w:rPr>
          <w:rFonts w:ascii="Arial" w:eastAsia="Calibri" w:hAnsi="Arial" w:cs="Arial"/>
          <w:iCs/>
          <w:sz w:val="22"/>
        </w:rPr>
        <w:t>„</w:t>
      </w:r>
      <w:r>
        <w:rPr>
          <w:rFonts w:ascii="Arial" w:eastAsia="Calibri" w:hAnsi="Arial" w:cs="Arial"/>
          <w:sz w:val="22"/>
        </w:rPr>
        <w:t xml:space="preserve">Český národní uzel pro výzkum rodiny“ </w:t>
      </w:r>
      <w:r>
        <w:rPr>
          <w:rFonts w:ascii="Arial" w:eastAsia="Calibri" w:hAnsi="Arial" w:cs="Arial"/>
          <w:sz w:val="22"/>
        </w:rPr>
        <w:tab/>
        <w:t xml:space="preserve">je infrastruktura zajišťující kvalitní sociologická data z oblasti životních trajektorií populace, jež představuje národní uzel mezinárodního (evropského) programu Generations and Gender Programme (GGP). V roce 2020 byla potřeba dat sbíraných šetřeními GGP identifikována při „landscape analýze“ velkých výzkumných infrastruktur ČR, na niž MŠMT spolupracovalo s ostatními rezorty a jež se stala jedním z podkladů pro metodologii hodnocení projektů velkých výzkumných infrastruktur. V roce 2016 ohodnotil výbor Evropského strategického fóra pro výzkumné infrastruktury (ESFRI) GGP jako excelentní vědeckou infrastrukturu s významnou přidanou hodnotou a socioekonomickými dopady pro Evropu. V roce 2021 bylo GGP začleněno na Cestovní mapu ESFRI. V listopadu 2023 se nizozemském Haagu uskutečnilo první setkání představitelů států </w:t>
      </w:r>
      <w:r>
        <w:rPr>
          <w:rFonts w:ascii="Arial" w:eastAsia="Calibri" w:hAnsi="Arial" w:cs="Arial"/>
          <w:sz w:val="22"/>
        </w:rPr>
        <w:lastRenderedPageBreak/>
        <w:t>(Board of Governmental Representatives) zahajující proces k ustanovení konsorcia evropských výzkumných infrastruktur (ERIC). Členem konsorcia evropských výzkumných infrastruktur může být stát, ne jeho nižší organizační celky. V českém prostředí je pro členství v právní osobě ERIC nutné, aby byl český uzel schválen vládou ČR v kapacitě „velké výzkumné infrastruktury“.</w:t>
      </w:r>
      <w:r>
        <w:rPr>
          <w:rFonts w:ascii="Arial" w:eastAsia="Calibri" w:hAnsi="Arial" w:cs="Arial"/>
          <w:iCs/>
          <w:sz w:val="22"/>
        </w:rPr>
        <w:t xml:space="preserve"> Finanční náročnost infrastruktury GGP-CZ by při krácení odpovídající 50 % žádané podpory, jak pro nové velké výzkumné infrastruktury předpokládal tzv. „krizový scénář“, dosahovala v letech 2024–2026 celkové výše 19 528 tis. Kč. Usnesení vlády ze dne 14. prosince 2022 č. 1043 předjímá, že může být v případě odpovídající </w:t>
      </w:r>
      <w:r>
        <w:rPr>
          <w:rFonts w:ascii="Arial" w:eastAsia="Calibri" w:hAnsi="Arial" w:cs="Arial"/>
          <w:bCs/>
          <w:sz w:val="22"/>
        </w:rPr>
        <w:t>alokace účelové podpory velkých výzkumných infrastruktur</w:t>
      </w:r>
      <w:r>
        <w:rPr>
          <w:rFonts w:ascii="Arial" w:eastAsia="Calibri" w:hAnsi="Arial" w:cs="Arial"/>
          <w:iCs/>
          <w:sz w:val="22"/>
        </w:rPr>
        <w:t xml:space="preserve"> schválen k financování i nový projekt velké výzkumné infrastruktury.</w:t>
      </w:r>
    </w:p>
    <w:p w14:paraId="6B6003F4" w14:textId="77777777" w:rsidR="00A56CC7" w:rsidRDefault="00A56CC7" w:rsidP="00A56CC7">
      <w:pPr>
        <w:tabs>
          <w:tab w:val="center" w:pos="4535"/>
        </w:tabs>
        <w:jc w:val="both"/>
        <w:rPr>
          <w:rFonts w:ascii="Arial" w:eastAsia="Calibri" w:hAnsi="Arial" w:cs="Arial"/>
          <w:iCs/>
          <w:sz w:val="22"/>
        </w:rPr>
      </w:pPr>
    </w:p>
    <w:p w14:paraId="5D84AB37" w14:textId="77777777" w:rsidR="00A56CC7" w:rsidRDefault="00A56CC7" w:rsidP="00A56CC7">
      <w:pPr>
        <w:tabs>
          <w:tab w:val="center" w:pos="4535"/>
        </w:tabs>
        <w:jc w:val="both"/>
        <w:rPr>
          <w:rFonts w:ascii="Arial" w:eastAsia="Calibri" w:hAnsi="Arial" w:cs="Arial"/>
          <w:iCs/>
          <w:sz w:val="22"/>
        </w:rPr>
      </w:pPr>
      <w:r>
        <w:rPr>
          <w:rFonts w:ascii="Arial" w:eastAsia="Calibri" w:hAnsi="Arial" w:cs="Arial"/>
          <w:iCs/>
          <w:sz w:val="22"/>
        </w:rPr>
        <w:t>Navrhovaným usnesením dochází de facto k výměně jedné velké výzkumné infrastruktury (CATPRO), kterou provozovatel již neplánuje v tomto režimu provozovat, za jinou velkou výzkumnou infrastrukturu (GGP-CZ), která v mezinárodním hodnocení v roce 2021 skončila jako nejlépe hodnocená z nových návrhů velkých výzkumných infrastruktur a nebyla financována jen pro nedostatek prostředků. Její finanční nákladnost je zároveň nižší, než byla nákladnost velké výzkumné infrastruktury CATPRO a tato výměna tak nemá negativní dopad na ostatní velké výzkumné infrastruktury. Socioekonomická relevance tématu řešeného GGP-CZ byla identifikována již při landscape analýze krajiny velkých výzkumných infrastruktur a zároveň je ze strany Ministerstva práce a sociálních věcí považována za důležitý nástroj při tvorbě evidence based policy v oblasti rodinné politiky.</w:t>
      </w:r>
    </w:p>
    <w:p w14:paraId="6CBC7DF6" w14:textId="77777777" w:rsidR="006444B3" w:rsidRDefault="006444B3" w:rsidP="00A56CC7">
      <w:pPr>
        <w:tabs>
          <w:tab w:val="center" w:pos="4535"/>
        </w:tabs>
        <w:jc w:val="both"/>
        <w:rPr>
          <w:rFonts w:ascii="Arial" w:eastAsia="Calibri" w:hAnsi="Arial" w:cs="Arial"/>
          <w:iCs/>
          <w:sz w:val="22"/>
        </w:rPr>
      </w:pPr>
    </w:p>
    <w:p w14:paraId="2CDC91A7" w14:textId="11B90389" w:rsidR="006444B3" w:rsidRDefault="006444B3" w:rsidP="00A56CC7">
      <w:pPr>
        <w:tabs>
          <w:tab w:val="center" w:pos="4535"/>
        </w:tabs>
        <w:jc w:val="both"/>
        <w:rPr>
          <w:rFonts w:ascii="Arial" w:eastAsia="Calibri" w:hAnsi="Arial" w:cs="Arial"/>
          <w:iCs/>
          <w:sz w:val="22"/>
        </w:rPr>
      </w:pPr>
      <w:r w:rsidRPr="006444B3">
        <w:rPr>
          <w:rFonts w:ascii="Arial" w:eastAsia="Calibri" w:hAnsi="Arial" w:cs="Arial"/>
          <w:iCs/>
          <w:sz w:val="22"/>
        </w:rPr>
        <w:t>Rozdělením těchto prostředků mezi ostatní velké výzkumné infrastruktury by došlo k navýšení jejich podpory v roce 2024 o 0,6 %, resp. o 0,3 % v letech následujících.</w:t>
      </w:r>
      <w:r>
        <w:rPr>
          <w:rFonts w:ascii="Arial" w:eastAsia="Calibri" w:hAnsi="Arial" w:cs="Arial"/>
          <w:iCs/>
          <w:sz w:val="22"/>
        </w:rPr>
        <w:t xml:space="preserve"> Z pohledu efektivity využití finančních prostředků se jeví podpora GGP-CZ přínosnější než navýšení podpory stávajícím velkým výzkumným infrastrukturám o 0,6, resp. 0,3 %.</w:t>
      </w:r>
    </w:p>
    <w:p w14:paraId="45A93552" w14:textId="77777777" w:rsidR="00A56CC7" w:rsidRDefault="00A56CC7" w:rsidP="00A56CC7">
      <w:pPr>
        <w:jc w:val="both"/>
        <w:rPr>
          <w:rFonts w:ascii="Arial" w:eastAsia="Calibri" w:hAnsi="Arial" w:cs="Arial"/>
          <w:bCs/>
          <w:sz w:val="22"/>
        </w:rPr>
      </w:pPr>
    </w:p>
    <w:p w14:paraId="076F6A8D" w14:textId="77777777" w:rsidR="00A56CC7" w:rsidRDefault="00A56CC7" w:rsidP="00A56CC7">
      <w:pPr>
        <w:jc w:val="both"/>
        <w:rPr>
          <w:rFonts w:ascii="Arial" w:eastAsia="Calibri" w:hAnsi="Arial" w:cs="Arial"/>
          <w:bCs/>
          <w:sz w:val="22"/>
        </w:rPr>
      </w:pPr>
      <w:r>
        <w:rPr>
          <w:rFonts w:ascii="Arial" w:eastAsia="Calibri" w:hAnsi="Arial" w:cs="Arial"/>
          <w:bCs/>
          <w:sz w:val="22"/>
        </w:rPr>
        <w:t xml:space="preserve">RVVI přijala k předkládanému materiálu stanovisko na svém </w:t>
      </w:r>
      <w:r>
        <w:rPr>
          <w:rFonts w:ascii="Arial" w:eastAsia="Calibri" w:hAnsi="Arial" w:cs="Arial"/>
          <w:bCs/>
          <w:sz w:val="22"/>
          <w:highlight w:val="yellow"/>
        </w:rPr>
        <w:t>xxx.</w:t>
      </w:r>
      <w:r>
        <w:rPr>
          <w:rFonts w:ascii="Arial" w:eastAsia="Calibri" w:hAnsi="Arial" w:cs="Arial"/>
          <w:bCs/>
          <w:sz w:val="22"/>
        </w:rPr>
        <w:t xml:space="preserve"> zasedání, jež se uskutečnilo dne </w:t>
      </w:r>
      <w:r>
        <w:rPr>
          <w:rFonts w:ascii="Arial" w:eastAsia="Calibri" w:hAnsi="Arial" w:cs="Arial"/>
          <w:bCs/>
          <w:sz w:val="22"/>
          <w:highlight w:val="yellow"/>
        </w:rPr>
        <w:t>xx. xxxx</w:t>
      </w:r>
      <w:r>
        <w:rPr>
          <w:rFonts w:ascii="Arial" w:eastAsia="Calibri" w:hAnsi="Arial" w:cs="Arial"/>
          <w:bCs/>
          <w:sz w:val="22"/>
        </w:rPr>
        <w:t xml:space="preserve"> 2024. Toto stanovisko včetně vypořádání připomínek je přiloženo jako část VI. Materiálu.</w:t>
      </w:r>
    </w:p>
    <w:p w14:paraId="58575BF1" w14:textId="77777777" w:rsidR="00A56CC7" w:rsidRDefault="00A56CC7" w:rsidP="00A56CC7">
      <w:pPr>
        <w:jc w:val="both"/>
        <w:rPr>
          <w:rFonts w:ascii="Arial" w:eastAsia="Calibri" w:hAnsi="Arial" w:cs="Arial"/>
          <w:bCs/>
          <w:sz w:val="22"/>
        </w:rPr>
      </w:pPr>
    </w:p>
    <w:p w14:paraId="2A6F19A6" w14:textId="77777777" w:rsidR="00A56CC7" w:rsidRDefault="00A56CC7" w:rsidP="00A56CC7">
      <w:pPr>
        <w:jc w:val="both"/>
        <w:rPr>
          <w:rFonts w:ascii="Arial" w:eastAsia="Calibri" w:hAnsi="Arial" w:cs="Arial"/>
          <w:bCs/>
          <w:sz w:val="22"/>
        </w:rPr>
      </w:pPr>
      <w:r>
        <w:rPr>
          <w:rFonts w:ascii="Arial" w:eastAsia="Calibri" w:hAnsi="Arial" w:cs="Arial"/>
          <w:bCs/>
          <w:sz w:val="22"/>
        </w:rPr>
        <w:t xml:space="preserve">Materiál byl rozeslán do meziresortního připomínkového řízení, a to dopisem ministra školství, mládeže a tělovýchovy doc. PhDr. Mikuláš Bek, Ph.D., ze dne </w:t>
      </w:r>
      <w:r>
        <w:rPr>
          <w:rFonts w:ascii="Arial" w:eastAsia="Calibri" w:hAnsi="Arial" w:cs="Arial"/>
          <w:bCs/>
          <w:sz w:val="22"/>
          <w:highlight w:val="yellow"/>
        </w:rPr>
        <w:t>xx. xxxx</w:t>
      </w:r>
      <w:r>
        <w:rPr>
          <w:rFonts w:ascii="Arial" w:eastAsia="Calibri" w:hAnsi="Arial" w:cs="Arial"/>
          <w:bCs/>
          <w:sz w:val="22"/>
        </w:rPr>
        <w:t xml:space="preserve"> 2024 s termínem pro dodání stanovisek do dne </w:t>
      </w:r>
      <w:r>
        <w:rPr>
          <w:rFonts w:ascii="Arial" w:eastAsia="Calibri" w:hAnsi="Arial" w:cs="Arial"/>
          <w:bCs/>
          <w:sz w:val="22"/>
          <w:highlight w:val="yellow"/>
        </w:rPr>
        <w:t>x. xxxx</w:t>
      </w:r>
      <w:r>
        <w:rPr>
          <w:rFonts w:ascii="Arial" w:eastAsia="Calibri" w:hAnsi="Arial" w:cs="Arial"/>
          <w:bCs/>
          <w:sz w:val="22"/>
        </w:rPr>
        <w:t xml:space="preserve"> 2024. Výsledek meziresortního připomínkového řízení je uveden v části VII. materiálu. </w:t>
      </w:r>
    </w:p>
    <w:p w14:paraId="0337BAC4" w14:textId="77777777" w:rsidR="00A56CC7" w:rsidRDefault="00A56CC7" w:rsidP="00A56CC7">
      <w:pPr>
        <w:jc w:val="both"/>
        <w:rPr>
          <w:rFonts w:ascii="Arial" w:eastAsia="Calibri" w:hAnsi="Arial" w:cs="Arial"/>
          <w:bCs/>
          <w:sz w:val="22"/>
        </w:rPr>
      </w:pPr>
    </w:p>
    <w:p w14:paraId="0C04B34B" w14:textId="77777777" w:rsidR="00A56CC7" w:rsidRDefault="00A56CC7" w:rsidP="00A56CC7">
      <w:pPr>
        <w:jc w:val="both"/>
        <w:rPr>
          <w:rFonts w:ascii="Arial" w:eastAsia="Calibri" w:hAnsi="Arial" w:cs="Arial"/>
          <w:bCs/>
          <w:sz w:val="22"/>
        </w:rPr>
      </w:pPr>
      <w:r>
        <w:rPr>
          <w:rFonts w:ascii="Arial" w:eastAsia="Calibri" w:hAnsi="Arial" w:cs="Arial"/>
          <w:bCs/>
          <w:sz w:val="22"/>
        </w:rPr>
        <w:t>Materiál se netýká postavení fyzických osob.</w:t>
      </w:r>
    </w:p>
    <w:p w14:paraId="2B5EFFAB" w14:textId="77777777" w:rsidR="00A56CC7" w:rsidRDefault="00A56CC7" w:rsidP="00A56CC7">
      <w:pPr>
        <w:jc w:val="both"/>
        <w:rPr>
          <w:rFonts w:ascii="Arial" w:eastAsia="Calibri" w:hAnsi="Arial" w:cs="Arial"/>
          <w:bCs/>
          <w:sz w:val="22"/>
        </w:rPr>
      </w:pPr>
    </w:p>
    <w:p w14:paraId="76830F29" w14:textId="77777777" w:rsidR="00A56CC7" w:rsidRDefault="00A56CC7" w:rsidP="00A56CC7">
      <w:pPr>
        <w:jc w:val="both"/>
        <w:rPr>
          <w:rFonts w:ascii="Arial" w:eastAsia="Calibri" w:hAnsi="Arial" w:cs="Arial"/>
          <w:bCs/>
          <w:sz w:val="22"/>
        </w:rPr>
      </w:pPr>
      <w:r>
        <w:rPr>
          <w:rFonts w:ascii="Arial" w:eastAsia="Calibri" w:hAnsi="Arial" w:cs="Arial"/>
          <w:bCs/>
          <w:sz w:val="22"/>
        </w:rPr>
        <w:t xml:space="preserve">Materiál má pozitivní vliv na rovnost žen a mužů – výzkumná infrastruktura GGP poskytuje vědecké podklady pro využití k informované tvorbě politik na podporu rovnosti žen a mužů. </w:t>
      </w:r>
    </w:p>
    <w:p w14:paraId="68FD1EB2" w14:textId="29DAA1C3" w:rsidR="00865D33" w:rsidRDefault="00865D33" w:rsidP="00865D33">
      <w:pPr>
        <w:jc w:val="both"/>
        <w:rPr>
          <w:rFonts w:ascii="Arial" w:eastAsia="Calibri" w:hAnsi="Arial" w:cs="Arial"/>
          <w:bCs/>
          <w:sz w:val="22"/>
        </w:rPr>
      </w:pPr>
    </w:p>
    <w:sectPr w:rsidR="00865D33" w:rsidSect="00F936E2">
      <w:footerReference w:type="default" r:id="rId7"/>
      <w:pgSz w:w="11906" w:h="16838"/>
      <w:pgMar w:top="1418" w:right="1418" w:bottom="1134"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3CA22" w14:textId="77777777" w:rsidR="00A4486C" w:rsidRDefault="00A4486C">
      <w:r>
        <w:separator/>
      </w:r>
    </w:p>
  </w:endnote>
  <w:endnote w:type="continuationSeparator" w:id="0">
    <w:p w14:paraId="2D580FC3" w14:textId="77777777" w:rsidR="00A4486C" w:rsidRDefault="00A44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53271"/>
      <w:docPartObj>
        <w:docPartGallery w:val="Page Numbers (Bottom of Page)"/>
        <w:docPartUnique/>
      </w:docPartObj>
    </w:sdtPr>
    <w:sdtEndPr>
      <w:rPr>
        <w:rFonts w:ascii="Arial" w:hAnsi="Arial" w:cs="Arial"/>
        <w:sz w:val="22"/>
        <w:szCs w:val="22"/>
      </w:rPr>
    </w:sdtEndPr>
    <w:sdtContent>
      <w:p w14:paraId="24D863CC" w14:textId="2F258C0B" w:rsidR="00295824" w:rsidRPr="00295824" w:rsidRDefault="00295824">
        <w:pPr>
          <w:pStyle w:val="Zpat"/>
          <w:jc w:val="center"/>
          <w:rPr>
            <w:rFonts w:ascii="Arial" w:hAnsi="Arial" w:cs="Arial"/>
            <w:sz w:val="22"/>
            <w:szCs w:val="22"/>
          </w:rPr>
        </w:pPr>
        <w:r w:rsidRPr="00295824">
          <w:rPr>
            <w:rFonts w:ascii="Arial" w:hAnsi="Arial" w:cs="Arial"/>
            <w:sz w:val="22"/>
            <w:szCs w:val="22"/>
          </w:rPr>
          <w:fldChar w:fldCharType="begin"/>
        </w:r>
        <w:r w:rsidRPr="00295824">
          <w:rPr>
            <w:rFonts w:ascii="Arial" w:hAnsi="Arial" w:cs="Arial"/>
            <w:sz w:val="22"/>
            <w:szCs w:val="22"/>
          </w:rPr>
          <w:instrText>PAGE   \* MERGEFORMAT</w:instrText>
        </w:r>
        <w:r w:rsidRPr="00295824">
          <w:rPr>
            <w:rFonts w:ascii="Arial" w:hAnsi="Arial" w:cs="Arial"/>
            <w:sz w:val="22"/>
            <w:szCs w:val="22"/>
          </w:rPr>
          <w:fldChar w:fldCharType="separate"/>
        </w:r>
        <w:r w:rsidRPr="00295824">
          <w:rPr>
            <w:rFonts w:ascii="Arial" w:hAnsi="Arial" w:cs="Arial"/>
            <w:sz w:val="22"/>
            <w:szCs w:val="22"/>
          </w:rPr>
          <w:t>2</w:t>
        </w:r>
        <w:r w:rsidRPr="00295824">
          <w:rPr>
            <w:rFonts w:ascii="Arial" w:hAnsi="Arial" w:cs="Arial"/>
            <w:sz w:val="22"/>
            <w:szCs w:val="22"/>
          </w:rPr>
          <w:fldChar w:fldCharType="end"/>
        </w:r>
      </w:p>
    </w:sdtContent>
  </w:sdt>
  <w:p w14:paraId="602EFC6F" w14:textId="77777777" w:rsidR="00517DCD" w:rsidRPr="00C110F9" w:rsidRDefault="00517DCD" w:rsidP="00C110F9">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E8591" w14:textId="77777777" w:rsidR="00A4486C" w:rsidRDefault="00A4486C">
      <w:r>
        <w:separator/>
      </w:r>
    </w:p>
  </w:footnote>
  <w:footnote w:type="continuationSeparator" w:id="0">
    <w:p w14:paraId="627B7BC4" w14:textId="77777777" w:rsidR="00A4486C" w:rsidRDefault="00A44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12C49"/>
    <w:multiLevelType w:val="multilevel"/>
    <w:tmpl w:val="57E091F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80038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88"/>
    <w:rsid w:val="00001F0C"/>
    <w:rsid w:val="000353F8"/>
    <w:rsid w:val="000368B3"/>
    <w:rsid w:val="000B404D"/>
    <w:rsid w:val="000C6DE7"/>
    <w:rsid w:val="000E0B3C"/>
    <w:rsid w:val="000F2064"/>
    <w:rsid w:val="00143C01"/>
    <w:rsid w:val="00157DCA"/>
    <w:rsid w:val="001636A1"/>
    <w:rsid w:val="0018791A"/>
    <w:rsid w:val="00193610"/>
    <w:rsid w:val="001A5C50"/>
    <w:rsid w:val="001B3A82"/>
    <w:rsid w:val="001C64E8"/>
    <w:rsid w:val="001D7DA4"/>
    <w:rsid w:val="001E0BBF"/>
    <w:rsid w:val="00216D41"/>
    <w:rsid w:val="002331DE"/>
    <w:rsid w:val="0024329D"/>
    <w:rsid w:val="002440BD"/>
    <w:rsid w:val="00295824"/>
    <w:rsid w:val="00297E75"/>
    <w:rsid w:val="002A672E"/>
    <w:rsid w:val="002B6C17"/>
    <w:rsid w:val="002E6F3E"/>
    <w:rsid w:val="002E7788"/>
    <w:rsid w:val="0031018B"/>
    <w:rsid w:val="003130CC"/>
    <w:rsid w:val="00361DDC"/>
    <w:rsid w:val="00371422"/>
    <w:rsid w:val="003A4FAD"/>
    <w:rsid w:val="003A59AF"/>
    <w:rsid w:val="003B2D17"/>
    <w:rsid w:val="003D00F8"/>
    <w:rsid w:val="003D0422"/>
    <w:rsid w:val="003E1E9F"/>
    <w:rsid w:val="003F0CA0"/>
    <w:rsid w:val="00400988"/>
    <w:rsid w:val="0040404C"/>
    <w:rsid w:val="00421876"/>
    <w:rsid w:val="00422CA2"/>
    <w:rsid w:val="004260B6"/>
    <w:rsid w:val="004338A5"/>
    <w:rsid w:val="00514D00"/>
    <w:rsid w:val="00517DCD"/>
    <w:rsid w:val="00523D36"/>
    <w:rsid w:val="00524B6A"/>
    <w:rsid w:val="005476CA"/>
    <w:rsid w:val="00560822"/>
    <w:rsid w:val="0056661A"/>
    <w:rsid w:val="00574B2B"/>
    <w:rsid w:val="00582666"/>
    <w:rsid w:val="005A2856"/>
    <w:rsid w:val="005C1013"/>
    <w:rsid w:val="005E691E"/>
    <w:rsid w:val="005F7E33"/>
    <w:rsid w:val="0064377B"/>
    <w:rsid w:val="006444B3"/>
    <w:rsid w:val="0065143D"/>
    <w:rsid w:val="006858E5"/>
    <w:rsid w:val="006D0316"/>
    <w:rsid w:val="006D22E3"/>
    <w:rsid w:val="006E461F"/>
    <w:rsid w:val="006E51D0"/>
    <w:rsid w:val="006E70BC"/>
    <w:rsid w:val="00711A8D"/>
    <w:rsid w:val="0073144F"/>
    <w:rsid w:val="00782D64"/>
    <w:rsid w:val="007A0E35"/>
    <w:rsid w:val="007B3033"/>
    <w:rsid w:val="007C350B"/>
    <w:rsid w:val="007D1DC3"/>
    <w:rsid w:val="007F16DF"/>
    <w:rsid w:val="007F5524"/>
    <w:rsid w:val="00804CE1"/>
    <w:rsid w:val="0080760C"/>
    <w:rsid w:val="00844DB6"/>
    <w:rsid w:val="0085300A"/>
    <w:rsid w:val="00865D33"/>
    <w:rsid w:val="008807CF"/>
    <w:rsid w:val="008B303C"/>
    <w:rsid w:val="008C1953"/>
    <w:rsid w:val="008C6087"/>
    <w:rsid w:val="008D3965"/>
    <w:rsid w:val="009403F2"/>
    <w:rsid w:val="00942359"/>
    <w:rsid w:val="00990E91"/>
    <w:rsid w:val="009E5FFE"/>
    <w:rsid w:val="009F4360"/>
    <w:rsid w:val="00A0291F"/>
    <w:rsid w:val="00A21197"/>
    <w:rsid w:val="00A4486C"/>
    <w:rsid w:val="00A56CC7"/>
    <w:rsid w:val="00A8295E"/>
    <w:rsid w:val="00A8681C"/>
    <w:rsid w:val="00A90BF6"/>
    <w:rsid w:val="00AB5907"/>
    <w:rsid w:val="00AE4395"/>
    <w:rsid w:val="00B216C5"/>
    <w:rsid w:val="00B52072"/>
    <w:rsid w:val="00B77CDE"/>
    <w:rsid w:val="00B877CC"/>
    <w:rsid w:val="00B92F76"/>
    <w:rsid w:val="00BC25F6"/>
    <w:rsid w:val="00BC63DF"/>
    <w:rsid w:val="00BF21F5"/>
    <w:rsid w:val="00C066CA"/>
    <w:rsid w:val="00C110F9"/>
    <w:rsid w:val="00C14DCF"/>
    <w:rsid w:val="00C3225E"/>
    <w:rsid w:val="00C361F9"/>
    <w:rsid w:val="00C7108C"/>
    <w:rsid w:val="00C9742C"/>
    <w:rsid w:val="00CB7D6D"/>
    <w:rsid w:val="00CD2934"/>
    <w:rsid w:val="00CE46C7"/>
    <w:rsid w:val="00CF2FFE"/>
    <w:rsid w:val="00D64208"/>
    <w:rsid w:val="00D75767"/>
    <w:rsid w:val="00D8204E"/>
    <w:rsid w:val="00D84B10"/>
    <w:rsid w:val="00D9250E"/>
    <w:rsid w:val="00DA3CB5"/>
    <w:rsid w:val="00DA45D9"/>
    <w:rsid w:val="00DA6BE0"/>
    <w:rsid w:val="00E237D6"/>
    <w:rsid w:val="00E42889"/>
    <w:rsid w:val="00E4332E"/>
    <w:rsid w:val="00E553A4"/>
    <w:rsid w:val="00E656C8"/>
    <w:rsid w:val="00E90B10"/>
    <w:rsid w:val="00EB11BC"/>
    <w:rsid w:val="00F232CE"/>
    <w:rsid w:val="00F74F93"/>
    <w:rsid w:val="00F84E77"/>
    <w:rsid w:val="00F863CE"/>
    <w:rsid w:val="00F936E2"/>
    <w:rsid w:val="00FD45EB"/>
    <w:rsid w:val="00FE27E8"/>
    <w:rsid w:val="00FF67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weight="1.5pt"/>
    </o:shapedefaults>
    <o:shapelayout v:ext="edit">
      <o:idmap v:ext="edit" data="1"/>
    </o:shapelayout>
  </w:shapeDefaults>
  <w:decimalSymbol w:val=","/>
  <w:listSeparator w:val=";"/>
  <w14:docId w14:val="7F77FA18"/>
  <w15:chartTrackingRefBased/>
  <w15:docId w15:val="{9DD6AD54-53A1-4AD1-83F5-FB27AA3C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link w:val="ZpatChar"/>
    <w:uiPriority w:val="99"/>
    <w:rsid w:val="00C110F9"/>
    <w:pPr>
      <w:tabs>
        <w:tab w:val="center" w:pos="4536"/>
        <w:tab w:val="right" w:pos="9072"/>
      </w:tabs>
    </w:pPr>
  </w:style>
  <w:style w:type="paragraph" w:customStyle="1" w:styleId="Default">
    <w:name w:val="Default"/>
    <w:rsid w:val="002E7788"/>
    <w:pPr>
      <w:autoSpaceDE w:val="0"/>
      <w:autoSpaceDN w:val="0"/>
      <w:adjustRightInd w:val="0"/>
    </w:pPr>
    <w:rPr>
      <w:rFonts w:ascii="Arial" w:hAnsi="Arial" w:cs="Arial"/>
      <w:color w:val="000000"/>
      <w:sz w:val="24"/>
      <w:szCs w:val="24"/>
    </w:rPr>
  </w:style>
  <w:style w:type="paragraph" w:styleId="Textpoznpodarou">
    <w:name w:val="footnote text"/>
    <w:basedOn w:val="Normln"/>
    <w:link w:val="TextpoznpodarouChar"/>
    <w:uiPriority w:val="99"/>
    <w:semiHidden/>
    <w:unhideWhenUsed/>
    <w:rsid w:val="008807CF"/>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8807CF"/>
    <w:rPr>
      <w:rFonts w:ascii="Calibri" w:eastAsia="Calibri" w:hAnsi="Calibri"/>
      <w:lang w:eastAsia="en-US"/>
    </w:rPr>
  </w:style>
  <w:style w:type="character" w:styleId="Znakapoznpodarou">
    <w:name w:val="footnote reference"/>
    <w:aliases w:val="Footnote symbol,Times 10 Point,Exposant 3 Point"/>
    <w:uiPriority w:val="99"/>
    <w:semiHidden/>
    <w:unhideWhenUsed/>
    <w:rsid w:val="008807CF"/>
    <w:rPr>
      <w:vertAlign w:val="superscript"/>
    </w:rPr>
  </w:style>
  <w:style w:type="character" w:customStyle="1" w:styleId="ZpatChar">
    <w:name w:val="Zápatí Char"/>
    <w:basedOn w:val="Standardnpsmoodstavce"/>
    <w:link w:val="Zpat"/>
    <w:uiPriority w:val="99"/>
    <w:rsid w:val="00295824"/>
    <w:rPr>
      <w:sz w:val="24"/>
      <w:szCs w:val="24"/>
    </w:rPr>
  </w:style>
  <w:style w:type="character" w:styleId="Odkaznakoment">
    <w:name w:val="annotation reference"/>
    <w:basedOn w:val="Standardnpsmoodstavce"/>
    <w:uiPriority w:val="99"/>
    <w:semiHidden/>
    <w:unhideWhenUsed/>
    <w:rsid w:val="00782D64"/>
    <w:rPr>
      <w:sz w:val="16"/>
      <w:szCs w:val="16"/>
    </w:rPr>
  </w:style>
  <w:style w:type="paragraph" w:styleId="Textkomente">
    <w:name w:val="annotation text"/>
    <w:basedOn w:val="Normln"/>
    <w:link w:val="TextkomenteChar"/>
    <w:uiPriority w:val="99"/>
    <w:unhideWhenUsed/>
    <w:rsid w:val="00782D64"/>
    <w:rPr>
      <w:sz w:val="20"/>
      <w:szCs w:val="20"/>
    </w:rPr>
  </w:style>
  <w:style w:type="character" w:customStyle="1" w:styleId="TextkomenteChar">
    <w:name w:val="Text komentáře Char"/>
    <w:basedOn w:val="Standardnpsmoodstavce"/>
    <w:link w:val="Textkomente"/>
    <w:uiPriority w:val="99"/>
    <w:rsid w:val="00782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458513">
      <w:bodyDiv w:val="1"/>
      <w:marLeft w:val="0"/>
      <w:marRight w:val="0"/>
      <w:marTop w:val="0"/>
      <w:marBottom w:val="0"/>
      <w:divBdr>
        <w:top w:val="none" w:sz="0" w:space="0" w:color="auto"/>
        <w:left w:val="none" w:sz="0" w:space="0" w:color="auto"/>
        <w:bottom w:val="none" w:sz="0" w:space="0" w:color="auto"/>
        <w:right w:val="none" w:sz="0" w:space="0" w:color="auto"/>
      </w:divBdr>
    </w:div>
    <w:div w:id="994380828">
      <w:bodyDiv w:val="1"/>
      <w:marLeft w:val="0"/>
      <w:marRight w:val="0"/>
      <w:marTop w:val="0"/>
      <w:marBottom w:val="0"/>
      <w:divBdr>
        <w:top w:val="none" w:sz="0" w:space="0" w:color="auto"/>
        <w:left w:val="none" w:sz="0" w:space="0" w:color="auto"/>
        <w:bottom w:val="none" w:sz="0" w:space="0" w:color="auto"/>
        <w:right w:val="none" w:sz="0" w:space="0" w:color="auto"/>
      </w:divBdr>
    </w:div>
    <w:div w:id="152813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akl\Documents\Luk&#225;&#353;%20Lev&#225;k\V&#253;zkumn&#233;%20infrastruktury\Velk&#233;%20v&#253;zkumn&#233;%20infrastruktury%202021\GP\vlada_I._predkladaci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vlada_I._predkladacizprava.dot</Template>
  <TotalTime>7</TotalTime>
  <Pages>2</Pages>
  <Words>946</Words>
  <Characters>5842</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předkládací zpráva</vt:lpstr>
    </vt:vector>
  </TitlesOfParts>
  <Company>uvcr</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předkládací zpráva</dc:title>
  <dc:subject/>
  <dc:creator>Levák Lukáš</dc:creator>
  <cp:keywords/>
  <dc:description/>
  <cp:lastModifiedBy>Vyšinka Marek</cp:lastModifiedBy>
  <cp:revision>8</cp:revision>
  <cp:lastPrinted>2004-05-12T10:49:00Z</cp:lastPrinted>
  <dcterms:created xsi:type="dcterms:W3CDTF">2022-12-13T11:54:00Z</dcterms:created>
  <dcterms:modified xsi:type="dcterms:W3CDTF">2024-03-05T12:50:00Z</dcterms:modified>
  <cp:contentStatus/>
</cp:coreProperties>
</file>