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F232C" w:rsidRDefault="006F232C" w:rsidP="00527EF6">
      <w:pPr>
        <w:pStyle w:val="Nadpis1"/>
        <w:spacing w:line="240" w:lineRule="auto"/>
        <w:jc w:val="center"/>
        <w:rPr>
          <w:b/>
          <w:sz w:val="44"/>
        </w:rPr>
      </w:pPr>
      <w:r>
        <w:rPr>
          <w:b/>
          <w:sz w:val="44"/>
        </w:rPr>
        <w:t>Zápis z 3. jednání Pracovní skupiny</w:t>
      </w:r>
      <w:r w:rsidRPr="00527EF6">
        <w:rPr>
          <w:b/>
          <w:sz w:val="44"/>
        </w:rPr>
        <w:t xml:space="preserve"> pro daňové odpočty </w:t>
      </w:r>
      <w:r>
        <w:rPr>
          <w:b/>
          <w:sz w:val="44"/>
        </w:rPr>
        <w:t xml:space="preserve">na </w:t>
      </w:r>
      <w:proofErr w:type="spellStart"/>
      <w:r w:rsidRPr="00527EF6">
        <w:rPr>
          <w:b/>
          <w:sz w:val="44"/>
        </w:rPr>
        <w:t>VaV</w:t>
      </w:r>
      <w:proofErr w:type="spellEnd"/>
      <w:r>
        <w:rPr>
          <w:b/>
          <w:sz w:val="44"/>
        </w:rPr>
        <w:t xml:space="preserve"> 2022 (dále jen „PSDO 2022“)</w:t>
      </w:r>
    </w:p>
    <w:p w:rsidR="006F232C" w:rsidRDefault="006F232C" w:rsidP="000A4C21"/>
    <w:p w:rsidR="006F232C" w:rsidRPr="00FC527B" w:rsidRDefault="006F232C" w:rsidP="005C612D">
      <w:pPr>
        <w:pStyle w:val="Nadpis1"/>
        <w:spacing w:line="240" w:lineRule="auto"/>
        <w:ind w:left="142" w:firstLine="283"/>
        <w:rPr>
          <w:b/>
          <w:color w:val="auto"/>
          <w:sz w:val="28"/>
        </w:rPr>
      </w:pPr>
      <w:r w:rsidRPr="00F85FF4">
        <w:rPr>
          <w:b/>
          <w:color w:val="auto"/>
          <w:sz w:val="28"/>
        </w:rPr>
        <w:t>D</w:t>
      </w:r>
      <w:r>
        <w:rPr>
          <w:b/>
          <w:color w:val="auto"/>
          <w:sz w:val="28"/>
        </w:rPr>
        <w:t>atum:  9</w:t>
      </w:r>
      <w:r w:rsidRPr="00FC527B">
        <w:rPr>
          <w:b/>
          <w:color w:val="auto"/>
          <w:sz w:val="28"/>
        </w:rPr>
        <w:t xml:space="preserve">. </w:t>
      </w:r>
      <w:r>
        <w:rPr>
          <w:b/>
          <w:color w:val="auto"/>
          <w:sz w:val="28"/>
        </w:rPr>
        <w:t>11</w:t>
      </w:r>
      <w:r w:rsidRPr="00FC527B">
        <w:rPr>
          <w:b/>
          <w:color w:val="auto"/>
          <w:sz w:val="28"/>
        </w:rPr>
        <w:t>. 2022</w:t>
      </w:r>
    </w:p>
    <w:p w:rsidR="006F232C" w:rsidRPr="00FC527B" w:rsidRDefault="006F232C" w:rsidP="005C612D">
      <w:pPr>
        <w:pStyle w:val="Nadpis1"/>
        <w:spacing w:line="240" w:lineRule="auto"/>
        <w:ind w:left="284" w:firstLine="142"/>
        <w:rPr>
          <w:b/>
          <w:color w:val="auto"/>
          <w:sz w:val="28"/>
        </w:rPr>
      </w:pPr>
      <w:r>
        <w:rPr>
          <w:b/>
          <w:color w:val="auto"/>
          <w:sz w:val="28"/>
        </w:rPr>
        <w:t>Místo konání: zasedací místnost legislativní rady vlády</w:t>
      </w:r>
      <w:r w:rsidRPr="00FC527B">
        <w:rPr>
          <w:b/>
          <w:color w:val="auto"/>
          <w:sz w:val="28"/>
        </w:rPr>
        <w:t>, budova ÚV ČR</w:t>
      </w:r>
    </w:p>
    <w:p w:rsidR="006F232C" w:rsidRPr="000A4C21" w:rsidRDefault="006F232C" w:rsidP="000A4C21"/>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13"/>
        <w:gridCol w:w="2865"/>
        <w:gridCol w:w="3774"/>
      </w:tblGrid>
      <w:tr w:rsidR="006F232C" w:rsidRPr="009F63E9" w:rsidTr="009F63E9">
        <w:trPr>
          <w:trHeight w:val="285"/>
          <w:jc w:val="center"/>
        </w:trPr>
        <w:tc>
          <w:tcPr>
            <w:tcW w:w="5000" w:type="pct"/>
            <w:gridSpan w:val="3"/>
            <w:shd w:val="clear" w:color="auto" w:fill="BDD6EE"/>
            <w:vAlign w:val="center"/>
          </w:tcPr>
          <w:p w:rsidR="006F232C" w:rsidRPr="009F63E9" w:rsidRDefault="006F232C" w:rsidP="009F63E9">
            <w:pPr>
              <w:tabs>
                <w:tab w:val="left" w:pos="960"/>
              </w:tabs>
              <w:spacing w:after="0" w:line="240" w:lineRule="auto"/>
              <w:rPr>
                <w:rFonts w:cs="Calibri"/>
                <w:b/>
                <w:sz w:val="24"/>
                <w:szCs w:val="24"/>
                <w:highlight w:val="yellow"/>
                <w:lang w:eastAsia="en-US"/>
              </w:rPr>
            </w:pPr>
            <w:r w:rsidRPr="009F63E9">
              <w:rPr>
                <w:rFonts w:cs="Calibri"/>
                <w:b/>
                <w:sz w:val="24"/>
                <w:szCs w:val="24"/>
                <w:lang w:eastAsia="en-US"/>
              </w:rPr>
              <w:t>Přítomní členové:</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Karel Kouřil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RVVI </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karel.kouril@vutbr.cz</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Kateřina Ronovská</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RVVI</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katerinaronovska@gmail.com</w:t>
            </w:r>
          </w:p>
        </w:tc>
      </w:tr>
      <w:tr w:rsidR="006F232C" w:rsidRPr="009F63E9" w:rsidTr="009F63E9">
        <w:trPr>
          <w:trHeight w:val="301"/>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Rut </w:t>
            </w:r>
            <w:proofErr w:type="spellStart"/>
            <w:r w:rsidRPr="009F63E9">
              <w:rPr>
                <w:rFonts w:cs="Calibri"/>
                <w:sz w:val="24"/>
                <w:szCs w:val="24"/>
                <w:lang w:eastAsia="en-US"/>
              </w:rPr>
              <w:t>Bízková</w:t>
            </w:r>
            <w:proofErr w:type="spellEnd"/>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Expertka </w:t>
            </w:r>
            <w:proofErr w:type="spellStart"/>
            <w:r w:rsidRPr="009F63E9">
              <w:rPr>
                <w:rFonts w:cs="Calibri"/>
                <w:sz w:val="24"/>
                <w:szCs w:val="24"/>
                <w:lang w:eastAsia="en-US"/>
              </w:rPr>
              <w:t>VaV</w:t>
            </w:r>
            <w:proofErr w:type="spellEnd"/>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rut.bizkova@gmail.com</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Jan </w:t>
            </w:r>
            <w:proofErr w:type="spellStart"/>
            <w:r w:rsidRPr="009F63E9">
              <w:rPr>
                <w:rFonts w:cs="Calibri"/>
                <w:sz w:val="24"/>
                <w:szCs w:val="24"/>
                <w:lang w:eastAsia="en-US"/>
              </w:rPr>
              <w:t>Proksch</w:t>
            </w:r>
            <w:proofErr w:type="spellEnd"/>
            <w:r w:rsidRPr="009F63E9">
              <w:rPr>
                <w:rFonts w:cs="Calibri"/>
                <w:sz w:val="24"/>
                <w:szCs w:val="24"/>
                <w:lang w:eastAsia="en-US"/>
              </w:rPr>
              <w:t xml:space="preserve">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SP ČR</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jproksch@spcr.cz</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Bohuslav Čížek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SP ČR</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bcizek@spcr.cz</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Drahomíra Martincová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MF ČR</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drahomira.martincova@mfcr.cz</w:t>
            </w:r>
          </w:p>
        </w:tc>
      </w:tr>
      <w:tr w:rsidR="006F232C" w:rsidRPr="009F63E9" w:rsidTr="009F63E9">
        <w:trPr>
          <w:trHeight w:val="586"/>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Vítězslav Kapoun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Generální finanční ředitelství</w:t>
            </w:r>
          </w:p>
        </w:tc>
        <w:tc>
          <w:tcPr>
            <w:tcW w:w="2018" w:type="pct"/>
          </w:tcPr>
          <w:p w:rsidR="006F232C" w:rsidRPr="009F63E9" w:rsidRDefault="008F2C46"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hyperlink r:id="rId7" w:history="1">
              <w:r w:rsidR="006F232C" w:rsidRPr="009F63E9">
                <w:rPr>
                  <w:rFonts w:cs="Calibri"/>
                  <w:sz w:val="24"/>
                  <w:szCs w:val="24"/>
                  <w:lang w:eastAsia="en-US"/>
                </w:rPr>
                <w:t>Vitezslav.Kapoun@fs.mfcr.cz</w:t>
              </w:r>
            </w:hyperlink>
          </w:p>
        </w:tc>
      </w:tr>
      <w:tr w:rsidR="006F232C" w:rsidRPr="009F63E9" w:rsidTr="009F63E9">
        <w:trPr>
          <w:trHeight w:val="586"/>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Ludmila Dvořáčková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Generální finanční ředitelství</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ludmila.dvorackova@fs.mfcr.cz</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Martin </w:t>
            </w:r>
            <w:proofErr w:type="spellStart"/>
            <w:r w:rsidRPr="009F63E9">
              <w:rPr>
                <w:rFonts w:cs="Calibri"/>
                <w:sz w:val="24"/>
                <w:szCs w:val="24"/>
                <w:lang w:eastAsia="en-US"/>
              </w:rPr>
              <w:t>Bunček</w:t>
            </w:r>
            <w:proofErr w:type="spellEnd"/>
            <w:r w:rsidRPr="009F63E9">
              <w:rPr>
                <w:rFonts w:cs="Calibri"/>
                <w:sz w:val="24"/>
                <w:szCs w:val="24"/>
                <w:lang w:eastAsia="en-US"/>
              </w:rPr>
              <w:t xml:space="preserve">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TA ČR</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buncek@tacr.cz</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Luděk Hanáček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proofErr w:type="spellStart"/>
            <w:r w:rsidRPr="009F63E9">
              <w:rPr>
                <w:rFonts w:cs="Calibri"/>
                <w:sz w:val="24"/>
                <w:szCs w:val="24"/>
                <w:lang w:eastAsia="en-US"/>
              </w:rPr>
              <w:t>Deloitte</w:t>
            </w:r>
            <w:proofErr w:type="spellEnd"/>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lhanacek@deloittece.com</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Jiří Nekovář </w:t>
            </w:r>
          </w:p>
        </w:tc>
        <w:tc>
          <w:tcPr>
            <w:tcW w:w="1532" w:type="pct"/>
          </w:tcPr>
          <w:p w:rsidR="006F232C" w:rsidRPr="009F63E9" w:rsidRDefault="006F232C" w:rsidP="009F63E9">
            <w:pPr>
              <w:spacing w:before="100" w:beforeAutospacing="1" w:after="0" w:line="240" w:lineRule="auto"/>
              <w:rPr>
                <w:rFonts w:cs="Calibri"/>
                <w:sz w:val="24"/>
                <w:szCs w:val="24"/>
                <w:lang w:eastAsia="en-US"/>
              </w:rPr>
            </w:pPr>
            <w:r w:rsidRPr="009F63E9">
              <w:rPr>
                <w:rFonts w:cs="Calibri"/>
                <w:sz w:val="24"/>
                <w:szCs w:val="24"/>
                <w:lang w:eastAsia="en-US"/>
              </w:rPr>
              <w:t>Euro-Trend</w:t>
            </w:r>
          </w:p>
        </w:tc>
        <w:tc>
          <w:tcPr>
            <w:tcW w:w="2018" w:type="pct"/>
          </w:tcPr>
          <w:p w:rsidR="006F232C" w:rsidRPr="009F63E9" w:rsidRDefault="006F232C" w:rsidP="009F63E9">
            <w:pPr>
              <w:spacing w:before="100" w:beforeAutospacing="1" w:after="0" w:line="240" w:lineRule="auto"/>
              <w:rPr>
                <w:rFonts w:cs="Calibri"/>
                <w:sz w:val="24"/>
                <w:szCs w:val="24"/>
                <w:lang w:eastAsia="en-US"/>
              </w:rPr>
            </w:pPr>
            <w:r w:rsidRPr="009F63E9">
              <w:rPr>
                <w:rFonts w:cs="Calibri"/>
                <w:sz w:val="24"/>
                <w:szCs w:val="24"/>
                <w:lang w:eastAsia="en-US"/>
              </w:rPr>
              <w:t>jnekovar@eurotrend.cz</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Tomáš Uhlíř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AMSP ČR, </w:t>
            </w:r>
            <w:proofErr w:type="spellStart"/>
            <w:r w:rsidRPr="009F63E9">
              <w:rPr>
                <w:rFonts w:cs="Calibri"/>
                <w:sz w:val="24"/>
                <w:szCs w:val="24"/>
                <w:lang w:eastAsia="en-US"/>
              </w:rPr>
              <w:t>Ayming</w:t>
            </w:r>
            <w:proofErr w:type="spellEnd"/>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tuhlir@ayming.com</w:t>
            </w:r>
          </w:p>
        </w:tc>
      </w:tr>
      <w:tr w:rsidR="006F232C" w:rsidRPr="009F63E9" w:rsidTr="009F63E9">
        <w:trPr>
          <w:trHeight w:val="301"/>
          <w:jc w:val="center"/>
        </w:trPr>
        <w:tc>
          <w:tcPr>
            <w:tcW w:w="1450" w:type="pct"/>
          </w:tcPr>
          <w:p w:rsidR="006F232C" w:rsidRPr="009F63E9" w:rsidRDefault="006F232C" w:rsidP="009F63E9">
            <w:pPr>
              <w:spacing w:after="0" w:line="240" w:lineRule="auto"/>
              <w:rPr>
                <w:rFonts w:cs="Calibri"/>
                <w:sz w:val="24"/>
                <w:szCs w:val="24"/>
                <w:lang w:eastAsia="en-US"/>
              </w:rPr>
            </w:pPr>
            <w:r w:rsidRPr="009F63E9">
              <w:rPr>
                <w:rFonts w:cs="Calibri"/>
                <w:sz w:val="24"/>
                <w:szCs w:val="24"/>
                <w:lang w:eastAsia="en-US"/>
              </w:rPr>
              <w:t xml:space="preserve">Matěj Bajgar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CERGE-EI</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matej.bajgar@gmail.com</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Petr Lysý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ÚV ČR VVI</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lysy.petr@vlada.cz</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Petr Mašek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proofErr w:type="spellStart"/>
            <w:r w:rsidRPr="009F63E9">
              <w:rPr>
                <w:rFonts w:cs="Calibri"/>
                <w:sz w:val="24"/>
                <w:szCs w:val="24"/>
                <w:lang w:eastAsia="en-US"/>
              </w:rPr>
              <w:t>PwC</w:t>
            </w:r>
            <w:proofErr w:type="spellEnd"/>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lang w:eastAsia="en-US"/>
              </w:rPr>
              <w:t>petr.masek@pwc.com</w:t>
            </w:r>
          </w:p>
        </w:tc>
      </w:tr>
      <w:tr w:rsidR="006F232C" w:rsidRPr="009F63E9" w:rsidTr="009F63E9">
        <w:trPr>
          <w:trHeight w:val="586"/>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bookmarkStart w:id="0" w:name="_Hlk111139162"/>
            <w:r w:rsidRPr="009F63E9">
              <w:rPr>
                <w:rFonts w:cs="Calibri"/>
                <w:sz w:val="24"/>
                <w:szCs w:val="24"/>
                <w:lang w:eastAsia="en-US"/>
              </w:rPr>
              <w:t xml:space="preserve">Jiří Nesrovnal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Komora daňových poradců ČR</w:t>
            </w:r>
          </w:p>
        </w:tc>
        <w:tc>
          <w:tcPr>
            <w:tcW w:w="2018" w:type="pct"/>
          </w:tcPr>
          <w:p w:rsidR="006F232C" w:rsidRPr="009F63E9" w:rsidRDefault="008F2C46"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hyperlink r:id="rId8" w:history="1">
              <w:r w:rsidR="006F232C" w:rsidRPr="009F63E9">
                <w:rPr>
                  <w:rFonts w:cs="Calibri"/>
                  <w:sz w:val="24"/>
                  <w:szCs w:val="24"/>
                  <w:lang w:eastAsia="en-US"/>
                </w:rPr>
                <w:t>nconsult@nconsult.cz</w:t>
              </w:r>
            </w:hyperlink>
          </w:p>
        </w:tc>
      </w:tr>
      <w:bookmarkEnd w:id="0"/>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Martin </w:t>
            </w:r>
            <w:proofErr w:type="spellStart"/>
            <w:r w:rsidRPr="009F63E9">
              <w:rPr>
                <w:rFonts w:cs="Calibri"/>
                <w:sz w:val="24"/>
                <w:szCs w:val="24"/>
                <w:lang w:eastAsia="en-US"/>
              </w:rPr>
              <w:t>Švolba</w:t>
            </w:r>
            <w:proofErr w:type="spellEnd"/>
            <w:r w:rsidRPr="009F63E9">
              <w:rPr>
                <w:rFonts w:cs="Calibri"/>
                <w:sz w:val="24"/>
                <w:szCs w:val="24"/>
                <w:lang w:eastAsia="en-US"/>
              </w:rPr>
              <w:t xml:space="preserve">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MPO</w:t>
            </w:r>
          </w:p>
        </w:tc>
        <w:tc>
          <w:tcPr>
            <w:tcW w:w="2018" w:type="pct"/>
          </w:tcPr>
          <w:p w:rsidR="006F232C" w:rsidRPr="009F63E9" w:rsidRDefault="008F2C46"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hyperlink r:id="rId9" w:history="1">
              <w:r w:rsidR="006F232C" w:rsidRPr="009F63E9">
                <w:rPr>
                  <w:rFonts w:cs="Calibri"/>
                  <w:sz w:val="24"/>
                  <w:szCs w:val="24"/>
                  <w:lang w:eastAsia="en-US"/>
                </w:rPr>
                <w:t>svolba@mpo.cz</w:t>
              </w:r>
            </w:hyperlink>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Petr Rezek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AVO ČR</w:t>
            </w:r>
          </w:p>
        </w:tc>
        <w:tc>
          <w:tcPr>
            <w:tcW w:w="2018" w:type="pct"/>
          </w:tcPr>
          <w:p w:rsidR="006F232C" w:rsidRPr="009F63E9" w:rsidRDefault="008F2C46"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lang w:eastAsia="en-US"/>
              </w:rPr>
            </w:pPr>
            <w:hyperlink r:id="rId10" w:history="1">
              <w:r w:rsidR="006F232C" w:rsidRPr="009F63E9">
                <w:rPr>
                  <w:rFonts w:cs="Calibri"/>
                  <w:sz w:val="24"/>
                  <w:szCs w:val="24"/>
                  <w:lang w:eastAsia="en-US"/>
                </w:rPr>
                <w:t>Petr.Rezek@geotechnika.cz</w:t>
              </w:r>
            </w:hyperlink>
          </w:p>
        </w:tc>
      </w:tr>
      <w:tr w:rsidR="006F232C" w:rsidRPr="009F63E9" w:rsidTr="009F63E9">
        <w:trPr>
          <w:trHeight w:val="301"/>
          <w:jc w:val="center"/>
        </w:trPr>
        <w:tc>
          <w:tcPr>
            <w:tcW w:w="5000" w:type="pct"/>
            <w:gridSpan w:val="3"/>
            <w:shd w:val="clear" w:color="auto" w:fill="BDD6EE"/>
            <w:vAlign w:val="center"/>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b/>
                <w:sz w:val="24"/>
                <w:szCs w:val="24"/>
                <w:lang w:eastAsia="en-US"/>
              </w:rPr>
              <w:t>Omluvení členové:</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Tomáš </w:t>
            </w:r>
            <w:proofErr w:type="spellStart"/>
            <w:r w:rsidRPr="009F63E9">
              <w:rPr>
                <w:rFonts w:cs="Calibri"/>
                <w:sz w:val="24"/>
                <w:szCs w:val="24"/>
                <w:lang w:eastAsia="en-US"/>
              </w:rPr>
              <w:t>Sohlich</w:t>
            </w:r>
            <w:proofErr w:type="spellEnd"/>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proofErr w:type="spellStart"/>
            <w:r w:rsidRPr="009F63E9">
              <w:rPr>
                <w:rFonts w:cs="Calibri"/>
                <w:sz w:val="24"/>
                <w:szCs w:val="24"/>
                <w:lang w:eastAsia="en-US"/>
              </w:rPr>
              <w:t>CzechInvest</w:t>
            </w:r>
            <w:proofErr w:type="spellEnd"/>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Tomas.Sohlich@czechinvest.org</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Petr Kopeček</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proofErr w:type="spellStart"/>
            <w:r w:rsidRPr="009F63E9">
              <w:rPr>
                <w:rFonts w:cs="Calibri"/>
                <w:sz w:val="24"/>
                <w:szCs w:val="24"/>
                <w:lang w:eastAsia="en-US"/>
              </w:rPr>
              <w:t>CzechInvest</w:t>
            </w:r>
            <w:proofErr w:type="spellEnd"/>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Petr.Kopecek@czechinvest.org</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Michal Pluta </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Národní rozvojová banka</w:t>
            </w:r>
          </w:p>
        </w:tc>
        <w:tc>
          <w:tcPr>
            <w:tcW w:w="2018" w:type="pct"/>
          </w:tcPr>
          <w:p w:rsidR="006F232C" w:rsidRPr="009F63E9" w:rsidRDefault="008F2C46"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hyperlink r:id="rId11" w:history="1">
              <w:r w:rsidR="006F232C" w:rsidRPr="009F63E9">
                <w:rPr>
                  <w:rFonts w:cs="Calibri"/>
                  <w:sz w:val="24"/>
                  <w:szCs w:val="24"/>
                  <w:lang w:eastAsia="en-US"/>
                </w:rPr>
                <w:t>michal.pluta@nrb.cz</w:t>
              </w:r>
            </w:hyperlink>
          </w:p>
        </w:tc>
      </w:tr>
      <w:tr w:rsidR="006F232C" w:rsidRPr="009F63E9" w:rsidTr="009F63E9">
        <w:trPr>
          <w:trHeight w:val="285"/>
          <w:jc w:val="center"/>
        </w:trPr>
        <w:tc>
          <w:tcPr>
            <w:tcW w:w="5000" w:type="pct"/>
            <w:gridSpan w:val="3"/>
            <w:shd w:val="clear" w:color="auto" w:fill="BDD6EE"/>
            <w:vAlign w:val="center"/>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b/>
                <w:sz w:val="24"/>
                <w:szCs w:val="24"/>
                <w:lang w:eastAsia="en-US"/>
              </w:rPr>
              <w:t>Hosté:</w:t>
            </w:r>
          </w:p>
        </w:tc>
      </w:tr>
      <w:tr w:rsidR="006F232C" w:rsidRPr="009F63E9" w:rsidTr="009F63E9">
        <w:trPr>
          <w:trHeight w:val="22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Markéta Přenosilová</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proofErr w:type="spellStart"/>
            <w:r w:rsidRPr="009F63E9">
              <w:rPr>
                <w:rFonts w:cs="Calibri"/>
                <w:sz w:val="24"/>
                <w:szCs w:val="24"/>
                <w:lang w:eastAsia="en-US"/>
              </w:rPr>
              <w:t>CzechInvest</w:t>
            </w:r>
            <w:proofErr w:type="spellEnd"/>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lang w:eastAsia="en-US"/>
              </w:rPr>
            </w:pPr>
            <w:r w:rsidRPr="009F63E9">
              <w:rPr>
                <w:lang w:eastAsia="en-US"/>
              </w:rPr>
              <w:t>Marketa.prenosilova</w:t>
            </w:r>
            <w:r w:rsidRPr="009F63E9">
              <w:rPr>
                <w:rFonts w:ascii="Arial" w:hAnsi="Arial" w:cs="Arial"/>
                <w:color w:val="000000"/>
                <w:spacing w:val="6"/>
                <w:sz w:val="20"/>
                <w:szCs w:val="20"/>
                <w:lang w:eastAsia="en-US"/>
              </w:rPr>
              <w:t>@czechinvest.org</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Martin Mana</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ČSÚ</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lang w:eastAsia="en-US"/>
              </w:rPr>
            </w:pPr>
            <w:r w:rsidRPr="009F63E9">
              <w:rPr>
                <w:lang w:eastAsia="en-US"/>
              </w:rPr>
              <w:t>martin.mana@czso.cz</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Hana </w:t>
            </w:r>
            <w:proofErr w:type="spellStart"/>
            <w:r w:rsidRPr="009F63E9">
              <w:rPr>
                <w:rFonts w:cs="Calibri"/>
                <w:sz w:val="24"/>
                <w:szCs w:val="24"/>
                <w:lang w:eastAsia="en-US"/>
              </w:rPr>
              <w:t>Bakičová</w:t>
            </w:r>
            <w:proofErr w:type="spellEnd"/>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ÚV ČR VVI</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lang w:eastAsia="en-US"/>
              </w:rPr>
            </w:pPr>
            <w:r w:rsidRPr="009F63E9">
              <w:rPr>
                <w:lang w:eastAsia="en-US"/>
              </w:rPr>
              <w:t>bakicova.hana@vlada.cz</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Helena Římská</w:t>
            </w:r>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ÚV ČR VVI</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lang w:eastAsia="en-US"/>
              </w:rPr>
            </w:pPr>
            <w:r w:rsidRPr="009F63E9">
              <w:rPr>
                <w:lang w:eastAsia="en-US"/>
              </w:rPr>
              <w:t>rismka.helena@vlada.cz</w:t>
            </w:r>
          </w:p>
        </w:tc>
      </w:tr>
      <w:tr w:rsidR="006F232C" w:rsidRPr="009F63E9" w:rsidTr="009F63E9">
        <w:trPr>
          <w:trHeight w:val="285"/>
          <w:jc w:val="center"/>
        </w:trPr>
        <w:tc>
          <w:tcPr>
            <w:tcW w:w="1450"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 xml:space="preserve">Drahomíra </w:t>
            </w:r>
            <w:proofErr w:type="spellStart"/>
            <w:r w:rsidRPr="009F63E9">
              <w:rPr>
                <w:rFonts w:cs="Calibri"/>
                <w:sz w:val="24"/>
                <w:szCs w:val="24"/>
                <w:lang w:eastAsia="en-US"/>
              </w:rPr>
              <w:t>Vrbská</w:t>
            </w:r>
            <w:proofErr w:type="spellEnd"/>
          </w:p>
        </w:tc>
        <w:tc>
          <w:tcPr>
            <w:tcW w:w="1532"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sz w:val="24"/>
                <w:szCs w:val="24"/>
                <w:lang w:eastAsia="en-US"/>
              </w:rPr>
            </w:pPr>
            <w:r w:rsidRPr="009F63E9">
              <w:rPr>
                <w:rFonts w:cs="Calibri"/>
                <w:sz w:val="24"/>
                <w:szCs w:val="24"/>
                <w:lang w:eastAsia="en-US"/>
              </w:rPr>
              <w:t>ÚV ČR VVI</w:t>
            </w:r>
          </w:p>
        </w:tc>
        <w:tc>
          <w:tcPr>
            <w:tcW w:w="2018" w:type="pct"/>
          </w:tcPr>
          <w:p w:rsidR="006F232C" w:rsidRPr="009F63E9" w:rsidRDefault="006F232C" w:rsidP="009F63E9">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lang w:eastAsia="en-US"/>
              </w:rPr>
            </w:pPr>
            <w:r w:rsidRPr="009F63E9">
              <w:rPr>
                <w:lang w:eastAsia="en-US"/>
              </w:rPr>
              <w:t>vrbska.drahomira@vlada.cz</w:t>
            </w:r>
          </w:p>
        </w:tc>
      </w:tr>
    </w:tbl>
    <w:p w:rsidR="006F232C" w:rsidRDefault="006F232C"/>
    <w:p w:rsidR="006F232C" w:rsidRDefault="006F232C" w:rsidP="002D4F67">
      <w:pPr>
        <w:pStyle w:val="Nadpis1"/>
        <w:spacing w:line="240" w:lineRule="auto"/>
        <w:ind w:left="426" w:hanging="426"/>
        <w:jc w:val="both"/>
        <w:rPr>
          <w:rFonts w:ascii="Calibri" w:hAnsi="Calibri" w:cs="Calibri"/>
          <w:b/>
          <w:sz w:val="40"/>
          <w:szCs w:val="28"/>
        </w:rPr>
      </w:pPr>
      <w:r>
        <w:rPr>
          <w:rFonts w:ascii="Calibri" w:hAnsi="Calibri" w:cs="Calibri"/>
          <w:b/>
          <w:sz w:val="40"/>
          <w:szCs w:val="28"/>
        </w:rPr>
        <w:lastRenderedPageBreak/>
        <w:t>I. Průběh jednání</w:t>
      </w:r>
    </w:p>
    <w:p w:rsidR="006F232C" w:rsidRDefault="006F232C" w:rsidP="006D1066">
      <w:pPr>
        <w:jc w:val="both"/>
      </w:pPr>
    </w:p>
    <w:p w:rsidR="006F232C" w:rsidRPr="00F42EE5" w:rsidRDefault="006F232C" w:rsidP="00D458CF">
      <w:pPr>
        <w:pStyle w:val="Odstavecseseznamem"/>
        <w:numPr>
          <w:ilvl w:val="0"/>
          <w:numId w:val="14"/>
        </w:numPr>
        <w:spacing w:after="240"/>
        <w:ind w:left="714" w:hanging="357"/>
        <w:jc w:val="both"/>
        <w:rPr>
          <w:sz w:val="14"/>
          <w:szCs w:val="24"/>
        </w:rPr>
      </w:pPr>
      <w:r w:rsidRPr="00A96483">
        <w:rPr>
          <w:sz w:val="24"/>
          <w:szCs w:val="24"/>
        </w:rPr>
        <w:t>N</w:t>
      </w:r>
      <w:r>
        <w:rPr>
          <w:sz w:val="24"/>
          <w:szCs w:val="24"/>
        </w:rPr>
        <w:t>a začátku jednání byl představen program a pracovní skupina ho schválila.</w:t>
      </w:r>
    </w:p>
    <w:p w:rsidR="006F232C" w:rsidRPr="003E3CDF" w:rsidRDefault="006F232C" w:rsidP="003E3CDF">
      <w:pPr>
        <w:spacing w:after="240"/>
        <w:ind w:firstLine="357"/>
        <w:jc w:val="both"/>
        <w:rPr>
          <w:b/>
          <w:sz w:val="14"/>
          <w:szCs w:val="24"/>
        </w:rPr>
      </w:pPr>
      <w:r w:rsidRPr="003E3CDF">
        <w:rPr>
          <w:b/>
          <w:sz w:val="24"/>
          <w:szCs w:val="24"/>
        </w:rPr>
        <w:t>První část jednání – zaměstnanecké akcie</w:t>
      </w:r>
    </w:p>
    <w:p w:rsidR="006F232C" w:rsidRPr="003E3CDF" w:rsidRDefault="006F232C" w:rsidP="003E3CDF">
      <w:pPr>
        <w:pStyle w:val="Odstavecseseznamem"/>
        <w:numPr>
          <w:ilvl w:val="0"/>
          <w:numId w:val="14"/>
        </w:numPr>
        <w:jc w:val="both"/>
        <w:rPr>
          <w:sz w:val="24"/>
          <w:szCs w:val="24"/>
        </w:rPr>
      </w:pPr>
      <w:r w:rsidRPr="00766379">
        <w:rPr>
          <w:sz w:val="24"/>
          <w:szCs w:val="24"/>
        </w:rPr>
        <w:t>V první části jedná</w:t>
      </w:r>
      <w:r>
        <w:rPr>
          <w:sz w:val="24"/>
          <w:szCs w:val="24"/>
        </w:rPr>
        <w:t>ní</w:t>
      </w:r>
      <w:r w:rsidRPr="00766379">
        <w:rPr>
          <w:sz w:val="24"/>
          <w:szCs w:val="24"/>
        </w:rPr>
        <w:t xml:space="preserve"> se diskutovalo téma </w:t>
      </w:r>
      <w:r>
        <w:rPr>
          <w:sz w:val="24"/>
          <w:szCs w:val="24"/>
        </w:rPr>
        <w:t>zaměstnaneckých akcií.</w:t>
      </w:r>
    </w:p>
    <w:p w:rsidR="006F232C" w:rsidRDefault="006F232C" w:rsidP="003E3CDF">
      <w:pPr>
        <w:pStyle w:val="Odstavecseseznamem"/>
        <w:numPr>
          <w:ilvl w:val="0"/>
          <w:numId w:val="14"/>
        </w:numPr>
        <w:jc w:val="both"/>
        <w:rPr>
          <w:sz w:val="24"/>
          <w:szCs w:val="24"/>
        </w:rPr>
      </w:pPr>
      <w:r w:rsidRPr="00766379">
        <w:rPr>
          <w:sz w:val="24"/>
          <w:szCs w:val="24"/>
        </w:rPr>
        <w:t>Pracovní skupina se shodla, že je potřeba vyčlenit</w:t>
      </w:r>
      <w:r>
        <w:rPr>
          <w:sz w:val="24"/>
          <w:szCs w:val="24"/>
        </w:rPr>
        <w:t xml:space="preserve"> téma „zaměstnaneckých akcií</w:t>
      </w:r>
      <w:r w:rsidRPr="00766379">
        <w:rPr>
          <w:sz w:val="24"/>
          <w:szCs w:val="24"/>
        </w:rPr>
        <w:t>“</w:t>
      </w:r>
      <w:r>
        <w:rPr>
          <w:sz w:val="24"/>
          <w:szCs w:val="24"/>
        </w:rPr>
        <w:t xml:space="preserve"> </w:t>
      </w:r>
      <w:r w:rsidRPr="00766379">
        <w:rPr>
          <w:sz w:val="24"/>
          <w:szCs w:val="24"/>
        </w:rPr>
        <w:t>mimo</w:t>
      </w:r>
      <w:r>
        <w:rPr>
          <w:sz w:val="24"/>
          <w:szCs w:val="24"/>
        </w:rPr>
        <w:t xml:space="preserve"> samotná jednání</w:t>
      </w:r>
      <w:r w:rsidRPr="00766379">
        <w:rPr>
          <w:sz w:val="24"/>
          <w:szCs w:val="24"/>
        </w:rPr>
        <w:t xml:space="preserve"> PSDO</w:t>
      </w:r>
      <w:r>
        <w:rPr>
          <w:sz w:val="24"/>
          <w:szCs w:val="24"/>
        </w:rPr>
        <w:t>, protože jen část členů PSDO je kompetentní danou problematiku řešit, případně je zapotřebí</w:t>
      </w:r>
      <w:r w:rsidRPr="00766379">
        <w:rPr>
          <w:sz w:val="24"/>
          <w:szCs w:val="24"/>
        </w:rPr>
        <w:t xml:space="preserve"> jmenovat nové členy</w:t>
      </w:r>
      <w:r>
        <w:rPr>
          <w:sz w:val="24"/>
          <w:szCs w:val="24"/>
        </w:rPr>
        <w:t>.</w:t>
      </w:r>
    </w:p>
    <w:p w:rsidR="006F232C" w:rsidRPr="003E3CDF" w:rsidRDefault="006F232C" w:rsidP="003E3CDF">
      <w:pPr>
        <w:pStyle w:val="Odstavecseseznamem"/>
        <w:numPr>
          <w:ilvl w:val="0"/>
          <w:numId w:val="14"/>
        </w:numPr>
        <w:jc w:val="both"/>
        <w:rPr>
          <w:sz w:val="24"/>
          <w:szCs w:val="24"/>
        </w:rPr>
      </w:pPr>
      <w:r>
        <w:rPr>
          <w:sz w:val="24"/>
          <w:szCs w:val="24"/>
        </w:rPr>
        <w:t>Postup v oblasti zaměstnaneckých akcií má</w:t>
      </w:r>
      <w:r w:rsidRPr="003E3CDF">
        <w:rPr>
          <w:sz w:val="24"/>
          <w:szCs w:val="24"/>
        </w:rPr>
        <w:t xml:space="preserve"> dvě možnosti, (1</w:t>
      </w:r>
      <w:r>
        <w:rPr>
          <w:sz w:val="24"/>
          <w:szCs w:val="24"/>
        </w:rPr>
        <w:t>.)</w:t>
      </w:r>
      <w:r w:rsidRPr="003E3CDF">
        <w:rPr>
          <w:sz w:val="24"/>
          <w:szCs w:val="24"/>
        </w:rPr>
        <w:t xml:space="preserve"> bude je řešit podskupina PSDO, nebo (2.) bude předáno jiné nové pracovní skupině. K tomuto je zapotřebí učinit domluvu a rozhodnutí na vyšší úrovni, např. náměstkyně SVVI a náměstka MPO</w:t>
      </w:r>
      <w:r>
        <w:rPr>
          <w:sz w:val="24"/>
          <w:szCs w:val="24"/>
        </w:rPr>
        <w:t xml:space="preserve"> a MF</w:t>
      </w:r>
      <w:r w:rsidRPr="003E3CDF">
        <w:rPr>
          <w:sz w:val="24"/>
          <w:szCs w:val="24"/>
        </w:rPr>
        <w:t>.</w:t>
      </w:r>
    </w:p>
    <w:p w:rsidR="006F232C" w:rsidRPr="00F42EE5" w:rsidRDefault="006F232C" w:rsidP="00F42EE5">
      <w:pPr>
        <w:jc w:val="both"/>
        <w:rPr>
          <w:b/>
          <w:sz w:val="24"/>
          <w:szCs w:val="24"/>
        </w:rPr>
      </w:pPr>
      <w:r>
        <w:rPr>
          <w:rFonts w:cs="Calibri"/>
          <w:b/>
          <w:sz w:val="24"/>
          <w:szCs w:val="24"/>
        </w:rPr>
        <w:t xml:space="preserve">      </w:t>
      </w:r>
      <w:r w:rsidRPr="00F42EE5">
        <w:rPr>
          <w:rFonts w:cs="Calibri"/>
          <w:b/>
          <w:sz w:val="24"/>
          <w:szCs w:val="24"/>
        </w:rPr>
        <w:t>Druhá část jednání – finanční nástroje</w:t>
      </w:r>
    </w:p>
    <w:p w:rsidR="006F232C" w:rsidRPr="00A02F56" w:rsidRDefault="006F232C" w:rsidP="00D458CF">
      <w:pPr>
        <w:pStyle w:val="Odstavecseseznamem"/>
        <w:numPr>
          <w:ilvl w:val="0"/>
          <w:numId w:val="14"/>
        </w:numPr>
        <w:jc w:val="both"/>
        <w:rPr>
          <w:sz w:val="24"/>
          <w:szCs w:val="24"/>
        </w:rPr>
      </w:pPr>
      <w:r w:rsidRPr="00A02F56">
        <w:rPr>
          <w:sz w:val="24"/>
          <w:szCs w:val="24"/>
        </w:rPr>
        <w:t xml:space="preserve">V další části bylo projednáno téma finančních nástrojů, kde bylo v souvislosti s tímto tématem zdůrazněno, že je potřeba </w:t>
      </w:r>
      <w:r>
        <w:rPr>
          <w:sz w:val="24"/>
          <w:szCs w:val="24"/>
        </w:rPr>
        <w:t xml:space="preserve">vzít na vědomí </w:t>
      </w:r>
      <w:r w:rsidRPr="00A02F56">
        <w:rPr>
          <w:sz w:val="24"/>
          <w:szCs w:val="24"/>
        </w:rPr>
        <w:t xml:space="preserve">nový Rámce pro státní podporu výzkumu, </w:t>
      </w:r>
      <w:r>
        <w:rPr>
          <w:sz w:val="24"/>
          <w:szCs w:val="24"/>
        </w:rPr>
        <w:t xml:space="preserve">vývoje a inovací (Rámec </w:t>
      </w:r>
      <w:proofErr w:type="spellStart"/>
      <w:r>
        <w:rPr>
          <w:sz w:val="24"/>
          <w:szCs w:val="24"/>
        </w:rPr>
        <w:t>VaVaI</w:t>
      </w:r>
      <w:proofErr w:type="spellEnd"/>
      <w:r>
        <w:rPr>
          <w:sz w:val="24"/>
          <w:szCs w:val="24"/>
        </w:rPr>
        <w:t>), a reflektovat jeho znění jak při legislativních návrzích do nově připravovaného zákona „130“, tak i při návrhu samotných finančních nástrojů.</w:t>
      </w:r>
    </w:p>
    <w:p w:rsidR="006F232C" w:rsidRDefault="006F232C" w:rsidP="00EF0AEE">
      <w:pPr>
        <w:pStyle w:val="Odstavecseseznamem"/>
        <w:numPr>
          <w:ilvl w:val="0"/>
          <w:numId w:val="14"/>
        </w:numPr>
        <w:jc w:val="both"/>
        <w:rPr>
          <w:sz w:val="24"/>
          <w:szCs w:val="24"/>
        </w:rPr>
      </w:pPr>
      <w:r>
        <w:rPr>
          <w:sz w:val="24"/>
          <w:szCs w:val="24"/>
        </w:rPr>
        <w:t xml:space="preserve">Bylo identifikováno, že je důležité, aby oblast </w:t>
      </w:r>
      <w:proofErr w:type="spellStart"/>
      <w:r>
        <w:rPr>
          <w:sz w:val="24"/>
          <w:szCs w:val="24"/>
        </w:rPr>
        <w:t>VaV</w:t>
      </w:r>
      <w:proofErr w:type="spellEnd"/>
      <w:r>
        <w:rPr>
          <w:sz w:val="24"/>
          <w:szCs w:val="24"/>
        </w:rPr>
        <w:t xml:space="preserve"> byla podporována finančními nástroji, jejichž přínosem by byla návratnost prostředků zpět do systému a možnost jejich opětovného použití.</w:t>
      </w:r>
    </w:p>
    <w:p w:rsidR="006F232C" w:rsidRPr="003E3CDF" w:rsidRDefault="006F232C" w:rsidP="003E3CDF">
      <w:pPr>
        <w:ind w:left="360"/>
        <w:jc w:val="both"/>
        <w:rPr>
          <w:b/>
          <w:sz w:val="24"/>
          <w:szCs w:val="24"/>
        </w:rPr>
      </w:pPr>
      <w:r w:rsidRPr="003E3CDF">
        <w:rPr>
          <w:b/>
          <w:sz w:val="24"/>
          <w:szCs w:val="24"/>
        </w:rPr>
        <w:t>Třetí část jednání – daňové odpočty</w:t>
      </w:r>
    </w:p>
    <w:p w:rsidR="006F232C" w:rsidRDefault="006F232C" w:rsidP="003E3CDF">
      <w:pPr>
        <w:pStyle w:val="Odstavecseseznamem"/>
        <w:numPr>
          <w:ilvl w:val="0"/>
          <w:numId w:val="14"/>
        </w:numPr>
        <w:spacing w:after="240"/>
        <w:jc w:val="both"/>
        <w:rPr>
          <w:sz w:val="24"/>
          <w:szCs w:val="24"/>
        </w:rPr>
      </w:pPr>
      <w:r>
        <w:rPr>
          <w:sz w:val="24"/>
          <w:szCs w:val="24"/>
        </w:rPr>
        <w:t>V třetí části jednání se PSDO zabývala problematikou daňových odpočtů a hledala vhodnou variantu přístupu k systému daňových odpočtů v ČR.</w:t>
      </w:r>
    </w:p>
    <w:p w:rsidR="006F232C" w:rsidRPr="00D458CF" w:rsidRDefault="006F232C" w:rsidP="003E3CDF">
      <w:pPr>
        <w:pStyle w:val="Odstavecseseznamem"/>
        <w:numPr>
          <w:ilvl w:val="0"/>
          <w:numId w:val="14"/>
        </w:numPr>
        <w:spacing w:after="240"/>
        <w:jc w:val="both"/>
        <w:rPr>
          <w:sz w:val="24"/>
          <w:szCs w:val="24"/>
        </w:rPr>
      </w:pPr>
      <w:r>
        <w:rPr>
          <w:sz w:val="24"/>
          <w:szCs w:val="24"/>
        </w:rPr>
        <w:t xml:space="preserve">Bylo představeno a diskutováno šest variant, z diskuse vyplynul další návrh, jako kombinace dvou variant (pracovně označena jako 5 c), a to kombinace varianty „2. </w:t>
      </w:r>
      <w:r w:rsidR="00E4069B">
        <w:rPr>
          <w:sz w:val="24"/>
          <w:szCs w:val="24"/>
        </w:rPr>
        <w:t>NOVELA ZÁKONA DANÍCH Z PŘÍJMŮ</w:t>
      </w:r>
      <w:r>
        <w:rPr>
          <w:sz w:val="24"/>
          <w:szCs w:val="24"/>
        </w:rPr>
        <w:t xml:space="preserve"> č.</w:t>
      </w:r>
      <w:r w:rsidRPr="00D458CF">
        <w:rPr>
          <w:sz w:val="24"/>
          <w:szCs w:val="24"/>
        </w:rPr>
        <w:t xml:space="preserve"> 586/1992 Sb.</w:t>
      </w:r>
      <w:r>
        <w:rPr>
          <w:sz w:val="24"/>
          <w:szCs w:val="24"/>
        </w:rPr>
        <w:t>“</w:t>
      </w:r>
      <w:r w:rsidRPr="00D458CF">
        <w:rPr>
          <w:sz w:val="24"/>
          <w:szCs w:val="24"/>
        </w:rPr>
        <w:t xml:space="preserve"> a varianty </w:t>
      </w:r>
      <w:r>
        <w:rPr>
          <w:sz w:val="24"/>
          <w:szCs w:val="24"/>
        </w:rPr>
        <w:t>„</w:t>
      </w:r>
      <w:r w:rsidRPr="00D458CF">
        <w:rPr>
          <w:sz w:val="24"/>
          <w:szCs w:val="24"/>
        </w:rPr>
        <w:t>5a</w:t>
      </w:r>
      <w:r>
        <w:rPr>
          <w:sz w:val="24"/>
          <w:szCs w:val="24"/>
        </w:rPr>
        <w:t>. Z</w:t>
      </w:r>
      <w:r w:rsidRPr="00D458CF">
        <w:rPr>
          <w:sz w:val="24"/>
          <w:szCs w:val="24"/>
        </w:rPr>
        <w:t>avedení POSOUZ</w:t>
      </w:r>
      <w:r>
        <w:rPr>
          <w:sz w:val="24"/>
          <w:szCs w:val="24"/>
        </w:rPr>
        <w:t xml:space="preserve">ENÍ </w:t>
      </w:r>
      <w:proofErr w:type="spellStart"/>
      <w:r>
        <w:rPr>
          <w:sz w:val="24"/>
          <w:szCs w:val="24"/>
        </w:rPr>
        <w:t>VaV</w:t>
      </w:r>
      <w:proofErr w:type="spellEnd"/>
      <w:r>
        <w:rPr>
          <w:sz w:val="24"/>
          <w:szCs w:val="24"/>
        </w:rPr>
        <w:t>, externí subjekt (např. </w:t>
      </w:r>
      <w:r w:rsidRPr="00D458CF">
        <w:rPr>
          <w:sz w:val="24"/>
          <w:szCs w:val="24"/>
        </w:rPr>
        <w:t>TAČR), AKCEPTACE pro GFŘ (FS) BUDE povinná.</w:t>
      </w:r>
      <w:r>
        <w:rPr>
          <w:sz w:val="24"/>
          <w:szCs w:val="24"/>
        </w:rPr>
        <w:t>“ Nedošlo ke konsensu na jedné z variant.</w:t>
      </w:r>
    </w:p>
    <w:p w:rsidR="006F232C" w:rsidRPr="00847427" w:rsidRDefault="006F232C" w:rsidP="003E3CDF">
      <w:pPr>
        <w:pStyle w:val="Odstavecseseznamem"/>
        <w:numPr>
          <w:ilvl w:val="0"/>
          <w:numId w:val="14"/>
        </w:numPr>
        <w:jc w:val="both"/>
        <w:rPr>
          <w:sz w:val="24"/>
          <w:szCs w:val="24"/>
        </w:rPr>
      </w:pPr>
      <w:r w:rsidRPr="00847427">
        <w:rPr>
          <w:sz w:val="24"/>
          <w:szCs w:val="24"/>
        </w:rPr>
        <w:t>Z</w:t>
      </w:r>
      <w:r>
        <w:rPr>
          <w:sz w:val="24"/>
          <w:szCs w:val="24"/>
        </w:rPr>
        <w:t xml:space="preserve">ástupci </w:t>
      </w:r>
      <w:r w:rsidRPr="00847427">
        <w:rPr>
          <w:sz w:val="24"/>
          <w:szCs w:val="24"/>
        </w:rPr>
        <w:t>komory</w:t>
      </w:r>
      <w:r>
        <w:rPr>
          <w:sz w:val="24"/>
          <w:szCs w:val="24"/>
        </w:rPr>
        <w:t xml:space="preserve"> daňových poradců</w:t>
      </w:r>
      <w:r w:rsidRPr="00847427">
        <w:rPr>
          <w:sz w:val="24"/>
          <w:szCs w:val="24"/>
        </w:rPr>
        <w:t>, SP ČR a poradních a vě</w:t>
      </w:r>
      <w:r>
        <w:rPr>
          <w:sz w:val="24"/>
          <w:szCs w:val="24"/>
        </w:rPr>
        <w:t>deckých institucí upozornili na </w:t>
      </w:r>
      <w:r w:rsidRPr="00847427">
        <w:rPr>
          <w:sz w:val="24"/>
          <w:szCs w:val="24"/>
        </w:rPr>
        <w:t>to, že problém je zejména špatná atmosféra</w:t>
      </w:r>
      <w:r>
        <w:rPr>
          <w:sz w:val="24"/>
          <w:szCs w:val="24"/>
        </w:rPr>
        <w:t xml:space="preserve"> ve firmách</w:t>
      </w:r>
      <w:r w:rsidRPr="00847427">
        <w:rPr>
          <w:sz w:val="24"/>
          <w:szCs w:val="24"/>
        </w:rPr>
        <w:t xml:space="preserve">, </w:t>
      </w:r>
      <w:r>
        <w:rPr>
          <w:sz w:val="24"/>
          <w:szCs w:val="24"/>
        </w:rPr>
        <w:t>a že</w:t>
      </w:r>
      <w:r w:rsidRPr="00847427">
        <w:rPr>
          <w:sz w:val="24"/>
          <w:szCs w:val="24"/>
        </w:rPr>
        <w:t xml:space="preserve"> j</w:t>
      </w:r>
      <w:r>
        <w:rPr>
          <w:sz w:val="24"/>
          <w:szCs w:val="24"/>
        </w:rPr>
        <w:t>e důležité politické rozhodnutí,</w:t>
      </w:r>
      <w:r w:rsidRPr="00847427">
        <w:rPr>
          <w:sz w:val="24"/>
          <w:szCs w:val="24"/>
        </w:rPr>
        <w:t xml:space="preserve"> zda </w:t>
      </w:r>
      <w:r>
        <w:rPr>
          <w:sz w:val="24"/>
          <w:szCs w:val="24"/>
        </w:rPr>
        <w:t xml:space="preserve">členové vlády </w:t>
      </w:r>
      <w:r w:rsidRPr="00847427">
        <w:rPr>
          <w:sz w:val="24"/>
          <w:szCs w:val="24"/>
        </w:rPr>
        <w:t xml:space="preserve">udělají </w:t>
      </w:r>
      <w:r>
        <w:rPr>
          <w:sz w:val="24"/>
          <w:szCs w:val="24"/>
        </w:rPr>
        <w:t>politické prohlášení, které vychází z programového prohlášení vlády a rozhodnou například o tom</w:t>
      </w:r>
      <w:r w:rsidR="00877BC1">
        <w:rPr>
          <w:sz w:val="24"/>
          <w:szCs w:val="24"/>
        </w:rPr>
        <w:t xml:space="preserve">, </w:t>
      </w:r>
      <w:r>
        <w:rPr>
          <w:sz w:val="24"/>
          <w:szCs w:val="24"/>
        </w:rPr>
        <w:t>zda má dojít k </w:t>
      </w:r>
      <w:proofErr w:type="gramStart"/>
      <w:r>
        <w:rPr>
          <w:sz w:val="24"/>
          <w:szCs w:val="24"/>
        </w:rPr>
        <w:t>novelizací</w:t>
      </w:r>
      <w:proofErr w:type="gramEnd"/>
      <w:r>
        <w:rPr>
          <w:sz w:val="24"/>
          <w:szCs w:val="24"/>
        </w:rPr>
        <w:t xml:space="preserve"> právních předpisů. Situaci nevyřeší </w:t>
      </w:r>
      <w:r w:rsidRPr="00847427">
        <w:rPr>
          <w:sz w:val="24"/>
          <w:szCs w:val="24"/>
        </w:rPr>
        <w:t>pouze novela zákona o dani z</w:t>
      </w:r>
      <w:r>
        <w:rPr>
          <w:sz w:val="24"/>
          <w:szCs w:val="24"/>
        </w:rPr>
        <w:t> </w:t>
      </w:r>
      <w:r w:rsidRPr="00847427">
        <w:rPr>
          <w:sz w:val="24"/>
          <w:szCs w:val="24"/>
        </w:rPr>
        <w:t>příjmu. Primárně je úkolem pracovní sku</w:t>
      </w:r>
      <w:r>
        <w:rPr>
          <w:sz w:val="24"/>
          <w:szCs w:val="24"/>
        </w:rPr>
        <w:t>piny vylepšit tento systém. Zástupce Komory daňových poradců  nicméně uvedl, že se domnívám, že bez novelizace právních předpisů, v duchu toho co je uvedeno v předchozích zápisech (především ve smyslu větší možnosti dokazovaní) ke změně nedojde.</w:t>
      </w:r>
    </w:p>
    <w:p w:rsidR="006F232C" w:rsidRDefault="006F232C" w:rsidP="003E3CDF">
      <w:pPr>
        <w:pStyle w:val="Odstavecseseznamem"/>
        <w:numPr>
          <w:ilvl w:val="0"/>
          <w:numId w:val="14"/>
        </w:numPr>
        <w:spacing w:after="240"/>
        <w:jc w:val="both"/>
        <w:rPr>
          <w:sz w:val="24"/>
          <w:szCs w:val="24"/>
        </w:rPr>
      </w:pPr>
      <w:r w:rsidRPr="00B760BF">
        <w:rPr>
          <w:sz w:val="24"/>
          <w:szCs w:val="24"/>
        </w:rPr>
        <w:t xml:space="preserve">Zástupkyně </w:t>
      </w:r>
      <w:proofErr w:type="spellStart"/>
      <w:r w:rsidRPr="00B760BF">
        <w:rPr>
          <w:sz w:val="24"/>
          <w:szCs w:val="24"/>
        </w:rPr>
        <w:t>CzechInvestu</w:t>
      </w:r>
      <w:proofErr w:type="spellEnd"/>
      <w:r w:rsidRPr="00B760BF">
        <w:rPr>
          <w:sz w:val="24"/>
          <w:szCs w:val="24"/>
        </w:rPr>
        <w:t xml:space="preserve"> uvedla, že by pracovní skupina měla přemýšlet, jak dostat také inovace do systému daňových odpočtů, což by napomohlo rozvoji start-</w:t>
      </w:r>
      <w:proofErr w:type="spellStart"/>
      <w:r w:rsidRPr="00B760BF">
        <w:rPr>
          <w:sz w:val="24"/>
          <w:szCs w:val="24"/>
        </w:rPr>
        <w:t>upů</w:t>
      </w:r>
      <w:proofErr w:type="spellEnd"/>
      <w:r w:rsidRPr="00B760BF">
        <w:rPr>
          <w:sz w:val="24"/>
          <w:szCs w:val="24"/>
        </w:rPr>
        <w:t xml:space="preserve"> a spin-</w:t>
      </w:r>
      <w:proofErr w:type="spellStart"/>
      <w:r w:rsidRPr="00B760BF">
        <w:rPr>
          <w:sz w:val="24"/>
          <w:szCs w:val="24"/>
        </w:rPr>
        <w:t>offů</w:t>
      </w:r>
      <w:proofErr w:type="spellEnd"/>
      <w:r w:rsidRPr="00B760BF">
        <w:rPr>
          <w:sz w:val="24"/>
          <w:szCs w:val="24"/>
        </w:rPr>
        <w:t>.</w:t>
      </w:r>
      <w:r>
        <w:rPr>
          <w:sz w:val="24"/>
          <w:szCs w:val="24"/>
        </w:rPr>
        <w:t xml:space="preserve"> Byla doplněna informace zpravodajem RVVI doc. Kouřilem</w:t>
      </w:r>
      <w:r w:rsidRPr="0089223E">
        <w:rPr>
          <w:sz w:val="24"/>
          <w:szCs w:val="24"/>
        </w:rPr>
        <w:t xml:space="preserve">, že aktuálně  systém nepodporuje inovace a odpočty </w:t>
      </w:r>
      <w:r w:rsidRPr="00893D5E">
        <w:rPr>
          <w:sz w:val="24"/>
          <w:szCs w:val="24"/>
        </w:rPr>
        <w:t>je možné</w:t>
      </w:r>
      <w:r w:rsidRPr="00B760BF">
        <w:rPr>
          <w:sz w:val="24"/>
          <w:szCs w:val="24"/>
        </w:rPr>
        <w:t xml:space="preserve"> </w:t>
      </w:r>
      <w:r w:rsidRPr="0089223E">
        <w:rPr>
          <w:sz w:val="24"/>
          <w:szCs w:val="24"/>
        </w:rPr>
        <w:t xml:space="preserve">použít </w:t>
      </w:r>
      <w:r w:rsidRPr="0013643F">
        <w:rPr>
          <w:sz w:val="24"/>
          <w:szCs w:val="24"/>
        </w:rPr>
        <w:t>pouze</w:t>
      </w:r>
      <w:r w:rsidRPr="00B760BF">
        <w:rPr>
          <w:sz w:val="24"/>
          <w:szCs w:val="24"/>
        </w:rPr>
        <w:t xml:space="preserve"> </w:t>
      </w:r>
      <w:r w:rsidRPr="0089223E">
        <w:rPr>
          <w:sz w:val="24"/>
          <w:szCs w:val="24"/>
        </w:rPr>
        <w:t>na oblast výzkumu a vývoje.</w:t>
      </w:r>
    </w:p>
    <w:p w:rsidR="006F232C" w:rsidRPr="0089223E" w:rsidRDefault="006F232C" w:rsidP="003E3CDF">
      <w:pPr>
        <w:pStyle w:val="Odstavecseseznamem"/>
        <w:numPr>
          <w:ilvl w:val="0"/>
          <w:numId w:val="14"/>
        </w:numPr>
        <w:spacing w:after="240"/>
        <w:jc w:val="both"/>
        <w:rPr>
          <w:sz w:val="24"/>
          <w:szCs w:val="24"/>
        </w:rPr>
      </w:pPr>
      <w:r>
        <w:rPr>
          <w:sz w:val="24"/>
          <w:szCs w:val="24"/>
        </w:rPr>
        <w:lastRenderedPageBreak/>
        <w:t>Byla diskutována důležitost potřeby u nepřímé podpory zachovat administrativní nenáročnost a jednoduchost v porovnání  s přímou  podporou. Nepřímá podpora by měla přímou podporu doplňovat.</w:t>
      </w:r>
    </w:p>
    <w:p w:rsidR="006F232C" w:rsidRPr="00A27DE3" w:rsidRDefault="006F232C" w:rsidP="003E3CDF">
      <w:pPr>
        <w:pStyle w:val="Odstavecseseznamem"/>
        <w:numPr>
          <w:ilvl w:val="0"/>
          <w:numId w:val="14"/>
        </w:numPr>
        <w:jc w:val="both"/>
        <w:rPr>
          <w:sz w:val="24"/>
          <w:szCs w:val="24"/>
        </w:rPr>
      </w:pPr>
      <w:r>
        <w:rPr>
          <w:sz w:val="24"/>
          <w:szCs w:val="24"/>
        </w:rPr>
        <w:t>Následně</w:t>
      </w:r>
      <w:r w:rsidRPr="00A27DE3">
        <w:rPr>
          <w:sz w:val="24"/>
          <w:szCs w:val="24"/>
        </w:rPr>
        <w:t xml:space="preserve"> byly předneseny dvě prezentace</w:t>
      </w:r>
      <w:r>
        <w:rPr>
          <w:sz w:val="24"/>
          <w:szCs w:val="24"/>
        </w:rPr>
        <w:t>: od pana Maš</w:t>
      </w:r>
      <w:r w:rsidRPr="00A27DE3">
        <w:rPr>
          <w:sz w:val="24"/>
          <w:szCs w:val="24"/>
        </w:rPr>
        <w:t>k</w:t>
      </w:r>
      <w:r>
        <w:rPr>
          <w:sz w:val="24"/>
          <w:szCs w:val="24"/>
        </w:rPr>
        <w:t>a</w:t>
      </w:r>
      <w:r w:rsidRPr="00A27DE3">
        <w:rPr>
          <w:sz w:val="24"/>
          <w:szCs w:val="24"/>
        </w:rPr>
        <w:t xml:space="preserve"> – </w:t>
      </w:r>
      <w:proofErr w:type="spellStart"/>
      <w:r w:rsidRPr="00A27DE3">
        <w:rPr>
          <w:sz w:val="24"/>
          <w:szCs w:val="24"/>
        </w:rPr>
        <w:t>prezentace_Odpočet</w:t>
      </w:r>
      <w:proofErr w:type="spellEnd"/>
      <w:r w:rsidRPr="00A27DE3">
        <w:rPr>
          <w:sz w:val="24"/>
          <w:szCs w:val="24"/>
        </w:rPr>
        <w:t xml:space="preserve"> </w:t>
      </w:r>
      <w:proofErr w:type="spellStart"/>
      <w:r w:rsidRPr="00A27DE3">
        <w:rPr>
          <w:sz w:val="24"/>
          <w:szCs w:val="24"/>
        </w:rPr>
        <w:t>VaV</w:t>
      </w:r>
      <w:proofErr w:type="spellEnd"/>
      <w:r w:rsidRPr="00A27DE3">
        <w:rPr>
          <w:sz w:val="24"/>
          <w:szCs w:val="24"/>
        </w:rPr>
        <w:t xml:space="preserve"> praxe v jiných zemích_PwC_7_11_2022</w:t>
      </w:r>
      <w:r>
        <w:rPr>
          <w:sz w:val="24"/>
          <w:szCs w:val="24"/>
        </w:rPr>
        <w:t>,</w:t>
      </w:r>
      <w:r w:rsidRPr="00A27DE3">
        <w:rPr>
          <w:sz w:val="24"/>
          <w:szCs w:val="24"/>
        </w:rPr>
        <w:t xml:space="preserve"> a od pana </w:t>
      </w:r>
      <w:r w:rsidRPr="003818E5">
        <w:rPr>
          <w:rFonts w:cs="Calibri"/>
          <w:sz w:val="24"/>
          <w:szCs w:val="24"/>
        </w:rPr>
        <w:t>Bajgara</w:t>
      </w:r>
      <w:r w:rsidRPr="00A27DE3">
        <w:rPr>
          <w:rFonts w:cs="Calibri"/>
          <w:sz w:val="24"/>
          <w:szCs w:val="24"/>
        </w:rPr>
        <w:t xml:space="preserve"> – </w:t>
      </w:r>
      <w:proofErr w:type="spellStart"/>
      <w:r w:rsidRPr="00A27DE3">
        <w:rPr>
          <w:rFonts w:cs="Calibri"/>
          <w:sz w:val="24"/>
          <w:szCs w:val="24"/>
        </w:rPr>
        <w:t>prezentace_Dopad_odpočtů_Bajgar</w:t>
      </w:r>
      <w:proofErr w:type="spellEnd"/>
      <w:r w:rsidRPr="00A27DE3">
        <w:rPr>
          <w:rFonts w:cs="Calibri"/>
          <w:sz w:val="24"/>
          <w:szCs w:val="24"/>
        </w:rPr>
        <w:t xml:space="preserve"> </w:t>
      </w:r>
    </w:p>
    <w:p w:rsidR="006F232C" w:rsidRPr="00077DBE" w:rsidRDefault="006F232C" w:rsidP="003E3CDF">
      <w:pPr>
        <w:pStyle w:val="Odstavecseseznamem"/>
        <w:numPr>
          <w:ilvl w:val="0"/>
          <w:numId w:val="14"/>
        </w:numPr>
        <w:jc w:val="both"/>
        <w:rPr>
          <w:sz w:val="24"/>
          <w:szCs w:val="24"/>
        </w:rPr>
      </w:pPr>
      <w:r>
        <w:rPr>
          <w:sz w:val="24"/>
          <w:szCs w:val="24"/>
        </w:rPr>
        <w:t xml:space="preserve">V navazující diskusi zástupci </w:t>
      </w:r>
      <w:r w:rsidRPr="00847427">
        <w:rPr>
          <w:sz w:val="24"/>
          <w:szCs w:val="24"/>
        </w:rPr>
        <w:t>komory</w:t>
      </w:r>
      <w:r>
        <w:rPr>
          <w:sz w:val="24"/>
          <w:szCs w:val="24"/>
        </w:rPr>
        <w:t xml:space="preserve"> daňových poradců</w:t>
      </w:r>
      <w:r w:rsidRPr="00847427">
        <w:rPr>
          <w:sz w:val="24"/>
          <w:szCs w:val="24"/>
        </w:rPr>
        <w:t>, SP ČR a poradních a vědeckých institucí</w:t>
      </w:r>
      <w:r>
        <w:rPr>
          <w:sz w:val="24"/>
          <w:szCs w:val="24"/>
        </w:rPr>
        <w:t xml:space="preserve"> definovali </w:t>
      </w:r>
      <w:r>
        <w:rPr>
          <w:rFonts w:cs="Calibri"/>
          <w:sz w:val="24"/>
          <w:szCs w:val="24"/>
        </w:rPr>
        <w:t xml:space="preserve">3 zásadní </w:t>
      </w:r>
      <w:r w:rsidRPr="00A27DE3">
        <w:rPr>
          <w:rFonts w:cs="Calibri"/>
          <w:sz w:val="24"/>
          <w:szCs w:val="24"/>
        </w:rPr>
        <w:t>pilíře</w:t>
      </w:r>
      <w:r>
        <w:rPr>
          <w:rFonts w:cs="Calibri"/>
          <w:sz w:val="24"/>
          <w:szCs w:val="24"/>
        </w:rPr>
        <w:t>, kterými by se měla PSDO v budoucnu zabývat</w:t>
      </w:r>
      <w:r w:rsidRPr="00A27DE3">
        <w:rPr>
          <w:rFonts w:cs="Calibri"/>
          <w:sz w:val="24"/>
          <w:szCs w:val="24"/>
        </w:rPr>
        <w:t>:</w:t>
      </w:r>
    </w:p>
    <w:p w:rsidR="006F232C" w:rsidRPr="00077DBE" w:rsidRDefault="006F232C" w:rsidP="00077DBE">
      <w:pPr>
        <w:pStyle w:val="Odstavecseseznamem"/>
        <w:numPr>
          <w:ilvl w:val="3"/>
          <w:numId w:val="14"/>
        </w:numPr>
        <w:jc w:val="both"/>
        <w:rPr>
          <w:sz w:val="24"/>
          <w:szCs w:val="24"/>
        </w:rPr>
      </w:pPr>
      <w:r w:rsidRPr="00A27DE3">
        <w:rPr>
          <w:rFonts w:cs="Calibri"/>
          <w:sz w:val="24"/>
          <w:szCs w:val="24"/>
        </w:rPr>
        <w:t xml:space="preserve">1. politická podpora, </w:t>
      </w:r>
    </w:p>
    <w:p w:rsidR="006F232C" w:rsidRPr="00077DBE" w:rsidRDefault="006F232C" w:rsidP="00077DBE">
      <w:pPr>
        <w:pStyle w:val="Odstavecseseznamem"/>
        <w:numPr>
          <w:ilvl w:val="3"/>
          <w:numId w:val="14"/>
        </w:numPr>
        <w:jc w:val="both"/>
        <w:rPr>
          <w:sz w:val="24"/>
          <w:szCs w:val="24"/>
        </w:rPr>
      </w:pPr>
      <w:r w:rsidRPr="00A27DE3">
        <w:rPr>
          <w:rFonts w:cs="Calibri"/>
          <w:sz w:val="24"/>
          <w:szCs w:val="24"/>
        </w:rPr>
        <w:t>2. legislativní nastavení podpor</w:t>
      </w:r>
      <w:r>
        <w:rPr>
          <w:rFonts w:cs="Calibri"/>
          <w:sz w:val="24"/>
          <w:szCs w:val="24"/>
        </w:rPr>
        <w:t>y</w:t>
      </w:r>
      <w:r w:rsidRPr="00A27DE3">
        <w:rPr>
          <w:rFonts w:cs="Calibri"/>
          <w:sz w:val="24"/>
          <w:szCs w:val="24"/>
        </w:rPr>
        <w:t xml:space="preserve"> a s tím spojená změna zákona, </w:t>
      </w:r>
    </w:p>
    <w:p w:rsidR="006F232C" w:rsidRPr="00A27DE3" w:rsidRDefault="006F232C" w:rsidP="00077DBE">
      <w:pPr>
        <w:pStyle w:val="Odstavecseseznamem"/>
        <w:numPr>
          <w:ilvl w:val="3"/>
          <w:numId w:val="14"/>
        </w:numPr>
        <w:jc w:val="both"/>
        <w:rPr>
          <w:sz w:val="24"/>
          <w:szCs w:val="24"/>
        </w:rPr>
      </w:pPr>
      <w:r w:rsidRPr="00A27DE3">
        <w:rPr>
          <w:rFonts w:cs="Calibri"/>
          <w:sz w:val="24"/>
          <w:szCs w:val="24"/>
        </w:rPr>
        <w:t>3. nastavení parametrů sytému</w:t>
      </w:r>
      <w:r>
        <w:rPr>
          <w:rFonts w:cs="Calibri"/>
          <w:sz w:val="24"/>
          <w:szCs w:val="24"/>
        </w:rPr>
        <w:t>.</w:t>
      </w:r>
    </w:p>
    <w:p w:rsidR="006F232C" w:rsidRPr="00B11344" w:rsidRDefault="006F232C" w:rsidP="00B11344">
      <w:pPr>
        <w:pStyle w:val="Odstavecseseznamem"/>
        <w:numPr>
          <w:ilvl w:val="0"/>
          <w:numId w:val="14"/>
        </w:numPr>
        <w:rPr>
          <w:rFonts w:cs="Calibri"/>
          <w:sz w:val="24"/>
          <w:szCs w:val="24"/>
        </w:rPr>
      </w:pPr>
      <w:r w:rsidRPr="00B11344">
        <w:rPr>
          <w:rFonts w:cs="Calibri"/>
          <w:sz w:val="24"/>
          <w:szCs w:val="24"/>
        </w:rPr>
        <w:t xml:space="preserve">Panem ředitelem Manou bylo zdůrazněno, že by pracovní </w:t>
      </w:r>
      <w:r w:rsidR="00B11344">
        <w:rPr>
          <w:rFonts w:cs="Calibri"/>
          <w:sz w:val="24"/>
          <w:szCs w:val="24"/>
        </w:rPr>
        <w:t xml:space="preserve">skupina měla také zvážit otázku </w:t>
      </w:r>
      <w:r w:rsidR="00B11344" w:rsidRPr="00B11344">
        <w:rPr>
          <w:rFonts w:cs="Calibri"/>
          <w:sz w:val="24"/>
          <w:szCs w:val="24"/>
        </w:rPr>
        <w:t>potenciál</w:t>
      </w:r>
      <w:r w:rsidR="00B11344">
        <w:rPr>
          <w:rFonts w:cs="Calibri"/>
          <w:sz w:val="24"/>
          <w:szCs w:val="24"/>
        </w:rPr>
        <w:t>u</w:t>
      </w:r>
      <w:r w:rsidR="00B11344" w:rsidRPr="00B11344">
        <w:rPr>
          <w:rFonts w:cs="Calibri"/>
          <w:sz w:val="24"/>
          <w:szCs w:val="24"/>
        </w:rPr>
        <w:t xml:space="preserve"> firem v oblasti realizace </w:t>
      </w:r>
      <w:proofErr w:type="spellStart"/>
      <w:r w:rsidR="00B11344" w:rsidRPr="00B11344">
        <w:rPr>
          <w:rFonts w:cs="Calibri"/>
          <w:sz w:val="24"/>
          <w:szCs w:val="24"/>
        </w:rPr>
        <w:t>VaV</w:t>
      </w:r>
      <w:proofErr w:type="spellEnd"/>
      <w:r w:rsidR="00B11344" w:rsidRPr="00B11344">
        <w:rPr>
          <w:rFonts w:cs="Calibri"/>
          <w:sz w:val="24"/>
          <w:szCs w:val="24"/>
        </w:rPr>
        <w:t xml:space="preserve"> na území ČR.</w:t>
      </w:r>
    </w:p>
    <w:p w:rsidR="006F232C" w:rsidRPr="003E3CDF" w:rsidRDefault="006F232C" w:rsidP="003E3CDF">
      <w:pPr>
        <w:pStyle w:val="Odstavecseseznamem"/>
        <w:numPr>
          <w:ilvl w:val="0"/>
          <w:numId w:val="14"/>
        </w:numPr>
        <w:jc w:val="both"/>
        <w:rPr>
          <w:rFonts w:cs="Calibri"/>
          <w:b/>
          <w:sz w:val="24"/>
          <w:szCs w:val="24"/>
        </w:rPr>
      </w:pPr>
      <w:r w:rsidRPr="003E3CDF">
        <w:rPr>
          <w:rFonts w:cs="Calibri"/>
          <w:b/>
          <w:sz w:val="24"/>
          <w:szCs w:val="24"/>
        </w:rPr>
        <w:t>Závěrem se celkově PSDO shodla, že je potřeba politické zadání, a pak dle tohoto z</w:t>
      </w:r>
      <w:r>
        <w:rPr>
          <w:rFonts w:cs="Calibri"/>
          <w:b/>
          <w:sz w:val="24"/>
          <w:szCs w:val="24"/>
        </w:rPr>
        <w:t>adání pracovní skupina rozpracuje soubor opatření, která přispějí ke zvýšení</w:t>
      </w:r>
      <w:r w:rsidRPr="003E3CDF">
        <w:rPr>
          <w:rFonts w:cs="Calibri"/>
          <w:b/>
          <w:sz w:val="24"/>
          <w:szCs w:val="24"/>
        </w:rPr>
        <w:t xml:space="preserve"> využívání systému daňových odpočtů.</w:t>
      </w: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Default="006F232C" w:rsidP="00290BB3">
      <w:pPr>
        <w:spacing w:after="0" w:line="240" w:lineRule="auto"/>
        <w:jc w:val="both"/>
        <w:rPr>
          <w:rFonts w:cs="Calibri"/>
          <w:b/>
          <w:sz w:val="40"/>
          <w:szCs w:val="28"/>
        </w:rPr>
      </w:pPr>
    </w:p>
    <w:p w:rsidR="006F232C" w:rsidRPr="00290BB3" w:rsidRDefault="006F232C" w:rsidP="00290BB3">
      <w:pPr>
        <w:spacing w:after="0" w:line="240" w:lineRule="auto"/>
        <w:jc w:val="both"/>
        <w:rPr>
          <w:rFonts w:cs="Calibri"/>
          <w:b/>
          <w:sz w:val="40"/>
          <w:szCs w:val="28"/>
        </w:rPr>
      </w:pPr>
    </w:p>
    <w:p w:rsidR="006F232C" w:rsidRDefault="006F232C" w:rsidP="007550FC">
      <w:pPr>
        <w:pStyle w:val="Nadpis1"/>
        <w:spacing w:line="240" w:lineRule="auto"/>
        <w:ind w:left="426" w:hanging="426"/>
        <w:jc w:val="both"/>
        <w:rPr>
          <w:rFonts w:ascii="Calibri" w:hAnsi="Calibri" w:cs="Calibri"/>
          <w:b/>
          <w:sz w:val="40"/>
          <w:szCs w:val="28"/>
        </w:rPr>
      </w:pPr>
      <w:r w:rsidRPr="007550FC">
        <w:rPr>
          <w:rFonts w:ascii="Calibri" w:hAnsi="Calibri" w:cs="Calibri"/>
          <w:b/>
          <w:sz w:val="40"/>
          <w:szCs w:val="28"/>
        </w:rPr>
        <w:lastRenderedPageBreak/>
        <w:t>II. Pracovní a výstupová část zápisu</w:t>
      </w:r>
    </w:p>
    <w:p w:rsidR="006F232C" w:rsidRDefault="006F232C" w:rsidP="00B012FD"/>
    <w:p w:rsidR="006F232C" w:rsidRPr="0051237A" w:rsidRDefault="006F232C" w:rsidP="002D4F67">
      <w:pPr>
        <w:pStyle w:val="Nadpis1"/>
        <w:spacing w:line="240" w:lineRule="auto"/>
        <w:ind w:left="426" w:hanging="426"/>
        <w:jc w:val="both"/>
        <w:rPr>
          <w:rFonts w:ascii="Calibri" w:hAnsi="Calibri" w:cs="Calibri"/>
          <w:b/>
          <w:sz w:val="40"/>
          <w:szCs w:val="28"/>
        </w:rPr>
      </w:pPr>
      <w:r w:rsidRPr="0051237A">
        <w:rPr>
          <w:rFonts w:ascii="Calibri" w:hAnsi="Calibri" w:cs="Calibri"/>
          <w:b/>
          <w:sz w:val="40"/>
          <w:szCs w:val="28"/>
        </w:rPr>
        <w:t>Cíle PSDO 2022</w:t>
      </w:r>
    </w:p>
    <w:p w:rsidR="006F232C" w:rsidRDefault="006F232C" w:rsidP="00475BDA"/>
    <w:tbl>
      <w:tblPr>
        <w:tblW w:w="9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7"/>
        <w:gridCol w:w="6518"/>
        <w:gridCol w:w="1977"/>
      </w:tblGrid>
      <w:tr w:rsidR="006F232C" w:rsidRPr="009F63E9" w:rsidTr="009F63E9">
        <w:trPr>
          <w:trHeight w:val="465"/>
          <w:jc w:val="center"/>
        </w:trPr>
        <w:tc>
          <w:tcPr>
            <w:tcW w:w="1127" w:type="dxa"/>
            <w:shd w:val="clear" w:color="auto" w:fill="BDD6EE"/>
            <w:vAlign w:val="center"/>
          </w:tcPr>
          <w:p w:rsidR="006F232C" w:rsidRPr="009F63E9" w:rsidRDefault="006F232C" w:rsidP="009F63E9">
            <w:pPr>
              <w:spacing w:after="0" w:line="240" w:lineRule="auto"/>
              <w:jc w:val="center"/>
              <w:rPr>
                <w:b/>
                <w:sz w:val="24"/>
                <w:lang w:eastAsia="en-US"/>
              </w:rPr>
            </w:pPr>
            <w:r w:rsidRPr="009F63E9">
              <w:rPr>
                <w:b/>
                <w:sz w:val="24"/>
                <w:lang w:eastAsia="en-US"/>
              </w:rPr>
              <w:t>Pořadí</w:t>
            </w:r>
          </w:p>
        </w:tc>
        <w:tc>
          <w:tcPr>
            <w:tcW w:w="6518" w:type="dxa"/>
            <w:shd w:val="clear" w:color="auto" w:fill="BDD6EE"/>
            <w:vAlign w:val="center"/>
          </w:tcPr>
          <w:p w:rsidR="006F232C" w:rsidRPr="009F63E9" w:rsidRDefault="006F232C" w:rsidP="009F63E9">
            <w:pPr>
              <w:spacing w:after="0" w:line="240" w:lineRule="auto"/>
              <w:jc w:val="center"/>
              <w:rPr>
                <w:b/>
                <w:sz w:val="24"/>
                <w:lang w:eastAsia="en-US"/>
              </w:rPr>
            </w:pPr>
            <w:r w:rsidRPr="009F63E9">
              <w:rPr>
                <w:b/>
                <w:sz w:val="24"/>
                <w:lang w:eastAsia="en-US"/>
              </w:rPr>
              <w:t>Popis cíle</w:t>
            </w:r>
          </w:p>
        </w:tc>
        <w:tc>
          <w:tcPr>
            <w:tcW w:w="1977" w:type="dxa"/>
            <w:shd w:val="clear" w:color="auto" w:fill="BDD6EE"/>
            <w:vAlign w:val="center"/>
          </w:tcPr>
          <w:p w:rsidR="006F232C" w:rsidRPr="009F63E9" w:rsidRDefault="006F232C" w:rsidP="009F63E9">
            <w:pPr>
              <w:spacing w:after="0" w:line="240" w:lineRule="auto"/>
              <w:jc w:val="center"/>
              <w:rPr>
                <w:b/>
                <w:sz w:val="24"/>
                <w:lang w:eastAsia="en-US"/>
              </w:rPr>
            </w:pPr>
            <w:r w:rsidRPr="009F63E9">
              <w:rPr>
                <w:b/>
                <w:sz w:val="24"/>
                <w:lang w:eastAsia="en-US"/>
              </w:rPr>
              <w:t>Splněno</w:t>
            </w:r>
          </w:p>
        </w:tc>
      </w:tr>
      <w:tr w:rsidR="006F232C" w:rsidRPr="009F63E9" w:rsidTr="009F63E9">
        <w:trPr>
          <w:trHeight w:val="465"/>
          <w:jc w:val="center"/>
        </w:trPr>
        <w:tc>
          <w:tcPr>
            <w:tcW w:w="1127" w:type="dxa"/>
            <w:vAlign w:val="center"/>
          </w:tcPr>
          <w:p w:rsidR="006F232C" w:rsidRPr="009F63E9" w:rsidRDefault="006F232C" w:rsidP="009F63E9">
            <w:pPr>
              <w:spacing w:after="0" w:line="240" w:lineRule="auto"/>
              <w:jc w:val="center"/>
              <w:rPr>
                <w:b/>
                <w:sz w:val="24"/>
                <w:lang w:eastAsia="en-US"/>
              </w:rPr>
            </w:pPr>
            <w:r w:rsidRPr="009F63E9">
              <w:rPr>
                <w:b/>
                <w:sz w:val="24"/>
                <w:lang w:eastAsia="en-US"/>
              </w:rPr>
              <w:t>Cíl č. 1</w:t>
            </w:r>
          </w:p>
        </w:tc>
        <w:tc>
          <w:tcPr>
            <w:tcW w:w="6518" w:type="dxa"/>
            <w:vAlign w:val="center"/>
          </w:tcPr>
          <w:p w:rsidR="006F232C" w:rsidRPr="009F63E9" w:rsidRDefault="006F232C" w:rsidP="009F63E9">
            <w:pPr>
              <w:spacing w:after="0" w:line="240" w:lineRule="auto"/>
              <w:jc w:val="both"/>
              <w:rPr>
                <w:sz w:val="24"/>
                <w:lang w:eastAsia="en-US"/>
              </w:rPr>
            </w:pPr>
            <w:r w:rsidRPr="009F63E9">
              <w:rPr>
                <w:b/>
                <w:sz w:val="24"/>
                <w:lang w:eastAsia="en-US"/>
              </w:rPr>
              <w:t>Vyhodnocení důsledků změn</w:t>
            </w:r>
            <w:r w:rsidRPr="009F63E9">
              <w:rPr>
                <w:sz w:val="24"/>
                <w:lang w:eastAsia="en-US"/>
              </w:rPr>
              <w:t xml:space="preserve"> § 34 zákona o dani z příjmu a pokynu Ministerstva financí č. MF-17 k jednotnému postupu při uplatňování ustanovení § 34 odst. </w:t>
            </w:r>
            <w:smartTag w:uri="urn:schemas-microsoft-com:office:smarttags" w:element="metricconverter">
              <w:smartTagPr>
                <w:attr w:name="ProductID" w:val="4 a"/>
              </w:smartTagPr>
              <w:r w:rsidRPr="009F63E9">
                <w:rPr>
                  <w:sz w:val="24"/>
                  <w:lang w:eastAsia="en-US"/>
                </w:rPr>
                <w:t>4 a</w:t>
              </w:r>
            </w:smartTag>
            <w:r w:rsidRPr="009F63E9">
              <w:rPr>
                <w:sz w:val="24"/>
                <w:lang w:eastAsia="en-US"/>
              </w:rPr>
              <w:t xml:space="preserve"> 5 zákona č. 586/1992 Sb., o daních z příjmů, ve znění zákona č. 80/2019 Sb. a pozdějších předpisů uplatněných v roce </w:t>
            </w:r>
            <w:smartTag w:uri="urn:schemas-microsoft-com:office:smarttags" w:element="metricconverter">
              <w:smartTagPr>
                <w:attr w:name="ProductID" w:val="2019, a"/>
              </w:smartTagPr>
              <w:r w:rsidRPr="009F63E9">
                <w:rPr>
                  <w:sz w:val="24"/>
                  <w:lang w:eastAsia="en-US"/>
                </w:rPr>
                <w:t>2019, a</w:t>
              </w:r>
            </w:smartTag>
            <w:r w:rsidRPr="009F63E9">
              <w:rPr>
                <w:sz w:val="24"/>
                <w:lang w:eastAsia="en-US"/>
              </w:rPr>
              <w:t xml:space="preserve"> tyto informace doplnit o statistické údaje Českého statistického úřadu a OECD.</w:t>
            </w:r>
          </w:p>
        </w:tc>
        <w:tc>
          <w:tcPr>
            <w:tcW w:w="1977" w:type="dxa"/>
            <w:vAlign w:val="center"/>
          </w:tcPr>
          <w:p w:rsidR="006F232C" w:rsidRPr="009F63E9" w:rsidRDefault="006F232C" w:rsidP="009F63E9">
            <w:pPr>
              <w:spacing w:after="0" w:line="240" w:lineRule="auto"/>
              <w:jc w:val="center"/>
              <w:rPr>
                <w:b/>
                <w:sz w:val="24"/>
                <w:lang w:eastAsia="en-US"/>
              </w:rPr>
            </w:pPr>
            <w:r w:rsidRPr="009F63E9">
              <w:rPr>
                <w:b/>
                <w:sz w:val="24"/>
                <w:lang w:eastAsia="en-US"/>
              </w:rPr>
              <w:t>Částečně splněno</w:t>
            </w:r>
          </w:p>
        </w:tc>
      </w:tr>
      <w:tr w:rsidR="006F232C" w:rsidRPr="009F63E9" w:rsidTr="009F63E9">
        <w:trPr>
          <w:trHeight w:val="465"/>
          <w:jc w:val="center"/>
        </w:trPr>
        <w:tc>
          <w:tcPr>
            <w:tcW w:w="1127" w:type="dxa"/>
            <w:vAlign w:val="center"/>
          </w:tcPr>
          <w:p w:rsidR="006F232C" w:rsidRPr="009F63E9" w:rsidRDefault="006F232C" w:rsidP="009F63E9">
            <w:pPr>
              <w:spacing w:after="0" w:line="240" w:lineRule="auto"/>
              <w:jc w:val="center"/>
              <w:rPr>
                <w:b/>
                <w:sz w:val="24"/>
                <w:lang w:eastAsia="en-US"/>
              </w:rPr>
            </w:pPr>
            <w:r w:rsidRPr="009F63E9">
              <w:rPr>
                <w:b/>
                <w:sz w:val="24"/>
                <w:lang w:eastAsia="en-US"/>
              </w:rPr>
              <w:t>Cíl č. 2</w:t>
            </w:r>
          </w:p>
        </w:tc>
        <w:tc>
          <w:tcPr>
            <w:tcW w:w="6518" w:type="dxa"/>
            <w:vAlign w:val="center"/>
          </w:tcPr>
          <w:p w:rsidR="006F232C" w:rsidRPr="009F63E9" w:rsidRDefault="006F232C" w:rsidP="009F63E9">
            <w:pPr>
              <w:spacing w:after="0" w:line="240" w:lineRule="auto"/>
              <w:jc w:val="both"/>
              <w:rPr>
                <w:sz w:val="24"/>
                <w:lang w:eastAsia="en-US"/>
              </w:rPr>
            </w:pPr>
            <w:r w:rsidRPr="009F63E9">
              <w:rPr>
                <w:b/>
                <w:sz w:val="24"/>
                <w:lang w:eastAsia="en-US"/>
              </w:rPr>
              <w:t xml:space="preserve">Zdůvodnění snížení využívání daňových odpočtů na </w:t>
            </w:r>
            <w:proofErr w:type="spellStart"/>
            <w:r w:rsidRPr="009F63E9">
              <w:rPr>
                <w:b/>
                <w:sz w:val="24"/>
                <w:lang w:eastAsia="en-US"/>
              </w:rPr>
              <w:t>VaV</w:t>
            </w:r>
            <w:proofErr w:type="spellEnd"/>
            <w:r w:rsidRPr="009F63E9">
              <w:rPr>
                <w:sz w:val="24"/>
                <w:lang w:eastAsia="en-US"/>
              </w:rPr>
              <w:t xml:space="preserve"> a snížení počtu subjektů využívajících tuto nepřímou podporu a </w:t>
            </w:r>
            <w:r w:rsidRPr="009F63E9">
              <w:rPr>
                <w:b/>
                <w:sz w:val="24"/>
                <w:lang w:eastAsia="en-US"/>
              </w:rPr>
              <w:t>návrhy řešení vedoucích k zlepšení stavu.</w:t>
            </w:r>
          </w:p>
        </w:tc>
        <w:tc>
          <w:tcPr>
            <w:tcW w:w="1977" w:type="dxa"/>
            <w:vAlign w:val="center"/>
          </w:tcPr>
          <w:p w:rsidR="006F232C" w:rsidRPr="009F63E9" w:rsidRDefault="006F232C" w:rsidP="009F63E9">
            <w:pPr>
              <w:spacing w:after="0" w:line="240" w:lineRule="auto"/>
              <w:jc w:val="center"/>
              <w:rPr>
                <w:b/>
                <w:sz w:val="24"/>
                <w:lang w:eastAsia="en-US"/>
              </w:rPr>
            </w:pPr>
            <w:r w:rsidRPr="009F63E9">
              <w:rPr>
                <w:b/>
                <w:sz w:val="24"/>
                <w:lang w:eastAsia="en-US"/>
              </w:rPr>
              <w:t>V řešení</w:t>
            </w:r>
          </w:p>
        </w:tc>
      </w:tr>
      <w:tr w:rsidR="006F232C" w:rsidRPr="009F63E9" w:rsidTr="009F63E9">
        <w:trPr>
          <w:trHeight w:val="465"/>
          <w:jc w:val="center"/>
        </w:trPr>
        <w:tc>
          <w:tcPr>
            <w:tcW w:w="1127" w:type="dxa"/>
            <w:vAlign w:val="center"/>
          </w:tcPr>
          <w:p w:rsidR="006F232C" w:rsidRPr="009F63E9" w:rsidRDefault="006F232C" w:rsidP="009F63E9">
            <w:pPr>
              <w:spacing w:after="0" w:line="240" w:lineRule="auto"/>
              <w:jc w:val="center"/>
              <w:rPr>
                <w:b/>
                <w:sz w:val="24"/>
                <w:lang w:eastAsia="en-US"/>
              </w:rPr>
            </w:pPr>
            <w:r w:rsidRPr="009F63E9">
              <w:rPr>
                <w:b/>
                <w:sz w:val="24"/>
                <w:lang w:eastAsia="en-US"/>
              </w:rPr>
              <w:t>Cíl č. 3</w:t>
            </w:r>
          </w:p>
        </w:tc>
        <w:tc>
          <w:tcPr>
            <w:tcW w:w="6518" w:type="dxa"/>
            <w:vAlign w:val="center"/>
          </w:tcPr>
          <w:p w:rsidR="006F232C" w:rsidRPr="009F63E9" w:rsidRDefault="006F232C" w:rsidP="009F63E9">
            <w:pPr>
              <w:spacing w:after="0" w:line="240" w:lineRule="auto"/>
              <w:jc w:val="both"/>
              <w:rPr>
                <w:sz w:val="24"/>
                <w:lang w:eastAsia="en-US"/>
              </w:rPr>
            </w:pPr>
            <w:r w:rsidRPr="009F63E9">
              <w:rPr>
                <w:b/>
                <w:sz w:val="24"/>
                <w:lang w:eastAsia="en-US"/>
              </w:rPr>
              <w:t>Určení zásadních statistických ukazatelů</w:t>
            </w:r>
            <w:r w:rsidRPr="009F63E9">
              <w:rPr>
                <w:sz w:val="24"/>
                <w:lang w:eastAsia="en-US"/>
              </w:rPr>
              <w:t>, které bude nutné sledovat pro vyhodnocení vývoje tohoto druhu nepřímé podpory v dalších letech.</w:t>
            </w:r>
          </w:p>
        </w:tc>
        <w:tc>
          <w:tcPr>
            <w:tcW w:w="1977" w:type="dxa"/>
            <w:vAlign w:val="center"/>
          </w:tcPr>
          <w:p w:rsidR="006F232C" w:rsidRPr="009F63E9" w:rsidRDefault="006F232C" w:rsidP="009F63E9">
            <w:pPr>
              <w:spacing w:after="0" w:line="240" w:lineRule="auto"/>
              <w:jc w:val="center"/>
              <w:rPr>
                <w:b/>
                <w:sz w:val="24"/>
                <w:lang w:eastAsia="en-US"/>
              </w:rPr>
            </w:pPr>
            <w:r w:rsidRPr="009F63E9">
              <w:rPr>
                <w:b/>
                <w:sz w:val="24"/>
                <w:lang w:eastAsia="en-US"/>
              </w:rPr>
              <w:t>Splněno</w:t>
            </w:r>
          </w:p>
        </w:tc>
      </w:tr>
      <w:tr w:rsidR="006F232C" w:rsidRPr="009F63E9" w:rsidTr="009F63E9">
        <w:trPr>
          <w:trHeight w:val="465"/>
          <w:jc w:val="center"/>
        </w:trPr>
        <w:tc>
          <w:tcPr>
            <w:tcW w:w="1127" w:type="dxa"/>
            <w:vAlign w:val="center"/>
          </w:tcPr>
          <w:p w:rsidR="006F232C" w:rsidRPr="009F63E9" w:rsidRDefault="006F232C" w:rsidP="009F63E9">
            <w:pPr>
              <w:spacing w:after="0" w:line="240" w:lineRule="auto"/>
              <w:jc w:val="center"/>
              <w:rPr>
                <w:b/>
                <w:sz w:val="24"/>
                <w:lang w:eastAsia="en-US"/>
              </w:rPr>
            </w:pPr>
            <w:r w:rsidRPr="009F63E9">
              <w:rPr>
                <w:b/>
                <w:sz w:val="24"/>
                <w:lang w:eastAsia="en-US"/>
              </w:rPr>
              <w:t>Cíl č. 4</w:t>
            </w:r>
          </w:p>
        </w:tc>
        <w:tc>
          <w:tcPr>
            <w:tcW w:w="6518" w:type="dxa"/>
            <w:vAlign w:val="center"/>
          </w:tcPr>
          <w:p w:rsidR="006F232C" w:rsidRPr="009F63E9" w:rsidRDefault="006F232C" w:rsidP="009F63E9">
            <w:pPr>
              <w:spacing w:after="0" w:line="240" w:lineRule="auto"/>
              <w:jc w:val="both"/>
              <w:rPr>
                <w:sz w:val="24"/>
                <w:lang w:eastAsia="en-US"/>
              </w:rPr>
            </w:pPr>
            <w:r w:rsidRPr="009F63E9">
              <w:rPr>
                <w:b/>
                <w:sz w:val="24"/>
                <w:lang w:eastAsia="en-US"/>
              </w:rPr>
              <w:t>Zmapování finančních nástrojů</w:t>
            </w:r>
            <w:r w:rsidRPr="009F63E9">
              <w:rPr>
                <w:sz w:val="24"/>
                <w:lang w:eastAsia="en-US"/>
              </w:rPr>
              <w:t xml:space="preserve"> využitelných pro podporu </w:t>
            </w:r>
            <w:proofErr w:type="spellStart"/>
            <w:r w:rsidRPr="009F63E9">
              <w:rPr>
                <w:sz w:val="24"/>
                <w:lang w:eastAsia="en-US"/>
              </w:rPr>
              <w:t>VaV</w:t>
            </w:r>
            <w:proofErr w:type="spellEnd"/>
            <w:r w:rsidRPr="009F63E9">
              <w:rPr>
                <w:sz w:val="24"/>
                <w:lang w:eastAsia="en-US"/>
              </w:rPr>
              <w:t>.</w:t>
            </w:r>
          </w:p>
        </w:tc>
        <w:tc>
          <w:tcPr>
            <w:tcW w:w="1977" w:type="dxa"/>
            <w:vAlign w:val="center"/>
          </w:tcPr>
          <w:p w:rsidR="006F232C" w:rsidRPr="009F63E9" w:rsidRDefault="006F232C" w:rsidP="009F63E9">
            <w:pPr>
              <w:spacing w:after="0" w:line="240" w:lineRule="auto"/>
              <w:jc w:val="center"/>
              <w:rPr>
                <w:sz w:val="24"/>
                <w:lang w:eastAsia="en-US"/>
              </w:rPr>
            </w:pPr>
            <w:r w:rsidRPr="009F63E9">
              <w:rPr>
                <w:b/>
                <w:sz w:val="24"/>
                <w:lang w:eastAsia="en-US"/>
              </w:rPr>
              <w:t>V řešení</w:t>
            </w:r>
          </w:p>
        </w:tc>
      </w:tr>
      <w:tr w:rsidR="006F232C" w:rsidRPr="009F63E9" w:rsidTr="009F63E9">
        <w:trPr>
          <w:trHeight w:val="465"/>
          <w:jc w:val="center"/>
        </w:trPr>
        <w:tc>
          <w:tcPr>
            <w:tcW w:w="1127" w:type="dxa"/>
            <w:vAlign w:val="center"/>
          </w:tcPr>
          <w:p w:rsidR="006F232C" w:rsidRPr="009F63E9" w:rsidRDefault="006F232C" w:rsidP="009F63E9">
            <w:pPr>
              <w:spacing w:after="0" w:line="240" w:lineRule="auto"/>
              <w:jc w:val="center"/>
              <w:rPr>
                <w:b/>
                <w:sz w:val="24"/>
                <w:lang w:eastAsia="en-US"/>
              </w:rPr>
            </w:pPr>
            <w:r w:rsidRPr="009F63E9">
              <w:rPr>
                <w:b/>
                <w:sz w:val="24"/>
                <w:lang w:eastAsia="en-US"/>
              </w:rPr>
              <w:t>Cíl č. 5</w:t>
            </w:r>
          </w:p>
        </w:tc>
        <w:tc>
          <w:tcPr>
            <w:tcW w:w="6518" w:type="dxa"/>
            <w:vAlign w:val="center"/>
          </w:tcPr>
          <w:p w:rsidR="006F232C" w:rsidRPr="009F63E9" w:rsidRDefault="006F232C" w:rsidP="009F63E9">
            <w:pPr>
              <w:spacing w:after="0" w:line="240" w:lineRule="auto"/>
              <w:jc w:val="both"/>
              <w:rPr>
                <w:b/>
                <w:sz w:val="24"/>
                <w:lang w:eastAsia="en-US"/>
              </w:rPr>
            </w:pPr>
            <w:r w:rsidRPr="009F63E9">
              <w:rPr>
                <w:b/>
                <w:sz w:val="24"/>
                <w:lang w:eastAsia="en-US"/>
              </w:rPr>
              <w:t xml:space="preserve">Identifikování pilotních finančních nástrojů pro </w:t>
            </w:r>
            <w:proofErr w:type="spellStart"/>
            <w:r w:rsidRPr="009F63E9">
              <w:rPr>
                <w:b/>
                <w:sz w:val="24"/>
                <w:lang w:eastAsia="en-US"/>
              </w:rPr>
              <w:t>VaV</w:t>
            </w:r>
            <w:proofErr w:type="spellEnd"/>
          </w:p>
        </w:tc>
        <w:tc>
          <w:tcPr>
            <w:tcW w:w="1977" w:type="dxa"/>
            <w:vAlign w:val="center"/>
          </w:tcPr>
          <w:p w:rsidR="006F232C" w:rsidRPr="009F63E9" w:rsidRDefault="006F232C" w:rsidP="009F63E9">
            <w:pPr>
              <w:spacing w:after="0" w:line="240" w:lineRule="auto"/>
              <w:jc w:val="center"/>
              <w:rPr>
                <w:sz w:val="24"/>
                <w:lang w:eastAsia="en-US"/>
              </w:rPr>
            </w:pPr>
            <w:r w:rsidRPr="009F63E9">
              <w:rPr>
                <w:b/>
                <w:sz w:val="24"/>
                <w:lang w:eastAsia="en-US"/>
              </w:rPr>
              <w:t>Splněno</w:t>
            </w:r>
          </w:p>
        </w:tc>
      </w:tr>
    </w:tbl>
    <w:p w:rsidR="006F232C" w:rsidRDefault="006F232C" w:rsidP="00475BDA">
      <w:pPr>
        <w:rPr>
          <w:i/>
          <w:sz w:val="24"/>
        </w:rPr>
      </w:pPr>
    </w:p>
    <w:p w:rsidR="006F232C" w:rsidRDefault="006F232C" w:rsidP="00475BDA">
      <w:pPr>
        <w:rPr>
          <w:i/>
          <w:sz w:val="24"/>
        </w:rPr>
      </w:pPr>
    </w:p>
    <w:p w:rsidR="006F232C" w:rsidRDefault="006F232C" w:rsidP="00475BDA">
      <w:pPr>
        <w:rPr>
          <w:i/>
          <w:sz w:val="24"/>
        </w:rPr>
      </w:pPr>
    </w:p>
    <w:p w:rsidR="006F232C" w:rsidRDefault="006F232C" w:rsidP="00475BDA">
      <w:pPr>
        <w:rPr>
          <w:i/>
          <w:sz w:val="24"/>
        </w:rPr>
      </w:pPr>
    </w:p>
    <w:p w:rsidR="006F232C" w:rsidRDefault="006F232C" w:rsidP="00475BDA">
      <w:pPr>
        <w:rPr>
          <w:i/>
          <w:sz w:val="24"/>
        </w:rPr>
      </w:pPr>
    </w:p>
    <w:p w:rsidR="00EC0D52" w:rsidRDefault="00EC0D52" w:rsidP="00475BDA">
      <w:pPr>
        <w:rPr>
          <w:i/>
          <w:sz w:val="24"/>
        </w:rPr>
      </w:pPr>
    </w:p>
    <w:p w:rsidR="00EC0D52" w:rsidRDefault="00EC0D52" w:rsidP="00475BDA">
      <w:pPr>
        <w:rPr>
          <w:i/>
          <w:sz w:val="24"/>
        </w:rPr>
      </w:pPr>
    </w:p>
    <w:p w:rsidR="00EC0D52" w:rsidRDefault="00EC0D52" w:rsidP="00475BDA">
      <w:pPr>
        <w:rPr>
          <w:i/>
          <w:sz w:val="24"/>
        </w:rPr>
      </w:pPr>
    </w:p>
    <w:p w:rsidR="00EC0D52" w:rsidRDefault="00EC0D52" w:rsidP="00475BDA">
      <w:pPr>
        <w:rPr>
          <w:i/>
          <w:sz w:val="24"/>
        </w:rPr>
      </w:pPr>
    </w:p>
    <w:p w:rsidR="00EC0D52" w:rsidRDefault="00EC0D52" w:rsidP="00475BDA">
      <w:pPr>
        <w:rPr>
          <w:i/>
          <w:sz w:val="24"/>
        </w:rPr>
      </w:pPr>
    </w:p>
    <w:p w:rsidR="00EC0D52" w:rsidRDefault="00EC0D52" w:rsidP="00475BDA">
      <w:pPr>
        <w:rPr>
          <w:i/>
          <w:sz w:val="24"/>
        </w:rPr>
      </w:pPr>
    </w:p>
    <w:p w:rsidR="006F232C" w:rsidRDefault="006F232C" w:rsidP="00475BDA">
      <w:pPr>
        <w:rPr>
          <w:i/>
          <w:sz w:val="24"/>
        </w:rPr>
      </w:pPr>
    </w:p>
    <w:p w:rsidR="006F232C" w:rsidRPr="00706001" w:rsidRDefault="006F232C" w:rsidP="00C16E26">
      <w:pPr>
        <w:spacing w:after="0"/>
        <w:rPr>
          <w:i/>
          <w:sz w:val="16"/>
        </w:rPr>
      </w:pPr>
    </w:p>
    <w:p w:rsidR="006F232C" w:rsidRDefault="006F232C" w:rsidP="00C23FCB">
      <w:pPr>
        <w:pStyle w:val="Nadpis1"/>
        <w:spacing w:before="0" w:line="240" w:lineRule="auto"/>
        <w:ind w:left="1560" w:hanging="1560"/>
        <w:jc w:val="both"/>
        <w:rPr>
          <w:rFonts w:ascii="Calibri" w:hAnsi="Calibri" w:cs="Calibri"/>
          <w:b/>
          <w:sz w:val="40"/>
          <w:szCs w:val="28"/>
        </w:rPr>
      </w:pPr>
      <w:r w:rsidRPr="0085710D">
        <w:rPr>
          <w:rFonts w:ascii="Calibri" w:hAnsi="Calibri" w:cs="Calibri"/>
          <w:b/>
          <w:sz w:val="40"/>
          <w:szCs w:val="28"/>
        </w:rPr>
        <w:lastRenderedPageBreak/>
        <w:t>Cíl č. 1 – Vyhodnocení d</w:t>
      </w:r>
      <w:r>
        <w:rPr>
          <w:rFonts w:ascii="Calibri" w:hAnsi="Calibri" w:cs="Calibri"/>
          <w:b/>
          <w:sz w:val="40"/>
          <w:szCs w:val="28"/>
        </w:rPr>
        <w:t xml:space="preserve">ůsledků změn uplatněných v roce </w:t>
      </w:r>
      <w:r w:rsidRPr="0085710D">
        <w:rPr>
          <w:rFonts w:ascii="Calibri" w:hAnsi="Calibri" w:cs="Calibri"/>
          <w:b/>
          <w:sz w:val="40"/>
          <w:szCs w:val="28"/>
        </w:rPr>
        <w:t>2019</w:t>
      </w:r>
    </w:p>
    <w:p w:rsidR="006F232C" w:rsidRPr="00706001" w:rsidRDefault="006F232C" w:rsidP="00D529A8"/>
    <w:p w:rsidR="006F232C" w:rsidRDefault="006F232C" w:rsidP="00FF75A5">
      <w:pPr>
        <w:pStyle w:val="Nadpis1"/>
        <w:numPr>
          <w:ilvl w:val="0"/>
          <w:numId w:val="2"/>
        </w:numPr>
        <w:spacing w:after="120" w:line="240" w:lineRule="auto"/>
        <w:ind w:left="426" w:hanging="284"/>
        <w:jc w:val="both"/>
        <w:rPr>
          <w:rFonts w:ascii="Calibri" w:hAnsi="Calibri" w:cs="Calibri"/>
          <w:b/>
          <w:sz w:val="28"/>
          <w:szCs w:val="28"/>
        </w:rPr>
      </w:pPr>
      <w:r w:rsidRPr="002C3253">
        <w:rPr>
          <w:rFonts w:ascii="Calibri" w:hAnsi="Calibri" w:cs="Calibri"/>
          <w:b/>
          <w:sz w:val="28"/>
          <w:szCs w:val="28"/>
        </w:rPr>
        <w:t>Prezentace statistických dat ČSÚ</w:t>
      </w:r>
    </w:p>
    <w:p w:rsidR="006F232C" w:rsidRPr="0061764F" w:rsidRDefault="006F232C" w:rsidP="0061764F">
      <w:pPr>
        <w:spacing w:after="240"/>
        <w:ind w:left="567" w:hanging="142"/>
        <w:rPr>
          <w:b/>
          <w:sz w:val="24"/>
          <w:szCs w:val="24"/>
          <w:u w:val="single"/>
        </w:rPr>
      </w:pPr>
      <w:r w:rsidRPr="0061764F">
        <w:rPr>
          <w:b/>
          <w:sz w:val="24"/>
          <w:szCs w:val="24"/>
          <w:u w:val="single"/>
        </w:rPr>
        <w:t>Zásadní údaje z prezentace</w:t>
      </w:r>
      <w:r w:rsidRPr="00A275E1">
        <w:rPr>
          <w:b/>
          <w:sz w:val="24"/>
          <w:szCs w:val="24"/>
        </w:rPr>
        <w:t>:</w:t>
      </w:r>
    </w:p>
    <w:p w:rsidR="006F232C" w:rsidRPr="0061764F" w:rsidRDefault="006F232C" w:rsidP="00E414AA">
      <w:pPr>
        <w:pStyle w:val="Odstavecseseznamem"/>
        <w:numPr>
          <w:ilvl w:val="0"/>
          <w:numId w:val="6"/>
        </w:numPr>
        <w:jc w:val="both"/>
        <w:rPr>
          <w:sz w:val="24"/>
        </w:rPr>
      </w:pPr>
      <w:r w:rsidRPr="00F3636D">
        <w:rPr>
          <w:b/>
          <w:sz w:val="24"/>
        </w:rPr>
        <w:t xml:space="preserve">Meziročně klesá počet firem o cca 100 </w:t>
      </w:r>
      <w:r>
        <w:rPr>
          <w:b/>
          <w:sz w:val="24"/>
        </w:rPr>
        <w:t>subjektů</w:t>
      </w:r>
      <w:r>
        <w:rPr>
          <w:sz w:val="24"/>
        </w:rPr>
        <w:t xml:space="preserve"> v systému daňových odpočtů. Od roku 2015 dochází k velkému poklesu počtu firem uplatňujících daňový odpočet na </w:t>
      </w:r>
      <w:proofErr w:type="spellStart"/>
      <w:r>
        <w:rPr>
          <w:sz w:val="24"/>
        </w:rPr>
        <w:t>VaV</w:t>
      </w:r>
      <w:proofErr w:type="spellEnd"/>
      <w:r>
        <w:rPr>
          <w:sz w:val="24"/>
        </w:rPr>
        <w:t xml:space="preserve">. </w:t>
      </w:r>
      <w:r>
        <w:rPr>
          <w:b/>
          <w:sz w:val="24"/>
        </w:rPr>
        <w:t>Od roku 2015 klesl počet firem o 40 %.</w:t>
      </w:r>
    </w:p>
    <w:p w:rsidR="006F232C" w:rsidRDefault="006F232C" w:rsidP="00E414AA">
      <w:pPr>
        <w:pStyle w:val="Odstavecseseznamem"/>
        <w:numPr>
          <w:ilvl w:val="0"/>
          <w:numId w:val="6"/>
        </w:numPr>
        <w:jc w:val="both"/>
        <w:rPr>
          <w:sz w:val="24"/>
        </w:rPr>
      </w:pPr>
      <w:r>
        <w:rPr>
          <w:sz w:val="24"/>
        </w:rPr>
        <w:t xml:space="preserve">Z celkového množství firem, které </w:t>
      </w:r>
      <w:r w:rsidRPr="00F3636D">
        <w:rPr>
          <w:b/>
          <w:sz w:val="24"/>
        </w:rPr>
        <w:t xml:space="preserve">provádí </w:t>
      </w:r>
      <w:proofErr w:type="spellStart"/>
      <w:r w:rsidRPr="00F3636D">
        <w:rPr>
          <w:b/>
          <w:sz w:val="24"/>
        </w:rPr>
        <w:t>VaV</w:t>
      </w:r>
      <w:proofErr w:type="spellEnd"/>
      <w:r w:rsidRPr="00F3636D">
        <w:rPr>
          <w:b/>
          <w:sz w:val="24"/>
        </w:rPr>
        <w:t xml:space="preserve"> využívá tento nástroj pouze 30 % z možných</w:t>
      </w:r>
      <w:r>
        <w:rPr>
          <w:sz w:val="24"/>
        </w:rPr>
        <w:t xml:space="preserve"> (celkový počet firem provádějících </w:t>
      </w:r>
      <w:proofErr w:type="spellStart"/>
      <w:r>
        <w:rPr>
          <w:sz w:val="24"/>
        </w:rPr>
        <w:t>VaV</w:t>
      </w:r>
      <w:proofErr w:type="spellEnd"/>
      <w:r>
        <w:rPr>
          <w:sz w:val="24"/>
        </w:rPr>
        <w:t xml:space="preserve"> na území ČR je 2 600 – 2 800 subjektů).</w:t>
      </w:r>
    </w:p>
    <w:p w:rsidR="006F232C" w:rsidRPr="000F7803" w:rsidRDefault="006F232C" w:rsidP="000F7803">
      <w:pPr>
        <w:pStyle w:val="Odstavecseseznamem"/>
        <w:numPr>
          <w:ilvl w:val="0"/>
          <w:numId w:val="6"/>
        </w:numPr>
        <w:jc w:val="both"/>
        <w:rPr>
          <w:sz w:val="24"/>
        </w:rPr>
      </w:pPr>
      <w:r w:rsidRPr="000F7803">
        <w:rPr>
          <w:sz w:val="24"/>
        </w:rPr>
        <w:t xml:space="preserve">Daňový odpočet má dopad na </w:t>
      </w:r>
      <w:r w:rsidRPr="000F7803">
        <w:rPr>
          <w:b/>
          <w:sz w:val="24"/>
        </w:rPr>
        <w:t>státní rozpočet pouze průměrně 0,2 %</w:t>
      </w:r>
      <w:r w:rsidRPr="000F7803">
        <w:rPr>
          <w:sz w:val="24"/>
        </w:rPr>
        <w:t xml:space="preserve"> z celkových příjmů státního </w:t>
      </w:r>
      <w:r w:rsidRPr="005A0087">
        <w:rPr>
          <w:sz w:val="24"/>
        </w:rPr>
        <w:t>rozpočtu a v posledních letech klesl k 0,1 %.</w:t>
      </w:r>
      <w:r>
        <w:rPr>
          <w:sz w:val="24"/>
        </w:rPr>
        <w:t xml:space="preserve"> </w:t>
      </w:r>
      <w:r w:rsidRPr="000F7803">
        <w:rPr>
          <w:sz w:val="24"/>
        </w:rPr>
        <w:t>Výše uplatněného odpočtu v roce 2020 byla 11,1 mld. Kč, ale rostla výše odloženého</w:t>
      </w:r>
      <w:r>
        <w:rPr>
          <w:sz w:val="24"/>
        </w:rPr>
        <w:t xml:space="preserve"> uplatnění do výše 8,7 mld. Kč. </w:t>
      </w:r>
      <w:r w:rsidRPr="000F7803">
        <w:rPr>
          <w:b/>
          <w:sz w:val="24"/>
        </w:rPr>
        <w:t>Průměrně je uplatněna výše odpočtů ročně 13 mld. Kč.</w:t>
      </w:r>
    </w:p>
    <w:p w:rsidR="006F232C" w:rsidRDefault="006F232C" w:rsidP="00E414AA">
      <w:pPr>
        <w:pStyle w:val="Odstavecseseznamem"/>
        <w:numPr>
          <w:ilvl w:val="0"/>
          <w:numId w:val="6"/>
        </w:numPr>
        <w:jc w:val="both"/>
        <w:rPr>
          <w:sz w:val="24"/>
        </w:rPr>
      </w:pPr>
      <w:r>
        <w:rPr>
          <w:sz w:val="24"/>
        </w:rPr>
        <w:t xml:space="preserve">Tuto podporu využívají ve </w:t>
      </w:r>
      <w:r w:rsidRPr="00F3636D">
        <w:rPr>
          <w:b/>
          <w:sz w:val="24"/>
        </w:rPr>
        <w:t>větší míře velké firmy a se zahraničním vlastnictvím.</w:t>
      </w:r>
    </w:p>
    <w:p w:rsidR="006F232C" w:rsidRDefault="006F232C" w:rsidP="00E414AA">
      <w:pPr>
        <w:pStyle w:val="Odstavecseseznamem"/>
        <w:numPr>
          <w:ilvl w:val="0"/>
          <w:numId w:val="6"/>
        </w:numPr>
        <w:jc w:val="both"/>
        <w:rPr>
          <w:sz w:val="24"/>
        </w:rPr>
      </w:pPr>
      <w:r>
        <w:rPr>
          <w:sz w:val="24"/>
        </w:rPr>
        <w:t xml:space="preserve">Firmy v ČR investují do </w:t>
      </w:r>
      <w:proofErr w:type="spellStart"/>
      <w:r>
        <w:rPr>
          <w:sz w:val="24"/>
        </w:rPr>
        <w:t>VaV</w:t>
      </w:r>
      <w:proofErr w:type="spellEnd"/>
      <w:r>
        <w:rPr>
          <w:sz w:val="24"/>
        </w:rPr>
        <w:t xml:space="preserve"> 14 % - 17 % ze svých celkových výdajů.</w:t>
      </w:r>
    </w:p>
    <w:p w:rsidR="006F232C" w:rsidRPr="0061764F" w:rsidRDefault="006F232C" w:rsidP="00E414AA">
      <w:pPr>
        <w:pStyle w:val="Odstavecseseznamem"/>
        <w:numPr>
          <w:ilvl w:val="0"/>
          <w:numId w:val="6"/>
        </w:numPr>
        <w:jc w:val="both"/>
        <w:rPr>
          <w:sz w:val="24"/>
        </w:rPr>
      </w:pPr>
      <w:r>
        <w:rPr>
          <w:sz w:val="24"/>
        </w:rPr>
        <w:t xml:space="preserve">V posledních letech využívají firmy </w:t>
      </w:r>
      <w:r w:rsidRPr="00F3636D">
        <w:rPr>
          <w:b/>
          <w:sz w:val="24"/>
        </w:rPr>
        <w:t>více přímou podporu než nepřímou</w:t>
      </w:r>
      <w:r w:rsidRPr="0061764F">
        <w:rPr>
          <w:b/>
          <w:sz w:val="24"/>
        </w:rPr>
        <w:t>.</w:t>
      </w:r>
    </w:p>
    <w:p w:rsidR="006F232C" w:rsidRPr="0061764F" w:rsidRDefault="006F232C" w:rsidP="00E414AA">
      <w:pPr>
        <w:pStyle w:val="Odstavecseseznamem"/>
        <w:numPr>
          <w:ilvl w:val="0"/>
          <w:numId w:val="6"/>
        </w:numPr>
        <w:jc w:val="both"/>
        <w:rPr>
          <w:sz w:val="24"/>
        </w:rPr>
      </w:pPr>
      <w:r w:rsidRPr="0061764F">
        <w:rPr>
          <w:sz w:val="24"/>
        </w:rPr>
        <w:t>Ve srovnání</w:t>
      </w:r>
      <w:r>
        <w:rPr>
          <w:sz w:val="24"/>
        </w:rPr>
        <w:t xml:space="preserve"> např.</w:t>
      </w:r>
      <w:r w:rsidRPr="0061764F">
        <w:rPr>
          <w:sz w:val="24"/>
        </w:rPr>
        <w:t xml:space="preserve"> s Rakouskem v poměru k HDP je využíván </w:t>
      </w:r>
      <w:r w:rsidRPr="0061764F">
        <w:rPr>
          <w:b/>
          <w:sz w:val="24"/>
        </w:rPr>
        <w:t>daňový odpočet v ČR 4 krát méně.</w:t>
      </w:r>
    </w:p>
    <w:p w:rsidR="006F232C" w:rsidRDefault="006F232C" w:rsidP="00FF75A5">
      <w:pPr>
        <w:pStyle w:val="Nadpis1"/>
        <w:numPr>
          <w:ilvl w:val="0"/>
          <w:numId w:val="2"/>
        </w:numPr>
        <w:spacing w:after="120" w:line="240" w:lineRule="auto"/>
        <w:ind w:left="426" w:hanging="284"/>
        <w:jc w:val="both"/>
        <w:rPr>
          <w:rFonts w:ascii="Calibri" w:hAnsi="Calibri" w:cs="Calibri"/>
          <w:b/>
          <w:sz w:val="28"/>
          <w:szCs w:val="28"/>
        </w:rPr>
      </w:pPr>
      <w:r w:rsidRPr="002C3253">
        <w:rPr>
          <w:rFonts w:ascii="Calibri" w:hAnsi="Calibri" w:cs="Calibri"/>
          <w:b/>
          <w:sz w:val="28"/>
          <w:szCs w:val="28"/>
        </w:rPr>
        <w:t xml:space="preserve">Oznámení </w:t>
      </w:r>
      <w:r>
        <w:rPr>
          <w:rFonts w:ascii="Calibri" w:hAnsi="Calibri" w:cs="Calibri"/>
          <w:b/>
          <w:sz w:val="28"/>
          <w:szCs w:val="28"/>
        </w:rPr>
        <w:t xml:space="preserve">o </w:t>
      </w:r>
      <w:r w:rsidRPr="002C3253">
        <w:rPr>
          <w:rFonts w:ascii="Calibri" w:hAnsi="Calibri" w:cs="Calibri"/>
          <w:b/>
          <w:sz w:val="28"/>
          <w:szCs w:val="28"/>
        </w:rPr>
        <w:t xml:space="preserve">zahájení realizace projektu </w:t>
      </w:r>
      <w:proofErr w:type="spellStart"/>
      <w:r w:rsidRPr="002C3253">
        <w:rPr>
          <w:rFonts w:ascii="Calibri" w:hAnsi="Calibri" w:cs="Calibri"/>
          <w:b/>
          <w:sz w:val="28"/>
          <w:szCs w:val="28"/>
        </w:rPr>
        <w:t>VaV</w:t>
      </w:r>
      <w:proofErr w:type="spellEnd"/>
    </w:p>
    <w:p w:rsidR="006F232C" w:rsidRDefault="006F232C" w:rsidP="00E707CE">
      <w:pPr>
        <w:ind w:left="851"/>
        <w:jc w:val="both"/>
        <w:rPr>
          <w:sz w:val="24"/>
          <w:szCs w:val="24"/>
        </w:rPr>
      </w:pPr>
      <w:r w:rsidRPr="00734D0C">
        <w:rPr>
          <w:sz w:val="24"/>
          <w:szCs w:val="24"/>
        </w:rPr>
        <w:t>PSDO</w:t>
      </w:r>
      <w:r>
        <w:rPr>
          <w:sz w:val="24"/>
          <w:szCs w:val="24"/>
        </w:rPr>
        <w:t xml:space="preserve"> 2022</w:t>
      </w:r>
      <w:r w:rsidRPr="00734D0C">
        <w:rPr>
          <w:sz w:val="24"/>
          <w:szCs w:val="24"/>
        </w:rPr>
        <w:t xml:space="preserve"> zhodnotila, že </w:t>
      </w:r>
      <w:r>
        <w:rPr>
          <w:sz w:val="24"/>
          <w:szCs w:val="24"/>
        </w:rPr>
        <w:t>„</w:t>
      </w:r>
      <w:r w:rsidRPr="00734D0C">
        <w:rPr>
          <w:sz w:val="24"/>
          <w:szCs w:val="24"/>
        </w:rPr>
        <w:t xml:space="preserve">Oznámení o zahájení realizace projektu </w:t>
      </w:r>
      <w:proofErr w:type="spellStart"/>
      <w:r w:rsidRPr="00734D0C">
        <w:rPr>
          <w:sz w:val="24"/>
          <w:szCs w:val="24"/>
        </w:rPr>
        <w:t>VaV</w:t>
      </w:r>
      <w:proofErr w:type="spellEnd"/>
      <w:r>
        <w:rPr>
          <w:sz w:val="24"/>
          <w:szCs w:val="24"/>
        </w:rPr>
        <w:t>“ podávané na </w:t>
      </w:r>
      <w:r w:rsidRPr="00734D0C">
        <w:rPr>
          <w:sz w:val="24"/>
          <w:szCs w:val="24"/>
        </w:rPr>
        <w:t>finanční správu splnilo svůj účel a nebylo vyhodnoceno ze strany firem jako byrokratická zátěž. Zavedené oznámení neškodí v tomto systému.</w:t>
      </w:r>
      <w:r>
        <w:rPr>
          <w:sz w:val="24"/>
          <w:szCs w:val="24"/>
        </w:rPr>
        <w:t xml:space="preserve"> Bylo potvrzeno, že oznámení odstranilo nejasnosti </w:t>
      </w:r>
      <w:r w:rsidRPr="005A0087">
        <w:rPr>
          <w:sz w:val="24"/>
          <w:szCs w:val="24"/>
        </w:rPr>
        <w:t>určení data zahájení</w:t>
      </w:r>
      <w:r>
        <w:rPr>
          <w:sz w:val="24"/>
          <w:szCs w:val="24"/>
        </w:rPr>
        <w:t xml:space="preserve"> projektu.</w:t>
      </w:r>
    </w:p>
    <w:p w:rsidR="006F232C" w:rsidRDefault="006F232C" w:rsidP="00E707CE">
      <w:pPr>
        <w:ind w:left="851"/>
        <w:jc w:val="both"/>
        <w:rPr>
          <w:sz w:val="24"/>
          <w:szCs w:val="24"/>
        </w:rPr>
      </w:pPr>
      <w:r>
        <w:rPr>
          <w:sz w:val="24"/>
          <w:szCs w:val="24"/>
        </w:rPr>
        <w:t>Přiřaditelnost avíz k projektům a také, jak projekty budou popsány zpětně poplatníkem vzhledem k avízu, toto ukážou až kontroly po roce 2019, a tak nyní ještě není možné zhodnotit faktický přínos tohoto oznámení.</w:t>
      </w:r>
    </w:p>
    <w:p w:rsidR="006F232C" w:rsidRPr="00734D0C" w:rsidRDefault="006F232C" w:rsidP="00E707CE">
      <w:pPr>
        <w:ind w:left="851"/>
        <w:jc w:val="both"/>
        <w:rPr>
          <w:sz w:val="24"/>
          <w:szCs w:val="24"/>
        </w:rPr>
      </w:pPr>
      <w:r w:rsidRPr="00504512">
        <w:rPr>
          <w:sz w:val="24"/>
          <w:szCs w:val="24"/>
        </w:rPr>
        <w:t>Poplatníci podali  2512 avíz v roce 2020, přičemž tento</w:t>
      </w:r>
      <w:r>
        <w:rPr>
          <w:sz w:val="24"/>
          <w:szCs w:val="24"/>
        </w:rPr>
        <w:t xml:space="preserve"> fakt dle GFŘ znamená pouze to, že </w:t>
      </w:r>
      <w:r w:rsidRPr="00504512">
        <w:rPr>
          <w:sz w:val="24"/>
          <w:szCs w:val="24"/>
        </w:rPr>
        <w:t xml:space="preserve">firmy mají ideu/záměr začít projekt </w:t>
      </w:r>
      <w:proofErr w:type="spellStart"/>
      <w:r w:rsidRPr="00504512">
        <w:rPr>
          <w:sz w:val="24"/>
          <w:szCs w:val="24"/>
        </w:rPr>
        <w:t>VaV</w:t>
      </w:r>
      <w:proofErr w:type="spellEnd"/>
      <w:r w:rsidRPr="00504512">
        <w:rPr>
          <w:sz w:val="24"/>
          <w:szCs w:val="24"/>
        </w:rPr>
        <w:t xml:space="preserve"> realizovat (nebo oznámili projekty pokračující již z předchozích let – viz přechodné ustanovení </w:t>
      </w:r>
      <w:proofErr w:type="spellStart"/>
      <w:r w:rsidRPr="00504512">
        <w:rPr>
          <w:sz w:val="24"/>
          <w:szCs w:val="24"/>
        </w:rPr>
        <w:t>čl</w:t>
      </w:r>
      <w:proofErr w:type="spellEnd"/>
      <w:r w:rsidRPr="00504512">
        <w:rPr>
          <w:sz w:val="24"/>
          <w:szCs w:val="24"/>
        </w:rPr>
        <w:t xml:space="preserve"> II. Bod 14 zákona č. 80/20</w:t>
      </w:r>
      <w:r>
        <w:rPr>
          <w:sz w:val="24"/>
          <w:szCs w:val="24"/>
        </w:rPr>
        <w:t>19 Sb.). Počet </w:t>
      </w:r>
      <w:r w:rsidRPr="00504512">
        <w:rPr>
          <w:sz w:val="24"/>
          <w:szCs w:val="24"/>
        </w:rPr>
        <w:t>oznámení nemusí  nutně znamenat, že projekt bude/byl reálně zahájen, ani nelze predikovat, zda náklady z oznámených projektů poplatník v budoucnu uplatní</w:t>
      </w:r>
      <w:r>
        <w:rPr>
          <w:sz w:val="24"/>
          <w:szCs w:val="24"/>
        </w:rPr>
        <w:t xml:space="preserve">. </w:t>
      </w:r>
    </w:p>
    <w:p w:rsidR="006F232C" w:rsidRPr="00E707CE" w:rsidRDefault="006F232C" w:rsidP="00FF75A5">
      <w:pPr>
        <w:pStyle w:val="Nadpis1"/>
        <w:numPr>
          <w:ilvl w:val="0"/>
          <w:numId w:val="2"/>
        </w:numPr>
        <w:spacing w:after="120" w:line="240" w:lineRule="auto"/>
        <w:ind w:left="426" w:hanging="284"/>
        <w:jc w:val="both"/>
        <w:rPr>
          <w:rFonts w:ascii="Calibri" w:hAnsi="Calibri" w:cs="Calibri"/>
          <w:b/>
          <w:sz w:val="28"/>
          <w:szCs w:val="28"/>
        </w:rPr>
      </w:pPr>
      <w:r w:rsidRPr="00E707CE">
        <w:rPr>
          <w:rFonts w:ascii="Calibri" w:hAnsi="Calibri" w:cs="Calibri"/>
          <w:b/>
          <w:sz w:val="28"/>
          <w:szCs w:val="28"/>
        </w:rPr>
        <w:t>Vyhodnocení úspěšnosti realizovaných změn ze strany PSDO 2022</w:t>
      </w:r>
    </w:p>
    <w:p w:rsidR="006F232C" w:rsidRPr="00E707CE" w:rsidRDefault="006F232C" w:rsidP="00E414AA">
      <w:pPr>
        <w:pStyle w:val="Odstavecseseznamem"/>
        <w:numPr>
          <w:ilvl w:val="0"/>
          <w:numId w:val="7"/>
        </w:numPr>
        <w:jc w:val="both"/>
        <w:rPr>
          <w:sz w:val="24"/>
        </w:rPr>
      </w:pPr>
      <w:r w:rsidRPr="00E707CE">
        <w:rPr>
          <w:sz w:val="24"/>
        </w:rPr>
        <w:t>Aktuální dopad daňových odpočtů na státní rozpočet je cca 2 mld. Kč, přičemž odhadovaný dopad při zavádění daňového odpočtu</w:t>
      </w:r>
      <w:r>
        <w:rPr>
          <w:sz w:val="24"/>
        </w:rPr>
        <w:t xml:space="preserve"> v roce 2005</w:t>
      </w:r>
      <w:r w:rsidRPr="00E707CE">
        <w:rPr>
          <w:sz w:val="24"/>
        </w:rPr>
        <w:t xml:space="preserve"> byl mnohonásobně </w:t>
      </w:r>
      <w:r w:rsidRPr="00E707CE">
        <w:rPr>
          <w:sz w:val="24"/>
        </w:rPr>
        <w:lastRenderedPageBreak/>
        <w:t xml:space="preserve">vyšší. Nejedná se </w:t>
      </w:r>
      <w:r>
        <w:rPr>
          <w:sz w:val="24"/>
        </w:rPr>
        <w:t>tedy</w:t>
      </w:r>
      <w:r w:rsidRPr="00E707CE">
        <w:rPr>
          <w:sz w:val="24"/>
        </w:rPr>
        <w:t xml:space="preserve"> o významnou daňovou „ztrátu“</w:t>
      </w:r>
      <w:r>
        <w:rPr>
          <w:sz w:val="24"/>
        </w:rPr>
        <w:t xml:space="preserve"> státního rozpočtu, především v </w:t>
      </w:r>
      <w:r w:rsidRPr="00E707CE">
        <w:rPr>
          <w:sz w:val="24"/>
        </w:rPr>
        <w:t>kontextu přínosů</w:t>
      </w:r>
      <w:r>
        <w:rPr>
          <w:sz w:val="24"/>
        </w:rPr>
        <w:t xml:space="preserve"> pro ekonomiku, stát</w:t>
      </w:r>
      <w:r w:rsidRPr="00E707CE">
        <w:rPr>
          <w:sz w:val="24"/>
        </w:rPr>
        <w:t xml:space="preserve"> a</w:t>
      </w:r>
      <w:r>
        <w:rPr>
          <w:sz w:val="24"/>
        </w:rPr>
        <w:t xml:space="preserve"> z pohledu</w:t>
      </w:r>
      <w:r w:rsidRPr="00E707CE">
        <w:rPr>
          <w:sz w:val="24"/>
        </w:rPr>
        <w:t xml:space="preserve"> mezinárodního srovnání.</w:t>
      </w:r>
    </w:p>
    <w:p w:rsidR="006F232C" w:rsidRPr="00E707CE" w:rsidRDefault="006F232C" w:rsidP="00E414AA">
      <w:pPr>
        <w:pStyle w:val="Odstavecseseznamem"/>
        <w:numPr>
          <w:ilvl w:val="0"/>
          <w:numId w:val="7"/>
        </w:numPr>
        <w:jc w:val="both"/>
        <w:rPr>
          <w:sz w:val="24"/>
        </w:rPr>
      </w:pPr>
      <w:r w:rsidRPr="00E707CE">
        <w:rPr>
          <w:sz w:val="24"/>
        </w:rPr>
        <w:t>Výše daňových odpočtů (součet uplatněných a odložených) v posledních letech stagnuje, ale počet subjektů uplatňujících daňový odpočet klesá.</w:t>
      </w:r>
    </w:p>
    <w:p w:rsidR="006F232C" w:rsidRDefault="006F232C" w:rsidP="00C76C72">
      <w:pPr>
        <w:pStyle w:val="Odstavecseseznamem"/>
        <w:numPr>
          <w:ilvl w:val="0"/>
          <w:numId w:val="7"/>
        </w:numPr>
        <w:jc w:val="both"/>
        <w:rPr>
          <w:sz w:val="24"/>
        </w:rPr>
      </w:pPr>
      <w:r>
        <w:rPr>
          <w:sz w:val="24"/>
        </w:rPr>
        <w:t>Dle sdělení zástupců SP ČR a poradenských společností u</w:t>
      </w:r>
      <w:r w:rsidRPr="00E707CE">
        <w:rPr>
          <w:sz w:val="24"/>
        </w:rPr>
        <w:t xml:space="preserve"> řady firem, především malých a středních, přet</w:t>
      </w:r>
      <w:r>
        <w:rPr>
          <w:sz w:val="24"/>
        </w:rPr>
        <w:t>rvává setrvačný názor – obava z </w:t>
      </w:r>
      <w:r w:rsidRPr="00E707CE">
        <w:rPr>
          <w:sz w:val="24"/>
        </w:rPr>
        <w:t>průběhu daňových kontrol,</w:t>
      </w:r>
      <w:r>
        <w:rPr>
          <w:sz w:val="24"/>
        </w:rPr>
        <w:t xml:space="preserve"> a složitosti projektové dokumentace, což dle jejich názoru vede k </w:t>
      </w:r>
      <w:r w:rsidRPr="00E707CE">
        <w:rPr>
          <w:sz w:val="24"/>
        </w:rPr>
        <w:t>nevyužívání daňových odpočtů.</w:t>
      </w:r>
      <w:r>
        <w:rPr>
          <w:sz w:val="24"/>
        </w:rPr>
        <w:t xml:space="preserve"> Nicméně s tímto GFŘ nesouhlasí a uvádí: </w:t>
      </w:r>
    </w:p>
    <w:p w:rsidR="006F232C" w:rsidRPr="00C76C72" w:rsidRDefault="006F232C" w:rsidP="00C76C72">
      <w:pPr>
        <w:pStyle w:val="Odstavecseseznamem"/>
        <w:numPr>
          <w:ilvl w:val="1"/>
          <w:numId w:val="7"/>
        </w:numPr>
        <w:jc w:val="both"/>
        <w:rPr>
          <w:sz w:val="24"/>
        </w:rPr>
      </w:pPr>
      <w:r w:rsidRPr="00C76C72">
        <w:rPr>
          <w:sz w:val="24"/>
        </w:rPr>
        <w:t xml:space="preserve">I když mezi roky 2019 a 2020 meziročně poklesl počet firem, které v daných letech uplatnily odečet výdajů na </w:t>
      </w:r>
      <w:proofErr w:type="spellStart"/>
      <w:r w:rsidRPr="00C76C72">
        <w:rPr>
          <w:sz w:val="24"/>
        </w:rPr>
        <w:t>VaV</w:t>
      </w:r>
      <w:proofErr w:type="spellEnd"/>
      <w:r w:rsidRPr="00C76C72">
        <w:rPr>
          <w:sz w:val="24"/>
        </w:rPr>
        <w:t xml:space="preserve"> o 111 firem, zároveň o stejné číslo vzrostl počet firem, které si převedly tyto výdaje pouze k pozdějšímu daňovému uplatnění.  Díky tomu v roce 2020 využilo celkem 1 110 soukromých firem systém daňové podpory </w:t>
      </w:r>
      <w:proofErr w:type="spellStart"/>
      <w:r w:rsidRPr="00C76C72">
        <w:rPr>
          <w:sz w:val="24"/>
        </w:rPr>
        <w:t>VaV</w:t>
      </w:r>
      <w:proofErr w:type="spellEnd"/>
      <w:r w:rsidRPr="00C76C72">
        <w:rPr>
          <w:sz w:val="24"/>
        </w:rPr>
        <w:t xml:space="preserve">, a to ať už tím, že si výdaje na své </w:t>
      </w:r>
      <w:proofErr w:type="spellStart"/>
      <w:r w:rsidRPr="00C76C72">
        <w:rPr>
          <w:sz w:val="24"/>
        </w:rPr>
        <w:t>VaV</w:t>
      </w:r>
      <w:proofErr w:type="spellEnd"/>
      <w:r w:rsidRPr="00C76C72">
        <w:rPr>
          <w:sz w:val="24"/>
        </w:rPr>
        <w:t xml:space="preserve"> projekty uplatnily ke snížení základu daně z příjmu v daném roce nebo je převedly k možnému uplatnění do dalších letech, tj. stejně jako v roce 2019.</w:t>
      </w:r>
    </w:p>
    <w:p w:rsidR="006F232C" w:rsidRPr="00C76C72" w:rsidRDefault="006F232C" w:rsidP="00C76C72">
      <w:pPr>
        <w:pStyle w:val="Odstavecseseznamem"/>
        <w:numPr>
          <w:ilvl w:val="1"/>
          <w:numId w:val="7"/>
        </w:numPr>
        <w:jc w:val="both"/>
        <w:rPr>
          <w:sz w:val="24"/>
        </w:rPr>
      </w:pPr>
      <w:r w:rsidRPr="00C76C72">
        <w:rPr>
          <w:sz w:val="24"/>
        </w:rPr>
        <w:t xml:space="preserve">Soukromé firmy si v roce 2020 dále převedly do dalších let náklady na své výzkumné a vývojové projekty pro daňové účely – neuplatněné výdaje na </w:t>
      </w:r>
      <w:proofErr w:type="spellStart"/>
      <w:r w:rsidRPr="00C76C72">
        <w:rPr>
          <w:sz w:val="24"/>
        </w:rPr>
        <w:t>VaV</w:t>
      </w:r>
      <w:proofErr w:type="spellEnd"/>
      <w:r w:rsidRPr="00C76C72">
        <w:rPr>
          <w:sz w:val="24"/>
        </w:rPr>
        <w:t xml:space="preserve"> - v celkové výši 8,7 mld. Kč. Je to o 2,5 mld. Kč více než v roce předchozím.</w:t>
      </w:r>
    </w:p>
    <w:p w:rsidR="006F232C" w:rsidRPr="00C76C72" w:rsidRDefault="006F232C" w:rsidP="00C76C72">
      <w:pPr>
        <w:pStyle w:val="Odstavecseseznamem"/>
        <w:numPr>
          <w:ilvl w:val="1"/>
          <w:numId w:val="7"/>
        </w:numPr>
        <w:jc w:val="both"/>
        <w:rPr>
          <w:sz w:val="24"/>
        </w:rPr>
      </w:pPr>
      <w:r w:rsidRPr="00C76C72">
        <w:rPr>
          <w:sz w:val="24"/>
        </w:rPr>
        <w:t>Z výše uvedeného vyplývá, že pracovní skupina řeší meziroční pokles poplatníků v období  2019/2020 v počtu desítek a meziroč</w:t>
      </w:r>
      <w:r>
        <w:rPr>
          <w:sz w:val="24"/>
        </w:rPr>
        <w:t>ní pokles „vzniklého odpočtu“ v </w:t>
      </w:r>
      <w:r w:rsidRPr="00C76C72">
        <w:rPr>
          <w:sz w:val="24"/>
        </w:rPr>
        <w:t>daných letech cca 250 milionů.</w:t>
      </w:r>
    </w:p>
    <w:p w:rsidR="006F232C" w:rsidRPr="00E707CE" w:rsidRDefault="006F232C" w:rsidP="00E414AA">
      <w:pPr>
        <w:pStyle w:val="Odstavecseseznamem"/>
        <w:numPr>
          <w:ilvl w:val="0"/>
          <w:numId w:val="7"/>
        </w:numPr>
        <w:jc w:val="both"/>
        <w:rPr>
          <w:sz w:val="24"/>
        </w:rPr>
      </w:pPr>
      <w:r w:rsidRPr="00E707CE">
        <w:rPr>
          <w:sz w:val="24"/>
        </w:rPr>
        <w:t xml:space="preserve">Obecně lze z diskuse konstatovat, že příčiny nevyužití možnosti daňových odpočtů jsou odlišné u malých a středních podniků a u velkých podniků. </w:t>
      </w:r>
    </w:p>
    <w:p w:rsidR="006F232C" w:rsidRPr="00E707CE" w:rsidRDefault="006F232C" w:rsidP="00C76C72">
      <w:pPr>
        <w:pStyle w:val="Odstavecseseznamem"/>
        <w:numPr>
          <w:ilvl w:val="0"/>
          <w:numId w:val="7"/>
        </w:numPr>
        <w:jc w:val="both"/>
        <w:rPr>
          <w:sz w:val="24"/>
        </w:rPr>
      </w:pPr>
      <w:r w:rsidRPr="00C76C72">
        <w:rPr>
          <w:sz w:val="24"/>
        </w:rPr>
        <w:t xml:space="preserve">Dle sdělení zástupců SP ČR a poradenských společností </w:t>
      </w:r>
      <w:r>
        <w:rPr>
          <w:sz w:val="24"/>
        </w:rPr>
        <w:t>je p</w:t>
      </w:r>
      <w:r w:rsidRPr="00E707CE">
        <w:rPr>
          <w:sz w:val="24"/>
        </w:rPr>
        <w:t>ro podniky velkým problémem délka trvání daňové kontroly, která dle zkuše</w:t>
      </w:r>
      <w:r>
        <w:rPr>
          <w:sz w:val="24"/>
        </w:rPr>
        <w:t>ností může trvat až 2,5 roku. U </w:t>
      </w:r>
      <w:r w:rsidRPr="00E707CE">
        <w:rPr>
          <w:sz w:val="24"/>
        </w:rPr>
        <w:t>dotací jsou kontroly jasnější a rychlejší.</w:t>
      </w:r>
      <w:r w:rsidRPr="00C76C72">
        <w:rPr>
          <w:sz w:val="24"/>
        </w:rPr>
        <w:t xml:space="preserve"> </w:t>
      </w:r>
      <w:r>
        <w:rPr>
          <w:sz w:val="24"/>
        </w:rPr>
        <w:t>Nicméně s tímto GFŘ nesouhlasí a připomínkuje, že délka trvání kontrol souvisí i se součinností DS.</w:t>
      </w:r>
    </w:p>
    <w:p w:rsidR="006F232C" w:rsidRPr="00E707CE" w:rsidRDefault="006F232C" w:rsidP="00E414AA">
      <w:pPr>
        <w:pStyle w:val="Odstavecseseznamem"/>
        <w:numPr>
          <w:ilvl w:val="0"/>
          <w:numId w:val="7"/>
        </w:numPr>
        <w:jc w:val="both"/>
        <w:rPr>
          <w:sz w:val="24"/>
        </w:rPr>
      </w:pPr>
      <w:r w:rsidRPr="00E707CE">
        <w:rPr>
          <w:sz w:val="24"/>
        </w:rPr>
        <w:t>Vliv na (ne)využití daňových odpočtů má i nabídk</w:t>
      </w:r>
      <w:r>
        <w:rPr>
          <w:sz w:val="24"/>
        </w:rPr>
        <w:t>a přímé (dotační) podpory, tzn. </w:t>
      </w:r>
      <w:r w:rsidRPr="00E707CE">
        <w:rPr>
          <w:sz w:val="24"/>
        </w:rPr>
        <w:t>množství finančních prostředků v čase. Jde například o vyhlášení veřejné soutěže ve více programech v jednom roce, nebo 2 výzev v jednom roce např. v programu Aplikace Ministerstva průmyslu a obchodu.</w:t>
      </w:r>
    </w:p>
    <w:p w:rsidR="006F232C" w:rsidRPr="00E707CE" w:rsidRDefault="006F232C" w:rsidP="002852AC">
      <w:pPr>
        <w:pStyle w:val="Odstavecseseznamem"/>
        <w:numPr>
          <w:ilvl w:val="0"/>
          <w:numId w:val="7"/>
        </w:numPr>
        <w:jc w:val="both"/>
        <w:rPr>
          <w:sz w:val="24"/>
        </w:rPr>
      </w:pPr>
      <w:r>
        <w:rPr>
          <w:sz w:val="24"/>
        </w:rPr>
        <w:t>Dle zástupce Komory daňových poradců a zástupců SP ČR, poradenských firem d</w:t>
      </w:r>
      <w:r w:rsidRPr="00E707CE">
        <w:rPr>
          <w:sz w:val="24"/>
        </w:rPr>
        <w:t>aňové kontroly</w:t>
      </w:r>
      <w:r>
        <w:rPr>
          <w:sz w:val="24"/>
        </w:rPr>
        <w:t xml:space="preserve"> u</w:t>
      </w:r>
      <w:r w:rsidRPr="00E707CE">
        <w:rPr>
          <w:sz w:val="24"/>
        </w:rPr>
        <w:t xml:space="preserve"> uplatňovaných daňových odpočtů příliš lpí na formálních náležitostech, přičemž jejich postup je však podpořen judikaturou soudních rozhodnutí.</w:t>
      </w:r>
      <w:r>
        <w:rPr>
          <w:sz w:val="24"/>
        </w:rPr>
        <w:t xml:space="preserve"> Kontroly se tak mnohdy k posuzování </w:t>
      </w:r>
      <w:proofErr w:type="spellStart"/>
      <w:r>
        <w:rPr>
          <w:sz w:val="24"/>
        </w:rPr>
        <w:t>VaV</w:t>
      </w:r>
      <w:proofErr w:type="spellEnd"/>
      <w:r>
        <w:rPr>
          <w:sz w:val="24"/>
        </w:rPr>
        <w:t xml:space="preserve"> kvůli formálním nedostatkům ani nedostanou. S</w:t>
      </w:r>
      <w:r w:rsidRPr="002852AC">
        <w:rPr>
          <w:sz w:val="24"/>
        </w:rPr>
        <w:t xml:space="preserve"> tímto GFŘ nesouhlasí</w:t>
      </w:r>
      <w:r>
        <w:rPr>
          <w:sz w:val="24"/>
        </w:rPr>
        <w:t>.</w:t>
      </w:r>
    </w:p>
    <w:p w:rsidR="006F232C" w:rsidRPr="00E707CE" w:rsidRDefault="006F232C" w:rsidP="00E414AA">
      <w:pPr>
        <w:pStyle w:val="Odstavecseseznamem"/>
        <w:numPr>
          <w:ilvl w:val="0"/>
          <w:numId w:val="7"/>
        </w:numPr>
        <w:jc w:val="both"/>
        <w:rPr>
          <w:sz w:val="24"/>
        </w:rPr>
      </w:pPr>
      <w:r w:rsidRPr="00E707CE">
        <w:rPr>
          <w:sz w:val="24"/>
        </w:rPr>
        <w:t xml:space="preserve">Jak zástupci Generálního finančního ředitelství, tak i zástupci soukromé sféry se shodují, že zavedený prvek oznamovací povinnosti o záměru realizovat projekt </w:t>
      </w:r>
      <w:proofErr w:type="spellStart"/>
      <w:r w:rsidRPr="00E707CE">
        <w:rPr>
          <w:sz w:val="24"/>
        </w:rPr>
        <w:t>VaV</w:t>
      </w:r>
      <w:proofErr w:type="spellEnd"/>
      <w:r w:rsidRPr="00E707CE">
        <w:rPr>
          <w:sz w:val="24"/>
        </w:rPr>
        <w:t xml:space="preserve"> není překážkou pro uplatnění daňového odpočtu a přinesl jistotu pro subjekty uplatňující daňový odpočet i finanční správu v prokazování zahájení řešení projektu, respektive data uplatnění nákladů. Kontroly FÚ se však ještě nezaměřily na projekty podle tohoto nového systému.</w:t>
      </w:r>
    </w:p>
    <w:p w:rsidR="006F232C" w:rsidRDefault="006F232C" w:rsidP="00E414AA">
      <w:pPr>
        <w:pStyle w:val="Odstavecseseznamem"/>
        <w:numPr>
          <w:ilvl w:val="0"/>
          <w:numId w:val="7"/>
        </w:numPr>
        <w:jc w:val="both"/>
        <w:rPr>
          <w:sz w:val="24"/>
        </w:rPr>
      </w:pPr>
      <w:r w:rsidRPr="00E707CE">
        <w:rPr>
          <w:sz w:val="24"/>
        </w:rPr>
        <w:lastRenderedPageBreak/>
        <w:t xml:space="preserve">Je zapotřebí docílit toho, aby daňový odpočet na </w:t>
      </w:r>
      <w:proofErr w:type="spellStart"/>
      <w:r w:rsidRPr="00E707CE">
        <w:rPr>
          <w:sz w:val="24"/>
        </w:rPr>
        <w:t>VaV</w:t>
      </w:r>
      <w:proofErr w:type="spellEnd"/>
      <w:r w:rsidRPr="00E707CE">
        <w:rPr>
          <w:sz w:val="24"/>
        </w:rPr>
        <w:t xml:space="preserve"> využívalo více firem. Všeobecně byl vysloven souhlas s uspořádáním konference, (kulatého stolu, semináře) pro zlepšení vnímání nepřímé podpory u poplatníků, </w:t>
      </w:r>
      <w:r>
        <w:rPr>
          <w:sz w:val="24"/>
        </w:rPr>
        <w:t xml:space="preserve">společné výměně a jednotě informací, </w:t>
      </w:r>
      <w:r w:rsidRPr="00E707CE">
        <w:rPr>
          <w:sz w:val="24"/>
        </w:rPr>
        <w:t xml:space="preserve">což by mohlo napomoci k tomu, aby daňový odpočet na </w:t>
      </w:r>
      <w:proofErr w:type="spellStart"/>
      <w:r w:rsidRPr="00E707CE">
        <w:rPr>
          <w:sz w:val="24"/>
        </w:rPr>
        <w:t>VaV</w:t>
      </w:r>
      <w:proofErr w:type="spellEnd"/>
      <w:r w:rsidRPr="00E707CE">
        <w:rPr>
          <w:sz w:val="24"/>
        </w:rPr>
        <w:t xml:space="preserve"> využívalo více </w:t>
      </w:r>
      <w:r>
        <w:rPr>
          <w:sz w:val="24"/>
        </w:rPr>
        <w:t xml:space="preserve">firem. Důležité je také </w:t>
      </w:r>
      <w:r w:rsidRPr="00E707CE">
        <w:rPr>
          <w:sz w:val="24"/>
        </w:rPr>
        <w:t xml:space="preserve"> deklarac</w:t>
      </w:r>
      <w:r>
        <w:rPr>
          <w:sz w:val="24"/>
        </w:rPr>
        <w:t>e</w:t>
      </w:r>
      <w:r w:rsidRPr="00E707CE">
        <w:rPr>
          <w:sz w:val="24"/>
        </w:rPr>
        <w:t xml:space="preserve"> státu, že nástroj je žádoucí.</w:t>
      </w:r>
    </w:p>
    <w:p w:rsidR="006F232C" w:rsidRPr="00E707CE" w:rsidRDefault="006F232C" w:rsidP="00C17220">
      <w:pPr>
        <w:pStyle w:val="Odstavecseseznamem"/>
        <w:ind w:left="1146"/>
        <w:jc w:val="both"/>
        <w:rPr>
          <w:sz w:val="24"/>
        </w:rPr>
      </w:pP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0"/>
        <w:gridCol w:w="3208"/>
        <w:gridCol w:w="2353"/>
        <w:gridCol w:w="2353"/>
      </w:tblGrid>
      <w:tr w:rsidR="006F232C" w:rsidRPr="009F63E9" w:rsidTr="009F63E9">
        <w:trPr>
          <w:trHeight w:val="330"/>
          <w:jc w:val="center"/>
        </w:trPr>
        <w:tc>
          <w:tcPr>
            <w:tcW w:w="1690"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POŘADÍ</w:t>
            </w:r>
          </w:p>
        </w:tc>
        <w:tc>
          <w:tcPr>
            <w:tcW w:w="3208"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ÚKOLY k CÍLI č. 1</w:t>
            </w:r>
          </w:p>
        </w:tc>
        <w:tc>
          <w:tcPr>
            <w:tcW w:w="2353"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KDO VYPRACUJE</w:t>
            </w:r>
          </w:p>
        </w:tc>
        <w:tc>
          <w:tcPr>
            <w:tcW w:w="2353"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STAV ÚKOLU</w:t>
            </w:r>
          </w:p>
        </w:tc>
      </w:tr>
      <w:tr w:rsidR="006F232C" w:rsidRPr="009F63E9" w:rsidTr="009F63E9">
        <w:trPr>
          <w:trHeight w:val="1003"/>
          <w:jc w:val="center"/>
        </w:trPr>
        <w:tc>
          <w:tcPr>
            <w:tcW w:w="1690" w:type="dxa"/>
            <w:vAlign w:val="center"/>
          </w:tcPr>
          <w:p w:rsidR="006F232C" w:rsidRPr="009F63E9" w:rsidRDefault="006F232C" w:rsidP="009F63E9">
            <w:pPr>
              <w:spacing w:after="0" w:line="240" w:lineRule="auto"/>
              <w:jc w:val="center"/>
              <w:rPr>
                <w:sz w:val="24"/>
                <w:lang w:eastAsia="en-US"/>
              </w:rPr>
            </w:pPr>
            <w:r w:rsidRPr="009F63E9">
              <w:rPr>
                <w:sz w:val="24"/>
                <w:lang w:eastAsia="en-US"/>
              </w:rPr>
              <w:t>1.</w:t>
            </w:r>
          </w:p>
        </w:tc>
        <w:tc>
          <w:tcPr>
            <w:tcW w:w="3208" w:type="dxa"/>
            <w:vAlign w:val="center"/>
          </w:tcPr>
          <w:p w:rsidR="006F232C" w:rsidRPr="009F63E9" w:rsidRDefault="006F232C" w:rsidP="009F63E9">
            <w:pPr>
              <w:spacing w:after="0" w:line="240" w:lineRule="auto"/>
              <w:rPr>
                <w:sz w:val="24"/>
                <w:lang w:eastAsia="en-US"/>
              </w:rPr>
            </w:pPr>
            <w:r w:rsidRPr="009F63E9">
              <w:rPr>
                <w:rFonts w:cs="Calibri"/>
                <w:sz w:val="24"/>
                <w:lang w:eastAsia="en-US"/>
              </w:rPr>
              <w:t>Určit počet firem, které ještě nikdy odpočet neuplatňovaly a poslaly nově oznámení.</w:t>
            </w:r>
          </w:p>
        </w:tc>
        <w:tc>
          <w:tcPr>
            <w:tcW w:w="2353" w:type="dxa"/>
            <w:vAlign w:val="center"/>
          </w:tcPr>
          <w:p w:rsidR="006F232C" w:rsidRPr="009F63E9" w:rsidRDefault="006F232C" w:rsidP="009F63E9">
            <w:pPr>
              <w:spacing w:after="0" w:line="240" w:lineRule="auto"/>
              <w:jc w:val="center"/>
              <w:rPr>
                <w:sz w:val="24"/>
                <w:lang w:eastAsia="en-US"/>
              </w:rPr>
            </w:pPr>
            <w:r w:rsidRPr="009F63E9">
              <w:rPr>
                <w:sz w:val="24"/>
                <w:lang w:eastAsia="en-US"/>
              </w:rPr>
              <w:t>GFŘ</w:t>
            </w:r>
          </w:p>
        </w:tc>
        <w:tc>
          <w:tcPr>
            <w:tcW w:w="2353" w:type="dxa"/>
            <w:vAlign w:val="center"/>
          </w:tcPr>
          <w:p w:rsidR="006F232C" w:rsidRPr="009F63E9" w:rsidRDefault="006F232C" w:rsidP="009F63E9">
            <w:pPr>
              <w:spacing w:after="0" w:line="240" w:lineRule="auto"/>
              <w:jc w:val="center"/>
              <w:rPr>
                <w:sz w:val="24"/>
                <w:lang w:eastAsia="en-US"/>
              </w:rPr>
            </w:pPr>
            <w:r w:rsidRPr="009F63E9">
              <w:rPr>
                <w:sz w:val="24"/>
                <w:lang w:eastAsia="en-US"/>
              </w:rPr>
              <w:t>V řešení</w:t>
            </w:r>
          </w:p>
        </w:tc>
      </w:tr>
      <w:tr w:rsidR="006F232C" w:rsidRPr="009F63E9" w:rsidTr="009F63E9">
        <w:trPr>
          <w:trHeight w:val="330"/>
          <w:jc w:val="center"/>
        </w:trPr>
        <w:tc>
          <w:tcPr>
            <w:tcW w:w="1690" w:type="dxa"/>
            <w:vAlign w:val="center"/>
          </w:tcPr>
          <w:p w:rsidR="006F232C" w:rsidRPr="009F63E9" w:rsidRDefault="006F232C" w:rsidP="009F63E9">
            <w:pPr>
              <w:spacing w:after="0" w:line="240" w:lineRule="auto"/>
              <w:jc w:val="center"/>
              <w:rPr>
                <w:sz w:val="24"/>
                <w:lang w:eastAsia="en-US"/>
              </w:rPr>
            </w:pPr>
            <w:r w:rsidRPr="009F63E9">
              <w:rPr>
                <w:sz w:val="24"/>
                <w:lang w:eastAsia="en-US"/>
              </w:rPr>
              <w:t xml:space="preserve">2. </w:t>
            </w:r>
          </w:p>
        </w:tc>
        <w:tc>
          <w:tcPr>
            <w:tcW w:w="3208" w:type="dxa"/>
            <w:vAlign w:val="center"/>
          </w:tcPr>
          <w:p w:rsidR="006F232C" w:rsidRPr="009F63E9" w:rsidRDefault="006F232C" w:rsidP="009F63E9">
            <w:pPr>
              <w:spacing w:after="0" w:line="240" w:lineRule="auto"/>
              <w:rPr>
                <w:sz w:val="24"/>
                <w:lang w:eastAsia="en-US"/>
              </w:rPr>
            </w:pPr>
            <w:r w:rsidRPr="009F63E9">
              <w:rPr>
                <w:sz w:val="24"/>
                <w:lang w:eastAsia="en-US"/>
              </w:rPr>
              <w:t>Uvést další grafy a statistiky ve vztahu k HDP a k inflaci.</w:t>
            </w:r>
          </w:p>
        </w:tc>
        <w:tc>
          <w:tcPr>
            <w:tcW w:w="2353" w:type="dxa"/>
            <w:vAlign w:val="center"/>
          </w:tcPr>
          <w:p w:rsidR="006F232C" w:rsidRPr="009F63E9" w:rsidRDefault="006F232C" w:rsidP="009F63E9">
            <w:pPr>
              <w:spacing w:after="0" w:line="240" w:lineRule="auto"/>
              <w:jc w:val="center"/>
              <w:rPr>
                <w:sz w:val="24"/>
                <w:lang w:eastAsia="en-US"/>
              </w:rPr>
            </w:pPr>
            <w:r w:rsidRPr="009F63E9">
              <w:rPr>
                <w:sz w:val="24"/>
                <w:lang w:eastAsia="en-US"/>
              </w:rPr>
              <w:t>ČSÚ</w:t>
            </w:r>
          </w:p>
        </w:tc>
        <w:tc>
          <w:tcPr>
            <w:tcW w:w="2353" w:type="dxa"/>
            <w:vAlign w:val="center"/>
          </w:tcPr>
          <w:p w:rsidR="006F232C" w:rsidRPr="009F63E9" w:rsidRDefault="006F232C" w:rsidP="009F63E9">
            <w:pPr>
              <w:spacing w:after="0" w:line="240" w:lineRule="auto"/>
              <w:jc w:val="center"/>
              <w:rPr>
                <w:sz w:val="24"/>
                <w:lang w:eastAsia="en-US"/>
              </w:rPr>
            </w:pPr>
            <w:r w:rsidRPr="009F63E9">
              <w:rPr>
                <w:sz w:val="24"/>
                <w:lang w:eastAsia="en-US"/>
              </w:rPr>
              <w:t>HOTOVO</w:t>
            </w:r>
          </w:p>
        </w:tc>
      </w:tr>
      <w:tr w:rsidR="006F232C" w:rsidRPr="009F63E9" w:rsidTr="009F63E9">
        <w:trPr>
          <w:trHeight w:val="330"/>
          <w:jc w:val="center"/>
        </w:trPr>
        <w:tc>
          <w:tcPr>
            <w:tcW w:w="1690" w:type="dxa"/>
            <w:vAlign w:val="center"/>
          </w:tcPr>
          <w:p w:rsidR="006F232C" w:rsidRPr="009F63E9" w:rsidRDefault="006F232C" w:rsidP="009F63E9">
            <w:pPr>
              <w:spacing w:after="0" w:line="240" w:lineRule="auto"/>
              <w:jc w:val="center"/>
              <w:rPr>
                <w:sz w:val="24"/>
                <w:lang w:eastAsia="en-US"/>
              </w:rPr>
            </w:pPr>
            <w:r w:rsidRPr="009F63E9">
              <w:rPr>
                <w:sz w:val="24"/>
                <w:lang w:eastAsia="en-US"/>
              </w:rPr>
              <w:t xml:space="preserve">3. </w:t>
            </w:r>
          </w:p>
        </w:tc>
        <w:tc>
          <w:tcPr>
            <w:tcW w:w="3208" w:type="dxa"/>
            <w:vAlign w:val="center"/>
          </w:tcPr>
          <w:p w:rsidR="006F232C" w:rsidRPr="009F63E9" w:rsidRDefault="006F232C" w:rsidP="009F63E9">
            <w:pPr>
              <w:spacing w:after="0" w:line="240" w:lineRule="auto"/>
              <w:rPr>
                <w:rFonts w:cs="Calibri"/>
                <w:sz w:val="24"/>
                <w:lang w:eastAsia="en-US"/>
              </w:rPr>
            </w:pPr>
            <w:r w:rsidRPr="009F63E9">
              <w:rPr>
                <w:rFonts w:cs="Calibri"/>
                <w:sz w:val="24"/>
                <w:lang w:eastAsia="en-US"/>
              </w:rPr>
              <w:t xml:space="preserve">Dodat počty oznámení v jednotlivých letech. </w:t>
            </w:r>
            <w:r w:rsidRPr="009F63E9">
              <w:rPr>
                <w:rFonts w:cs="Calibri"/>
                <w:i/>
                <w:sz w:val="24"/>
                <w:lang w:eastAsia="en-US"/>
              </w:rPr>
              <w:t>Pozn. Dle GFŘ nelze dotaz určení IČO poplatníků.</w:t>
            </w:r>
          </w:p>
        </w:tc>
        <w:tc>
          <w:tcPr>
            <w:tcW w:w="2353" w:type="dxa"/>
            <w:vAlign w:val="center"/>
          </w:tcPr>
          <w:p w:rsidR="006F232C" w:rsidRPr="009F63E9" w:rsidRDefault="006F232C" w:rsidP="009F63E9">
            <w:pPr>
              <w:spacing w:after="0" w:line="240" w:lineRule="auto"/>
              <w:jc w:val="center"/>
              <w:rPr>
                <w:sz w:val="24"/>
                <w:lang w:eastAsia="en-US"/>
              </w:rPr>
            </w:pPr>
            <w:r w:rsidRPr="009F63E9">
              <w:rPr>
                <w:sz w:val="24"/>
                <w:lang w:eastAsia="en-US"/>
              </w:rPr>
              <w:t>GFŘ</w:t>
            </w:r>
          </w:p>
        </w:tc>
        <w:tc>
          <w:tcPr>
            <w:tcW w:w="2353" w:type="dxa"/>
            <w:vAlign w:val="center"/>
          </w:tcPr>
          <w:p w:rsidR="006F232C" w:rsidRPr="009F63E9" w:rsidRDefault="006F232C" w:rsidP="009F63E9">
            <w:pPr>
              <w:spacing w:after="0" w:line="240" w:lineRule="auto"/>
              <w:jc w:val="center"/>
              <w:rPr>
                <w:sz w:val="24"/>
                <w:lang w:eastAsia="en-US"/>
              </w:rPr>
            </w:pPr>
            <w:r w:rsidRPr="009F63E9">
              <w:rPr>
                <w:sz w:val="24"/>
                <w:lang w:eastAsia="en-US"/>
              </w:rPr>
              <w:t>HOTOVO</w:t>
            </w:r>
          </w:p>
        </w:tc>
      </w:tr>
    </w:tbl>
    <w:p w:rsidR="006F232C" w:rsidRDefault="006F232C" w:rsidP="002C3253">
      <w:pPr>
        <w:rPr>
          <w:sz w:val="24"/>
        </w:rPr>
      </w:pPr>
    </w:p>
    <w:tbl>
      <w:tblPr>
        <w:tblW w:w="9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5"/>
        <w:gridCol w:w="6393"/>
      </w:tblGrid>
      <w:tr w:rsidR="006F232C" w:rsidRPr="009F63E9" w:rsidTr="009F63E9">
        <w:trPr>
          <w:trHeight w:val="526"/>
          <w:jc w:val="center"/>
        </w:trPr>
        <w:tc>
          <w:tcPr>
            <w:tcW w:w="3195" w:type="dxa"/>
            <w:shd w:val="clear" w:color="auto" w:fill="BDD6EE"/>
            <w:vAlign w:val="center"/>
          </w:tcPr>
          <w:p w:rsidR="006F232C" w:rsidRPr="009F63E9" w:rsidRDefault="006F232C" w:rsidP="009F63E9">
            <w:pPr>
              <w:spacing w:after="0" w:line="240" w:lineRule="auto"/>
              <w:rPr>
                <w:sz w:val="24"/>
                <w:lang w:eastAsia="en-US"/>
              </w:rPr>
            </w:pPr>
            <w:r w:rsidRPr="009F63E9">
              <w:rPr>
                <w:rFonts w:cs="Calibri"/>
                <w:b/>
                <w:sz w:val="24"/>
                <w:szCs w:val="28"/>
              </w:rPr>
              <w:t>CÍL č. 1</w:t>
            </w:r>
          </w:p>
        </w:tc>
        <w:tc>
          <w:tcPr>
            <w:tcW w:w="6393" w:type="dxa"/>
            <w:shd w:val="clear" w:color="auto" w:fill="BDD6EE"/>
            <w:vAlign w:val="center"/>
          </w:tcPr>
          <w:p w:rsidR="006F232C" w:rsidRPr="009F63E9" w:rsidRDefault="006F232C" w:rsidP="009F63E9">
            <w:pPr>
              <w:spacing w:after="0" w:line="240" w:lineRule="auto"/>
              <w:rPr>
                <w:sz w:val="24"/>
                <w:lang w:eastAsia="en-US"/>
              </w:rPr>
            </w:pPr>
            <w:r w:rsidRPr="009F63E9">
              <w:rPr>
                <w:rFonts w:cs="Calibri"/>
                <w:b/>
                <w:sz w:val="24"/>
                <w:szCs w:val="28"/>
              </w:rPr>
              <w:t>Vyhodnocení důsledků změn uplatněných v roce 2019</w:t>
            </w:r>
          </w:p>
        </w:tc>
      </w:tr>
      <w:tr w:rsidR="006F232C" w:rsidRPr="009F63E9" w:rsidTr="009F63E9">
        <w:trPr>
          <w:trHeight w:val="1629"/>
          <w:jc w:val="center"/>
        </w:trPr>
        <w:tc>
          <w:tcPr>
            <w:tcW w:w="3195" w:type="dxa"/>
            <w:shd w:val="clear" w:color="auto" w:fill="BDD6EE"/>
            <w:vAlign w:val="center"/>
          </w:tcPr>
          <w:p w:rsidR="006F232C" w:rsidRPr="009F63E9" w:rsidRDefault="006F232C" w:rsidP="009F63E9">
            <w:pPr>
              <w:spacing w:after="0" w:line="240" w:lineRule="auto"/>
              <w:rPr>
                <w:b/>
                <w:sz w:val="24"/>
                <w:lang w:eastAsia="en-US"/>
              </w:rPr>
            </w:pPr>
            <w:r w:rsidRPr="009F63E9">
              <w:rPr>
                <w:b/>
                <w:sz w:val="24"/>
                <w:szCs w:val="28"/>
                <w:lang w:eastAsia="en-US"/>
              </w:rPr>
              <w:t>Závěrečné výstupy PSDO 2022 k tomuto cíli k předání RVVI</w:t>
            </w:r>
          </w:p>
        </w:tc>
        <w:tc>
          <w:tcPr>
            <w:tcW w:w="6393" w:type="dxa"/>
          </w:tcPr>
          <w:p w:rsidR="006F232C" w:rsidRPr="009F63E9" w:rsidRDefault="006F232C" w:rsidP="009F63E9">
            <w:pPr>
              <w:pStyle w:val="Odstavecseseznamem"/>
              <w:numPr>
                <w:ilvl w:val="0"/>
                <w:numId w:val="9"/>
              </w:numPr>
              <w:ind w:left="426"/>
              <w:jc w:val="both"/>
              <w:rPr>
                <w:rFonts w:cs="Calibri"/>
                <w:sz w:val="24"/>
                <w:lang w:eastAsia="en-US"/>
              </w:rPr>
            </w:pPr>
            <w:r w:rsidRPr="009F63E9">
              <w:rPr>
                <w:rFonts w:cs="Calibri"/>
                <w:sz w:val="24"/>
                <w:lang w:eastAsia="en-US"/>
              </w:rPr>
              <w:t>Důsledky změn provedených na základě činnosti PSDO 2018</w:t>
            </w:r>
          </w:p>
          <w:p w:rsidR="006F232C" w:rsidRPr="009F63E9" w:rsidRDefault="006F232C" w:rsidP="009F63E9">
            <w:pPr>
              <w:pStyle w:val="Odstavecseseznamem"/>
              <w:ind w:left="426"/>
              <w:jc w:val="both"/>
              <w:rPr>
                <w:rFonts w:cs="Calibri"/>
                <w:sz w:val="24"/>
                <w:lang w:eastAsia="en-US"/>
              </w:rPr>
            </w:pPr>
            <w:r w:rsidRPr="009F63E9">
              <w:rPr>
                <w:rFonts w:cs="Calibri"/>
                <w:sz w:val="24"/>
                <w:lang w:eastAsia="en-US"/>
              </w:rPr>
              <w:t>- PSDO se shoduje, že dílčí části změn vyplývající z novely zákona o daních z příjmů byly firmami přijaty pozitivně, viz výše;</w:t>
            </w:r>
          </w:p>
          <w:p w:rsidR="006F232C" w:rsidRPr="009F63E9" w:rsidRDefault="006F232C" w:rsidP="009F63E9">
            <w:pPr>
              <w:pStyle w:val="Odstavecseseznamem"/>
              <w:ind w:left="426"/>
              <w:jc w:val="both"/>
              <w:rPr>
                <w:rFonts w:cs="Calibri"/>
                <w:sz w:val="24"/>
                <w:lang w:eastAsia="en-US"/>
              </w:rPr>
            </w:pPr>
            <w:r w:rsidRPr="009F63E9">
              <w:rPr>
                <w:rFonts w:cs="Calibri"/>
                <w:sz w:val="24"/>
                <w:lang w:eastAsia="en-US"/>
              </w:rPr>
              <w:t xml:space="preserve">- z pohledu SPČR  však nedošlo k naplnění ambicí v navýšení počtu poplatníků, kteří využívají daňové odpočty na </w:t>
            </w:r>
            <w:proofErr w:type="spellStart"/>
            <w:r w:rsidRPr="009F63E9">
              <w:rPr>
                <w:rFonts w:cs="Calibri"/>
                <w:sz w:val="24"/>
                <w:lang w:eastAsia="en-US"/>
              </w:rPr>
              <w:t>VaV</w:t>
            </w:r>
            <w:proofErr w:type="spellEnd"/>
            <w:r w:rsidRPr="009F63E9">
              <w:rPr>
                <w:rFonts w:cs="Calibri"/>
                <w:sz w:val="24"/>
                <w:lang w:eastAsia="en-US"/>
              </w:rPr>
              <w:t>;</w:t>
            </w:r>
          </w:p>
          <w:p w:rsidR="006F232C" w:rsidRPr="009F63E9" w:rsidRDefault="006F232C" w:rsidP="009F63E9">
            <w:pPr>
              <w:pStyle w:val="Odstavecseseznamem"/>
              <w:ind w:left="426"/>
              <w:jc w:val="both"/>
              <w:rPr>
                <w:rFonts w:cs="Calibri"/>
                <w:sz w:val="24"/>
                <w:lang w:eastAsia="en-US"/>
              </w:rPr>
            </w:pPr>
            <w:r w:rsidRPr="009F63E9">
              <w:rPr>
                <w:rFonts w:cs="Calibri"/>
                <w:sz w:val="24"/>
                <w:lang w:eastAsia="en-US"/>
              </w:rPr>
              <w:t>- z pohledu MF byly naplněny cíle a ambice PSDO 2018.</w:t>
            </w:r>
          </w:p>
          <w:p w:rsidR="006F232C" w:rsidRPr="009F63E9" w:rsidRDefault="006F232C" w:rsidP="009F63E9">
            <w:pPr>
              <w:pStyle w:val="Odstavecseseznamem"/>
              <w:numPr>
                <w:ilvl w:val="0"/>
                <w:numId w:val="9"/>
              </w:numPr>
              <w:ind w:left="426"/>
              <w:jc w:val="both"/>
              <w:rPr>
                <w:rFonts w:cs="Calibri"/>
                <w:sz w:val="24"/>
                <w:lang w:eastAsia="en-US"/>
              </w:rPr>
            </w:pPr>
            <w:r w:rsidRPr="009F63E9">
              <w:rPr>
                <w:rFonts w:cs="Calibri"/>
                <w:sz w:val="24"/>
                <w:lang w:eastAsia="en-US"/>
              </w:rPr>
              <w:t>Je zapotřebí vyslat firmám jasný signál a deklarovat podporu využívání daňových odpočtů na </w:t>
            </w:r>
            <w:proofErr w:type="spellStart"/>
            <w:r w:rsidRPr="009F63E9">
              <w:rPr>
                <w:rFonts w:cs="Calibri"/>
                <w:sz w:val="24"/>
                <w:lang w:eastAsia="en-US"/>
              </w:rPr>
              <w:t>VaV</w:t>
            </w:r>
            <w:proofErr w:type="spellEnd"/>
            <w:r w:rsidRPr="009F63E9">
              <w:rPr>
                <w:rFonts w:cs="Calibri"/>
                <w:sz w:val="24"/>
                <w:lang w:eastAsia="en-US"/>
              </w:rPr>
              <w:t xml:space="preserve"> z nejvyšších míst, tedy od ministryně pro vědu, výzkum a inovace, ministra financí a ministra průmyslu a obchodu, případně dané podpořit uspořádáním konferencí po ČR v obdobném formátu jako v roce 2019.</w:t>
            </w:r>
          </w:p>
          <w:p w:rsidR="006F232C" w:rsidRPr="009F63E9" w:rsidRDefault="006F232C" w:rsidP="009F63E9">
            <w:pPr>
              <w:pStyle w:val="Odstavecseseznamem"/>
              <w:numPr>
                <w:ilvl w:val="0"/>
                <w:numId w:val="9"/>
              </w:numPr>
              <w:ind w:left="426"/>
              <w:jc w:val="both"/>
              <w:rPr>
                <w:rFonts w:cs="Calibri"/>
                <w:sz w:val="24"/>
                <w:lang w:eastAsia="en-US"/>
              </w:rPr>
            </w:pPr>
            <w:r w:rsidRPr="009F63E9">
              <w:rPr>
                <w:rFonts w:cs="Calibri"/>
                <w:sz w:val="24"/>
                <w:lang w:eastAsia="en-US"/>
              </w:rPr>
              <w:t>Pro změnu přístupu kontrol ze strany finančních úřadů je potřeba diskutovat (upravit stávající) postupy Generálního finančního ředitelství. Změna stávající praxe dle větší části členů PSDO není možná bez legislativních úprav.</w:t>
            </w:r>
          </w:p>
          <w:p w:rsidR="006F232C" w:rsidRPr="009F63E9" w:rsidRDefault="006F232C" w:rsidP="009F63E9">
            <w:pPr>
              <w:pStyle w:val="Odstavecseseznamem"/>
              <w:numPr>
                <w:ilvl w:val="0"/>
                <w:numId w:val="9"/>
              </w:numPr>
              <w:spacing w:after="0" w:line="240" w:lineRule="auto"/>
              <w:ind w:left="426"/>
              <w:jc w:val="both"/>
              <w:rPr>
                <w:rFonts w:cs="Calibri"/>
                <w:sz w:val="24"/>
                <w:lang w:eastAsia="en-US"/>
              </w:rPr>
            </w:pPr>
            <w:r w:rsidRPr="009F63E9">
              <w:rPr>
                <w:rFonts w:cs="Calibri"/>
                <w:sz w:val="24"/>
                <w:lang w:eastAsia="en-US"/>
              </w:rPr>
              <w:t>Z dlouhodobějšího hlediska je nutné diskutovat úpravu návrhu legislativní úpravy zákona č. 586/1992 Sb., o daních z příjmů.</w:t>
            </w:r>
          </w:p>
        </w:tc>
      </w:tr>
    </w:tbl>
    <w:p w:rsidR="006F232C" w:rsidRDefault="006F232C" w:rsidP="00475BDA">
      <w:pPr>
        <w:rPr>
          <w:sz w:val="24"/>
        </w:rPr>
      </w:pPr>
    </w:p>
    <w:p w:rsidR="006F232C" w:rsidRPr="007A0C93" w:rsidRDefault="006F232C" w:rsidP="00475BDA">
      <w:pPr>
        <w:rPr>
          <w:sz w:val="24"/>
        </w:rPr>
      </w:pPr>
    </w:p>
    <w:p w:rsidR="006F232C" w:rsidRDefault="006F232C" w:rsidP="00C16E26">
      <w:pPr>
        <w:pStyle w:val="Nadpis1"/>
        <w:spacing w:before="0" w:line="240" w:lineRule="auto"/>
        <w:ind w:left="1560" w:hanging="1560"/>
        <w:jc w:val="both"/>
        <w:rPr>
          <w:rFonts w:ascii="Calibri" w:hAnsi="Calibri" w:cs="Calibri"/>
          <w:b/>
          <w:sz w:val="40"/>
          <w:szCs w:val="28"/>
        </w:rPr>
      </w:pPr>
      <w:r w:rsidRPr="0085710D">
        <w:rPr>
          <w:rFonts w:ascii="Calibri" w:hAnsi="Calibri" w:cs="Calibri"/>
          <w:b/>
          <w:sz w:val="40"/>
          <w:szCs w:val="28"/>
        </w:rPr>
        <w:lastRenderedPageBreak/>
        <w:t xml:space="preserve">Cíl č. 2 – Zdůvodnění snížení využívání daňových odpočtů na </w:t>
      </w:r>
      <w:proofErr w:type="spellStart"/>
      <w:r w:rsidRPr="0085710D">
        <w:rPr>
          <w:rFonts w:ascii="Calibri" w:hAnsi="Calibri" w:cs="Calibri"/>
          <w:b/>
          <w:sz w:val="40"/>
          <w:szCs w:val="28"/>
        </w:rPr>
        <w:t>VaV</w:t>
      </w:r>
      <w:proofErr w:type="spellEnd"/>
      <w:r>
        <w:rPr>
          <w:rFonts w:ascii="Calibri" w:hAnsi="Calibri" w:cs="Calibri"/>
          <w:b/>
          <w:sz w:val="40"/>
          <w:szCs w:val="28"/>
        </w:rPr>
        <w:t xml:space="preserve"> a</w:t>
      </w:r>
      <w:r w:rsidRPr="00CE49F0">
        <w:t xml:space="preserve"> </w:t>
      </w:r>
      <w:r w:rsidRPr="00CE49F0">
        <w:rPr>
          <w:rFonts w:ascii="Calibri" w:hAnsi="Calibri" w:cs="Calibri"/>
          <w:b/>
          <w:sz w:val="40"/>
          <w:szCs w:val="28"/>
        </w:rPr>
        <w:t>návrhy ře</w:t>
      </w:r>
      <w:r>
        <w:rPr>
          <w:rFonts w:ascii="Calibri" w:hAnsi="Calibri" w:cs="Calibri"/>
          <w:b/>
          <w:sz w:val="40"/>
          <w:szCs w:val="28"/>
        </w:rPr>
        <w:t>šení vedoucích k zlepšení stavu</w:t>
      </w:r>
    </w:p>
    <w:p w:rsidR="006F232C" w:rsidRPr="00FF75A5" w:rsidRDefault="006F232C" w:rsidP="00FF75A5"/>
    <w:p w:rsidR="006F232C" w:rsidRDefault="006F232C" w:rsidP="00065178">
      <w:pPr>
        <w:pStyle w:val="Nadpis1"/>
        <w:numPr>
          <w:ilvl w:val="0"/>
          <w:numId w:val="13"/>
        </w:numPr>
        <w:spacing w:after="120" w:line="240" w:lineRule="auto"/>
        <w:ind w:left="426"/>
        <w:jc w:val="both"/>
        <w:rPr>
          <w:rFonts w:ascii="Calibri" w:hAnsi="Calibri" w:cs="Calibri"/>
          <w:b/>
          <w:sz w:val="28"/>
          <w:szCs w:val="28"/>
        </w:rPr>
      </w:pPr>
      <w:r>
        <w:rPr>
          <w:rFonts w:ascii="Calibri" w:hAnsi="Calibri" w:cs="Calibri"/>
          <w:b/>
          <w:sz w:val="28"/>
          <w:szCs w:val="28"/>
        </w:rPr>
        <w:t>Zdůvodnění, proč počet firem využívajících daňové odpočty v ČR klesá od roku 2015</w:t>
      </w:r>
    </w:p>
    <w:p w:rsidR="006F232C" w:rsidRDefault="00B53A5B" w:rsidP="00B53A5B">
      <w:pPr>
        <w:ind w:left="426"/>
        <w:jc w:val="both"/>
        <w:rPr>
          <w:sz w:val="24"/>
          <w:szCs w:val="24"/>
        </w:rPr>
      </w:pPr>
      <w:r w:rsidRPr="00B53A5B">
        <w:rPr>
          <w:sz w:val="24"/>
          <w:szCs w:val="24"/>
        </w:rPr>
        <w:t xml:space="preserve">Dle zástupců komory daňových poradců, SP ČR a </w:t>
      </w:r>
      <w:r>
        <w:rPr>
          <w:sz w:val="24"/>
          <w:szCs w:val="24"/>
        </w:rPr>
        <w:t>poradních a vědeckých institucí n</w:t>
      </w:r>
      <w:r w:rsidR="006F232C" w:rsidRPr="004F70F7">
        <w:rPr>
          <w:sz w:val="24"/>
          <w:szCs w:val="24"/>
        </w:rPr>
        <w:t>epružnost systému a jeho restriktiv</w:t>
      </w:r>
      <w:r w:rsidR="006F232C">
        <w:rPr>
          <w:sz w:val="24"/>
          <w:szCs w:val="24"/>
        </w:rPr>
        <w:t>ní přístup nejvíce zasahuje malé</w:t>
      </w:r>
      <w:r w:rsidR="006F232C" w:rsidRPr="004F70F7">
        <w:rPr>
          <w:sz w:val="24"/>
          <w:szCs w:val="24"/>
        </w:rPr>
        <w:t xml:space="preserve"> a střední podniky.</w:t>
      </w:r>
      <w:r w:rsidR="006F232C">
        <w:rPr>
          <w:sz w:val="24"/>
          <w:szCs w:val="24"/>
        </w:rPr>
        <w:t xml:space="preserve"> V jiných zemích, např. na Slovensku nedochází k takovému způsobu kontrol, v ČR se předkládají příliš podrobná data pro účely daňové správy na rozdíl od zahraničí, kde se předkládá pouze </w:t>
      </w:r>
      <w:r w:rsidR="006F232C" w:rsidRPr="00C271DD">
        <w:rPr>
          <w:b/>
          <w:sz w:val="24"/>
          <w:szCs w:val="24"/>
        </w:rPr>
        <w:t>přehled rozpočtových položek</w:t>
      </w:r>
      <w:r w:rsidR="006F232C">
        <w:rPr>
          <w:sz w:val="24"/>
          <w:szCs w:val="24"/>
        </w:rPr>
        <w:t>.</w:t>
      </w:r>
    </w:p>
    <w:p w:rsidR="006F232C" w:rsidRDefault="006F232C" w:rsidP="00384FA0">
      <w:pPr>
        <w:tabs>
          <w:tab w:val="left" w:pos="567"/>
        </w:tabs>
        <w:ind w:left="426"/>
        <w:jc w:val="both"/>
        <w:rPr>
          <w:sz w:val="24"/>
          <w:szCs w:val="24"/>
        </w:rPr>
      </w:pPr>
      <w:r w:rsidRPr="00CD016C">
        <w:rPr>
          <w:b/>
          <w:sz w:val="24"/>
          <w:szCs w:val="24"/>
        </w:rPr>
        <w:t>ČR opravdu ve srovnání se světem používá tento nástroj ČR</w:t>
      </w:r>
      <w:r>
        <w:rPr>
          <w:b/>
          <w:sz w:val="24"/>
          <w:szCs w:val="24"/>
        </w:rPr>
        <w:t xml:space="preserve"> </w:t>
      </w:r>
      <w:r w:rsidRPr="00CD016C">
        <w:rPr>
          <w:b/>
          <w:sz w:val="24"/>
          <w:szCs w:val="24"/>
        </w:rPr>
        <w:t>v malé míře.</w:t>
      </w:r>
      <w:r>
        <w:rPr>
          <w:sz w:val="24"/>
          <w:szCs w:val="24"/>
        </w:rPr>
        <w:t xml:space="preserve"> ČR na rozdíl od světa nezavedlo limit pro daňový odpočet pro velké firmy, což je unikátní přístup. </w:t>
      </w:r>
    </w:p>
    <w:p w:rsidR="006F232C" w:rsidRPr="00B17671" w:rsidRDefault="006F232C" w:rsidP="00384FA0">
      <w:pPr>
        <w:tabs>
          <w:tab w:val="left" w:pos="567"/>
        </w:tabs>
        <w:ind w:left="426"/>
        <w:jc w:val="both"/>
        <w:rPr>
          <w:sz w:val="24"/>
          <w:szCs w:val="24"/>
        </w:rPr>
      </w:pPr>
      <w:r w:rsidRPr="00B17671">
        <w:rPr>
          <w:b/>
          <w:sz w:val="24"/>
          <w:szCs w:val="24"/>
        </w:rPr>
        <w:t>Bylo diskutováno, že tento nástroj má smysl v jeho časové flexibilitě</w:t>
      </w:r>
      <w:r w:rsidRPr="00B17671">
        <w:rPr>
          <w:sz w:val="24"/>
          <w:szCs w:val="24"/>
        </w:rPr>
        <w:t xml:space="preserve">, že jej lze využít téměř okamžitě při potřebě realizovat </w:t>
      </w:r>
      <w:proofErr w:type="spellStart"/>
      <w:r w:rsidRPr="00B17671">
        <w:rPr>
          <w:sz w:val="24"/>
          <w:szCs w:val="24"/>
        </w:rPr>
        <w:t>VaV</w:t>
      </w:r>
      <w:proofErr w:type="spellEnd"/>
      <w:r w:rsidRPr="00B17671">
        <w:rPr>
          <w:sz w:val="24"/>
          <w:szCs w:val="24"/>
        </w:rPr>
        <w:t xml:space="preserve"> ze strany firem, má tedy silnější motivační účinek pro podporu </w:t>
      </w:r>
      <w:proofErr w:type="spellStart"/>
      <w:r w:rsidRPr="00B17671">
        <w:rPr>
          <w:sz w:val="24"/>
          <w:szCs w:val="24"/>
        </w:rPr>
        <w:t>VaV</w:t>
      </w:r>
      <w:proofErr w:type="spellEnd"/>
      <w:r w:rsidRPr="00B17671">
        <w:rPr>
          <w:sz w:val="24"/>
          <w:szCs w:val="24"/>
        </w:rPr>
        <w:t xml:space="preserve"> v ČR.</w:t>
      </w:r>
    </w:p>
    <w:p w:rsidR="006F232C" w:rsidRPr="00B17671" w:rsidRDefault="006F232C" w:rsidP="008F3804">
      <w:pPr>
        <w:tabs>
          <w:tab w:val="left" w:pos="567"/>
        </w:tabs>
        <w:ind w:left="426"/>
        <w:jc w:val="both"/>
        <w:rPr>
          <w:sz w:val="24"/>
          <w:szCs w:val="24"/>
        </w:rPr>
      </w:pPr>
      <w:r w:rsidRPr="00B17671">
        <w:rPr>
          <w:sz w:val="24"/>
          <w:szCs w:val="24"/>
        </w:rPr>
        <w:t xml:space="preserve">Tato nepřímá podpora má smysl a měla by být </w:t>
      </w:r>
      <w:r w:rsidRPr="00B17671">
        <w:rPr>
          <w:b/>
          <w:sz w:val="24"/>
          <w:szCs w:val="24"/>
        </w:rPr>
        <w:t>administrativně jednoduchá, pružná, každoroční.</w:t>
      </w:r>
    </w:p>
    <w:p w:rsidR="006F232C" w:rsidRPr="00B17671" w:rsidRDefault="006F232C" w:rsidP="00384FA0">
      <w:pPr>
        <w:tabs>
          <w:tab w:val="left" w:pos="567"/>
        </w:tabs>
        <w:ind w:left="426"/>
        <w:jc w:val="both"/>
        <w:rPr>
          <w:sz w:val="24"/>
          <w:szCs w:val="24"/>
        </w:rPr>
      </w:pPr>
      <w:r w:rsidRPr="00B17671">
        <w:rPr>
          <w:sz w:val="24"/>
          <w:szCs w:val="24"/>
        </w:rPr>
        <w:t xml:space="preserve">Možnost </w:t>
      </w:r>
      <w:r w:rsidRPr="00B17671">
        <w:rPr>
          <w:b/>
          <w:sz w:val="24"/>
          <w:szCs w:val="24"/>
        </w:rPr>
        <w:t xml:space="preserve">úlevy na dani ze závislé činnosti u zaměstnanců ve </w:t>
      </w:r>
      <w:proofErr w:type="spellStart"/>
      <w:r w:rsidRPr="00B17671">
        <w:rPr>
          <w:b/>
          <w:sz w:val="24"/>
          <w:szCs w:val="24"/>
        </w:rPr>
        <w:t>VaV</w:t>
      </w:r>
      <w:proofErr w:type="spellEnd"/>
      <w:r w:rsidRPr="00B17671">
        <w:rPr>
          <w:sz w:val="24"/>
          <w:szCs w:val="24"/>
        </w:rPr>
        <w:t xml:space="preserve"> byla zmíněna jako další příklad nástroje pro podporu </w:t>
      </w:r>
      <w:proofErr w:type="spellStart"/>
      <w:r w:rsidRPr="00B17671">
        <w:rPr>
          <w:sz w:val="24"/>
          <w:szCs w:val="24"/>
        </w:rPr>
        <w:t>VaV</w:t>
      </w:r>
      <w:proofErr w:type="spellEnd"/>
      <w:r w:rsidRPr="00B17671">
        <w:rPr>
          <w:sz w:val="24"/>
          <w:szCs w:val="24"/>
        </w:rPr>
        <w:t xml:space="preserve">, kterou </w:t>
      </w:r>
      <w:r w:rsidRPr="00B17671">
        <w:rPr>
          <w:b/>
          <w:sz w:val="24"/>
          <w:szCs w:val="24"/>
        </w:rPr>
        <w:t>zavedlo Polsko</w:t>
      </w:r>
      <w:r w:rsidRPr="00B17671">
        <w:rPr>
          <w:sz w:val="24"/>
          <w:szCs w:val="24"/>
        </w:rPr>
        <w:t xml:space="preserve">, společně s širším balíčkem nástrojů podpory oblasti </w:t>
      </w:r>
      <w:proofErr w:type="spellStart"/>
      <w:r w:rsidRPr="00B17671">
        <w:rPr>
          <w:sz w:val="24"/>
          <w:szCs w:val="24"/>
        </w:rPr>
        <w:t>VaV</w:t>
      </w:r>
      <w:proofErr w:type="spellEnd"/>
      <w:r w:rsidRPr="00B17671">
        <w:rPr>
          <w:sz w:val="24"/>
          <w:szCs w:val="24"/>
        </w:rPr>
        <w:t>. Je důležité zabývat se trendy u sousedních zemí např. Slovensko, Polsko a doplnit o ně výstupy PSDO. (viz Podklad pro 3. jednání PSDO)</w:t>
      </w:r>
    </w:p>
    <w:p w:rsidR="006F232C" w:rsidRPr="00B17671" w:rsidRDefault="006F232C" w:rsidP="00384FA0">
      <w:pPr>
        <w:tabs>
          <w:tab w:val="left" w:pos="567"/>
        </w:tabs>
        <w:ind w:left="426"/>
        <w:jc w:val="both"/>
        <w:rPr>
          <w:sz w:val="24"/>
          <w:szCs w:val="24"/>
        </w:rPr>
      </w:pPr>
      <w:r w:rsidRPr="00B17671">
        <w:rPr>
          <w:sz w:val="24"/>
          <w:szCs w:val="24"/>
        </w:rPr>
        <w:t xml:space="preserve">Proběhla diskuse o tom, zda PSDO by měla stanovit nějaké </w:t>
      </w:r>
      <w:r w:rsidRPr="00B17671">
        <w:rPr>
          <w:b/>
          <w:sz w:val="24"/>
          <w:szCs w:val="24"/>
        </w:rPr>
        <w:t>cílové číslo počtu firem</w:t>
      </w:r>
      <w:r w:rsidRPr="00B17671">
        <w:rPr>
          <w:sz w:val="24"/>
          <w:szCs w:val="24"/>
        </w:rPr>
        <w:t xml:space="preserve"> využívajících systém daňových odpočtů. Na stanovení tohoto čísla nedošlo ke konsensu všech členů PSDO.</w:t>
      </w:r>
    </w:p>
    <w:p w:rsidR="006F232C" w:rsidRPr="00B17671" w:rsidRDefault="006F232C" w:rsidP="00384FA0">
      <w:pPr>
        <w:ind w:left="426"/>
        <w:rPr>
          <w:b/>
          <w:sz w:val="24"/>
          <w:szCs w:val="24"/>
          <w:u w:val="single"/>
        </w:rPr>
      </w:pPr>
      <w:r w:rsidRPr="00B17671">
        <w:rPr>
          <w:b/>
          <w:sz w:val="24"/>
          <w:szCs w:val="24"/>
          <w:u w:val="single"/>
        </w:rPr>
        <w:t>Důvody snížení využívání tohoto nástroje z pohledu SP ČR, poradenských firem a Komory daňových poradců</w:t>
      </w:r>
      <w:r w:rsidRPr="00B17671">
        <w:rPr>
          <w:b/>
          <w:sz w:val="24"/>
          <w:szCs w:val="24"/>
        </w:rPr>
        <w:t>:</w:t>
      </w:r>
    </w:p>
    <w:p w:rsidR="006F232C" w:rsidRPr="00B17671" w:rsidRDefault="006F232C" w:rsidP="004E1015">
      <w:pPr>
        <w:pStyle w:val="Odstavecseseznamem"/>
        <w:numPr>
          <w:ilvl w:val="0"/>
          <w:numId w:val="3"/>
        </w:numPr>
        <w:ind w:left="1985" w:hanging="425"/>
        <w:rPr>
          <w:sz w:val="24"/>
          <w:szCs w:val="24"/>
          <w:lang w:eastAsia="en-US"/>
        </w:rPr>
      </w:pPr>
      <w:r w:rsidRPr="00B17671">
        <w:rPr>
          <w:sz w:val="24"/>
          <w:szCs w:val="24"/>
          <w:lang w:eastAsia="en-US"/>
        </w:rPr>
        <w:t>Množství kontrol.</w:t>
      </w:r>
    </w:p>
    <w:p w:rsidR="006F232C" w:rsidRPr="00B17671" w:rsidRDefault="006F232C" w:rsidP="004E1015">
      <w:pPr>
        <w:pStyle w:val="Odstavecseseznamem"/>
        <w:numPr>
          <w:ilvl w:val="0"/>
          <w:numId w:val="3"/>
        </w:numPr>
        <w:ind w:left="1985" w:hanging="425"/>
        <w:rPr>
          <w:sz w:val="24"/>
          <w:szCs w:val="24"/>
          <w:lang w:eastAsia="en-US"/>
        </w:rPr>
      </w:pPr>
      <w:r w:rsidRPr="00B17671">
        <w:rPr>
          <w:sz w:val="24"/>
          <w:szCs w:val="24"/>
          <w:lang w:eastAsia="en-US"/>
        </w:rPr>
        <w:t>Zdlouhavost a náročnost kontrol, kontroly trvají několik měsíců a let.</w:t>
      </w:r>
    </w:p>
    <w:p w:rsidR="006F232C" w:rsidRPr="00B17671" w:rsidRDefault="006F232C" w:rsidP="004E1015">
      <w:pPr>
        <w:pStyle w:val="Odstavecseseznamem"/>
        <w:numPr>
          <w:ilvl w:val="0"/>
          <w:numId w:val="3"/>
        </w:numPr>
        <w:ind w:left="1985" w:hanging="425"/>
        <w:rPr>
          <w:sz w:val="24"/>
          <w:szCs w:val="24"/>
          <w:lang w:eastAsia="en-US"/>
        </w:rPr>
      </w:pPr>
      <w:r w:rsidRPr="00B17671">
        <w:rPr>
          <w:sz w:val="24"/>
          <w:szCs w:val="24"/>
          <w:lang w:eastAsia="en-US"/>
        </w:rPr>
        <w:t>Judikáty se často vztahují k formálnímu pochybení a ne k obsahovému.</w:t>
      </w:r>
    </w:p>
    <w:p w:rsidR="006F232C" w:rsidRPr="00B17671" w:rsidRDefault="006F232C" w:rsidP="004E1015">
      <w:pPr>
        <w:pStyle w:val="Odstavecseseznamem"/>
        <w:numPr>
          <w:ilvl w:val="0"/>
          <w:numId w:val="3"/>
        </w:numPr>
        <w:ind w:left="1985" w:hanging="425"/>
        <w:rPr>
          <w:sz w:val="24"/>
          <w:szCs w:val="24"/>
        </w:rPr>
      </w:pPr>
      <w:r w:rsidRPr="00B17671">
        <w:rPr>
          <w:sz w:val="24"/>
          <w:szCs w:val="24"/>
        </w:rPr>
        <w:t>Nemožnost dodatečného dokazování při řízení s finančním úřadem.</w:t>
      </w:r>
    </w:p>
    <w:p w:rsidR="006F232C" w:rsidRPr="00B17671" w:rsidRDefault="006F232C" w:rsidP="004E1015">
      <w:pPr>
        <w:pStyle w:val="Odstavecseseznamem"/>
        <w:numPr>
          <w:ilvl w:val="0"/>
          <w:numId w:val="3"/>
        </w:numPr>
        <w:ind w:left="1985" w:hanging="425"/>
        <w:rPr>
          <w:sz w:val="24"/>
          <w:szCs w:val="24"/>
        </w:rPr>
      </w:pPr>
      <w:r w:rsidRPr="00B17671">
        <w:rPr>
          <w:sz w:val="24"/>
          <w:szCs w:val="24"/>
        </w:rPr>
        <w:t xml:space="preserve">Nadále přetrvává dojem netransparentnosti v oblasti požadavků na formální úpravy formulářů a identifikace </w:t>
      </w:r>
      <w:proofErr w:type="spellStart"/>
      <w:r w:rsidRPr="00B17671">
        <w:rPr>
          <w:sz w:val="24"/>
          <w:szCs w:val="24"/>
        </w:rPr>
        <w:t>VaV</w:t>
      </w:r>
      <w:proofErr w:type="spellEnd"/>
      <w:r w:rsidRPr="00B17671">
        <w:rPr>
          <w:sz w:val="24"/>
          <w:szCs w:val="24"/>
        </w:rPr>
        <w:t xml:space="preserve"> projektu.</w:t>
      </w:r>
    </w:p>
    <w:p w:rsidR="006F232C" w:rsidRPr="00B17671" w:rsidRDefault="006F232C" w:rsidP="004E1015">
      <w:pPr>
        <w:pStyle w:val="Odstavecseseznamem"/>
        <w:numPr>
          <w:ilvl w:val="0"/>
          <w:numId w:val="3"/>
        </w:numPr>
        <w:ind w:left="1985" w:hanging="425"/>
        <w:rPr>
          <w:sz w:val="24"/>
          <w:szCs w:val="24"/>
        </w:rPr>
      </w:pPr>
      <w:r w:rsidRPr="00B17671">
        <w:rPr>
          <w:sz w:val="24"/>
          <w:szCs w:val="24"/>
        </w:rPr>
        <w:t>Komunikace při potřebě získat informace a rady od finanční správy je z pohledu firem nedostatečná.</w:t>
      </w:r>
    </w:p>
    <w:p w:rsidR="006F232C" w:rsidRPr="00B17671" w:rsidRDefault="006F232C" w:rsidP="002408FE">
      <w:pPr>
        <w:pStyle w:val="Odstavecseseznamem"/>
        <w:numPr>
          <w:ilvl w:val="0"/>
          <w:numId w:val="3"/>
        </w:numPr>
        <w:ind w:left="1985" w:hanging="425"/>
        <w:rPr>
          <w:sz w:val="24"/>
          <w:szCs w:val="24"/>
        </w:rPr>
      </w:pPr>
      <w:r w:rsidRPr="00B17671">
        <w:rPr>
          <w:sz w:val="24"/>
          <w:szCs w:val="24"/>
        </w:rPr>
        <w:t>Nízká mediální podpora tohoto nástroje ze strany státu.</w:t>
      </w:r>
    </w:p>
    <w:p w:rsidR="006F232C" w:rsidRPr="00B17671" w:rsidRDefault="006F232C" w:rsidP="00701B1C">
      <w:pPr>
        <w:pStyle w:val="Odstavecseseznamem"/>
        <w:numPr>
          <w:ilvl w:val="0"/>
          <w:numId w:val="3"/>
        </w:numPr>
        <w:ind w:left="1985" w:hanging="425"/>
        <w:jc w:val="both"/>
        <w:rPr>
          <w:sz w:val="24"/>
          <w:szCs w:val="24"/>
          <w:lang w:eastAsia="en-US"/>
        </w:rPr>
      </w:pPr>
      <w:r w:rsidRPr="00B17671">
        <w:rPr>
          <w:sz w:val="24"/>
          <w:szCs w:val="24"/>
          <w:lang w:eastAsia="en-US"/>
        </w:rPr>
        <w:lastRenderedPageBreak/>
        <w:t>Judikáty, které jsou k dispozici, se váží ke zdaňovacímu období do roku 2018, aktuálně nejsou k dispozici judikáty po novelizaci zákona o dani z příjmu, a nelze vyhodnotit dopad změn zcela komplexně.</w:t>
      </w:r>
    </w:p>
    <w:p w:rsidR="006F232C" w:rsidRPr="00B17671" w:rsidRDefault="006F232C" w:rsidP="00701B1C">
      <w:pPr>
        <w:pStyle w:val="Odstavecseseznamem"/>
        <w:numPr>
          <w:ilvl w:val="0"/>
          <w:numId w:val="3"/>
        </w:numPr>
        <w:ind w:left="1985" w:hanging="425"/>
        <w:jc w:val="both"/>
        <w:rPr>
          <w:sz w:val="24"/>
          <w:szCs w:val="24"/>
          <w:lang w:eastAsia="en-US"/>
        </w:rPr>
      </w:pPr>
      <w:r w:rsidRPr="00B17671">
        <w:rPr>
          <w:sz w:val="24"/>
          <w:szCs w:val="24"/>
          <w:lang w:eastAsia="en-US"/>
        </w:rPr>
        <w:t>Vysvětlení GFŘ:  Judikatura po novele z roku 2019 není k dispozici z objektivních příčin.  Existuje zde velmi nízká pravděpodobnost zahájení soudního řízení (natož jeho ukončení) za ZO 2019 a násl., a to s ohledem na lhůtu pro podání DP, případné kontrolní postupy, odvolací řízení atd.</w:t>
      </w:r>
    </w:p>
    <w:p w:rsidR="006F232C" w:rsidRDefault="006F232C" w:rsidP="00065178">
      <w:pPr>
        <w:pStyle w:val="Nadpis1"/>
        <w:numPr>
          <w:ilvl w:val="0"/>
          <w:numId w:val="13"/>
        </w:numPr>
        <w:spacing w:after="240" w:line="240" w:lineRule="auto"/>
        <w:ind w:left="426" w:hanging="284"/>
        <w:jc w:val="both"/>
        <w:rPr>
          <w:rFonts w:ascii="Calibri" w:hAnsi="Calibri" w:cs="Calibri"/>
          <w:b/>
          <w:sz w:val="28"/>
          <w:szCs w:val="28"/>
        </w:rPr>
      </w:pPr>
      <w:r>
        <w:rPr>
          <w:rFonts w:ascii="Calibri" w:hAnsi="Calibri" w:cs="Calibri"/>
          <w:b/>
          <w:sz w:val="28"/>
          <w:szCs w:val="28"/>
        </w:rPr>
        <w:t>N</w:t>
      </w:r>
      <w:r w:rsidRPr="00CE49F0">
        <w:rPr>
          <w:rFonts w:ascii="Calibri" w:hAnsi="Calibri" w:cs="Calibri"/>
          <w:b/>
          <w:sz w:val="28"/>
          <w:szCs w:val="28"/>
        </w:rPr>
        <w:t>ávrhy ře</w:t>
      </w:r>
      <w:r>
        <w:rPr>
          <w:rFonts w:ascii="Calibri" w:hAnsi="Calibri" w:cs="Calibri"/>
          <w:b/>
          <w:sz w:val="28"/>
          <w:szCs w:val="28"/>
        </w:rPr>
        <w:t>šení vedoucích k zlepšení stavu</w:t>
      </w:r>
    </w:p>
    <w:p w:rsidR="006F232C" w:rsidRPr="00AE16EB" w:rsidRDefault="006F232C" w:rsidP="004E1015">
      <w:pPr>
        <w:pStyle w:val="Odstavecseseznamem"/>
        <w:numPr>
          <w:ilvl w:val="0"/>
          <w:numId w:val="4"/>
        </w:numPr>
        <w:ind w:left="1985" w:hanging="425"/>
        <w:rPr>
          <w:b/>
          <w:sz w:val="24"/>
          <w:szCs w:val="24"/>
        </w:rPr>
      </w:pPr>
      <w:r w:rsidRPr="00D76E9C">
        <w:rPr>
          <w:b/>
          <w:color w:val="2E74B5"/>
          <w:sz w:val="24"/>
          <w:szCs w:val="24"/>
        </w:rPr>
        <w:t xml:space="preserve">Legislativní změny </w:t>
      </w:r>
      <w:r>
        <w:rPr>
          <w:b/>
          <w:color w:val="2E74B5"/>
          <w:sz w:val="24"/>
          <w:szCs w:val="24"/>
        </w:rPr>
        <w:t>k diskuzi</w:t>
      </w:r>
    </w:p>
    <w:p w:rsidR="006F232C" w:rsidRPr="00AE16EB" w:rsidRDefault="006F232C" w:rsidP="00AE16EB">
      <w:pPr>
        <w:pStyle w:val="Odstavecseseznamem"/>
        <w:ind w:left="1985"/>
        <w:rPr>
          <w:b/>
          <w:sz w:val="14"/>
          <w:szCs w:val="24"/>
        </w:rPr>
      </w:pPr>
    </w:p>
    <w:p w:rsidR="006F232C" w:rsidRPr="0090028F" w:rsidRDefault="006F232C" w:rsidP="004B6B4F">
      <w:pPr>
        <w:pStyle w:val="Odstavecseseznamem"/>
        <w:numPr>
          <w:ilvl w:val="1"/>
          <w:numId w:val="4"/>
        </w:numPr>
        <w:jc w:val="both"/>
        <w:rPr>
          <w:b/>
          <w:sz w:val="24"/>
          <w:szCs w:val="24"/>
        </w:rPr>
      </w:pPr>
      <w:r>
        <w:rPr>
          <w:sz w:val="24"/>
          <w:szCs w:val="24"/>
        </w:rPr>
        <w:t>U</w:t>
      </w:r>
      <w:r w:rsidRPr="0051237A">
        <w:rPr>
          <w:sz w:val="24"/>
          <w:szCs w:val="24"/>
        </w:rPr>
        <w:t xml:space="preserve">možnění </w:t>
      </w:r>
      <w:r>
        <w:rPr>
          <w:sz w:val="24"/>
          <w:szCs w:val="24"/>
        </w:rPr>
        <w:t xml:space="preserve">dokazování v průběhu daňového  řízení, i v situaci kdy nebudou naplněny všechny formální náležitosti, ale prokazatelně půjde o </w:t>
      </w:r>
      <w:proofErr w:type="spellStart"/>
      <w:r>
        <w:rPr>
          <w:sz w:val="24"/>
          <w:szCs w:val="24"/>
        </w:rPr>
        <w:t>VaV</w:t>
      </w:r>
      <w:proofErr w:type="spellEnd"/>
      <w:r>
        <w:rPr>
          <w:sz w:val="24"/>
          <w:szCs w:val="24"/>
        </w:rPr>
        <w:t>.</w:t>
      </w:r>
    </w:p>
    <w:p w:rsidR="006F232C" w:rsidRPr="00F62EB4" w:rsidRDefault="006F232C" w:rsidP="004B6B4F">
      <w:pPr>
        <w:pStyle w:val="Odstavecseseznamem"/>
        <w:numPr>
          <w:ilvl w:val="1"/>
          <w:numId w:val="4"/>
        </w:numPr>
        <w:jc w:val="both"/>
        <w:rPr>
          <w:b/>
          <w:sz w:val="24"/>
          <w:szCs w:val="24"/>
        </w:rPr>
      </w:pPr>
      <w:r>
        <w:rPr>
          <w:sz w:val="24"/>
          <w:szCs w:val="24"/>
        </w:rPr>
        <w:t xml:space="preserve">Změny </w:t>
      </w:r>
      <w:r w:rsidRPr="00BF4444">
        <w:rPr>
          <w:rFonts w:cs="Calibri"/>
          <w:sz w:val="24"/>
        </w:rPr>
        <w:t>zákon</w:t>
      </w:r>
      <w:r>
        <w:rPr>
          <w:rFonts w:cs="Calibri"/>
          <w:sz w:val="24"/>
        </w:rPr>
        <w:t>a č.</w:t>
      </w:r>
      <w:r w:rsidRPr="00BF4444">
        <w:rPr>
          <w:rFonts w:cs="Calibri"/>
          <w:sz w:val="24"/>
        </w:rPr>
        <w:t xml:space="preserve"> 586/1992 Sb., o daních z</w:t>
      </w:r>
      <w:r>
        <w:rPr>
          <w:rFonts w:cs="Calibri"/>
          <w:sz w:val="24"/>
        </w:rPr>
        <w:t> </w:t>
      </w:r>
      <w:r w:rsidRPr="00BF4444">
        <w:rPr>
          <w:rFonts w:cs="Calibri"/>
          <w:sz w:val="24"/>
        </w:rPr>
        <w:t>příjmu</w:t>
      </w:r>
      <w:r>
        <w:rPr>
          <w:rFonts w:cs="Calibri"/>
          <w:sz w:val="24"/>
        </w:rPr>
        <w:t xml:space="preserve"> ve věci následného umožnění oprav či doplnění (například jinými nezpochybnitelnými doklady a důkazními prostředky) náležitostí v projektu a umožnění následného dokazování.</w:t>
      </w:r>
    </w:p>
    <w:p w:rsidR="006F232C" w:rsidRPr="00F62EB4" w:rsidRDefault="006F232C" w:rsidP="00210512">
      <w:pPr>
        <w:pStyle w:val="Odstavecseseznamem"/>
        <w:numPr>
          <w:ilvl w:val="1"/>
          <w:numId w:val="4"/>
        </w:numPr>
        <w:jc w:val="both"/>
        <w:rPr>
          <w:b/>
          <w:sz w:val="24"/>
          <w:szCs w:val="24"/>
        </w:rPr>
      </w:pPr>
      <w:r>
        <w:rPr>
          <w:sz w:val="24"/>
          <w:szCs w:val="24"/>
        </w:rPr>
        <w:t xml:space="preserve">Umožnit  vyhotovení </w:t>
      </w:r>
      <w:r w:rsidRPr="0051237A">
        <w:rPr>
          <w:sz w:val="24"/>
          <w:szCs w:val="24"/>
        </w:rPr>
        <w:t>posudku</w:t>
      </w:r>
      <w:r>
        <w:rPr>
          <w:sz w:val="24"/>
          <w:szCs w:val="24"/>
        </w:rPr>
        <w:t xml:space="preserve"> k obecnému obsahu projektu </w:t>
      </w:r>
      <w:proofErr w:type="spellStart"/>
      <w:r>
        <w:rPr>
          <w:sz w:val="24"/>
          <w:szCs w:val="24"/>
        </w:rPr>
        <w:t>VaV</w:t>
      </w:r>
      <w:proofErr w:type="spellEnd"/>
      <w:r>
        <w:rPr>
          <w:sz w:val="24"/>
          <w:szCs w:val="24"/>
        </w:rPr>
        <w:t>, tzn. zda</w:t>
      </w:r>
      <w:r w:rsidRPr="0051237A">
        <w:rPr>
          <w:sz w:val="24"/>
          <w:szCs w:val="24"/>
        </w:rPr>
        <w:t xml:space="preserve"> se jedná o projekt </w:t>
      </w:r>
      <w:proofErr w:type="spellStart"/>
      <w:r w:rsidRPr="0051237A">
        <w:rPr>
          <w:sz w:val="24"/>
          <w:szCs w:val="24"/>
        </w:rPr>
        <w:t>VaV</w:t>
      </w:r>
      <w:proofErr w:type="spellEnd"/>
      <w:r>
        <w:rPr>
          <w:sz w:val="24"/>
          <w:szCs w:val="24"/>
        </w:rPr>
        <w:t>, např.</w:t>
      </w:r>
      <w:r w:rsidRPr="0051237A">
        <w:rPr>
          <w:sz w:val="24"/>
          <w:szCs w:val="24"/>
        </w:rPr>
        <w:t xml:space="preserve"> od MPO nebo </w:t>
      </w:r>
      <w:r>
        <w:rPr>
          <w:sz w:val="24"/>
          <w:szCs w:val="24"/>
        </w:rPr>
        <w:t xml:space="preserve">od </w:t>
      </w:r>
      <w:r w:rsidRPr="0051237A">
        <w:rPr>
          <w:sz w:val="24"/>
          <w:szCs w:val="24"/>
        </w:rPr>
        <w:t>TA ČR</w:t>
      </w:r>
      <w:r>
        <w:rPr>
          <w:sz w:val="24"/>
          <w:szCs w:val="24"/>
        </w:rPr>
        <w:t>.</w:t>
      </w:r>
    </w:p>
    <w:p w:rsidR="006F232C" w:rsidRPr="00B17671" w:rsidRDefault="006F232C" w:rsidP="00210512">
      <w:pPr>
        <w:pStyle w:val="Odstavecseseznamem"/>
        <w:numPr>
          <w:ilvl w:val="1"/>
          <w:numId w:val="4"/>
        </w:numPr>
        <w:jc w:val="both"/>
        <w:rPr>
          <w:sz w:val="24"/>
          <w:szCs w:val="24"/>
        </w:rPr>
      </w:pPr>
      <w:r w:rsidRPr="00B17671">
        <w:rPr>
          <w:sz w:val="24"/>
          <w:szCs w:val="24"/>
        </w:rPr>
        <w:t>Zvážit možnost zavedení limitu/stropu pro velké firmy pro daňové odpočty (Švédsko, Norsko, Nizozemí, Kanada).</w:t>
      </w:r>
    </w:p>
    <w:p w:rsidR="006F232C" w:rsidRPr="00B17671" w:rsidRDefault="006F232C" w:rsidP="00210512">
      <w:pPr>
        <w:pStyle w:val="Odstavecseseznamem"/>
        <w:numPr>
          <w:ilvl w:val="1"/>
          <w:numId w:val="4"/>
        </w:numPr>
        <w:jc w:val="both"/>
        <w:rPr>
          <w:sz w:val="24"/>
          <w:szCs w:val="24"/>
        </w:rPr>
      </w:pPr>
      <w:r w:rsidRPr="00B17671">
        <w:rPr>
          <w:sz w:val="24"/>
          <w:szCs w:val="24"/>
        </w:rPr>
        <w:t>Zvážit zvýšení této nepřímé podpory pro SME, členit podporu dle velikosti příjemců.</w:t>
      </w:r>
    </w:p>
    <w:p w:rsidR="006F232C" w:rsidRDefault="006F232C" w:rsidP="00210512">
      <w:pPr>
        <w:pStyle w:val="Odstavecseseznamem"/>
        <w:numPr>
          <w:ilvl w:val="1"/>
          <w:numId w:val="4"/>
        </w:numPr>
        <w:jc w:val="both"/>
        <w:rPr>
          <w:sz w:val="24"/>
          <w:szCs w:val="24"/>
        </w:rPr>
      </w:pPr>
      <w:r w:rsidRPr="00B17671">
        <w:rPr>
          <w:sz w:val="24"/>
          <w:szCs w:val="24"/>
        </w:rPr>
        <w:t xml:space="preserve">Zvážit možnost pro nově začínají firmy (start-up) a realizují </w:t>
      </w:r>
      <w:proofErr w:type="spellStart"/>
      <w:r w:rsidRPr="00B17671">
        <w:rPr>
          <w:sz w:val="24"/>
          <w:szCs w:val="24"/>
        </w:rPr>
        <w:t>VaV</w:t>
      </w:r>
      <w:proofErr w:type="spellEnd"/>
      <w:r w:rsidRPr="00B17671">
        <w:rPr>
          <w:sz w:val="24"/>
          <w:szCs w:val="24"/>
        </w:rPr>
        <w:t xml:space="preserve"> vyplacení výdajů ve formě „cash </w:t>
      </w:r>
      <w:proofErr w:type="spellStart"/>
      <w:r w:rsidRPr="00B17671">
        <w:rPr>
          <w:sz w:val="24"/>
          <w:szCs w:val="24"/>
        </w:rPr>
        <w:t>back</w:t>
      </w:r>
      <w:proofErr w:type="spellEnd"/>
      <w:r w:rsidRPr="00B17671">
        <w:rPr>
          <w:sz w:val="24"/>
          <w:szCs w:val="24"/>
        </w:rPr>
        <w:t>“ od finanční správy.</w:t>
      </w:r>
    </w:p>
    <w:p w:rsidR="006F232C" w:rsidRPr="00EC0D52" w:rsidRDefault="006F232C" w:rsidP="00B23C33">
      <w:pPr>
        <w:pStyle w:val="Odstavecseseznamem"/>
        <w:numPr>
          <w:ilvl w:val="1"/>
          <w:numId w:val="4"/>
        </w:numPr>
        <w:jc w:val="both"/>
        <w:rPr>
          <w:rFonts w:cs="Calibri"/>
          <w:sz w:val="24"/>
          <w:szCs w:val="24"/>
        </w:rPr>
      </w:pPr>
      <w:r w:rsidRPr="00EC0D52">
        <w:rPr>
          <w:rFonts w:cs="Calibri"/>
          <w:sz w:val="24"/>
          <w:szCs w:val="24"/>
        </w:rPr>
        <w:t>Daňový odpočet nelze legislativně ošetřit  bez změny zákona o daních z příjmů č. 586/1992 Sb., např. nelze to zajistit pouze změnou zákona č. 130/2002 Sb.</w:t>
      </w:r>
    </w:p>
    <w:p w:rsidR="006F232C" w:rsidRPr="00AE16EB" w:rsidRDefault="006F232C" w:rsidP="0090028F">
      <w:pPr>
        <w:pStyle w:val="Odstavecseseznamem"/>
        <w:spacing w:after="240"/>
        <w:ind w:left="2858"/>
        <w:rPr>
          <w:b/>
          <w:sz w:val="24"/>
          <w:szCs w:val="24"/>
        </w:rPr>
      </w:pPr>
    </w:p>
    <w:p w:rsidR="006F232C" w:rsidRPr="00AE16EB" w:rsidRDefault="006F232C" w:rsidP="004E1015">
      <w:pPr>
        <w:pStyle w:val="Odstavecseseznamem"/>
        <w:numPr>
          <w:ilvl w:val="0"/>
          <w:numId w:val="4"/>
        </w:numPr>
        <w:ind w:left="1985" w:hanging="425"/>
        <w:rPr>
          <w:b/>
          <w:sz w:val="24"/>
          <w:szCs w:val="24"/>
        </w:rPr>
      </w:pPr>
      <w:r>
        <w:rPr>
          <w:b/>
          <w:color w:val="2E74B5"/>
          <w:sz w:val="24"/>
          <w:szCs w:val="24"/>
        </w:rPr>
        <w:t>Úprava materiálů a</w:t>
      </w:r>
      <w:r>
        <w:rPr>
          <w:sz w:val="24"/>
          <w:szCs w:val="24"/>
        </w:rPr>
        <w:t xml:space="preserve"> </w:t>
      </w:r>
      <w:r w:rsidRPr="005A0087">
        <w:rPr>
          <w:b/>
          <w:color w:val="2E74B5"/>
          <w:sz w:val="24"/>
          <w:szCs w:val="24"/>
        </w:rPr>
        <w:t>postupů</w:t>
      </w:r>
      <w:r w:rsidRPr="00D76E9C">
        <w:rPr>
          <w:b/>
          <w:color w:val="2E74B5"/>
          <w:sz w:val="24"/>
          <w:szCs w:val="24"/>
        </w:rPr>
        <w:t xml:space="preserve"> </w:t>
      </w:r>
      <w:r w:rsidRPr="00FF4C7C">
        <w:rPr>
          <w:b/>
          <w:color w:val="2E74B5"/>
          <w:sz w:val="24"/>
          <w:szCs w:val="24"/>
        </w:rPr>
        <w:t>finanční</w:t>
      </w:r>
      <w:r>
        <w:rPr>
          <w:b/>
          <w:color w:val="2E74B5"/>
          <w:sz w:val="24"/>
          <w:szCs w:val="24"/>
        </w:rPr>
        <w:t xml:space="preserve"> správy</w:t>
      </w:r>
    </w:p>
    <w:p w:rsidR="006F232C" w:rsidRPr="00AE16EB" w:rsidRDefault="006F232C" w:rsidP="00CD016C">
      <w:pPr>
        <w:pStyle w:val="Odstavecseseznamem"/>
        <w:ind w:left="1985"/>
        <w:jc w:val="both"/>
        <w:rPr>
          <w:b/>
          <w:sz w:val="14"/>
          <w:szCs w:val="24"/>
        </w:rPr>
      </w:pPr>
    </w:p>
    <w:p w:rsidR="006F232C" w:rsidRDefault="006F232C" w:rsidP="00CD016C">
      <w:pPr>
        <w:pStyle w:val="Odstavecseseznamem"/>
        <w:numPr>
          <w:ilvl w:val="1"/>
          <w:numId w:val="4"/>
        </w:numPr>
        <w:jc w:val="both"/>
        <w:rPr>
          <w:sz w:val="24"/>
          <w:szCs w:val="24"/>
        </w:rPr>
      </w:pPr>
      <w:r w:rsidRPr="009C6D4A">
        <w:rPr>
          <w:sz w:val="24"/>
          <w:szCs w:val="24"/>
        </w:rPr>
        <w:t>Vytvořit intera</w:t>
      </w:r>
      <w:r>
        <w:rPr>
          <w:sz w:val="24"/>
          <w:szCs w:val="24"/>
        </w:rPr>
        <w:t>k</w:t>
      </w:r>
      <w:r w:rsidRPr="009C6D4A">
        <w:rPr>
          <w:sz w:val="24"/>
          <w:szCs w:val="24"/>
        </w:rPr>
        <w:t>tivní formulář, který by neumožnil zadat formální chyby</w:t>
      </w:r>
      <w:r>
        <w:rPr>
          <w:sz w:val="24"/>
          <w:szCs w:val="24"/>
        </w:rPr>
        <w:t xml:space="preserve"> v náležitostech projektové dokumentace.</w:t>
      </w:r>
    </w:p>
    <w:p w:rsidR="006F232C" w:rsidRDefault="006F232C" w:rsidP="00CD016C">
      <w:pPr>
        <w:pStyle w:val="Odstavecseseznamem"/>
        <w:numPr>
          <w:ilvl w:val="1"/>
          <w:numId w:val="4"/>
        </w:numPr>
        <w:jc w:val="both"/>
        <w:rPr>
          <w:sz w:val="24"/>
          <w:szCs w:val="24"/>
        </w:rPr>
      </w:pPr>
      <w:r>
        <w:rPr>
          <w:sz w:val="24"/>
          <w:szCs w:val="24"/>
        </w:rPr>
        <w:t xml:space="preserve">Ověřit potřebu aktualizace interních procesů GFŘ pro kontrolní pracovníky finanční správy k provádění kontrol uplatněných odpočtů na </w:t>
      </w:r>
      <w:proofErr w:type="spellStart"/>
      <w:r>
        <w:rPr>
          <w:sz w:val="24"/>
          <w:szCs w:val="24"/>
        </w:rPr>
        <w:t>VaV</w:t>
      </w:r>
      <w:proofErr w:type="spellEnd"/>
      <w:r>
        <w:rPr>
          <w:sz w:val="24"/>
          <w:szCs w:val="24"/>
        </w:rPr>
        <w:t>.</w:t>
      </w:r>
    </w:p>
    <w:p w:rsidR="006F232C" w:rsidRPr="005A0087" w:rsidRDefault="006F232C" w:rsidP="005A0087">
      <w:pPr>
        <w:pStyle w:val="Odstavecseseznamem"/>
        <w:numPr>
          <w:ilvl w:val="1"/>
          <w:numId w:val="4"/>
        </w:numPr>
        <w:jc w:val="both"/>
        <w:rPr>
          <w:sz w:val="24"/>
          <w:szCs w:val="24"/>
        </w:rPr>
      </w:pPr>
      <w:r>
        <w:rPr>
          <w:sz w:val="24"/>
          <w:szCs w:val="24"/>
        </w:rPr>
        <w:t>Ověřit možnost zlepšit novými opatřeními přístup k informacím finanční správy a zlepšit konzultační roli finančních úřadů</w:t>
      </w:r>
      <w:r w:rsidRPr="005A0087">
        <w:rPr>
          <w:sz w:val="24"/>
          <w:szCs w:val="24"/>
        </w:rPr>
        <w:t>.</w:t>
      </w:r>
    </w:p>
    <w:p w:rsidR="006F232C" w:rsidRDefault="006F232C" w:rsidP="00E414AA">
      <w:pPr>
        <w:pStyle w:val="Odstavecseseznamem"/>
        <w:numPr>
          <w:ilvl w:val="1"/>
          <w:numId w:val="4"/>
        </w:numPr>
        <w:rPr>
          <w:sz w:val="24"/>
          <w:szCs w:val="24"/>
        </w:rPr>
      </w:pPr>
      <w:r>
        <w:rPr>
          <w:sz w:val="24"/>
          <w:szCs w:val="24"/>
        </w:rPr>
        <w:t>…</w:t>
      </w:r>
    </w:p>
    <w:p w:rsidR="006F232C" w:rsidRDefault="006F232C" w:rsidP="00AE16EB">
      <w:pPr>
        <w:pStyle w:val="Odstavecseseznamem"/>
        <w:spacing w:after="240"/>
        <w:ind w:left="2858"/>
        <w:rPr>
          <w:sz w:val="24"/>
          <w:szCs w:val="24"/>
        </w:rPr>
      </w:pPr>
    </w:p>
    <w:p w:rsidR="000A59DB" w:rsidRDefault="000A59DB" w:rsidP="00AE16EB">
      <w:pPr>
        <w:pStyle w:val="Odstavecseseznamem"/>
        <w:spacing w:after="240"/>
        <w:ind w:left="2858"/>
        <w:rPr>
          <w:sz w:val="24"/>
          <w:szCs w:val="24"/>
        </w:rPr>
      </w:pPr>
    </w:p>
    <w:p w:rsidR="000A59DB" w:rsidRDefault="000A59DB" w:rsidP="00AE16EB">
      <w:pPr>
        <w:pStyle w:val="Odstavecseseznamem"/>
        <w:spacing w:after="240"/>
        <w:ind w:left="2858"/>
        <w:rPr>
          <w:sz w:val="24"/>
          <w:szCs w:val="24"/>
        </w:rPr>
      </w:pPr>
    </w:p>
    <w:p w:rsidR="000A59DB" w:rsidRDefault="000A59DB" w:rsidP="00AE16EB">
      <w:pPr>
        <w:pStyle w:val="Odstavecseseznamem"/>
        <w:spacing w:after="240"/>
        <w:ind w:left="2858"/>
        <w:rPr>
          <w:sz w:val="24"/>
          <w:szCs w:val="24"/>
        </w:rPr>
      </w:pPr>
    </w:p>
    <w:p w:rsidR="006F232C" w:rsidRDefault="006F232C" w:rsidP="00AE16EB">
      <w:pPr>
        <w:pStyle w:val="Odstavecseseznamem"/>
        <w:numPr>
          <w:ilvl w:val="0"/>
          <w:numId w:val="4"/>
        </w:numPr>
        <w:spacing w:after="240"/>
        <w:ind w:left="1984" w:hanging="425"/>
        <w:rPr>
          <w:b/>
          <w:color w:val="2E74B5"/>
          <w:sz w:val="24"/>
          <w:szCs w:val="24"/>
        </w:rPr>
      </w:pPr>
      <w:r w:rsidRPr="00FF4C7C">
        <w:rPr>
          <w:b/>
          <w:color w:val="2E74B5"/>
          <w:sz w:val="24"/>
          <w:szCs w:val="24"/>
        </w:rPr>
        <w:lastRenderedPageBreak/>
        <w:t xml:space="preserve">Veřejné prohlášení </w:t>
      </w:r>
      <w:r>
        <w:rPr>
          <w:b/>
          <w:color w:val="2E74B5"/>
          <w:sz w:val="24"/>
          <w:szCs w:val="24"/>
        </w:rPr>
        <w:t>zájmu o rozšíření této podpory</w:t>
      </w:r>
    </w:p>
    <w:p w:rsidR="006F232C" w:rsidRPr="00AE16EB" w:rsidRDefault="006F232C" w:rsidP="00AE16EB">
      <w:pPr>
        <w:pStyle w:val="Odstavecseseznamem"/>
        <w:spacing w:after="240"/>
        <w:ind w:left="1984"/>
        <w:rPr>
          <w:b/>
          <w:color w:val="2E74B5"/>
          <w:sz w:val="14"/>
          <w:szCs w:val="24"/>
        </w:rPr>
      </w:pPr>
    </w:p>
    <w:p w:rsidR="006F232C" w:rsidRPr="00FF4C7C" w:rsidRDefault="006F232C" w:rsidP="00CD016C">
      <w:pPr>
        <w:pStyle w:val="Odstavecseseznamem"/>
        <w:numPr>
          <w:ilvl w:val="1"/>
          <w:numId w:val="4"/>
        </w:numPr>
        <w:jc w:val="both"/>
        <w:rPr>
          <w:sz w:val="24"/>
          <w:szCs w:val="24"/>
        </w:rPr>
      </w:pPr>
      <w:r w:rsidRPr="00FF4C7C">
        <w:rPr>
          <w:sz w:val="24"/>
          <w:szCs w:val="24"/>
        </w:rPr>
        <w:t xml:space="preserve">Uspořádání kulatého stolu nebo konference za přítomnosti představitelů </w:t>
      </w:r>
      <w:r>
        <w:rPr>
          <w:sz w:val="24"/>
          <w:szCs w:val="24"/>
        </w:rPr>
        <w:t>vlády a odb</w:t>
      </w:r>
      <w:r w:rsidRPr="00FF4C7C">
        <w:rPr>
          <w:sz w:val="24"/>
          <w:szCs w:val="24"/>
        </w:rPr>
        <w:t>orné veřejnosti</w:t>
      </w:r>
      <w:r>
        <w:rPr>
          <w:sz w:val="24"/>
          <w:szCs w:val="24"/>
        </w:rPr>
        <w:t xml:space="preserve"> (firmy, daňový experti, finanční zpráva).</w:t>
      </w:r>
    </w:p>
    <w:p w:rsidR="006F232C" w:rsidRDefault="006F232C" w:rsidP="00CD016C">
      <w:pPr>
        <w:pStyle w:val="Odstavecseseznamem"/>
        <w:numPr>
          <w:ilvl w:val="1"/>
          <w:numId w:val="4"/>
        </w:numPr>
        <w:jc w:val="both"/>
        <w:rPr>
          <w:sz w:val="24"/>
          <w:szCs w:val="24"/>
        </w:rPr>
      </w:pPr>
      <w:r w:rsidRPr="00FF4C7C">
        <w:rPr>
          <w:sz w:val="24"/>
          <w:szCs w:val="24"/>
        </w:rPr>
        <w:t>Veřejné prohlášení ministr</w:t>
      </w:r>
      <w:r>
        <w:rPr>
          <w:sz w:val="24"/>
          <w:szCs w:val="24"/>
        </w:rPr>
        <w:t>y</w:t>
      </w:r>
      <w:r w:rsidRPr="00FF4C7C">
        <w:rPr>
          <w:sz w:val="24"/>
          <w:szCs w:val="24"/>
        </w:rPr>
        <w:t xml:space="preserve">ně </w:t>
      </w:r>
      <w:proofErr w:type="spellStart"/>
      <w:r w:rsidRPr="00FF4C7C">
        <w:rPr>
          <w:sz w:val="24"/>
          <w:szCs w:val="24"/>
        </w:rPr>
        <w:t>VaVaI</w:t>
      </w:r>
      <w:proofErr w:type="spellEnd"/>
      <w:r w:rsidRPr="00FF4C7C">
        <w:rPr>
          <w:sz w:val="24"/>
          <w:szCs w:val="24"/>
        </w:rPr>
        <w:t xml:space="preserve"> a ministra f</w:t>
      </w:r>
      <w:r>
        <w:rPr>
          <w:sz w:val="24"/>
          <w:szCs w:val="24"/>
        </w:rPr>
        <w:t>inancí o vládním zájmu zajistit</w:t>
      </w:r>
      <w:r w:rsidRPr="00FF4C7C">
        <w:rPr>
          <w:sz w:val="24"/>
          <w:szCs w:val="24"/>
        </w:rPr>
        <w:t xml:space="preserve"> větší využívání nástroje daňových odpočtů </w:t>
      </w:r>
      <w:r>
        <w:rPr>
          <w:sz w:val="24"/>
          <w:szCs w:val="24"/>
        </w:rPr>
        <w:t xml:space="preserve">na </w:t>
      </w:r>
      <w:proofErr w:type="spellStart"/>
      <w:r>
        <w:rPr>
          <w:sz w:val="24"/>
          <w:szCs w:val="24"/>
        </w:rPr>
        <w:t>VaV</w:t>
      </w:r>
      <w:proofErr w:type="spellEnd"/>
      <w:r>
        <w:rPr>
          <w:sz w:val="24"/>
          <w:szCs w:val="24"/>
        </w:rPr>
        <w:t xml:space="preserve"> a o </w:t>
      </w:r>
      <w:r w:rsidRPr="00FF4C7C">
        <w:rPr>
          <w:sz w:val="24"/>
          <w:szCs w:val="24"/>
        </w:rPr>
        <w:t>zajištění větší transparentnosti tohoto systému</w:t>
      </w:r>
      <w:r>
        <w:rPr>
          <w:sz w:val="24"/>
          <w:szCs w:val="24"/>
        </w:rPr>
        <w:t>.</w:t>
      </w:r>
    </w:p>
    <w:p w:rsidR="006F232C" w:rsidRDefault="006F232C" w:rsidP="00C16E26">
      <w:pPr>
        <w:pStyle w:val="Odstavecseseznamem"/>
        <w:numPr>
          <w:ilvl w:val="1"/>
          <w:numId w:val="4"/>
        </w:numPr>
        <w:spacing w:after="0"/>
        <w:jc w:val="both"/>
        <w:rPr>
          <w:sz w:val="24"/>
          <w:szCs w:val="24"/>
        </w:rPr>
      </w:pPr>
      <w:r>
        <w:rPr>
          <w:sz w:val="24"/>
          <w:szCs w:val="24"/>
        </w:rPr>
        <w:t>Komunikovat směrem k ministerstvu financí, že nedochází k zátěži státního rozpočtu výší uplatněného daňového odpočtu, tzn. nedochází k velkému výpadku na příjmové části státního rozpočtu.</w:t>
      </w:r>
    </w:p>
    <w:p w:rsidR="006F232C" w:rsidRPr="00EC0D52" w:rsidRDefault="006F232C" w:rsidP="004567CB">
      <w:pPr>
        <w:pStyle w:val="Nadpis1"/>
        <w:numPr>
          <w:ilvl w:val="0"/>
          <w:numId w:val="13"/>
        </w:numPr>
        <w:spacing w:after="240" w:line="240" w:lineRule="auto"/>
        <w:ind w:left="426" w:hanging="284"/>
        <w:jc w:val="both"/>
        <w:rPr>
          <w:rFonts w:ascii="Calibri" w:hAnsi="Calibri" w:cs="Calibri"/>
          <w:b/>
          <w:sz w:val="28"/>
          <w:szCs w:val="28"/>
        </w:rPr>
      </w:pPr>
      <w:r w:rsidRPr="00EC0D52">
        <w:rPr>
          <w:rFonts w:ascii="Calibri" w:hAnsi="Calibri" w:cs="Calibri"/>
          <w:b/>
          <w:sz w:val="28"/>
          <w:szCs w:val="28"/>
        </w:rPr>
        <w:t>Varianty přístupu k systému daňových odpočtů</w:t>
      </w:r>
    </w:p>
    <w:p w:rsidR="006F232C" w:rsidRPr="00EC0D52" w:rsidRDefault="006F232C" w:rsidP="005B4F4E">
      <w:pPr>
        <w:pStyle w:val="Odstavecseseznamem"/>
        <w:numPr>
          <w:ilvl w:val="0"/>
          <w:numId w:val="29"/>
        </w:numPr>
        <w:jc w:val="both"/>
        <w:rPr>
          <w:sz w:val="24"/>
          <w:szCs w:val="24"/>
        </w:rPr>
      </w:pPr>
      <w:r w:rsidRPr="00EC0D52">
        <w:rPr>
          <w:sz w:val="24"/>
          <w:szCs w:val="24"/>
        </w:rPr>
        <w:t>PSDO se shodla na nutnosti politického zadání, jaký má zájem vláda v oblasti nepřímé podpory.</w:t>
      </w:r>
    </w:p>
    <w:p w:rsidR="006F232C" w:rsidRPr="00EC0D52" w:rsidRDefault="006F232C" w:rsidP="005B4F4E">
      <w:pPr>
        <w:pStyle w:val="Odstavecseseznamem"/>
        <w:numPr>
          <w:ilvl w:val="0"/>
          <w:numId w:val="29"/>
        </w:numPr>
        <w:jc w:val="both"/>
        <w:rPr>
          <w:sz w:val="24"/>
          <w:szCs w:val="24"/>
        </w:rPr>
      </w:pPr>
      <w:r w:rsidRPr="00EC0D52">
        <w:rPr>
          <w:sz w:val="24"/>
          <w:szCs w:val="24"/>
        </w:rPr>
        <w:t>Byly představeny tyto varianty přístupu k systému daňových odpočtů:</w:t>
      </w:r>
    </w:p>
    <w:p w:rsidR="006F232C" w:rsidRPr="00EC0D52" w:rsidRDefault="006F232C" w:rsidP="005B4F4E">
      <w:pPr>
        <w:numPr>
          <w:ilvl w:val="1"/>
          <w:numId w:val="29"/>
        </w:numPr>
        <w:spacing w:before="100" w:beforeAutospacing="1" w:after="100" w:afterAutospacing="1" w:line="240" w:lineRule="auto"/>
        <w:jc w:val="both"/>
        <w:rPr>
          <w:rFonts w:cs="Calibri"/>
          <w:sz w:val="24"/>
          <w:szCs w:val="24"/>
        </w:rPr>
      </w:pPr>
      <w:r w:rsidRPr="00EC0D52">
        <w:rPr>
          <w:rFonts w:cs="Calibri"/>
          <w:sz w:val="24"/>
          <w:szCs w:val="24"/>
        </w:rPr>
        <w:t>Varianta 1: NEPŘÍMÁ PODPORA nově řešena prostřednictvím Zákona 130 Sb.</w:t>
      </w:r>
    </w:p>
    <w:p w:rsidR="006F232C" w:rsidRPr="00EC0D52" w:rsidRDefault="006F232C" w:rsidP="005B4F4E">
      <w:pPr>
        <w:numPr>
          <w:ilvl w:val="1"/>
          <w:numId w:val="29"/>
        </w:numPr>
        <w:spacing w:before="100" w:beforeAutospacing="1" w:after="100" w:afterAutospacing="1" w:line="240" w:lineRule="auto"/>
        <w:jc w:val="both"/>
        <w:rPr>
          <w:rFonts w:cs="Calibri"/>
          <w:sz w:val="24"/>
          <w:szCs w:val="24"/>
        </w:rPr>
      </w:pPr>
      <w:r w:rsidRPr="00EC0D52">
        <w:rPr>
          <w:rFonts w:cs="Calibri"/>
          <w:sz w:val="24"/>
          <w:szCs w:val="24"/>
        </w:rPr>
        <w:t>Varianta 2: NOVELA ZÁKONA O PŘÍJMECH 586/1992 Sb.</w:t>
      </w:r>
    </w:p>
    <w:p w:rsidR="006F232C" w:rsidRPr="00EC0D52" w:rsidRDefault="006F232C" w:rsidP="005B4F4E">
      <w:pPr>
        <w:numPr>
          <w:ilvl w:val="1"/>
          <w:numId w:val="29"/>
        </w:numPr>
        <w:spacing w:before="100" w:beforeAutospacing="1" w:after="100" w:afterAutospacing="1" w:line="240" w:lineRule="auto"/>
        <w:jc w:val="both"/>
        <w:rPr>
          <w:rFonts w:cs="Calibri"/>
          <w:sz w:val="24"/>
          <w:szCs w:val="24"/>
        </w:rPr>
      </w:pPr>
      <w:r w:rsidRPr="00EC0D52">
        <w:rPr>
          <w:rFonts w:cs="Calibri"/>
          <w:sz w:val="24"/>
          <w:szCs w:val="24"/>
        </w:rPr>
        <w:t xml:space="preserve">Varianta 3: ZRUŠENÍ ODPOČTŮ na </w:t>
      </w:r>
      <w:proofErr w:type="spellStart"/>
      <w:r w:rsidRPr="00EC0D52">
        <w:rPr>
          <w:rFonts w:cs="Calibri"/>
          <w:sz w:val="24"/>
          <w:szCs w:val="24"/>
        </w:rPr>
        <w:t>VaV</w:t>
      </w:r>
      <w:proofErr w:type="spellEnd"/>
      <w:r w:rsidRPr="00EC0D52">
        <w:rPr>
          <w:rFonts w:cs="Calibri"/>
          <w:sz w:val="24"/>
          <w:szCs w:val="24"/>
        </w:rPr>
        <w:t xml:space="preserve"> a navýšení přímé podpory na </w:t>
      </w:r>
      <w:proofErr w:type="spellStart"/>
      <w:r w:rsidRPr="00EC0D52">
        <w:rPr>
          <w:rFonts w:cs="Calibri"/>
          <w:sz w:val="24"/>
          <w:szCs w:val="24"/>
        </w:rPr>
        <w:t>VaV</w:t>
      </w:r>
      <w:proofErr w:type="spellEnd"/>
    </w:p>
    <w:p w:rsidR="006F232C" w:rsidRPr="00EC0D52" w:rsidRDefault="006F232C" w:rsidP="005B4F4E">
      <w:pPr>
        <w:numPr>
          <w:ilvl w:val="1"/>
          <w:numId w:val="29"/>
        </w:numPr>
        <w:spacing w:before="100" w:beforeAutospacing="1" w:after="100" w:afterAutospacing="1" w:line="240" w:lineRule="auto"/>
        <w:jc w:val="both"/>
        <w:rPr>
          <w:rFonts w:cs="Calibri"/>
          <w:sz w:val="24"/>
          <w:szCs w:val="24"/>
        </w:rPr>
      </w:pPr>
      <w:r w:rsidRPr="00EC0D52">
        <w:rPr>
          <w:rFonts w:cs="Calibri"/>
          <w:sz w:val="24"/>
          <w:szCs w:val="24"/>
        </w:rPr>
        <w:t xml:space="preserve">Varianta 4: ZRUŠENÍ ODPOČTŮ na </w:t>
      </w:r>
      <w:proofErr w:type="spellStart"/>
      <w:r w:rsidRPr="00EC0D52">
        <w:rPr>
          <w:rFonts w:cs="Calibri"/>
          <w:sz w:val="24"/>
          <w:szCs w:val="24"/>
        </w:rPr>
        <w:t>VaV</w:t>
      </w:r>
      <w:proofErr w:type="spellEnd"/>
      <w:r w:rsidRPr="00EC0D52">
        <w:rPr>
          <w:rFonts w:cs="Calibri"/>
          <w:sz w:val="24"/>
          <w:szCs w:val="24"/>
        </w:rPr>
        <w:t xml:space="preserve"> a snížení daně pro právnické osoby</w:t>
      </w:r>
    </w:p>
    <w:p w:rsidR="006F232C" w:rsidRPr="00EC0D52" w:rsidRDefault="006F232C" w:rsidP="005B4F4E">
      <w:pPr>
        <w:numPr>
          <w:ilvl w:val="1"/>
          <w:numId w:val="29"/>
        </w:numPr>
        <w:spacing w:before="100" w:beforeAutospacing="1" w:after="100" w:afterAutospacing="1" w:line="240" w:lineRule="auto"/>
        <w:jc w:val="both"/>
        <w:rPr>
          <w:rFonts w:cs="Calibri"/>
          <w:sz w:val="24"/>
          <w:szCs w:val="24"/>
        </w:rPr>
      </w:pPr>
      <w:r w:rsidRPr="00EC0D52">
        <w:rPr>
          <w:rFonts w:cs="Calibri"/>
          <w:sz w:val="24"/>
          <w:szCs w:val="24"/>
        </w:rPr>
        <w:t xml:space="preserve">Varianta 5a) zavedení POSOUZENÍ </w:t>
      </w:r>
      <w:proofErr w:type="spellStart"/>
      <w:r w:rsidRPr="00EC0D52">
        <w:rPr>
          <w:rFonts w:cs="Calibri"/>
          <w:sz w:val="24"/>
          <w:szCs w:val="24"/>
        </w:rPr>
        <w:t>VaV</w:t>
      </w:r>
      <w:proofErr w:type="spellEnd"/>
      <w:r w:rsidRPr="00EC0D52">
        <w:rPr>
          <w:rFonts w:cs="Calibri"/>
          <w:sz w:val="24"/>
          <w:szCs w:val="24"/>
        </w:rPr>
        <w:t>, externí subjekt (např. TAČR), AKCEPTACE pro GFŘ (FS) NEBUDE povinná</w:t>
      </w:r>
    </w:p>
    <w:p w:rsidR="006F232C" w:rsidRPr="00EC0D52" w:rsidRDefault="006F232C" w:rsidP="005B4F4E">
      <w:pPr>
        <w:numPr>
          <w:ilvl w:val="1"/>
          <w:numId w:val="29"/>
        </w:numPr>
        <w:spacing w:before="100" w:beforeAutospacing="1" w:after="100" w:afterAutospacing="1" w:line="240" w:lineRule="auto"/>
        <w:jc w:val="both"/>
        <w:rPr>
          <w:rFonts w:cs="Calibri"/>
          <w:sz w:val="24"/>
          <w:szCs w:val="24"/>
        </w:rPr>
      </w:pPr>
      <w:r w:rsidRPr="00EC0D52">
        <w:rPr>
          <w:rFonts w:cs="Calibri"/>
          <w:sz w:val="24"/>
          <w:szCs w:val="24"/>
        </w:rPr>
        <w:t xml:space="preserve">Varianta 5b) zavedení POSOUZENÍ </w:t>
      </w:r>
      <w:proofErr w:type="spellStart"/>
      <w:r w:rsidRPr="00EC0D52">
        <w:rPr>
          <w:rFonts w:cs="Calibri"/>
          <w:sz w:val="24"/>
          <w:szCs w:val="24"/>
        </w:rPr>
        <w:t>VaV</w:t>
      </w:r>
      <w:proofErr w:type="spellEnd"/>
      <w:r w:rsidRPr="00EC0D52">
        <w:rPr>
          <w:rFonts w:cs="Calibri"/>
          <w:sz w:val="24"/>
          <w:szCs w:val="24"/>
        </w:rPr>
        <w:t>, externí subjekt (např. TAČR), AKCEPTACE pro GFŘ (FS) BUDE povinná</w:t>
      </w:r>
    </w:p>
    <w:p w:rsidR="006F232C" w:rsidRPr="00EC0D52" w:rsidRDefault="006F232C" w:rsidP="005B4F4E">
      <w:pPr>
        <w:pStyle w:val="Odstavecseseznamem"/>
        <w:numPr>
          <w:ilvl w:val="0"/>
          <w:numId w:val="29"/>
        </w:numPr>
        <w:jc w:val="both"/>
        <w:rPr>
          <w:sz w:val="24"/>
          <w:szCs w:val="24"/>
        </w:rPr>
      </w:pPr>
      <w:r w:rsidRPr="00EC0D52">
        <w:rPr>
          <w:sz w:val="24"/>
          <w:szCs w:val="24"/>
        </w:rPr>
        <w:t xml:space="preserve">Kde je </w:t>
      </w:r>
      <w:r w:rsidRPr="00EC0D52">
        <w:rPr>
          <w:rFonts w:cs="Calibri"/>
          <w:sz w:val="24"/>
          <w:szCs w:val="24"/>
        </w:rPr>
        <w:t>prvek novosti a technická výzkumná nejistota součástí variant 5a) a 5b).</w:t>
      </w:r>
    </w:p>
    <w:p w:rsidR="006F232C" w:rsidRPr="00EC0D52" w:rsidRDefault="006F232C" w:rsidP="005B4F4E">
      <w:pPr>
        <w:pStyle w:val="Odstavecseseznamem"/>
        <w:numPr>
          <w:ilvl w:val="0"/>
          <w:numId w:val="29"/>
        </w:numPr>
        <w:jc w:val="both"/>
        <w:rPr>
          <w:sz w:val="24"/>
          <w:szCs w:val="24"/>
        </w:rPr>
      </w:pPr>
      <w:r w:rsidRPr="00EC0D52">
        <w:rPr>
          <w:rFonts w:cs="Calibri"/>
          <w:sz w:val="24"/>
          <w:szCs w:val="24"/>
        </w:rPr>
        <w:t xml:space="preserve">Zástupci GFŘ uvedli, že by ocenili, aby </w:t>
      </w:r>
      <w:proofErr w:type="spellStart"/>
      <w:r w:rsidRPr="00EC0D52">
        <w:rPr>
          <w:rFonts w:cs="Calibri"/>
          <w:sz w:val="24"/>
          <w:szCs w:val="24"/>
        </w:rPr>
        <w:t>VaV</w:t>
      </w:r>
      <w:proofErr w:type="spellEnd"/>
      <w:r w:rsidRPr="00EC0D52">
        <w:rPr>
          <w:rFonts w:cs="Calibri"/>
          <w:sz w:val="24"/>
          <w:szCs w:val="24"/>
        </w:rPr>
        <w:t xml:space="preserve"> = „prvek novosti“ projektu schvaloval externí subjekt a poznamenali, že by tato skutečnost musela být upravena v zákoně o daních z příjmů.</w:t>
      </w:r>
    </w:p>
    <w:p w:rsidR="006F232C" w:rsidRPr="00EC0D52" w:rsidRDefault="006F232C" w:rsidP="005B4F4E">
      <w:pPr>
        <w:pStyle w:val="Odstavecseseznamem"/>
        <w:numPr>
          <w:ilvl w:val="0"/>
          <w:numId w:val="29"/>
        </w:numPr>
        <w:jc w:val="both"/>
        <w:rPr>
          <w:sz w:val="24"/>
          <w:szCs w:val="24"/>
        </w:rPr>
      </w:pPr>
      <w:r w:rsidRPr="00EC0D52">
        <w:rPr>
          <w:rFonts w:cs="Calibri"/>
          <w:sz w:val="24"/>
          <w:szCs w:val="24"/>
        </w:rPr>
        <w:t>Zástupce Komory souhlasil s variantou 2) a to v duchu tohoto co navrhoval v předchozích jednání (rozšíření možnosti dokazování) případně s variantou 5b), ale s tím, že nebylo povinností daňového subjektu toto posouzení předložit. K varia</w:t>
      </w:r>
      <w:r w:rsidR="00E02618" w:rsidRPr="00EC0D52">
        <w:rPr>
          <w:rFonts w:cs="Calibri"/>
          <w:sz w:val="24"/>
          <w:szCs w:val="24"/>
        </w:rPr>
        <w:t>n</w:t>
      </w:r>
      <w:r w:rsidRPr="00EC0D52">
        <w:rPr>
          <w:rFonts w:cs="Calibri"/>
          <w:sz w:val="24"/>
          <w:szCs w:val="24"/>
        </w:rPr>
        <w:t xml:space="preserve">tě 3) a  4) se Komora nevyjadřuje neboť jde o politické rozhodnutí. Dále uvedl, že pokud se bude jednat o nepřímou podporu nedokáže se představit (i vzhledem k navazujícím věcem jako je třeba procesní postup), že by tato podpora nebyla upravena v ZDP. </w:t>
      </w:r>
    </w:p>
    <w:p w:rsidR="006F232C" w:rsidRPr="00EC0D52" w:rsidRDefault="006F232C" w:rsidP="005B4F4E">
      <w:pPr>
        <w:pStyle w:val="Odstavecseseznamem"/>
        <w:numPr>
          <w:ilvl w:val="0"/>
          <w:numId w:val="29"/>
        </w:numPr>
        <w:jc w:val="both"/>
        <w:rPr>
          <w:sz w:val="24"/>
          <w:szCs w:val="24"/>
        </w:rPr>
      </w:pPr>
      <w:r w:rsidRPr="00EC0D52">
        <w:rPr>
          <w:sz w:val="24"/>
          <w:szCs w:val="24"/>
        </w:rPr>
        <w:t xml:space="preserve">Zavedení posudku </w:t>
      </w:r>
      <w:proofErr w:type="spellStart"/>
      <w:r w:rsidRPr="00EC0D52">
        <w:rPr>
          <w:sz w:val="24"/>
          <w:szCs w:val="24"/>
        </w:rPr>
        <w:t>VaV</w:t>
      </w:r>
      <w:proofErr w:type="spellEnd"/>
      <w:r w:rsidRPr="00EC0D52">
        <w:rPr>
          <w:sz w:val="24"/>
          <w:szCs w:val="24"/>
        </w:rPr>
        <w:t xml:space="preserve"> ze strany externího subjektu, by nemělo vést k významnějšímu administrativnímu  zatížení pro daňové subjekty. Systém daňových odpočtů by se neměl přibližovat složitosti hodnotícího procesu přímé podpory.</w:t>
      </w:r>
    </w:p>
    <w:p w:rsidR="006F232C" w:rsidRPr="00EC0D52" w:rsidRDefault="006F232C" w:rsidP="005B4F4E">
      <w:pPr>
        <w:pStyle w:val="Odstavecseseznamem"/>
        <w:numPr>
          <w:ilvl w:val="0"/>
          <w:numId w:val="29"/>
        </w:numPr>
        <w:jc w:val="both"/>
        <w:rPr>
          <w:sz w:val="24"/>
          <w:szCs w:val="24"/>
        </w:rPr>
      </w:pPr>
      <w:r w:rsidRPr="00EC0D52">
        <w:rPr>
          <w:rFonts w:cs="Calibri"/>
          <w:sz w:val="24"/>
          <w:szCs w:val="24"/>
        </w:rPr>
        <w:t>Byly prezentovány příklady zahraničních systémů daňových odpočtů 4 států, viz Příloha č. 9 zápisu.</w:t>
      </w:r>
    </w:p>
    <w:p w:rsidR="006F232C" w:rsidRPr="00EC0D52" w:rsidRDefault="006F232C" w:rsidP="00D0725E">
      <w:pPr>
        <w:pStyle w:val="Odstavecseseznamem"/>
        <w:numPr>
          <w:ilvl w:val="0"/>
          <w:numId w:val="29"/>
        </w:numPr>
        <w:rPr>
          <w:rFonts w:cs="Calibri"/>
          <w:sz w:val="24"/>
          <w:szCs w:val="24"/>
        </w:rPr>
      </w:pPr>
      <w:r w:rsidRPr="00EC0D52">
        <w:rPr>
          <w:rFonts w:cs="Calibri"/>
          <w:sz w:val="24"/>
          <w:szCs w:val="24"/>
        </w:rPr>
        <w:t xml:space="preserve">Z proběhlých jednání PSDO vyplývají 3 pilíře, kterými je nutno se zabývat: </w:t>
      </w:r>
    </w:p>
    <w:p w:rsidR="006F232C" w:rsidRPr="00EC0D52" w:rsidRDefault="006F232C" w:rsidP="00D0725E">
      <w:pPr>
        <w:pStyle w:val="Odstavecseseznamem"/>
        <w:numPr>
          <w:ilvl w:val="3"/>
          <w:numId w:val="29"/>
        </w:numPr>
        <w:rPr>
          <w:rFonts w:cs="Calibri"/>
          <w:sz w:val="24"/>
          <w:szCs w:val="24"/>
        </w:rPr>
      </w:pPr>
      <w:r w:rsidRPr="00EC0D52">
        <w:rPr>
          <w:rFonts w:cs="Calibri"/>
          <w:sz w:val="24"/>
          <w:szCs w:val="24"/>
        </w:rPr>
        <w:t xml:space="preserve">1. politická podpora, </w:t>
      </w:r>
    </w:p>
    <w:p w:rsidR="006F232C" w:rsidRPr="00EC0D52" w:rsidRDefault="006F232C" w:rsidP="00D0725E">
      <w:pPr>
        <w:pStyle w:val="Odstavecseseznamem"/>
        <w:numPr>
          <w:ilvl w:val="3"/>
          <w:numId w:val="29"/>
        </w:numPr>
        <w:rPr>
          <w:rFonts w:cs="Calibri"/>
          <w:sz w:val="24"/>
          <w:szCs w:val="24"/>
        </w:rPr>
      </w:pPr>
      <w:r w:rsidRPr="00EC0D52">
        <w:rPr>
          <w:rFonts w:cs="Calibri"/>
          <w:sz w:val="24"/>
          <w:szCs w:val="24"/>
        </w:rPr>
        <w:t xml:space="preserve">2. legislativní nastavení podpor a s tím spojená změna zákona, </w:t>
      </w:r>
    </w:p>
    <w:p w:rsidR="006F232C" w:rsidRPr="00EC0D52" w:rsidRDefault="006F232C" w:rsidP="00D0725E">
      <w:pPr>
        <w:pStyle w:val="Odstavecseseznamem"/>
        <w:numPr>
          <w:ilvl w:val="3"/>
          <w:numId w:val="29"/>
        </w:numPr>
        <w:rPr>
          <w:rFonts w:cs="Calibri"/>
          <w:sz w:val="24"/>
          <w:szCs w:val="24"/>
        </w:rPr>
      </w:pPr>
      <w:r w:rsidRPr="00EC0D52">
        <w:rPr>
          <w:rFonts w:cs="Calibri"/>
          <w:sz w:val="24"/>
          <w:szCs w:val="24"/>
        </w:rPr>
        <w:t>3. nastavení parametrů sytému</w:t>
      </w:r>
    </w:p>
    <w:p w:rsidR="006F232C" w:rsidRPr="00EC0D52" w:rsidRDefault="006F232C" w:rsidP="003802BE">
      <w:pPr>
        <w:pStyle w:val="Nadpis1"/>
        <w:numPr>
          <w:ilvl w:val="0"/>
          <w:numId w:val="13"/>
        </w:numPr>
        <w:spacing w:after="240" w:line="240" w:lineRule="auto"/>
        <w:ind w:left="426" w:hanging="284"/>
        <w:jc w:val="both"/>
        <w:rPr>
          <w:rFonts w:ascii="Calibri" w:hAnsi="Calibri" w:cs="Calibri"/>
          <w:b/>
          <w:sz w:val="28"/>
          <w:szCs w:val="28"/>
        </w:rPr>
      </w:pPr>
      <w:r w:rsidRPr="00EC0D52">
        <w:rPr>
          <w:rFonts w:ascii="Calibri" w:hAnsi="Calibri" w:cs="Calibri"/>
          <w:b/>
          <w:sz w:val="28"/>
          <w:szCs w:val="28"/>
        </w:rPr>
        <w:lastRenderedPageBreak/>
        <w:t>Efektivita systému daňových odpočtů (Matěj Bajgar, CERGE-EI)</w:t>
      </w:r>
    </w:p>
    <w:p w:rsidR="006F232C" w:rsidRPr="00EC0D52" w:rsidRDefault="006F232C" w:rsidP="0003480C">
      <w:pPr>
        <w:pStyle w:val="Odstavecseseznamem"/>
        <w:numPr>
          <w:ilvl w:val="0"/>
          <w:numId w:val="31"/>
        </w:numPr>
        <w:jc w:val="both"/>
        <w:rPr>
          <w:rFonts w:cs="Calibri"/>
          <w:sz w:val="24"/>
          <w:szCs w:val="24"/>
        </w:rPr>
      </w:pPr>
      <w:r w:rsidRPr="00EC0D52">
        <w:rPr>
          <w:rFonts w:cs="Calibri"/>
          <w:sz w:val="24"/>
          <w:szCs w:val="24"/>
        </w:rPr>
        <w:t xml:space="preserve">Daňové pobídky na </w:t>
      </w:r>
      <w:proofErr w:type="spellStart"/>
      <w:r w:rsidRPr="00EC0D52">
        <w:rPr>
          <w:rFonts w:cs="Calibri"/>
          <w:sz w:val="24"/>
          <w:szCs w:val="24"/>
        </w:rPr>
        <w:t>VaV</w:t>
      </w:r>
      <w:proofErr w:type="spellEnd"/>
      <w:r w:rsidRPr="00EC0D52">
        <w:rPr>
          <w:rFonts w:cs="Calibri"/>
          <w:sz w:val="24"/>
          <w:szCs w:val="24"/>
        </w:rPr>
        <w:t xml:space="preserve"> i přímá podpora, </w:t>
      </w:r>
      <w:r w:rsidRPr="00EC0D52">
        <w:rPr>
          <w:rFonts w:cs="Calibri"/>
          <w:b/>
          <w:sz w:val="24"/>
          <w:szCs w:val="24"/>
        </w:rPr>
        <w:t xml:space="preserve">obě účinně podporují investování do oblasti </w:t>
      </w:r>
      <w:proofErr w:type="spellStart"/>
      <w:r w:rsidRPr="00EC0D52">
        <w:rPr>
          <w:rFonts w:cs="Calibri"/>
          <w:b/>
          <w:sz w:val="24"/>
          <w:szCs w:val="24"/>
        </w:rPr>
        <w:t>VaV</w:t>
      </w:r>
      <w:proofErr w:type="spellEnd"/>
      <w:r w:rsidRPr="00EC0D52">
        <w:rPr>
          <w:rFonts w:cs="Calibri"/>
          <w:b/>
          <w:sz w:val="24"/>
          <w:szCs w:val="24"/>
        </w:rPr>
        <w:t xml:space="preserve"> v podnicích.</w:t>
      </w:r>
      <w:r w:rsidRPr="00EC0D52">
        <w:rPr>
          <w:rFonts w:cs="Calibri"/>
          <w:sz w:val="24"/>
          <w:szCs w:val="24"/>
        </w:rPr>
        <w:t xml:space="preserve"> </w:t>
      </w:r>
    </w:p>
    <w:p w:rsidR="006F232C" w:rsidRPr="00EC0D52" w:rsidRDefault="006F232C" w:rsidP="0003480C">
      <w:pPr>
        <w:pStyle w:val="Odstavecseseznamem"/>
        <w:numPr>
          <w:ilvl w:val="0"/>
          <w:numId w:val="31"/>
        </w:numPr>
        <w:jc w:val="both"/>
        <w:rPr>
          <w:rFonts w:cs="Calibri"/>
          <w:sz w:val="24"/>
          <w:szCs w:val="24"/>
        </w:rPr>
      </w:pPr>
      <w:r w:rsidRPr="00EC0D52">
        <w:rPr>
          <w:rFonts w:cs="Calibri"/>
          <w:sz w:val="24"/>
          <w:szCs w:val="24"/>
        </w:rPr>
        <w:t>Jedna peněžní jednotka (EUR) buď daně, nebo přímé podpory se promítá do přibližně 1,4 jednotek (EUR) podnikového výzkumu a vývoje.</w:t>
      </w:r>
    </w:p>
    <w:p w:rsidR="006F232C" w:rsidRPr="00EC0D52" w:rsidRDefault="006F232C" w:rsidP="0003480C">
      <w:pPr>
        <w:pStyle w:val="Odstavecseseznamem"/>
        <w:numPr>
          <w:ilvl w:val="0"/>
          <w:numId w:val="31"/>
        </w:numPr>
        <w:jc w:val="both"/>
        <w:rPr>
          <w:rFonts w:cs="Calibri"/>
          <w:b/>
          <w:sz w:val="24"/>
          <w:szCs w:val="24"/>
        </w:rPr>
      </w:pPr>
      <w:r w:rsidRPr="00EC0D52">
        <w:rPr>
          <w:rFonts w:cs="Calibri"/>
          <w:sz w:val="24"/>
          <w:szCs w:val="24"/>
        </w:rPr>
        <w:t>Daňové pobídky zvyšují intenzitu výzkumných a vývojových aktivit mezi stávajícími firmami již provádějícími výzkum a vývoj a lákají firmy k zahájení nebo pokračování v investicích do výzkumu a vývoje.</w:t>
      </w:r>
    </w:p>
    <w:p w:rsidR="006F232C" w:rsidRPr="00EC0D52" w:rsidRDefault="006F232C" w:rsidP="0003480C">
      <w:pPr>
        <w:pStyle w:val="Odstavecseseznamem"/>
        <w:numPr>
          <w:ilvl w:val="0"/>
          <w:numId w:val="31"/>
        </w:numPr>
        <w:jc w:val="both"/>
        <w:rPr>
          <w:rFonts w:cs="Calibri"/>
          <w:b/>
          <w:sz w:val="24"/>
          <w:szCs w:val="24"/>
        </w:rPr>
      </w:pPr>
      <w:r w:rsidRPr="00EC0D52">
        <w:rPr>
          <w:rFonts w:cs="Calibri"/>
          <w:sz w:val="24"/>
          <w:szCs w:val="24"/>
        </w:rPr>
        <w:t xml:space="preserve">Vliv </w:t>
      </w:r>
      <w:r w:rsidRPr="00EC0D52">
        <w:rPr>
          <w:rFonts w:cs="Calibri"/>
          <w:b/>
          <w:sz w:val="24"/>
          <w:szCs w:val="24"/>
        </w:rPr>
        <w:t xml:space="preserve">daňových pobídek pro </w:t>
      </w:r>
      <w:proofErr w:type="spellStart"/>
      <w:r w:rsidRPr="00EC0D52">
        <w:rPr>
          <w:rFonts w:cs="Calibri"/>
          <w:b/>
          <w:sz w:val="24"/>
          <w:szCs w:val="24"/>
        </w:rPr>
        <w:t>VaV</w:t>
      </w:r>
      <w:proofErr w:type="spellEnd"/>
      <w:r w:rsidRPr="00EC0D52">
        <w:rPr>
          <w:rFonts w:cs="Calibri"/>
          <w:b/>
          <w:sz w:val="24"/>
          <w:szCs w:val="24"/>
        </w:rPr>
        <w:t xml:space="preserve"> na experimentální vývoj je přibližně dvakrát větší než vliv na základní a aplikovaný výzkum</w:t>
      </w:r>
      <w:r w:rsidRPr="00EC0D52">
        <w:rPr>
          <w:rFonts w:cs="Calibri"/>
          <w:sz w:val="24"/>
          <w:szCs w:val="24"/>
        </w:rPr>
        <w:t xml:space="preserve">, přičemž vliv </w:t>
      </w:r>
      <w:r w:rsidRPr="00EC0D52">
        <w:rPr>
          <w:rFonts w:cs="Calibri"/>
          <w:b/>
          <w:sz w:val="24"/>
          <w:szCs w:val="24"/>
        </w:rPr>
        <w:t>přímého financování na experimentální vývoj je poloviční než vliv na základní i aplikovaný výzkum.</w:t>
      </w:r>
      <w:r w:rsidRPr="00EC0D52">
        <w:rPr>
          <w:rFonts w:cs="Calibri"/>
          <w:sz w:val="24"/>
          <w:szCs w:val="24"/>
        </w:rPr>
        <w:t xml:space="preserve"> </w:t>
      </w:r>
      <w:r w:rsidRPr="00EC0D52">
        <w:rPr>
          <w:rFonts w:cs="Calibri"/>
          <w:b/>
          <w:sz w:val="24"/>
          <w:szCs w:val="24"/>
        </w:rPr>
        <w:t xml:space="preserve">Daňové pobídky a přímé financování se proto vzájemně doplňují. </w:t>
      </w:r>
      <w:r w:rsidRPr="00EC0D52">
        <w:rPr>
          <w:rFonts w:cs="Calibri"/>
          <w:sz w:val="24"/>
          <w:szCs w:val="24"/>
        </w:rPr>
        <w:t xml:space="preserve">(Pozn. Ale může to být také způsobeno malým podílem přímé finanční podpory plynoucí do projektů experimentálního vývoje.) </w:t>
      </w:r>
    </w:p>
    <w:p w:rsidR="006F232C" w:rsidRPr="00EC0D52" w:rsidRDefault="006F232C" w:rsidP="0003480C">
      <w:pPr>
        <w:pStyle w:val="Odstavecseseznamem"/>
        <w:numPr>
          <w:ilvl w:val="0"/>
          <w:numId w:val="31"/>
        </w:numPr>
        <w:jc w:val="both"/>
        <w:rPr>
          <w:rFonts w:cs="Calibri"/>
          <w:sz w:val="24"/>
          <w:szCs w:val="24"/>
        </w:rPr>
      </w:pPr>
      <w:r w:rsidRPr="00EC0D52">
        <w:rPr>
          <w:rFonts w:cs="Calibri"/>
          <w:sz w:val="24"/>
          <w:szCs w:val="24"/>
        </w:rPr>
        <w:t>Celkově se daňové pobídky pro výzkum a vývoj zdají být vhodnější k podpoře experimentálních vývojových aktivit v ČR v podnikatelském sektoru, zatímco přímé financování se zdá být efektivnější při podpoře základního a aplikovaného výzkumu, který je sice orientován na konečnou aplikaci, ale ještě je daleko od dosažení na trh.</w:t>
      </w:r>
    </w:p>
    <w:p w:rsidR="006F232C" w:rsidRPr="00EC0D52" w:rsidRDefault="006F232C" w:rsidP="0003480C">
      <w:pPr>
        <w:pStyle w:val="Odstavecseseznamem"/>
        <w:numPr>
          <w:ilvl w:val="0"/>
          <w:numId w:val="31"/>
        </w:numPr>
        <w:jc w:val="both"/>
        <w:rPr>
          <w:rFonts w:cs="Calibri"/>
          <w:b/>
          <w:sz w:val="24"/>
          <w:szCs w:val="24"/>
        </w:rPr>
      </w:pPr>
      <w:r w:rsidRPr="00EC0D52">
        <w:rPr>
          <w:rFonts w:cs="Calibri"/>
          <w:b/>
          <w:sz w:val="24"/>
          <w:szCs w:val="24"/>
        </w:rPr>
        <w:t xml:space="preserve">Změny v politikách daňových pobídek na </w:t>
      </w:r>
      <w:proofErr w:type="spellStart"/>
      <w:r w:rsidRPr="00EC0D52">
        <w:rPr>
          <w:rFonts w:cs="Calibri"/>
          <w:b/>
          <w:sz w:val="24"/>
          <w:szCs w:val="24"/>
        </w:rPr>
        <w:t>VaV</w:t>
      </w:r>
      <w:proofErr w:type="spellEnd"/>
      <w:r w:rsidRPr="00EC0D52">
        <w:rPr>
          <w:rFonts w:cs="Calibri"/>
          <w:b/>
          <w:sz w:val="24"/>
          <w:szCs w:val="24"/>
        </w:rPr>
        <w:t xml:space="preserve">, které se zaměřují na menší firmy nebo zahrnují stropy či prahové hodnoty, mívají silnější dopady na podnikové investice do výzkumu a vývoje, protože se zdá, že malé subjekty provádějící </w:t>
      </w:r>
      <w:proofErr w:type="spellStart"/>
      <w:r w:rsidRPr="00EC0D52">
        <w:rPr>
          <w:rFonts w:cs="Calibri"/>
          <w:b/>
          <w:sz w:val="24"/>
          <w:szCs w:val="24"/>
        </w:rPr>
        <w:t>VaV</w:t>
      </w:r>
      <w:proofErr w:type="spellEnd"/>
      <w:r w:rsidRPr="00EC0D52">
        <w:rPr>
          <w:rFonts w:cs="Calibri"/>
          <w:b/>
          <w:sz w:val="24"/>
          <w:szCs w:val="24"/>
        </w:rPr>
        <w:t xml:space="preserve"> reagují lépe než větší firmy na dostupnost daňových dotací na </w:t>
      </w:r>
      <w:proofErr w:type="spellStart"/>
      <w:r w:rsidRPr="00EC0D52">
        <w:rPr>
          <w:rFonts w:cs="Calibri"/>
          <w:b/>
          <w:sz w:val="24"/>
          <w:szCs w:val="24"/>
        </w:rPr>
        <w:t>VaV</w:t>
      </w:r>
      <w:proofErr w:type="spellEnd"/>
      <w:r w:rsidRPr="00EC0D52">
        <w:rPr>
          <w:rFonts w:cs="Calibri"/>
          <w:b/>
          <w:sz w:val="24"/>
          <w:szCs w:val="24"/>
        </w:rPr>
        <w:t>.</w:t>
      </w:r>
    </w:p>
    <w:p w:rsidR="006F232C" w:rsidRPr="00EC0D52" w:rsidRDefault="006F232C" w:rsidP="0003480C">
      <w:pPr>
        <w:pStyle w:val="Odstavecseseznamem"/>
        <w:numPr>
          <w:ilvl w:val="0"/>
          <w:numId w:val="31"/>
        </w:numPr>
        <w:jc w:val="both"/>
        <w:rPr>
          <w:rFonts w:cs="Calibri"/>
          <w:sz w:val="24"/>
          <w:szCs w:val="24"/>
        </w:rPr>
      </w:pPr>
      <w:r w:rsidRPr="00EC0D52">
        <w:rPr>
          <w:rFonts w:cs="Calibri"/>
          <w:sz w:val="24"/>
          <w:szCs w:val="24"/>
        </w:rPr>
        <w:t xml:space="preserve">Analýza OECD stanovuje hrubý „přírůstkový poměr“ (IR) pro daňové pobídky na </w:t>
      </w:r>
      <w:proofErr w:type="spellStart"/>
      <w:r w:rsidRPr="00EC0D52">
        <w:rPr>
          <w:rFonts w:cs="Calibri"/>
          <w:sz w:val="24"/>
          <w:szCs w:val="24"/>
        </w:rPr>
        <w:t>VaV</w:t>
      </w:r>
      <w:proofErr w:type="spellEnd"/>
      <w:r w:rsidRPr="00EC0D52">
        <w:rPr>
          <w:rFonts w:cs="Calibri"/>
          <w:sz w:val="24"/>
          <w:szCs w:val="24"/>
        </w:rPr>
        <w:t xml:space="preserve"> a přímé financování. Tento poměr, jinak řečeno – „měřítko </w:t>
      </w:r>
      <w:proofErr w:type="spellStart"/>
      <w:r w:rsidRPr="00EC0D52">
        <w:rPr>
          <w:rFonts w:cs="Calibri"/>
          <w:sz w:val="24"/>
          <w:szCs w:val="24"/>
        </w:rPr>
        <w:t>adicionality</w:t>
      </w:r>
      <w:proofErr w:type="spellEnd"/>
      <w:r w:rsidRPr="00EC0D52">
        <w:rPr>
          <w:rFonts w:cs="Calibri"/>
          <w:sz w:val="24"/>
          <w:szCs w:val="24"/>
        </w:rPr>
        <w:t xml:space="preserve">“ vstupů do </w:t>
      </w:r>
      <w:proofErr w:type="spellStart"/>
      <w:r w:rsidRPr="00EC0D52">
        <w:rPr>
          <w:rFonts w:cs="Calibri"/>
          <w:sz w:val="24"/>
          <w:szCs w:val="24"/>
        </w:rPr>
        <w:t>VaV</w:t>
      </w:r>
      <w:proofErr w:type="spellEnd"/>
      <w:r w:rsidRPr="00EC0D52">
        <w:rPr>
          <w:rFonts w:cs="Calibri"/>
          <w:sz w:val="24"/>
          <w:szCs w:val="24"/>
        </w:rPr>
        <w:t xml:space="preserve">, udává množství </w:t>
      </w:r>
      <w:proofErr w:type="spellStart"/>
      <w:r w:rsidRPr="00EC0D52">
        <w:rPr>
          <w:rFonts w:cs="Calibri"/>
          <w:sz w:val="24"/>
          <w:szCs w:val="24"/>
        </w:rPr>
        <w:t>VaV</w:t>
      </w:r>
      <w:proofErr w:type="spellEnd"/>
      <w:r w:rsidRPr="00EC0D52">
        <w:rPr>
          <w:rFonts w:cs="Calibri"/>
          <w:sz w:val="24"/>
          <w:szCs w:val="24"/>
        </w:rPr>
        <w:t xml:space="preserve"> vyvolaného jednou peněžní jednotkou veřejného financování.</w:t>
      </w:r>
    </w:p>
    <w:p w:rsidR="006F232C" w:rsidRPr="00EC0D52" w:rsidRDefault="006F232C" w:rsidP="0003480C">
      <w:pPr>
        <w:pStyle w:val="Odstavecseseznamem"/>
        <w:numPr>
          <w:ilvl w:val="0"/>
          <w:numId w:val="31"/>
        </w:numPr>
        <w:jc w:val="both"/>
        <w:rPr>
          <w:rFonts w:cs="Calibri"/>
          <w:b/>
          <w:sz w:val="24"/>
          <w:szCs w:val="24"/>
        </w:rPr>
      </w:pPr>
      <w:r w:rsidRPr="00EC0D52">
        <w:rPr>
          <w:rFonts w:cs="Calibri"/>
          <w:sz w:val="24"/>
          <w:szCs w:val="24"/>
        </w:rPr>
        <w:t xml:space="preserve">Zaúčtování skutečného čerpání daňových pobídek na základě administrativních záznamů dává přírůstkový poměr ve výši přibližně 1,4, což naznačuje, že </w:t>
      </w:r>
      <w:r w:rsidRPr="00EC0D52">
        <w:rPr>
          <w:rFonts w:cs="Calibri"/>
          <w:b/>
          <w:sz w:val="24"/>
          <w:szCs w:val="24"/>
        </w:rPr>
        <w:t xml:space="preserve">1 EUR daňové podpory představuje 1,4 jednotky </w:t>
      </w:r>
      <w:proofErr w:type="spellStart"/>
      <w:r w:rsidRPr="00EC0D52">
        <w:rPr>
          <w:rFonts w:cs="Calibri"/>
          <w:b/>
          <w:sz w:val="24"/>
          <w:szCs w:val="24"/>
        </w:rPr>
        <w:t>VaV</w:t>
      </w:r>
      <w:proofErr w:type="spellEnd"/>
      <w:r w:rsidRPr="00EC0D52">
        <w:rPr>
          <w:rFonts w:cs="Calibri"/>
          <w:sz w:val="24"/>
          <w:szCs w:val="24"/>
        </w:rPr>
        <w:t xml:space="preserve">. </w:t>
      </w:r>
      <w:r w:rsidRPr="00EC0D52">
        <w:rPr>
          <w:rFonts w:cs="Calibri"/>
          <w:b/>
          <w:sz w:val="24"/>
          <w:szCs w:val="24"/>
        </w:rPr>
        <w:t xml:space="preserve">Což je srovnatelné s odhadem dopadu přímého financování </w:t>
      </w:r>
      <w:proofErr w:type="spellStart"/>
      <w:r w:rsidRPr="00EC0D52">
        <w:rPr>
          <w:rFonts w:cs="Calibri"/>
          <w:b/>
          <w:sz w:val="24"/>
          <w:szCs w:val="24"/>
        </w:rPr>
        <w:t>VaV</w:t>
      </w:r>
      <w:proofErr w:type="spellEnd"/>
      <w:r w:rsidRPr="00EC0D52">
        <w:rPr>
          <w:rFonts w:cs="Calibri"/>
          <w:b/>
          <w:sz w:val="24"/>
          <w:szCs w:val="24"/>
        </w:rPr>
        <w:t>.</w:t>
      </w:r>
    </w:p>
    <w:p w:rsidR="006F232C" w:rsidRPr="00EC0D52" w:rsidRDefault="006F232C" w:rsidP="009372FD">
      <w:pPr>
        <w:pStyle w:val="Odstavecseseznamem"/>
        <w:numPr>
          <w:ilvl w:val="0"/>
          <w:numId w:val="31"/>
        </w:numPr>
        <w:jc w:val="both"/>
        <w:rPr>
          <w:rFonts w:cs="Calibri"/>
          <w:b/>
          <w:sz w:val="24"/>
          <w:szCs w:val="24"/>
        </w:rPr>
      </w:pPr>
      <w:r w:rsidRPr="00EC0D52">
        <w:rPr>
          <w:rFonts w:cs="Calibri"/>
          <w:b/>
          <w:sz w:val="24"/>
          <w:szCs w:val="24"/>
        </w:rPr>
        <w:t xml:space="preserve">Tyto výsledky naznačují, že jak daňové pobídky na </w:t>
      </w:r>
      <w:proofErr w:type="spellStart"/>
      <w:r w:rsidRPr="00EC0D52">
        <w:rPr>
          <w:rFonts w:cs="Calibri"/>
          <w:b/>
          <w:sz w:val="24"/>
          <w:szCs w:val="24"/>
        </w:rPr>
        <w:t>VaV</w:t>
      </w:r>
      <w:proofErr w:type="spellEnd"/>
      <w:r w:rsidRPr="00EC0D52">
        <w:rPr>
          <w:rFonts w:cs="Calibri"/>
          <w:b/>
          <w:sz w:val="24"/>
          <w:szCs w:val="24"/>
        </w:rPr>
        <w:t>, tak přímé financování jsou účinné při zvyšování podnikového výzkumu a vývoje a při růstu investic do této oblasti.</w:t>
      </w:r>
    </w:p>
    <w:p w:rsidR="006F232C" w:rsidRPr="00EC0D52" w:rsidRDefault="006F232C" w:rsidP="0003480C">
      <w:pPr>
        <w:pStyle w:val="Odstavecseseznamem"/>
        <w:numPr>
          <w:ilvl w:val="0"/>
          <w:numId w:val="31"/>
        </w:numPr>
        <w:jc w:val="both"/>
        <w:rPr>
          <w:rFonts w:cs="Calibri"/>
          <w:sz w:val="24"/>
          <w:szCs w:val="24"/>
        </w:rPr>
      </w:pPr>
      <w:r w:rsidRPr="00EC0D52">
        <w:rPr>
          <w:rFonts w:cs="Calibri"/>
          <w:sz w:val="24"/>
          <w:szCs w:val="24"/>
        </w:rPr>
        <w:t xml:space="preserve">Nárůst výdajů na </w:t>
      </w:r>
      <w:proofErr w:type="spellStart"/>
      <w:r w:rsidRPr="00EC0D52">
        <w:rPr>
          <w:rFonts w:cs="Calibri"/>
          <w:sz w:val="24"/>
          <w:szCs w:val="24"/>
        </w:rPr>
        <w:t>VaV</w:t>
      </w:r>
      <w:proofErr w:type="spellEnd"/>
      <w:r w:rsidRPr="00EC0D52">
        <w:rPr>
          <w:rFonts w:cs="Calibri"/>
          <w:sz w:val="24"/>
          <w:szCs w:val="24"/>
        </w:rPr>
        <w:t xml:space="preserve"> spojený s finanční podporou z veřejných zdrojů není způsobený nárůstem </w:t>
      </w:r>
      <w:r w:rsidRPr="00EC0D52">
        <w:rPr>
          <w:rFonts w:cs="Calibri"/>
          <w:b/>
          <w:sz w:val="24"/>
          <w:szCs w:val="24"/>
        </w:rPr>
        <w:t>mezd vědeckých pracovníků</w:t>
      </w:r>
      <w:r w:rsidRPr="00EC0D52">
        <w:rPr>
          <w:rFonts w:cs="Calibri"/>
          <w:sz w:val="24"/>
          <w:szCs w:val="24"/>
        </w:rPr>
        <w:t xml:space="preserve">, ale nárůstem objemu práce ve výzkumu a vývoji a nárůstem dalších jiných běžných a kapitálových výdajů, včetně externích). </w:t>
      </w:r>
      <w:r w:rsidRPr="00EC0D52">
        <w:rPr>
          <w:rFonts w:cs="Calibri"/>
          <w:b/>
          <w:sz w:val="24"/>
          <w:szCs w:val="24"/>
        </w:rPr>
        <w:t xml:space="preserve">Ukázalo se, že zvýšení výdajů na pracovní sílu je způsobeno nárůstem počtu zaměstnanců </w:t>
      </w:r>
      <w:proofErr w:type="spellStart"/>
      <w:r w:rsidRPr="00EC0D52">
        <w:rPr>
          <w:rFonts w:cs="Calibri"/>
          <w:b/>
          <w:sz w:val="24"/>
          <w:szCs w:val="24"/>
        </w:rPr>
        <w:t>VaV</w:t>
      </w:r>
      <w:proofErr w:type="spellEnd"/>
      <w:r w:rsidRPr="00EC0D52">
        <w:rPr>
          <w:rFonts w:cs="Calibri"/>
          <w:b/>
          <w:sz w:val="24"/>
          <w:szCs w:val="24"/>
        </w:rPr>
        <w:t xml:space="preserve">. </w:t>
      </w:r>
      <w:r w:rsidRPr="00EC0D52">
        <w:rPr>
          <w:rFonts w:cs="Calibri"/>
          <w:sz w:val="24"/>
          <w:szCs w:val="24"/>
        </w:rPr>
        <w:t xml:space="preserve">Daňové pobídky na </w:t>
      </w:r>
      <w:proofErr w:type="spellStart"/>
      <w:r w:rsidRPr="00EC0D52">
        <w:rPr>
          <w:rFonts w:cs="Calibri"/>
          <w:sz w:val="24"/>
          <w:szCs w:val="24"/>
        </w:rPr>
        <w:t>VaV</w:t>
      </w:r>
      <w:proofErr w:type="spellEnd"/>
      <w:r w:rsidRPr="00EC0D52">
        <w:rPr>
          <w:rFonts w:cs="Calibri"/>
          <w:sz w:val="24"/>
          <w:szCs w:val="24"/>
        </w:rPr>
        <w:t xml:space="preserve"> jsou spojeny, jak se silnějším růstem výdajů na stávající pracovníky ve </w:t>
      </w:r>
      <w:proofErr w:type="spellStart"/>
      <w:r w:rsidRPr="00EC0D52">
        <w:rPr>
          <w:rFonts w:cs="Calibri"/>
          <w:sz w:val="24"/>
          <w:szCs w:val="24"/>
        </w:rPr>
        <w:t>VaV</w:t>
      </w:r>
      <w:proofErr w:type="spellEnd"/>
      <w:r w:rsidRPr="00EC0D52">
        <w:rPr>
          <w:rFonts w:cs="Calibri"/>
          <w:sz w:val="24"/>
          <w:szCs w:val="24"/>
        </w:rPr>
        <w:t xml:space="preserve">, tak se zvýšením počtu osob provádějících </w:t>
      </w:r>
      <w:proofErr w:type="spellStart"/>
      <w:r w:rsidRPr="00EC0D52">
        <w:rPr>
          <w:rFonts w:cs="Calibri"/>
          <w:sz w:val="24"/>
          <w:szCs w:val="24"/>
        </w:rPr>
        <w:t>VaV</w:t>
      </w:r>
      <w:proofErr w:type="spellEnd"/>
      <w:r w:rsidRPr="00EC0D52">
        <w:rPr>
          <w:rFonts w:cs="Calibri"/>
          <w:sz w:val="24"/>
          <w:szCs w:val="24"/>
        </w:rPr>
        <w:t>.</w:t>
      </w:r>
    </w:p>
    <w:p w:rsidR="006F232C" w:rsidRPr="00EC0D52" w:rsidRDefault="006F232C" w:rsidP="0003480C">
      <w:pPr>
        <w:pStyle w:val="Odstavecseseznamem"/>
        <w:numPr>
          <w:ilvl w:val="0"/>
          <w:numId w:val="31"/>
        </w:numPr>
        <w:jc w:val="both"/>
        <w:rPr>
          <w:rFonts w:cs="Calibri"/>
          <w:sz w:val="24"/>
          <w:szCs w:val="24"/>
        </w:rPr>
      </w:pPr>
      <w:r w:rsidRPr="00EC0D52">
        <w:rPr>
          <w:rFonts w:cs="Calibri"/>
          <w:sz w:val="24"/>
          <w:szCs w:val="24"/>
        </w:rPr>
        <w:t xml:space="preserve">Výsledky analýzy naznačují, že dopad daňových pobídek pro </w:t>
      </w:r>
      <w:proofErr w:type="spellStart"/>
      <w:r w:rsidRPr="00EC0D52">
        <w:rPr>
          <w:rFonts w:cs="Calibri"/>
          <w:sz w:val="24"/>
          <w:szCs w:val="24"/>
        </w:rPr>
        <w:t>VaV</w:t>
      </w:r>
      <w:proofErr w:type="spellEnd"/>
      <w:r w:rsidRPr="00EC0D52">
        <w:rPr>
          <w:rFonts w:cs="Calibri"/>
          <w:sz w:val="24"/>
          <w:szCs w:val="24"/>
        </w:rPr>
        <w:t xml:space="preserve"> klesá s velikostí firmy. 1 EUR daňové podpory odpovídá více než 1,4 EUR na výzkum a vývoj pro malé firmy (méně než 50 zaměstnanců), 1 EUR na </w:t>
      </w:r>
      <w:proofErr w:type="spellStart"/>
      <w:r w:rsidRPr="00EC0D52">
        <w:rPr>
          <w:rFonts w:cs="Calibri"/>
          <w:sz w:val="24"/>
          <w:szCs w:val="24"/>
        </w:rPr>
        <w:t>VaV</w:t>
      </w:r>
      <w:proofErr w:type="spellEnd"/>
      <w:r w:rsidRPr="00EC0D52">
        <w:rPr>
          <w:rFonts w:cs="Calibri"/>
          <w:sz w:val="24"/>
          <w:szCs w:val="24"/>
        </w:rPr>
        <w:t xml:space="preserve"> pro střední podniky (50–249 zaměstnanců) a jen asi 0,4 EUR na </w:t>
      </w:r>
      <w:proofErr w:type="spellStart"/>
      <w:r w:rsidRPr="00EC0D52">
        <w:rPr>
          <w:rFonts w:cs="Calibri"/>
          <w:sz w:val="24"/>
          <w:szCs w:val="24"/>
        </w:rPr>
        <w:t>VaV</w:t>
      </w:r>
      <w:proofErr w:type="spellEnd"/>
      <w:r w:rsidRPr="00EC0D52">
        <w:rPr>
          <w:rFonts w:cs="Calibri"/>
          <w:sz w:val="24"/>
          <w:szCs w:val="24"/>
        </w:rPr>
        <w:t xml:space="preserve"> pro velké firmy (250 zaměstnanců a více).</w:t>
      </w:r>
    </w:p>
    <w:p w:rsidR="006F232C" w:rsidRPr="00EC0D52" w:rsidRDefault="006F232C" w:rsidP="0003480C">
      <w:pPr>
        <w:pStyle w:val="Odstavecseseznamem"/>
        <w:numPr>
          <w:ilvl w:val="0"/>
          <w:numId w:val="30"/>
        </w:numPr>
        <w:jc w:val="both"/>
        <w:rPr>
          <w:rFonts w:cs="Calibri"/>
          <w:sz w:val="24"/>
          <w:szCs w:val="24"/>
        </w:rPr>
      </w:pPr>
      <w:r w:rsidRPr="00EC0D52">
        <w:rPr>
          <w:rFonts w:cs="Calibri"/>
          <w:sz w:val="24"/>
          <w:szCs w:val="24"/>
        </w:rPr>
        <w:t xml:space="preserve">Dále viz Příloha č. 1_Efektivnost daňových pobídek pro </w:t>
      </w:r>
      <w:proofErr w:type="spellStart"/>
      <w:r w:rsidRPr="00EC0D52">
        <w:rPr>
          <w:rFonts w:cs="Calibri"/>
          <w:sz w:val="24"/>
          <w:szCs w:val="24"/>
        </w:rPr>
        <w:t>VaV_OECD</w:t>
      </w:r>
      <w:proofErr w:type="spellEnd"/>
      <w:r w:rsidRPr="00EC0D52">
        <w:rPr>
          <w:rFonts w:cs="Calibri"/>
          <w:sz w:val="24"/>
          <w:szCs w:val="24"/>
        </w:rPr>
        <w:t xml:space="preserve"> a Příloha č. 2_Daňové odpočty </w:t>
      </w:r>
      <w:proofErr w:type="spellStart"/>
      <w:r w:rsidRPr="00EC0D52">
        <w:rPr>
          <w:rFonts w:cs="Calibri"/>
          <w:sz w:val="24"/>
          <w:szCs w:val="24"/>
        </w:rPr>
        <w:t>brožura_CERGE</w:t>
      </w:r>
      <w:proofErr w:type="spellEnd"/>
      <w:r w:rsidRPr="00EC0D52">
        <w:rPr>
          <w:rFonts w:cs="Calibri"/>
          <w:sz w:val="24"/>
          <w:szCs w:val="24"/>
        </w:rPr>
        <w:t>-EI</w:t>
      </w:r>
    </w:p>
    <w:p w:rsidR="006F232C" w:rsidRPr="00EC0D52" w:rsidRDefault="006F232C" w:rsidP="003802BE">
      <w:pPr>
        <w:pStyle w:val="Nadpis1"/>
        <w:numPr>
          <w:ilvl w:val="0"/>
          <w:numId w:val="13"/>
        </w:numPr>
        <w:spacing w:after="240" w:line="240" w:lineRule="auto"/>
        <w:ind w:left="426" w:hanging="284"/>
        <w:jc w:val="both"/>
        <w:rPr>
          <w:rFonts w:ascii="Calibri" w:hAnsi="Calibri" w:cs="Calibri"/>
          <w:b/>
          <w:sz w:val="28"/>
          <w:szCs w:val="28"/>
        </w:rPr>
      </w:pPr>
      <w:r w:rsidRPr="00EC0D52">
        <w:rPr>
          <w:rFonts w:ascii="Calibri" w:hAnsi="Calibri" w:cs="Calibri"/>
          <w:b/>
          <w:sz w:val="28"/>
          <w:szCs w:val="28"/>
        </w:rPr>
        <w:lastRenderedPageBreak/>
        <w:t>Inovační potenciál ekonomiky ČR</w:t>
      </w:r>
    </w:p>
    <w:p w:rsidR="00BC1ED4" w:rsidRPr="00BC1ED4" w:rsidRDefault="00BC1ED4" w:rsidP="00BC1ED4">
      <w:pPr>
        <w:pStyle w:val="Odstavecseseznamem"/>
        <w:numPr>
          <w:ilvl w:val="0"/>
          <w:numId w:val="29"/>
        </w:numPr>
        <w:jc w:val="both"/>
        <w:rPr>
          <w:sz w:val="24"/>
          <w:szCs w:val="24"/>
        </w:rPr>
      </w:pPr>
      <w:r w:rsidRPr="00BC1ED4">
        <w:rPr>
          <w:sz w:val="24"/>
          <w:szCs w:val="24"/>
        </w:rPr>
        <w:t>Bylo diskutováno, že inovační potenciál v ČR je možné ještě navýšit, což dokládají výstupy z projektů Smart Akcelerátor (OP VVV), které podporují krajská inovační centra.</w:t>
      </w:r>
    </w:p>
    <w:p w:rsidR="00BC1ED4" w:rsidRPr="00BC1ED4" w:rsidRDefault="00BC1ED4" w:rsidP="00BC1ED4">
      <w:pPr>
        <w:pStyle w:val="Odstavecseseznamem"/>
        <w:numPr>
          <w:ilvl w:val="0"/>
          <w:numId w:val="29"/>
        </w:numPr>
        <w:jc w:val="both"/>
        <w:rPr>
          <w:sz w:val="24"/>
          <w:szCs w:val="24"/>
        </w:rPr>
      </w:pPr>
      <w:r w:rsidRPr="00BC1ED4">
        <w:rPr>
          <w:sz w:val="24"/>
          <w:szCs w:val="24"/>
        </w:rPr>
        <w:t>Pro růst inovačního potenciálu a následné zvýšení konkurenceschopnosti ekonomiky je důležité vzít v úvahu strukturu ekonomiky v ČR v porovnání s jinými evropskými zeměmi (viz výstup z mapování inovačního potenciálu INKA).</w:t>
      </w:r>
    </w:p>
    <w:p w:rsidR="00BC1ED4" w:rsidRPr="00BC1ED4" w:rsidRDefault="00BC1ED4" w:rsidP="00BC1ED4">
      <w:pPr>
        <w:pStyle w:val="Odstavecseseznamem"/>
        <w:numPr>
          <w:ilvl w:val="0"/>
          <w:numId w:val="29"/>
        </w:numPr>
        <w:jc w:val="both"/>
        <w:rPr>
          <w:sz w:val="24"/>
          <w:szCs w:val="24"/>
        </w:rPr>
      </w:pPr>
      <w:r w:rsidRPr="00BC1ED4">
        <w:rPr>
          <w:sz w:val="24"/>
          <w:szCs w:val="24"/>
        </w:rPr>
        <w:t xml:space="preserve">Dle ČSÚ je nutné zvážit potenciál firem v oblasti realizace </w:t>
      </w:r>
      <w:proofErr w:type="spellStart"/>
      <w:r w:rsidRPr="00BC1ED4">
        <w:rPr>
          <w:sz w:val="24"/>
          <w:szCs w:val="24"/>
        </w:rPr>
        <w:t>VaV</w:t>
      </w:r>
      <w:proofErr w:type="spellEnd"/>
      <w:r w:rsidRPr="00BC1ED4">
        <w:rPr>
          <w:sz w:val="24"/>
          <w:szCs w:val="24"/>
        </w:rPr>
        <w:t xml:space="preserve"> na území ČR.</w:t>
      </w:r>
    </w:p>
    <w:p w:rsidR="00BC1ED4" w:rsidRPr="00BC1ED4" w:rsidRDefault="00BC1ED4" w:rsidP="00BC1ED4">
      <w:pPr>
        <w:pStyle w:val="Odstavecseseznamem"/>
        <w:numPr>
          <w:ilvl w:val="0"/>
          <w:numId w:val="29"/>
        </w:numPr>
        <w:jc w:val="both"/>
        <w:rPr>
          <w:sz w:val="24"/>
          <w:szCs w:val="24"/>
        </w:rPr>
      </w:pPr>
      <w:r w:rsidRPr="00BC1ED4">
        <w:rPr>
          <w:sz w:val="24"/>
          <w:szCs w:val="24"/>
        </w:rPr>
        <w:t xml:space="preserve">Zástupce ČSÚ uvedl, že ve statistikách je vidět, kolik ve firmách dávají z tržeb na </w:t>
      </w:r>
      <w:proofErr w:type="spellStart"/>
      <w:r w:rsidRPr="00BC1ED4">
        <w:rPr>
          <w:sz w:val="24"/>
          <w:szCs w:val="24"/>
        </w:rPr>
        <w:t>VaV</w:t>
      </w:r>
      <w:proofErr w:type="spellEnd"/>
      <w:r w:rsidRPr="00BC1ED4">
        <w:rPr>
          <w:sz w:val="24"/>
          <w:szCs w:val="24"/>
        </w:rPr>
        <w:t xml:space="preserve"> jako podíl z celkových tržeb. ČR je v těchto statistikách nízko. (zdroj: VaV_ČSÚ_statistiky_2007-2020):</w:t>
      </w:r>
    </w:p>
    <w:tbl>
      <w:tblPr>
        <w:tblpPr w:leftFromText="141" w:rightFromText="141" w:vertAnchor="text" w:horzAnchor="margin" w:tblpXSpec="center" w:tblpY="408"/>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tblCellMar>
        <w:tblLook w:val="00A0" w:firstRow="1" w:lastRow="0" w:firstColumn="1" w:lastColumn="0" w:noHBand="0" w:noVBand="0"/>
      </w:tblPr>
      <w:tblGrid>
        <w:gridCol w:w="2830"/>
        <w:gridCol w:w="993"/>
        <w:gridCol w:w="992"/>
        <w:gridCol w:w="2706"/>
        <w:gridCol w:w="1263"/>
      </w:tblGrid>
      <w:tr w:rsidR="006F232C" w:rsidRPr="009F63E9" w:rsidTr="009F63E9">
        <w:trPr>
          <w:trHeight w:val="1690"/>
        </w:trPr>
        <w:tc>
          <w:tcPr>
            <w:tcW w:w="2830" w:type="dxa"/>
            <w:vAlign w:val="center"/>
          </w:tcPr>
          <w:p w:rsidR="006F232C" w:rsidRPr="009F63E9" w:rsidRDefault="006F232C" w:rsidP="009F63E9">
            <w:pPr>
              <w:pStyle w:val="Odstavecseseznamem"/>
              <w:spacing w:after="0" w:line="240" w:lineRule="auto"/>
              <w:ind w:left="0"/>
              <w:rPr>
                <w:rFonts w:cs="Calibri"/>
                <w:b/>
                <w:i/>
                <w:sz w:val="24"/>
                <w:szCs w:val="24"/>
                <w:lang w:eastAsia="en-US"/>
              </w:rPr>
            </w:pPr>
            <w:r w:rsidRPr="009F63E9">
              <w:rPr>
                <w:rFonts w:cs="Calibri"/>
                <w:b/>
                <w:szCs w:val="24"/>
                <w:lang w:eastAsia="en-US"/>
              </w:rPr>
              <w:t xml:space="preserve">Nepřímá veřejná podpora </w:t>
            </w:r>
            <w:proofErr w:type="spellStart"/>
            <w:r w:rsidRPr="009F63E9">
              <w:rPr>
                <w:rFonts w:cs="Calibri"/>
                <w:b/>
                <w:szCs w:val="24"/>
                <w:lang w:eastAsia="en-US"/>
              </w:rPr>
              <w:t>VaV</w:t>
            </w:r>
            <w:proofErr w:type="spellEnd"/>
            <w:r w:rsidRPr="009F63E9">
              <w:rPr>
                <w:rFonts w:cs="Calibri"/>
                <w:b/>
                <w:szCs w:val="24"/>
                <w:lang w:eastAsia="en-US"/>
              </w:rPr>
              <w:t xml:space="preserve"> v podnicích ve vybraných státech světa - podíl na HDP </w:t>
            </w:r>
            <w:r w:rsidRPr="009F63E9">
              <w:rPr>
                <w:rFonts w:cs="Calibri"/>
                <w:b/>
                <w:i/>
                <w:szCs w:val="24"/>
                <w:lang w:eastAsia="en-US"/>
              </w:rPr>
              <w:t>(list tab. 23 ČSÚ)</w:t>
            </w:r>
          </w:p>
        </w:tc>
        <w:tc>
          <w:tcPr>
            <w:tcW w:w="993" w:type="dxa"/>
            <w:vAlign w:val="center"/>
          </w:tcPr>
          <w:p w:rsidR="006F232C" w:rsidRPr="009F63E9" w:rsidRDefault="006F232C" w:rsidP="009F63E9">
            <w:pPr>
              <w:pStyle w:val="Odstavecseseznamem"/>
              <w:spacing w:after="0" w:line="240" w:lineRule="auto"/>
              <w:ind w:left="0"/>
              <w:jc w:val="center"/>
              <w:rPr>
                <w:rFonts w:cs="Calibri"/>
                <w:b/>
                <w:szCs w:val="24"/>
                <w:lang w:eastAsia="en-US"/>
              </w:rPr>
            </w:pPr>
            <w:r w:rsidRPr="009F63E9">
              <w:rPr>
                <w:rFonts w:cs="Calibri"/>
                <w:b/>
                <w:szCs w:val="24"/>
                <w:lang w:eastAsia="en-US"/>
              </w:rPr>
              <w:t>2017</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rPr>
                <w:rFonts w:cs="Calibri"/>
                <w:b/>
                <w:szCs w:val="24"/>
                <w:lang w:eastAsia="en-US"/>
              </w:rPr>
            </w:pPr>
          </w:p>
        </w:tc>
        <w:tc>
          <w:tcPr>
            <w:tcW w:w="2706" w:type="dxa"/>
            <w:vAlign w:val="center"/>
          </w:tcPr>
          <w:p w:rsidR="006F232C" w:rsidRPr="009F63E9" w:rsidRDefault="006F232C" w:rsidP="009F63E9">
            <w:pPr>
              <w:pStyle w:val="Odstavecseseznamem"/>
              <w:spacing w:after="0" w:line="240" w:lineRule="auto"/>
              <w:ind w:left="0"/>
              <w:rPr>
                <w:rFonts w:cs="Calibri"/>
                <w:b/>
                <w:szCs w:val="24"/>
                <w:lang w:eastAsia="en-US"/>
              </w:rPr>
            </w:pPr>
            <w:r w:rsidRPr="009F63E9">
              <w:rPr>
                <w:rFonts w:cs="Calibri"/>
                <w:b/>
                <w:szCs w:val="24"/>
                <w:lang w:eastAsia="en-US"/>
              </w:rPr>
              <w:t xml:space="preserve">Nepřímá veřejná podpora </w:t>
            </w:r>
            <w:proofErr w:type="spellStart"/>
            <w:r w:rsidRPr="009F63E9">
              <w:rPr>
                <w:rFonts w:cs="Calibri"/>
                <w:b/>
                <w:szCs w:val="24"/>
                <w:lang w:eastAsia="en-US"/>
              </w:rPr>
              <w:t>VaV</w:t>
            </w:r>
            <w:proofErr w:type="spellEnd"/>
            <w:r w:rsidRPr="009F63E9">
              <w:rPr>
                <w:rFonts w:cs="Calibri"/>
                <w:b/>
                <w:szCs w:val="24"/>
                <w:lang w:eastAsia="en-US"/>
              </w:rPr>
              <w:t xml:space="preserve"> v podnicích ve vybraných státech světa - podíl na podnikových výdajích na </w:t>
            </w:r>
            <w:proofErr w:type="spellStart"/>
            <w:r w:rsidRPr="009F63E9">
              <w:rPr>
                <w:rFonts w:cs="Calibri"/>
                <w:b/>
                <w:szCs w:val="24"/>
                <w:lang w:eastAsia="en-US"/>
              </w:rPr>
              <w:t>VaV</w:t>
            </w:r>
            <w:proofErr w:type="spellEnd"/>
            <w:r w:rsidRPr="009F63E9">
              <w:rPr>
                <w:rFonts w:cs="Calibri"/>
                <w:b/>
                <w:szCs w:val="24"/>
                <w:lang w:eastAsia="en-US"/>
              </w:rPr>
              <w:t xml:space="preserve"> /ukazatel BERD </w:t>
            </w:r>
            <w:r w:rsidRPr="009F63E9">
              <w:rPr>
                <w:rFonts w:cs="Calibri"/>
                <w:b/>
                <w:i/>
                <w:szCs w:val="24"/>
                <w:lang w:eastAsia="en-US"/>
              </w:rPr>
              <w:t>(list tab. 25 ČSÚ)</w:t>
            </w:r>
            <w:r w:rsidRPr="009F63E9">
              <w:rPr>
                <w:rFonts w:cs="Calibri"/>
                <w:b/>
                <w:szCs w:val="24"/>
                <w:lang w:eastAsia="en-US"/>
              </w:rPr>
              <w:t xml:space="preserve"> </w:t>
            </w:r>
          </w:p>
        </w:tc>
        <w:tc>
          <w:tcPr>
            <w:tcW w:w="1263" w:type="dxa"/>
            <w:vAlign w:val="center"/>
          </w:tcPr>
          <w:p w:rsidR="006F232C" w:rsidRPr="009F63E9" w:rsidRDefault="006F232C" w:rsidP="009F63E9">
            <w:pPr>
              <w:pStyle w:val="Odstavecseseznamem"/>
              <w:spacing w:after="0" w:line="240" w:lineRule="auto"/>
              <w:ind w:left="0"/>
              <w:jc w:val="center"/>
              <w:rPr>
                <w:rFonts w:cs="Calibri"/>
                <w:b/>
                <w:szCs w:val="24"/>
                <w:lang w:eastAsia="en-US"/>
              </w:rPr>
            </w:pPr>
            <w:r w:rsidRPr="009F63E9">
              <w:rPr>
                <w:rFonts w:cs="Calibri"/>
                <w:b/>
                <w:szCs w:val="24"/>
                <w:lang w:eastAsia="en-US"/>
              </w:rPr>
              <w:t>2017</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1. Francie</w:t>
            </w:r>
          </w:p>
        </w:tc>
        <w:tc>
          <w:tcPr>
            <w:tcW w:w="993" w:type="dxa"/>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0,29</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1. Velká Británie</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21,7</w:t>
            </w:r>
          </w:p>
        </w:tc>
      </w:tr>
      <w:tr w:rsidR="006F232C" w:rsidRPr="009F63E9" w:rsidTr="009F63E9">
        <w:trPr>
          <w:trHeight w:val="393"/>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2. Velká Británie</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0,25</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2. Itálie</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21,1</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3. Itálie</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0,18</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3. Francie</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19,9</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4. Belgie</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0,18</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4. Portugalsko</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18,4</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5. Nizozemsko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0,16</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5. Irsko</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16,2</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6. Rakousko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0,16</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6. Rusko</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15,2</w:t>
            </w:r>
          </w:p>
        </w:tc>
      </w:tr>
      <w:tr w:rsidR="006F232C" w:rsidRPr="009F63E9" w:rsidTr="009F63E9">
        <w:trPr>
          <w:trHeight w:val="393"/>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7. Irsko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0,15</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7. Norsko</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11,4</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8. Jižní Korea</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0,13</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8. Nizozemsko</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11,1</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9. Norsko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0,13</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9. Belgie</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9,5</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10. Portugalsko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0,12</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10. Slovinsko</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7,7</w:t>
            </w:r>
          </w:p>
        </w:tc>
      </w:tr>
      <w:tr w:rsidR="006F232C" w:rsidRPr="009F63E9" w:rsidTr="009F63E9">
        <w:trPr>
          <w:trHeight w:val="369"/>
        </w:trPr>
        <w:tc>
          <w:tcPr>
            <w:tcW w:w="2830" w:type="dxa"/>
            <w:shd w:val="clear" w:color="auto" w:fill="FFFFFF"/>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11. Japonsko</w:t>
            </w:r>
          </w:p>
        </w:tc>
        <w:tc>
          <w:tcPr>
            <w:tcW w:w="993" w:type="dxa"/>
            <w:tcBorders>
              <w:top w:val="nil"/>
            </w:tcBorders>
            <w:shd w:val="clear" w:color="auto" w:fill="FFFFFF"/>
            <w:vAlign w:val="center"/>
          </w:tcPr>
          <w:p w:rsidR="006F232C" w:rsidRPr="009F63E9" w:rsidRDefault="006F232C" w:rsidP="009F63E9">
            <w:pPr>
              <w:pStyle w:val="Odstavecseseznamem"/>
              <w:spacing w:after="0" w:line="240" w:lineRule="auto"/>
              <w:ind w:left="0"/>
              <w:jc w:val="center"/>
              <w:rPr>
                <w:rFonts w:cs="Calibri"/>
                <w:bCs/>
                <w:lang w:eastAsia="en-US"/>
              </w:rPr>
            </w:pPr>
            <w:r w:rsidRPr="009F63E9">
              <w:rPr>
                <w:rFonts w:cs="Calibri"/>
                <w:lang w:eastAsia="en-US"/>
              </w:rPr>
              <w:t>0,12</w:t>
            </w:r>
          </w:p>
        </w:tc>
        <w:tc>
          <w:tcPr>
            <w:tcW w:w="992" w:type="dxa"/>
            <w:tcBorders>
              <w:top w:val="single" w:sz="4" w:space="0" w:color="FFFFFF"/>
              <w:bottom w:val="single" w:sz="4" w:space="0" w:color="FFFFFF"/>
            </w:tcBorders>
            <w:shd w:val="clear" w:color="auto" w:fill="FFFFFF"/>
          </w:tcPr>
          <w:p w:rsidR="006F232C" w:rsidRPr="009F63E9" w:rsidRDefault="006F232C" w:rsidP="009F63E9">
            <w:pPr>
              <w:pStyle w:val="Odstavecseseznamem"/>
              <w:spacing w:after="0" w:line="240" w:lineRule="auto"/>
              <w:ind w:left="0"/>
              <w:jc w:val="both"/>
              <w:rPr>
                <w:rFonts w:cs="Calibri"/>
                <w:bCs/>
                <w:szCs w:val="24"/>
                <w:lang w:eastAsia="en-US"/>
              </w:rPr>
            </w:pPr>
          </w:p>
        </w:tc>
        <w:tc>
          <w:tcPr>
            <w:tcW w:w="2706" w:type="dxa"/>
            <w:shd w:val="clear" w:color="auto" w:fill="FFFFFF"/>
            <w:vAlign w:val="center"/>
          </w:tcPr>
          <w:p w:rsidR="006F232C" w:rsidRPr="009F63E9" w:rsidRDefault="006F232C" w:rsidP="009F63E9">
            <w:pPr>
              <w:pStyle w:val="Odstavecseseznamem"/>
              <w:spacing w:after="0" w:line="240" w:lineRule="auto"/>
              <w:ind w:left="0"/>
              <w:jc w:val="both"/>
              <w:rPr>
                <w:rFonts w:cs="Calibri"/>
                <w:bCs/>
                <w:szCs w:val="24"/>
                <w:lang w:eastAsia="en-US"/>
              </w:rPr>
            </w:pPr>
            <w:r w:rsidRPr="009F63E9">
              <w:rPr>
                <w:rFonts w:cs="Calibri"/>
                <w:szCs w:val="24"/>
                <w:lang w:eastAsia="en-US"/>
              </w:rPr>
              <w:t>11. Rakousko</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7,4</w:t>
            </w:r>
          </w:p>
        </w:tc>
      </w:tr>
      <w:tr w:rsidR="006F232C" w:rsidRPr="009F63E9" w:rsidTr="009F63E9">
        <w:trPr>
          <w:trHeight w:val="393"/>
        </w:trPr>
        <w:tc>
          <w:tcPr>
            <w:tcW w:w="2830" w:type="dxa"/>
            <w:shd w:val="clear" w:color="auto" w:fill="FFFFFF"/>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12. Slovinsko</w:t>
            </w:r>
          </w:p>
        </w:tc>
        <w:tc>
          <w:tcPr>
            <w:tcW w:w="993" w:type="dxa"/>
            <w:tcBorders>
              <w:top w:val="nil"/>
            </w:tcBorders>
            <w:shd w:val="clear" w:color="auto" w:fill="FFFFFF"/>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0,11</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12. Malta</w:t>
            </w:r>
          </w:p>
        </w:tc>
        <w:tc>
          <w:tcPr>
            <w:tcW w:w="1263" w:type="dxa"/>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7,4</w:t>
            </w:r>
          </w:p>
        </w:tc>
      </w:tr>
      <w:tr w:rsidR="006F232C" w:rsidRPr="009F63E9" w:rsidTr="009F63E9">
        <w:trPr>
          <w:trHeight w:val="369"/>
        </w:trPr>
        <w:tc>
          <w:tcPr>
            <w:tcW w:w="2830" w:type="dxa"/>
            <w:shd w:val="clear" w:color="auto" w:fill="FFFFFF"/>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13. Rusko</w:t>
            </w:r>
          </w:p>
        </w:tc>
        <w:tc>
          <w:tcPr>
            <w:tcW w:w="993" w:type="dxa"/>
            <w:tcBorders>
              <w:top w:val="nil"/>
            </w:tcBorders>
            <w:shd w:val="clear" w:color="auto" w:fill="FFFFFF"/>
            <w:vAlign w:val="center"/>
          </w:tcPr>
          <w:p w:rsidR="006F232C" w:rsidRPr="009F63E9" w:rsidRDefault="006F232C" w:rsidP="009F63E9">
            <w:pPr>
              <w:pStyle w:val="Odstavecseseznamem"/>
              <w:spacing w:after="0" w:line="240" w:lineRule="auto"/>
              <w:ind w:left="0"/>
              <w:jc w:val="center"/>
              <w:rPr>
                <w:rFonts w:cs="Calibri"/>
                <w:bCs/>
                <w:lang w:eastAsia="en-US"/>
              </w:rPr>
            </w:pPr>
            <w:r w:rsidRPr="009F63E9">
              <w:rPr>
                <w:rFonts w:cs="Calibri"/>
                <w:lang w:eastAsia="en-US"/>
              </w:rPr>
              <w:t>0,10</w:t>
            </w:r>
          </w:p>
        </w:tc>
        <w:tc>
          <w:tcPr>
            <w:tcW w:w="992" w:type="dxa"/>
            <w:tcBorders>
              <w:top w:val="single" w:sz="4" w:space="0" w:color="FFFFFF"/>
              <w:bottom w:val="single" w:sz="4" w:space="0" w:color="FFFFFF"/>
            </w:tcBorders>
            <w:shd w:val="clear" w:color="auto" w:fill="FFFFFF"/>
          </w:tcPr>
          <w:p w:rsidR="006F232C" w:rsidRPr="009F63E9" w:rsidRDefault="006F232C" w:rsidP="009F63E9">
            <w:pPr>
              <w:pStyle w:val="Odstavecseseznamem"/>
              <w:spacing w:after="0" w:line="240" w:lineRule="auto"/>
              <w:ind w:left="0"/>
              <w:jc w:val="both"/>
              <w:rPr>
                <w:rFonts w:cs="Calibri"/>
                <w:bCs/>
                <w:szCs w:val="24"/>
                <w:lang w:eastAsia="en-US"/>
              </w:rPr>
            </w:pPr>
          </w:p>
        </w:tc>
        <w:tc>
          <w:tcPr>
            <w:tcW w:w="2706" w:type="dxa"/>
            <w:shd w:val="clear" w:color="auto" w:fill="BDD6EE"/>
            <w:vAlign w:val="center"/>
          </w:tcPr>
          <w:p w:rsidR="006F232C" w:rsidRPr="009F63E9" w:rsidRDefault="006F232C" w:rsidP="009F63E9">
            <w:pPr>
              <w:pStyle w:val="Odstavecseseznamem"/>
              <w:spacing w:after="0" w:line="240" w:lineRule="auto"/>
              <w:ind w:left="0"/>
              <w:rPr>
                <w:rFonts w:cs="Calibri"/>
                <w:b/>
                <w:bCs/>
                <w:szCs w:val="24"/>
                <w:lang w:eastAsia="en-US"/>
              </w:rPr>
            </w:pPr>
            <w:r w:rsidRPr="009F63E9">
              <w:rPr>
                <w:rFonts w:cs="Calibri"/>
                <w:b/>
                <w:bCs/>
                <w:szCs w:val="24"/>
                <w:lang w:eastAsia="en-US"/>
              </w:rPr>
              <w:t>13. Evropská unie průměr</w:t>
            </w:r>
          </w:p>
        </w:tc>
        <w:tc>
          <w:tcPr>
            <w:tcW w:w="1263" w:type="dxa"/>
            <w:shd w:val="clear" w:color="auto" w:fill="BDD6EE"/>
            <w:vAlign w:val="center"/>
          </w:tcPr>
          <w:p w:rsidR="006F232C" w:rsidRPr="009F63E9" w:rsidRDefault="006F232C" w:rsidP="009F63E9">
            <w:pPr>
              <w:pStyle w:val="Odstavecseseznamem"/>
              <w:spacing w:after="0" w:line="240" w:lineRule="auto"/>
              <w:ind w:left="0"/>
              <w:jc w:val="center"/>
              <w:rPr>
                <w:rFonts w:cs="Calibri"/>
                <w:b/>
                <w:szCs w:val="24"/>
                <w:lang w:eastAsia="en-US"/>
              </w:rPr>
            </w:pPr>
            <w:r w:rsidRPr="009F63E9">
              <w:rPr>
                <w:rFonts w:cs="Calibri"/>
                <w:b/>
                <w:szCs w:val="24"/>
                <w:lang w:eastAsia="en-US"/>
              </w:rPr>
              <w:t>7,3</w:t>
            </w:r>
          </w:p>
        </w:tc>
      </w:tr>
      <w:tr w:rsidR="006F232C" w:rsidRPr="009F63E9" w:rsidTr="009F63E9">
        <w:trPr>
          <w:trHeight w:val="369"/>
        </w:trPr>
        <w:tc>
          <w:tcPr>
            <w:tcW w:w="2830" w:type="dxa"/>
            <w:shd w:val="clear" w:color="auto" w:fill="BDD6EE"/>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b/>
                <w:bCs/>
                <w:lang w:eastAsia="en-US"/>
              </w:rPr>
              <w:t>14. Evropská unie průměr</w:t>
            </w:r>
          </w:p>
        </w:tc>
        <w:tc>
          <w:tcPr>
            <w:tcW w:w="993" w:type="dxa"/>
            <w:tcBorders>
              <w:top w:val="nil"/>
            </w:tcBorders>
            <w:shd w:val="clear" w:color="auto" w:fill="BDD6EE"/>
            <w:vAlign w:val="center"/>
          </w:tcPr>
          <w:p w:rsidR="006F232C" w:rsidRPr="009F63E9" w:rsidRDefault="006F232C" w:rsidP="009F63E9">
            <w:pPr>
              <w:pStyle w:val="Odstavecseseznamem"/>
              <w:spacing w:after="0" w:line="240" w:lineRule="auto"/>
              <w:ind w:left="0"/>
              <w:jc w:val="center"/>
              <w:rPr>
                <w:rFonts w:cs="Calibri"/>
                <w:b/>
                <w:lang w:eastAsia="en-US"/>
              </w:rPr>
            </w:pPr>
            <w:r w:rsidRPr="009F63E9">
              <w:rPr>
                <w:rFonts w:cs="Calibri"/>
                <w:b/>
                <w:lang w:eastAsia="en-US"/>
              </w:rPr>
              <w:t>0,10</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14. Litva</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6,9</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15. Spojené státy</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0,10</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15. Maďarsko</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6,7</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16. Čína</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0,07</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16. Japonsko</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4,8</w:t>
            </w:r>
          </w:p>
        </w:tc>
      </w:tr>
      <w:tr w:rsidR="006F232C" w:rsidRPr="009F63E9" w:rsidTr="009F63E9">
        <w:trPr>
          <w:trHeight w:val="393"/>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17. Maďarsko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0,06</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17. Spojené státy</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4,7</w:t>
            </w:r>
          </w:p>
        </w:tc>
      </w:tr>
      <w:tr w:rsidR="006F232C" w:rsidRPr="009F63E9" w:rsidTr="009F63E9">
        <w:trPr>
          <w:trHeight w:val="369"/>
        </w:trPr>
        <w:tc>
          <w:tcPr>
            <w:tcW w:w="2830" w:type="dxa"/>
            <w:shd w:val="clear" w:color="auto" w:fill="F7CAAC"/>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b/>
                <w:bCs/>
                <w:lang w:eastAsia="en-US"/>
              </w:rPr>
              <w:t>18. Česko</w:t>
            </w:r>
          </w:p>
        </w:tc>
        <w:tc>
          <w:tcPr>
            <w:tcW w:w="993" w:type="dxa"/>
            <w:tcBorders>
              <w:top w:val="nil"/>
            </w:tcBorders>
            <w:shd w:val="clear" w:color="auto" w:fill="F7CAAC"/>
            <w:vAlign w:val="center"/>
          </w:tcPr>
          <w:p w:rsidR="006F232C" w:rsidRPr="009F63E9" w:rsidRDefault="006F232C" w:rsidP="009F63E9">
            <w:pPr>
              <w:pStyle w:val="Odstavecseseznamem"/>
              <w:spacing w:after="0" w:line="240" w:lineRule="auto"/>
              <w:ind w:left="0"/>
              <w:jc w:val="center"/>
              <w:rPr>
                <w:rFonts w:cs="Calibri"/>
                <w:b/>
                <w:lang w:eastAsia="en-US"/>
              </w:rPr>
            </w:pPr>
            <w:r w:rsidRPr="009F63E9">
              <w:rPr>
                <w:rFonts w:cs="Calibri"/>
                <w:b/>
                <w:lang w:eastAsia="en-US"/>
              </w:rPr>
              <w:t>0,05</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shd w:val="clear" w:color="auto" w:fill="F7CAAC"/>
            <w:vAlign w:val="center"/>
          </w:tcPr>
          <w:p w:rsidR="006F232C" w:rsidRPr="009F63E9" w:rsidRDefault="006F232C" w:rsidP="009F63E9">
            <w:pPr>
              <w:pStyle w:val="Odstavecseseznamem"/>
              <w:spacing w:after="0" w:line="240" w:lineRule="auto"/>
              <w:ind w:left="0"/>
              <w:jc w:val="both"/>
              <w:rPr>
                <w:rFonts w:cs="Calibri"/>
                <w:b/>
                <w:szCs w:val="24"/>
                <w:lang w:eastAsia="en-US"/>
              </w:rPr>
            </w:pPr>
            <w:r w:rsidRPr="009F63E9">
              <w:rPr>
                <w:rFonts w:cs="Calibri"/>
                <w:b/>
                <w:bCs/>
                <w:szCs w:val="24"/>
                <w:lang w:eastAsia="en-US"/>
              </w:rPr>
              <w:t>18. Česko</w:t>
            </w:r>
          </w:p>
        </w:tc>
        <w:tc>
          <w:tcPr>
            <w:tcW w:w="1263" w:type="dxa"/>
            <w:tcBorders>
              <w:left w:val="nil"/>
            </w:tcBorders>
            <w:shd w:val="clear" w:color="auto" w:fill="F7CAAC"/>
            <w:vAlign w:val="center"/>
          </w:tcPr>
          <w:p w:rsidR="006F232C" w:rsidRPr="009F63E9" w:rsidRDefault="006F232C" w:rsidP="009F63E9">
            <w:pPr>
              <w:pStyle w:val="Odstavecseseznamem"/>
              <w:spacing w:after="0" w:line="240" w:lineRule="auto"/>
              <w:ind w:left="0"/>
              <w:jc w:val="center"/>
              <w:rPr>
                <w:rFonts w:cs="Calibri"/>
                <w:b/>
                <w:szCs w:val="24"/>
                <w:lang w:eastAsia="en-US"/>
              </w:rPr>
            </w:pPr>
            <w:r w:rsidRPr="009F63E9">
              <w:rPr>
                <w:rFonts w:cs="Calibri"/>
                <w:b/>
                <w:szCs w:val="24"/>
                <w:lang w:eastAsia="en-US"/>
              </w:rPr>
              <w:t>4,4</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19. Španělsko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0,03</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19. Čína</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4,2</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20. Malta</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0,03</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20. Španělsko</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4,1</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b/>
                <w:i/>
                <w:lang w:eastAsia="en-US"/>
              </w:rPr>
            </w:pPr>
            <w:r w:rsidRPr="009F63E9">
              <w:rPr>
                <w:rFonts w:cs="Calibri"/>
                <w:lang w:eastAsia="en-US"/>
              </w:rPr>
              <w:t>21. Litva</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0,02</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21. Jižní Korea</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3,9</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lang w:eastAsia="en-US"/>
              </w:rPr>
            </w:pPr>
            <w:r w:rsidRPr="009F63E9">
              <w:rPr>
                <w:rFonts w:cs="Calibri"/>
                <w:lang w:eastAsia="en-US"/>
              </w:rPr>
              <w:lastRenderedPageBreak/>
              <w:t>22. Dánsko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0,02</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22. Lotyšsko</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2,2</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lang w:eastAsia="en-US"/>
              </w:rPr>
            </w:pPr>
            <w:r w:rsidRPr="009F63E9">
              <w:rPr>
                <w:rFonts w:cs="Calibri"/>
                <w:lang w:eastAsia="en-US"/>
              </w:rPr>
              <w:t>23. Švédsko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0,01</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23. Slovensko</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2,1</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lang w:eastAsia="en-US"/>
              </w:rPr>
            </w:pPr>
            <w:r w:rsidRPr="009F63E9">
              <w:rPr>
                <w:rFonts w:cs="Calibri"/>
                <w:lang w:eastAsia="en-US"/>
              </w:rPr>
              <w:t>24. Slovensko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0,01</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24. Řecko</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1,2</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lang w:eastAsia="en-US"/>
              </w:rPr>
            </w:pPr>
            <w:r w:rsidRPr="009F63E9">
              <w:rPr>
                <w:rFonts w:cs="Calibri"/>
                <w:lang w:eastAsia="en-US"/>
              </w:rPr>
              <w:t>25. Řecko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0,01</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25. Dánsko</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1,1</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lang w:eastAsia="en-US"/>
              </w:rPr>
            </w:pPr>
            <w:r w:rsidRPr="009F63E9">
              <w:rPr>
                <w:rFonts w:cs="Calibri"/>
                <w:lang w:eastAsia="en-US"/>
              </w:rPr>
              <w:t>26. Polsko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0,01</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26. Polsko</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0,8</w:t>
            </w:r>
          </w:p>
        </w:tc>
      </w:tr>
      <w:tr w:rsidR="006F232C" w:rsidRPr="009F63E9" w:rsidTr="009F63E9">
        <w:trPr>
          <w:trHeight w:val="369"/>
        </w:trPr>
        <w:tc>
          <w:tcPr>
            <w:tcW w:w="2830" w:type="dxa"/>
            <w:vAlign w:val="center"/>
          </w:tcPr>
          <w:p w:rsidR="006F232C" w:rsidRPr="009F63E9" w:rsidRDefault="006F232C" w:rsidP="009F63E9">
            <w:pPr>
              <w:pStyle w:val="Odstavecseseznamem"/>
              <w:spacing w:after="0" w:line="240" w:lineRule="auto"/>
              <w:ind w:left="0"/>
              <w:rPr>
                <w:rFonts w:cs="Calibri"/>
                <w:lang w:eastAsia="en-US"/>
              </w:rPr>
            </w:pPr>
            <w:r w:rsidRPr="009F63E9">
              <w:rPr>
                <w:rFonts w:cs="Calibri"/>
                <w:lang w:eastAsia="en-US"/>
              </w:rPr>
              <w:t>27. Lotyšsko</w:t>
            </w:r>
          </w:p>
        </w:tc>
        <w:tc>
          <w:tcPr>
            <w:tcW w:w="993" w:type="dxa"/>
            <w:tcBorders>
              <w:top w:val="nil"/>
            </w:tcBorders>
            <w:vAlign w:val="center"/>
          </w:tcPr>
          <w:p w:rsidR="006F232C" w:rsidRPr="009F63E9" w:rsidRDefault="006F232C" w:rsidP="009F63E9">
            <w:pPr>
              <w:pStyle w:val="Odstavecseseznamem"/>
              <w:spacing w:after="0" w:line="240" w:lineRule="auto"/>
              <w:ind w:left="0"/>
              <w:jc w:val="center"/>
              <w:rPr>
                <w:rFonts w:cs="Calibri"/>
                <w:lang w:eastAsia="en-US"/>
              </w:rPr>
            </w:pPr>
            <w:r w:rsidRPr="009F63E9">
              <w:rPr>
                <w:rFonts w:cs="Calibri"/>
                <w:lang w:eastAsia="en-US"/>
              </w:rPr>
              <w:t>0,00</w:t>
            </w:r>
          </w:p>
        </w:tc>
        <w:tc>
          <w:tcPr>
            <w:tcW w:w="992" w:type="dxa"/>
            <w:tcBorders>
              <w:top w:val="single" w:sz="4" w:space="0" w:color="FFFFFF"/>
              <w:bottom w:val="single" w:sz="4" w:space="0" w:color="FFFFFF"/>
            </w:tcBorders>
          </w:tcPr>
          <w:p w:rsidR="006F232C" w:rsidRPr="009F63E9" w:rsidRDefault="006F232C" w:rsidP="009F63E9">
            <w:pPr>
              <w:pStyle w:val="Odstavecseseznamem"/>
              <w:spacing w:after="0" w:line="240" w:lineRule="auto"/>
              <w:ind w:left="0"/>
              <w:jc w:val="both"/>
              <w:rPr>
                <w:rFonts w:cs="Calibri"/>
                <w:szCs w:val="24"/>
                <w:lang w:eastAsia="en-US"/>
              </w:rPr>
            </w:pPr>
          </w:p>
        </w:tc>
        <w:tc>
          <w:tcPr>
            <w:tcW w:w="2706" w:type="dxa"/>
            <w:vAlign w:val="center"/>
          </w:tcPr>
          <w:p w:rsidR="006F232C" w:rsidRPr="009F63E9" w:rsidRDefault="006F232C" w:rsidP="009F63E9">
            <w:pPr>
              <w:pStyle w:val="Odstavecseseznamem"/>
              <w:spacing w:after="0" w:line="240" w:lineRule="auto"/>
              <w:ind w:left="0"/>
              <w:jc w:val="both"/>
              <w:rPr>
                <w:rFonts w:cs="Calibri"/>
                <w:szCs w:val="24"/>
                <w:lang w:eastAsia="en-US"/>
              </w:rPr>
            </w:pPr>
            <w:r w:rsidRPr="009F63E9">
              <w:rPr>
                <w:rFonts w:cs="Calibri"/>
                <w:szCs w:val="24"/>
                <w:lang w:eastAsia="en-US"/>
              </w:rPr>
              <w:t>27. Švédsko</w:t>
            </w:r>
          </w:p>
        </w:tc>
        <w:tc>
          <w:tcPr>
            <w:tcW w:w="1263" w:type="dxa"/>
            <w:tcBorders>
              <w:left w:val="nil"/>
            </w:tcBorders>
            <w:vAlign w:val="center"/>
          </w:tcPr>
          <w:p w:rsidR="006F232C" w:rsidRPr="009F63E9" w:rsidRDefault="006F232C" w:rsidP="009F63E9">
            <w:pPr>
              <w:pStyle w:val="Odstavecseseznamem"/>
              <w:spacing w:after="0" w:line="240" w:lineRule="auto"/>
              <w:ind w:left="0"/>
              <w:jc w:val="center"/>
              <w:rPr>
                <w:rFonts w:cs="Calibri"/>
                <w:szCs w:val="24"/>
                <w:lang w:eastAsia="en-US"/>
              </w:rPr>
            </w:pPr>
            <w:r w:rsidRPr="009F63E9">
              <w:rPr>
                <w:rFonts w:cs="Calibri"/>
                <w:szCs w:val="24"/>
                <w:lang w:eastAsia="en-US"/>
              </w:rPr>
              <w:t>0,5</w:t>
            </w:r>
          </w:p>
        </w:tc>
      </w:tr>
    </w:tbl>
    <w:p w:rsidR="006F232C" w:rsidRDefault="006F232C" w:rsidP="005970F7">
      <w:pPr>
        <w:pStyle w:val="Odstavecseseznamem"/>
        <w:jc w:val="both"/>
        <w:rPr>
          <w:rFonts w:cs="Calibri"/>
          <w:i/>
          <w:color w:val="C45911"/>
          <w:sz w:val="24"/>
          <w:szCs w:val="24"/>
        </w:rPr>
      </w:pPr>
    </w:p>
    <w:p w:rsidR="006F232C" w:rsidRPr="000C14A4" w:rsidRDefault="006F232C" w:rsidP="005970F7">
      <w:pPr>
        <w:pStyle w:val="Odstavecseseznamem"/>
        <w:jc w:val="both"/>
        <w:rPr>
          <w:rFonts w:cs="Calibri"/>
          <w:i/>
          <w:color w:val="C45911"/>
          <w:sz w:val="24"/>
          <w:szCs w:val="24"/>
        </w:rPr>
      </w:pPr>
    </w:p>
    <w:p w:rsidR="006F232C" w:rsidRDefault="006F232C" w:rsidP="006C2964">
      <w:pPr>
        <w:spacing w:after="0"/>
        <w:rPr>
          <w:sz w:val="24"/>
          <w:szCs w:val="24"/>
        </w:rPr>
      </w:pPr>
    </w:p>
    <w:p w:rsidR="006F232C" w:rsidRDefault="006F232C" w:rsidP="006C2964">
      <w:pPr>
        <w:spacing w:after="0"/>
        <w:rPr>
          <w:sz w:val="24"/>
          <w:szCs w:val="24"/>
        </w:rPr>
      </w:pPr>
    </w:p>
    <w:p w:rsidR="006F232C" w:rsidRPr="00B36FC4" w:rsidRDefault="006F232C" w:rsidP="006C2964">
      <w:pPr>
        <w:spacing w:after="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6"/>
        <w:gridCol w:w="3215"/>
        <w:gridCol w:w="2359"/>
        <w:gridCol w:w="2359"/>
      </w:tblGrid>
      <w:tr w:rsidR="006F232C" w:rsidRPr="009F63E9" w:rsidTr="009F63E9">
        <w:trPr>
          <w:trHeight w:val="561"/>
          <w:jc w:val="center"/>
        </w:trPr>
        <w:tc>
          <w:tcPr>
            <w:tcW w:w="1696"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POŘADÍ</w:t>
            </w:r>
          </w:p>
        </w:tc>
        <w:tc>
          <w:tcPr>
            <w:tcW w:w="3215"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ÚKOLY k CÍLI č. 2</w:t>
            </w:r>
          </w:p>
        </w:tc>
        <w:tc>
          <w:tcPr>
            <w:tcW w:w="2359"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KDO VYPRACUJE</w:t>
            </w:r>
          </w:p>
        </w:tc>
        <w:tc>
          <w:tcPr>
            <w:tcW w:w="2359"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STAV ÚKOLU</w:t>
            </w:r>
          </w:p>
        </w:tc>
      </w:tr>
      <w:tr w:rsidR="006F232C" w:rsidRPr="009F63E9" w:rsidTr="009F63E9">
        <w:trPr>
          <w:jc w:val="center"/>
        </w:trPr>
        <w:tc>
          <w:tcPr>
            <w:tcW w:w="1696" w:type="dxa"/>
            <w:vAlign w:val="center"/>
          </w:tcPr>
          <w:p w:rsidR="006F232C" w:rsidRPr="009F63E9" w:rsidRDefault="006F232C" w:rsidP="009F63E9">
            <w:pPr>
              <w:spacing w:after="0" w:line="240" w:lineRule="auto"/>
              <w:jc w:val="center"/>
              <w:rPr>
                <w:sz w:val="24"/>
                <w:lang w:eastAsia="en-US"/>
              </w:rPr>
            </w:pPr>
            <w:r w:rsidRPr="009F63E9">
              <w:rPr>
                <w:sz w:val="24"/>
                <w:lang w:eastAsia="en-US"/>
              </w:rPr>
              <w:t>1.</w:t>
            </w:r>
          </w:p>
        </w:tc>
        <w:tc>
          <w:tcPr>
            <w:tcW w:w="3215" w:type="dxa"/>
            <w:vAlign w:val="center"/>
          </w:tcPr>
          <w:p w:rsidR="006F232C" w:rsidRPr="009F63E9" w:rsidRDefault="006F232C" w:rsidP="009F63E9">
            <w:pPr>
              <w:spacing w:after="0" w:line="240" w:lineRule="auto"/>
              <w:rPr>
                <w:sz w:val="24"/>
                <w:lang w:eastAsia="en-US"/>
              </w:rPr>
            </w:pPr>
            <w:r w:rsidRPr="009F63E9">
              <w:rPr>
                <w:b/>
                <w:sz w:val="24"/>
                <w:lang w:eastAsia="en-US"/>
              </w:rPr>
              <w:t>Zjistit souhrnné informace ze zahraničí k tomu</w:t>
            </w:r>
            <w:r w:rsidRPr="009F63E9">
              <w:rPr>
                <w:sz w:val="24"/>
                <w:lang w:eastAsia="en-US"/>
              </w:rPr>
              <w:t>, jak fungují kontroly a příprava projektové dokumentace v oblasti daňových odpočtů.</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Celá PSDO</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HOTOVO</w:t>
            </w:r>
          </w:p>
        </w:tc>
      </w:tr>
      <w:tr w:rsidR="006F232C" w:rsidRPr="009F63E9" w:rsidTr="009F63E9">
        <w:trPr>
          <w:trHeight w:val="559"/>
          <w:jc w:val="center"/>
        </w:trPr>
        <w:tc>
          <w:tcPr>
            <w:tcW w:w="1696" w:type="dxa"/>
            <w:vAlign w:val="center"/>
          </w:tcPr>
          <w:p w:rsidR="006F232C" w:rsidRPr="009F63E9" w:rsidRDefault="006F232C" w:rsidP="009F63E9">
            <w:pPr>
              <w:spacing w:after="0" w:line="240" w:lineRule="auto"/>
              <w:jc w:val="center"/>
              <w:rPr>
                <w:sz w:val="24"/>
                <w:lang w:eastAsia="en-US"/>
              </w:rPr>
            </w:pPr>
            <w:r w:rsidRPr="009F63E9">
              <w:rPr>
                <w:sz w:val="24"/>
                <w:lang w:eastAsia="en-US"/>
              </w:rPr>
              <w:t>2.</w:t>
            </w:r>
          </w:p>
        </w:tc>
        <w:tc>
          <w:tcPr>
            <w:tcW w:w="3215" w:type="dxa"/>
            <w:vAlign w:val="center"/>
          </w:tcPr>
          <w:p w:rsidR="006F232C" w:rsidRPr="009F63E9" w:rsidRDefault="006F232C" w:rsidP="009F63E9">
            <w:pPr>
              <w:spacing w:after="0" w:line="240" w:lineRule="auto"/>
              <w:rPr>
                <w:sz w:val="24"/>
                <w:lang w:eastAsia="en-US"/>
              </w:rPr>
            </w:pPr>
            <w:r w:rsidRPr="009F63E9">
              <w:rPr>
                <w:rFonts w:cs="Calibri"/>
                <w:b/>
                <w:sz w:val="24"/>
                <w:lang w:eastAsia="en-US"/>
              </w:rPr>
              <w:t>Vyřešit „přílišný formalismus“</w:t>
            </w:r>
            <w:r w:rsidRPr="009F63E9">
              <w:rPr>
                <w:rFonts w:cs="Calibri"/>
                <w:sz w:val="24"/>
                <w:lang w:eastAsia="en-US"/>
              </w:rPr>
              <w:t xml:space="preserve"> (z pohledu subjektů uplatňujících daňový odpočet) obecného dokazování daňového odpočtu (procesy  GFŘ, připustit standardní dokazovaní s důkazním břemenem na straně poplatníka.</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Celá PSDO</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Diskutováno</w:t>
            </w:r>
          </w:p>
        </w:tc>
      </w:tr>
      <w:tr w:rsidR="006F232C" w:rsidRPr="009F63E9" w:rsidTr="009F63E9">
        <w:trPr>
          <w:trHeight w:val="1575"/>
          <w:jc w:val="center"/>
        </w:trPr>
        <w:tc>
          <w:tcPr>
            <w:tcW w:w="1696" w:type="dxa"/>
            <w:vAlign w:val="center"/>
          </w:tcPr>
          <w:p w:rsidR="006F232C" w:rsidRPr="009F63E9" w:rsidRDefault="006F232C" w:rsidP="009F63E9">
            <w:pPr>
              <w:spacing w:after="0" w:line="240" w:lineRule="auto"/>
              <w:jc w:val="center"/>
              <w:rPr>
                <w:sz w:val="24"/>
                <w:lang w:eastAsia="en-US"/>
              </w:rPr>
            </w:pPr>
            <w:r w:rsidRPr="009F63E9">
              <w:rPr>
                <w:sz w:val="24"/>
                <w:lang w:eastAsia="en-US"/>
              </w:rPr>
              <w:t>3.</w:t>
            </w:r>
          </w:p>
        </w:tc>
        <w:tc>
          <w:tcPr>
            <w:tcW w:w="3215" w:type="dxa"/>
            <w:vAlign w:val="center"/>
          </w:tcPr>
          <w:p w:rsidR="006F232C" w:rsidRPr="009F63E9" w:rsidRDefault="006F232C" w:rsidP="009F63E9">
            <w:pPr>
              <w:spacing w:after="0" w:line="240" w:lineRule="auto"/>
              <w:rPr>
                <w:rFonts w:cs="Calibri"/>
                <w:sz w:val="24"/>
                <w:lang w:eastAsia="en-US"/>
              </w:rPr>
            </w:pPr>
            <w:r w:rsidRPr="009F63E9">
              <w:rPr>
                <w:rFonts w:cs="Calibri"/>
                <w:sz w:val="24"/>
                <w:lang w:eastAsia="en-US"/>
              </w:rPr>
              <w:t xml:space="preserve">Zvážit jak a kým, oproti dnes používaným postupům, </w:t>
            </w:r>
            <w:r w:rsidRPr="009F63E9">
              <w:rPr>
                <w:rFonts w:cs="Calibri"/>
                <w:b/>
                <w:sz w:val="24"/>
                <w:lang w:eastAsia="en-US"/>
              </w:rPr>
              <w:t>posuzovat věcné části</w:t>
            </w:r>
            <w:r w:rsidRPr="009F63E9">
              <w:rPr>
                <w:rFonts w:cs="Calibri"/>
                <w:sz w:val="24"/>
                <w:lang w:eastAsia="en-US"/>
              </w:rPr>
              <w:t xml:space="preserve"> daňového odpočtu tzn., zda se jedná o </w:t>
            </w:r>
            <w:proofErr w:type="spellStart"/>
            <w:r w:rsidRPr="009F63E9">
              <w:rPr>
                <w:rFonts w:cs="Calibri"/>
                <w:sz w:val="24"/>
                <w:lang w:eastAsia="en-US"/>
              </w:rPr>
              <w:t>VaV</w:t>
            </w:r>
            <w:proofErr w:type="spellEnd"/>
            <w:r w:rsidRPr="009F63E9">
              <w:rPr>
                <w:rFonts w:cs="Calibri"/>
                <w:sz w:val="24"/>
                <w:lang w:eastAsia="en-US"/>
              </w:rPr>
              <w:t>, např. zapojením odborníků z MPO nebo z TA ČR.</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Celá PSDO</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Diskutováno</w:t>
            </w:r>
          </w:p>
        </w:tc>
      </w:tr>
      <w:tr w:rsidR="006F232C" w:rsidRPr="009F63E9" w:rsidTr="009F63E9">
        <w:trPr>
          <w:trHeight w:val="843"/>
          <w:jc w:val="center"/>
        </w:trPr>
        <w:tc>
          <w:tcPr>
            <w:tcW w:w="1696" w:type="dxa"/>
            <w:vAlign w:val="center"/>
          </w:tcPr>
          <w:p w:rsidR="006F232C" w:rsidRPr="009F63E9" w:rsidRDefault="006F232C" w:rsidP="009F63E9">
            <w:pPr>
              <w:spacing w:after="0" w:line="240" w:lineRule="auto"/>
              <w:jc w:val="center"/>
              <w:rPr>
                <w:sz w:val="24"/>
                <w:lang w:eastAsia="en-US"/>
              </w:rPr>
            </w:pPr>
            <w:r w:rsidRPr="009F63E9">
              <w:rPr>
                <w:sz w:val="24"/>
                <w:lang w:eastAsia="en-US"/>
              </w:rPr>
              <w:t xml:space="preserve">4. </w:t>
            </w:r>
          </w:p>
        </w:tc>
        <w:tc>
          <w:tcPr>
            <w:tcW w:w="3215" w:type="dxa"/>
            <w:vAlign w:val="center"/>
          </w:tcPr>
          <w:p w:rsidR="006F232C" w:rsidRPr="009F63E9" w:rsidRDefault="006F232C" w:rsidP="009F63E9">
            <w:pPr>
              <w:spacing w:after="0" w:line="240" w:lineRule="auto"/>
              <w:rPr>
                <w:rFonts w:cs="Calibri"/>
                <w:i/>
                <w:sz w:val="24"/>
                <w:lang w:eastAsia="en-US"/>
              </w:rPr>
            </w:pPr>
            <w:r w:rsidRPr="009F63E9">
              <w:rPr>
                <w:rFonts w:cs="Calibri"/>
                <w:sz w:val="24"/>
                <w:lang w:eastAsia="en-US"/>
              </w:rPr>
              <w:t xml:space="preserve">Určit počty kontrol na </w:t>
            </w:r>
            <w:proofErr w:type="spellStart"/>
            <w:r w:rsidRPr="009F63E9">
              <w:rPr>
                <w:rFonts w:cs="Calibri"/>
                <w:sz w:val="24"/>
                <w:lang w:eastAsia="en-US"/>
              </w:rPr>
              <w:t>VaV</w:t>
            </w:r>
            <w:proofErr w:type="spellEnd"/>
            <w:r w:rsidRPr="009F63E9">
              <w:rPr>
                <w:rFonts w:cs="Calibri"/>
                <w:sz w:val="24"/>
                <w:lang w:eastAsia="en-US"/>
              </w:rPr>
              <w:t xml:space="preserve"> od roku 2015 a výši určených doměrků v tomto období a počet poplatníků, kterým byl doměrek vyměřen. </w:t>
            </w:r>
            <w:r w:rsidRPr="009F63E9">
              <w:rPr>
                <w:rFonts w:cs="Calibri"/>
                <w:i/>
                <w:sz w:val="24"/>
                <w:lang w:eastAsia="en-US"/>
              </w:rPr>
              <w:t xml:space="preserve">Pozn.: Dle GFŘ není toto možné zjistit z dat finanční správy. </w:t>
            </w:r>
          </w:p>
          <w:p w:rsidR="006F232C" w:rsidRPr="009F63E9" w:rsidRDefault="006F232C" w:rsidP="009F63E9">
            <w:pPr>
              <w:spacing w:after="0" w:line="240" w:lineRule="auto"/>
              <w:rPr>
                <w:rFonts w:cs="Calibri"/>
                <w:b/>
                <w:sz w:val="24"/>
                <w:lang w:eastAsia="en-US"/>
              </w:rPr>
            </w:pPr>
            <w:r w:rsidRPr="009F63E9">
              <w:rPr>
                <w:rFonts w:cs="Calibri"/>
                <w:b/>
                <w:i/>
                <w:sz w:val="24"/>
                <w:lang w:eastAsia="en-US"/>
              </w:rPr>
              <w:t xml:space="preserve">Možné zjistit dotazníkovým šetřením přímo na vzorku firem, z jakého důvodu </w:t>
            </w:r>
            <w:r w:rsidRPr="009F63E9">
              <w:rPr>
                <w:rFonts w:cs="Calibri"/>
                <w:b/>
                <w:i/>
                <w:sz w:val="24"/>
                <w:lang w:eastAsia="en-US"/>
              </w:rPr>
              <w:lastRenderedPageBreak/>
              <w:t>vystoupily ze systému daňových odpočtů.</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lastRenderedPageBreak/>
              <w:t>Celá PSDO</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Ještě nediskutováno</w:t>
            </w:r>
          </w:p>
        </w:tc>
      </w:tr>
      <w:tr w:rsidR="006F232C" w:rsidRPr="009F63E9" w:rsidTr="009F63E9">
        <w:trPr>
          <w:trHeight w:val="1266"/>
          <w:jc w:val="center"/>
        </w:trPr>
        <w:tc>
          <w:tcPr>
            <w:tcW w:w="1696" w:type="dxa"/>
            <w:vAlign w:val="center"/>
          </w:tcPr>
          <w:p w:rsidR="006F232C" w:rsidRPr="009F63E9" w:rsidRDefault="006F232C" w:rsidP="009F63E9">
            <w:pPr>
              <w:spacing w:after="0" w:line="240" w:lineRule="auto"/>
              <w:jc w:val="center"/>
              <w:rPr>
                <w:sz w:val="24"/>
                <w:lang w:eastAsia="en-US"/>
              </w:rPr>
            </w:pPr>
            <w:r w:rsidRPr="009F63E9">
              <w:rPr>
                <w:sz w:val="24"/>
                <w:lang w:eastAsia="en-US"/>
              </w:rPr>
              <w:t>5.</w:t>
            </w:r>
          </w:p>
        </w:tc>
        <w:tc>
          <w:tcPr>
            <w:tcW w:w="3215" w:type="dxa"/>
            <w:vAlign w:val="center"/>
          </w:tcPr>
          <w:p w:rsidR="006F232C" w:rsidRPr="009F63E9" w:rsidRDefault="006F232C" w:rsidP="009F63E9">
            <w:pPr>
              <w:spacing w:after="0" w:line="240" w:lineRule="auto"/>
              <w:rPr>
                <w:rFonts w:cs="Calibri"/>
                <w:sz w:val="24"/>
                <w:lang w:eastAsia="en-US"/>
              </w:rPr>
            </w:pPr>
            <w:r w:rsidRPr="009F63E9">
              <w:rPr>
                <w:rFonts w:cs="Calibri"/>
                <w:sz w:val="24"/>
                <w:lang w:eastAsia="en-US"/>
              </w:rPr>
              <w:t xml:space="preserve">Zjistit jak soudy vnímají </w:t>
            </w:r>
            <w:r w:rsidRPr="009F63E9">
              <w:rPr>
                <w:rFonts w:cs="Calibri"/>
                <w:b/>
                <w:sz w:val="24"/>
                <w:lang w:eastAsia="en-US"/>
              </w:rPr>
              <w:t>prvek novosti</w:t>
            </w:r>
            <w:r w:rsidRPr="009F63E9">
              <w:rPr>
                <w:rFonts w:cs="Calibri"/>
                <w:sz w:val="24"/>
                <w:lang w:eastAsia="en-US"/>
              </w:rPr>
              <w:t xml:space="preserve"> u projektů </w:t>
            </w:r>
            <w:proofErr w:type="spellStart"/>
            <w:r w:rsidRPr="009F63E9">
              <w:rPr>
                <w:rFonts w:cs="Calibri"/>
                <w:sz w:val="24"/>
                <w:lang w:eastAsia="en-US"/>
              </w:rPr>
              <w:t>VaV</w:t>
            </w:r>
            <w:proofErr w:type="spellEnd"/>
            <w:r w:rsidRPr="009F63E9">
              <w:rPr>
                <w:rFonts w:cs="Calibri"/>
                <w:sz w:val="24"/>
                <w:lang w:eastAsia="en-US"/>
              </w:rPr>
              <w:t xml:space="preserve"> v rozsudcích, udělat souhrnný oficiální závěr k této věci.</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GFŘ</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Ještě nediskutováno</w:t>
            </w:r>
          </w:p>
        </w:tc>
      </w:tr>
      <w:tr w:rsidR="006F232C" w:rsidRPr="009F63E9" w:rsidTr="009F63E9">
        <w:trPr>
          <w:trHeight w:val="1266"/>
          <w:jc w:val="center"/>
        </w:trPr>
        <w:tc>
          <w:tcPr>
            <w:tcW w:w="1696" w:type="dxa"/>
            <w:vAlign w:val="center"/>
          </w:tcPr>
          <w:p w:rsidR="006F232C" w:rsidRPr="009F63E9" w:rsidRDefault="006F232C" w:rsidP="009F63E9">
            <w:pPr>
              <w:spacing w:after="0" w:line="240" w:lineRule="auto"/>
              <w:jc w:val="center"/>
              <w:rPr>
                <w:sz w:val="24"/>
                <w:lang w:eastAsia="en-US"/>
              </w:rPr>
            </w:pPr>
            <w:r w:rsidRPr="009F63E9">
              <w:rPr>
                <w:sz w:val="24"/>
                <w:lang w:eastAsia="en-US"/>
              </w:rPr>
              <w:t>6.</w:t>
            </w:r>
          </w:p>
        </w:tc>
        <w:tc>
          <w:tcPr>
            <w:tcW w:w="3215" w:type="dxa"/>
            <w:vAlign w:val="center"/>
          </w:tcPr>
          <w:p w:rsidR="006F232C" w:rsidRPr="009F63E9" w:rsidRDefault="006F232C" w:rsidP="009F63E9">
            <w:pPr>
              <w:spacing w:after="0" w:line="240" w:lineRule="auto"/>
              <w:rPr>
                <w:rFonts w:cs="Calibri"/>
                <w:sz w:val="24"/>
                <w:lang w:eastAsia="en-US"/>
              </w:rPr>
            </w:pPr>
            <w:r w:rsidRPr="009F63E9">
              <w:rPr>
                <w:rFonts w:cs="Calibri"/>
                <w:b/>
                <w:sz w:val="24"/>
                <w:lang w:eastAsia="en-US"/>
              </w:rPr>
              <w:t xml:space="preserve">Najít klíčové důvody snižování využívání daňových odpočtů v ČR </w:t>
            </w:r>
            <w:r w:rsidRPr="009F63E9">
              <w:rPr>
                <w:rFonts w:cs="Calibri"/>
                <w:sz w:val="24"/>
                <w:lang w:eastAsia="en-US"/>
              </w:rPr>
              <w:t>od roku 2015.</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Celá PSDO</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Diskutováno</w:t>
            </w:r>
          </w:p>
        </w:tc>
      </w:tr>
    </w:tbl>
    <w:p w:rsidR="006F232C" w:rsidRPr="007A0C93" w:rsidRDefault="006F232C" w:rsidP="00C0435C">
      <w:pPr>
        <w:rPr>
          <w:sz w:val="24"/>
        </w:rPr>
      </w:pPr>
    </w:p>
    <w:p w:rsidR="006F232C" w:rsidRPr="007A0C93" w:rsidRDefault="006F232C" w:rsidP="006C2964">
      <w:pPr>
        <w:spacing w:after="0"/>
        <w:rPr>
          <w:sz w:val="24"/>
        </w:rPr>
      </w:pP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6260"/>
      </w:tblGrid>
      <w:tr w:rsidR="006F232C" w:rsidRPr="009F63E9" w:rsidTr="009F63E9">
        <w:trPr>
          <w:trHeight w:val="635"/>
          <w:jc w:val="center"/>
        </w:trPr>
        <w:tc>
          <w:tcPr>
            <w:tcW w:w="3397" w:type="dxa"/>
            <w:shd w:val="clear" w:color="auto" w:fill="BDD6EE"/>
            <w:vAlign w:val="center"/>
          </w:tcPr>
          <w:p w:rsidR="006F232C" w:rsidRPr="009F63E9" w:rsidRDefault="006F232C" w:rsidP="009F63E9">
            <w:pPr>
              <w:spacing w:after="0" w:line="240" w:lineRule="auto"/>
              <w:rPr>
                <w:sz w:val="24"/>
                <w:szCs w:val="28"/>
                <w:lang w:eastAsia="en-US"/>
              </w:rPr>
            </w:pPr>
            <w:r w:rsidRPr="009F63E9">
              <w:rPr>
                <w:rFonts w:cs="Calibri"/>
                <w:b/>
                <w:sz w:val="24"/>
                <w:szCs w:val="28"/>
              </w:rPr>
              <w:t>CÍL č. 2</w:t>
            </w:r>
          </w:p>
        </w:tc>
        <w:tc>
          <w:tcPr>
            <w:tcW w:w="6260" w:type="dxa"/>
            <w:shd w:val="clear" w:color="auto" w:fill="BDD6EE"/>
            <w:vAlign w:val="center"/>
          </w:tcPr>
          <w:p w:rsidR="006F232C" w:rsidRPr="009F63E9" w:rsidRDefault="006F232C" w:rsidP="009F63E9">
            <w:pPr>
              <w:spacing w:after="0" w:line="240" w:lineRule="auto"/>
              <w:rPr>
                <w:sz w:val="24"/>
                <w:szCs w:val="28"/>
                <w:lang w:eastAsia="en-US"/>
              </w:rPr>
            </w:pPr>
            <w:r w:rsidRPr="009F63E9">
              <w:rPr>
                <w:rFonts w:cs="Calibri"/>
                <w:b/>
                <w:sz w:val="24"/>
                <w:szCs w:val="28"/>
                <w:lang w:eastAsia="en-US"/>
              </w:rPr>
              <w:t xml:space="preserve">Zdůvodnění snížení využívání daňových odpočtů na </w:t>
            </w:r>
            <w:proofErr w:type="spellStart"/>
            <w:r w:rsidRPr="009F63E9">
              <w:rPr>
                <w:rFonts w:cs="Calibri"/>
                <w:b/>
                <w:sz w:val="24"/>
                <w:szCs w:val="28"/>
                <w:lang w:eastAsia="en-US"/>
              </w:rPr>
              <w:t>VaV</w:t>
            </w:r>
            <w:proofErr w:type="spellEnd"/>
          </w:p>
        </w:tc>
      </w:tr>
      <w:tr w:rsidR="006F232C" w:rsidRPr="009F63E9" w:rsidTr="009F63E9">
        <w:trPr>
          <w:trHeight w:val="1643"/>
          <w:jc w:val="center"/>
        </w:trPr>
        <w:tc>
          <w:tcPr>
            <w:tcW w:w="3397" w:type="dxa"/>
            <w:shd w:val="clear" w:color="auto" w:fill="BDD6EE"/>
            <w:vAlign w:val="center"/>
          </w:tcPr>
          <w:p w:rsidR="006F232C" w:rsidRPr="009F63E9" w:rsidRDefault="006F232C" w:rsidP="009F63E9">
            <w:pPr>
              <w:spacing w:after="0" w:line="240" w:lineRule="auto"/>
              <w:rPr>
                <w:b/>
                <w:sz w:val="24"/>
                <w:szCs w:val="28"/>
                <w:lang w:eastAsia="en-US"/>
              </w:rPr>
            </w:pPr>
            <w:r w:rsidRPr="009F63E9">
              <w:rPr>
                <w:b/>
                <w:sz w:val="24"/>
                <w:szCs w:val="28"/>
                <w:lang w:eastAsia="en-US"/>
              </w:rPr>
              <w:t>Závěrečné výstupy PSDO 2022 k tomuto cíli k předání RVVI</w:t>
            </w:r>
          </w:p>
        </w:tc>
        <w:tc>
          <w:tcPr>
            <w:tcW w:w="6260" w:type="dxa"/>
          </w:tcPr>
          <w:p w:rsidR="006F232C" w:rsidRPr="009F63E9" w:rsidRDefault="006F232C" w:rsidP="009F63E9">
            <w:pPr>
              <w:pStyle w:val="Odstavecseseznamem"/>
              <w:numPr>
                <w:ilvl w:val="0"/>
                <w:numId w:val="16"/>
              </w:numPr>
              <w:spacing w:after="0" w:line="240" w:lineRule="auto"/>
              <w:ind w:left="322" w:hanging="284"/>
              <w:jc w:val="both"/>
              <w:rPr>
                <w:sz w:val="24"/>
                <w:szCs w:val="28"/>
                <w:lang w:eastAsia="en-US"/>
              </w:rPr>
            </w:pPr>
            <w:r w:rsidRPr="009F63E9">
              <w:rPr>
                <w:sz w:val="24"/>
                <w:szCs w:val="28"/>
                <w:lang w:eastAsia="en-US"/>
              </w:rPr>
              <w:t xml:space="preserve">Je potřeba </w:t>
            </w:r>
            <w:r w:rsidRPr="009F63E9">
              <w:rPr>
                <w:b/>
                <w:sz w:val="24"/>
                <w:szCs w:val="28"/>
                <w:lang w:eastAsia="en-US"/>
              </w:rPr>
              <w:t xml:space="preserve">zvýšit důvěru firem </w:t>
            </w:r>
            <w:r w:rsidRPr="009F63E9">
              <w:rPr>
                <w:sz w:val="24"/>
                <w:szCs w:val="28"/>
                <w:lang w:eastAsia="en-US"/>
              </w:rPr>
              <w:t>a podniků v tento nástroj a </w:t>
            </w:r>
            <w:r w:rsidRPr="009F63E9">
              <w:rPr>
                <w:b/>
                <w:sz w:val="24"/>
                <w:szCs w:val="28"/>
                <w:lang w:eastAsia="en-US"/>
              </w:rPr>
              <w:t xml:space="preserve">snížit formalismus </w:t>
            </w:r>
            <w:r w:rsidRPr="009F63E9">
              <w:rPr>
                <w:sz w:val="24"/>
                <w:szCs w:val="28"/>
                <w:lang w:eastAsia="en-US"/>
              </w:rPr>
              <w:t>při posuzování projektů.</w:t>
            </w:r>
          </w:p>
          <w:p w:rsidR="006F232C" w:rsidRPr="009F63E9" w:rsidRDefault="006F232C" w:rsidP="009F63E9">
            <w:pPr>
              <w:spacing w:after="0" w:line="240" w:lineRule="auto"/>
              <w:jc w:val="both"/>
              <w:rPr>
                <w:sz w:val="24"/>
                <w:szCs w:val="28"/>
                <w:lang w:eastAsia="en-US"/>
              </w:rPr>
            </w:pPr>
          </w:p>
        </w:tc>
      </w:tr>
    </w:tbl>
    <w:p w:rsidR="006F232C" w:rsidRDefault="006F232C" w:rsidP="00C16E26">
      <w:pPr>
        <w:pStyle w:val="Nadpis1"/>
        <w:spacing w:line="240" w:lineRule="auto"/>
        <w:ind w:left="1560" w:hanging="1560"/>
        <w:jc w:val="both"/>
        <w:rPr>
          <w:rFonts w:ascii="Calibri" w:hAnsi="Calibri" w:cs="Calibri"/>
          <w:b/>
          <w:sz w:val="22"/>
          <w:szCs w:val="28"/>
        </w:rPr>
      </w:pPr>
    </w:p>
    <w:p w:rsidR="006F232C" w:rsidRDefault="006F232C" w:rsidP="00D044BE"/>
    <w:p w:rsidR="00EC0D52" w:rsidRPr="00D044BE" w:rsidRDefault="00EC0D52" w:rsidP="00D044BE"/>
    <w:p w:rsidR="006F232C" w:rsidRDefault="006F232C" w:rsidP="00C16E26">
      <w:pPr>
        <w:pStyle w:val="Nadpis1"/>
        <w:spacing w:line="240" w:lineRule="auto"/>
        <w:ind w:left="1560" w:hanging="1560"/>
        <w:jc w:val="both"/>
        <w:rPr>
          <w:rFonts w:ascii="Calibri" w:hAnsi="Calibri" w:cs="Calibri"/>
          <w:b/>
          <w:sz w:val="40"/>
          <w:szCs w:val="28"/>
        </w:rPr>
      </w:pPr>
      <w:r w:rsidRPr="0085710D">
        <w:rPr>
          <w:rFonts w:ascii="Calibri" w:hAnsi="Calibri" w:cs="Calibri"/>
          <w:b/>
          <w:sz w:val="40"/>
          <w:szCs w:val="28"/>
        </w:rPr>
        <w:t>Cíl č. 3 – Urče</w:t>
      </w:r>
      <w:r>
        <w:rPr>
          <w:rFonts w:ascii="Calibri" w:hAnsi="Calibri" w:cs="Calibri"/>
          <w:b/>
          <w:sz w:val="40"/>
          <w:szCs w:val="28"/>
        </w:rPr>
        <w:t>ní zásadních statistických ukazatelů</w:t>
      </w:r>
    </w:p>
    <w:p w:rsidR="006F232C" w:rsidRPr="00B36FC4" w:rsidRDefault="006F232C" w:rsidP="00F62EB4">
      <w:pPr>
        <w:rPr>
          <w:sz w:val="24"/>
        </w:rPr>
      </w:pPr>
    </w:p>
    <w:p w:rsidR="006F232C" w:rsidRDefault="006F232C" w:rsidP="00C23FCB">
      <w:pPr>
        <w:ind w:left="426" w:hanging="142"/>
        <w:rPr>
          <w:b/>
          <w:sz w:val="24"/>
          <w:szCs w:val="24"/>
          <w:u w:val="single"/>
        </w:rPr>
      </w:pPr>
      <w:r w:rsidRPr="00022463">
        <w:rPr>
          <w:b/>
          <w:sz w:val="24"/>
          <w:szCs w:val="24"/>
          <w:u w:val="single"/>
        </w:rPr>
        <w:t>Přehled zásadních statistických znaků</w:t>
      </w:r>
      <w:r w:rsidRPr="00A275E1">
        <w:rPr>
          <w:b/>
          <w:sz w:val="24"/>
          <w:szCs w:val="24"/>
        </w:rPr>
        <w:t>:</w:t>
      </w:r>
    </w:p>
    <w:p w:rsidR="006F232C" w:rsidRDefault="006F232C" w:rsidP="00C23FCB">
      <w:pPr>
        <w:pStyle w:val="Odstavecseseznamem"/>
        <w:numPr>
          <w:ilvl w:val="0"/>
          <w:numId w:val="12"/>
        </w:numPr>
        <w:jc w:val="both"/>
        <w:rPr>
          <w:sz w:val="24"/>
          <w:szCs w:val="28"/>
          <w:lang w:eastAsia="en-US"/>
        </w:rPr>
      </w:pPr>
      <w:r>
        <w:rPr>
          <w:sz w:val="24"/>
          <w:szCs w:val="28"/>
          <w:lang w:eastAsia="en-US"/>
        </w:rPr>
        <w:t xml:space="preserve">Počet firem </w:t>
      </w:r>
      <w:r w:rsidRPr="00022463">
        <w:rPr>
          <w:sz w:val="24"/>
          <w:szCs w:val="28"/>
          <w:lang w:eastAsia="en-US"/>
        </w:rPr>
        <w:t>uplatňují</w:t>
      </w:r>
      <w:r>
        <w:rPr>
          <w:sz w:val="24"/>
          <w:szCs w:val="28"/>
          <w:lang w:eastAsia="en-US"/>
        </w:rPr>
        <w:t>cích</w:t>
      </w:r>
      <w:r w:rsidRPr="00022463">
        <w:rPr>
          <w:sz w:val="24"/>
          <w:szCs w:val="28"/>
          <w:lang w:eastAsia="en-US"/>
        </w:rPr>
        <w:t xml:space="preserve"> v daném roce daňový odpočet</w:t>
      </w:r>
      <w:r>
        <w:rPr>
          <w:sz w:val="24"/>
          <w:szCs w:val="28"/>
          <w:lang w:eastAsia="en-US"/>
        </w:rPr>
        <w:t>.</w:t>
      </w:r>
    </w:p>
    <w:p w:rsidR="006F232C" w:rsidRDefault="006F232C" w:rsidP="00C23FCB">
      <w:pPr>
        <w:pStyle w:val="Odstavecseseznamem"/>
        <w:numPr>
          <w:ilvl w:val="0"/>
          <w:numId w:val="12"/>
        </w:numPr>
        <w:jc w:val="both"/>
        <w:rPr>
          <w:sz w:val="24"/>
          <w:szCs w:val="28"/>
          <w:lang w:eastAsia="en-US"/>
        </w:rPr>
      </w:pPr>
      <w:r w:rsidRPr="00EA65D2">
        <w:rPr>
          <w:sz w:val="24"/>
          <w:szCs w:val="28"/>
          <w:lang w:eastAsia="en-US"/>
        </w:rPr>
        <w:t>Počet firem převádějících výdaje k uplatnění do dalších let</w:t>
      </w:r>
    </w:p>
    <w:p w:rsidR="006F232C" w:rsidRDefault="006F232C" w:rsidP="00C23FCB">
      <w:pPr>
        <w:pStyle w:val="Odstavecseseznamem"/>
        <w:numPr>
          <w:ilvl w:val="0"/>
          <w:numId w:val="12"/>
        </w:numPr>
        <w:jc w:val="both"/>
        <w:rPr>
          <w:sz w:val="24"/>
          <w:szCs w:val="28"/>
          <w:lang w:eastAsia="en-US"/>
        </w:rPr>
      </w:pPr>
      <w:r>
        <w:rPr>
          <w:sz w:val="24"/>
          <w:szCs w:val="28"/>
          <w:lang w:eastAsia="en-US"/>
        </w:rPr>
        <w:t>Výše uplatněného odpočtu a daňové podpory v daném roce.</w:t>
      </w:r>
    </w:p>
    <w:p w:rsidR="006F232C" w:rsidRDefault="006F232C" w:rsidP="00C23FCB">
      <w:pPr>
        <w:pStyle w:val="Odstavecseseznamem"/>
        <w:numPr>
          <w:ilvl w:val="0"/>
          <w:numId w:val="12"/>
        </w:numPr>
        <w:jc w:val="both"/>
        <w:rPr>
          <w:sz w:val="24"/>
          <w:szCs w:val="28"/>
          <w:lang w:eastAsia="en-US"/>
        </w:rPr>
      </w:pPr>
      <w:r>
        <w:rPr>
          <w:sz w:val="24"/>
          <w:szCs w:val="28"/>
          <w:lang w:eastAsia="en-US"/>
        </w:rPr>
        <w:t>Výše převedených výdajů k uplatnění do dalších let</w:t>
      </w:r>
    </w:p>
    <w:p w:rsidR="006F232C" w:rsidRPr="00022463" w:rsidRDefault="006F232C" w:rsidP="00C23FCB">
      <w:pPr>
        <w:pStyle w:val="Odstavecseseznamem"/>
        <w:numPr>
          <w:ilvl w:val="0"/>
          <w:numId w:val="12"/>
        </w:numPr>
        <w:jc w:val="both"/>
        <w:rPr>
          <w:sz w:val="24"/>
          <w:szCs w:val="28"/>
          <w:lang w:eastAsia="en-US"/>
        </w:rPr>
      </w:pPr>
      <w:r>
        <w:rPr>
          <w:sz w:val="24"/>
          <w:szCs w:val="28"/>
          <w:lang w:eastAsia="en-US"/>
        </w:rPr>
        <w:t xml:space="preserve">Počet kontrol na odpočet na </w:t>
      </w:r>
      <w:proofErr w:type="spellStart"/>
      <w:r>
        <w:rPr>
          <w:sz w:val="24"/>
          <w:szCs w:val="28"/>
          <w:lang w:eastAsia="en-US"/>
        </w:rPr>
        <w:t>VaV</w:t>
      </w:r>
      <w:proofErr w:type="spellEnd"/>
      <w:r>
        <w:rPr>
          <w:sz w:val="24"/>
          <w:szCs w:val="28"/>
          <w:lang w:eastAsia="en-US"/>
        </w:rPr>
        <w:t xml:space="preserve"> (nutná legislativní úprava)</w:t>
      </w:r>
    </w:p>
    <w:p w:rsidR="006F232C" w:rsidRDefault="006F232C" w:rsidP="00C23FCB">
      <w:pPr>
        <w:pStyle w:val="Odstavecseseznamem"/>
        <w:numPr>
          <w:ilvl w:val="0"/>
          <w:numId w:val="12"/>
        </w:numPr>
        <w:jc w:val="both"/>
        <w:rPr>
          <w:sz w:val="24"/>
          <w:szCs w:val="28"/>
          <w:lang w:eastAsia="en-US"/>
        </w:rPr>
      </w:pPr>
      <w:r w:rsidRPr="00022463">
        <w:rPr>
          <w:sz w:val="24"/>
          <w:szCs w:val="28"/>
          <w:lang w:eastAsia="en-US"/>
        </w:rPr>
        <w:t>P</w:t>
      </w:r>
      <w:r>
        <w:rPr>
          <w:sz w:val="24"/>
          <w:szCs w:val="28"/>
          <w:lang w:eastAsia="en-US"/>
        </w:rPr>
        <w:t>oměrové ukazatele:</w:t>
      </w:r>
    </w:p>
    <w:p w:rsidR="006F232C" w:rsidRDefault="006F232C" w:rsidP="00C23FCB">
      <w:pPr>
        <w:pStyle w:val="Odstavecseseznamem"/>
        <w:numPr>
          <w:ilvl w:val="1"/>
          <w:numId w:val="12"/>
        </w:numPr>
        <w:jc w:val="both"/>
        <w:rPr>
          <w:sz w:val="24"/>
          <w:szCs w:val="28"/>
          <w:lang w:eastAsia="en-US"/>
        </w:rPr>
      </w:pPr>
      <w:r>
        <w:rPr>
          <w:sz w:val="24"/>
          <w:szCs w:val="28"/>
          <w:lang w:eastAsia="en-US"/>
        </w:rPr>
        <w:t xml:space="preserve">Počet firem </w:t>
      </w:r>
      <w:r w:rsidRPr="00022463">
        <w:rPr>
          <w:sz w:val="24"/>
          <w:szCs w:val="28"/>
          <w:lang w:eastAsia="en-US"/>
        </w:rPr>
        <w:t>uplatňují</w:t>
      </w:r>
      <w:r>
        <w:rPr>
          <w:sz w:val="24"/>
          <w:szCs w:val="28"/>
          <w:lang w:eastAsia="en-US"/>
        </w:rPr>
        <w:t>cích</w:t>
      </w:r>
      <w:r w:rsidRPr="00022463">
        <w:rPr>
          <w:sz w:val="24"/>
          <w:szCs w:val="28"/>
          <w:lang w:eastAsia="en-US"/>
        </w:rPr>
        <w:t xml:space="preserve"> </w:t>
      </w:r>
      <w:r>
        <w:rPr>
          <w:sz w:val="24"/>
          <w:szCs w:val="28"/>
          <w:lang w:eastAsia="en-US"/>
        </w:rPr>
        <w:t xml:space="preserve">odpočet vůči celkovému počtu firem realizujících </w:t>
      </w:r>
      <w:proofErr w:type="spellStart"/>
      <w:r>
        <w:rPr>
          <w:sz w:val="24"/>
          <w:szCs w:val="28"/>
          <w:lang w:eastAsia="en-US"/>
        </w:rPr>
        <w:t>VaV</w:t>
      </w:r>
      <w:proofErr w:type="spellEnd"/>
    </w:p>
    <w:p w:rsidR="006F232C" w:rsidRDefault="006F232C" w:rsidP="00C23FCB">
      <w:pPr>
        <w:pStyle w:val="Odstavecseseznamem"/>
        <w:numPr>
          <w:ilvl w:val="1"/>
          <w:numId w:val="12"/>
        </w:numPr>
        <w:jc w:val="both"/>
        <w:rPr>
          <w:sz w:val="24"/>
          <w:szCs w:val="28"/>
          <w:lang w:eastAsia="en-US"/>
        </w:rPr>
      </w:pPr>
      <w:r w:rsidRPr="00EA65D2">
        <w:rPr>
          <w:sz w:val="24"/>
          <w:szCs w:val="28"/>
          <w:lang w:eastAsia="en-US"/>
        </w:rPr>
        <w:t>Počet firem uplatňujících odpočet vůči celkovému počtu firem</w:t>
      </w:r>
    </w:p>
    <w:p w:rsidR="006F232C" w:rsidRDefault="006F232C" w:rsidP="00C23FCB">
      <w:pPr>
        <w:pStyle w:val="Odstavecseseznamem"/>
        <w:numPr>
          <w:ilvl w:val="1"/>
          <w:numId w:val="12"/>
        </w:numPr>
        <w:jc w:val="both"/>
        <w:rPr>
          <w:sz w:val="24"/>
          <w:szCs w:val="28"/>
          <w:lang w:eastAsia="en-US"/>
        </w:rPr>
      </w:pPr>
      <w:r>
        <w:rPr>
          <w:sz w:val="24"/>
          <w:szCs w:val="28"/>
          <w:lang w:eastAsia="en-US"/>
        </w:rPr>
        <w:t xml:space="preserve">Podíl uplatněné alokace daňového odpočtu na celkových výdajích na </w:t>
      </w:r>
      <w:proofErr w:type="spellStart"/>
      <w:r>
        <w:rPr>
          <w:sz w:val="24"/>
          <w:szCs w:val="28"/>
          <w:lang w:eastAsia="en-US"/>
        </w:rPr>
        <w:t>VaV</w:t>
      </w:r>
      <w:proofErr w:type="spellEnd"/>
      <w:r>
        <w:rPr>
          <w:sz w:val="24"/>
          <w:szCs w:val="28"/>
          <w:lang w:eastAsia="en-US"/>
        </w:rPr>
        <w:t xml:space="preserve"> firem realizujících </w:t>
      </w:r>
      <w:proofErr w:type="spellStart"/>
      <w:r>
        <w:rPr>
          <w:sz w:val="24"/>
          <w:szCs w:val="28"/>
          <w:lang w:eastAsia="en-US"/>
        </w:rPr>
        <w:t>VaV</w:t>
      </w:r>
      <w:proofErr w:type="spellEnd"/>
    </w:p>
    <w:p w:rsidR="006F232C" w:rsidRDefault="006F232C" w:rsidP="00C23FCB">
      <w:pPr>
        <w:pStyle w:val="Odstavecseseznamem"/>
        <w:numPr>
          <w:ilvl w:val="1"/>
          <w:numId w:val="12"/>
        </w:numPr>
        <w:jc w:val="both"/>
        <w:rPr>
          <w:sz w:val="24"/>
          <w:szCs w:val="28"/>
          <w:lang w:eastAsia="en-US"/>
        </w:rPr>
      </w:pPr>
      <w:r>
        <w:rPr>
          <w:sz w:val="24"/>
          <w:szCs w:val="28"/>
          <w:lang w:eastAsia="en-US"/>
        </w:rPr>
        <w:t xml:space="preserve">Podíl daňové (nepřímé veřejné) podpory </w:t>
      </w:r>
      <w:proofErr w:type="spellStart"/>
      <w:r>
        <w:rPr>
          <w:sz w:val="24"/>
          <w:szCs w:val="28"/>
          <w:lang w:eastAsia="en-US"/>
        </w:rPr>
        <w:t>VaV</w:t>
      </w:r>
      <w:proofErr w:type="spellEnd"/>
      <w:r>
        <w:rPr>
          <w:sz w:val="24"/>
          <w:szCs w:val="28"/>
          <w:lang w:eastAsia="en-US"/>
        </w:rPr>
        <w:t xml:space="preserve"> na celkových výdajích na </w:t>
      </w:r>
      <w:proofErr w:type="spellStart"/>
      <w:r>
        <w:rPr>
          <w:sz w:val="24"/>
          <w:szCs w:val="28"/>
          <w:lang w:eastAsia="en-US"/>
        </w:rPr>
        <w:t>VaV</w:t>
      </w:r>
      <w:proofErr w:type="spellEnd"/>
      <w:r>
        <w:rPr>
          <w:sz w:val="24"/>
          <w:szCs w:val="28"/>
          <w:lang w:eastAsia="en-US"/>
        </w:rPr>
        <w:t xml:space="preserve"> v podnicích</w:t>
      </w:r>
    </w:p>
    <w:p w:rsidR="006F232C" w:rsidRDefault="006F232C" w:rsidP="00C23FCB">
      <w:pPr>
        <w:pStyle w:val="Odstavecseseznamem"/>
        <w:numPr>
          <w:ilvl w:val="1"/>
          <w:numId w:val="12"/>
        </w:numPr>
        <w:jc w:val="both"/>
        <w:rPr>
          <w:sz w:val="24"/>
          <w:szCs w:val="28"/>
          <w:lang w:eastAsia="en-US"/>
        </w:rPr>
      </w:pPr>
      <w:r>
        <w:rPr>
          <w:sz w:val="24"/>
          <w:szCs w:val="28"/>
          <w:lang w:eastAsia="en-US"/>
        </w:rPr>
        <w:t xml:space="preserve">Podíl daňové (nepřímé veřejné) podpory </w:t>
      </w:r>
      <w:proofErr w:type="spellStart"/>
      <w:r>
        <w:rPr>
          <w:sz w:val="24"/>
          <w:szCs w:val="28"/>
          <w:lang w:eastAsia="en-US"/>
        </w:rPr>
        <w:t>VaV</w:t>
      </w:r>
      <w:proofErr w:type="spellEnd"/>
      <w:r>
        <w:rPr>
          <w:sz w:val="24"/>
          <w:szCs w:val="28"/>
          <w:lang w:eastAsia="en-US"/>
        </w:rPr>
        <w:t xml:space="preserve"> na financování </w:t>
      </w:r>
      <w:proofErr w:type="spellStart"/>
      <w:r>
        <w:rPr>
          <w:sz w:val="24"/>
          <w:szCs w:val="28"/>
          <w:lang w:eastAsia="en-US"/>
        </w:rPr>
        <w:t>VaV</w:t>
      </w:r>
      <w:proofErr w:type="spellEnd"/>
      <w:r>
        <w:rPr>
          <w:sz w:val="24"/>
          <w:szCs w:val="28"/>
          <w:lang w:eastAsia="en-US"/>
        </w:rPr>
        <w:t xml:space="preserve"> v podnicích z veřejných zdrojů celkem</w:t>
      </w:r>
    </w:p>
    <w:p w:rsidR="006F232C" w:rsidRPr="006031FC" w:rsidRDefault="006F232C" w:rsidP="00C23FCB">
      <w:pPr>
        <w:pStyle w:val="Odstavecseseznamem"/>
        <w:numPr>
          <w:ilvl w:val="1"/>
          <w:numId w:val="12"/>
        </w:numPr>
        <w:jc w:val="both"/>
        <w:rPr>
          <w:sz w:val="24"/>
          <w:szCs w:val="28"/>
          <w:lang w:eastAsia="en-US"/>
        </w:rPr>
      </w:pPr>
      <w:r w:rsidRPr="00EA65D2">
        <w:rPr>
          <w:sz w:val="24"/>
          <w:szCs w:val="28"/>
          <w:lang w:eastAsia="en-US"/>
        </w:rPr>
        <w:lastRenderedPageBreak/>
        <w:t>Podíl daňové (nepřímé</w:t>
      </w:r>
      <w:r w:rsidRPr="006031FC">
        <w:rPr>
          <w:sz w:val="24"/>
          <w:szCs w:val="28"/>
          <w:lang w:eastAsia="en-US"/>
        </w:rPr>
        <w:t xml:space="preserve"> veřejné) podpo</w:t>
      </w:r>
      <w:r>
        <w:rPr>
          <w:sz w:val="24"/>
          <w:szCs w:val="28"/>
          <w:lang w:eastAsia="en-US"/>
        </w:rPr>
        <w:t>ry</w:t>
      </w:r>
      <w:r w:rsidRPr="006031FC">
        <w:rPr>
          <w:sz w:val="24"/>
          <w:szCs w:val="28"/>
          <w:lang w:eastAsia="en-US"/>
        </w:rPr>
        <w:t xml:space="preserve"> </w:t>
      </w:r>
      <w:proofErr w:type="spellStart"/>
      <w:r w:rsidRPr="006031FC">
        <w:rPr>
          <w:sz w:val="24"/>
          <w:szCs w:val="28"/>
          <w:lang w:eastAsia="en-US"/>
        </w:rPr>
        <w:t>VaV</w:t>
      </w:r>
      <w:proofErr w:type="spellEnd"/>
      <w:r w:rsidRPr="006031FC">
        <w:rPr>
          <w:sz w:val="24"/>
          <w:szCs w:val="28"/>
          <w:lang w:eastAsia="en-US"/>
        </w:rPr>
        <w:t xml:space="preserve"> vůči celkovým </w:t>
      </w:r>
      <w:r>
        <w:rPr>
          <w:sz w:val="24"/>
          <w:szCs w:val="28"/>
          <w:lang w:eastAsia="en-US"/>
        </w:rPr>
        <w:t xml:space="preserve">přímým </w:t>
      </w:r>
      <w:r w:rsidRPr="006031FC">
        <w:rPr>
          <w:sz w:val="24"/>
          <w:szCs w:val="28"/>
          <w:lang w:eastAsia="en-US"/>
        </w:rPr>
        <w:t>výdajům státního rozpočtu</w:t>
      </w:r>
      <w:r>
        <w:rPr>
          <w:sz w:val="24"/>
          <w:szCs w:val="28"/>
          <w:lang w:eastAsia="en-US"/>
        </w:rPr>
        <w:t xml:space="preserve"> na </w:t>
      </w:r>
      <w:proofErr w:type="spellStart"/>
      <w:r>
        <w:rPr>
          <w:sz w:val="24"/>
          <w:szCs w:val="28"/>
          <w:lang w:eastAsia="en-US"/>
        </w:rPr>
        <w:t>VaV</w:t>
      </w:r>
      <w:proofErr w:type="spellEnd"/>
    </w:p>
    <w:p w:rsidR="006F232C" w:rsidRDefault="006F232C" w:rsidP="00C23FCB">
      <w:pPr>
        <w:pStyle w:val="Odstavecseseznamem"/>
        <w:numPr>
          <w:ilvl w:val="1"/>
          <w:numId w:val="12"/>
        </w:numPr>
        <w:jc w:val="both"/>
        <w:rPr>
          <w:sz w:val="24"/>
          <w:szCs w:val="28"/>
          <w:lang w:eastAsia="en-US"/>
        </w:rPr>
      </w:pPr>
      <w:r w:rsidRPr="00EA65D2">
        <w:rPr>
          <w:sz w:val="24"/>
          <w:szCs w:val="28"/>
          <w:lang w:eastAsia="en-US"/>
        </w:rPr>
        <w:t>Podíl daňové (nepřímé veřejné) podpo</w:t>
      </w:r>
      <w:r>
        <w:rPr>
          <w:sz w:val="24"/>
          <w:szCs w:val="28"/>
          <w:lang w:eastAsia="en-US"/>
        </w:rPr>
        <w:t>ry</w:t>
      </w:r>
      <w:r w:rsidRPr="00EA65D2">
        <w:rPr>
          <w:sz w:val="24"/>
          <w:szCs w:val="28"/>
          <w:lang w:eastAsia="en-US"/>
        </w:rPr>
        <w:t xml:space="preserve"> </w:t>
      </w:r>
      <w:proofErr w:type="spellStart"/>
      <w:r w:rsidRPr="00EA65D2">
        <w:rPr>
          <w:sz w:val="24"/>
          <w:szCs w:val="28"/>
          <w:lang w:eastAsia="en-US"/>
        </w:rPr>
        <w:t>VaV</w:t>
      </w:r>
      <w:proofErr w:type="spellEnd"/>
      <w:r w:rsidRPr="00EA65D2">
        <w:rPr>
          <w:sz w:val="24"/>
          <w:szCs w:val="28"/>
          <w:lang w:eastAsia="en-US"/>
        </w:rPr>
        <w:t xml:space="preserve"> vůči celkovým výdajům státního rozpočtu</w:t>
      </w:r>
    </w:p>
    <w:p w:rsidR="006F232C" w:rsidRDefault="006F232C" w:rsidP="00C23FCB">
      <w:pPr>
        <w:pStyle w:val="Odstavecseseznamem"/>
        <w:numPr>
          <w:ilvl w:val="1"/>
          <w:numId w:val="12"/>
        </w:numPr>
        <w:jc w:val="both"/>
        <w:rPr>
          <w:sz w:val="24"/>
          <w:szCs w:val="28"/>
          <w:lang w:eastAsia="en-US"/>
        </w:rPr>
      </w:pPr>
      <w:r w:rsidRPr="00EA65D2">
        <w:rPr>
          <w:sz w:val="24"/>
          <w:szCs w:val="28"/>
          <w:lang w:eastAsia="en-US"/>
        </w:rPr>
        <w:t>Podíl daňové (nepřímé veřejné) podpo</w:t>
      </w:r>
      <w:r>
        <w:rPr>
          <w:sz w:val="24"/>
          <w:szCs w:val="28"/>
          <w:lang w:eastAsia="en-US"/>
        </w:rPr>
        <w:t>ry</w:t>
      </w:r>
      <w:r w:rsidRPr="00EA65D2">
        <w:rPr>
          <w:sz w:val="24"/>
          <w:szCs w:val="28"/>
          <w:lang w:eastAsia="en-US"/>
        </w:rPr>
        <w:t xml:space="preserve"> </w:t>
      </w:r>
      <w:proofErr w:type="spellStart"/>
      <w:r w:rsidRPr="00EA65D2">
        <w:rPr>
          <w:sz w:val="24"/>
          <w:szCs w:val="28"/>
          <w:lang w:eastAsia="en-US"/>
        </w:rPr>
        <w:t>VaV</w:t>
      </w:r>
      <w:proofErr w:type="spellEnd"/>
      <w:r w:rsidRPr="00EA65D2">
        <w:rPr>
          <w:sz w:val="24"/>
          <w:szCs w:val="28"/>
          <w:lang w:eastAsia="en-US"/>
        </w:rPr>
        <w:t xml:space="preserve"> vůči celkovým </w:t>
      </w:r>
      <w:r>
        <w:rPr>
          <w:sz w:val="24"/>
          <w:szCs w:val="28"/>
          <w:lang w:eastAsia="en-US"/>
        </w:rPr>
        <w:t xml:space="preserve">příjmům </w:t>
      </w:r>
      <w:r w:rsidRPr="00EA65D2">
        <w:rPr>
          <w:sz w:val="24"/>
          <w:szCs w:val="28"/>
          <w:lang w:eastAsia="en-US"/>
        </w:rPr>
        <w:t>státního rozpočtu</w:t>
      </w:r>
      <w:r>
        <w:rPr>
          <w:sz w:val="24"/>
          <w:szCs w:val="28"/>
          <w:lang w:eastAsia="en-US"/>
        </w:rPr>
        <w:t xml:space="preserve"> získaných z DPPO </w:t>
      </w:r>
    </w:p>
    <w:p w:rsidR="006F232C" w:rsidRDefault="006F232C" w:rsidP="00C23FCB">
      <w:pPr>
        <w:pStyle w:val="Odstavecseseznamem"/>
        <w:numPr>
          <w:ilvl w:val="1"/>
          <w:numId w:val="12"/>
        </w:numPr>
        <w:jc w:val="both"/>
        <w:rPr>
          <w:sz w:val="24"/>
          <w:szCs w:val="28"/>
          <w:lang w:eastAsia="en-US"/>
        </w:rPr>
      </w:pPr>
      <w:r w:rsidRPr="00EA65D2">
        <w:rPr>
          <w:sz w:val="24"/>
          <w:szCs w:val="28"/>
          <w:lang w:eastAsia="en-US"/>
        </w:rPr>
        <w:t>Podíl daňové (nepřímé veřejné) podpo</w:t>
      </w:r>
      <w:r>
        <w:rPr>
          <w:sz w:val="24"/>
          <w:szCs w:val="28"/>
          <w:lang w:eastAsia="en-US"/>
        </w:rPr>
        <w:t>ry</w:t>
      </w:r>
      <w:r w:rsidRPr="00EA65D2">
        <w:rPr>
          <w:sz w:val="24"/>
          <w:szCs w:val="28"/>
          <w:lang w:eastAsia="en-US"/>
        </w:rPr>
        <w:t xml:space="preserve"> </w:t>
      </w:r>
      <w:proofErr w:type="spellStart"/>
      <w:r w:rsidRPr="00EA65D2">
        <w:rPr>
          <w:sz w:val="24"/>
          <w:szCs w:val="28"/>
          <w:lang w:eastAsia="en-US"/>
        </w:rPr>
        <w:t>VaV</w:t>
      </w:r>
      <w:proofErr w:type="spellEnd"/>
      <w:r w:rsidRPr="00EA65D2">
        <w:rPr>
          <w:sz w:val="24"/>
          <w:szCs w:val="28"/>
          <w:lang w:eastAsia="en-US"/>
        </w:rPr>
        <w:t xml:space="preserve"> </w:t>
      </w:r>
      <w:r>
        <w:rPr>
          <w:sz w:val="24"/>
          <w:szCs w:val="28"/>
          <w:lang w:eastAsia="en-US"/>
        </w:rPr>
        <w:t>na i HDP</w:t>
      </w:r>
    </w:p>
    <w:p w:rsidR="006F232C" w:rsidRPr="00C23FCB" w:rsidRDefault="006F232C" w:rsidP="00C23FCB">
      <w:pPr>
        <w:ind w:left="708"/>
        <w:jc w:val="both"/>
        <w:rPr>
          <w:i/>
          <w:sz w:val="24"/>
          <w:szCs w:val="28"/>
          <w:lang w:eastAsia="en-US"/>
        </w:rPr>
      </w:pPr>
      <w:r w:rsidRPr="00C23FCB">
        <w:rPr>
          <w:i/>
          <w:sz w:val="24"/>
          <w:szCs w:val="28"/>
          <w:lang w:eastAsia="en-US"/>
        </w:rPr>
        <w:t xml:space="preserve">Poznámka: Výše uvedené ukazatele by měly být k dispozici podle velikosti, vlastnictví, převažující ekonomická činnosti a sídla (kraje) podniků využívajících daňovou podporu </w:t>
      </w:r>
      <w:proofErr w:type="spellStart"/>
      <w:r w:rsidRPr="00C23FCB">
        <w:rPr>
          <w:i/>
          <w:sz w:val="24"/>
          <w:szCs w:val="28"/>
          <w:lang w:eastAsia="en-US"/>
        </w:rPr>
        <w:t>VaV</w:t>
      </w:r>
      <w:proofErr w:type="spellEnd"/>
    </w:p>
    <w:p w:rsidR="006F232C" w:rsidRDefault="006F232C" w:rsidP="0051237A">
      <w:pPr>
        <w:rPr>
          <w:sz w:val="24"/>
        </w:rPr>
      </w:pP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5"/>
        <w:gridCol w:w="3215"/>
        <w:gridCol w:w="2357"/>
        <w:gridCol w:w="2357"/>
      </w:tblGrid>
      <w:tr w:rsidR="006F232C" w:rsidRPr="009F63E9" w:rsidTr="009F63E9">
        <w:trPr>
          <w:trHeight w:val="539"/>
          <w:jc w:val="center"/>
        </w:trPr>
        <w:tc>
          <w:tcPr>
            <w:tcW w:w="1695"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POŘADÍ</w:t>
            </w:r>
          </w:p>
        </w:tc>
        <w:tc>
          <w:tcPr>
            <w:tcW w:w="3215"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ÚKOLY k CÍLI č. 3</w:t>
            </w:r>
          </w:p>
        </w:tc>
        <w:tc>
          <w:tcPr>
            <w:tcW w:w="2357"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KDO VYPRACUJE</w:t>
            </w:r>
          </w:p>
        </w:tc>
        <w:tc>
          <w:tcPr>
            <w:tcW w:w="2357"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STAV ÚKOLU</w:t>
            </w:r>
          </w:p>
        </w:tc>
      </w:tr>
      <w:tr w:rsidR="006F232C" w:rsidRPr="009F63E9" w:rsidTr="009F63E9">
        <w:trPr>
          <w:trHeight w:val="421"/>
          <w:jc w:val="center"/>
        </w:trPr>
        <w:tc>
          <w:tcPr>
            <w:tcW w:w="1695" w:type="dxa"/>
            <w:vAlign w:val="center"/>
          </w:tcPr>
          <w:p w:rsidR="006F232C" w:rsidRPr="009F63E9" w:rsidRDefault="006F232C" w:rsidP="009F63E9">
            <w:pPr>
              <w:spacing w:after="0" w:line="240" w:lineRule="auto"/>
              <w:jc w:val="center"/>
              <w:rPr>
                <w:sz w:val="24"/>
                <w:lang w:eastAsia="en-US"/>
              </w:rPr>
            </w:pPr>
            <w:r w:rsidRPr="009F63E9">
              <w:rPr>
                <w:sz w:val="24"/>
                <w:lang w:eastAsia="en-US"/>
              </w:rPr>
              <w:t>1.</w:t>
            </w:r>
          </w:p>
        </w:tc>
        <w:tc>
          <w:tcPr>
            <w:tcW w:w="3215" w:type="dxa"/>
            <w:vAlign w:val="center"/>
          </w:tcPr>
          <w:p w:rsidR="006F232C" w:rsidRPr="009F63E9" w:rsidRDefault="006F232C" w:rsidP="009F63E9">
            <w:pPr>
              <w:spacing w:after="0" w:line="240" w:lineRule="auto"/>
              <w:rPr>
                <w:sz w:val="24"/>
                <w:lang w:eastAsia="en-US"/>
              </w:rPr>
            </w:pPr>
            <w:r w:rsidRPr="009F63E9">
              <w:rPr>
                <w:sz w:val="24"/>
                <w:lang w:eastAsia="en-US"/>
              </w:rPr>
              <w:t>Finalizace celkového výčtu zásadních ukazatelů, které je nutné sledovat v letech a předkládat je každoročně RVVI.</w:t>
            </w:r>
          </w:p>
        </w:tc>
        <w:tc>
          <w:tcPr>
            <w:tcW w:w="2357" w:type="dxa"/>
            <w:vAlign w:val="center"/>
          </w:tcPr>
          <w:p w:rsidR="006F232C" w:rsidRPr="009F63E9" w:rsidRDefault="006F232C" w:rsidP="009F63E9">
            <w:pPr>
              <w:spacing w:after="0" w:line="240" w:lineRule="auto"/>
              <w:jc w:val="center"/>
              <w:rPr>
                <w:sz w:val="24"/>
                <w:lang w:eastAsia="en-US"/>
              </w:rPr>
            </w:pPr>
            <w:r w:rsidRPr="009F63E9">
              <w:rPr>
                <w:sz w:val="24"/>
                <w:lang w:eastAsia="en-US"/>
              </w:rPr>
              <w:t>ČSÚ</w:t>
            </w:r>
          </w:p>
        </w:tc>
        <w:tc>
          <w:tcPr>
            <w:tcW w:w="2357" w:type="dxa"/>
            <w:vAlign w:val="center"/>
          </w:tcPr>
          <w:p w:rsidR="006F232C" w:rsidRPr="009F63E9" w:rsidRDefault="006F232C" w:rsidP="009F63E9">
            <w:pPr>
              <w:spacing w:after="0" w:line="240" w:lineRule="auto"/>
              <w:jc w:val="center"/>
              <w:rPr>
                <w:sz w:val="24"/>
                <w:lang w:eastAsia="en-US"/>
              </w:rPr>
            </w:pPr>
            <w:r w:rsidRPr="009F63E9">
              <w:rPr>
                <w:sz w:val="24"/>
                <w:lang w:eastAsia="en-US"/>
              </w:rPr>
              <w:t>HOTOVO</w:t>
            </w:r>
          </w:p>
        </w:tc>
      </w:tr>
    </w:tbl>
    <w:p w:rsidR="006F232C" w:rsidRDefault="006F232C" w:rsidP="003D0813">
      <w:pPr>
        <w:spacing w:after="0"/>
        <w:rPr>
          <w:sz w:val="24"/>
        </w:rPr>
      </w:pPr>
    </w:p>
    <w:p w:rsidR="006F232C" w:rsidRDefault="006F232C" w:rsidP="003D0813">
      <w:pPr>
        <w:spacing w:after="0"/>
        <w:rPr>
          <w:sz w:val="24"/>
        </w:rPr>
      </w:pPr>
    </w:p>
    <w:p w:rsidR="006F232C" w:rsidRPr="00B36FC4" w:rsidRDefault="006F232C" w:rsidP="003D0813">
      <w:pPr>
        <w:spacing w:after="0"/>
        <w:rPr>
          <w:sz w:val="24"/>
        </w:rPr>
      </w:pP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5"/>
        <w:gridCol w:w="6416"/>
      </w:tblGrid>
      <w:tr w:rsidR="006F232C" w:rsidRPr="009F63E9" w:rsidTr="009F63E9">
        <w:trPr>
          <w:trHeight w:val="692"/>
          <w:jc w:val="center"/>
        </w:trPr>
        <w:tc>
          <w:tcPr>
            <w:tcW w:w="3205" w:type="dxa"/>
            <w:shd w:val="clear" w:color="auto" w:fill="BDD6EE"/>
            <w:vAlign w:val="center"/>
          </w:tcPr>
          <w:p w:rsidR="006F232C" w:rsidRPr="009F63E9" w:rsidRDefault="006F232C" w:rsidP="009F63E9">
            <w:pPr>
              <w:spacing w:after="0" w:line="240" w:lineRule="auto"/>
              <w:rPr>
                <w:sz w:val="24"/>
                <w:szCs w:val="28"/>
                <w:lang w:eastAsia="en-US"/>
              </w:rPr>
            </w:pPr>
            <w:r w:rsidRPr="009F63E9">
              <w:rPr>
                <w:rFonts w:cs="Calibri"/>
                <w:b/>
                <w:sz w:val="24"/>
                <w:szCs w:val="28"/>
              </w:rPr>
              <w:t>CÍL č. 3</w:t>
            </w:r>
          </w:p>
        </w:tc>
        <w:tc>
          <w:tcPr>
            <w:tcW w:w="6416" w:type="dxa"/>
            <w:shd w:val="clear" w:color="auto" w:fill="BDD6EE"/>
            <w:vAlign w:val="center"/>
          </w:tcPr>
          <w:p w:rsidR="006F232C" w:rsidRPr="009F63E9" w:rsidRDefault="006F232C" w:rsidP="009F63E9">
            <w:pPr>
              <w:spacing w:after="0" w:line="240" w:lineRule="auto"/>
              <w:rPr>
                <w:sz w:val="24"/>
                <w:szCs w:val="28"/>
                <w:lang w:eastAsia="en-US"/>
              </w:rPr>
            </w:pPr>
            <w:r w:rsidRPr="009F63E9">
              <w:rPr>
                <w:rFonts w:cs="Calibri"/>
                <w:b/>
                <w:sz w:val="24"/>
                <w:szCs w:val="28"/>
                <w:lang w:eastAsia="en-US"/>
              </w:rPr>
              <w:t>Určení zásadních statistických ukazatelů</w:t>
            </w:r>
          </w:p>
        </w:tc>
      </w:tr>
      <w:tr w:rsidR="006F232C" w:rsidRPr="009F63E9" w:rsidTr="009F63E9">
        <w:trPr>
          <w:trHeight w:val="1724"/>
          <w:jc w:val="center"/>
        </w:trPr>
        <w:tc>
          <w:tcPr>
            <w:tcW w:w="3205" w:type="dxa"/>
            <w:shd w:val="clear" w:color="auto" w:fill="BDD6EE"/>
            <w:vAlign w:val="center"/>
          </w:tcPr>
          <w:p w:rsidR="006F232C" w:rsidRPr="009F63E9" w:rsidRDefault="006F232C" w:rsidP="009F63E9">
            <w:pPr>
              <w:spacing w:after="0" w:line="240" w:lineRule="auto"/>
              <w:rPr>
                <w:b/>
                <w:sz w:val="24"/>
                <w:szCs w:val="28"/>
                <w:lang w:eastAsia="en-US"/>
              </w:rPr>
            </w:pPr>
            <w:r w:rsidRPr="009F63E9">
              <w:rPr>
                <w:b/>
                <w:sz w:val="24"/>
                <w:szCs w:val="28"/>
                <w:lang w:eastAsia="en-US"/>
              </w:rPr>
              <w:t>Závěrečné výstupy PSDO 2022 k tomuto cíli k předání RVVI</w:t>
            </w:r>
          </w:p>
        </w:tc>
        <w:tc>
          <w:tcPr>
            <w:tcW w:w="6416" w:type="dxa"/>
          </w:tcPr>
          <w:p w:rsidR="006F232C" w:rsidRPr="009F63E9" w:rsidRDefault="006F232C" w:rsidP="009F63E9">
            <w:pPr>
              <w:spacing w:after="0" w:line="240" w:lineRule="auto"/>
              <w:rPr>
                <w:sz w:val="24"/>
                <w:szCs w:val="28"/>
                <w:lang w:eastAsia="en-US"/>
              </w:rPr>
            </w:pPr>
            <w:r w:rsidRPr="009F63E9">
              <w:rPr>
                <w:sz w:val="24"/>
                <w:szCs w:val="28"/>
                <w:lang w:eastAsia="en-US"/>
              </w:rPr>
              <w:t xml:space="preserve">Jako zásadní statistické znaky byly určeny tyto: </w:t>
            </w:r>
          </w:p>
          <w:p w:rsidR="006F232C" w:rsidRPr="009F63E9" w:rsidRDefault="006F232C" w:rsidP="009F63E9">
            <w:pPr>
              <w:spacing w:after="0" w:line="240" w:lineRule="auto"/>
              <w:rPr>
                <w:sz w:val="24"/>
                <w:szCs w:val="28"/>
                <w:lang w:eastAsia="en-US"/>
              </w:rPr>
            </w:pPr>
          </w:p>
          <w:p w:rsidR="006F232C" w:rsidRPr="009F63E9" w:rsidRDefault="006F232C" w:rsidP="009F63E9">
            <w:pPr>
              <w:spacing w:after="0" w:line="240" w:lineRule="auto"/>
              <w:rPr>
                <w:sz w:val="24"/>
                <w:szCs w:val="28"/>
                <w:lang w:eastAsia="en-US"/>
              </w:rPr>
            </w:pPr>
          </w:p>
          <w:p w:rsidR="006F232C" w:rsidRPr="009F63E9" w:rsidRDefault="006F232C" w:rsidP="009F63E9">
            <w:pPr>
              <w:spacing w:after="0" w:line="240" w:lineRule="auto"/>
              <w:rPr>
                <w:sz w:val="24"/>
                <w:szCs w:val="28"/>
                <w:lang w:eastAsia="en-US"/>
              </w:rPr>
            </w:pPr>
            <w:r w:rsidRPr="009F63E9">
              <w:rPr>
                <w:sz w:val="24"/>
                <w:szCs w:val="28"/>
                <w:lang w:eastAsia="en-US"/>
              </w:rPr>
              <w:t xml:space="preserve">A budou každoročně předkládány RVVI jako součást materiálu určeného k informování RVVI o stavu uplatňování daňových odpočtů </w:t>
            </w:r>
            <w:proofErr w:type="spellStart"/>
            <w:r w:rsidRPr="009F63E9">
              <w:rPr>
                <w:sz w:val="24"/>
                <w:szCs w:val="28"/>
                <w:lang w:eastAsia="en-US"/>
              </w:rPr>
              <w:t>VaV</w:t>
            </w:r>
            <w:proofErr w:type="spellEnd"/>
            <w:r w:rsidRPr="009F63E9">
              <w:rPr>
                <w:sz w:val="24"/>
                <w:szCs w:val="28"/>
                <w:lang w:eastAsia="en-US"/>
              </w:rPr>
              <w:t>.</w:t>
            </w:r>
          </w:p>
          <w:p w:rsidR="006F232C" w:rsidRPr="009F63E9" w:rsidRDefault="006F232C" w:rsidP="009F63E9">
            <w:pPr>
              <w:spacing w:after="0" w:line="240" w:lineRule="auto"/>
              <w:rPr>
                <w:sz w:val="24"/>
                <w:szCs w:val="28"/>
                <w:lang w:eastAsia="en-US"/>
              </w:rPr>
            </w:pPr>
          </w:p>
          <w:p w:rsidR="006F232C" w:rsidRPr="009F63E9" w:rsidRDefault="006F232C" w:rsidP="009F63E9">
            <w:pPr>
              <w:spacing w:after="0" w:line="240" w:lineRule="auto"/>
              <w:jc w:val="both"/>
              <w:rPr>
                <w:sz w:val="24"/>
                <w:szCs w:val="28"/>
                <w:lang w:eastAsia="en-US"/>
              </w:rPr>
            </w:pPr>
          </w:p>
        </w:tc>
      </w:tr>
    </w:tbl>
    <w:p w:rsidR="006F232C" w:rsidRDefault="006F232C" w:rsidP="004D094F">
      <w:pPr>
        <w:rPr>
          <w:sz w:val="24"/>
          <w:szCs w:val="24"/>
        </w:rPr>
      </w:pPr>
    </w:p>
    <w:p w:rsidR="006F232C" w:rsidRDefault="006F232C" w:rsidP="004D094F">
      <w:pPr>
        <w:rPr>
          <w:sz w:val="24"/>
          <w:szCs w:val="24"/>
        </w:rPr>
      </w:pPr>
    </w:p>
    <w:p w:rsidR="00EC0D52" w:rsidRDefault="00EC0D52" w:rsidP="004D094F">
      <w:pPr>
        <w:rPr>
          <w:sz w:val="24"/>
          <w:szCs w:val="24"/>
        </w:rPr>
      </w:pPr>
    </w:p>
    <w:p w:rsidR="00EC0D52" w:rsidRDefault="00EC0D52" w:rsidP="004D094F">
      <w:pPr>
        <w:rPr>
          <w:sz w:val="24"/>
          <w:szCs w:val="24"/>
        </w:rPr>
      </w:pPr>
    </w:p>
    <w:p w:rsidR="00EC0D52" w:rsidRDefault="00EC0D52" w:rsidP="004D094F">
      <w:pPr>
        <w:rPr>
          <w:sz w:val="24"/>
          <w:szCs w:val="24"/>
        </w:rPr>
      </w:pPr>
    </w:p>
    <w:p w:rsidR="00EC0D52" w:rsidRDefault="00EC0D52" w:rsidP="004D094F">
      <w:pPr>
        <w:rPr>
          <w:sz w:val="24"/>
          <w:szCs w:val="24"/>
        </w:rPr>
      </w:pPr>
    </w:p>
    <w:p w:rsidR="006F232C" w:rsidRDefault="006F232C" w:rsidP="00C16E26">
      <w:pPr>
        <w:pStyle w:val="Nadpis1"/>
        <w:spacing w:line="240" w:lineRule="auto"/>
        <w:ind w:left="1418" w:hanging="1418"/>
        <w:rPr>
          <w:rFonts w:ascii="Calibri" w:hAnsi="Calibri" w:cs="Calibri"/>
          <w:b/>
          <w:sz w:val="40"/>
          <w:szCs w:val="28"/>
        </w:rPr>
      </w:pPr>
      <w:r>
        <w:rPr>
          <w:rFonts w:ascii="Calibri" w:hAnsi="Calibri" w:cs="Calibri"/>
          <w:b/>
          <w:sz w:val="40"/>
          <w:szCs w:val="28"/>
        </w:rPr>
        <w:lastRenderedPageBreak/>
        <w:t xml:space="preserve">Cíl č. 4 – </w:t>
      </w:r>
      <w:r w:rsidRPr="00F62EB4">
        <w:rPr>
          <w:rFonts w:ascii="Calibri" w:hAnsi="Calibri" w:cs="Calibri"/>
          <w:b/>
          <w:sz w:val="40"/>
          <w:szCs w:val="28"/>
        </w:rPr>
        <w:t>Zmapov</w:t>
      </w:r>
      <w:r>
        <w:rPr>
          <w:rFonts w:ascii="Calibri" w:hAnsi="Calibri" w:cs="Calibri"/>
          <w:b/>
          <w:sz w:val="40"/>
          <w:szCs w:val="28"/>
        </w:rPr>
        <w:t xml:space="preserve">ání dalších finančních nástrojů využitelných pro podporu </w:t>
      </w:r>
      <w:proofErr w:type="spellStart"/>
      <w:r>
        <w:rPr>
          <w:rFonts w:ascii="Calibri" w:hAnsi="Calibri" w:cs="Calibri"/>
          <w:b/>
          <w:sz w:val="40"/>
          <w:szCs w:val="28"/>
        </w:rPr>
        <w:t>VaV</w:t>
      </w:r>
      <w:proofErr w:type="spellEnd"/>
    </w:p>
    <w:p w:rsidR="006F232C" w:rsidRDefault="006F232C" w:rsidP="003D0813">
      <w:pPr>
        <w:spacing w:after="0"/>
        <w:rPr>
          <w:sz w:val="24"/>
        </w:rPr>
      </w:pPr>
    </w:p>
    <w:p w:rsidR="006F232C" w:rsidRPr="00EC0D52" w:rsidRDefault="006F232C" w:rsidP="00B012FD">
      <w:pPr>
        <w:pStyle w:val="Nadpis1"/>
        <w:numPr>
          <w:ilvl w:val="0"/>
          <w:numId w:val="25"/>
        </w:numPr>
        <w:spacing w:after="120" w:line="240" w:lineRule="auto"/>
        <w:jc w:val="both"/>
        <w:rPr>
          <w:rFonts w:ascii="Calibri" w:hAnsi="Calibri" w:cs="Calibri"/>
          <w:b/>
          <w:color w:val="auto"/>
          <w:sz w:val="28"/>
          <w:szCs w:val="28"/>
        </w:rPr>
      </w:pPr>
      <w:r w:rsidRPr="00EC0D52">
        <w:rPr>
          <w:rFonts w:ascii="Calibri" w:hAnsi="Calibri" w:cs="Calibri"/>
          <w:b/>
          <w:color w:val="auto"/>
          <w:sz w:val="28"/>
          <w:szCs w:val="28"/>
        </w:rPr>
        <w:t>Obecné informace k finančním nástrojům</w:t>
      </w:r>
    </w:p>
    <w:p w:rsidR="006F232C" w:rsidRPr="00EC0D52" w:rsidRDefault="006F232C" w:rsidP="00E414AA">
      <w:pPr>
        <w:pStyle w:val="Odstavecseseznamem"/>
        <w:numPr>
          <w:ilvl w:val="0"/>
          <w:numId w:val="8"/>
        </w:numPr>
        <w:spacing w:after="240" w:line="240" w:lineRule="auto"/>
        <w:jc w:val="both"/>
        <w:rPr>
          <w:rFonts w:cs="Calibri"/>
          <w:sz w:val="24"/>
        </w:rPr>
      </w:pPr>
      <w:r w:rsidRPr="00EC0D52">
        <w:rPr>
          <w:rFonts w:cs="Calibri"/>
          <w:sz w:val="24"/>
        </w:rPr>
        <w:t xml:space="preserve">Je zapotřebí reflektovat rizikovost aktivit </w:t>
      </w:r>
      <w:proofErr w:type="spellStart"/>
      <w:r w:rsidRPr="00EC0D52">
        <w:rPr>
          <w:rFonts w:cs="Calibri"/>
          <w:sz w:val="24"/>
        </w:rPr>
        <w:t>VaV</w:t>
      </w:r>
      <w:proofErr w:type="spellEnd"/>
      <w:r w:rsidRPr="00EC0D52">
        <w:rPr>
          <w:rFonts w:cs="Calibri"/>
          <w:sz w:val="24"/>
        </w:rPr>
        <w:t xml:space="preserve"> ve vztahu k financování (návratnými) finančními nástroji, protože zpravidla tyto aktivity nevedou přímo k zisku. V tomto ohledu je však vhodné se dále zabývat např. tzv. konvertibilní půjčkou (v případě „neúspěchu“ projektu se půjčka přemění na nevratnou dotaci).</w:t>
      </w:r>
    </w:p>
    <w:p w:rsidR="006F232C" w:rsidRPr="00EC0D52" w:rsidRDefault="006F232C" w:rsidP="00E414AA">
      <w:pPr>
        <w:pStyle w:val="Odstavecseseznamem"/>
        <w:numPr>
          <w:ilvl w:val="0"/>
          <w:numId w:val="8"/>
        </w:numPr>
        <w:spacing w:after="240" w:line="240" w:lineRule="auto"/>
        <w:jc w:val="both"/>
        <w:rPr>
          <w:rFonts w:cs="Calibri"/>
          <w:sz w:val="24"/>
        </w:rPr>
      </w:pPr>
      <w:r w:rsidRPr="00EC0D52">
        <w:rPr>
          <w:rFonts w:cs="Calibri"/>
          <w:sz w:val="24"/>
        </w:rPr>
        <w:t>Návratné formy finančních nástrojů jsou vhodnější pro podporu a zavádění inovací.</w:t>
      </w:r>
    </w:p>
    <w:p w:rsidR="006F232C" w:rsidRPr="00EC0D52" w:rsidRDefault="006F232C" w:rsidP="00E414AA">
      <w:pPr>
        <w:pStyle w:val="Odstavecseseznamem"/>
        <w:numPr>
          <w:ilvl w:val="0"/>
          <w:numId w:val="8"/>
        </w:numPr>
        <w:spacing w:after="240" w:line="240" w:lineRule="auto"/>
        <w:jc w:val="both"/>
        <w:rPr>
          <w:rFonts w:cs="Calibri"/>
          <w:sz w:val="24"/>
        </w:rPr>
      </w:pPr>
      <w:r w:rsidRPr="00EC0D52">
        <w:rPr>
          <w:rFonts w:cs="Calibri"/>
          <w:sz w:val="24"/>
        </w:rPr>
        <w:t>Je zapotřebí legislativně definovat některé pojmy, jako např. (technologický) transfer, inovace a jejich typy.</w:t>
      </w:r>
    </w:p>
    <w:p w:rsidR="006F232C" w:rsidRPr="00EC0D52" w:rsidRDefault="006F232C" w:rsidP="00E414AA">
      <w:pPr>
        <w:pStyle w:val="Odstavecseseznamem"/>
        <w:numPr>
          <w:ilvl w:val="0"/>
          <w:numId w:val="8"/>
        </w:numPr>
        <w:spacing w:after="240" w:line="240" w:lineRule="auto"/>
        <w:jc w:val="both"/>
        <w:rPr>
          <w:rFonts w:cs="Calibri"/>
          <w:sz w:val="24"/>
        </w:rPr>
      </w:pPr>
      <w:r w:rsidRPr="00EC0D52">
        <w:rPr>
          <w:rFonts w:cs="Calibri"/>
          <w:sz w:val="24"/>
        </w:rPr>
        <w:t>Na národní úrovni chybí hospodářská politika státu, a proto lze obtížně určit, jaké oblasti se mají podporovat – je zapotřebí definovat, kam směřovat podporu.</w:t>
      </w:r>
    </w:p>
    <w:p w:rsidR="006F232C" w:rsidRPr="00EC0D52" w:rsidRDefault="006F232C" w:rsidP="00E414AA">
      <w:pPr>
        <w:pStyle w:val="Odstavecseseznamem"/>
        <w:numPr>
          <w:ilvl w:val="0"/>
          <w:numId w:val="8"/>
        </w:numPr>
        <w:spacing w:after="240" w:line="240" w:lineRule="auto"/>
        <w:jc w:val="both"/>
        <w:rPr>
          <w:rFonts w:cs="Calibri"/>
          <w:sz w:val="24"/>
        </w:rPr>
      </w:pPr>
      <w:r w:rsidRPr="00EC0D52">
        <w:rPr>
          <w:rFonts w:cs="Calibri"/>
          <w:sz w:val="24"/>
        </w:rPr>
        <w:t xml:space="preserve">Z pohledu původu finančních prostředků (evropské / národní) je zapotřebí reflektovat příslušnou legislativu při úvaze o využití a návrhu finančních nástrojů. </w:t>
      </w:r>
    </w:p>
    <w:p w:rsidR="006F232C" w:rsidRPr="00EC0D52" w:rsidRDefault="006F232C" w:rsidP="00D346D8">
      <w:pPr>
        <w:pStyle w:val="Odstavecseseznamem"/>
        <w:numPr>
          <w:ilvl w:val="0"/>
          <w:numId w:val="8"/>
        </w:numPr>
        <w:spacing w:after="240" w:line="240" w:lineRule="auto"/>
        <w:jc w:val="both"/>
        <w:rPr>
          <w:rFonts w:cs="Calibri"/>
          <w:sz w:val="24"/>
        </w:rPr>
      </w:pPr>
      <w:r w:rsidRPr="00EC0D52">
        <w:rPr>
          <w:rFonts w:cs="Calibri"/>
          <w:sz w:val="24"/>
        </w:rPr>
        <w:t>Pracovní skupina bude diskutovat možnost využití fondových struktur a jejich zdroje financování, např. část poplatků z patentů, zdroje v Národní rozvojové bance včetně jejich dceřiných společností, atd.</w:t>
      </w:r>
    </w:p>
    <w:p w:rsidR="006F232C" w:rsidRPr="00EC0D52" w:rsidRDefault="006F232C" w:rsidP="00D346D8">
      <w:pPr>
        <w:pStyle w:val="Odstavecseseznamem"/>
        <w:numPr>
          <w:ilvl w:val="0"/>
          <w:numId w:val="8"/>
        </w:numPr>
        <w:spacing w:after="240" w:line="240" w:lineRule="auto"/>
        <w:jc w:val="both"/>
        <w:rPr>
          <w:rFonts w:cs="Calibri"/>
          <w:sz w:val="24"/>
          <w:szCs w:val="24"/>
        </w:rPr>
      </w:pPr>
      <w:r w:rsidRPr="00EC0D52">
        <w:rPr>
          <w:rFonts w:cs="Calibri"/>
          <w:sz w:val="24"/>
        </w:rPr>
        <w:t xml:space="preserve">Pracovní skupina se shodla, že obecně by mělo být v (novém) zákoně č. 130 nastaveno využití všech forem relevantních finančních nástrojů. Pro pilotní ověření je potřebné specifikovat finanční nástroje již na úrovni podpůrných programů, navrhnout zdroj finančních prostředků, (oborové) zaměření, oblast využití, atd. Dále navrhnout realizátora finančního nástroje s ohledem na kompetence </w:t>
      </w:r>
      <w:r w:rsidRPr="00EC0D52">
        <w:rPr>
          <w:rFonts w:cs="Calibri"/>
          <w:sz w:val="24"/>
          <w:szCs w:val="24"/>
        </w:rPr>
        <w:t>a lidské zdroje.</w:t>
      </w:r>
    </w:p>
    <w:p w:rsidR="006F232C" w:rsidRPr="00EC0D52" w:rsidRDefault="006F232C" w:rsidP="00D346D8">
      <w:pPr>
        <w:pStyle w:val="Odstavecseseznamem"/>
        <w:numPr>
          <w:ilvl w:val="0"/>
          <w:numId w:val="8"/>
        </w:numPr>
        <w:spacing w:after="240" w:line="240" w:lineRule="auto"/>
        <w:jc w:val="both"/>
        <w:rPr>
          <w:rFonts w:cs="Calibri"/>
          <w:sz w:val="24"/>
          <w:szCs w:val="24"/>
        </w:rPr>
      </w:pPr>
      <w:r w:rsidRPr="00EC0D52">
        <w:rPr>
          <w:rFonts w:cs="Calibri"/>
          <w:sz w:val="24"/>
          <w:szCs w:val="24"/>
        </w:rPr>
        <w:t>PSDO zmínila další finanční nástroje nepřímé podpory v zahraničí, např. daňové úlevy na výplaty srážek ze mzdy, zrychlené daňové odpisy, příspěvky na sociální zabezpečení, úlevy na nákladech na osobní náklady.</w:t>
      </w:r>
    </w:p>
    <w:p w:rsidR="006F232C" w:rsidRPr="00EC0D52" w:rsidRDefault="006F232C" w:rsidP="00B012FD">
      <w:pPr>
        <w:pStyle w:val="Nadpis1"/>
        <w:numPr>
          <w:ilvl w:val="0"/>
          <w:numId w:val="25"/>
        </w:numPr>
        <w:spacing w:after="120" w:line="240" w:lineRule="auto"/>
        <w:ind w:left="426"/>
        <w:jc w:val="both"/>
        <w:rPr>
          <w:rFonts w:ascii="Calibri" w:hAnsi="Calibri" w:cs="Calibri"/>
          <w:b/>
          <w:color w:val="auto"/>
          <w:sz w:val="28"/>
          <w:szCs w:val="28"/>
        </w:rPr>
      </w:pPr>
      <w:r w:rsidRPr="00EC0D52">
        <w:rPr>
          <w:rFonts w:ascii="Calibri" w:hAnsi="Calibri" w:cs="Calibri"/>
          <w:b/>
          <w:color w:val="auto"/>
          <w:sz w:val="28"/>
          <w:szCs w:val="28"/>
        </w:rPr>
        <w:t>Zaměstnanecké akcie</w:t>
      </w:r>
    </w:p>
    <w:p w:rsidR="006F232C" w:rsidRPr="00EC0D52" w:rsidRDefault="006F232C" w:rsidP="00210512">
      <w:pPr>
        <w:pStyle w:val="Odstavecseseznamem"/>
        <w:numPr>
          <w:ilvl w:val="0"/>
          <w:numId w:val="8"/>
        </w:numPr>
        <w:spacing w:after="240" w:line="240" w:lineRule="auto"/>
        <w:jc w:val="both"/>
        <w:rPr>
          <w:rFonts w:cs="Calibri"/>
          <w:sz w:val="24"/>
          <w:szCs w:val="24"/>
        </w:rPr>
      </w:pPr>
      <w:r w:rsidRPr="00EC0D52">
        <w:rPr>
          <w:rFonts w:cs="Calibri"/>
          <w:sz w:val="24"/>
          <w:szCs w:val="24"/>
        </w:rPr>
        <w:t>PSDO navrhuje vyčlenit „zaměstnanecké akcie“ mimo hlavní jednání PSDO, protože jen někteří členové jsou vhledem ke své odbornosti kompetentní se touto problematikou zabývat a jmenovat nové členy, případně přesunout problematiku do jiné pracovní skupiny.</w:t>
      </w:r>
    </w:p>
    <w:p w:rsidR="006F232C" w:rsidRPr="00EC0D52" w:rsidRDefault="006F232C" w:rsidP="00210512">
      <w:pPr>
        <w:pStyle w:val="Odstavecseseznamem"/>
        <w:numPr>
          <w:ilvl w:val="0"/>
          <w:numId w:val="8"/>
        </w:numPr>
        <w:jc w:val="both"/>
        <w:rPr>
          <w:rFonts w:cs="Calibri"/>
          <w:sz w:val="24"/>
          <w:szCs w:val="24"/>
        </w:rPr>
      </w:pPr>
      <w:r w:rsidRPr="00EC0D52">
        <w:rPr>
          <w:rFonts w:cs="Calibri"/>
          <w:sz w:val="24"/>
          <w:szCs w:val="24"/>
        </w:rPr>
        <w:t>Zástupci MF upozornili, že je potřeba upřesnit, zda to bude mít daňové dopady, a pokud ano, tak nominovat i do této pracovní skupiny člena z MF.</w:t>
      </w:r>
    </w:p>
    <w:p w:rsidR="006F232C" w:rsidRPr="00EC0D52" w:rsidRDefault="006F232C" w:rsidP="00210512">
      <w:pPr>
        <w:pStyle w:val="Nadpis1"/>
        <w:numPr>
          <w:ilvl w:val="0"/>
          <w:numId w:val="25"/>
        </w:numPr>
        <w:spacing w:after="120" w:line="240" w:lineRule="auto"/>
        <w:ind w:left="426"/>
        <w:jc w:val="both"/>
        <w:rPr>
          <w:rFonts w:ascii="Calibri" w:hAnsi="Calibri" w:cs="Calibri"/>
          <w:b/>
          <w:color w:val="auto"/>
          <w:sz w:val="28"/>
          <w:szCs w:val="28"/>
        </w:rPr>
      </w:pPr>
      <w:r w:rsidRPr="00EC0D52">
        <w:rPr>
          <w:rFonts w:ascii="Calibri" w:hAnsi="Calibri" w:cs="Calibri"/>
          <w:b/>
          <w:color w:val="auto"/>
          <w:sz w:val="28"/>
          <w:szCs w:val="28"/>
        </w:rPr>
        <w:t>Další finanční nástroje</w:t>
      </w:r>
    </w:p>
    <w:p w:rsidR="006F232C" w:rsidRPr="00EC0D52" w:rsidRDefault="006F232C" w:rsidP="00210512">
      <w:pPr>
        <w:pStyle w:val="Odstavecseseznamem"/>
        <w:numPr>
          <w:ilvl w:val="0"/>
          <w:numId w:val="28"/>
        </w:numPr>
        <w:jc w:val="both"/>
        <w:rPr>
          <w:sz w:val="24"/>
          <w:szCs w:val="24"/>
        </w:rPr>
      </w:pPr>
      <w:r w:rsidRPr="00EC0D52">
        <w:rPr>
          <w:rFonts w:cs="Calibri"/>
          <w:sz w:val="24"/>
          <w:szCs w:val="24"/>
        </w:rPr>
        <w:t xml:space="preserve">Byl vydán nový Rámce pro státní podporu výzkumu, vývoje a inovací (Rámec </w:t>
      </w:r>
      <w:proofErr w:type="spellStart"/>
      <w:r w:rsidRPr="00EC0D52">
        <w:rPr>
          <w:rFonts w:cs="Calibri"/>
          <w:sz w:val="24"/>
          <w:szCs w:val="24"/>
        </w:rPr>
        <w:t>VaVaI</w:t>
      </w:r>
      <w:proofErr w:type="spellEnd"/>
      <w:r w:rsidRPr="00EC0D52">
        <w:rPr>
          <w:rFonts w:cs="Calibri"/>
          <w:sz w:val="24"/>
          <w:szCs w:val="24"/>
        </w:rPr>
        <w:t xml:space="preserve">) - vratné zálohy a daňová opatření by se měla doplnit do nového zákona o podpoře </w:t>
      </w:r>
      <w:proofErr w:type="spellStart"/>
      <w:r w:rsidRPr="00EC0D52">
        <w:rPr>
          <w:rFonts w:cs="Calibri"/>
          <w:sz w:val="24"/>
          <w:szCs w:val="24"/>
        </w:rPr>
        <w:t>VaV</w:t>
      </w:r>
      <w:proofErr w:type="spellEnd"/>
      <w:r w:rsidRPr="00EC0D52">
        <w:rPr>
          <w:rFonts w:cs="Calibri"/>
          <w:sz w:val="24"/>
          <w:szCs w:val="24"/>
        </w:rPr>
        <w:t>.</w:t>
      </w:r>
    </w:p>
    <w:p w:rsidR="006F232C" w:rsidRPr="00EC0D52" w:rsidRDefault="006F232C" w:rsidP="000C14A4">
      <w:pPr>
        <w:pStyle w:val="Odstavecseseznamem"/>
        <w:numPr>
          <w:ilvl w:val="0"/>
          <w:numId w:val="28"/>
        </w:numPr>
        <w:jc w:val="both"/>
        <w:rPr>
          <w:sz w:val="24"/>
          <w:szCs w:val="24"/>
        </w:rPr>
      </w:pPr>
      <w:r w:rsidRPr="00EC0D52">
        <w:rPr>
          <w:rFonts w:cs="Calibri"/>
          <w:sz w:val="24"/>
          <w:szCs w:val="24"/>
        </w:rPr>
        <w:t>Zákon má být napsán tak, aby umožňoval další finanční nástroje, není nutné mít v zákoně vyjmenované všechny finanční nástroje kazuisticky, n</w:t>
      </w:r>
      <w:r w:rsidRPr="00EC0D52">
        <w:rPr>
          <w:sz w:val="24"/>
          <w:szCs w:val="24"/>
        </w:rPr>
        <w:t>yní zákon 130 umožňuje jen poskytování dotací.</w:t>
      </w:r>
    </w:p>
    <w:p w:rsidR="006F232C" w:rsidRPr="00EC0D52" w:rsidRDefault="006F232C" w:rsidP="00210512">
      <w:pPr>
        <w:pStyle w:val="Odstavecseseznamem"/>
        <w:numPr>
          <w:ilvl w:val="0"/>
          <w:numId w:val="28"/>
        </w:numPr>
        <w:jc w:val="both"/>
        <w:rPr>
          <w:sz w:val="24"/>
          <w:szCs w:val="24"/>
        </w:rPr>
      </w:pPr>
      <w:r w:rsidRPr="00EC0D52">
        <w:rPr>
          <w:rFonts w:cs="Calibri"/>
          <w:sz w:val="24"/>
          <w:szCs w:val="24"/>
        </w:rPr>
        <w:t>Někteří členové PSDO doporučovali soustředit se pouze na některé FN: návratnou finanční výpomoc a konvertibilní půjčku.</w:t>
      </w:r>
    </w:p>
    <w:p w:rsidR="006F232C" w:rsidRPr="00EC0D52" w:rsidRDefault="006F232C" w:rsidP="00D044BE">
      <w:pPr>
        <w:pStyle w:val="Odstavecseseznamem"/>
        <w:spacing w:after="240" w:line="240" w:lineRule="auto"/>
        <w:jc w:val="both"/>
        <w:rPr>
          <w:rFonts w:cs="Calibri"/>
          <w:sz w:val="24"/>
          <w:szCs w:val="24"/>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4"/>
        <w:gridCol w:w="3216"/>
        <w:gridCol w:w="2359"/>
        <w:gridCol w:w="2359"/>
      </w:tblGrid>
      <w:tr w:rsidR="006F232C" w:rsidRPr="009F63E9" w:rsidTr="009F63E9">
        <w:trPr>
          <w:trHeight w:val="559"/>
          <w:jc w:val="center"/>
        </w:trPr>
        <w:tc>
          <w:tcPr>
            <w:tcW w:w="1694"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lastRenderedPageBreak/>
              <w:t>POŘADÍ</w:t>
            </w:r>
          </w:p>
        </w:tc>
        <w:tc>
          <w:tcPr>
            <w:tcW w:w="3216"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ÚKOLY k CÍLI č. 4</w:t>
            </w:r>
          </w:p>
        </w:tc>
        <w:tc>
          <w:tcPr>
            <w:tcW w:w="2359"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KDO VYPRACUJE</w:t>
            </w:r>
          </w:p>
        </w:tc>
        <w:tc>
          <w:tcPr>
            <w:tcW w:w="2359"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STAV ÚKOLU</w:t>
            </w:r>
          </w:p>
        </w:tc>
      </w:tr>
      <w:tr w:rsidR="006F232C" w:rsidRPr="009F63E9" w:rsidTr="009F63E9">
        <w:trPr>
          <w:trHeight w:val="613"/>
          <w:jc w:val="center"/>
        </w:trPr>
        <w:tc>
          <w:tcPr>
            <w:tcW w:w="1694" w:type="dxa"/>
            <w:vAlign w:val="center"/>
          </w:tcPr>
          <w:p w:rsidR="006F232C" w:rsidRPr="009F63E9" w:rsidRDefault="006F232C" w:rsidP="009F63E9">
            <w:pPr>
              <w:spacing w:after="0" w:line="240" w:lineRule="auto"/>
              <w:jc w:val="center"/>
              <w:rPr>
                <w:sz w:val="24"/>
                <w:lang w:eastAsia="en-US"/>
              </w:rPr>
            </w:pPr>
            <w:r w:rsidRPr="009F63E9">
              <w:rPr>
                <w:sz w:val="24"/>
                <w:lang w:eastAsia="en-US"/>
              </w:rPr>
              <w:t>1.</w:t>
            </w:r>
          </w:p>
        </w:tc>
        <w:tc>
          <w:tcPr>
            <w:tcW w:w="3216" w:type="dxa"/>
            <w:vAlign w:val="center"/>
          </w:tcPr>
          <w:p w:rsidR="006F232C" w:rsidRPr="009F63E9" w:rsidRDefault="006F232C" w:rsidP="009F63E9">
            <w:pPr>
              <w:spacing w:after="0" w:line="240" w:lineRule="auto"/>
              <w:rPr>
                <w:sz w:val="24"/>
                <w:lang w:eastAsia="en-US"/>
              </w:rPr>
            </w:pPr>
            <w:r w:rsidRPr="009F63E9">
              <w:rPr>
                <w:sz w:val="24"/>
                <w:lang w:eastAsia="en-US"/>
              </w:rPr>
              <w:t xml:space="preserve">Podrobněji popsat jednotlivé druhy inovací. </w:t>
            </w:r>
            <w:r w:rsidRPr="009F63E9">
              <w:rPr>
                <w:rFonts w:cs="Calibri"/>
                <w:sz w:val="24"/>
                <w:lang w:eastAsia="en-US"/>
              </w:rPr>
              <w:t xml:space="preserve">Popsání celkového životního cyklu oblasti </w:t>
            </w:r>
            <w:proofErr w:type="spellStart"/>
            <w:r w:rsidRPr="009F63E9">
              <w:rPr>
                <w:rFonts w:cs="Calibri"/>
                <w:sz w:val="24"/>
                <w:lang w:eastAsia="en-US"/>
              </w:rPr>
              <w:t>VaVaI</w:t>
            </w:r>
            <w:proofErr w:type="spellEnd"/>
            <w:r w:rsidRPr="009F63E9">
              <w:rPr>
                <w:rFonts w:cs="Calibri"/>
                <w:sz w:val="24"/>
                <w:lang w:eastAsia="en-US"/>
              </w:rPr>
              <w:t>: výzkum - vývoj - inovace ve vztahu k druhům podpory.</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MPO, NRB a TA ČR</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HOTOVO</w:t>
            </w:r>
          </w:p>
        </w:tc>
      </w:tr>
      <w:tr w:rsidR="006F232C" w:rsidRPr="009F63E9" w:rsidTr="009F63E9">
        <w:trPr>
          <w:trHeight w:val="1509"/>
          <w:jc w:val="center"/>
        </w:trPr>
        <w:tc>
          <w:tcPr>
            <w:tcW w:w="1694" w:type="dxa"/>
            <w:vAlign w:val="center"/>
          </w:tcPr>
          <w:p w:rsidR="006F232C" w:rsidRPr="009F63E9" w:rsidRDefault="006F232C" w:rsidP="009F63E9">
            <w:pPr>
              <w:spacing w:after="0" w:line="240" w:lineRule="auto"/>
              <w:jc w:val="center"/>
              <w:rPr>
                <w:sz w:val="24"/>
                <w:lang w:eastAsia="en-US"/>
              </w:rPr>
            </w:pPr>
            <w:r w:rsidRPr="009F63E9">
              <w:rPr>
                <w:sz w:val="24"/>
                <w:lang w:eastAsia="en-US"/>
              </w:rPr>
              <w:t xml:space="preserve">2. </w:t>
            </w:r>
          </w:p>
        </w:tc>
        <w:tc>
          <w:tcPr>
            <w:tcW w:w="3216" w:type="dxa"/>
            <w:vAlign w:val="center"/>
          </w:tcPr>
          <w:p w:rsidR="006F232C" w:rsidRPr="009F63E9" w:rsidRDefault="006F232C" w:rsidP="009F63E9">
            <w:pPr>
              <w:spacing w:after="0" w:line="240" w:lineRule="auto"/>
              <w:rPr>
                <w:sz w:val="24"/>
                <w:lang w:eastAsia="en-US"/>
              </w:rPr>
            </w:pPr>
            <w:r w:rsidRPr="009F63E9">
              <w:rPr>
                <w:sz w:val="24"/>
                <w:lang w:eastAsia="en-US"/>
              </w:rPr>
              <w:t xml:space="preserve">Rozčlenění jednotlivé FN na dvě skupiny pro ryzí </w:t>
            </w:r>
            <w:proofErr w:type="spellStart"/>
            <w:r w:rsidRPr="009F63E9">
              <w:rPr>
                <w:sz w:val="24"/>
                <w:lang w:eastAsia="en-US"/>
              </w:rPr>
              <w:t>VaV</w:t>
            </w:r>
            <w:proofErr w:type="spellEnd"/>
            <w:r w:rsidRPr="009F63E9">
              <w:rPr>
                <w:sz w:val="24"/>
                <w:lang w:eastAsia="en-US"/>
              </w:rPr>
              <w:t xml:space="preserve"> a pro další části inovačního cyklu (zavádění inovací, transfer,..) </w:t>
            </w:r>
            <w:r w:rsidRPr="009F63E9">
              <w:rPr>
                <w:i/>
                <w:lang w:eastAsia="en-US"/>
              </w:rPr>
              <w:t>Pozn.: Zohlednit klasifikaci TRL</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Celá PSDO</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Čeká na podklady od MPO, TA ČR.</w:t>
            </w:r>
          </w:p>
        </w:tc>
      </w:tr>
      <w:tr w:rsidR="006F232C" w:rsidRPr="009F63E9" w:rsidTr="009F63E9">
        <w:trPr>
          <w:trHeight w:val="914"/>
          <w:jc w:val="center"/>
        </w:trPr>
        <w:tc>
          <w:tcPr>
            <w:tcW w:w="1694" w:type="dxa"/>
            <w:vAlign w:val="center"/>
          </w:tcPr>
          <w:p w:rsidR="006F232C" w:rsidRPr="009F63E9" w:rsidRDefault="006F232C" w:rsidP="009F63E9">
            <w:pPr>
              <w:spacing w:after="0" w:line="240" w:lineRule="auto"/>
              <w:jc w:val="center"/>
              <w:rPr>
                <w:sz w:val="24"/>
                <w:lang w:eastAsia="en-US"/>
              </w:rPr>
            </w:pPr>
            <w:r w:rsidRPr="009F63E9">
              <w:rPr>
                <w:sz w:val="24"/>
                <w:lang w:eastAsia="en-US"/>
              </w:rPr>
              <w:t>3.</w:t>
            </w:r>
          </w:p>
        </w:tc>
        <w:tc>
          <w:tcPr>
            <w:tcW w:w="3216" w:type="dxa"/>
            <w:vAlign w:val="center"/>
          </w:tcPr>
          <w:p w:rsidR="006F232C" w:rsidRPr="009F63E9" w:rsidRDefault="006F232C" w:rsidP="009F63E9">
            <w:pPr>
              <w:spacing w:after="0" w:line="240" w:lineRule="auto"/>
              <w:rPr>
                <w:sz w:val="24"/>
                <w:lang w:eastAsia="en-US"/>
              </w:rPr>
            </w:pPr>
            <w:r w:rsidRPr="009F63E9">
              <w:rPr>
                <w:sz w:val="24"/>
                <w:lang w:eastAsia="en-US"/>
              </w:rPr>
              <w:t>Zajištění přehledu využívání návratových FN v Izraeli a v evropských zemích.</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NRB a TA ČR</w:t>
            </w:r>
          </w:p>
        </w:tc>
        <w:tc>
          <w:tcPr>
            <w:tcW w:w="2359" w:type="dxa"/>
            <w:vAlign w:val="center"/>
          </w:tcPr>
          <w:p w:rsidR="006F232C" w:rsidRPr="009F63E9" w:rsidRDefault="006F232C" w:rsidP="009F63E9">
            <w:pPr>
              <w:spacing w:after="0" w:line="240" w:lineRule="auto"/>
              <w:jc w:val="center"/>
              <w:rPr>
                <w:sz w:val="24"/>
                <w:lang w:eastAsia="en-US"/>
              </w:rPr>
            </w:pPr>
            <w:r w:rsidRPr="009F63E9">
              <w:rPr>
                <w:sz w:val="24"/>
                <w:lang w:eastAsia="en-US"/>
              </w:rPr>
              <w:t>Přislíbeny vstupy do konce listopadu.</w:t>
            </w:r>
          </w:p>
        </w:tc>
      </w:tr>
    </w:tbl>
    <w:p w:rsidR="006F232C" w:rsidRDefault="006F232C" w:rsidP="004D094F"/>
    <w:p w:rsidR="006F232C" w:rsidRDefault="006F232C" w:rsidP="004D094F"/>
    <w:p w:rsidR="006F232C" w:rsidRDefault="006F232C" w:rsidP="004D094F"/>
    <w:tbl>
      <w:tblPr>
        <w:tblW w:w="9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75"/>
        <w:gridCol w:w="6556"/>
      </w:tblGrid>
      <w:tr w:rsidR="006F232C" w:rsidRPr="009F63E9" w:rsidTr="009F63E9">
        <w:trPr>
          <w:trHeight w:val="613"/>
          <w:jc w:val="center"/>
        </w:trPr>
        <w:tc>
          <w:tcPr>
            <w:tcW w:w="3275" w:type="dxa"/>
            <w:shd w:val="clear" w:color="auto" w:fill="BDD6EE"/>
            <w:vAlign w:val="center"/>
          </w:tcPr>
          <w:p w:rsidR="006F232C" w:rsidRPr="009F63E9" w:rsidRDefault="006F232C" w:rsidP="009F63E9">
            <w:pPr>
              <w:spacing w:after="0" w:line="240" w:lineRule="auto"/>
              <w:rPr>
                <w:sz w:val="24"/>
                <w:szCs w:val="28"/>
                <w:lang w:eastAsia="en-US"/>
              </w:rPr>
            </w:pPr>
            <w:r w:rsidRPr="009F63E9">
              <w:rPr>
                <w:rFonts w:cs="Calibri"/>
                <w:b/>
                <w:sz w:val="24"/>
                <w:szCs w:val="28"/>
              </w:rPr>
              <w:t>CÍL č. 4</w:t>
            </w:r>
          </w:p>
        </w:tc>
        <w:tc>
          <w:tcPr>
            <w:tcW w:w="6556" w:type="dxa"/>
            <w:shd w:val="clear" w:color="auto" w:fill="BDD6EE"/>
            <w:vAlign w:val="center"/>
          </w:tcPr>
          <w:p w:rsidR="006F232C" w:rsidRPr="009F63E9" w:rsidRDefault="006F232C" w:rsidP="009F63E9">
            <w:pPr>
              <w:spacing w:after="0" w:line="240" w:lineRule="auto"/>
              <w:rPr>
                <w:sz w:val="24"/>
                <w:szCs w:val="28"/>
                <w:lang w:eastAsia="en-US"/>
              </w:rPr>
            </w:pPr>
            <w:r w:rsidRPr="009F63E9">
              <w:rPr>
                <w:rFonts w:cs="Calibri"/>
                <w:b/>
                <w:sz w:val="24"/>
                <w:szCs w:val="28"/>
                <w:lang w:eastAsia="en-US"/>
              </w:rPr>
              <w:t xml:space="preserve">Zmapování dalších finančních nástrojů využitelných pro podporu </w:t>
            </w:r>
            <w:proofErr w:type="spellStart"/>
            <w:r w:rsidRPr="009F63E9">
              <w:rPr>
                <w:rFonts w:cs="Calibri"/>
                <w:b/>
                <w:sz w:val="24"/>
                <w:szCs w:val="28"/>
                <w:lang w:eastAsia="en-US"/>
              </w:rPr>
              <w:t>VaV</w:t>
            </w:r>
            <w:proofErr w:type="spellEnd"/>
          </w:p>
        </w:tc>
      </w:tr>
      <w:tr w:rsidR="006F232C" w:rsidRPr="009F63E9" w:rsidTr="009F63E9">
        <w:trPr>
          <w:trHeight w:val="1654"/>
          <w:jc w:val="center"/>
        </w:trPr>
        <w:tc>
          <w:tcPr>
            <w:tcW w:w="3275" w:type="dxa"/>
            <w:shd w:val="clear" w:color="auto" w:fill="BDD6EE"/>
            <w:vAlign w:val="center"/>
          </w:tcPr>
          <w:p w:rsidR="006F232C" w:rsidRPr="009F63E9" w:rsidRDefault="006F232C" w:rsidP="009F63E9">
            <w:pPr>
              <w:spacing w:after="0" w:line="240" w:lineRule="auto"/>
              <w:rPr>
                <w:b/>
                <w:sz w:val="24"/>
                <w:szCs w:val="28"/>
                <w:lang w:eastAsia="en-US"/>
              </w:rPr>
            </w:pPr>
            <w:r w:rsidRPr="009F63E9">
              <w:rPr>
                <w:b/>
                <w:sz w:val="24"/>
                <w:szCs w:val="28"/>
                <w:lang w:eastAsia="en-US"/>
              </w:rPr>
              <w:t>Závěrečné výstupy PSDO 2022 k tomuto cíli k předání RVVI</w:t>
            </w:r>
          </w:p>
        </w:tc>
        <w:tc>
          <w:tcPr>
            <w:tcW w:w="6556" w:type="dxa"/>
          </w:tcPr>
          <w:p w:rsidR="006F232C" w:rsidRPr="009F63E9" w:rsidRDefault="006F232C" w:rsidP="009F63E9">
            <w:pPr>
              <w:pStyle w:val="Odstavecseseznamem"/>
              <w:numPr>
                <w:ilvl w:val="0"/>
                <w:numId w:val="10"/>
              </w:numPr>
              <w:spacing w:after="0" w:line="240" w:lineRule="auto"/>
              <w:ind w:left="357" w:hanging="291"/>
              <w:jc w:val="both"/>
              <w:rPr>
                <w:rFonts w:cs="Calibri"/>
                <w:sz w:val="24"/>
                <w:lang w:eastAsia="en-US"/>
              </w:rPr>
            </w:pPr>
            <w:r w:rsidRPr="009F63E9">
              <w:rPr>
                <w:rFonts w:cs="Calibri"/>
                <w:sz w:val="24"/>
                <w:lang w:eastAsia="en-US"/>
              </w:rPr>
              <w:t xml:space="preserve">Pro plnohodnotné využití a umožnění finančních nástrojů v oblasti </w:t>
            </w:r>
            <w:proofErr w:type="spellStart"/>
            <w:r w:rsidRPr="009F63E9">
              <w:rPr>
                <w:rFonts w:cs="Calibri"/>
                <w:sz w:val="24"/>
                <w:lang w:eastAsia="en-US"/>
              </w:rPr>
              <w:t>VaVaI</w:t>
            </w:r>
            <w:proofErr w:type="spellEnd"/>
            <w:r w:rsidRPr="009F63E9">
              <w:rPr>
                <w:rFonts w:cs="Calibri"/>
                <w:sz w:val="24"/>
                <w:lang w:eastAsia="en-US"/>
              </w:rPr>
              <w:t xml:space="preserve"> je zapotřebí připravit legislativní změny – především v kontextu přípravy nového zákona č. 130/2002 Sb.</w:t>
            </w:r>
          </w:p>
          <w:p w:rsidR="006F232C" w:rsidRPr="009F63E9" w:rsidRDefault="006F232C" w:rsidP="009F63E9">
            <w:pPr>
              <w:pStyle w:val="Odstavecseseznamem"/>
              <w:spacing w:after="0" w:line="240" w:lineRule="auto"/>
              <w:ind w:left="426"/>
              <w:jc w:val="both"/>
              <w:rPr>
                <w:rFonts w:cs="Calibri"/>
                <w:sz w:val="24"/>
                <w:lang w:eastAsia="en-US"/>
              </w:rPr>
            </w:pPr>
            <w:r w:rsidRPr="009F63E9">
              <w:rPr>
                <w:rFonts w:cs="Calibri"/>
                <w:sz w:val="24"/>
                <w:lang w:eastAsia="en-US"/>
              </w:rPr>
              <w:t>PSDO navrhuje tyto legislativní změny:</w:t>
            </w:r>
          </w:p>
          <w:p w:rsidR="006F232C" w:rsidRPr="009F63E9" w:rsidRDefault="006F232C" w:rsidP="009F63E9">
            <w:pPr>
              <w:pStyle w:val="Odstavecseseznamem"/>
              <w:numPr>
                <w:ilvl w:val="0"/>
                <w:numId w:val="23"/>
              </w:numPr>
              <w:spacing w:after="0" w:line="240" w:lineRule="auto"/>
              <w:jc w:val="both"/>
              <w:rPr>
                <w:rFonts w:cs="Calibri"/>
                <w:sz w:val="24"/>
                <w:lang w:eastAsia="en-US"/>
              </w:rPr>
            </w:pPr>
          </w:p>
          <w:p w:rsidR="006F232C" w:rsidRPr="009F63E9" w:rsidRDefault="006F232C" w:rsidP="009F63E9">
            <w:pPr>
              <w:pStyle w:val="Odstavecseseznamem"/>
              <w:spacing w:after="0" w:line="240" w:lineRule="auto"/>
              <w:ind w:left="426"/>
              <w:jc w:val="both"/>
              <w:rPr>
                <w:rFonts w:cs="Calibri"/>
                <w:sz w:val="24"/>
                <w:lang w:eastAsia="en-US"/>
              </w:rPr>
            </w:pPr>
          </w:p>
        </w:tc>
      </w:tr>
    </w:tbl>
    <w:p w:rsidR="006F232C" w:rsidRDefault="006F232C" w:rsidP="00C16E26">
      <w:pPr>
        <w:pStyle w:val="Nadpis1"/>
        <w:spacing w:line="240" w:lineRule="auto"/>
        <w:ind w:left="1418" w:hanging="1418"/>
        <w:rPr>
          <w:rFonts w:ascii="Calibri" w:hAnsi="Calibri" w:cs="Calibri"/>
          <w:b/>
          <w:sz w:val="40"/>
          <w:szCs w:val="28"/>
        </w:rPr>
      </w:pPr>
    </w:p>
    <w:p w:rsidR="006F232C" w:rsidRDefault="006F232C" w:rsidP="00C16E26">
      <w:pPr>
        <w:pStyle w:val="Nadpis1"/>
        <w:spacing w:line="240" w:lineRule="auto"/>
        <w:ind w:left="1418" w:hanging="1418"/>
        <w:rPr>
          <w:rFonts w:ascii="Calibri" w:hAnsi="Calibri" w:cs="Calibri"/>
          <w:b/>
          <w:sz w:val="40"/>
          <w:szCs w:val="28"/>
        </w:rPr>
      </w:pPr>
      <w:r>
        <w:rPr>
          <w:rFonts w:ascii="Calibri" w:hAnsi="Calibri" w:cs="Calibri"/>
          <w:b/>
          <w:sz w:val="40"/>
          <w:szCs w:val="28"/>
        </w:rPr>
        <w:t>Cíl č. 5</w:t>
      </w:r>
      <w:r w:rsidRPr="00F62EB4">
        <w:rPr>
          <w:rFonts w:ascii="Calibri" w:hAnsi="Calibri" w:cs="Calibri"/>
          <w:b/>
          <w:sz w:val="40"/>
          <w:szCs w:val="28"/>
        </w:rPr>
        <w:t xml:space="preserve"> – </w:t>
      </w:r>
      <w:r>
        <w:rPr>
          <w:rFonts w:ascii="Calibri" w:hAnsi="Calibri" w:cs="Calibri"/>
          <w:b/>
          <w:sz w:val="40"/>
          <w:szCs w:val="28"/>
        </w:rPr>
        <w:t>Identifikace</w:t>
      </w:r>
      <w:r w:rsidRPr="00F62EB4">
        <w:rPr>
          <w:rFonts w:ascii="Calibri" w:hAnsi="Calibri" w:cs="Calibri"/>
          <w:b/>
          <w:sz w:val="40"/>
          <w:szCs w:val="28"/>
        </w:rPr>
        <w:t xml:space="preserve"> pilotních nových finančních nástrojů pro </w:t>
      </w:r>
      <w:proofErr w:type="spellStart"/>
      <w:r w:rsidRPr="00F62EB4">
        <w:rPr>
          <w:rFonts w:ascii="Calibri" w:hAnsi="Calibri" w:cs="Calibri"/>
          <w:b/>
          <w:sz w:val="40"/>
          <w:szCs w:val="28"/>
        </w:rPr>
        <w:t>VaV</w:t>
      </w:r>
      <w:proofErr w:type="spellEnd"/>
    </w:p>
    <w:p w:rsidR="006F232C" w:rsidRPr="00B36FC4" w:rsidRDefault="006F232C" w:rsidP="00FF75A5">
      <w:pPr>
        <w:rPr>
          <w:sz w:val="24"/>
        </w:rPr>
      </w:pPr>
    </w:p>
    <w:p w:rsidR="006F232C" w:rsidRPr="007322D5" w:rsidRDefault="006F232C" w:rsidP="002C0F21">
      <w:pPr>
        <w:pStyle w:val="Odstavecseseznamem"/>
        <w:numPr>
          <w:ilvl w:val="0"/>
          <w:numId w:val="11"/>
        </w:numPr>
        <w:spacing w:after="240"/>
        <w:ind w:left="714" w:hanging="357"/>
        <w:jc w:val="both"/>
        <w:rPr>
          <w:rFonts w:cs="Calibri"/>
          <w:sz w:val="24"/>
        </w:rPr>
      </w:pPr>
      <w:r>
        <w:rPr>
          <w:rFonts w:cs="Calibri"/>
          <w:sz w:val="24"/>
        </w:rPr>
        <w:t>Na základě</w:t>
      </w:r>
      <w:r w:rsidRPr="007322D5">
        <w:rPr>
          <w:rFonts w:cs="Calibri"/>
          <w:sz w:val="24"/>
        </w:rPr>
        <w:t xml:space="preserve"> roztřídění návrat</w:t>
      </w:r>
      <w:r>
        <w:rPr>
          <w:rFonts w:cs="Calibri"/>
          <w:sz w:val="24"/>
        </w:rPr>
        <w:t>ný</w:t>
      </w:r>
      <w:r w:rsidRPr="007322D5">
        <w:rPr>
          <w:rFonts w:cs="Calibri"/>
          <w:sz w:val="24"/>
        </w:rPr>
        <w:t xml:space="preserve">ch FN do kategorií dle časovosti a typu výstupu </w:t>
      </w:r>
      <w:proofErr w:type="spellStart"/>
      <w:r w:rsidRPr="007322D5">
        <w:rPr>
          <w:rFonts w:cs="Calibri"/>
          <w:sz w:val="24"/>
        </w:rPr>
        <w:t>VaV</w:t>
      </w:r>
      <w:proofErr w:type="spellEnd"/>
      <w:r>
        <w:rPr>
          <w:rFonts w:cs="Calibri"/>
          <w:sz w:val="24"/>
        </w:rPr>
        <w:t xml:space="preserve"> PSDO 2022 </w:t>
      </w:r>
      <w:r w:rsidRPr="007322D5">
        <w:rPr>
          <w:rFonts w:cs="Calibri"/>
          <w:sz w:val="24"/>
        </w:rPr>
        <w:t xml:space="preserve">určí vhodné FN pro ryzí </w:t>
      </w:r>
      <w:proofErr w:type="spellStart"/>
      <w:r w:rsidRPr="007322D5">
        <w:rPr>
          <w:rFonts w:cs="Calibri"/>
          <w:sz w:val="24"/>
        </w:rPr>
        <w:t>VaV</w:t>
      </w:r>
      <w:proofErr w:type="spellEnd"/>
      <w:r w:rsidRPr="007322D5">
        <w:rPr>
          <w:rFonts w:cs="Calibri"/>
          <w:sz w:val="24"/>
        </w:rPr>
        <w:t xml:space="preserve"> a pro</w:t>
      </w:r>
      <w:r>
        <w:rPr>
          <w:rFonts w:cs="Calibri"/>
          <w:sz w:val="24"/>
        </w:rPr>
        <w:t xml:space="preserve"> další oblasti inovačního cyklu, s ohledem na TRL</w:t>
      </w:r>
      <w:r w:rsidRPr="007322D5">
        <w:rPr>
          <w:rFonts w:cs="Calibri"/>
          <w:sz w:val="24"/>
        </w:rPr>
        <w:t xml:space="preserve">, </w:t>
      </w:r>
      <w:r>
        <w:rPr>
          <w:rFonts w:cs="Calibri"/>
          <w:sz w:val="24"/>
        </w:rPr>
        <w:t>a následně budou z těchto dvou kategorií vybrány vhodné nástroje pro pilotní implementaci.</w:t>
      </w:r>
    </w:p>
    <w:p w:rsidR="006F232C" w:rsidRPr="008D1041" w:rsidRDefault="006F232C" w:rsidP="008D1041">
      <w:pPr>
        <w:pStyle w:val="Odstavecseseznamem"/>
        <w:numPr>
          <w:ilvl w:val="0"/>
          <w:numId w:val="11"/>
        </w:numPr>
        <w:jc w:val="both"/>
        <w:rPr>
          <w:rFonts w:cs="Calibri"/>
          <w:sz w:val="24"/>
        </w:rPr>
      </w:pPr>
      <w:r w:rsidRPr="007322D5">
        <w:rPr>
          <w:rFonts w:cs="Calibri"/>
          <w:sz w:val="24"/>
        </w:rPr>
        <w:t xml:space="preserve">Pracovní skupina se shodla, že je důležité podrobnější určení druhů inovací a také popsání celkového životního cyklu oblasti </w:t>
      </w:r>
      <w:proofErr w:type="spellStart"/>
      <w:r w:rsidRPr="007322D5">
        <w:rPr>
          <w:rFonts w:cs="Calibri"/>
          <w:sz w:val="24"/>
        </w:rPr>
        <w:t>Va</w:t>
      </w:r>
      <w:r>
        <w:rPr>
          <w:rFonts w:cs="Calibri"/>
          <w:sz w:val="24"/>
        </w:rPr>
        <w:t>VaI</w:t>
      </w:r>
      <w:proofErr w:type="spellEnd"/>
      <w:r>
        <w:rPr>
          <w:rFonts w:cs="Calibri"/>
          <w:sz w:val="24"/>
        </w:rPr>
        <w:t xml:space="preserve"> ve vztahu k druhům podpory: výzkum – vývoj – </w:t>
      </w:r>
      <w:r w:rsidRPr="008D1041">
        <w:rPr>
          <w:rFonts w:cs="Calibri"/>
          <w:sz w:val="24"/>
        </w:rPr>
        <w:t xml:space="preserve"> inovace, včetně zmapování zahraničních zkušeností a příkladů dobré praxe, jakmile bude toto popsáno, tak bude možné kvalifikovaně doporučit pilotní nástroje.</w:t>
      </w:r>
    </w:p>
    <w:p w:rsidR="006F232C" w:rsidRPr="007322D5" w:rsidRDefault="006F232C" w:rsidP="002C0F21">
      <w:pPr>
        <w:pStyle w:val="Odstavecseseznamem"/>
        <w:spacing w:after="240"/>
        <w:ind w:left="714"/>
        <w:rPr>
          <w:rFonts w:cs="Calibr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6"/>
        <w:gridCol w:w="3215"/>
        <w:gridCol w:w="2359"/>
        <w:gridCol w:w="2359"/>
      </w:tblGrid>
      <w:tr w:rsidR="006F232C" w:rsidRPr="009F63E9" w:rsidTr="009F63E9">
        <w:trPr>
          <w:trHeight w:val="520"/>
          <w:jc w:val="center"/>
        </w:trPr>
        <w:tc>
          <w:tcPr>
            <w:tcW w:w="1696"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lastRenderedPageBreak/>
              <w:t>POŘADÍ</w:t>
            </w:r>
          </w:p>
        </w:tc>
        <w:tc>
          <w:tcPr>
            <w:tcW w:w="3215"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ÚKOLY k CÍLI č. 5</w:t>
            </w:r>
          </w:p>
        </w:tc>
        <w:tc>
          <w:tcPr>
            <w:tcW w:w="2359"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KDO VYPRACUJE</w:t>
            </w:r>
          </w:p>
        </w:tc>
        <w:tc>
          <w:tcPr>
            <w:tcW w:w="2359" w:type="dxa"/>
            <w:shd w:val="clear" w:color="auto" w:fill="D9D9D9"/>
            <w:vAlign w:val="center"/>
          </w:tcPr>
          <w:p w:rsidR="006F232C" w:rsidRPr="009F63E9" w:rsidRDefault="006F232C" w:rsidP="009F63E9">
            <w:pPr>
              <w:spacing w:after="0" w:line="240" w:lineRule="auto"/>
              <w:jc w:val="center"/>
              <w:rPr>
                <w:b/>
                <w:sz w:val="24"/>
                <w:lang w:eastAsia="en-US"/>
              </w:rPr>
            </w:pPr>
            <w:r w:rsidRPr="009F63E9">
              <w:rPr>
                <w:b/>
                <w:sz w:val="24"/>
                <w:lang w:eastAsia="en-US"/>
              </w:rPr>
              <w:t>STAV ÚKOLU</w:t>
            </w:r>
          </w:p>
        </w:tc>
      </w:tr>
      <w:tr w:rsidR="006F232C" w:rsidRPr="009F63E9" w:rsidTr="009F63E9">
        <w:trPr>
          <w:jc w:val="center"/>
        </w:trPr>
        <w:tc>
          <w:tcPr>
            <w:tcW w:w="1696" w:type="dxa"/>
            <w:vAlign w:val="center"/>
          </w:tcPr>
          <w:p w:rsidR="006F232C" w:rsidRPr="009F63E9" w:rsidRDefault="006F232C" w:rsidP="009F63E9">
            <w:pPr>
              <w:spacing w:after="0" w:line="240" w:lineRule="auto"/>
              <w:jc w:val="center"/>
              <w:rPr>
                <w:sz w:val="24"/>
                <w:lang w:eastAsia="en-US"/>
              </w:rPr>
            </w:pPr>
            <w:r w:rsidRPr="009F63E9">
              <w:rPr>
                <w:sz w:val="24"/>
                <w:lang w:eastAsia="en-US"/>
              </w:rPr>
              <w:t>1.</w:t>
            </w:r>
          </w:p>
        </w:tc>
        <w:tc>
          <w:tcPr>
            <w:tcW w:w="3215" w:type="dxa"/>
            <w:vAlign w:val="center"/>
          </w:tcPr>
          <w:p w:rsidR="006F232C" w:rsidRPr="009F63E9" w:rsidRDefault="006F232C" w:rsidP="009F63E9">
            <w:pPr>
              <w:spacing w:after="0" w:line="240" w:lineRule="auto"/>
              <w:rPr>
                <w:rFonts w:cs="Calibri"/>
                <w:sz w:val="24"/>
                <w:lang w:eastAsia="en-US"/>
              </w:rPr>
            </w:pPr>
            <w:r w:rsidRPr="009F63E9">
              <w:rPr>
                <w:rFonts w:cs="Calibri"/>
                <w:sz w:val="24"/>
                <w:lang w:eastAsia="en-US"/>
              </w:rPr>
              <w:t>Identifikace vhodného nástroje/nástrojů</w:t>
            </w:r>
          </w:p>
        </w:tc>
        <w:tc>
          <w:tcPr>
            <w:tcW w:w="2359" w:type="dxa"/>
            <w:vAlign w:val="center"/>
          </w:tcPr>
          <w:p w:rsidR="006F232C" w:rsidRPr="009F63E9" w:rsidRDefault="006F232C" w:rsidP="009F63E9">
            <w:pPr>
              <w:spacing w:after="0" w:line="240" w:lineRule="auto"/>
              <w:jc w:val="center"/>
              <w:rPr>
                <w:rFonts w:cs="Calibri"/>
                <w:sz w:val="24"/>
                <w:lang w:eastAsia="en-US"/>
              </w:rPr>
            </w:pPr>
            <w:r w:rsidRPr="009F63E9">
              <w:rPr>
                <w:rFonts w:cs="Calibri"/>
                <w:sz w:val="24"/>
                <w:lang w:eastAsia="en-US"/>
              </w:rPr>
              <w:t>Celá PSDO</w:t>
            </w:r>
          </w:p>
        </w:tc>
        <w:tc>
          <w:tcPr>
            <w:tcW w:w="2359" w:type="dxa"/>
            <w:vAlign w:val="center"/>
          </w:tcPr>
          <w:p w:rsidR="006F232C" w:rsidRPr="009F63E9" w:rsidRDefault="006F232C" w:rsidP="009F63E9">
            <w:pPr>
              <w:spacing w:after="0" w:line="240" w:lineRule="auto"/>
              <w:jc w:val="center"/>
              <w:rPr>
                <w:rFonts w:cs="Calibri"/>
                <w:sz w:val="24"/>
                <w:lang w:eastAsia="en-US"/>
              </w:rPr>
            </w:pPr>
            <w:r w:rsidRPr="009F63E9">
              <w:rPr>
                <w:rFonts w:cs="Calibri"/>
                <w:sz w:val="24"/>
                <w:lang w:eastAsia="en-US"/>
              </w:rPr>
              <w:t>Diskutováno</w:t>
            </w:r>
          </w:p>
        </w:tc>
      </w:tr>
    </w:tbl>
    <w:p w:rsidR="006F232C" w:rsidRPr="00B36FC4" w:rsidRDefault="006F232C" w:rsidP="00F62EB4">
      <w:pPr>
        <w:rPr>
          <w:sz w:val="24"/>
        </w:rPr>
      </w:pPr>
    </w:p>
    <w:tbl>
      <w:tblPr>
        <w:tblW w:w="9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4"/>
        <w:gridCol w:w="6394"/>
      </w:tblGrid>
      <w:tr w:rsidR="006F232C" w:rsidRPr="009F63E9" w:rsidTr="009F63E9">
        <w:trPr>
          <w:trHeight w:val="664"/>
          <w:jc w:val="center"/>
        </w:trPr>
        <w:tc>
          <w:tcPr>
            <w:tcW w:w="3194" w:type="dxa"/>
            <w:shd w:val="clear" w:color="auto" w:fill="BDD6EE"/>
            <w:vAlign w:val="center"/>
          </w:tcPr>
          <w:p w:rsidR="006F232C" w:rsidRPr="009F63E9" w:rsidRDefault="006F232C" w:rsidP="009F63E9">
            <w:pPr>
              <w:spacing w:after="0" w:line="240" w:lineRule="auto"/>
              <w:rPr>
                <w:sz w:val="24"/>
                <w:szCs w:val="28"/>
                <w:lang w:eastAsia="en-US"/>
              </w:rPr>
            </w:pPr>
            <w:r w:rsidRPr="009F63E9">
              <w:rPr>
                <w:rFonts w:cs="Calibri"/>
                <w:b/>
                <w:sz w:val="24"/>
                <w:szCs w:val="28"/>
              </w:rPr>
              <w:t>CÍL č. 5</w:t>
            </w:r>
          </w:p>
        </w:tc>
        <w:tc>
          <w:tcPr>
            <w:tcW w:w="6394" w:type="dxa"/>
            <w:shd w:val="clear" w:color="auto" w:fill="BDD6EE"/>
            <w:vAlign w:val="center"/>
          </w:tcPr>
          <w:p w:rsidR="006F232C" w:rsidRPr="009F63E9" w:rsidRDefault="006F232C" w:rsidP="009F63E9">
            <w:pPr>
              <w:spacing w:after="0" w:line="240" w:lineRule="auto"/>
              <w:rPr>
                <w:sz w:val="24"/>
                <w:szCs w:val="28"/>
                <w:lang w:eastAsia="en-US"/>
              </w:rPr>
            </w:pPr>
            <w:r w:rsidRPr="009F63E9">
              <w:rPr>
                <w:rFonts w:cs="Calibri"/>
                <w:b/>
                <w:sz w:val="24"/>
                <w:szCs w:val="28"/>
                <w:lang w:eastAsia="en-US"/>
              </w:rPr>
              <w:t xml:space="preserve">Vytipování pilotních nových finančních nástrojů pro </w:t>
            </w:r>
            <w:proofErr w:type="spellStart"/>
            <w:r w:rsidRPr="009F63E9">
              <w:rPr>
                <w:rFonts w:cs="Calibri"/>
                <w:b/>
                <w:sz w:val="24"/>
                <w:szCs w:val="28"/>
                <w:lang w:eastAsia="en-US"/>
              </w:rPr>
              <w:t>VaV</w:t>
            </w:r>
            <w:proofErr w:type="spellEnd"/>
          </w:p>
        </w:tc>
      </w:tr>
      <w:tr w:rsidR="006F232C" w:rsidRPr="009F63E9" w:rsidTr="009F63E9">
        <w:trPr>
          <w:trHeight w:val="1792"/>
          <w:jc w:val="center"/>
        </w:trPr>
        <w:tc>
          <w:tcPr>
            <w:tcW w:w="3194" w:type="dxa"/>
            <w:shd w:val="clear" w:color="auto" w:fill="BDD6EE"/>
            <w:vAlign w:val="center"/>
          </w:tcPr>
          <w:p w:rsidR="006F232C" w:rsidRPr="009F63E9" w:rsidRDefault="006F232C" w:rsidP="009F63E9">
            <w:pPr>
              <w:spacing w:after="0" w:line="240" w:lineRule="auto"/>
              <w:rPr>
                <w:b/>
                <w:sz w:val="24"/>
                <w:szCs w:val="28"/>
                <w:lang w:eastAsia="en-US"/>
              </w:rPr>
            </w:pPr>
            <w:r w:rsidRPr="009F63E9">
              <w:rPr>
                <w:b/>
                <w:sz w:val="24"/>
                <w:szCs w:val="28"/>
                <w:lang w:eastAsia="en-US"/>
              </w:rPr>
              <w:t>Závěrečné výstupy PSDO 2022 k tomuto cíli k předání RVVI</w:t>
            </w:r>
          </w:p>
        </w:tc>
        <w:tc>
          <w:tcPr>
            <w:tcW w:w="6394" w:type="dxa"/>
          </w:tcPr>
          <w:p w:rsidR="006F232C" w:rsidRPr="009F63E9" w:rsidRDefault="006F232C" w:rsidP="009F63E9">
            <w:pPr>
              <w:pStyle w:val="Odstavecseseznamem"/>
              <w:numPr>
                <w:ilvl w:val="0"/>
                <w:numId w:val="17"/>
              </w:numPr>
              <w:spacing w:after="0" w:line="240" w:lineRule="auto"/>
              <w:ind w:left="242" w:hanging="283"/>
              <w:jc w:val="both"/>
              <w:rPr>
                <w:rFonts w:cs="Calibri"/>
                <w:sz w:val="24"/>
                <w:lang w:eastAsia="en-US"/>
              </w:rPr>
            </w:pPr>
            <w:r w:rsidRPr="009F63E9">
              <w:rPr>
                <w:rFonts w:cs="Calibri"/>
                <w:sz w:val="24"/>
                <w:lang w:eastAsia="en-US"/>
              </w:rPr>
              <w:t>Je žádoucí identifikovat vhodnou oblast a zdroj finančních prostředků pro vytvoření tzv. pilotního finančního nástroje.</w:t>
            </w:r>
          </w:p>
          <w:p w:rsidR="006F232C" w:rsidRPr="009F63E9" w:rsidRDefault="006F232C" w:rsidP="009F63E9">
            <w:pPr>
              <w:spacing w:after="0" w:line="240" w:lineRule="auto"/>
              <w:rPr>
                <w:i/>
                <w:sz w:val="24"/>
                <w:szCs w:val="28"/>
                <w:lang w:eastAsia="en-US"/>
              </w:rPr>
            </w:pPr>
          </w:p>
          <w:p w:rsidR="006F232C" w:rsidRPr="009F63E9" w:rsidRDefault="006F232C" w:rsidP="009F63E9">
            <w:pPr>
              <w:spacing w:after="0" w:line="240" w:lineRule="auto"/>
              <w:jc w:val="both"/>
              <w:rPr>
                <w:i/>
                <w:sz w:val="24"/>
                <w:szCs w:val="28"/>
                <w:lang w:eastAsia="en-US"/>
              </w:rPr>
            </w:pPr>
          </w:p>
        </w:tc>
      </w:tr>
    </w:tbl>
    <w:p w:rsidR="006F232C" w:rsidRPr="00B17671" w:rsidRDefault="006F232C" w:rsidP="00F62EB4">
      <w:pPr>
        <w:rPr>
          <w:sz w:val="24"/>
        </w:rPr>
      </w:pPr>
    </w:p>
    <w:p w:rsidR="006F232C" w:rsidRDefault="006F232C" w:rsidP="00F62EB4">
      <w:pPr>
        <w:rPr>
          <w:sz w:val="24"/>
        </w:rPr>
      </w:pPr>
    </w:p>
    <w:p w:rsidR="006F232C" w:rsidRPr="00B17671" w:rsidRDefault="006F232C" w:rsidP="00F62EB4">
      <w:pPr>
        <w:rPr>
          <w:sz w:val="24"/>
        </w:rPr>
      </w:pPr>
    </w:p>
    <w:p w:rsidR="006F232C" w:rsidRDefault="006F232C" w:rsidP="00043C98">
      <w:pPr>
        <w:pStyle w:val="Nadpis1"/>
        <w:spacing w:line="240" w:lineRule="auto"/>
        <w:ind w:left="426" w:hanging="426"/>
        <w:jc w:val="both"/>
        <w:rPr>
          <w:rFonts w:ascii="Calibri" w:hAnsi="Calibri" w:cs="Calibri"/>
          <w:b/>
          <w:color w:val="auto"/>
          <w:sz w:val="40"/>
          <w:szCs w:val="28"/>
        </w:rPr>
      </w:pPr>
      <w:r w:rsidRPr="00043C98">
        <w:rPr>
          <w:rFonts w:ascii="Calibri" w:hAnsi="Calibri" w:cs="Calibri"/>
          <w:b/>
          <w:color w:val="auto"/>
          <w:sz w:val="40"/>
          <w:szCs w:val="28"/>
        </w:rPr>
        <w:t>Přílohy</w:t>
      </w:r>
      <w:r>
        <w:rPr>
          <w:rFonts w:ascii="Calibri" w:hAnsi="Calibri" w:cs="Calibri"/>
          <w:b/>
          <w:color w:val="auto"/>
          <w:sz w:val="40"/>
          <w:szCs w:val="28"/>
        </w:rPr>
        <w:t>:</w:t>
      </w:r>
    </w:p>
    <w:p w:rsidR="006F232C" w:rsidRDefault="006F232C" w:rsidP="00043C98"/>
    <w:p w:rsidR="006F232C" w:rsidRDefault="006F232C" w:rsidP="00043C98">
      <w:pPr>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color w:val="000000"/>
          <w:sz w:val="24"/>
          <w:szCs w:val="24"/>
        </w:rPr>
      </w:pPr>
      <w:r w:rsidRPr="003E51BF">
        <w:rPr>
          <w:rFonts w:cs="Calibri"/>
          <w:color w:val="000000"/>
          <w:sz w:val="24"/>
          <w:szCs w:val="24"/>
        </w:rPr>
        <w:t xml:space="preserve">Příloha č. 1_Efektivnost daňových pobídek pro </w:t>
      </w:r>
      <w:proofErr w:type="spellStart"/>
      <w:r w:rsidRPr="003E51BF">
        <w:rPr>
          <w:rFonts w:cs="Calibri"/>
          <w:color w:val="000000"/>
          <w:sz w:val="24"/>
          <w:szCs w:val="24"/>
        </w:rPr>
        <w:t>VaV_OECD</w:t>
      </w:r>
      <w:proofErr w:type="spellEnd"/>
    </w:p>
    <w:p w:rsidR="006F232C" w:rsidRPr="00737675" w:rsidRDefault="006F232C" w:rsidP="00043C98">
      <w:pPr>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color w:val="000000"/>
          <w:sz w:val="24"/>
          <w:szCs w:val="24"/>
        </w:rPr>
      </w:pPr>
      <w:r w:rsidRPr="00BD7C4E">
        <w:rPr>
          <w:rFonts w:cs="Calibri"/>
          <w:color w:val="000000"/>
          <w:sz w:val="24"/>
          <w:szCs w:val="24"/>
        </w:rPr>
        <w:t xml:space="preserve">Příloha č. 2_Daňové odpočty </w:t>
      </w:r>
      <w:proofErr w:type="spellStart"/>
      <w:r w:rsidRPr="00BD7C4E">
        <w:rPr>
          <w:rFonts w:cs="Calibri"/>
          <w:color w:val="000000"/>
          <w:sz w:val="24"/>
          <w:szCs w:val="24"/>
        </w:rPr>
        <w:t>brožura_CERGE</w:t>
      </w:r>
      <w:proofErr w:type="spellEnd"/>
      <w:r w:rsidRPr="00BD7C4E">
        <w:rPr>
          <w:rFonts w:cs="Calibri"/>
          <w:color w:val="000000"/>
          <w:sz w:val="24"/>
          <w:szCs w:val="24"/>
        </w:rPr>
        <w:t>-EI</w:t>
      </w:r>
    </w:p>
    <w:p w:rsidR="006F232C" w:rsidRPr="00737675" w:rsidRDefault="006F232C" w:rsidP="00043C98">
      <w:pPr>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color w:val="000000"/>
          <w:sz w:val="24"/>
          <w:szCs w:val="24"/>
        </w:rPr>
      </w:pPr>
      <w:r w:rsidRPr="00737675">
        <w:rPr>
          <w:rFonts w:cs="Calibri"/>
          <w:color w:val="000000"/>
          <w:sz w:val="24"/>
          <w:szCs w:val="24"/>
        </w:rPr>
        <w:t xml:space="preserve">Příloha č. </w:t>
      </w:r>
      <w:r>
        <w:rPr>
          <w:rFonts w:cs="Calibri"/>
          <w:color w:val="000000"/>
          <w:sz w:val="24"/>
          <w:szCs w:val="24"/>
        </w:rPr>
        <w:t>3</w:t>
      </w:r>
      <w:r w:rsidRPr="00737675">
        <w:rPr>
          <w:rFonts w:cs="Calibri"/>
          <w:color w:val="000000"/>
          <w:sz w:val="24"/>
          <w:szCs w:val="24"/>
        </w:rPr>
        <w:t>_</w:t>
      </w:r>
      <w:r>
        <w:rPr>
          <w:rFonts w:cs="Calibri"/>
          <w:color w:val="000000"/>
          <w:sz w:val="24"/>
          <w:szCs w:val="24"/>
        </w:rPr>
        <w:t xml:space="preserve">Přehled_podmínek_odpočtu_VaV_ve </w:t>
      </w:r>
      <w:r w:rsidRPr="00737675">
        <w:rPr>
          <w:rFonts w:cs="Calibri"/>
          <w:color w:val="000000"/>
          <w:sz w:val="24"/>
          <w:szCs w:val="24"/>
        </w:rPr>
        <w:t>vybraných_zemích_EU_27102022_PwC</w:t>
      </w:r>
    </w:p>
    <w:p w:rsidR="006F232C" w:rsidRPr="00737675" w:rsidRDefault="006F232C" w:rsidP="00043C98">
      <w:pPr>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color w:val="000000"/>
          <w:sz w:val="24"/>
          <w:szCs w:val="24"/>
        </w:rPr>
      </w:pPr>
      <w:r>
        <w:rPr>
          <w:rFonts w:cs="Calibri"/>
          <w:color w:val="000000"/>
          <w:sz w:val="24"/>
          <w:szCs w:val="24"/>
        </w:rPr>
        <w:t>Příloha č. 4</w:t>
      </w:r>
      <w:r w:rsidRPr="00737675">
        <w:rPr>
          <w:rFonts w:cs="Calibri"/>
          <w:color w:val="000000"/>
          <w:sz w:val="24"/>
          <w:szCs w:val="24"/>
        </w:rPr>
        <w:t>_Zaměstnanecké opční programy</w:t>
      </w:r>
    </w:p>
    <w:p w:rsidR="006F232C" w:rsidRDefault="006F232C" w:rsidP="00043C98">
      <w:pPr>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color w:val="000000"/>
          <w:sz w:val="24"/>
          <w:szCs w:val="24"/>
        </w:rPr>
      </w:pPr>
      <w:r>
        <w:rPr>
          <w:rFonts w:cs="Calibri"/>
          <w:color w:val="000000"/>
          <w:sz w:val="24"/>
          <w:szCs w:val="24"/>
        </w:rPr>
        <w:t>Příloha č. 5</w:t>
      </w:r>
      <w:r w:rsidRPr="00737675">
        <w:rPr>
          <w:rFonts w:cs="Calibri"/>
          <w:color w:val="000000"/>
          <w:sz w:val="24"/>
          <w:szCs w:val="24"/>
        </w:rPr>
        <w:t xml:space="preserve">_Zaměstnanecké opční </w:t>
      </w:r>
      <w:proofErr w:type="spellStart"/>
      <w:r w:rsidRPr="00737675">
        <w:rPr>
          <w:rFonts w:cs="Calibri"/>
          <w:color w:val="000000"/>
          <w:sz w:val="24"/>
          <w:szCs w:val="24"/>
        </w:rPr>
        <w:t>programy_CzechInvest_ESOP</w:t>
      </w:r>
      <w:proofErr w:type="spellEnd"/>
      <w:r w:rsidRPr="00737675">
        <w:rPr>
          <w:rFonts w:cs="Calibri"/>
          <w:color w:val="000000"/>
          <w:sz w:val="24"/>
          <w:szCs w:val="24"/>
        </w:rPr>
        <w:t xml:space="preserve"> </w:t>
      </w:r>
      <w:proofErr w:type="spellStart"/>
      <w:r w:rsidRPr="00737675">
        <w:rPr>
          <w:rFonts w:cs="Calibri"/>
          <w:color w:val="000000"/>
          <w:sz w:val="24"/>
          <w:szCs w:val="24"/>
        </w:rPr>
        <w:t>stanovisko_final</w:t>
      </w:r>
      <w:proofErr w:type="spellEnd"/>
    </w:p>
    <w:p w:rsidR="006F232C" w:rsidRDefault="006F232C" w:rsidP="00043C98">
      <w:pPr>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color w:val="000000"/>
          <w:sz w:val="24"/>
          <w:szCs w:val="24"/>
        </w:rPr>
      </w:pPr>
      <w:r w:rsidRPr="001E2DA1">
        <w:rPr>
          <w:rFonts w:cs="Calibri"/>
          <w:color w:val="000000"/>
          <w:sz w:val="24"/>
          <w:szCs w:val="24"/>
        </w:rPr>
        <w:t xml:space="preserve">Příloha č. 6_Inovující podnik a typy </w:t>
      </w:r>
      <w:proofErr w:type="spellStart"/>
      <w:r w:rsidRPr="001E2DA1">
        <w:rPr>
          <w:rFonts w:cs="Calibri"/>
          <w:color w:val="000000"/>
          <w:sz w:val="24"/>
          <w:szCs w:val="24"/>
        </w:rPr>
        <w:t>inovací_MPO</w:t>
      </w:r>
      <w:proofErr w:type="spellEnd"/>
    </w:p>
    <w:p w:rsidR="006F232C" w:rsidRDefault="006F232C" w:rsidP="00043C98">
      <w:pPr>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color w:val="000000"/>
          <w:sz w:val="24"/>
          <w:szCs w:val="24"/>
        </w:rPr>
      </w:pPr>
      <w:r w:rsidRPr="001E2DA1">
        <w:rPr>
          <w:rFonts w:cs="Calibri"/>
          <w:color w:val="000000"/>
          <w:sz w:val="24"/>
          <w:szCs w:val="24"/>
        </w:rPr>
        <w:t xml:space="preserve">Příloha č. 7_Počet </w:t>
      </w:r>
      <w:proofErr w:type="spellStart"/>
      <w:r w:rsidRPr="001E2DA1">
        <w:rPr>
          <w:rFonts w:cs="Calibri"/>
          <w:color w:val="000000"/>
          <w:sz w:val="24"/>
          <w:szCs w:val="24"/>
        </w:rPr>
        <w:t>podniků_VTR_SBS_GBARD_</w:t>
      </w:r>
      <w:r>
        <w:rPr>
          <w:rFonts w:cs="Calibri"/>
          <w:color w:val="000000"/>
          <w:sz w:val="24"/>
          <w:szCs w:val="24"/>
        </w:rPr>
        <w:t>MM</w:t>
      </w:r>
      <w:proofErr w:type="spellEnd"/>
    </w:p>
    <w:p w:rsidR="006F232C" w:rsidRDefault="006F232C" w:rsidP="00043C98">
      <w:pPr>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color w:val="000000"/>
          <w:sz w:val="24"/>
          <w:szCs w:val="24"/>
        </w:rPr>
      </w:pPr>
      <w:r>
        <w:rPr>
          <w:rFonts w:cs="Calibri"/>
          <w:color w:val="000000"/>
          <w:sz w:val="24"/>
          <w:szCs w:val="24"/>
        </w:rPr>
        <w:t>Příloha č. 8_</w:t>
      </w:r>
      <w:r w:rsidRPr="00043C98">
        <w:rPr>
          <w:rFonts w:cs="Calibri"/>
          <w:color w:val="000000"/>
          <w:sz w:val="24"/>
          <w:szCs w:val="24"/>
        </w:rPr>
        <w:t>PSDO_Podklad pro 3. jednání_PSDO_9_11_2022_FINAL</w:t>
      </w:r>
    </w:p>
    <w:p w:rsidR="006F232C" w:rsidRDefault="006F232C" w:rsidP="005B46FE">
      <w:pPr>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color w:val="000000"/>
          <w:sz w:val="24"/>
          <w:szCs w:val="24"/>
        </w:rPr>
      </w:pPr>
      <w:r>
        <w:rPr>
          <w:rFonts w:cs="Calibri"/>
          <w:color w:val="000000"/>
          <w:sz w:val="24"/>
          <w:szCs w:val="24"/>
        </w:rPr>
        <w:t>Příloha č. 9_</w:t>
      </w:r>
      <w:r w:rsidRPr="005B46FE">
        <w:t xml:space="preserve"> </w:t>
      </w:r>
      <w:proofErr w:type="spellStart"/>
      <w:r w:rsidRPr="005B46FE">
        <w:rPr>
          <w:rFonts w:cs="Calibri"/>
          <w:color w:val="000000"/>
          <w:sz w:val="24"/>
          <w:szCs w:val="24"/>
        </w:rPr>
        <w:t>Prezentace_Odpočet</w:t>
      </w:r>
      <w:proofErr w:type="spellEnd"/>
      <w:r w:rsidRPr="005B46FE">
        <w:rPr>
          <w:rFonts w:cs="Calibri"/>
          <w:color w:val="000000"/>
          <w:sz w:val="24"/>
          <w:szCs w:val="24"/>
        </w:rPr>
        <w:t xml:space="preserve"> </w:t>
      </w:r>
      <w:proofErr w:type="spellStart"/>
      <w:r w:rsidRPr="005B46FE">
        <w:rPr>
          <w:rFonts w:cs="Calibri"/>
          <w:color w:val="000000"/>
          <w:sz w:val="24"/>
          <w:szCs w:val="24"/>
        </w:rPr>
        <w:t>VaV</w:t>
      </w:r>
      <w:proofErr w:type="spellEnd"/>
      <w:r w:rsidRPr="005B46FE">
        <w:rPr>
          <w:rFonts w:cs="Calibri"/>
          <w:color w:val="000000"/>
          <w:sz w:val="24"/>
          <w:szCs w:val="24"/>
        </w:rPr>
        <w:t xml:space="preserve"> praxe v jiných zemích_PwC_7_11_2022</w:t>
      </w:r>
    </w:p>
    <w:p w:rsidR="006F232C" w:rsidRDefault="006F232C" w:rsidP="005B46FE">
      <w:pPr>
        <w:numPr>
          <w:ilvl w:val="0"/>
          <w:numId w:val="27"/>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cs="Calibri"/>
          <w:color w:val="000000"/>
          <w:sz w:val="24"/>
          <w:szCs w:val="24"/>
        </w:rPr>
      </w:pPr>
      <w:r>
        <w:rPr>
          <w:rFonts w:cs="Calibri"/>
          <w:color w:val="000000"/>
          <w:sz w:val="24"/>
          <w:szCs w:val="24"/>
        </w:rPr>
        <w:t>Příloha č. 10_</w:t>
      </w:r>
      <w:r w:rsidRPr="005B46FE">
        <w:t xml:space="preserve"> </w:t>
      </w:r>
      <w:proofErr w:type="spellStart"/>
      <w:r w:rsidRPr="005B46FE">
        <w:rPr>
          <w:rFonts w:cs="Calibri"/>
          <w:color w:val="000000"/>
          <w:sz w:val="24"/>
          <w:szCs w:val="24"/>
        </w:rPr>
        <w:t>Prezentace_Dopad_odpočtů_Bajgar</w:t>
      </w:r>
      <w:proofErr w:type="spellEnd"/>
    </w:p>
    <w:p w:rsidR="006F232C" w:rsidRPr="00043C98" w:rsidRDefault="006F232C" w:rsidP="00043C98"/>
    <w:p w:rsidR="006F232C" w:rsidRDefault="006F232C" w:rsidP="00F62EB4">
      <w:pPr>
        <w:rPr>
          <w:sz w:val="24"/>
        </w:rPr>
      </w:pPr>
    </w:p>
    <w:p w:rsidR="006F232C" w:rsidRDefault="006F232C" w:rsidP="00F62EB4">
      <w:pPr>
        <w:rPr>
          <w:sz w:val="24"/>
        </w:rPr>
      </w:pPr>
    </w:p>
    <w:p w:rsidR="006F232C" w:rsidRPr="00B36FC4" w:rsidRDefault="006F232C" w:rsidP="006C2964">
      <w:pPr>
        <w:spacing w:after="0"/>
        <w:rPr>
          <w:sz w:val="24"/>
        </w:rPr>
      </w:pPr>
    </w:p>
    <w:p w:rsidR="006F232C" w:rsidRPr="00A275E1" w:rsidRDefault="006F232C" w:rsidP="00A275E1">
      <w:pPr>
        <w:rPr>
          <w:sz w:val="24"/>
          <w:szCs w:val="24"/>
        </w:rPr>
      </w:pPr>
      <w:r w:rsidRPr="00A275E1">
        <w:rPr>
          <w:sz w:val="24"/>
          <w:szCs w:val="24"/>
        </w:rPr>
        <w:t>Vytvořil/la: Mgr. Helena Římská, Ing. Petr Lysý, doc. Karel Kouřil</w:t>
      </w:r>
    </w:p>
    <w:p w:rsidR="006F232C" w:rsidRPr="00A275E1" w:rsidRDefault="006F232C" w:rsidP="00A275E1">
      <w:pPr>
        <w:rPr>
          <w:sz w:val="24"/>
          <w:szCs w:val="24"/>
        </w:rPr>
      </w:pPr>
      <w:r w:rsidRPr="00A275E1">
        <w:rPr>
          <w:sz w:val="24"/>
          <w:szCs w:val="24"/>
        </w:rPr>
        <w:t>Dne:</w:t>
      </w:r>
      <w:r w:rsidR="00BC1ED4">
        <w:rPr>
          <w:sz w:val="24"/>
          <w:szCs w:val="24"/>
        </w:rPr>
        <w:t xml:space="preserve"> 30</w:t>
      </w:r>
      <w:r w:rsidRPr="00A275E1">
        <w:rPr>
          <w:sz w:val="24"/>
          <w:szCs w:val="24"/>
        </w:rPr>
        <w:t>.</w:t>
      </w:r>
      <w:r>
        <w:rPr>
          <w:sz w:val="24"/>
          <w:szCs w:val="24"/>
        </w:rPr>
        <w:t xml:space="preserve"> 11</w:t>
      </w:r>
      <w:r w:rsidRPr="00A275E1">
        <w:rPr>
          <w:sz w:val="24"/>
          <w:szCs w:val="24"/>
        </w:rPr>
        <w:t>. 2022</w:t>
      </w:r>
    </w:p>
    <w:p w:rsidR="006F232C" w:rsidRPr="00A275E1" w:rsidRDefault="006F232C" w:rsidP="00A275E1">
      <w:pPr>
        <w:rPr>
          <w:sz w:val="24"/>
          <w:szCs w:val="24"/>
        </w:rPr>
      </w:pPr>
      <w:r w:rsidRPr="00A275E1">
        <w:rPr>
          <w:sz w:val="24"/>
          <w:szCs w:val="24"/>
        </w:rPr>
        <w:t>Schválil/la: doc. Karel Kouřil</w:t>
      </w:r>
    </w:p>
    <w:p w:rsidR="006F232C" w:rsidRPr="00B36FC4" w:rsidRDefault="00BC1ED4" w:rsidP="00A275E1">
      <w:pPr>
        <w:rPr>
          <w:sz w:val="24"/>
          <w:szCs w:val="24"/>
        </w:rPr>
      </w:pPr>
      <w:r>
        <w:rPr>
          <w:sz w:val="24"/>
          <w:szCs w:val="24"/>
        </w:rPr>
        <w:t>Dne: 30</w:t>
      </w:r>
      <w:bookmarkStart w:id="1" w:name="_GoBack"/>
      <w:bookmarkEnd w:id="1"/>
      <w:r w:rsidR="006F232C">
        <w:rPr>
          <w:sz w:val="24"/>
          <w:szCs w:val="24"/>
        </w:rPr>
        <w:t>. 11</w:t>
      </w:r>
      <w:r w:rsidR="006F232C" w:rsidRPr="00A275E1">
        <w:rPr>
          <w:sz w:val="24"/>
          <w:szCs w:val="24"/>
        </w:rPr>
        <w:t>. 2022</w:t>
      </w:r>
    </w:p>
    <w:sectPr w:rsidR="006F232C" w:rsidRPr="00B36FC4" w:rsidSect="00F1276B">
      <w:headerReference w:type="default" r:id="rId12"/>
      <w:footerReference w:type="default" r:id="rId13"/>
      <w:pgSz w:w="11906" w:h="16838"/>
      <w:pgMar w:top="1843" w:right="1133" w:bottom="1134" w:left="1134" w:header="708" w:footer="4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C46" w:rsidRDefault="008F2C46" w:rsidP="0008526A">
      <w:pPr>
        <w:spacing w:after="0" w:line="240" w:lineRule="auto"/>
      </w:pPr>
      <w:r>
        <w:separator/>
      </w:r>
    </w:p>
  </w:endnote>
  <w:endnote w:type="continuationSeparator" w:id="0">
    <w:p w:rsidR="008F2C46" w:rsidRDefault="008F2C46" w:rsidP="00085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32C" w:rsidRDefault="006F232C" w:rsidP="00BE60CD">
    <w:pPr>
      <w:pStyle w:val="Zpat"/>
      <w:ind w:firstLine="4248"/>
    </w:pPr>
    <w:r>
      <w:tab/>
    </w:r>
    <w:r w:rsidR="00664DE7">
      <w:fldChar w:fldCharType="begin"/>
    </w:r>
    <w:r w:rsidR="00664DE7">
      <w:instrText>PAGE   \* MERGEFORMAT</w:instrText>
    </w:r>
    <w:r w:rsidR="00664DE7">
      <w:fldChar w:fldCharType="separate"/>
    </w:r>
    <w:r w:rsidR="00BC1ED4">
      <w:rPr>
        <w:noProof/>
      </w:rPr>
      <w:t>18</w:t>
    </w:r>
    <w:r w:rsidR="00664DE7">
      <w:rPr>
        <w:noProof/>
      </w:rP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C46" w:rsidRDefault="008F2C46" w:rsidP="0008526A">
      <w:pPr>
        <w:spacing w:after="0" w:line="240" w:lineRule="auto"/>
      </w:pPr>
      <w:r>
        <w:separator/>
      </w:r>
    </w:p>
  </w:footnote>
  <w:footnote w:type="continuationSeparator" w:id="0">
    <w:p w:rsidR="008F2C46" w:rsidRDefault="008F2C46" w:rsidP="00085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32C" w:rsidRPr="00FA333C" w:rsidRDefault="002F07FF" w:rsidP="008D25AB">
    <w:pPr>
      <w:pStyle w:val="Zhlav"/>
      <w:tabs>
        <w:tab w:val="clear" w:pos="9072"/>
        <w:tab w:val="right" w:pos="9356"/>
      </w:tabs>
      <w:ind w:left="-142"/>
      <w:rPr>
        <w:rFonts w:cs="Calibri"/>
        <w:b/>
      </w:rPr>
    </w:pPr>
    <w:r>
      <w:rPr>
        <w:noProof/>
      </w:rPr>
      <w:drawing>
        <wp:anchor distT="0" distB="0" distL="114300" distR="114300" simplePos="0" relativeHeight="251658240" behindDoc="1" locked="0" layoutInCell="1" allowOverlap="1">
          <wp:simplePos x="0" y="0"/>
          <wp:positionH relativeFrom="column">
            <wp:posOffset>2419350</wp:posOffset>
          </wp:positionH>
          <wp:positionV relativeFrom="paragraph">
            <wp:posOffset>27940</wp:posOffset>
          </wp:positionV>
          <wp:extent cx="914400" cy="276860"/>
          <wp:effectExtent l="0" t="0" r="0" b="0"/>
          <wp:wrapNone/>
          <wp:docPr id="2"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76860"/>
                  </a:xfrm>
                  <a:prstGeom prst="rect">
                    <a:avLst/>
                  </a:prstGeom>
                  <a:noFill/>
                </pic:spPr>
              </pic:pic>
            </a:graphicData>
          </a:graphic>
          <wp14:sizeRelH relativeFrom="page">
            <wp14:pctWidth>0</wp14:pctWidth>
          </wp14:sizeRelH>
          <wp14:sizeRelV relativeFrom="page">
            <wp14:pctHeight>0</wp14:pctHeight>
          </wp14:sizeRelV>
        </wp:anchor>
      </w:drawing>
    </w:r>
    <w:r w:rsidR="006F232C">
      <w:rPr>
        <w:rFonts w:cs="Calibri"/>
        <w:b/>
      </w:rPr>
      <w:tab/>
    </w:r>
    <w:r w:rsidR="006F232C">
      <w:rPr>
        <w:rFonts w:cs="Calibri"/>
        <w:b/>
      </w:rPr>
      <w:tab/>
      <w:t xml:space="preserve">        </w:t>
    </w:r>
    <w:r w:rsidR="006F232C" w:rsidRPr="00FA333C">
      <w:rPr>
        <w:rFonts w:cs="Calibri"/>
        <w:b/>
      </w:rPr>
      <w:t xml:space="preserve">PRACOVNÍ SKUPINA </w:t>
    </w:r>
    <w:r w:rsidR="006F232C">
      <w:rPr>
        <w:rFonts w:cs="Calibri"/>
        <w:b/>
      </w:rPr>
      <w:t>pro</w:t>
    </w:r>
  </w:p>
  <w:p w:rsidR="006F232C" w:rsidRPr="00FA333C" w:rsidRDefault="006F232C" w:rsidP="008D25AB">
    <w:pPr>
      <w:pStyle w:val="Zhlav"/>
      <w:ind w:left="-142"/>
      <w:rPr>
        <w:rFonts w:cs="Calibri"/>
        <w:b/>
      </w:rPr>
    </w:pPr>
    <w:r>
      <w:rPr>
        <w:rFonts w:cs="Calibri"/>
        <w:b/>
      </w:rPr>
      <w:t>Listopad</w:t>
    </w:r>
    <w:r w:rsidRPr="00FA333C">
      <w:rPr>
        <w:rFonts w:cs="Calibri"/>
        <w:b/>
      </w:rPr>
      <w:t xml:space="preserve"> 2022                   </w:t>
    </w:r>
    <w:r w:rsidRPr="00FA333C">
      <w:rPr>
        <w:rFonts w:cs="Calibri"/>
        <w:b/>
      </w:rPr>
      <w:tab/>
    </w:r>
    <w:r>
      <w:rPr>
        <w:rFonts w:cs="Calibri"/>
        <w:b/>
      </w:rPr>
      <w:t xml:space="preserve">                                                                                                      </w:t>
    </w:r>
    <w:r w:rsidRPr="00FA333C">
      <w:rPr>
        <w:rFonts w:cs="Calibri"/>
        <w:b/>
      </w:rPr>
      <w:t xml:space="preserve">DAŇOVÉ ODPOČTY </w:t>
    </w:r>
    <w:r>
      <w:rPr>
        <w:rFonts w:cs="Calibri"/>
        <w:b/>
      </w:rPr>
      <w:t xml:space="preserve">na </w:t>
    </w:r>
    <w:proofErr w:type="spellStart"/>
    <w:r w:rsidRPr="00FA333C">
      <w:rPr>
        <w:rFonts w:cs="Calibri"/>
        <w:b/>
      </w:rPr>
      <w:t>VaV</w:t>
    </w:r>
    <w:proofErr w:type="spellEnd"/>
  </w:p>
  <w:p w:rsidR="006F232C" w:rsidRPr="00FA333C" w:rsidRDefault="002F07FF" w:rsidP="0008526A">
    <w:pPr>
      <w:pStyle w:val="Zhlav"/>
      <w:ind w:left="-142"/>
      <w:rPr>
        <w:rFonts w:cs="Calibri"/>
        <w:b/>
      </w:rPr>
    </w:pPr>
    <w:r>
      <w:rPr>
        <w:noProof/>
      </w:rPr>
      <mc:AlternateContent>
        <mc:Choice Requires="wps">
          <w:drawing>
            <wp:anchor distT="0" distB="0" distL="114300" distR="114300" simplePos="0" relativeHeight="251657216" behindDoc="0" locked="0" layoutInCell="1" allowOverlap="1">
              <wp:simplePos x="0" y="0"/>
              <wp:positionH relativeFrom="column">
                <wp:posOffset>-102235</wp:posOffset>
              </wp:positionH>
              <wp:positionV relativeFrom="paragraph">
                <wp:posOffset>146685</wp:posOffset>
              </wp:positionV>
              <wp:extent cx="6246495" cy="12065"/>
              <wp:effectExtent l="12065" t="13335" r="18415" b="12700"/>
              <wp:wrapNone/>
              <wp:docPr id="1" name="Přímá spojnic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6495" cy="12065"/>
                      </a:xfrm>
                      <a:prstGeom prst="line">
                        <a:avLst/>
                      </a:prstGeom>
                      <a:noFill/>
                      <a:ln w="19050">
                        <a:solidFill>
                          <a:srgbClr val="4472C4"/>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8DBDA" id="Přímá spojnice 4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1.55pt" to="483.8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" strokecolor="#4472c4"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1F4C"/>
    <w:multiLevelType w:val="hybridMultilevel"/>
    <w:tmpl w:val="950C6150"/>
    <w:lvl w:ilvl="0" w:tplc="B808ADA6">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DB76680"/>
    <w:multiLevelType w:val="hybridMultilevel"/>
    <w:tmpl w:val="3240399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0DF46ED5"/>
    <w:multiLevelType w:val="hybridMultilevel"/>
    <w:tmpl w:val="448ABC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3745DF"/>
    <w:multiLevelType w:val="hybridMultilevel"/>
    <w:tmpl w:val="6DEC8EF8"/>
    <w:lvl w:ilvl="0" w:tplc="04050005">
      <w:start w:val="1"/>
      <w:numFmt w:val="bullet"/>
      <w:lvlText w:val=""/>
      <w:lvlJc w:val="left"/>
      <w:pPr>
        <w:ind w:left="1146" w:hanging="360"/>
      </w:pPr>
      <w:rPr>
        <w:rFonts w:ascii="Wingdings" w:hAnsi="Wingdings" w:hint="default"/>
      </w:rPr>
    </w:lvl>
    <w:lvl w:ilvl="1" w:tplc="04050003">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176069E1"/>
    <w:multiLevelType w:val="hybridMultilevel"/>
    <w:tmpl w:val="4910831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1DD5305D"/>
    <w:multiLevelType w:val="hybridMultilevel"/>
    <w:tmpl w:val="38BAB610"/>
    <w:lvl w:ilvl="0" w:tplc="0405000F">
      <w:start w:val="1"/>
      <w:numFmt w:val="decimal"/>
      <w:lvlText w:val="%1."/>
      <w:lvlJc w:val="left"/>
      <w:pPr>
        <w:ind w:left="643"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25E85FEA"/>
    <w:multiLevelType w:val="hybridMultilevel"/>
    <w:tmpl w:val="E118DE8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2A51219E"/>
    <w:multiLevelType w:val="hybridMultilevel"/>
    <w:tmpl w:val="A5CC2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211A21"/>
    <w:multiLevelType w:val="hybridMultilevel"/>
    <w:tmpl w:val="B0149184"/>
    <w:lvl w:ilvl="0" w:tplc="86E22396">
      <w:start w:val="1"/>
      <w:numFmt w:val="bullet"/>
      <w:lvlText w:val=""/>
      <w:lvlJc w:val="left"/>
      <w:pPr>
        <w:ind w:left="2138" w:hanging="360"/>
      </w:pPr>
      <w:rPr>
        <w:rFonts w:ascii="Wingdings" w:hAnsi="Wingdings" w:hint="default"/>
        <w:color w:val="5B9BD5"/>
      </w:rPr>
    </w:lvl>
    <w:lvl w:ilvl="1" w:tplc="86E22396">
      <w:start w:val="1"/>
      <w:numFmt w:val="bullet"/>
      <w:lvlText w:val=""/>
      <w:lvlJc w:val="left"/>
      <w:pPr>
        <w:ind w:left="2858" w:hanging="360"/>
      </w:pPr>
      <w:rPr>
        <w:rFonts w:ascii="Wingdings" w:hAnsi="Wingdings" w:hint="default"/>
        <w:color w:val="5B9BD5"/>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9" w15:restartNumberingAfterBreak="0">
    <w:nsid w:val="313C050A"/>
    <w:multiLevelType w:val="hybridMultilevel"/>
    <w:tmpl w:val="DD1ADA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C9735C"/>
    <w:multiLevelType w:val="hybridMultilevel"/>
    <w:tmpl w:val="6952F1CA"/>
    <w:lvl w:ilvl="0" w:tplc="93A214B8">
      <w:start w:val="1"/>
      <w:numFmt w:val="bullet"/>
      <w:lvlText w:val=""/>
      <w:lvlJc w:val="left"/>
      <w:pPr>
        <w:ind w:left="720" w:hanging="360"/>
      </w:pPr>
      <w:rPr>
        <w:rFonts w:ascii="Wingdings" w:hAnsi="Wingdings"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E82292"/>
    <w:multiLevelType w:val="hybridMultilevel"/>
    <w:tmpl w:val="D8A6E0CE"/>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7F1562A"/>
    <w:multiLevelType w:val="hybridMultilevel"/>
    <w:tmpl w:val="9940977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3D3D1586"/>
    <w:multiLevelType w:val="hybridMultilevel"/>
    <w:tmpl w:val="962CB24C"/>
    <w:lvl w:ilvl="0" w:tplc="0405000F">
      <w:start w:val="1"/>
      <w:numFmt w:val="decimal"/>
      <w:lvlText w:val="%1."/>
      <w:lvlJc w:val="left"/>
      <w:pPr>
        <w:ind w:left="643"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DF63725"/>
    <w:multiLevelType w:val="multilevel"/>
    <w:tmpl w:val="CDAE1FF4"/>
    <w:lvl w:ilvl="0">
      <w:start w:val="1"/>
      <w:numFmt w:val="decimal"/>
      <w:lvlText w:val="%1."/>
      <w:lvlJc w:val="left"/>
      <w:pPr>
        <w:tabs>
          <w:tab w:val="num" w:pos="720"/>
        </w:tabs>
        <w:ind w:left="720" w:hanging="360"/>
      </w:pPr>
      <w:rPr>
        <w:rFonts w:cs="Times New Roman"/>
        <w:b w:val="0"/>
        <w:color w:val="auto"/>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49672AF2"/>
    <w:multiLevelType w:val="hybridMultilevel"/>
    <w:tmpl w:val="9A4CF708"/>
    <w:lvl w:ilvl="0" w:tplc="B85E7066">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B026AB"/>
    <w:multiLevelType w:val="hybridMultilevel"/>
    <w:tmpl w:val="63B8E3EC"/>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50CD7ED2"/>
    <w:multiLevelType w:val="hybridMultilevel"/>
    <w:tmpl w:val="2CD425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2AC52EF"/>
    <w:multiLevelType w:val="hybridMultilevel"/>
    <w:tmpl w:val="BF0CB9D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E314A3"/>
    <w:multiLevelType w:val="hybridMultilevel"/>
    <w:tmpl w:val="4208AB34"/>
    <w:lvl w:ilvl="0" w:tplc="0405000F">
      <w:start w:val="1"/>
      <w:numFmt w:val="decimal"/>
      <w:lvlText w:val="%1."/>
      <w:lvlJc w:val="left"/>
      <w:pPr>
        <w:ind w:left="643" w:hanging="360"/>
      </w:pPr>
      <w:rPr>
        <w:rFonts w:cs="Times New Roman" w:hint="default"/>
        <w:b/>
      </w:rPr>
    </w:lvl>
    <w:lvl w:ilvl="1" w:tplc="04050005">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AEC55C3"/>
    <w:multiLevelType w:val="hybridMultilevel"/>
    <w:tmpl w:val="D1A2EE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1B3AC5"/>
    <w:multiLevelType w:val="hybridMultilevel"/>
    <w:tmpl w:val="3962BAE4"/>
    <w:lvl w:ilvl="0" w:tplc="38EE5A1E">
      <w:start w:val="1"/>
      <w:numFmt w:val="bullet"/>
      <w:lvlText w:val=""/>
      <w:lvlJc w:val="left"/>
      <w:pPr>
        <w:ind w:left="1146" w:hanging="360"/>
      </w:pPr>
      <w:rPr>
        <w:rFonts w:ascii="Symbol" w:hAnsi="Symbol" w:hint="default"/>
        <w:color w:val="C45911"/>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5CB31547"/>
    <w:multiLevelType w:val="hybridMultilevel"/>
    <w:tmpl w:val="74F2065A"/>
    <w:lvl w:ilvl="0" w:tplc="04050005">
      <w:start w:val="1"/>
      <w:numFmt w:val="bullet"/>
      <w:lvlText w:val=""/>
      <w:lvlJc w:val="left"/>
      <w:pPr>
        <w:ind w:left="720" w:hanging="360"/>
      </w:pPr>
      <w:rPr>
        <w:rFonts w:ascii="Wingdings" w:hAnsi="Wingdings" w:hint="default"/>
        <w:sz w:val="24"/>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D1DD6"/>
    <w:multiLevelType w:val="hybridMultilevel"/>
    <w:tmpl w:val="962CB24C"/>
    <w:lvl w:ilvl="0" w:tplc="0405000F">
      <w:start w:val="1"/>
      <w:numFmt w:val="decimal"/>
      <w:lvlText w:val="%1."/>
      <w:lvlJc w:val="left"/>
      <w:pPr>
        <w:ind w:left="643"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65857989"/>
    <w:multiLevelType w:val="hybridMultilevel"/>
    <w:tmpl w:val="B7888622"/>
    <w:lvl w:ilvl="0" w:tplc="2B8E356E">
      <w:start w:val="1"/>
      <w:numFmt w:val="bullet"/>
      <w:lvlText w:val=""/>
      <w:lvlJc w:val="left"/>
      <w:pPr>
        <w:ind w:left="321" w:hanging="360"/>
      </w:pPr>
      <w:rPr>
        <w:rFonts w:ascii="Wingdings" w:hAnsi="Wingdings" w:hint="default"/>
        <w:color w:val="auto"/>
      </w:rPr>
    </w:lvl>
    <w:lvl w:ilvl="1" w:tplc="04050003" w:tentative="1">
      <w:start w:val="1"/>
      <w:numFmt w:val="bullet"/>
      <w:lvlText w:val="o"/>
      <w:lvlJc w:val="left"/>
      <w:pPr>
        <w:ind w:left="1041" w:hanging="360"/>
      </w:pPr>
      <w:rPr>
        <w:rFonts w:ascii="Courier New" w:hAnsi="Courier New" w:hint="default"/>
      </w:rPr>
    </w:lvl>
    <w:lvl w:ilvl="2" w:tplc="04050005" w:tentative="1">
      <w:start w:val="1"/>
      <w:numFmt w:val="bullet"/>
      <w:lvlText w:val=""/>
      <w:lvlJc w:val="left"/>
      <w:pPr>
        <w:ind w:left="1761" w:hanging="360"/>
      </w:pPr>
      <w:rPr>
        <w:rFonts w:ascii="Wingdings" w:hAnsi="Wingdings" w:hint="default"/>
      </w:rPr>
    </w:lvl>
    <w:lvl w:ilvl="3" w:tplc="04050001" w:tentative="1">
      <w:start w:val="1"/>
      <w:numFmt w:val="bullet"/>
      <w:lvlText w:val=""/>
      <w:lvlJc w:val="left"/>
      <w:pPr>
        <w:ind w:left="2481" w:hanging="360"/>
      </w:pPr>
      <w:rPr>
        <w:rFonts w:ascii="Symbol" w:hAnsi="Symbol" w:hint="default"/>
      </w:rPr>
    </w:lvl>
    <w:lvl w:ilvl="4" w:tplc="04050003" w:tentative="1">
      <w:start w:val="1"/>
      <w:numFmt w:val="bullet"/>
      <w:lvlText w:val="o"/>
      <w:lvlJc w:val="left"/>
      <w:pPr>
        <w:ind w:left="3201" w:hanging="360"/>
      </w:pPr>
      <w:rPr>
        <w:rFonts w:ascii="Courier New" w:hAnsi="Courier New" w:hint="default"/>
      </w:rPr>
    </w:lvl>
    <w:lvl w:ilvl="5" w:tplc="04050005" w:tentative="1">
      <w:start w:val="1"/>
      <w:numFmt w:val="bullet"/>
      <w:lvlText w:val=""/>
      <w:lvlJc w:val="left"/>
      <w:pPr>
        <w:ind w:left="3921" w:hanging="360"/>
      </w:pPr>
      <w:rPr>
        <w:rFonts w:ascii="Wingdings" w:hAnsi="Wingdings" w:hint="default"/>
      </w:rPr>
    </w:lvl>
    <w:lvl w:ilvl="6" w:tplc="04050001" w:tentative="1">
      <w:start w:val="1"/>
      <w:numFmt w:val="bullet"/>
      <w:lvlText w:val=""/>
      <w:lvlJc w:val="left"/>
      <w:pPr>
        <w:ind w:left="4641" w:hanging="360"/>
      </w:pPr>
      <w:rPr>
        <w:rFonts w:ascii="Symbol" w:hAnsi="Symbol" w:hint="default"/>
      </w:rPr>
    </w:lvl>
    <w:lvl w:ilvl="7" w:tplc="04050003" w:tentative="1">
      <w:start w:val="1"/>
      <w:numFmt w:val="bullet"/>
      <w:lvlText w:val="o"/>
      <w:lvlJc w:val="left"/>
      <w:pPr>
        <w:ind w:left="5361" w:hanging="360"/>
      </w:pPr>
      <w:rPr>
        <w:rFonts w:ascii="Courier New" w:hAnsi="Courier New" w:hint="default"/>
      </w:rPr>
    </w:lvl>
    <w:lvl w:ilvl="8" w:tplc="04050005" w:tentative="1">
      <w:start w:val="1"/>
      <w:numFmt w:val="bullet"/>
      <w:lvlText w:val=""/>
      <w:lvlJc w:val="left"/>
      <w:pPr>
        <w:ind w:left="6081" w:hanging="360"/>
      </w:pPr>
      <w:rPr>
        <w:rFonts w:ascii="Wingdings" w:hAnsi="Wingdings" w:hint="default"/>
      </w:rPr>
    </w:lvl>
  </w:abstractNum>
  <w:abstractNum w:abstractNumId="25" w15:restartNumberingAfterBreak="0">
    <w:nsid w:val="66E352AD"/>
    <w:multiLevelType w:val="hybridMultilevel"/>
    <w:tmpl w:val="E118DE8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D4256E1"/>
    <w:multiLevelType w:val="hybridMultilevel"/>
    <w:tmpl w:val="7004B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DD00903"/>
    <w:multiLevelType w:val="hybridMultilevel"/>
    <w:tmpl w:val="B8F63F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0374E4E"/>
    <w:multiLevelType w:val="hybridMultilevel"/>
    <w:tmpl w:val="A7722A22"/>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15:restartNumberingAfterBreak="0">
    <w:nsid w:val="759E769C"/>
    <w:multiLevelType w:val="hybridMultilevel"/>
    <w:tmpl w:val="C9601A20"/>
    <w:lvl w:ilvl="0" w:tplc="9CB2C098">
      <w:start w:val="1"/>
      <w:numFmt w:val="bullet"/>
      <w:lvlText w:val=""/>
      <w:lvlJc w:val="left"/>
      <w:pPr>
        <w:ind w:left="1776" w:hanging="360"/>
      </w:pPr>
      <w:rPr>
        <w:rFonts w:ascii="Symbol" w:hAnsi="Symbol" w:hint="default"/>
        <w:color w:val="auto"/>
      </w:rPr>
    </w:lvl>
    <w:lvl w:ilvl="1" w:tplc="04050003" w:tentative="1">
      <w:start w:val="1"/>
      <w:numFmt w:val="bullet"/>
      <w:lvlText w:val="o"/>
      <w:lvlJc w:val="left"/>
      <w:pPr>
        <w:ind w:left="2496" w:hanging="360"/>
      </w:pPr>
      <w:rPr>
        <w:rFonts w:ascii="Courier New" w:hAnsi="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0" w15:restartNumberingAfterBreak="0">
    <w:nsid w:val="7A5738C9"/>
    <w:multiLevelType w:val="hybridMultilevel"/>
    <w:tmpl w:val="027CBA64"/>
    <w:lvl w:ilvl="0" w:tplc="0405000F">
      <w:start w:val="1"/>
      <w:numFmt w:val="decimal"/>
      <w:lvlText w:val="%1."/>
      <w:lvlJc w:val="left"/>
      <w:pPr>
        <w:ind w:left="643"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30"/>
  </w:num>
  <w:num w:numId="3">
    <w:abstractNumId w:val="24"/>
  </w:num>
  <w:num w:numId="4">
    <w:abstractNumId w:val="8"/>
  </w:num>
  <w:num w:numId="5">
    <w:abstractNumId w:val="20"/>
  </w:num>
  <w:num w:numId="6">
    <w:abstractNumId w:val="11"/>
  </w:num>
  <w:num w:numId="7">
    <w:abstractNumId w:val="3"/>
  </w:num>
  <w:num w:numId="8">
    <w:abstractNumId w:val="2"/>
  </w:num>
  <w:num w:numId="9">
    <w:abstractNumId w:val="0"/>
  </w:num>
  <w:num w:numId="10">
    <w:abstractNumId w:val="25"/>
  </w:num>
  <w:num w:numId="11">
    <w:abstractNumId w:val="17"/>
  </w:num>
  <w:num w:numId="12">
    <w:abstractNumId w:val="28"/>
  </w:num>
  <w:num w:numId="13">
    <w:abstractNumId w:val="13"/>
  </w:num>
  <w:num w:numId="14">
    <w:abstractNumId w:val="22"/>
  </w:num>
  <w:num w:numId="15">
    <w:abstractNumId w:val="27"/>
  </w:num>
  <w:num w:numId="16">
    <w:abstractNumId w:val="23"/>
  </w:num>
  <w:num w:numId="17">
    <w:abstractNumId w:val="6"/>
  </w:num>
  <w:num w:numId="18">
    <w:abstractNumId w:val="4"/>
  </w:num>
  <w:num w:numId="19">
    <w:abstractNumId w:val="12"/>
  </w:num>
  <w:num w:numId="20">
    <w:abstractNumId w:val="7"/>
  </w:num>
  <w:num w:numId="21">
    <w:abstractNumId w:val="1"/>
  </w:num>
  <w:num w:numId="22">
    <w:abstractNumId w:val="21"/>
  </w:num>
  <w:num w:numId="23">
    <w:abstractNumId w:val="29"/>
  </w:num>
  <w:num w:numId="24">
    <w:abstractNumId w:val="14"/>
  </w:num>
  <w:num w:numId="25">
    <w:abstractNumId w:val="19"/>
  </w:num>
  <w:num w:numId="26">
    <w:abstractNumId w:val="9"/>
  </w:num>
  <w:num w:numId="27">
    <w:abstractNumId w:val="16"/>
  </w:num>
  <w:num w:numId="28">
    <w:abstractNumId w:val="15"/>
  </w:num>
  <w:num w:numId="29">
    <w:abstractNumId w:val="10"/>
  </w:num>
  <w:num w:numId="30">
    <w:abstractNumId w:val="26"/>
  </w:num>
  <w:num w:numId="31">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4AB"/>
    <w:rsid w:val="00000314"/>
    <w:rsid w:val="00006CC1"/>
    <w:rsid w:val="00007334"/>
    <w:rsid w:val="00013742"/>
    <w:rsid w:val="000161FC"/>
    <w:rsid w:val="00016A7F"/>
    <w:rsid w:val="00021E84"/>
    <w:rsid w:val="00022362"/>
    <w:rsid w:val="00022463"/>
    <w:rsid w:val="000230EE"/>
    <w:rsid w:val="0002536C"/>
    <w:rsid w:val="000304A5"/>
    <w:rsid w:val="0003157C"/>
    <w:rsid w:val="0003480C"/>
    <w:rsid w:val="00036B76"/>
    <w:rsid w:val="0003774B"/>
    <w:rsid w:val="00043C98"/>
    <w:rsid w:val="000461B6"/>
    <w:rsid w:val="00046F22"/>
    <w:rsid w:val="00047B2D"/>
    <w:rsid w:val="000500A7"/>
    <w:rsid w:val="000558FB"/>
    <w:rsid w:val="00057185"/>
    <w:rsid w:val="000612AD"/>
    <w:rsid w:val="00063E4D"/>
    <w:rsid w:val="00065178"/>
    <w:rsid w:val="00065CDD"/>
    <w:rsid w:val="00067095"/>
    <w:rsid w:val="00067559"/>
    <w:rsid w:val="00072E17"/>
    <w:rsid w:val="00077DBE"/>
    <w:rsid w:val="0008526A"/>
    <w:rsid w:val="00091571"/>
    <w:rsid w:val="0009288D"/>
    <w:rsid w:val="00093DD0"/>
    <w:rsid w:val="000A0D63"/>
    <w:rsid w:val="000A43BF"/>
    <w:rsid w:val="000A4C21"/>
    <w:rsid w:val="000A59DB"/>
    <w:rsid w:val="000A7A1A"/>
    <w:rsid w:val="000B0D68"/>
    <w:rsid w:val="000B0F5C"/>
    <w:rsid w:val="000B1591"/>
    <w:rsid w:val="000C14A4"/>
    <w:rsid w:val="000C1B42"/>
    <w:rsid w:val="000C4D9F"/>
    <w:rsid w:val="000C6C08"/>
    <w:rsid w:val="000D6B1F"/>
    <w:rsid w:val="000D7F02"/>
    <w:rsid w:val="000E3A50"/>
    <w:rsid w:val="000E502C"/>
    <w:rsid w:val="000E5361"/>
    <w:rsid w:val="000E76AE"/>
    <w:rsid w:val="000F2710"/>
    <w:rsid w:val="000F3FC7"/>
    <w:rsid w:val="000F6658"/>
    <w:rsid w:val="000F7803"/>
    <w:rsid w:val="000F79F3"/>
    <w:rsid w:val="000F7A76"/>
    <w:rsid w:val="001042EE"/>
    <w:rsid w:val="00106954"/>
    <w:rsid w:val="00106F56"/>
    <w:rsid w:val="00115A13"/>
    <w:rsid w:val="00117F9F"/>
    <w:rsid w:val="00122BF2"/>
    <w:rsid w:val="00122CA6"/>
    <w:rsid w:val="0013643F"/>
    <w:rsid w:val="00136606"/>
    <w:rsid w:val="00141066"/>
    <w:rsid w:val="00141239"/>
    <w:rsid w:val="00145127"/>
    <w:rsid w:val="0014550F"/>
    <w:rsid w:val="00145A87"/>
    <w:rsid w:val="00147D1B"/>
    <w:rsid w:val="00156C2E"/>
    <w:rsid w:val="001627E5"/>
    <w:rsid w:val="00164EE7"/>
    <w:rsid w:val="001711BB"/>
    <w:rsid w:val="00172367"/>
    <w:rsid w:val="00184DAA"/>
    <w:rsid w:val="001854F9"/>
    <w:rsid w:val="001857D6"/>
    <w:rsid w:val="0019526D"/>
    <w:rsid w:val="001A2039"/>
    <w:rsid w:val="001A4BBF"/>
    <w:rsid w:val="001A4E27"/>
    <w:rsid w:val="001A619D"/>
    <w:rsid w:val="001B00FE"/>
    <w:rsid w:val="001B74D5"/>
    <w:rsid w:val="001C306D"/>
    <w:rsid w:val="001C47EF"/>
    <w:rsid w:val="001C64C4"/>
    <w:rsid w:val="001D0A04"/>
    <w:rsid w:val="001D50E9"/>
    <w:rsid w:val="001E0C0D"/>
    <w:rsid w:val="001E2DA1"/>
    <w:rsid w:val="001F47F7"/>
    <w:rsid w:val="001F5156"/>
    <w:rsid w:val="00202C2B"/>
    <w:rsid w:val="00210512"/>
    <w:rsid w:val="002118B2"/>
    <w:rsid w:val="002138D1"/>
    <w:rsid w:val="00213EC8"/>
    <w:rsid w:val="002140E4"/>
    <w:rsid w:val="00215439"/>
    <w:rsid w:val="0022062A"/>
    <w:rsid w:val="0022274C"/>
    <w:rsid w:val="002243CB"/>
    <w:rsid w:val="00236267"/>
    <w:rsid w:val="002408FE"/>
    <w:rsid w:val="00241665"/>
    <w:rsid w:val="00242A64"/>
    <w:rsid w:val="00242C08"/>
    <w:rsid w:val="00244DD5"/>
    <w:rsid w:val="00256474"/>
    <w:rsid w:val="00260ADB"/>
    <w:rsid w:val="00260F1C"/>
    <w:rsid w:val="00263E9D"/>
    <w:rsid w:val="00265777"/>
    <w:rsid w:val="00265905"/>
    <w:rsid w:val="00265C90"/>
    <w:rsid w:val="00272388"/>
    <w:rsid w:val="002759F1"/>
    <w:rsid w:val="0028057C"/>
    <w:rsid w:val="00281788"/>
    <w:rsid w:val="002852AC"/>
    <w:rsid w:val="002856B1"/>
    <w:rsid w:val="0028664E"/>
    <w:rsid w:val="002903E2"/>
    <w:rsid w:val="00290BB3"/>
    <w:rsid w:val="00295C7B"/>
    <w:rsid w:val="002A07DB"/>
    <w:rsid w:val="002A2686"/>
    <w:rsid w:val="002A63E9"/>
    <w:rsid w:val="002B5453"/>
    <w:rsid w:val="002C0F21"/>
    <w:rsid w:val="002C3253"/>
    <w:rsid w:val="002C6F46"/>
    <w:rsid w:val="002C7729"/>
    <w:rsid w:val="002C796E"/>
    <w:rsid w:val="002D45C0"/>
    <w:rsid w:val="002D4F67"/>
    <w:rsid w:val="002E7059"/>
    <w:rsid w:val="002E7FBD"/>
    <w:rsid w:val="002F07FF"/>
    <w:rsid w:val="002F53F5"/>
    <w:rsid w:val="00302FF1"/>
    <w:rsid w:val="00303823"/>
    <w:rsid w:val="00307429"/>
    <w:rsid w:val="00311CDC"/>
    <w:rsid w:val="00313EE1"/>
    <w:rsid w:val="0031455B"/>
    <w:rsid w:val="00314D99"/>
    <w:rsid w:val="00321ABF"/>
    <w:rsid w:val="003348FA"/>
    <w:rsid w:val="0033762C"/>
    <w:rsid w:val="0034242B"/>
    <w:rsid w:val="003424C4"/>
    <w:rsid w:val="0035070C"/>
    <w:rsid w:val="00352402"/>
    <w:rsid w:val="003537D2"/>
    <w:rsid w:val="003563EA"/>
    <w:rsid w:val="003564AE"/>
    <w:rsid w:val="00362121"/>
    <w:rsid w:val="00362D5C"/>
    <w:rsid w:val="0037543F"/>
    <w:rsid w:val="003802BE"/>
    <w:rsid w:val="003818E5"/>
    <w:rsid w:val="00383532"/>
    <w:rsid w:val="00384A5D"/>
    <w:rsid w:val="00384FA0"/>
    <w:rsid w:val="0038599D"/>
    <w:rsid w:val="00392276"/>
    <w:rsid w:val="0039470D"/>
    <w:rsid w:val="0039578A"/>
    <w:rsid w:val="003975E6"/>
    <w:rsid w:val="003A1979"/>
    <w:rsid w:val="003A427D"/>
    <w:rsid w:val="003A6A3E"/>
    <w:rsid w:val="003C2C4B"/>
    <w:rsid w:val="003C47ED"/>
    <w:rsid w:val="003C79B2"/>
    <w:rsid w:val="003D0813"/>
    <w:rsid w:val="003E16B6"/>
    <w:rsid w:val="003E2235"/>
    <w:rsid w:val="003E2760"/>
    <w:rsid w:val="003E3CDF"/>
    <w:rsid w:val="003E51BF"/>
    <w:rsid w:val="003F1FA3"/>
    <w:rsid w:val="003F4571"/>
    <w:rsid w:val="003F50BA"/>
    <w:rsid w:val="00401FDF"/>
    <w:rsid w:val="004153F4"/>
    <w:rsid w:val="00421574"/>
    <w:rsid w:val="00433DB7"/>
    <w:rsid w:val="004412FE"/>
    <w:rsid w:val="00445E6A"/>
    <w:rsid w:val="004479F0"/>
    <w:rsid w:val="004503A2"/>
    <w:rsid w:val="0045140A"/>
    <w:rsid w:val="00451B24"/>
    <w:rsid w:val="00452585"/>
    <w:rsid w:val="00453ED3"/>
    <w:rsid w:val="00454FA7"/>
    <w:rsid w:val="004567CB"/>
    <w:rsid w:val="00461BC3"/>
    <w:rsid w:val="004634F7"/>
    <w:rsid w:val="00472575"/>
    <w:rsid w:val="00472EE0"/>
    <w:rsid w:val="00474B04"/>
    <w:rsid w:val="00475BDA"/>
    <w:rsid w:val="00476024"/>
    <w:rsid w:val="00480BD5"/>
    <w:rsid w:val="004836FF"/>
    <w:rsid w:val="00484C6C"/>
    <w:rsid w:val="00495720"/>
    <w:rsid w:val="004B1F51"/>
    <w:rsid w:val="004B57DD"/>
    <w:rsid w:val="004B6B4F"/>
    <w:rsid w:val="004B7528"/>
    <w:rsid w:val="004D094F"/>
    <w:rsid w:val="004E1015"/>
    <w:rsid w:val="004E1A3D"/>
    <w:rsid w:val="004F0317"/>
    <w:rsid w:val="004F70F7"/>
    <w:rsid w:val="00503863"/>
    <w:rsid w:val="00504512"/>
    <w:rsid w:val="0051237A"/>
    <w:rsid w:val="00512700"/>
    <w:rsid w:val="0051298D"/>
    <w:rsid w:val="00512E12"/>
    <w:rsid w:val="00512F91"/>
    <w:rsid w:val="00513B78"/>
    <w:rsid w:val="005157DD"/>
    <w:rsid w:val="00523EE7"/>
    <w:rsid w:val="00524265"/>
    <w:rsid w:val="00526623"/>
    <w:rsid w:val="00527273"/>
    <w:rsid w:val="00527EF6"/>
    <w:rsid w:val="00532400"/>
    <w:rsid w:val="005379DA"/>
    <w:rsid w:val="00543515"/>
    <w:rsid w:val="005506B7"/>
    <w:rsid w:val="00553C06"/>
    <w:rsid w:val="00556A50"/>
    <w:rsid w:val="005576E4"/>
    <w:rsid w:val="005609F5"/>
    <w:rsid w:val="005639DE"/>
    <w:rsid w:val="00564696"/>
    <w:rsid w:val="00564B91"/>
    <w:rsid w:val="005660B9"/>
    <w:rsid w:val="005667C1"/>
    <w:rsid w:val="00574F58"/>
    <w:rsid w:val="00575949"/>
    <w:rsid w:val="00576491"/>
    <w:rsid w:val="005764A9"/>
    <w:rsid w:val="005821CD"/>
    <w:rsid w:val="005823FF"/>
    <w:rsid w:val="0058394E"/>
    <w:rsid w:val="005853CC"/>
    <w:rsid w:val="0059356F"/>
    <w:rsid w:val="005970F7"/>
    <w:rsid w:val="005A0087"/>
    <w:rsid w:val="005A0EAC"/>
    <w:rsid w:val="005A158A"/>
    <w:rsid w:val="005A3A23"/>
    <w:rsid w:val="005B1258"/>
    <w:rsid w:val="005B40EA"/>
    <w:rsid w:val="005B46FE"/>
    <w:rsid w:val="005B4F4E"/>
    <w:rsid w:val="005B78E0"/>
    <w:rsid w:val="005C00A3"/>
    <w:rsid w:val="005C4193"/>
    <w:rsid w:val="005C4815"/>
    <w:rsid w:val="005C55A3"/>
    <w:rsid w:val="005C6026"/>
    <w:rsid w:val="005C612D"/>
    <w:rsid w:val="005C7185"/>
    <w:rsid w:val="005E48A4"/>
    <w:rsid w:val="005E5CD2"/>
    <w:rsid w:val="005F2A0B"/>
    <w:rsid w:val="005F2B77"/>
    <w:rsid w:val="006031FC"/>
    <w:rsid w:val="00604673"/>
    <w:rsid w:val="006112AD"/>
    <w:rsid w:val="00612A81"/>
    <w:rsid w:val="0061764F"/>
    <w:rsid w:val="00622994"/>
    <w:rsid w:val="00626CF2"/>
    <w:rsid w:val="00631E3F"/>
    <w:rsid w:val="00636EB6"/>
    <w:rsid w:val="006407E9"/>
    <w:rsid w:val="00657314"/>
    <w:rsid w:val="006605AB"/>
    <w:rsid w:val="0066063B"/>
    <w:rsid w:val="006614D9"/>
    <w:rsid w:val="00664DE7"/>
    <w:rsid w:val="00664EBA"/>
    <w:rsid w:val="006658D7"/>
    <w:rsid w:val="006672AE"/>
    <w:rsid w:val="00671B31"/>
    <w:rsid w:val="00674FAB"/>
    <w:rsid w:val="006769C5"/>
    <w:rsid w:val="00676BED"/>
    <w:rsid w:val="00677ABA"/>
    <w:rsid w:val="00692FD0"/>
    <w:rsid w:val="00696EFF"/>
    <w:rsid w:val="006A5B14"/>
    <w:rsid w:val="006A7760"/>
    <w:rsid w:val="006B0515"/>
    <w:rsid w:val="006B0B17"/>
    <w:rsid w:val="006B6AF0"/>
    <w:rsid w:val="006B7D96"/>
    <w:rsid w:val="006C0109"/>
    <w:rsid w:val="006C073F"/>
    <w:rsid w:val="006C2964"/>
    <w:rsid w:val="006C3CCD"/>
    <w:rsid w:val="006C79C5"/>
    <w:rsid w:val="006D0861"/>
    <w:rsid w:val="006D1066"/>
    <w:rsid w:val="006E2292"/>
    <w:rsid w:val="006E26F0"/>
    <w:rsid w:val="006F0F2E"/>
    <w:rsid w:val="006F232C"/>
    <w:rsid w:val="006F416F"/>
    <w:rsid w:val="006F6656"/>
    <w:rsid w:val="006F6FD6"/>
    <w:rsid w:val="006F7E4C"/>
    <w:rsid w:val="00701B1C"/>
    <w:rsid w:val="00704665"/>
    <w:rsid w:val="00706001"/>
    <w:rsid w:val="00713327"/>
    <w:rsid w:val="00717C33"/>
    <w:rsid w:val="00720B22"/>
    <w:rsid w:val="007219A4"/>
    <w:rsid w:val="00725D10"/>
    <w:rsid w:val="007303B0"/>
    <w:rsid w:val="007319E1"/>
    <w:rsid w:val="007322D5"/>
    <w:rsid w:val="00734D0C"/>
    <w:rsid w:val="00737675"/>
    <w:rsid w:val="00737D72"/>
    <w:rsid w:val="00741C89"/>
    <w:rsid w:val="007421FF"/>
    <w:rsid w:val="00742328"/>
    <w:rsid w:val="0075019E"/>
    <w:rsid w:val="00750DB1"/>
    <w:rsid w:val="00753BAD"/>
    <w:rsid w:val="007550FC"/>
    <w:rsid w:val="007604E1"/>
    <w:rsid w:val="00766379"/>
    <w:rsid w:val="00772A12"/>
    <w:rsid w:val="0077502F"/>
    <w:rsid w:val="0078013D"/>
    <w:rsid w:val="00785962"/>
    <w:rsid w:val="00786572"/>
    <w:rsid w:val="00786FD9"/>
    <w:rsid w:val="00790E42"/>
    <w:rsid w:val="00793DFA"/>
    <w:rsid w:val="007971F0"/>
    <w:rsid w:val="007A0C93"/>
    <w:rsid w:val="007A4941"/>
    <w:rsid w:val="007C3B34"/>
    <w:rsid w:val="007C7AD9"/>
    <w:rsid w:val="007D461C"/>
    <w:rsid w:val="007D526A"/>
    <w:rsid w:val="007E08CE"/>
    <w:rsid w:val="007E3E2B"/>
    <w:rsid w:val="007E4AC9"/>
    <w:rsid w:val="007F035E"/>
    <w:rsid w:val="007F0BA4"/>
    <w:rsid w:val="007F18A1"/>
    <w:rsid w:val="007F20FB"/>
    <w:rsid w:val="007F2CBE"/>
    <w:rsid w:val="0080142B"/>
    <w:rsid w:val="00802DDD"/>
    <w:rsid w:val="008158DB"/>
    <w:rsid w:val="00823A3D"/>
    <w:rsid w:val="0083244A"/>
    <w:rsid w:val="00832DF5"/>
    <w:rsid w:val="00841203"/>
    <w:rsid w:val="00847427"/>
    <w:rsid w:val="00850252"/>
    <w:rsid w:val="00853AC9"/>
    <w:rsid w:val="0085710D"/>
    <w:rsid w:val="0086047E"/>
    <w:rsid w:val="00860AAF"/>
    <w:rsid w:val="00862534"/>
    <w:rsid w:val="00864884"/>
    <w:rsid w:val="00873B20"/>
    <w:rsid w:val="00873E49"/>
    <w:rsid w:val="0087627E"/>
    <w:rsid w:val="00877BC1"/>
    <w:rsid w:val="00877CB2"/>
    <w:rsid w:val="00881FD7"/>
    <w:rsid w:val="008845A9"/>
    <w:rsid w:val="0089055A"/>
    <w:rsid w:val="0089223E"/>
    <w:rsid w:val="00893D5E"/>
    <w:rsid w:val="00897D2D"/>
    <w:rsid w:val="008A0F2F"/>
    <w:rsid w:val="008A1E43"/>
    <w:rsid w:val="008A2B53"/>
    <w:rsid w:val="008A3286"/>
    <w:rsid w:val="008B6E12"/>
    <w:rsid w:val="008B6EAF"/>
    <w:rsid w:val="008C3025"/>
    <w:rsid w:val="008C354B"/>
    <w:rsid w:val="008C7D25"/>
    <w:rsid w:val="008D1041"/>
    <w:rsid w:val="008D18F1"/>
    <w:rsid w:val="008D1C0C"/>
    <w:rsid w:val="008D25AB"/>
    <w:rsid w:val="008D2BE4"/>
    <w:rsid w:val="008D34D1"/>
    <w:rsid w:val="008D3634"/>
    <w:rsid w:val="008D3B5C"/>
    <w:rsid w:val="008E0D6B"/>
    <w:rsid w:val="008E237A"/>
    <w:rsid w:val="008E7A59"/>
    <w:rsid w:val="008F2C46"/>
    <w:rsid w:val="008F3804"/>
    <w:rsid w:val="008F7579"/>
    <w:rsid w:val="0090028F"/>
    <w:rsid w:val="00902662"/>
    <w:rsid w:val="00904124"/>
    <w:rsid w:val="00905B95"/>
    <w:rsid w:val="009105C4"/>
    <w:rsid w:val="00912C2B"/>
    <w:rsid w:val="00915254"/>
    <w:rsid w:val="00916B1A"/>
    <w:rsid w:val="00923572"/>
    <w:rsid w:val="0092358B"/>
    <w:rsid w:val="00924FB4"/>
    <w:rsid w:val="00932758"/>
    <w:rsid w:val="00936A13"/>
    <w:rsid w:val="009372FD"/>
    <w:rsid w:val="009428AD"/>
    <w:rsid w:val="009467F5"/>
    <w:rsid w:val="00947E20"/>
    <w:rsid w:val="009563D9"/>
    <w:rsid w:val="00956EAE"/>
    <w:rsid w:val="009573A1"/>
    <w:rsid w:val="00963423"/>
    <w:rsid w:val="00964F56"/>
    <w:rsid w:val="00967C59"/>
    <w:rsid w:val="009759D0"/>
    <w:rsid w:val="009767BA"/>
    <w:rsid w:val="009905E6"/>
    <w:rsid w:val="009970AA"/>
    <w:rsid w:val="009A1199"/>
    <w:rsid w:val="009A4B0F"/>
    <w:rsid w:val="009A6282"/>
    <w:rsid w:val="009B16CB"/>
    <w:rsid w:val="009B335B"/>
    <w:rsid w:val="009B6731"/>
    <w:rsid w:val="009C030E"/>
    <w:rsid w:val="009C5EC4"/>
    <w:rsid w:val="009C6D4A"/>
    <w:rsid w:val="009D07E5"/>
    <w:rsid w:val="009E121A"/>
    <w:rsid w:val="009E237D"/>
    <w:rsid w:val="009E255D"/>
    <w:rsid w:val="009E6C52"/>
    <w:rsid w:val="009E7B48"/>
    <w:rsid w:val="009F11AA"/>
    <w:rsid w:val="009F63E9"/>
    <w:rsid w:val="009F7653"/>
    <w:rsid w:val="00A02F56"/>
    <w:rsid w:val="00A06ED4"/>
    <w:rsid w:val="00A073AB"/>
    <w:rsid w:val="00A1360C"/>
    <w:rsid w:val="00A21A32"/>
    <w:rsid w:val="00A2698E"/>
    <w:rsid w:val="00A275E1"/>
    <w:rsid w:val="00A27DE3"/>
    <w:rsid w:val="00A349E7"/>
    <w:rsid w:val="00A37673"/>
    <w:rsid w:val="00A41388"/>
    <w:rsid w:val="00A43EEE"/>
    <w:rsid w:val="00A44BF3"/>
    <w:rsid w:val="00A52BC4"/>
    <w:rsid w:val="00A52D0B"/>
    <w:rsid w:val="00A5436B"/>
    <w:rsid w:val="00A57CF6"/>
    <w:rsid w:val="00A57F7F"/>
    <w:rsid w:val="00A63833"/>
    <w:rsid w:val="00A66B59"/>
    <w:rsid w:val="00A70596"/>
    <w:rsid w:val="00A71CA2"/>
    <w:rsid w:val="00A750F2"/>
    <w:rsid w:val="00A81DA6"/>
    <w:rsid w:val="00A82160"/>
    <w:rsid w:val="00A82818"/>
    <w:rsid w:val="00A83137"/>
    <w:rsid w:val="00A86CFB"/>
    <w:rsid w:val="00A87792"/>
    <w:rsid w:val="00A9611B"/>
    <w:rsid w:val="00A96483"/>
    <w:rsid w:val="00A96972"/>
    <w:rsid w:val="00AA06E2"/>
    <w:rsid w:val="00AA0CDC"/>
    <w:rsid w:val="00AA725B"/>
    <w:rsid w:val="00AB047A"/>
    <w:rsid w:val="00AB3BD1"/>
    <w:rsid w:val="00AB651A"/>
    <w:rsid w:val="00AB762E"/>
    <w:rsid w:val="00AC0DA2"/>
    <w:rsid w:val="00AC341A"/>
    <w:rsid w:val="00AC5E7A"/>
    <w:rsid w:val="00AD09A1"/>
    <w:rsid w:val="00AE16EB"/>
    <w:rsid w:val="00AE4E34"/>
    <w:rsid w:val="00AF0B36"/>
    <w:rsid w:val="00AF2250"/>
    <w:rsid w:val="00AF2943"/>
    <w:rsid w:val="00AF2FEF"/>
    <w:rsid w:val="00AF6A1A"/>
    <w:rsid w:val="00B012FD"/>
    <w:rsid w:val="00B03560"/>
    <w:rsid w:val="00B07654"/>
    <w:rsid w:val="00B11344"/>
    <w:rsid w:val="00B14FC4"/>
    <w:rsid w:val="00B17671"/>
    <w:rsid w:val="00B231D9"/>
    <w:rsid w:val="00B23C33"/>
    <w:rsid w:val="00B30640"/>
    <w:rsid w:val="00B31873"/>
    <w:rsid w:val="00B36100"/>
    <w:rsid w:val="00B36359"/>
    <w:rsid w:val="00B36FC4"/>
    <w:rsid w:val="00B43E52"/>
    <w:rsid w:val="00B51306"/>
    <w:rsid w:val="00B51BF9"/>
    <w:rsid w:val="00B5263E"/>
    <w:rsid w:val="00B52878"/>
    <w:rsid w:val="00B53A5B"/>
    <w:rsid w:val="00B54FE9"/>
    <w:rsid w:val="00B552F1"/>
    <w:rsid w:val="00B6040D"/>
    <w:rsid w:val="00B613DA"/>
    <w:rsid w:val="00B64F3E"/>
    <w:rsid w:val="00B65F30"/>
    <w:rsid w:val="00B66AF0"/>
    <w:rsid w:val="00B67343"/>
    <w:rsid w:val="00B72A55"/>
    <w:rsid w:val="00B73B24"/>
    <w:rsid w:val="00B74DE7"/>
    <w:rsid w:val="00B760BF"/>
    <w:rsid w:val="00B873B9"/>
    <w:rsid w:val="00B91BB4"/>
    <w:rsid w:val="00B934B8"/>
    <w:rsid w:val="00B94414"/>
    <w:rsid w:val="00BA0CE7"/>
    <w:rsid w:val="00BA263A"/>
    <w:rsid w:val="00BA76F8"/>
    <w:rsid w:val="00BA7C48"/>
    <w:rsid w:val="00BB1A35"/>
    <w:rsid w:val="00BB1AF6"/>
    <w:rsid w:val="00BB3881"/>
    <w:rsid w:val="00BC1ED4"/>
    <w:rsid w:val="00BC2EA0"/>
    <w:rsid w:val="00BC73DF"/>
    <w:rsid w:val="00BD3FE9"/>
    <w:rsid w:val="00BD4E19"/>
    <w:rsid w:val="00BD7C4E"/>
    <w:rsid w:val="00BE160B"/>
    <w:rsid w:val="00BE4A02"/>
    <w:rsid w:val="00BE4CA9"/>
    <w:rsid w:val="00BE60CD"/>
    <w:rsid w:val="00BF2AA1"/>
    <w:rsid w:val="00BF4444"/>
    <w:rsid w:val="00BF4812"/>
    <w:rsid w:val="00BF4AAB"/>
    <w:rsid w:val="00BF55B3"/>
    <w:rsid w:val="00C0435C"/>
    <w:rsid w:val="00C04B86"/>
    <w:rsid w:val="00C16E26"/>
    <w:rsid w:val="00C17220"/>
    <w:rsid w:val="00C22554"/>
    <w:rsid w:val="00C23D3C"/>
    <w:rsid w:val="00C23FCB"/>
    <w:rsid w:val="00C271DD"/>
    <w:rsid w:val="00C321B7"/>
    <w:rsid w:val="00C32826"/>
    <w:rsid w:val="00C328F4"/>
    <w:rsid w:val="00C41DB7"/>
    <w:rsid w:val="00C4299D"/>
    <w:rsid w:val="00C44A24"/>
    <w:rsid w:val="00C51349"/>
    <w:rsid w:val="00C53026"/>
    <w:rsid w:val="00C5639F"/>
    <w:rsid w:val="00C56E76"/>
    <w:rsid w:val="00C57104"/>
    <w:rsid w:val="00C60AB5"/>
    <w:rsid w:val="00C74511"/>
    <w:rsid w:val="00C76C72"/>
    <w:rsid w:val="00C8053E"/>
    <w:rsid w:val="00C82FDF"/>
    <w:rsid w:val="00C84C55"/>
    <w:rsid w:val="00C85AC9"/>
    <w:rsid w:val="00C90634"/>
    <w:rsid w:val="00C91963"/>
    <w:rsid w:val="00C923E9"/>
    <w:rsid w:val="00C947FE"/>
    <w:rsid w:val="00C95B4B"/>
    <w:rsid w:val="00CA4976"/>
    <w:rsid w:val="00CB543A"/>
    <w:rsid w:val="00CB5B31"/>
    <w:rsid w:val="00CC49C7"/>
    <w:rsid w:val="00CD016C"/>
    <w:rsid w:val="00CD2F97"/>
    <w:rsid w:val="00CD682E"/>
    <w:rsid w:val="00CE2551"/>
    <w:rsid w:val="00CE4658"/>
    <w:rsid w:val="00CE49F0"/>
    <w:rsid w:val="00CE6706"/>
    <w:rsid w:val="00CE6B27"/>
    <w:rsid w:val="00CF115E"/>
    <w:rsid w:val="00CF1920"/>
    <w:rsid w:val="00CF3D82"/>
    <w:rsid w:val="00CF64AB"/>
    <w:rsid w:val="00CF6BA0"/>
    <w:rsid w:val="00D03A8B"/>
    <w:rsid w:val="00D04150"/>
    <w:rsid w:val="00D044BE"/>
    <w:rsid w:val="00D0725E"/>
    <w:rsid w:val="00D16963"/>
    <w:rsid w:val="00D234AC"/>
    <w:rsid w:val="00D337DE"/>
    <w:rsid w:val="00D33E90"/>
    <w:rsid w:val="00D346D8"/>
    <w:rsid w:val="00D35F08"/>
    <w:rsid w:val="00D407E7"/>
    <w:rsid w:val="00D458CF"/>
    <w:rsid w:val="00D47DD7"/>
    <w:rsid w:val="00D50B3C"/>
    <w:rsid w:val="00D529A8"/>
    <w:rsid w:val="00D54254"/>
    <w:rsid w:val="00D54A23"/>
    <w:rsid w:val="00D5521A"/>
    <w:rsid w:val="00D56FC0"/>
    <w:rsid w:val="00D62111"/>
    <w:rsid w:val="00D62408"/>
    <w:rsid w:val="00D6300B"/>
    <w:rsid w:val="00D647E8"/>
    <w:rsid w:val="00D73579"/>
    <w:rsid w:val="00D740AD"/>
    <w:rsid w:val="00D759B5"/>
    <w:rsid w:val="00D76E9C"/>
    <w:rsid w:val="00D93CD8"/>
    <w:rsid w:val="00D9679E"/>
    <w:rsid w:val="00D97DFD"/>
    <w:rsid w:val="00DA1048"/>
    <w:rsid w:val="00DA171C"/>
    <w:rsid w:val="00DA19AA"/>
    <w:rsid w:val="00DA2BE1"/>
    <w:rsid w:val="00DA5A0F"/>
    <w:rsid w:val="00DA5EED"/>
    <w:rsid w:val="00DB173B"/>
    <w:rsid w:val="00DC32C2"/>
    <w:rsid w:val="00DC3380"/>
    <w:rsid w:val="00DE0AA1"/>
    <w:rsid w:val="00DE151F"/>
    <w:rsid w:val="00DF0F18"/>
    <w:rsid w:val="00DF123E"/>
    <w:rsid w:val="00DF23AF"/>
    <w:rsid w:val="00DF6513"/>
    <w:rsid w:val="00E0228B"/>
    <w:rsid w:val="00E02618"/>
    <w:rsid w:val="00E078DA"/>
    <w:rsid w:val="00E102BE"/>
    <w:rsid w:val="00E140F8"/>
    <w:rsid w:val="00E23F68"/>
    <w:rsid w:val="00E257E9"/>
    <w:rsid w:val="00E35F8D"/>
    <w:rsid w:val="00E37A11"/>
    <w:rsid w:val="00E4069B"/>
    <w:rsid w:val="00E41299"/>
    <w:rsid w:val="00E414AA"/>
    <w:rsid w:val="00E522B8"/>
    <w:rsid w:val="00E60FB8"/>
    <w:rsid w:val="00E6309A"/>
    <w:rsid w:val="00E66605"/>
    <w:rsid w:val="00E675DB"/>
    <w:rsid w:val="00E70070"/>
    <w:rsid w:val="00E707CE"/>
    <w:rsid w:val="00E71384"/>
    <w:rsid w:val="00E73CAE"/>
    <w:rsid w:val="00E74D42"/>
    <w:rsid w:val="00E84C93"/>
    <w:rsid w:val="00E87401"/>
    <w:rsid w:val="00E87EB7"/>
    <w:rsid w:val="00E87ECF"/>
    <w:rsid w:val="00E91945"/>
    <w:rsid w:val="00E928F7"/>
    <w:rsid w:val="00E942A0"/>
    <w:rsid w:val="00E94A95"/>
    <w:rsid w:val="00E94B62"/>
    <w:rsid w:val="00E954BB"/>
    <w:rsid w:val="00E96228"/>
    <w:rsid w:val="00EA4EA7"/>
    <w:rsid w:val="00EA4F27"/>
    <w:rsid w:val="00EA65D2"/>
    <w:rsid w:val="00EA7376"/>
    <w:rsid w:val="00EB027F"/>
    <w:rsid w:val="00EC0943"/>
    <w:rsid w:val="00EC0D52"/>
    <w:rsid w:val="00EC7CF0"/>
    <w:rsid w:val="00ED484D"/>
    <w:rsid w:val="00ED59DC"/>
    <w:rsid w:val="00ED7B23"/>
    <w:rsid w:val="00EF0AEE"/>
    <w:rsid w:val="00EF1836"/>
    <w:rsid w:val="00F0115A"/>
    <w:rsid w:val="00F05716"/>
    <w:rsid w:val="00F1276B"/>
    <w:rsid w:val="00F20155"/>
    <w:rsid w:val="00F22EB1"/>
    <w:rsid w:val="00F22F6B"/>
    <w:rsid w:val="00F23A56"/>
    <w:rsid w:val="00F258E2"/>
    <w:rsid w:val="00F302BB"/>
    <w:rsid w:val="00F30972"/>
    <w:rsid w:val="00F3364A"/>
    <w:rsid w:val="00F338DA"/>
    <w:rsid w:val="00F33914"/>
    <w:rsid w:val="00F34F1D"/>
    <w:rsid w:val="00F35EE9"/>
    <w:rsid w:val="00F3636D"/>
    <w:rsid w:val="00F42EE5"/>
    <w:rsid w:val="00F47E40"/>
    <w:rsid w:val="00F504CB"/>
    <w:rsid w:val="00F53121"/>
    <w:rsid w:val="00F53ACA"/>
    <w:rsid w:val="00F54B14"/>
    <w:rsid w:val="00F62B31"/>
    <w:rsid w:val="00F62EB4"/>
    <w:rsid w:val="00F656EB"/>
    <w:rsid w:val="00F82979"/>
    <w:rsid w:val="00F85FF4"/>
    <w:rsid w:val="00F9033A"/>
    <w:rsid w:val="00F94DBE"/>
    <w:rsid w:val="00F97313"/>
    <w:rsid w:val="00FA333C"/>
    <w:rsid w:val="00FA4735"/>
    <w:rsid w:val="00FA4A4A"/>
    <w:rsid w:val="00FA6BB1"/>
    <w:rsid w:val="00FB1243"/>
    <w:rsid w:val="00FB6290"/>
    <w:rsid w:val="00FB6AD2"/>
    <w:rsid w:val="00FC40F1"/>
    <w:rsid w:val="00FC527B"/>
    <w:rsid w:val="00FC59D8"/>
    <w:rsid w:val="00FC603E"/>
    <w:rsid w:val="00FC6E68"/>
    <w:rsid w:val="00FD09AA"/>
    <w:rsid w:val="00FE0B0B"/>
    <w:rsid w:val="00FE0D97"/>
    <w:rsid w:val="00FE529E"/>
    <w:rsid w:val="00FF10F4"/>
    <w:rsid w:val="00FF4C7C"/>
    <w:rsid w:val="00FF61A4"/>
    <w:rsid w:val="00FF75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003E214B"/>
  <w15:docId w15:val="{BD2165A4-6026-47A5-8712-3C7035FFD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F7653"/>
    <w:pPr>
      <w:spacing w:after="160" w:line="259" w:lineRule="auto"/>
    </w:pPr>
    <w:rPr>
      <w:sz w:val="22"/>
      <w:szCs w:val="22"/>
    </w:rPr>
  </w:style>
  <w:style w:type="paragraph" w:styleId="Nadpis1">
    <w:name w:val="heading 1"/>
    <w:basedOn w:val="Normln"/>
    <w:next w:val="Normln"/>
    <w:link w:val="Nadpis1Char"/>
    <w:uiPriority w:val="99"/>
    <w:qFormat/>
    <w:rsid w:val="0008526A"/>
    <w:pPr>
      <w:keepNext/>
      <w:keepLines/>
      <w:spacing w:before="240" w:after="0"/>
      <w:outlineLvl w:val="0"/>
    </w:pPr>
    <w:rPr>
      <w:rFonts w:ascii="Calibri Light" w:hAnsi="Calibri Light"/>
      <w:color w:val="2E74B5"/>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08526A"/>
    <w:rPr>
      <w:rFonts w:ascii="Calibri Light" w:hAnsi="Calibri Light" w:cs="Times New Roman"/>
      <w:color w:val="2E74B5"/>
      <w:sz w:val="32"/>
      <w:szCs w:val="32"/>
    </w:rPr>
  </w:style>
  <w:style w:type="paragraph" w:styleId="Zhlav">
    <w:name w:val="header"/>
    <w:basedOn w:val="Normln"/>
    <w:link w:val="ZhlavChar"/>
    <w:uiPriority w:val="99"/>
    <w:rsid w:val="0008526A"/>
    <w:pPr>
      <w:tabs>
        <w:tab w:val="center" w:pos="4536"/>
        <w:tab w:val="right" w:pos="9072"/>
      </w:tabs>
      <w:spacing w:after="0" w:line="240" w:lineRule="auto"/>
    </w:pPr>
  </w:style>
  <w:style w:type="character" w:customStyle="1" w:styleId="ZhlavChar">
    <w:name w:val="Záhlaví Char"/>
    <w:link w:val="Zhlav"/>
    <w:uiPriority w:val="99"/>
    <w:locked/>
    <w:rsid w:val="0008526A"/>
    <w:rPr>
      <w:rFonts w:cs="Times New Roman"/>
    </w:rPr>
  </w:style>
  <w:style w:type="paragraph" w:styleId="Zpat">
    <w:name w:val="footer"/>
    <w:basedOn w:val="Normln"/>
    <w:link w:val="ZpatChar"/>
    <w:uiPriority w:val="99"/>
    <w:rsid w:val="0008526A"/>
    <w:pPr>
      <w:tabs>
        <w:tab w:val="center" w:pos="4536"/>
        <w:tab w:val="right" w:pos="9072"/>
      </w:tabs>
      <w:spacing w:after="0" w:line="240" w:lineRule="auto"/>
    </w:pPr>
  </w:style>
  <w:style w:type="character" w:customStyle="1" w:styleId="ZpatChar">
    <w:name w:val="Zápatí Char"/>
    <w:link w:val="Zpat"/>
    <w:uiPriority w:val="99"/>
    <w:locked/>
    <w:rsid w:val="0008526A"/>
    <w:rPr>
      <w:rFonts w:cs="Times New Roman"/>
    </w:rPr>
  </w:style>
  <w:style w:type="paragraph" w:styleId="Odstavecseseznamem">
    <w:name w:val="List Paragraph"/>
    <w:aliases w:val="Odstavec_muj,Nad,Odstavec cíl se seznamem,Odstavec se seznamem5,název výzvy,Název grafu,nad 1,Odstavec se seznamem1,List Paragraph1,Odstavec_muj1,Odstavec_muj2,Odstavec_muj3,Nad1,Odstavec_muj4,Nad2,List Paragraph2"/>
    <w:basedOn w:val="Normln"/>
    <w:link w:val="OdstavecseseznamemChar"/>
    <w:uiPriority w:val="99"/>
    <w:qFormat/>
    <w:rsid w:val="0008526A"/>
    <w:pPr>
      <w:ind w:left="720"/>
      <w:contextualSpacing/>
    </w:pPr>
  </w:style>
  <w:style w:type="paragraph" w:styleId="Textbubliny">
    <w:name w:val="Balloon Text"/>
    <w:basedOn w:val="Normln"/>
    <w:link w:val="TextbublinyChar"/>
    <w:uiPriority w:val="99"/>
    <w:semiHidden/>
    <w:rsid w:val="008A1E43"/>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locked/>
    <w:rsid w:val="008A1E43"/>
    <w:rPr>
      <w:rFonts w:ascii="Segoe UI" w:hAnsi="Segoe UI" w:cs="Segoe UI"/>
      <w:sz w:val="18"/>
      <w:szCs w:val="18"/>
    </w:rPr>
  </w:style>
  <w:style w:type="character" w:styleId="Zstupntext">
    <w:name w:val="Placeholder Text"/>
    <w:uiPriority w:val="99"/>
    <w:semiHidden/>
    <w:rsid w:val="006B7D96"/>
    <w:rPr>
      <w:rFonts w:cs="Times New Roman"/>
      <w:color w:val="808080"/>
    </w:rPr>
  </w:style>
  <w:style w:type="paragraph" w:customStyle="1" w:styleId="Default">
    <w:name w:val="Default"/>
    <w:uiPriority w:val="99"/>
    <w:rsid w:val="008A2B53"/>
    <w:pPr>
      <w:autoSpaceDE w:val="0"/>
      <w:autoSpaceDN w:val="0"/>
      <w:adjustRightInd w:val="0"/>
    </w:pPr>
    <w:rPr>
      <w:rFonts w:cs="Calibri"/>
      <w:color w:val="000000"/>
      <w:sz w:val="24"/>
      <w:szCs w:val="24"/>
    </w:rPr>
  </w:style>
  <w:style w:type="paragraph" w:styleId="Normlnweb">
    <w:name w:val="Normal (Web)"/>
    <w:basedOn w:val="Normln"/>
    <w:uiPriority w:val="99"/>
    <w:rsid w:val="0087627E"/>
    <w:pPr>
      <w:spacing w:before="100" w:beforeAutospacing="1" w:after="100" w:afterAutospacing="1" w:line="240" w:lineRule="auto"/>
    </w:pPr>
    <w:rPr>
      <w:rFonts w:ascii="Times New Roman" w:hAnsi="Times New Roman"/>
      <w:sz w:val="24"/>
      <w:szCs w:val="24"/>
    </w:rPr>
  </w:style>
  <w:style w:type="character" w:styleId="Siln">
    <w:name w:val="Strong"/>
    <w:uiPriority w:val="99"/>
    <w:qFormat/>
    <w:rsid w:val="0087627E"/>
    <w:rPr>
      <w:rFonts w:cs="Times New Roman"/>
      <w:b/>
      <w:bCs/>
    </w:rPr>
  </w:style>
  <w:style w:type="character" w:styleId="Hypertextovodkaz">
    <w:name w:val="Hyperlink"/>
    <w:uiPriority w:val="99"/>
    <w:rsid w:val="0087627E"/>
    <w:rPr>
      <w:rFonts w:cs="Times New Roman"/>
      <w:color w:val="0000FF"/>
      <w:u w:val="single"/>
    </w:rPr>
  </w:style>
  <w:style w:type="character" w:styleId="Sledovanodkaz">
    <w:name w:val="FollowedHyperlink"/>
    <w:uiPriority w:val="99"/>
    <w:semiHidden/>
    <w:rsid w:val="00CF3D82"/>
    <w:rPr>
      <w:rFonts w:cs="Times New Roman"/>
      <w:color w:val="954F72"/>
      <w:u w:val="single"/>
    </w:rPr>
  </w:style>
  <w:style w:type="character" w:styleId="Odkaznakoment">
    <w:name w:val="annotation reference"/>
    <w:uiPriority w:val="99"/>
    <w:semiHidden/>
    <w:rsid w:val="00575949"/>
    <w:rPr>
      <w:rFonts w:cs="Times New Roman"/>
      <w:sz w:val="16"/>
      <w:szCs w:val="16"/>
    </w:rPr>
  </w:style>
  <w:style w:type="paragraph" w:styleId="Textkomente">
    <w:name w:val="annotation text"/>
    <w:basedOn w:val="Normln"/>
    <w:link w:val="TextkomenteChar"/>
    <w:uiPriority w:val="99"/>
    <w:rsid w:val="00575949"/>
    <w:pPr>
      <w:spacing w:line="240" w:lineRule="auto"/>
    </w:pPr>
    <w:rPr>
      <w:sz w:val="20"/>
      <w:szCs w:val="20"/>
    </w:rPr>
  </w:style>
  <w:style w:type="character" w:customStyle="1" w:styleId="TextkomenteChar">
    <w:name w:val="Text komentáře Char"/>
    <w:link w:val="Textkomente"/>
    <w:uiPriority w:val="99"/>
    <w:locked/>
    <w:rsid w:val="00575949"/>
    <w:rPr>
      <w:rFonts w:cs="Times New Roman"/>
      <w:sz w:val="20"/>
      <w:szCs w:val="20"/>
    </w:rPr>
  </w:style>
  <w:style w:type="paragraph" w:styleId="Pedmtkomente">
    <w:name w:val="annotation subject"/>
    <w:basedOn w:val="Textkomente"/>
    <w:next w:val="Textkomente"/>
    <w:link w:val="PedmtkomenteChar"/>
    <w:uiPriority w:val="99"/>
    <w:semiHidden/>
    <w:rsid w:val="00575949"/>
    <w:rPr>
      <w:b/>
      <w:bCs/>
    </w:rPr>
  </w:style>
  <w:style w:type="character" w:customStyle="1" w:styleId="PedmtkomenteChar">
    <w:name w:val="Předmět komentáře Char"/>
    <w:link w:val="Pedmtkomente"/>
    <w:uiPriority w:val="99"/>
    <w:semiHidden/>
    <w:locked/>
    <w:rsid w:val="00575949"/>
    <w:rPr>
      <w:rFonts w:cs="Times New Roman"/>
      <w:b/>
      <w:bCs/>
      <w:sz w:val="20"/>
      <w:szCs w:val="20"/>
    </w:rPr>
  </w:style>
  <w:style w:type="table" w:styleId="Mkatabulky">
    <w:name w:val="Table Grid"/>
    <w:basedOn w:val="Normlntabulka"/>
    <w:uiPriority w:val="99"/>
    <w:rsid w:val="00C44A2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2118B2"/>
    <w:pPr>
      <w:spacing w:after="0" w:line="240" w:lineRule="auto"/>
    </w:pPr>
    <w:rPr>
      <w:sz w:val="20"/>
      <w:szCs w:val="20"/>
    </w:rPr>
  </w:style>
  <w:style w:type="character" w:customStyle="1" w:styleId="TextpoznpodarouChar">
    <w:name w:val="Text pozn. pod čarou Char"/>
    <w:link w:val="Textpoznpodarou"/>
    <w:uiPriority w:val="99"/>
    <w:semiHidden/>
    <w:locked/>
    <w:rsid w:val="002118B2"/>
    <w:rPr>
      <w:rFonts w:cs="Times New Roman"/>
      <w:sz w:val="20"/>
      <w:szCs w:val="20"/>
    </w:rPr>
  </w:style>
  <w:style w:type="character" w:styleId="Znakapoznpodarou">
    <w:name w:val="footnote reference"/>
    <w:uiPriority w:val="99"/>
    <w:semiHidden/>
    <w:rsid w:val="002118B2"/>
    <w:rPr>
      <w:rFonts w:cs="Times New Roman"/>
      <w:vertAlign w:val="superscript"/>
    </w:rPr>
  </w:style>
  <w:style w:type="paragraph" w:styleId="Revize">
    <w:name w:val="Revision"/>
    <w:hidden/>
    <w:uiPriority w:val="99"/>
    <w:semiHidden/>
    <w:rsid w:val="00F47E40"/>
    <w:rPr>
      <w:sz w:val="22"/>
      <w:szCs w:val="22"/>
    </w:rPr>
  </w:style>
  <w:style w:type="character" w:customStyle="1" w:styleId="OdstavecseseznamemChar">
    <w:name w:val="Odstavec se seznamem Char"/>
    <w:aliases w:val="Odstavec_muj Char,Nad Char,Odstavec cíl se seznamem Char,Odstavec se seznamem5 Char,název výzvy Char,Název grafu Char,nad 1 Char,Odstavec se seznamem1 Char,List Paragraph1 Char,Odstavec_muj1 Char,Odstavec_muj2 Char,Nad1 Char"/>
    <w:link w:val="Odstavecseseznamem"/>
    <w:uiPriority w:val="99"/>
    <w:locked/>
    <w:rsid w:val="008D363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385442">
      <w:marLeft w:val="0"/>
      <w:marRight w:val="0"/>
      <w:marTop w:val="0"/>
      <w:marBottom w:val="0"/>
      <w:divBdr>
        <w:top w:val="none" w:sz="0" w:space="0" w:color="auto"/>
        <w:left w:val="none" w:sz="0" w:space="0" w:color="auto"/>
        <w:bottom w:val="none" w:sz="0" w:space="0" w:color="auto"/>
        <w:right w:val="none" w:sz="0" w:space="0" w:color="auto"/>
      </w:divBdr>
    </w:div>
    <w:div w:id="442385443">
      <w:marLeft w:val="0"/>
      <w:marRight w:val="0"/>
      <w:marTop w:val="0"/>
      <w:marBottom w:val="0"/>
      <w:divBdr>
        <w:top w:val="none" w:sz="0" w:space="0" w:color="auto"/>
        <w:left w:val="none" w:sz="0" w:space="0" w:color="auto"/>
        <w:bottom w:val="none" w:sz="0" w:space="0" w:color="auto"/>
        <w:right w:val="none" w:sz="0" w:space="0" w:color="auto"/>
      </w:divBdr>
    </w:div>
    <w:div w:id="442385446">
      <w:marLeft w:val="0"/>
      <w:marRight w:val="0"/>
      <w:marTop w:val="0"/>
      <w:marBottom w:val="0"/>
      <w:divBdr>
        <w:top w:val="none" w:sz="0" w:space="0" w:color="auto"/>
        <w:left w:val="none" w:sz="0" w:space="0" w:color="auto"/>
        <w:bottom w:val="none" w:sz="0" w:space="0" w:color="auto"/>
        <w:right w:val="none" w:sz="0" w:space="0" w:color="auto"/>
      </w:divBdr>
    </w:div>
    <w:div w:id="442385450">
      <w:marLeft w:val="0"/>
      <w:marRight w:val="0"/>
      <w:marTop w:val="0"/>
      <w:marBottom w:val="0"/>
      <w:divBdr>
        <w:top w:val="none" w:sz="0" w:space="0" w:color="auto"/>
        <w:left w:val="none" w:sz="0" w:space="0" w:color="auto"/>
        <w:bottom w:val="none" w:sz="0" w:space="0" w:color="auto"/>
        <w:right w:val="none" w:sz="0" w:space="0" w:color="auto"/>
      </w:divBdr>
      <w:divsChild>
        <w:div w:id="442385471">
          <w:marLeft w:val="605"/>
          <w:marRight w:val="0"/>
          <w:marTop w:val="200"/>
          <w:marBottom w:val="40"/>
          <w:divBdr>
            <w:top w:val="none" w:sz="0" w:space="0" w:color="auto"/>
            <w:left w:val="none" w:sz="0" w:space="0" w:color="auto"/>
            <w:bottom w:val="none" w:sz="0" w:space="0" w:color="auto"/>
            <w:right w:val="none" w:sz="0" w:space="0" w:color="auto"/>
          </w:divBdr>
        </w:div>
      </w:divsChild>
    </w:div>
    <w:div w:id="442385451">
      <w:marLeft w:val="0"/>
      <w:marRight w:val="0"/>
      <w:marTop w:val="0"/>
      <w:marBottom w:val="0"/>
      <w:divBdr>
        <w:top w:val="none" w:sz="0" w:space="0" w:color="auto"/>
        <w:left w:val="none" w:sz="0" w:space="0" w:color="auto"/>
        <w:bottom w:val="none" w:sz="0" w:space="0" w:color="auto"/>
        <w:right w:val="none" w:sz="0" w:space="0" w:color="auto"/>
      </w:divBdr>
    </w:div>
    <w:div w:id="442385453">
      <w:marLeft w:val="0"/>
      <w:marRight w:val="0"/>
      <w:marTop w:val="0"/>
      <w:marBottom w:val="0"/>
      <w:divBdr>
        <w:top w:val="none" w:sz="0" w:space="0" w:color="auto"/>
        <w:left w:val="none" w:sz="0" w:space="0" w:color="auto"/>
        <w:bottom w:val="none" w:sz="0" w:space="0" w:color="auto"/>
        <w:right w:val="none" w:sz="0" w:space="0" w:color="auto"/>
      </w:divBdr>
    </w:div>
    <w:div w:id="442385454">
      <w:marLeft w:val="0"/>
      <w:marRight w:val="0"/>
      <w:marTop w:val="0"/>
      <w:marBottom w:val="0"/>
      <w:divBdr>
        <w:top w:val="none" w:sz="0" w:space="0" w:color="auto"/>
        <w:left w:val="none" w:sz="0" w:space="0" w:color="auto"/>
        <w:bottom w:val="none" w:sz="0" w:space="0" w:color="auto"/>
        <w:right w:val="none" w:sz="0" w:space="0" w:color="auto"/>
      </w:divBdr>
    </w:div>
    <w:div w:id="442385456">
      <w:marLeft w:val="0"/>
      <w:marRight w:val="0"/>
      <w:marTop w:val="0"/>
      <w:marBottom w:val="0"/>
      <w:divBdr>
        <w:top w:val="none" w:sz="0" w:space="0" w:color="auto"/>
        <w:left w:val="none" w:sz="0" w:space="0" w:color="auto"/>
        <w:bottom w:val="none" w:sz="0" w:space="0" w:color="auto"/>
        <w:right w:val="none" w:sz="0" w:space="0" w:color="auto"/>
      </w:divBdr>
    </w:div>
    <w:div w:id="442385457">
      <w:marLeft w:val="0"/>
      <w:marRight w:val="0"/>
      <w:marTop w:val="0"/>
      <w:marBottom w:val="0"/>
      <w:divBdr>
        <w:top w:val="none" w:sz="0" w:space="0" w:color="auto"/>
        <w:left w:val="none" w:sz="0" w:space="0" w:color="auto"/>
        <w:bottom w:val="none" w:sz="0" w:space="0" w:color="auto"/>
        <w:right w:val="none" w:sz="0" w:space="0" w:color="auto"/>
      </w:divBdr>
    </w:div>
    <w:div w:id="442385460">
      <w:marLeft w:val="0"/>
      <w:marRight w:val="0"/>
      <w:marTop w:val="0"/>
      <w:marBottom w:val="0"/>
      <w:divBdr>
        <w:top w:val="none" w:sz="0" w:space="0" w:color="auto"/>
        <w:left w:val="none" w:sz="0" w:space="0" w:color="auto"/>
        <w:bottom w:val="none" w:sz="0" w:space="0" w:color="auto"/>
        <w:right w:val="none" w:sz="0" w:space="0" w:color="auto"/>
      </w:divBdr>
    </w:div>
    <w:div w:id="442385463">
      <w:marLeft w:val="0"/>
      <w:marRight w:val="0"/>
      <w:marTop w:val="0"/>
      <w:marBottom w:val="0"/>
      <w:divBdr>
        <w:top w:val="none" w:sz="0" w:space="0" w:color="auto"/>
        <w:left w:val="none" w:sz="0" w:space="0" w:color="auto"/>
        <w:bottom w:val="none" w:sz="0" w:space="0" w:color="auto"/>
        <w:right w:val="none" w:sz="0" w:space="0" w:color="auto"/>
      </w:divBdr>
    </w:div>
    <w:div w:id="442385464">
      <w:marLeft w:val="0"/>
      <w:marRight w:val="0"/>
      <w:marTop w:val="0"/>
      <w:marBottom w:val="0"/>
      <w:divBdr>
        <w:top w:val="none" w:sz="0" w:space="0" w:color="auto"/>
        <w:left w:val="none" w:sz="0" w:space="0" w:color="auto"/>
        <w:bottom w:val="none" w:sz="0" w:space="0" w:color="auto"/>
        <w:right w:val="none" w:sz="0" w:space="0" w:color="auto"/>
      </w:divBdr>
    </w:div>
    <w:div w:id="442385465">
      <w:marLeft w:val="0"/>
      <w:marRight w:val="0"/>
      <w:marTop w:val="0"/>
      <w:marBottom w:val="0"/>
      <w:divBdr>
        <w:top w:val="none" w:sz="0" w:space="0" w:color="auto"/>
        <w:left w:val="none" w:sz="0" w:space="0" w:color="auto"/>
        <w:bottom w:val="none" w:sz="0" w:space="0" w:color="auto"/>
        <w:right w:val="none" w:sz="0" w:space="0" w:color="auto"/>
      </w:divBdr>
    </w:div>
    <w:div w:id="442385466">
      <w:marLeft w:val="0"/>
      <w:marRight w:val="0"/>
      <w:marTop w:val="0"/>
      <w:marBottom w:val="0"/>
      <w:divBdr>
        <w:top w:val="none" w:sz="0" w:space="0" w:color="auto"/>
        <w:left w:val="none" w:sz="0" w:space="0" w:color="auto"/>
        <w:bottom w:val="none" w:sz="0" w:space="0" w:color="auto"/>
        <w:right w:val="none" w:sz="0" w:space="0" w:color="auto"/>
      </w:divBdr>
    </w:div>
    <w:div w:id="442385467">
      <w:marLeft w:val="0"/>
      <w:marRight w:val="0"/>
      <w:marTop w:val="0"/>
      <w:marBottom w:val="0"/>
      <w:divBdr>
        <w:top w:val="none" w:sz="0" w:space="0" w:color="auto"/>
        <w:left w:val="none" w:sz="0" w:space="0" w:color="auto"/>
        <w:bottom w:val="none" w:sz="0" w:space="0" w:color="auto"/>
        <w:right w:val="none" w:sz="0" w:space="0" w:color="auto"/>
      </w:divBdr>
    </w:div>
    <w:div w:id="442385469">
      <w:marLeft w:val="0"/>
      <w:marRight w:val="0"/>
      <w:marTop w:val="0"/>
      <w:marBottom w:val="0"/>
      <w:divBdr>
        <w:top w:val="none" w:sz="0" w:space="0" w:color="auto"/>
        <w:left w:val="none" w:sz="0" w:space="0" w:color="auto"/>
        <w:bottom w:val="none" w:sz="0" w:space="0" w:color="auto"/>
        <w:right w:val="none" w:sz="0" w:space="0" w:color="auto"/>
      </w:divBdr>
    </w:div>
    <w:div w:id="442385470">
      <w:marLeft w:val="0"/>
      <w:marRight w:val="0"/>
      <w:marTop w:val="0"/>
      <w:marBottom w:val="0"/>
      <w:divBdr>
        <w:top w:val="none" w:sz="0" w:space="0" w:color="auto"/>
        <w:left w:val="none" w:sz="0" w:space="0" w:color="auto"/>
        <w:bottom w:val="none" w:sz="0" w:space="0" w:color="auto"/>
        <w:right w:val="none" w:sz="0" w:space="0" w:color="auto"/>
      </w:divBdr>
    </w:div>
    <w:div w:id="442385475">
      <w:marLeft w:val="0"/>
      <w:marRight w:val="0"/>
      <w:marTop w:val="0"/>
      <w:marBottom w:val="0"/>
      <w:divBdr>
        <w:top w:val="none" w:sz="0" w:space="0" w:color="auto"/>
        <w:left w:val="none" w:sz="0" w:space="0" w:color="auto"/>
        <w:bottom w:val="none" w:sz="0" w:space="0" w:color="auto"/>
        <w:right w:val="none" w:sz="0" w:space="0" w:color="auto"/>
      </w:divBdr>
    </w:div>
    <w:div w:id="442385476">
      <w:marLeft w:val="0"/>
      <w:marRight w:val="0"/>
      <w:marTop w:val="0"/>
      <w:marBottom w:val="0"/>
      <w:divBdr>
        <w:top w:val="none" w:sz="0" w:space="0" w:color="auto"/>
        <w:left w:val="none" w:sz="0" w:space="0" w:color="auto"/>
        <w:bottom w:val="none" w:sz="0" w:space="0" w:color="auto"/>
        <w:right w:val="none" w:sz="0" w:space="0" w:color="auto"/>
      </w:divBdr>
    </w:div>
    <w:div w:id="442385477">
      <w:marLeft w:val="0"/>
      <w:marRight w:val="0"/>
      <w:marTop w:val="0"/>
      <w:marBottom w:val="0"/>
      <w:divBdr>
        <w:top w:val="none" w:sz="0" w:space="0" w:color="auto"/>
        <w:left w:val="none" w:sz="0" w:space="0" w:color="auto"/>
        <w:bottom w:val="none" w:sz="0" w:space="0" w:color="auto"/>
        <w:right w:val="none" w:sz="0" w:space="0" w:color="auto"/>
      </w:divBdr>
    </w:div>
    <w:div w:id="442385478">
      <w:marLeft w:val="0"/>
      <w:marRight w:val="0"/>
      <w:marTop w:val="0"/>
      <w:marBottom w:val="0"/>
      <w:divBdr>
        <w:top w:val="none" w:sz="0" w:space="0" w:color="auto"/>
        <w:left w:val="none" w:sz="0" w:space="0" w:color="auto"/>
        <w:bottom w:val="none" w:sz="0" w:space="0" w:color="auto"/>
        <w:right w:val="none" w:sz="0" w:space="0" w:color="auto"/>
      </w:divBdr>
    </w:div>
    <w:div w:id="442385480">
      <w:marLeft w:val="0"/>
      <w:marRight w:val="0"/>
      <w:marTop w:val="0"/>
      <w:marBottom w:val="0"/>
      <w:divBdr>
        <w:top w:val="none" w:sz="0" w:space="0" w:color="auto"/>
        <w:left w:val="none" w:sz="0" w:space="0" w:color="auto"/>
        <w:bottom w:val="none" w:sz="0" w:space="0" w:color="auto"/>
        <w:right w:val="none" w:sz="0" w:space="0" w:color="auto"/>
      </w:divBdr>
    </w:div>
    <w:div w:id="442385481">
      <w:marLeft w:val="0"/>
      <w:marRight w:val="0"/>
      <w:marTop w:val="0"/>
      <w:marBottom w:val="0"/>
      <w:divBdr>
        <w:top w:val="none" w:sz="0" w:space="0" w:color="auto"/>
        <w:left w:val="none" w:sz="0" w:space="0" w:color="auto"/>
        <w:bottom w:val="none" w:sz="0" w:space="0" w:color="auto"/>
        <w:right w:val="none" w:sz="0" w:space="0" w:color="auto"/>
      </w:divBdr>
    </w:div>
    <w:div w:id="442385482">
      <w:marLeft w:val="0"/>
      <w:marRight w:val="0"/>
      <w:marTop w:val="0"/>
      <w:marBottom w:val="0"/>
      <w:divBdr>
        <w:top w:val="none" w:sz="0" w:space="0" w:color="auto"/>
        <w:left w:val="none" w:sz="0" w:space="0" w:color="auto"/>
        <w:bottom w:val="none" w:sz="0" w:space="0" w:color="auto"/>
        <w:right w:val="none" w:sz="0" w:space="0" w:color="auto"/>
      </w:divBdr>
      <w:divsChild>
        <w:div w:id="442385449">
          <w:marLeft w:val="0"/>
          <w:marRight w:val="0"/>
          <w:marTop w:val="0"/>
          <w:marBottom w:val="0"/>
          <w:divBdr>
            <w:top w:val="none" w:sz="0" w:space="0" w:color="auto"/>
            <w:left w:val="none" w:sz="0" w:space="0" w:color="auto"/>
            <w:bottom w:val="none" w:sz="0" w:space="0" w:color="auto"/>
            <w:right w:val="none" w:sz="0" w:space="0" w:color="auto"/>
          </w:divBdr>
          <w:divsChild>
            <w:div w:id="442385444">
              <w:marLeft w:val="0"/>
              <w:marRight w:val="0"/>
              <w:marTop w:val="0"/>
              <w:marBottom w:val="0"/>
              <w:divBdr>
                <w:top w:val="none" w:sz="0" w:space="0" w:color="auto"/>
                <w:left w:val="none" w:sz="0" w:space="0" w:color="auto"/>
                <w:bottom w:val="none" w:sz="0" w:space="0" w:color="auto"/>
                <w:right w:val="none" w:sz="0" w:space="0" w:color="auto"/>
              </w:divBdr>
            </w:div>
            <w:div w:id="442385452">
              <w:marLeft w:val="0"/>
              <w:marRight w:val="0"/>
              <w:marTop w:val="0"/>
              <w:marBottom w:val="0"/>
              <w:divBdr>
                <w:top w:val="none" w:sz="0" w:space="0" w:color="auto"/>
                <w:left w:val="none" w:sz="0" w:space="0" w:color="auto"/>
                <w:bottom w:val="none" w:sz="0" w:space="0" w:color="auto"/>
                <w:right w:val="none" w:sz="0" w:space="0" w:color="auto"/>
              </w:divBdr>
              <w:divsChild>
                <w:div w:id="442385447">
                  <w:marLeft w:val="0"/>
                  <w:marRight w:val="0"/>
                  <w:marTop w:val="0"/>
                  <w:marBottom w:val="0"/>
                  <w:divBdr>
                    <w:top w:val="none" w:sz="0" w:space="0" w:color="auto"/>
                    <w:left w:val="none" w:sz="0" w:space="0" w:color="auto"/>
                    <w:bottom w:val="none" w:sz="0" w:space="0" w:color="auto"/>
                    <w:right w:val="none" w:sz="0" w:space="0" w:color="auto"/>
                  </w:divBdr>
                  <w:divsChild>
                    <w:div w:id="442385507">
                      <w:marLeft w:val="0"/>
                      <w:marRight w:val="0"/>
                      <w:marTop w:val="0"/>
                      <w:marBottom w:val="0"/>
                      <w:divBdr>
                        <w:top w:val="none" w:sz="0" w:space="0" w:color="auto"/>
                        <w:left w:val="none" w:sz="0" w:space="0" w:color="auto"/>
                        <w:bottom w:val="none" w:sz="0" w:space="0" w:color="auto"/>
                        <w:right w:val="none" w:sz="0" w:space="0" w:color="auto"/>
                      </w:divBdr>
                      <w:divsChild>
                        <w:div w:id="442385474">
                          <w:marLeft w:val="0"/>
                          <w:marRight w:val="0"/>
                          <w:marTop w:val="0"/>
                          <w:marBottom w:val="0"/>
                          <w:divBdr>
                            <w:top w:val="none" w:sz="0" w:space="0" w:color="auto"/>
                            <w:left w:val="none" w:sz="0" w:space="0" w:color="auto"/>
                            <w:bottom w:val="none" w:sz="0" w:space="0" w:color="auto"/>
                            <w:right w:val="none" w:sz="0" w:space="0" w:color="auto"/>
                          </w:divBdr>
                          <w:divsChild>
                            <w:div w:id="44238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385492">
              <w:marLeft w:val="0"/>
              <w:marRight w:val="0"/>
              <w:marTop w:val="0"/>
              <w:marBottom w:val="0"/>
              <w:divBdr>
                <w:top w:val="none" w:sz="0" w:space="0" w:color="auto"/>
                <w:left w:val="none" w:sz="0" w:space="0" w:color="auto"/>
                <w:bottom w:val="none" w:sz="0" w:space="0" w:color="auto"/>
                <w:right w:val="none" w:sz="0" w:space="0" w:color="auto"/>
              </w:divBdr>
            </w:div>
          </w:divsChild>
        </w:div>
        <w:div w:id="442385462">
          <w:marLeft w:val="0"/>
          <w:marRight w:val="0"/>
          <w:marTop w:val="0"/>
          <w:marBottom w:val="0"/>
          <w:divBdr>
            <w:top w:val="none" w:sz="0" w:space="0" w:color="auto"/>
            <w:left w:val="none" w:sz="0" w:space="0" w:color="auto"/>
            <w:bottom w:val="none" w:sz="0" w:space="0" w:color="auto"/>
            <w:right w:val="none" w:sz="0" w:space="0" w:color="auto"/>
          </w:divBdr>
        </w:div>
        <w:div w:id="442385491">
          <w:marLeft w:val="0"/>
          <w:marRight w:val="0"/>
          <w:marTop w:val="0"/>
          <w:marBottom w:val="0"/>
          <w:divBdr>
            <w:top w:val="none" w:sz="0" w:space="0" w:color="auto"/>
            <w:left w:val="none" w:sz="0" w:space="0" w:color="auto"/>
            <w:bottom w:val="none" w:sz="0" w:space="0" w:color="auto"/>
            <w:right w:val="none" w:sz="0" w:space="0" w:color="auto"/>
          </w:divBdr>
          <w:divsChild>
            <w:div w:id="442385472">
              <w:marLeft w:val="96"/>
              <w:marRight w:val="0"/>
              <w:marTop w:val="0"/>
              <w:marBottom w:val="0"/>
              <w:divBdr>
                <w:top w:val="none" w:sz="0" w:space="0" w:color="auto"/>
                <w:left w:val="single" w:sz="6" w:space="6" w:color="CCCCCC"/>
                <w:bottom w:val="none" w:sz="0" w:space="0" w:color="auto"/>
                <w:right w:val="none" w:sz="0" w:space="0" w:color="auto"/>
              </w:divBdr>
            </w:div>
            <w:div w:id="44238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385483">
      <w:marLeft w:val="0"/>
      <w:marRight w:val="0"/>
      <w:marTop w:val="0"/>
      <w:marBottom w:val="0"/>
      <w:divBdr>
        <w:top w:val="none" w:sz="0" w:space="0" w:color="auto"/>
        <w:left w:val="none" w:sz="0" w:space="0" w:color="auto"/>
        <w:bottom w:val="none" w:sz="0" w:space="0" w:color="auto"/>
        <w:right w:val="none" w:sz="0" w:space="0" w:color="auto"/>
      </w:divBdr>
      <w:divsChild>
        <w:div w:id="442385506">
          <w:marLeft w:val="605"/>
          <w:marRight w:val="0"/>
          <w:marTop w:val="200"/>
          <w:marBottom w:val="40"/>
          <w:divBdr>
            <w:top w:val="none" w:sz="0" w:space="0" w:color="auto"/>
            <w:left w:val="none" w:sz="0" w:space="0" w:color="auto"/>
            <w:bottom w:val="none" w:sz="0" w:space="0" w:color="auto"/>
            <w:right w:val="none" w:sz="0" w:space="0" w:color="auto"/>
          </w:divBdr>
        </w:div>
      </w:divsChild>
    </w:div>
    <w:div w:id="442385485">
      <w:marLeft w:val="0"/>
      <w:marRight w:val="0"/>
      <w:marTop w:val="0"/>
      <w:marBottom w:val="0"/>
      <w:divBdr>
        <w:top w:val="none" w:sz="0" w:space="0" w:color="auto"/>
        <w:left w:val="none" w:sz="0" w:space="0" w:color="auto"/>
        <w:bottom w:val="none" w:sz="0" w:space="0" w:color="auto"/>
        <w:right w:val="none" w:sz="0" w:space="0" w:color="auto"/>
      </w:divBdr>
    </w:div>
    <w:div w:id="442385486">
      <w:marLeft w:val="0"/>
      <w:marRight w:val="0"/>
      <w:marTop w:val="0"/>
      <w:marBottom w:val="0"/>
      <w:divBdr>
        <w:top w:val="none" w:sz="0" w:space="0" w:color="auto"/>
        <w:left w:val="none" w:sz="0" w:space="0" w:color="auto"/>
        <w:bottom w:val="none" w:sz="0" w:space="0" w:color="auto"/>
        <w:right w:val="none" w:sz="0" w:space="0" w:color="auto"/>
      </w:divBdr>
    </w:div>
    <w:div w:id="442385487">
      <w:marLeft w:val="0"/>
      <w:marRight w:val="0"/>
      <w:marTop w:val="0"/>
      <w:marBottom w:val="0"/>
      <w:divBdr>
        <w:top w:val="none" w:sz="0" w:space="0" w:color="auto"/>
        <w:left w:val="none" w:sz="0" w:space="0" w:color="auto"/>
        <w:bottom w:val="none" w:sz="0" w:space="0" w:color="auto"/>
        <w:right w:val="none" w:sz="0" w:space="0" w:color="auto"/>
      </w:divBdr>
    </w:div>
    <w:div w:id="442385490">
      <w:marLeft w:val="0"/>
      <w:marRight w:val="0"/>
      <w:marTop w:val="0"/>
      <w:marBottom w:val="0"/>
      <w:divBdr>
        <w:top w:val="none" w:sz="0" w:space="0" w:color="auto"/>
        <w:left w:val="none" w:sz="0" w:space="0" w:color="auto"/>
        <w:bottom w:val="none" w:sz="0" w:space="0" w:color="auto"/>
        <w:right w:val="none" w:sz="0" w:space="0" w:color="auto"/>
      </w:divBdr>
    </w:div>
    <w:div w:id="442385494">
      <w:marLeft w:val="0"/>
      <w:marRight w:val="0"/>
      <w:marTop w:val="0"/>
      <w:marBottom w:val="0"/>
      <w:divBdr>
        <w:top w:val="none" w:sz="0" w:space="0" w:color="auto"/>
        <w:left w:val="none" w:sz="0" w:space="0" w:color="auto"/>
        <w:bottom w:val="none" w:sz="0" w:space="0" w:color="auto"/>
        <w:right w:val="none" w:sz="0" w:space="0" w:color="auto"/>
      </w:divBdr>
    </w:div>
    <w:div w:id="442385495">
      <w:marLeft w:val="0"/>
      <w:marRight w:val="0"/>
      <w:marTop w:val="0"/>
      <w:marBottom w:val="0"/>
      <w:divBdr>
        <w:top w:val="none" w:sz="0" w:space="0" w:color="auto"/>
        <w:left w:val="none" w:sz="0" w:space="0" w:color="auto"/>
        <w:bottom w:val="none" w:sz="0" w:space="0" w:color="auto"/>
        <w:right w:val="none" w:sz="0" w:space="0" w:color="auto"/>
      </w:divBdr>
      <w:divsChild>
        <w:div w:id="442385509">
          <w:marLeft w:val="605"/>
          <w:marRight w:val="0"/>
          <w:marTop w:val="200"/>
          <w:marBottom w:val="40"/>
          <w:divBdr>
            <w:top w:val="none" w:sz="0" w:space="0" w:color="auto"/>
            <w:left w:val="none" w:sz="0" w:space="0" w:color="auto"/>
            <w:bottom w:val="none" w:sz="0" w:space="0" w:color="auto"/>
            <w:right w:val="none" w:sz="0" w:space="0" w:color="auto"/>
          </w:divBdr>
        </w:div>
      </w:divsChild>
    </w:div>
    <w:div w:id="442385496">
      <w:marLeft w:val="0"/>
      <w:marRight w:val="0"/>
      <w:marTop w:val="0"/>
      <w:marBottom w:val="0"/>
      <w:divBdr>
        <w:top w:val="none" w:sz="0" w:space="0" w:color="auto"/>
        <w:left w:val="none" w:sz="0" w:space="0" w:color="auto"/>
        <w:bottom w:val="none" w:sz="0" w:space="0" w:color="auto"/>
        <w:right w:val="none" w:sz="0" w:space="0" w:color="auto"/>
      </w:divBdr>
    </w:div>
    <w:div w:id="442385497">
      <w:marLeft w:val="0"/>
      <w:marRight w:val="0"/>
      <w:marTop w:val="0"/>
      <w:marBottom w:val="0"/>
      <w:divBdr>
        <w:top w:val="none" w:sz="0" w:space="0" w:color="auto"/>
        <w:left w:val="none" w:sz="0" w:space="0" w:color="auto"/>
        <w:bottom w:val="none" w:sz="0" w:space="0" w:color="auto"/>
        <w:right w:val="none" w:sz="0" w:space="0" w:color="auto"/>
      </w:divBdr>
      <w:divsChild>
        <w:div w:id="442385458">
          <w:marLeft w:val="0"/>
          <w:marRight w:val="0"/>
          <w:marTop w:val="0"/>
          <w:marBottom w:val="0"/>
          <w:divBdr>
            <w:top w:val="none" w:sz="0" w:space="0" w:color="auto"/>
            <w:left w:val="none" w:sz="0" w:space="0" w:color="auto"/>
            <w:bottom w:val="none" w:sz="0" w:space="0" w:color="auto"/>
            <w:right w:val="none" w:sz="0" w:space="0" w:color="auto"/>
          </w:divBdr>
          <w:divsChild>
            <w:div w:id="442385473">
              <w:marLeft w:val="0"/>
              <w:marRight w:val="0"/>
              <w:marTop w:val="0"/>
              <w:marBottom w:val="0"/>
              <w:divBdr>
                <w:top w:val="none" w:sz="0" w:space="0" w:color="auto"/>
                <w:left w:val="none" w:sz="0" w:space="0" w:color="auto"/>
                <w:bottom w:val="none" w:sz="0" w:space="0" w:color="auto"/>
                <w:right w:val="none" w:sz="0" w:space="0" w:color="auto"/>
              </w:divBdr>
            </w:div>
            <w:div w:id="442385504">
              <w:marLeft w:val="96"/>
              <w:marRight w:val="0"/>
              <w:marTop w:val="0"/>
              <w:marBottom w:val="0"/>
              <w:divBdr>
                <w:top w:val="none" w:sz="0" w:space="0" w:color="auto"/>
                <w:left w:val="single" w:sz="6" w:space="6" w:color="CCCCCC"/>
                <w:bottom w:val="none" w:sz="0" w:space="0" w:color="auto"/>
                <w:right w:val="none" w:sz="0" w:space="0" w:color="auto"/>
              </w:divBdr>
            </w:div>
          </w:divsChild>
        </w:div>
        <w:div w:id="442385468">
          <w:marLeft w:val="0"/>
          <w:marRight w:val="0"/>
          <w:marTop w:val="0"/>
          <w:marBottom w:val="0"/>
          <w:divBdr>
            <w:top w:val="none" w:sz="0" w:space="0" w:color="auto"/>
            <w:left w:val="none" w:sz="0" w:space="0" w:color="auto"/>
            <w:bottom w:val="none" w:sz="0" w:space="0" w:color="auto"/>
            <w:right w:val="none" w:sz="0" w:space="0" w:color="auto"/>
          </w:divBdr>
          <w:divsChild>
            <w:div w:id="442385445">
              <w:marLeft w:val="0"/>
              <w:marRight w:val="0"/>
              <w:marTop w:val="0"/>
              <w:marBottom w:val="0"/>
              <w:divBdr>
                <w:top w:val="none" w:sz="0" w:space="0" w:color="auto"/>
                <w:left w:val="none" w:sz="0" w:space="0" w:color="auto"/>
                <w:bottom w:val="none" w:sz="0" w:space="0" w:color="auto"/>
                <w:right w:val="none" w:sz="0" w:space="0" w:color="auto"/>
              </w:divBdr>
            </w:div>
            <w:div w:id="442385455">
              <w:marLeft w:val="0"/>
              <w:marRight w:val="0"/>
              <w:marTop w:val="0"/>
              <w:marBottom w:val="0"/>
              <w:divBdr>
                <w:top w:val="none" w:sz="0" w:space="0" w:color="auto"/>
                <w:left w:val="none" w:sz="0" w:space="0" w:color="auto"/>
                <w:bottom w:val="none" w:sz="0" w:space="0" w:color="auto"/>
                <w:right w:val="none" w:sz="0" w:space="0" w:color="auto"/>
              </w:divBdr>
            </w:div>
            <w:div w:id="442385493">
              <w:marLeft w:val="0"/>
              <w:marRight w:val="0"/>
              <w:marTop w:val="0"/>
              <w:marBottom w:val="0"/>
              <w:divBdr>
                <w:top w:val="none" w:sz="0" w:space="0" w:color="auto"/>
                <w:left w:val="none" w:sz="0" w:space="0" w:color="auto"/>
                <w:bottom w:val="none" w:sz="0" w:space="0" w:color="auto"/>
                <w:right w:val="none" w:sz="0" w:space="0" w:color="auto"/>
              </w:divBdr>
              <w:divsChild>
                <w:div w:id="442385489">
                  <w:marLeft w:val="0"/>
                  <w:marRight w:val="0"/>
                  <w:marTop w:val="0"/>
                  <w:marBottom w:val="0"/>
                  <w:divBdr>
                    <w:top w:val="none" w:sz="0" w:space="0" w:color="auto"/>
                    <w:left w:val="none" w:sz="0" w:space="0" w:color="auto"/>
                    <w:bottom w:val="none" w:sz="0" w:space="0" w:color="auto"/>
                    <w:right w:val="none" w:sz="0" w:space="0" w:color="auto"/>
                  </w:divBdr>
                  <w:divsChild>
                    <w:div w:id="442385501">
                      <w:marLeft w:val="0"/>
                      <w:marRight w:val="0"/>
                      <w:marTop w:val="0"/>
                      <w:marBottom w:val="0"/>
                      <w:divBdr>
                        <w:top w:val="none" w:sz="0" w:space="0" w:color="auto"/>
                        <w:left w:val="none" w:sz="0" w:space="0" w:color="auto"/>
                        <w:bottom w:val="none" w:sz="0" w:space="0" w:color="auto"/>
                        <w:right w:val="none" w:sz="0" w:space="0" w:color="auto"/>
                      </w:divBdr>
                      <w:divsChild>
                        <w:div w:id="442385461">
                          <w:marLeft w:val="0"/>
                          <w:marRight w:val="0"/>
                          <w:marTop w:val="0"/>
                          <w:marBottom w:val="0"/>
                          <w:divBdr>
                            <w:top w:val="none" w:sz="0" w:space="0" w:color="auto"/>
                            <w:left w:val="none" w:sz="0" w:space="0" w:color="auto"/>
                            <w:bottom w:val="none" w:sz="0" w:space="0" w:color="auto"/>
                            <w:right w:val="none" w:sz="0" w:space="0" w:color="auto"/>
                          </w:divBdr>
                          <w:divsChild>
                            <w:div w:id="44238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2385498">
      <w:marLeft w:val="0"/>
      <w:marRight w:val="0"/>
      <w:marTop w:val="0"/>
      <w:marBottom w:val="0"/>
      <w:divBdr>
        <w:top w:val="none" w:sz="0" w:space="0" w:color="auto"/>
        <w:left w:val="none" w:sz="0" w:space="0" w:color="auto"/>
        <w:bottom w:val="none" w:sz="0" w:space="0" w:color="auto"/>
        <w:right w:val="none" w:sz="0" w:space="0" w:color="auto"/>
      </w:divBdr>
    </w:div>
    <w:div w:id="442385499">
      <w:marLeft w:val="0"/>
      <w:marRight w:val="0"/>
      <w:marTop w:val="0"/>
      <w:marBottom w:val="0"/>
      <w:divBdr>
        <w:top w:val="none" w:sz="0" w:space="0" w:color="auto"/>
        <w:left w:val="none" w:sz="0" w:space="0" w:color="auto"/>
        <w:bottom w:val="none" w:sz="0" w:space="0" w:color="auto"/>
        <w:right w:val="none" w:sz="0" w:space="0" w:color="auto"/>
      </w:divBdr>
    </w:div>
    <w:div w:id="442385500">
      <w:marLeft w:val="0"/>
      <w:marRight w:val="0"/>
      <w:marTop w:val="0"/>
      <w:marBottom w:val="0"/>
      <w:divBdr>
        <w:top w:val="none" w:sz="0" w:space="0" w:color="auto"/>
        <w:left w:val="none" w:sz="0" w:space="0" w:color="auto"/>
        <w:bottom w:val="none" w:sz="0" w:space="0" w:color="auto"/>
        <w:right w:val="none" w:sz="0" w:space="0" w:color="auto"/>
      </w:divBdr>
    </w:div>
    <w:div w:id="442385502">
      <w:marLeft w:val="0"/>
      <w:marRight w:val="0"/>
      <w:marTop w:val="0"/>
      <w:marBottom w:val="0"/>
      <w:divBdr>
        <w:top w:val="none" w:sz="0" w:space="0" w:color="auto"/>
        <w:left w:val="none" w:sz="0" w:space="0" w:color="auto"/>
        <w:bottom w:val="none" w:sz="0" w:space="0" w:color="auto"/>
        <w:right w:val="none" w:sz="0" w:space="0" w:color="auto"/>
      </w:divBdr>
    </w:div>
    <w:div w:id="442385503">
      <w:marLeft w:val="0"/>
      <w:marRight w:val="0"/>
      <w:marTop w:val="0"/>
      <w:marBottom w:val="0"/>
      <w:divBdr>
        <w:top w:val="none" w:sz="0" w:space="0" w:color="auto"/>
        <w:left w:val="none" w:sz="0" w:space="0" w:color="auto"/>
        <w:bottom w:val="none" w:sz="0" w:space="0" w:color="auto"/>
        <w:right w:val="none" w:sz="0" w:space="0" w:color="auto"/>
      </w:divBdr>
      <w:divsChild>
        <w:div w:id="442385488">
          <w:marLeft w:val="605"/>
          <w:marRight w:val="0"/>
          <w:marTop w:val="200"/>
          <w:marBottom w:val="40"/>
          <w:divBdr>
            <w:top w:val="none" w:sz="0" w:space="0" w:color="auto"/>
            <w:left w:val="none" w:sz="0" w:space="0" w:color="auto"/>
            <w:bottom w:val="none" w:sz="0" w:space="0" w:color="auto"/>
            <w:right w:val="none" w:sz="0" w:space="0" w:color="auto"/>
          </w:divBdr>
        </w:div>
      </w:divsChild>
    </w:div>
    <w:div w:id="442385505">
      <w:marLeft w:val="0"/>
      <w:marRight w:val="0"/>
      <w:marTop w:val="0"/>
      <w:marBottom w:val="0"/>
      <w:divBdr>
        <w:top w:val="none" w:sz="0" w:space="0" w:color="auto"/>
        <w:left w:val="none" w:sz="0" w:space="0" w:color="auto"/>
        <w:bottom w:val="none" w:sz="0" w:space="0" w:color="auto"/>
        <w:right w:val="none" w:sz="0" w:space="0" w:color="auto"/>
      </w:divBdr>
    </w:div>
    <w:div w:id="442385508">
      <w:marLeft w:val="0"/>
      <w:marRight w:val="0"/>
      <w:marTop w:val="0"/>
      <w:marBottom w:val="0"/>
      <w:divBdr>
        <w:top w:val="none" w:sz="0" w:space="0" w:color="auto"/>
        <w:left w:val="none" w:sz="0" w:space="0" w:color="auto"/>
        <w:bottom w:val="none" w:sz="0" w:space="0" w:color="auto"/>
        <w:right w:val="none" w:sz="0" w:space="0" w:color="auto"/>
      </w:divBdr>
      <w:divsChild>
        <w:div w:id="442385479">
          <w:marLeft w:val="605"/>
          <w:marRight w:val="0"/>
          <w:marTop w:val="200"/>
          <w:marBottom w:val="40"/>
          <w:divBdr>
            <w:top w:val="none" w:sz="0" w:space="0" w:color="auto"/>
            <w:left w:val="none" w:sz="0" w:space="0" w:color="auto"/>
            <w:bottom w:val="none" w:sz="0" w:space="0" w:color="auto"/>
            <w:right w:val="none" w:sz="0" w:space="0" w:color="auto"/>
          </w:divBdr>
        </w:div>
      </w:divsChild>
    </w:div>
    <w:div w:id="909537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consult@nconsult.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itezslav.Kapoun@fs.mfcr.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chal.pluta@nrb.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etr.Rezek@geotechnika.cz" TargetMode="External"/><Relationship Id="rId4" Type="http://schemas.openxmlformats.org/officeDocument/2006/relationships/webSettings" Target="webSettings.xml"/><Relationship Id="rId9" Type="http://schemas.openxmlformats.org/officeDocument/2006/relationships/hyperlink" Target="mailto:svolba@mpo.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18</Pages>
  <Words>4922</Words>
  <Characters>29045</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Oddělení finanční podpory výzkumu, vývoje a inovací</vt:lpstr>
    </vt:vector>
  </TitlesOfParts>
  <Company/>
  <LinksUpToDate>false</LinksUpToDate>
  <CharactersWithSpaces>33900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Oddělení finanční podpory výzkumu, vývoje a inovací</dc:title>
  <dc:subject>Odbor koordinace vědy, výzkumu a inovací</dc:subject>
  <dc:creator>Římská Helena</dc:creator>
  <cp:keywords/>
  <dc:description/>
  <cp:lastModifiedBy>Římská Helena</cp:lastModifiedBy>
  <cp:revision>13</cp:revision>
  <cp:lastPrinted>2022-09-29T09:30:00Z</cp:lastPrinted>
  <dcterms:created xsi:type="dcterms:W3CDTF">2022-11-24T11:29:00Z</dcterms:created>
  <dcterms:modified xsi:type="dcterms:W3CDTF">2022-11-30T08:15:00Z</dcterms:modified>
</cp:coreProperties>
</file>